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A33B8">
      <w:pPr>
        <w:pStyle w:val="6"/>
        <w:bidi w:val="0"/>
      </w:pPr>
      <w:r>
        <w:drawing>
          <wp:anchor distT="0" distB="0" distL="114300" distR="114300" simplePos="0" relativeHeight="251664384" behindDoc="0" locked="0" layoutInCell="1" allowOverlap="1">
            <wp:simplePos x="0" y="0"/>
            <wp:positionH relativeFrom="column">
              <wp:posOffset>-782955</wp:posOffset>
            </wp:positionH>
            <wp:positionV relativeFrom="paragraph">
              <wp:posOffset>-382905</wp:posOffset>
            </wp:positionV>
            <wp:extent cx="7473950" cy="10556875"/>
            <wp:effectExtent l="0" t="0" r="12700" b="15875"/>
            <wp:wrapSquare wrapText="bothSides"/>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23"/>
                    <a:stretch>
                      <a:fillRect/>
                    </a:stretch>
                  </pic:blipFill>
                  <pic:spPr>
                    <a:xfrm>
                      <a:off x="0" y="0"/>
                      <a:ext cx="7473950" cy="10556875"/>
                    </a:xfrm>
                    <a:prstGeom prst="rect">
                      <a:avLst/>
                    </a:prstGeom>
                    <a:noFill/>
                    <a:ln>
                      <a:noFill/>
                    </a:ln>
                  </pic:spPr>
                </pic:pic>
              </a:graphicData>
            </a:graphic>
          </wp:anchor>
        </w:drawing>
      </w:r>
    </w:p>
    <w:p w14:paraId="47C5C658">
      <w:r>
        <w:br w:type="page"/>
      </w:r>
    </w:p>
    <w:p w14:paraId="0BDB7B03">
      <w:pPr>
        <w:pStyle w:val="6"/>
        <w:bidi w:val="0"/>
        <w:rPr>
          <w:highlight w:val="none"/>
        </w:rPr>
      </w:pPr>
      <w:r>
        <w:rPr>
          <w:rFonts w:hint="eastAsia"/>
          <w:highlight w:val="none"/>
        </w:rPr>
        <w:drawing>
          <wp:inline distT="0" distB="0" distL="114300" distR="114300">
            <wp:extent cx="1143635" cy="1082675"/>
            <wp:effectExtent l="0" t="0" r="18415" b="3175"/>
            <wp:docPr id="1" name="图片 1" descr="19a9c0e900479c854e488a4f6f1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9a9c0e900479c854e488a4f6f14205"/>
                    <pic:cNvPicPr>
                      <a:picLocks noChangeAspect="1"/>
                    </pic:cNvPicPr>
                  </pic:nvPicPr>
                  <pic:blipFill>
                    <a:blip r:embed="rId24"/>
                    <a:stretch>
                      <a:fillRect/>
                    </a:stretch>
                  </pic:blipFill>
                  <pic:spPr>
                    <a:xfrm>
                      <a:off x="0" y="0"/>
                      <a:ext cx="1143635" cy="1082675"/>
                    </a:xfrm>
                    <a:prstGeom prst="rect">
                      <a:avLst/>
                    </a:prstGeom>
                    <a:noFill/>
                    <a:ln>
                      <a:noFill/>
                    </a:ln>
                  </pic:spPr>
                </pic:pic>
              </a:graphicData>
            </a:graphic>
          </wp:inline>
        </w:drawing>
      </w:r>
    </w:p>
    <w:p w14:paraId="1D980F66">
      <w:pPr>
        <w:kinsoku/>
        <w:wordWrap/>
        <w:overflowPunct/>
        <w:topLinePunct w:val="0"/>
        <w:bidi w:val="0"/>
        <w:spacing w:line="360" w:lineRule="auto"/>
        <w:jc w:val="center"/>
        <w:outlineLvl w:val="9"/>
        <w:rPr>
          <w:rFonts w:ascii="宋体" w:hAnsi="宋体" w:cs="宋体"/>
          <w:b/>
          <w:color w:val="auto"/>
          <w:sz w:val="44"/>
          <w:szCs w:val="44"/>
          <w:highlight w:val="none"/>
        </w:rPr>
      </w:pPr>
    </w:p>
    <w:p w14:paraId="540EA07A">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2D11A007">
      <w:pPr>
        <w:kinsoku/>
        <w:wordWrap/>
        <w:overflowPunct/>
        <w:topLinePunct w:val="0"/>
        <w:bidi w:val="0"/>
        <w:adjustRightInd/>
        <w:spacing w:line="360" w:lineRule="auto"/>
        <w:jc w:val="center"/>
        <w:outlineLvl w:val="9"/>
        <w:rPr>
          <w:rFonts w:ascii="宋体" w:hAnsi="宋体" w:cs="宋体"/>
          <w:color w:val="auto"/>
          <w:sz w:val="48"/>
          <w:szCs w:val="48"/>
          <w:highlight w:val="none"/>
        </w:rPr>
      </w:pPr>
      <w:r>
        <w:rPr>
          <w:rFonts w:hint="eastAsia" w:ascii="宋体" w:hAnsi="宋体" w:cs="宋体"/>
          <w:color w:val="auto"/>
          <w:sz w:val="48"/>
          <w:szCs w:val="48"/>
          <w:highlight w:val="none"/>
          <w:lang w:eastAsia="zh-CN"/>
        </w:rPr>
        <w:t>宁海强对流天气秒预警工程（重招）</w:t>
      </w:r>
    </w:p>
    <w:p w14:paraId="7574514D">
      <w:pPr>
        <w:kinsoku/>
        <w:wordWrap/>
        <w:overflowPunct/>
        <w:topLinePunct w:val="0"/>
        <w:bidi w:val="0"/>
        <w:adjustRightInd/>
        <w:spacing w:line="360" w:lineRule="auto"/>
        <w:jc w:val="center"/>
        <w:outlineLvl w:val="9"/>
        <w:rPr>
          <w:rFonts w:hint="eastAsia" w:ascii="宋体" w:hAnsi="宋体" w:cs="宋体"/>
          <w:color w:val="auto"/>
          <w:sz w:val="48"/>
          <w:szCs w:val="48"/>
          <w:highlight w:val="none"/>
        </w:rPr>
      </w:pPr>
    </w:p>
    <w:p w14:paraId="18A2ACF6">
      <w:pPr>
        <w:kinsoku/>
        <w:wordWrap/>
        <w:overflowPunct/>
        <w:topLinePunct w:val="0"/>
        <w:bidi w:val="0"/>
        <w:adjustRightInd/>
        <w:spacing w:line="360" w:lineRule="auto"/>
        <w:jc w:val="center"/>
        <w:outlineLvl w:val="9"/>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434EC7CB">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720B3AC4">
      <w:pPr>
        <w:kinsoku/>
        <w:wordWrap/>
        <w:overflowPunct/>
        <w:topLinePunct w:val="0"/>
        <w:bidi w:val="0"/>
        <w:snapToGrid w:val="0"/>
        <w:spacing w:line="360" w:lineRule="auto"/>
        <w:jc w:val="center"/>
        <w:outlineLvl w:val="9"/>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：NBSD2025-012-1</w:t>
      </w:r>
    </w:p>
    <w:p w14:paraId="04B0F58F">
      <w:pPr>
        <w:kinsoku/>
        <w:wordWrap/>
        <w:overflowPunct/>
        <w:topLinePunct w:val="0"/>
        <w:bidi w:val="0"/>
        <w:adjustRightInd/>
        <w:spacing w:line="360" w:lineRule="auto"/>
        <w:jc w:val="center"/>
        <w:outlineLvl w:val="9"/>
        <w:rPr>
          <w:rFonts w:hint="eastAsia" w:ascii="宋体" w:hAnsi="宋体" w:eastAsia="宋体" w:cs="宋体"/>
          <w:color w:val="auto"/>
          <w:sz w:val="48"/>
          <w:szCs w:val="48"/>
          <w:highlight w:val="none"/>
        </w:rPr>
      </w:pPr>
    </w:p>
    <w:p w14:paraId="3A089E43">
      <w:pPr>
        <w:kinsoku/>
        <w:wordWrap/>
        <w:overflowPunct/>
        <w:topLinePunct w:val="0"/>
        <w:bidi w:val="0"/>
        <w:adjustRightInd/>
        <w:spacing w:line="360" w:lineRule="auto"/>
        <w:jc w:val="center"/>
        <w:outlineLvl w:val="9"/>
        <w:rPr>
          <w:rFonts w:hint="eastAsia" w:ascii="宋体" w:hAnsi="宋体" w:eastAsia="宋体" w:cs="宋体"/>
          <w:color w:val="auto"/>
          <w:sz w:val="48"/>
          <w:szCs w:val="48"/>
          <w:highlight w:val="none"/>
        </w:rPr>
      </w:pPr>
    </w:p>
    <w:p w14:paraId="27ECD37B">
      <w:pPr>
        <w:kinsoku/>
        <w:wordWrap/>
        <w:overflowPunct/>
        <w:topLinePunct w:val="0"/>
        <w:bidi w:val="0"/>
        <w:adjustRightInd/>
        <w:spacing w:line="360" w:lineRule="auto"/>
        <w:jc w:val="center"/>
        <w:outlineLvl w:val="9"/>
        <w:rPr>
          <w:rFonts w:hint="eastAsia" w:ascii="宋体" w:hAnsi="宋体" w:eastAsia="宋体" w:cs="宋体"/>
          <w:color w:val="auto"/>
          <w:sz w:val="48"/>
          <w:szCs w:val="48"/>
          <w:highlight w:val="none"/>
        </w:rPr>
      </w:pPr>
    </w:p>
    <w:p w14:paraId="1F38ACF0">
      <w:pPr>
        <w:kinsoku/>
        <w:wordWrap/>
        <w:overflowPunct/>
        <w:topLinePunct w:val="0"/>
        <w:bidi w:val="0"/>
        <w:adjustRightInd/>
        <w:spacing w:line="360" w:lineRule="auto"/>
        <w:jc w:val="both"/>
        <w:outlineLvl w:val="9"/>
        <w:rPr>
          <w:rFonts w:hint="eastAsia" w:ascii="宋体" w:hAnsi="宋体" w:eastAsia="宋体" w:cs="宋体"/>
          <w:color w:val="auto"/>
          <w:sz w:val="48"/>
          <w:szCs w:val="48"/>
          <w:highlight w:val="none"/>
        </w:rPr>
      </w:pPr>
    </w:p>
    <w:p w14:paraId="283FD26F">
      <w:pPr>
        <w:kinsoku/>
        <w:wordWrap/>
        <w:overflowPunct/>
        <w:topLinePunct w:val="0"/>
        <w:bidi w:val="0"/>
        <w:snapToGrid w:val="0"/>
        <w:spacing w:line="360" w:lineRule="auto"/>
        <w:jc w:val="center"/>
        <w:outlineLvl w:val="9"/>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采购人：宁海县气象局</w:t>
      </w:r>
    </w:p>
    <w:p w14:paraId="092A8029">
      <w:pPr>
        <w:kinsoku/>
        <w:wordWrap/>
        <w:overflowPunct/>
        <w:topLinePunct w:val="0"/>
        <w:bidi w:val="0"/>
        <w:snapToGrid w:val="0"/>
        <w:spacing w:line="360" w:lineRule="auto"/>
        <w:jc w:val="center"/>
        <w:outlineLvl w:val="9"/>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采购代理机构：宁波市盛达工程管理咨询有限公司</w:t>
      </w:r>
    </w:p>
    <w:p w14:paraId="51D382EC">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14:paraId="308A8A0A">
      <w:pPr>
        <w:rPr>
          <w:rFonts w:hint="eastAsia" w:ascii="宋体" w:hAnsi="宋体" w:cs="宋体"/>
          <w:bCs/>
          <w:color w:val="auto"/>
          <w:sz w:val="32"/>
          <w:szCs w:val="32"/>
          <w:highlight w:val="none"/>
        </w:rPr>
      </w:pPr>
      <w:r>
        <w:rPr>
          <w:rFonts w:hint="eastAsia" w:ascii="宋体" w:hAnsi="宋体" w:cs="宋体"/>
          <w:bCs/>
          <w:color w:val="auto"/>
          <w:sz w:val="32"/>
          <w:szCs w:val="32"/>
          <w:highlight w:val="none"/>
        </w:rPr>
        <w:br w:type="page"/>
      </w:r>
    </w:p>
    <w:p w14:paraId="23EC78E6">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left="0" w:leftChars="0" w:right="0" w:rightChars="0" w:firstLine="0" w:firstLineChars="0"/>
        <w:jc w:val="center"/>
        <w:textAlignment w:val="auto"/>
        <w:outlineLvl w:val="9"/>
        <w:rPr>
          <w:rFonts w:hint="eastAsia" w:ascii="宋体" w:hAnsi="宋体" w:eastAsia="宋体" w:cs="宋体"/>
          <w:b/>
          <w:bCs/>
          <w:sz w:val="44"/>
          <w:szCs w:val="44"/>
          <w:highlight w:val="none"/>
        </w:rPr>
      </w:pPr>
      <w:bookmarkStart w:id="0" w:name="_Hlt91233176"/>
      <w:bookmarkEnd w:id="0"/>
      <w:bookmarkStart w:id="1" w:name="_Toc91899869"/>
      <w:r>
        <w:rPr>
          <w:rFonts w:hint="eastAsia" w:ascii="宋体" w:hAnsi="宋体" w:eastAsia="宋体" w:cs="宋体"/>
          <w:b/>
          <w:bCs/>
          <w:sz w:val="44"/>
          <w:szCs w:val="44"/>
          <w:highlight w:val="none"/>
        </w:rPr>
        <w:t>目</w:t>
      </w:r>
      <w:r>
        <w:rPr>
          <w:rFonts w:hint="eastAsia" w:ascii="宋体" w:hAnsi="宋体" w:eastAsia="宋体" w:cs="宋体"/>
          <w:b/>
          <w:bCs/>
          <w:sz w:val="44"/>
          <w:szCs w:val="44"/>
          <w:highlight w:val="none"/>
          <w:lang w:val="en-US" w:eastAsia="zh-CN"/>
        </w:rPr>
        <w:t xml:space="preserve">  </w:t>
      </w:r>
      <w:r>
        <w:rPr>
          <w:rFonts w:hint="eastAsia" w:ascii="宋体" w:hAnsi="宋体" w:eastAsia="宋体" w:cs="宋体"/>
          <w:b/>
          <w:bCs/>
          <w:sz w:val="44"/>
          <w:szCs w:val="44"/>
          <w:highlight w:val="none"/>
        </w:rPr>
        <w:t>录</w:t>
      </w:r>
    </w:p>
    <w:p w14:paraId="755A6EAF">
      <w:pPr>
        <w:pStyle w:val="43"/>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sz w:val="32"/>
          <w:szCs w:val="32"/>
          <w:highlight w:val="none"/>
        </w:rPr>
        <w:instrText xml:space="preserve"> HYPERLINK \l _Toc24669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第一部分 招标公告</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_Toc24669 \h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4</w:t>
      </w:r>
      <w:r>
        <w:rPr>
          <w:rFonts w:hint="eastAsia" w:ascii="宋体" w:hAnsi="宋体" w:eastAsia="宋体" w:cs="宋体"/>
          <w:b/>
          <w:bCs/>
          <w:sz w:val="32"/>
          <w:szCs w:val="32"/>
          <w:highlight w:val="none"/>
        </w:rPr>
        <w:fldChar w:fldCharType="end"/>
      </w:r>
      <w:r>
        <w:rPr>
          <w:rFonts w:hint="eastAsia" w:ascii="宋体" w:hAnsi="宋体" w:eastAsia="宋体" w:cs="宋体"/>
          <w:b/>
          <w:bCs/>
          <w:color w:val="auto"/>
          <w:sz w:val="32"/>
          <w:szCs w:val="32"/>
          <w:highlight w:val="none"/>
        </w:rPr>
        <w:fldChar w:fldCharType="end"/>
      </w:r>
    </w:p>
    <w:p w14:paraId="1D76EE58">
      <w:pPr>
        <w:pStyle w:val="43"/>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sz w:val="32"/>
          <w:szCs w:val="32"/>
          <w:highlight w:val="none"/>
        </w:rPr>
        <w:instrText xml:space="preserve"> HYPERLINK \l _Toc21580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第二部分 投标人须知</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_Toc21580 \h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8</w:t>
      </w:r>
      <w:r>
        <w:rPr>
          <w:rFonts w:hint="eastAsia" w:ascii="宋体" w:hAnsi="宋体" w:eastAsia="宋体" w:cs="宋体"/>
          <w:b/>
          <w:bCs/>
          <w:sz w:val="32"/>
          <w:szCs w:val="32"/>
          <w:highlight w:val="none"/>
        </w:rPr>
        <w:fldChar w:fldCharType="end"/>
      </w:r>
      <w:r>
        <w:rPr>
          <w:rFonts w:hint="eastAsia" w:ascii="宋体" w:hAnsi="宋体" w:eastAsia="宋体" w:cs="宋体"/>
          <w:b/>
          <w:bCs/>
          <w:color w:val="auto"/>
          <w:sz w:val="32"/>
          <w:szCs w:val="32"/>
          <w:highlight w:val="none"/>
        </w:rPr>
        <w:fldChar w:fldCharType="end"/>
      </w:r>
    </w:p>
    <w:p w14:paraId="6666624C">
      <w:pPr>
        <w:pStyle w:val="43"/>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sz w:val="32"/>
          <w:szCs w:val="32"/>
          <w:highlight w:val="none"/>
        </w:rPr>
        <w:instrText xml:space="preserve"> HYPERLINK \l _Toc7512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第三部分 采购需求</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_Toc7512 \h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21</w:t>
      </w:r>
      <w:r>
        <w:rPr>
          <w:rFonts w:hint="eastAsia" w:ascii="宋体" w:hAnsi="宋体" w:eastAsia="宋体" w:cs="宋体"/>
          <w:b/>
          <w:bCs/>
          <w:sz w:val="32"/>
          <w:szCs w:val="32"/>
          <w:highlight w:val="none"/>
        </w:rPr>
        <w:fldChar w:fldCharType="end"/>
      </w:r>
      <w:r>
        <w:rPr>
          <w:rFonts w:hint="eastAsia" w:ascii="宋体" w:hAnsi="宋体" w:eastAsia="宋体" w:cs="宋体"/>
          <w:b/>
          <w:bCs/>
          <w:color w:val="auto"/>
          <w:sz w:val="32"/>
          <w:szCs w:val="32"/>
          <w:highlight w:val="none"/>
        </w:rPr>
        <w:fldChar w:fldCharType="end"/>
      </w:r>
    </w:p>
    <w:p w14:paraId="2208965E">
      <w:pPr>
        <w:pStyle w:val="43"/>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sz w:val="32"/>
          <w:szCs w:val="32"/>
          <w:highlight w:val="none"/>
        </w:rPr>
        <w:instrText xml:space="preserve"> HYPERLINK \l _Toc20574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第四部分 评标办法</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_Toc20574 \h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27</w:t>
      </w:r>
      <w:r>
        <w:rPr>
          <w:rFonts w:hint="eastAsia" w:ascii="宋体" w:hAnsi="宋体" w:eastAsia="宋体" w:cs="宋体"/>
          <w:b/>
          <w:bCs/>
          <w:sz w:val="32"/>
          <w:szCs w:val="32"/>
          <w:highlight w:val="none"/>
        </w:rPr>
        <w:fldChar w:fldCharType="end"/>
      </w:r>
      <w:r>
        <w:rPr>
          <w:rFonts w:hint="eastAsia" w:ascii="宋体" w:hAnsi="宋体" w:eastAsia="宋体" w:cs="宋体"/>
          <w:b/>
          <w:bCs/>
          <w:color w:val="auto"/>
          <w:sz w:val="32"/>
          <w:szCs w:val="32"/>
          <w:highlight w:val="none"/>
        </w:rPr>
        <w:fldChar w:fldCharType="end"/>
      </w:r>
    </w:p>
    <w:p w14:paraId="617FEB05">
      <w:pPr>
        <w:pStyle w:val="43"/>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sz w:val="32"/>
          <w:szCs w:val="32"/>
          <w:highlight w:val="none"/>
        </w:rPr>
        <w:instrText xml:space="preserve"> HYPERLINK \l _Toc22205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第五部分 拟签订的合同文本</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_Toc22205 \h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35</w:t>
      </w:r>
      <w:r>
        <w:rPr>
          <w:rFonts w:hint="eastAsia" w:ascii="宋体" w:hAnsi="宋体" w:eastAsia="宋体" w:cs="宋体"/>
          <w:b/>
          <w:bCs/>
          <w:sz w:val="32"/>
          <w:szCs w:val="32"/>
          <w:highlight w:val="none"/>
        </w:rPr>
        <w:fldChar w:fldCharType="end"/>
      </w:r>
      <w:r>
        <w:rPr>
          <w:rFonts w:hint="eastAsia" w:ascii="宋体" w:hAnsi="宋体" w:eastAsia="宋体" w:cs="宋体"/>
          <w:b/>
          <w:bCs/>
          <w:color w:val="auto"/>
          <w:sz w:val="32"/>
          <w:szCs w:val="32"/>
          <w:highlight w:val="none"/>
        </w:rPr>
        <w:fldChar w:fldCharType="end"/>
      </w:r>
    </w:p>
    <w:p w14:paraId="77FF338E">
      <w:pPr>
        <w:pStyle w:val="43"/>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sz w:val="32"/>
          <w:szCs w:val="32"/>
          <w:highlight w:val="none"/>
        </w:rPr>
        <w:instrText xml:space="preserve"> HYPERLINK \l _Toc18297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第六部分 应提交的有关格式范例</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_Toc18297 \h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45</w:t>
      </w:r>
      <w:r>
        <w:rPr>
          <w:rFonts w:hint="eastAsia" w:ascii="宋体" w:hAnsi="宋体" w:eastAsia="宋体" w:cs="宋体"/>
          <w:b/>
          <w:bCs/>
          <w:sz w:val="32"/>
          <w:szCs w:val="32"/>
          <w:highlight w:val="none"/>
        </w:rPr>
        <w:fldChar w:fldCharType="end"/>
      </w:r>
      <w:r>
        <w:rPr>
          <w:rFonts w:hint="eastAsia" w:ascii="宋体" w:hAnsi="宋体" w:eastAsia="宋体" w:cs="宋体"/>
          <w:b/>
          <w:bCs/>
          <w:color w:val="auto"/>
          <w:sz w:val="32"/>
          <w:szCs w:val="32"/>
          <w:highlight w:val="none"/>
        </w:rPr>
        <w:fldChar w:fldCharType="end"/>
      </w:r>
    </w:p>
    <w:p w14:paraId="4384F6C1">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736" w:firstLineChars="229"/>
        <w:textAlignment w:val="auto"/>
        <w:outlineLvl w:val="9"/>
        <w:rPr>
          <w:rFonts w:ascii="宋体" w:hAnsi="宋体" w:cs="宋体"/>
          <w:color w:val="auto"/>
          <w:sz w:val="24"/>
          <w:highlight w:val="none"/>
        </w:rPr>
      </w:pPr>
      <w:r>
        <w:rPr>
          <w:rFonts w:hint="eastAsia" w:ascii="宋体" w:hAnsi="宋体" w:eastAsia="宋体" w:cs="宋体"/>
          <w:b/>
          <w:bCs/>
          <w:color w:val="auto"/>
          <w:sz w:val="32"/>
          <w:szCs w:val="32"/>
          <w:highlight w:val="none"/>
        </w:rPr>
        <w:fldChar w:fldCharType="end"/>
      </w:r>
    </w:p>
    <w:p w14:paraId="58445B89">
      <w:pPr>
        <w:kinsoku/>
        <w:wordWrap/>
        <w:overflowPunct/>
        <w:topLinePunct w:val="0"/>
        <w:bidi w:val="0"/>
        <w:spacing w:line="360" w:lineRule="auto"/>
        <w:outlineLvl w:val="9"/>
        <w:rPr>
          <w:rFonts w:ascii="宋体" w:hAnsi="宋体" w:cs="宋体"/>
          <w:color w:val="auto"/>
          <w:sz w:val="24"/>
          <w:highlight w:val="none"/>
        </w:rPr>
      </w:pPr>
    </w:p>
    <w:p w14:paraId="2ABE28B7">
      <w:pPr>
        <w:rPr>
          <w:rFonts w:ascii="宋体" w:hAnsi="宋体" w:cs="宋体"/>
          <w:color w:val="auto"/>
          <w:sz w:val="24"/>
          <w:highlight w:val="none"/>
        </w:rPr>
      </w:pPr>
      <w:r>
        <w:rPr>
          <w:rFonts w:ascii="宋体" w:hAnsi="宋体" w:cs="宋体"/>
          <w:color w:val="auto"/>
          <w:sz w:val="24"/>
          <w:highlight w:val="none"/>
        </w:rPr>
        <w:br w:type="page"/>
      </w:r>
    </w:p>
    <w:bookmarkEnd w:id="1"/>
    <w:p w14:paraId="7C9F46C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color w:val="auto"/>
          <w:sz w:val="36"/>
          <w:szCs w:val="20"/>
          <w:highlight w:val="none"/>
        </w:rPr>
      </w:pPr>
      <w:bookmarkStart w:id="2" w:name="_Toc24669"/>
      <w:bookmarkStart w:id="3" w:name="第二部分"/>
      <w:bookmarkStart w:id="4" w:name="_Toc91899870"/>
      <w:bookmarkStart w:id="5" w:name="_Toc91899871"/>
      <w:r>
        <w:rPr>
          <w:rFonts w:hint="eastAsia" w:ascii="宋体" w:hAnsi="宋体" w:cs="宋体"/>
          <w:b/>
          <w:color w:val="auto"/>
          <w:sz w:val="36"/>
          <w:szCs w:val="20"/>
          <w:highlight w:val="none"/>
        </w:rPr>
        <w:t>第一部分 招标公告</w:t>
      </w:r>
      <w:bookmarkEnd w:id="2"/>
    </w:p>
    <w:p w14:paraId="7FF00854">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1FB85DBA">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宁海强对流天气秒预警工程（重招）</w:t>
      </w:r>
      <w:r>
        <w:rPr>
          <w:rFonts w:hint="eastAsia" w:ascii="宋体" w:hAnsi="宋体" w:eastAsia="宋体" w:cs="宋体"/>
          <w:color w:val="auto"/>
          <w:sz w:val="21"/>
          <w:szCs w:val="21"/>
          <w:highlight w:val="none"/>
        </w:rPr>
        <w:t>招标项目的潜在投标人应在政采云平台（</w:t>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b w:val="0"/>
          <w:bCs w:val="0"/>
          <w:color w:val="auto"/>
          <w:sz w:val="21"/>
          <w:szCs w:val="21"/>
          <w:highlight w:val="none"/>
        </w:rPr>
        <w:fldChar w:fldCharType="separate"/>
      </w:r>
      <w:r>
        <w:rPr>
          <w:rStyle w:val="77"/>
          <w:rFonts w:hint="eastAsia" w:ascii="宋体" w:hAnsi="宋体" w:eastAsia="宋体" w:cs="宋体"/>
          <w:b w:val="0"/>
          <w:bCs w:val="0"/>
          <w:snapToGrid/>
          <w:color w:val="auto"/>
          <w:kern w:val="2"/>
          <w:sz w:val="21"/>
          <w:szCs w:val="21"/>
          <w:highlight w:val="none"/>
        </w:rPr>
        <w:t>https://www.zcygov.cn/）获取（下载）招标文件，并于</w:t>
      </w:r>
      <w:r>
        <w:rPr>
          <w:rFonts w:hint="eastAsia" w:ascii="宋体" w:hAnsi="宋体" w:eastAsia="宋体" w:cs="宋体"/>
          <w:b w:val="0"/>
          <w:bCs w:val="0"/>
          <w:i w:val="0"/>
          <w:iCs w:val="0"/>
          <w:color w:val="auto"/>
          <w:sz w:val="21"/>
          <w:szCs w:val="21"/>
          <w:highlight w:val="none"/>
          <w:u w:val="single"/>
        </w:rPr>
        <w:t>202</w:t>
      </w:r>
      <w:r>
        <w:rPr>
          <w:rFonts w:hint="eastAsia" w:ascii="宋体" w:hAnsi="宋体" w:eastAsia="宋体" w:cs="宋体"/>
          <w:b w:val="0"/>
          <w:bCs w:val="0"/>
          <w:i w:val="0"/>
          <w:iCs w:val="0"/>
          <w:color w:val="auto"/>
          <w:sz w:val="21"/>
          <w:szCs w:val="21"/>
          <w:highlight w:val="none"/>
          <w:u w:val="single"/>
          <w:lang w:val="en-US" w:eastAsia="zh-CN"/>
        </w:rPr>
        <w:t>5</w:t>
      </w:r>
      <w:r>
        <w:rPr>
          <w:rFonts w:hint="eastAsia" w:ascii="宋体" w:hAnsi="宋体" w:eastAsia="宋体" w:cs="宋体"/>
          <w:b w:val="0"/>
          <w:bCs w:val="0"/>
          <w:i w:val="0"/>
          <w:iCs w:val="0"/>
          <w:color w:val="auto"/>
          <w:sz w:val="21"/>
          <w:szCs w:val="21"/>
          <w:highlight w:val="none"/>
        </w:rPr>
        <w:t>年</w:t>
      </w:r>
      <w:r>
        <w:rPr>
          <w:rFonts w:hint="eastAsia" w:ascii="宋体" w:hAnsi="宋体" w:cs="宋体"/>
          <w:b w:val="0"/>
          <w:bCs w:val="0"/>
          <w:i w:val="0"/>
          <w:iCs w:val="0"/>
          <w:color w:val="auto"/>
          <w:sz w:val="21"/>
          <w:szCs w:val="21"/>
          <w:highlight w:val="none"/>
          <w:u w:val="single"/>
          <w:lang w:val="en-US" w:eastAsia="zh-CN"/>
        </w:rPr>
        <w:t>05</w:t>
      </w:r>
      <w:r>
        <w:rPr>
          <w:rFonts w:hint="eastAsia" w:ascii="宋体" w:hAnsi="宋体" w:eastAsia="宋体" w:cs="宋体"/>
          <w:b w:val="0"/>
          <w:bCs w:val="0"/>
          <w:i w:val="0"/>
          <w:iCs w:val="0"/>
          <w:color w:val="auto"/>
          <w:sz w:val="21"/>
          <w:szCs w:val="21"/>
          <w:highlight w:val="none"/>
        </w:rPr>
        <w:t>月</w:t>
      </w:r>
      <w:r>
        <w:rPr>
          <w:rFonts w:hint="eastAsia" w:ascii="宋体" w:hAnsi="宋体" w:cs="宋体"/>
          <w:b w:val="0"/>
          <w:bCs w:val="0"/>
          <w:i w:val="0"/>
          <w:iCs w:val="0"/>
          <w:color w:val="auto"/>
          <w:sz w:val="21"/>
          <w:szCs w:val="21"/>
          <w:highlight w:val="none"/>
          <w:u w:val="single"/>
          <w:lang w:val="en-US" w:eastAsia="zh-CN"/>
        </w:rPr>
        <w:t>29</w:t>
      </w:r>
      <w:r>
        <w:rPr>
          <w:rFonts w:hint="eastAsia" w:ascii="宋体" w:hAnsi="宋体" w:eastAsia="宋体" w:cs="宋体"/>
          <w:b w:val="0"/>
          <w:bCs w:val="0"/>
          <w:i w:val="0"/>
          <w:iCs w:val="0"/>
          <w:color w:val="auto"/>
          <w:sz w:val="21"/>
          <w:szCs w:val="21"/>
          <w:highlight w:val="none"/>
        </w:rPr>
        <w:t>日</w:t>
      </w:r>
      <w:r>
        <w:rPr>
          <w:rFonts w:hint="eastAsia" w:ascii="宋体" w:hAnsi="宋体" w:cs="宋体"/>
          <w:b w:val="0"/>
          <w:bCs w:val="0"/>
          <w:color w:val="000000"/>
          <w:szCs w:val="21"/>
          <w:highlight w:val="none"/>
          <w:u w:val="single"/>
          <w:lang w:val="en-US" w:eastAsia="zh-CN"/>
        </w:rPr>
        <w:t>13</w:t>
      </w:r>
      <w:r>
        <w:rPr>
          <w:rFonts w:hint="eastAsia" w:ascii="宋体" w:hAnsi="宋体" w:eastAsia="宋体" w:cs="宋体"/>
          <w:b w:val="0"/>
          <w:bCs w:val="0"/>
          <w:color w:val="000000"/>
          <w:szCs w:val="21"/>
          <w:highlight w:val="none"/>
        </w:rPr>
        <w:t>时</w:t>
      </w:r>
      <w:r>
        <w:rPr>
          <w:rFonts w:hint="eastAsia" w:ascii="宋体" w:hAnsi="宋体" w:cs="宋体"/>
          <w:b w:val="0"/>
          <w:bCs w:val="0"/>
          <w:color w:val="000000"/>
          <w:szCs w:val="21"/>
          <w:highlight w:val="none"/>
          <w:u w:val="single"/>
          <w:lang w:val="en-US" w:eastAsia="zh-CN"/>
        </w:rPr>
        <w:t>30</w:t>
      </w:r>
      <w:r>
        <w:rPr>
          <w:rFonts w:hint="eastAsia" w:ascii="宋体" w:hAnsi="宋体" w:cs="宋体"/>
          <w:b w:val="0"/>
          <w:bCs w:val="0"/>
          <w:color w:val="000000"/>
          <w:szCs w:val="21"/>
          <w:highlight w:val="none"/>
          <w:u w:val="none"/>
          <w:lang w:val="en-US" w:eastAsia="zh-CN"/>
        </w:rPr>
        <w:t>分</w:t>
      </w:r>
      <w:r>
        <w:rPr>
          <w:rFonts w:hint="eastAsia" w:ascii="宋体" w:hAnsi="宋体" w:eastAsia="宋体" w:cs="宋体"/>
          <w:b w:val="0"/>
          <w:bCs w:val="0"/>
          <w:i w:val="0"/>
          <w:iCs w:val="0"/>
          <w:color w:val="auto"/>
          <w:sz w:val="21"/>
          <w:szCs w:val="21"/>
          <w:highlight w:val="none"/>
        </w:rPr>
        <w:t>（北京时间）</w:t>
      </w:r>
      <w:r>
        <w:rPr>
          <w:rStyle w:val="77"/>
          <w:rFonts w:hint="eastAsia" w:ascii="宋体" w:hAnsi="宋体" w:eastAsia="宋体" w:cs="宋体"/>
          <w:b w:val="0"/>
          <w:bCs w:val="0"/>
          <w:snapToGrid/>
          <w:color w:val="auto"/>
          <w:kern w:val="2"/>
          <w:sz w:val="21"/>
          <w:szCs w:val="21"/>
          <w:highlight w:val="none"/>
        </w:rPr>
        <w:fldChar w:fldCharType="end"/>
      </w:r>
      <w:r>
        <w:rPr>
          <w:rFonts w:hint="eastAsia" w:ascii="宋体" w:hAnsi="宋体" w:eastAsia="宋体" w:cs="宋体"/>
          <w:b w:val="0"/>
          <w:bCs w:val="0"/>
          <w:color w:val="auto"/>
          <w:sz w:val="21"/>
          <w:szCs w:val="21"/>
          <w:highlight w:val="none"/>
        </w:rPr>
        <w:t>前</w:t>
      </w:r>
      <w:r>
        <w:rPr>
          <w:rFonts w:hint="eastAsia" w:ascii="宋体" w:hAnsi="宋体" w:eastAsia="宋体" w:cs="宋体"/>
          <w:color w:val="auto"/>
          <w:sz w:val="21"/>
          <w:szCs w:val="21"/>
          <w:highlight w:val="none"/>
        </w:rPr>
        <w:t>递交（上传）投标文件。</w:t>
      </w:r>
    </w:p>
    <w:p w14:paraId="7A0953ED">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14:paraId="4F72E209">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cs="宋体"/>
          <w:color w:val="auto"/>
          <w:sz w:val="21"/>
          <w:szCs w:val="21"/>
          <w:highlight w:val="none"/>
          <w:lang w:eastAsia="zh-CN"/>
        </w:rPr>
        <w:t>NBSD2025-012-1</w:t>
      </w:r>
    </w:p>
    <w:p w14:paraId="257818BD">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ascii="宋体" w:hAnsi="宋体" w:cs="宋体"/>
          <w:color w:val="auto"/>
          <w:sz w:val="21"/>
          <w:szCs w:val="21"/>
          <w:highlight w:val="none"/>
          <w:lang w:eastAsia="zh-CN"/>
        </w:rPr>
        <w:t>宁海强对流天气秒预警工程（重招）</w:t>
      </w:r>
    </w:p>
    <w:p w14:paraId="3C5FFBB5">
      <w:pPr>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预算金额（元）：</w:t>
      </w:r>
      <w:r>
        <w:rPr>
          <w:rFonts w:hint="eastAsia" w:ascii="宋体" w:hAnsi="宋体" w:eastAsia="宋体" w:cs="宋体"/>
          <w:b w:val="0"/>
          <w:bCs/>
          <w:color w:val="auto"/>
          <w:sz w:val="21"/>
          <w:szCs w:val="21"/>
          <w:highlight w:val="none"/>
          <w:lang w:val="en-US" w:eastAsia="zh-CN"/>
        </w:rPr>
        <w:t>427000.00</w:t>
      </w:r>
    </w:p>
    <w:p w14:paraId="2DD69580">
      <w:pPr>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最高限价（元）：</w:t>
      </w:r>
      <w:r>
        <w:rPr>
          <w:rFonts w:hint="eastAsia" w:ascii="宋体" w:hAnsi="宋体" w:eastAsia="宋体" w:cs="宋体"/>
          <w:b w:val="0"/>
          <w:bCs/>
          <w:color w:val="auto"/>
          <w:sz w:val="21"/>
          <w:szCs w:val="21"/>
          <w:highlight w:val="none"/>
          <w:lang w:val="en-US" w:eastAsia="zh-CN"/>
        </w:rPr>
        <w:t>427000.00</w:t>
      </w:r>
    </w:p>
    <w:p w14:paraId="788E7FA5">
      <w:pPr>
        <w:pStyle w:val="16"/>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p w14:paraId="2F6E567B">
      <w:pPr>
        <w:pStyle w:val="16"/>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Cs/>
          <w:snapToGrid/>
          <w:color w:val="auto"/>
          <w:kern w:val="2"/>
          <w:sz w:val="21"/>
          <w:szCs w:val="21"/>
          <w:highlight w:val="none"/>
          <w:lang w:eastAsia="zh-CN"/>
        </w:rPr>
        <w:t>标项名称：</w:t>
      </w:r>
      <w:r>
        <w:rPr>
          <w:rFonts w:hint="eastAsia" w:hAnsi="宋体" w:cs="宋体"/>
          <w:color w:val="auto"/>
          <w:sz w:val="21"/>
          <w:szCs w:val="21"/>
          <w:highlight w:val="none"/>
          <w:lang w:eastAsia="zh-CN"/>
        </w:rPr>
        <w:t>宁海强对流天气秒预警工程（重招）</w:t>
      </w:r>
    </w:p>
    <w:p w14:paraId="7E293100">
      <w:pPr>
        <w:pStyle w:val="16"/>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Cs/>
          <w:snapToGrid/>
          <w:color w:val="auto"/>
          <w:kern w:val="2"/>
          <w:sz w:val="21"/>
          <w:szCs w:val="21"/>
          <w:highlight w:val="none"/>
          <w:lang w:val="en-US" w:eastAsia="zh-CN"/>
        </w:rPr>
      </w:pPr>
      <w:r>
        <w:rPr>
          <w:rFonts w:hint="eastAsia" w:ascii="宋体" w:hAnsi="宋体" w:eastAsia="宋体" w:cs="宋体"/>
          <w:bCs/>
          <w:snapToGrid/>
          <w:color w:val="auto"/>
          <w:kern w:val="2"/>
          <w:sz w:val="21"/>
          <w:szCs w:val="21"/>
          <w:highlight w:val="none"/>
          <w:lang w:eastAsia="zh-CN"/>
        </w:rPr>
        <w:t>数量：</w:t>
      </w:r>
      <w:r>
        <w:rPr>
          <w:rFonts w:hint="eastAsia" w:ascii="宋体" w:hAnsi="宋体" w:eastAsia="宋体" w:cs="宋体"/>
          <w:bCs/>
          <w:snapToGrid/>
          <w:color w:val="auto"/>
          <w:kern w:val="2"/>
          <w:sz w:val="21"/>
          <w:szCs w:val="21"/>
          <w:highlight w:val="none"/>
          <w:lang w:val="en-US" w:eastAsia="zh-CN"/>
        </w:rPr>
        <w:t>1项</w:t>
      </w:r>
    </w:p>
    <w:p w14:paraId="42A569AC">
      <w:pPr>
        <w:pStyle w:val="16"/>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Cs/>
          <w:snapToGrid/>
          <w:color w:val="auto"/>
          <w:kern w:val="2"/>
          <w:sz w:val="21"/>
          <w:szCs w:val="21"/>
          <w:highlight w:val="none"/>
          <w:lang w:eastAsia="zh-CN"/>
        </w:rPr>
      </w:pPr>
      <w:r>
        <w:rPr>
          <w:rFonts w:hint="eastAsia" w:ascii="宋体" w:hAnsi="宋体" w:eastAsia="宋体" w:cs="宋体"/>
          <w:bCs/>
          <w:snapToGrid/>
          <w:color w:val="auto"/>
          <w:kern w:val="2"/>
          <w:sz w:val="21"/>
          <w:szCs w:val="21"/>
          <w:highlight w:val="none"/>
          <w:lang w:eastAsia="zh-CN"/>
        </w:rPr>
        <w:t>预算金额（元）：</w:t>
      </w:r>
      <w:r>
        <w:rPr>
          <w:rFonts w:hint="eastAsia" w:ascii="宋体" w:hAnsi="宋体" w:eastAsia="宋体" w:cs="宋体"/>
          <w:b w:val="0"/>
          <w:bCs/>
          <w:color w:val="auto"/>
          <w:sz w:val="21"/>
          <w:szCs w:val="21"/>
          <w:highlight w:val="none"/>
          <w:lang w:val="en-US" w:eastAsia="zh-CN"/>
        </w:rPr>
        <w:t>427000.00</w:t>
      </w:r>
    </w:p>
    <w:p w14:paraId="2B748A8C">
      <w:pPr>
        <w:pStyle w:val="16"/>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Cs/>
          <w:snapToGrid/>
          <w:color w:val="auto"/>
          <w:kern w:val="2"/>
          <w:sz w:val="21"/>
          <w:szCs w:val="21"/>
          <w:highlight w:val="none"/>
          <w:lang w:eastAsia="zh-CN"/>
        </w:rPr>
      </w:pPr>
      <w:r>
        <w:rPr>
          <w:rFonts w:hint="eastAsia" w:ascii="宋体" w:hAnsi="宋体" w:eastAsia="宋体" w:cs="宋体"/>
          <w:bCs/>
          <w:snapToGrid/>
          <w:color w:val="auto"/>
          <w:kern w:val="2"/>
          <w:sz w:val="21"/>
          <w:szCs w:val="21"/>
          <w:highlight w:val="none"/>
          <w:lang w:eastAsia="zh-CN"/>
        </w:rPr>
        <w:t>简要规格描述或项目基本概况介绍、用途：</w:t>
      </w:r>
      <w:r>
        <w:rPr>
          <w:rFonts w:hint="eastAsia" w:hAnsi="宋体" w:cs="宋体"/>
          <w:color w:val="auto"/>
          <w:sz w:val="21"/>
          <w:szCs w:val="21"/>
          <w:highlight w:val="none"/>
          <w:u w:val="none"/>
          <w:lang w:eastAsia="zh-CN"/>
        </w:rPr>
        <w:t>宁海强对流天气秒预警工程（重招）</w:t>
      </w:r>
      <w:r>
        <w:rPr>
          <w:rFonts w:hint="eastAsia" w:hAnsi="宋体" w:cs="宋体"/>
          <w:color w:val="auto"/>
          <w:sz w:val="21"/>
          <w:szCs w:val="21"/>
          <w:highlight w:val="none"/>
          <w:u w:val="none"/>
          <w:lang w:val="en-US" w:eastAsia="zh-CN"/>
        </w:rPr>
        <w:t>的</w:t>
      </w:r>
      <w:r>
        <w:rPr>
          <w:rFonts w:hint="eastAsia" w:ascii="宋体" w:hAnsi="宋体" w:eastAsia="宋体" w:cs="宋体"/>
          <w:b w:val="0"/>
          <w:bCs/>
          <w:color w:val="auto"/>
          <w:sz w:val="21"/>
          <w:szCs w:val="21"/>
          <w:highlight w:val="none"/>
          <w:u w:val="none"/>
          <w:lang w:eastAsia="zh-CN"/>
        </w:rPr>
        <w:t>系统开发、部署安装、实施建设</w:t>
      </w:r>
      <w:r>
        <w:rPr>
          <w:rFonts w:hint="eastAsia" w:hAnsi="宋体" w:cs="宋体"/>
          <w:b w:val="0"/>
          <w:bCs/>
          <w:color w:val="auto"/>
          <w:sz w:val="21"/>
          <w:szCs w:val="21"/>
          <w:highlight w:val="none"/>
          <w:u w:val="none"/>
          <w:lang w:val="en-US" w:eastAsia="zh-CN"/>
        </w:rPr>
        <w:t>以及后续的运维服务等，具体</w:t>
      </w:r>
      <w:r>
        <w:rPr>
          <w:rFonts w:hint="eastAsia" w:ascii="宋体" w:hAnsi="宋体" w:eastAsia="宋体" w:cs="宋体"/>
          <w:bCs/>
          <w:snapToGrid/>
          <w:color w:val="auto"/>
          <w:kern w:val="2"/>
          <w:sz w:val="21"/>
          <w:szCs w:val="21"/>
          <w:highlight w:val="none"/>
          <w:lang w:eastAsia="zh-CN"/>
        </w:rPr>
        <w:t>详见《第三部分</w:t>
      </w:r>
      <w:r>
        <w:rPr>
          <w:rFonts w:hint="eastAsia" w:ascii="宋体" w:hAnsi="宋体" w:eastAsia="宋体" w:cs="宋体"/>
          <w:bCs/>
          <w:snapToGrid/>
          <w:color w:val="auto"/>
          <w:kern w:val="2"/>
          <w:sz w:val="21"/>
          <w:szCs w:val="21"/>
          <w:highlight w:val="none"/>
          <w:lang w:val="en-US" w:eastAsia="zh-CN"/>
        </w:rPr>
        <w:t xml:space="preserve"> </w:t>
      </w:r>
      <w:r>
        <w:rPr>
          <w:rFonts w:hint="eastAsia" w:ascii="宋体" w:hAnsi="宋体" w:eastAsia="宋体" w:cs="宋体"/>
          <w:bCs/>
          <w:snapToGrid/>
          <w:color w:val="auto"/>
          <w:kern w:val="2"/>
          <w:sz w:val="21"/>
          <w:szCs w:val="21"/>
          <w:highlight w:val="none"/>
          <w:lang w:eastAsia="zh-CN"/>
        </w:rPr>
        <w:t>采购需求》。</w:t>
      </w:r>
    </w:p>
    <w:p w14:paraId="418D2378">
      <w:pPr>
        <w:pStyle w:val="16"/>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Cs/>
          <w:snapToGrid/>
          <w:color w:val="auto"/>
          <w:kern w:val="2"/>
          <w:sz w:val="21"/>
          <w:szCs w:val="21"/>
          <w:highlight w:val="none"/>
          <w:lang w:eastAsia="zh-CN"/>
        </w:rPr>
      </w:pPr>
      <w:r>
        <w:rPr>
          <w:rFonts w:hint="eastAsia" w:ascii="宋体" w:hAnsi="宋体" w:eastAsia="宋体" w:cs="宋体"/>
          <w:bCs/>
          <w:snapToGrid/>
          <w:color w:val="auto"/>
          <w:kern w:val="2"/>
          <w:sz w:val="21"/>
          <w:szCs w:val="21"/>
          <w:highlight w:val="none"/>
          <w:lang w:eastAsia="zh-CN"/>
        </w:rPr>
        <w:t>备注：</w:t>
      </w:r>
    </w:p>
    <w:p w14:paraId="6BFF32F1">
      <w:pPr>
        <w:pStyle w:val="137"/>
        <w:keepNext w:val="0"/>
        <w:keepLines w:val="0"/>
        <w:pageBreakBefore w:val="0"/>
        <w:shd w:val="clear"/>
        <w:kinsoku/>
        <w:wordWrap/>
        <w:overflowPunct/>
        <w:topLinePunct w:val="0"/>
        <w:autoSpaceDE/>
        <w:autoSpaceDN/>
        <w:bidi w:val="0"/>
        <w:adjustRightInd w:val="0"/>
        <w:spacing w:before="0" w:line="360" w:lineRule="auto"/>
        <w:ind w:firstLine="482"/>
        <w:textAlignment w:val="auto"/>
        <w:outlineLvl w:val="9"/>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
          <w:color w:val="auto"/>
          <w:sz w:val="21"/>
          <w:szCs w:val="21"/>
          <w:highlight w:val="none"/>
        </w:rPr>
        <w:t>合同履约期限：</w:t>
      </w:r>
      <w:r>
        <w:rPr>
          <w:rFonts w:hint="eastAsia" w:ascii="宋体" w:hAnsi="宋体" w:eastAsia="宋体" w:cs="宋体"/>
          <w:b w:val="0"/>
          <w:bCs/>
          <w:color w:val="auto"/>
          <w:sz w:val="21"/>
          <w:szCs w:val="21"/>
          <w:highlight w:val="none"/>
          <w:u w:val="single"/>
          <w:lang w:val="en-US" w:eastAsia="zh-CN"/>
        </w:rPr>
        <w:t>2</w:t>
      </w:r>
      <w:r>
        <w:rPr>
          <w:rFonts w:hint="eastAsia" w:ascii="宋体" w:hAnsi="宋体" w:eastAsia="宋体" w:cs="宋体"/>
          <w:b w:val="0"/>
          <w:bCs/>
          <w:color w:val="auto"/>
          <w:sz w:val="21"/>
          <w:szCs w:val="21"/>
          <w:highlight w:val="none"/>
          <w:u w:val="single"/>
          <w:lang w:eastAsia="zh-CN"/>
        </w:rPr>
        <w:t>025年</w:t>
      </w:r>
      <w:r>
        <w:rPr>
          <w:rFonts w:hint="eastAsia" w:ascii="宋体" w:hAnsi="宋体" w:eastAsia="宋体" w:cs="宋体"/>
          <w:b w:val="0"/>
          <w:bCs/>
          <w:color w:val="auto"/>
          <w:sz w:val="21"/>
          <w:szCs w:val="21"/>
          <w:highlight w:val="none"/>
          <w:u w:val="single"/>
          <w:lang w:val="en-US" w:eastAsia="zh-CN"/>
        </w:rPr>
        <w:t>8</w:t>
      </w:r>
      <w:r>
        <w:rPr>
          <w:rFonts w:hint="eastAsia" w:ascii="宋体" w:hAnsi="宋体" w:eastAsia="宋体" w:cs="宋体"/>
          <w:b w:val="0"/>
          <w:bCs/>
          <w:color w:val="auto"/>
          <w:sz w:val="21"/>
          <w:szCs w:val="21"/>
          <w:highlight w:val="none"/>
          <w:u w:val="single"/>
          <w:lang w:eastAsia="zh-CN"/>
        </w:rPr>
        <w:t>月</w:t>
      </w:r>
      <w:r>
        <w:rPr>
          <w:rFonts w:hint="eastAsia" w:ascii="宋体" w:hAnsi="宋体" w:eastAsia="宋体" w:cs="宋体"/>
          <w:b w:val="0"/>
          <w:bCs/>
          <w:color w:val="auto"/>
          <w:sz w:val="21"/>
          <w:szCs w:val="21"/>
          <w:highlight w:val="none"/>
          <w:u w:val="single"/>
          <w:lang w:val="en-US" w:eastAsia="zh-CN"/>
        </w:rPr>
        <w:t>3</w:t>
      </w:r>
      <w:r>
        <w:rPr>
          <w:rFonts w:hint="eastAsia" w:ascii="宋体" w:hAnsi="宋体" w:eastAsia="宋体" w:cs="宋体"/>
          <w:b w:val="0"/>
          <w:bCs/>
          <w:color w:val="auto"/>
          <w:sz w:val="21"/>
          <w:szCs w:val="21"/>
          <w:highlight w:val="none"/>
          <w:u w:val="single"/>
          <w:lang w:eastAsia="zh-CN"/>
        </w:rPr>
        <w:t>1日前完成平台系统开发、部署安装、实施建设</w:t>
      </w:r>
      <w:r>
        <w:rPr>
          <w:rFonts w:hint="eastAsia" w:ascii="宋体" w:hAnsi="宋体" w:eastAsia="宋体" w:cs="宋体"/>
          <w:b w:val="0"/>
          <w:bCs/>
          <w:color w:val="auto"/>
          <w:sz w:val="21"/>
          <w:szCs w:val="21"/>
          <w:highlight w:val="none"/>
          <w:u w:val="single"/>
          <w:lang w:val="en-US" w:eastAsia="zh-CN"/>
        </w:rPr>
        <w:t>；2025年12月31日前完成</w:t>
      </w:r>
      <w:r>
        <w:rPr>
          <w:rFonts w:hint="eastAsia" w:ascii="宋体" w:hAnsi="宋体" w:eastAsia="宋体" w:cs="宋体"/>
          <w:b w:val="0"/>
          <w:bCs/>
          <w:color w:val="auto"/>
          <w:sz w:val="21"/>
          <w:szCs w:val="21"/>
          <w:highlight w:val="none"/>
          <w:u w:val="single"/>
          <w:lang w:eastAsia="zh-CN"/>
        </w:rPr>
        <w:t>试运行</w:t>
      </w:r>
      <w:r>
        <w:rPr>
          <w:rFonts w:hint="eastAsia" w:ascii="宋体" w:hAnsi="宋体" w:eastAsia="宋体" w:cs="宋体"/>
          <w:b w:val="0"/>
          <w:bCs/>
          <w:color w:val="auto"/>
          <w:sz w:val="21"/>
          <w:szCs w:val="21"/>
          <w:highlight w:val="none"/>
          <w:u w:val="single"/>
          <w:lang w:val="en-US" w:eastAsia="zh-CN"/>
        </w:rPr>
        <w:t>及</w:t>
      </w:r>
      <w:r>
        <w:rPr>
          <w:rFonts w:hint="eastAsia" w:ascii="宋体" w:hAnsi="宋体" w:eastAsia="宋体" w:cs="宋体"/>
          <w:b w:val="0"/>
          <w:bCs/>
          <w:color w:val="auto"/>
          <w:sz w:val="21"/>
          <w:szCs w:val="21"/>
          <w:highlight w:val="none"/>
          <w:u w:val="single"/>
          <w:lang w:eastAsia="zh-CN"/>
        </w:rPr>
        <w:t>最终验收</w:t>
      </w:r>
      <w:r>
        <w:rPr>
          <w:rFonts w:hint="eastAsia" w:ascii="宋体" w:hAnsi="宋体" w:eastAsia="宋体" w:cs="宋体"/>
          <w:b w:val="0"/>
          <w:bCs/>
          <w:color w:val="auto"/>
          <w:sz w:val="21"/>
          <w:szCs w:val="21"/>
          <w:highlight w:val="none"/>
          <w:u w:val="single"/>
          <w:lang w:val="en-US" w:eastAsia="zh-CN"/>
        </w:rPr>
        <w:t>工作</w:t>
      </w:r>
      <w:r>
        <w:rPr>
          <w:rFonts w:hint="eastAsia" w:ascii="宋体" w:hAnsi="宋体" w:eastAsia="宋体" w:cs="宋体"/>
          <w:b w:val="0"/>
          <w:bCs/>
          <w:color w:val="auto"/>
          <w:sz w:val="21"/>
          <w:szCs w:val="21"/>
          <w:highlight w:val="none"/>
          <w:u w:val="single"/>
          <w:lang w:eastAsia="zh-CN"/>
        </w:rPr>
        <w:t>，最终验收合格后开始计算售后</w:t>
      </w:r>
      <w:r>
        <w:rPr>
          <w:rFonts w:hint="eastAsia" w:ascii="宋体" w:hAnsi="宋体" w:eastAsia="宋体" w:cs="宋体"/>
          <w:b w:val="0"/>
          <w:bCs/>
          <w:color w:val="auto"/>
          <w:sz w:val="21"/>
          <w:szCs w:val="21"/>
          <w:highlight w:val="none"/>
          <w:u w:val="single"/>
          <w:lang w:val="en-US" w:eastAsia="zh-CN"/>
        </w:rPr>
        <w:t>运维</w:t>
      </w:r>
      <w:r>
        <w:rPr>
          <w:rFonts w:hint="eastAsia" w:ascii="宋体" w:hAnsi="宋体" w:eastAsia="宋体" w:cs="宋体"/>
          <w:b w:val="0"/>
          <w:bCs/>
          <w:color w:val="auto"/>
          <w:sz w:val="21"/>
          <w:szCs w:val="21"/>
          <w:highlight w:val="none"/>
          <w:u w:val="single"/>
          <w:lang w:eastAsia="zh-CN"/>
        </w:rPr>
        <w:t>服务期，</w:t>
      </w:r>
      <w:r>
        <w:rPr>
          <w:rFonts w:hint="eastAsia" w:ascii="宋体" w:hAnsi="宋体" w:eastAsia="宋体" w:cs="宋体"/>
          <w:b w:val="0"/>
          <w:bCs/>
          <w:color w:val="auto"/>
          <w:sz w:val="21"/>
          <w:szCs w:val="21"/>
          <w:highlight w:val="none"/>
          <w:u w:val="single"/>
          <w:lang w:val="en-US" w:eastAsia="zh-CN"/>
        </w:rPr>
        <w:t>售后运维</w:t>
      </w:r>
      <w:r>
        <w:rPr>
          <w:rFonts w:hint="eastAsia" w:ascii="宋体" w:hAnsi="宋体" w:eastAsia="宋体" w:cs="宋体"/>
          <w:b w:val="0"/>
          <w:bCs/>
          <w:color w:val="auto"/>
          <w:sz w:val="21"/>
          <w:szCs w:val="21"/>
          <w:highlight w:val="none"/>
          <w:u w:val="single"/>
          <w:lang w:eastAsia="zh-CN"/>
        </w:rPr>
        <w:t>服务期</w:t>
      </w:r>
      <w:r>
        <w:rPr>
          <w:rFonts w:hint="eastAsia" w:ascii="宋体" w:hAnsi="宋体" w:cs="宋体"/>
          <w:b w:val="0"/>
          <w:bCs/>
          <w:color w:val="auto"/>
          <w:sz w:val="21"/>
          <w:szCs w:val="21"/>
          <w:highlight w:val="none"/>
          <w:u w:val="single"/>
          <w:lang w:val="en-US" w:eastAsia="zh-CN"/>
        </w:rPr>
        <w:t>三</w:t>
      </w:r>
      <w:r>
        <w:rPr>
          <w:rFonts w:hint="eastAsia" w:ascii="宋体" w:hAnsi="宋体" w:eastAsia="宋体" w:cs="宋体"/>
          <w:b w:val="0"/>
          <w:bCs/>
          <w:color w:val="auto"/>
          <w:sz w:val="21"/>
          <w:szCs w:val="21"/>
          <w:highlight w:val="none"/>
          <w:u w:val="single"/>
          <w:lang w:eastAsia="zh-CN"/>
        </w:rPr>
        <w:t>年</w:t>
      </w:r>
      <w:r>
        <w:rPr>
          <w:rFonts w:hint="eastAsia" w:ascii="宋体" w:hAnsi="宋体" w:eastAsia="宋体" w:cs="宋体"/>
          <w:b w:val="0"/>
          <w:bCs/>
          <w:color w:val="auto"/>
          <w:sz w:val="21"/>
          <w:szCs w:val="21"/>
          <w:highlight w:val="none"/>
          <w:lang w:eastAsia="zh-CN"/>
        </w:rPr>
        <w:t>。</w:t>
      </w:r>
    </w:p>
    <w:p w14:paraId="7DB7F934">
      <w:pPr>
        <w:pStyle w:val="16"/>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本项目接受联合体投标：</w:t>
      </w:r>
      <w:sdt>
        <w:sdtPr>
          <w:rPr>
            <w:rFonts w:hint="eastAsia" w:ascii="宋体" w:hAnsi="宋体" w:eastAsia="宋体" w:cs="宋体"/>
            <w:color w:val="auto"/>
            <w:kern w:val="0"/>
            <w:sz w:val="21"/>
            <w:szCs w:val="21"/>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snapToGrid w:val="0"/>
              <w:color w:val="auto"/>
              <w:kern w:val="0"/>
              <w:sz w:val="21"/>
              <w:szCs w:val="21"/>
              <w:highlight w:val="none"/>
              <w:lang w:val="en-US" w:eastAsia="zh-CN" w:bidi="ar-SA"/>
            </w:rPr>
            <w:t>☐</w:t>
          </w:r>
        </w:sdtContent>
      </w:sdt>
      <w:r>
        <w:rPr>
          <w:rFonts w:hint="eastAsia" w:ascii="宋体" w:hAnsi="宋体" w:eastAsia="宋体" w:cs="宋体"/>
          <w:b/>
          <w:color w:val="auto"/>
          <w:sz w:val="21"/>
          <w:szCs w:val="21"/>
          <w:highlight w:val="none"/>
        </w:rPr>
        <w:t>是；</w:t>
      </w:r>
      <w:sdt>
        <w:sdtPr>
          <w:rPr>
            <w:rFonts w:hint="eastAsia" w:ascii="宋体" w:hAnsi="宋体" w:eastAsia="宋体" w:cs="宋体"/>
            <w:color w:val="auto"/>
            <w:kern w:val="0"/>
            <w:sz w:val="21"/>
            <w:szCs w:val="21"/>
            <w:highlight w:val="none"/>
          </w:rPr>
          <w:id w:val="147452895"/>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snapToGrid w:val="0"/>
              <w:color w:val="auto"/>
              <w:kern w:val="0"/>
              <w:sz w:val="21"/>
              <w:szCs w:val="21"/>
              <w:highlight w:val="none"/>
              <w:lang w:val="en-US" w:eastAsia="zh-CN" w:bidi="ar-SA"/>
            </w:rPr>
            <w:t>þ</w:t>
          </w:r>
        </w:sdtContent>
      </w:sdt>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6C285E02">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5CABBC2D">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1.满足《中华人民共和国政府采购法》第二十二条规定；未被“信用中国”（www.creditchina.gov.cn</w:t>
      </w:r>
      <w:r>
        <w:rPr>
          <w:rFonts w:hint="eastAsia" w:ascii="宋体" w:hAnsi="宋体" w:eastAsia="宋体" w:cs="宋体"/>
          <w:snapToGrid w:val="0"/>
          <w:color w:val="auto"/>
          <w:kern w:val="28"/>
          <w:sz w:val="21"/>
          <w:szCs w:val="21"/>
          <w:highlight w:val="none"/>
          <w:lang w:eastAsia="zh-CN"/>
        </w:rPr>
        <w:t>）</w:t>
      </w:r>
      <w:r>
        <w:rPr>
          <w:rFonts w:hint="eastAsia" w:ascii="宋体" w:hAnsi="宋体" w:eastAsia="宋体" w:cs="宋体"/>
          <w:snapToGrid w:val="0"/>
          <w:color w:val="auto"/>
          <w:kern w:val="28"/>
          <w:sz w:val="21"/>
          <w:szCs w:val="21"/>
          <w:highlight w:val="none"/>
        </w:rPr>
        <w:t>、中国政府采购网（www.ccgp.gov.cn）列入失信被执行人、重大税收违法案件当事人名单、政府采购严重违法失信行为记录名单；</w:t>
      </w:r>
    </w:p>
    <w:p w14:paraId="45F5E62E">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2.落实政府采购政策需满足的资格要求：</w:t>
      </w:r>
    </w:p>
    <w:p w14:paraId="274958BA">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color w:val="auto"/>
          <w:sz w:val="21"/>
          <w:szCs w:val="21"/>
          <w:highlight w:val="none"/>
        </w:rPr>
        <w:t>无</w:t>
      </w:r>
    </w:p>
    <w:p w14:paraId="637930D8">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756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专</w:t>
      </w:r>
      <w:r>
        <w:rPr>
          <w:rFonts w:hint="eastAsia" w:ascii="宋体" w:hAnsi="宋体" w:eastAsia="宋体" w:cs="宋体"/>
          <w:color w:val="auto"/>
          <w:sz w:val="21"/>
          <w:szCs w:val="21"/>
          <w:highlight w:val="none"/>
        </w:rPr>
        <w:t>门面向中小企业</w:t>
      </w:r>
    </w:p>
    <w:p w14:paraId="50898BB2">
      <w:pPr>
        <w:keepNext w:val="0"/>
        <w:keepLines w:val="0"/>
        <w:pageBreakBefore w:val="0"/>
        <w:kinsoku/>
        <w:wordWrap/>
        <w:overflowPunct/>
        <w:topLinePunct w:val="0"/>
        <w:autoSpaceDE/>
        <w:autoSpaceDN/>
        <w:bidi w:val="0"/>
        <w:adjustRightInd w:val="0"/>
        <w:spacing w:line="360" w:lineRule="auto"/>
        <w:ind w:firstLine="785" w:firstLineChars="374"/>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023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sz w:val="21"/>
          <w:szCs w:val="21"/>
          <w:highlight w:val="none"/>
        </w:rPr>
        <w:t>服务全部由符合政策要求的中小企业承接，提供中小企业声明函；</w:t>
      </w:r>
    </w:p>
    <w:p w14:paraId="297CD64B">
      <w:pPr>
        <w:keepNext w:val="0"/>
        <w:keepLines w:val="0"/>
        <w:pageBreakBefore w:val="0"/>
        <w:kinsoku/>
        <w:wordWrap/>
        <w:overflowPunct/>
        <w:topLinePunct w:val="0"/>
        <w:autoSpaceDE/>
        <w:autoSpaceDN/>
        <w:bidi w:val="0"/>
        <w:adjustRightInd w:val="0"/>
        <w:spacing w:line="360" w:lineRule="auto"/>
        <w:ind w:firstLine="785" w:firstLineChars="374"/>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5803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服务全部由符合政策要求的小微企业承接，提供中小企业声明函；</w:t>
      </w:r>
    </w:p>
    <w:p w14:paraId="53330AD8">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5995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color w:val="auto"/>
          <w:sz w:val="21"/>
          <w:szCs w:val="21"/>
          <w:highlight w:val="none"/>
        </w:rPr>
        <w:t>要求以联合体形式参加，提供联合协议和中小企业声明函，联合协议中中小企业合同金额应当达到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1"/>
          <w:szCs w:val="21"/>
          <w:highlight w:val="none"/>
        </w:rPr>
        <w:t>；</w:t>
      </w:r>
    </w:p>
    <w:p w14:paraId="726FC4CA">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要求合同分包，提供分包意向协议和中小企业声明函，分包意向协议中中小企业合同金额应当达到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1"/>
          <w:szCs w:val="21"/>
          <w:highlight w:val="none"/>
        </w:rPr>
        <w:t>；</w:t>
      </w:r>
    </w:p>
    <w:p w14:paraId="763B6C9D">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val="en-US" w:eastAsia="zh-CN"/>
        </w:rPr>
        <w:t>无。</w:t>
      </w:r>
    </w:p>
    <w:p w14:paraId="4FDEAAB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1CB55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224CF6C6">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三、获取招标文件</w:t>
      </w:r>
    </w:p>
    <w:p w14:paraId="3CFE598B">
      <w:pPr>
        <w:keepNext w:val="0"/>
        <w:keepLines w:val="0"/>
        <w:pageBreakBefore w:val="0"/>
        <w:kinsoku/>
        <w:wordWrap/>
        <w:overflowPunct/>
        <w:topLinePunct w:val="0"/>
        <w:autoSpaceDE/>
        <w:autoSpaceDN/>
        <w:bidi w:val="0"/>
        <w:adjustRightInd w:val="0"/>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b w:val="0"/>
          <w:bCs w:val="0"/>
          <w:i w:val="0"/>
          <w:iCs w:val="0"/>
          <w:color w:val="auto"/>
          <w:sz w:val="21"/>
          <w:szCs w:val="21"/>
          <w:highlight w:val="none"/>
          <w:u w:val="single"/>
        </w:rPr>
        <w:t>202</w:t>
      </w:r>
      <w:r>
        <w:rPr>
          <w:rFonts w:hint="eastAsia" w:ascii="宋体" w:hAnsi="宋体" w:eastAsia="宋体" w:cs="宋体"/>
          <w:b w:val="0"/>
          <w:bCs w:val="0"/>
          <w:i w:val="0"/>
          <w:iCs w:val="0"/>
          <w:color w:val="auto"/>
          <w:sz w:val="21"/>
          <w:szCs w:val="21"/>
          <w:highlight w:val="none"/>
          <w:u w:val="single"/>
          <w:lang w:val="en-US" w:eastAsia="zh-CN"/>
        </w:rPr>
        <w:t>5</w:t>
      </w:r>
      <w:r>
        <w:rPr>
          <w:rFonts w:hint="eastAsia" w:ascii="宋体" w:hAnsi="宋体" w:eastAsia="宋体" w:cs="宋体"/>
          <w:b w:val="0"/>
          <w:bCs w:val="0"/>
          <w:i w:val="0"/>
          <w:iCs w:val="0"/>
          <w:color w:val="auto"/>
          <w:sz w:val="21"/>
          <w:szCs w:val="21"/>
          <w:highlight w:val="none"/>
        </w:rPr>
        <w:t>年</w:t>
      </w:r>
      <w:r>
        <w:rPr>
          <w:rFonts w:hint="eastAsia" w:ascii="宋体" w:hAnsi="宋体" w:cs="宋体"/>
          <w:b w:val="0"/>
          <w:bCs w:val="0"/>
          <w:i w:val="0"/>
          <w:iCs w:val="0"/>
          <w:color w:val="auto"/>
          <w:sz w:val="21"/>
          <w:szCs w:val="21"/>
          <w:highlight w:val="none"/>
          <w:u w:val="single"/>
          <w:lang w:val="en-US" w:eastAsia="zh-CN"/>
        </w:rPr>
        <w:t>05</w:t>
      </w:r>
      <w:r>
        <w:rPr>
          <w:rFonts w:hint="eastAsia" w:ascii="宋体" w:hAnsi="宋体" w:eastAsia="宋体" w:cs="宋体"/>
          <w:b w:val="0"/>
          <w:bCs w:val="0"/>
          <w:i w:val="0"/>
          <w:iCs w:val="0"/>
          <w:color w:val="auto"/>
          <w:sz w:val="21"/>
          <w:szCs w:val="21"/>
          <w:highlight w:val="none"/>
        </w:rPr>
        <w:t>月</w:t>
      </w:r>
      <w:r>
        <w:rPr>
          <w:rFonts w:hint="eastAsia" w:ascii="宋体" w:hAnsi="宋体" w:cs="宋体"/>
          <w:b w:val="0"/>
          <w:bCs w:val="0"/>
          <w:i w:val="0"/>
          <w:iCs w:val="0"/>
          <w:color w:val="auto"/>
          <w:sz w:val="21"/>
          <w:szCs w:val="21"/>
          <w:highlight w:val="none"/>
          <w:u w:val="single"/>
          <w:lang w:val="en-US" w:eastAsia="zh-CN"/>
        </w:rPr>
        <w:t>07</w:t>
      </w:r>
      <w:r>
        <w:rPr>
          <w:rFonts w:hint="eastAsia" w:ascii="宋体" w:hAnsi="宋体" w:eastAsia="宋体" w:cs="宋体"/>
          <w:b w:val="0"/>
          <w:bCs w:val="0"/>
          <w:i w:val="0"/>
          <w:iCs w:val="0"/>
          <w:color w:val="auto"/>
          <w:sz w:val="21"/>
          <w:szCs w:val="21"/>
          <w:highlight w:val="none"/>
        </w:rPr>
        <w:t>日</w:t>
      </w:r>
      <w:r>
        <w:rPr>
          <w:rFonts w:hint="eastAsia" w:ascii="宋体" w:hAnsi="宋体" w:eastAsia="宋体" w:cs="宋体"/>
          <w:b w:val="0"/>
          <w:bCs w:val="0"/>
          <w:color w:val="auto"/>
          <w:sz w:val="21"/>
          <w:szCs w:val="21"/>
          <w:highlight w:val="none"/>
        </w:rPr>
        <w:t>至</w:t>
      </w:r>
      <w:r>
        <w:rPr>
          <w:rFonts w:hint="eastAsia" w:ascii="宋体" w:hAnsi="宋体" w:eastAsia="宋体" w:cs="宋体"/>
          <w:b w:val="0"/>
          <w:bCs w:val="0"/>
          <w:i w:val="0"/>
          <w:iCs w:val="0"/>
          <w:color w:val="auto"/>
          <w:sz w:val="21"/>
          <w:szCs w:val="21"/>
          <w:highlight w:val="none"/>
          <w:u w:val="single"/>
        </w:rPr>
        <w:t>202</w:t>
      </w:r>
      <w:r>
        <w:rPr>
          <w:rFonts w:hint="eastAsia" w:ascii="宋体" w:hAnsi="宋体" w:eastAsia="宋体" w:cs="宋体"/>
          <w:b w:val="0"/>
          <w:bCs w:val="0"/>
          <w:i w:val="0"/>
          <w:iCs w:val="0"/>
          <w:color w:val="auto"/>
          <w:sz w:val="21"/>
          <w:szCs w:val="21"/>
          <w:highlight w:val="none"/>
          <w:u w:val="single"/>
          <w:lang w:val="en-US" w:eastAsia="zh-CN"/>
        </w:rPr>
        <w:t>5</w:t>
      </w:r>
      <w:r>
        <w:rPr>
          <w:rFonts w:hint="eastAsia" w:ascii="宋体" w:hAnsi="宋体" w:eastAsia="宋体" w:cs="宋体"/>
          <w:b w:val="0"/>
          <w:bCs w:val="0"/>
          <w:i w:val="0"/>
          <w:iCs w:val="0"/>
          <w:color w:val="auto"/>
          <w:sz w:val="21"/>
          <w:szCs w:val="21"/>
          <w:highlight w:val="none"/>
        </w:rPr>
        <w:t>年</w:t>
      </w:r>
      <w:r>
        <w:rPr>
          <w:rFonts w:hint="eastAsia" w:ascii="宋体" w:hAnsi="宋体" w:cs="宋体"/>
          <w:b w:val="0"/>
          <w:bCs w:val="0"/>
          <w:i w:val="0"/>
          <w:iCs w:val="0"/>
          <w:color w:val="auto"/>
          <w:sz w:val="21"/>
          <w:szCs w:val="21"/>
          <w:highlight w:val="none"/>
          <w:u w:val="single"/>
          <w:lang w:val="en-US" w:eastAsia="zh-CN"/>
        </w:rPr>
        <w:t>05</w:t>
      </w:r>
      <w:r>
        <w:rPr>
          <w:rFonts w:hint="eastAsia" w:ascii="宋体" w:hAnsi="宋体" w:eastAsia="宋体" w:cs="宋体"/>
          <w:b w:val="0"/>
          <w:bCs w:val="0"/>
          <w:i w:val="0"/>
          <w:iCs w:val="0"/>
          <w:color w:val="auto"/>
          <w:sz w:val="21"/>
          <w:szCs w:val="21"/>
          <w:highlight w:val="none"/>
        </w:rPr>
        <w:t>月</w:t>
      </w:r>
      <w:r>
        <w:rPr>
          <w:rFonts w:hint="eastAsia" w:ascii="宋体" w:hAnsi="宋体" w:cs="宋体"/>
          <w:b w:val="0"/>
          <w:bCs w:val="0"/>
          <w:i w:val="0"/>
          <w:iCs w:val="0"/>
          <w:color w:val="auto"/>
          <w:sz w:val="21"/>
          <w:szCs w:val="21"/>
          <w:highlight w:val="none"/>
          <w:u w:val="single"/>
          <w:lang w:val="en-US" w:eastAsia="zh-CN"/>
        </w:rPr>
        <w:t>14</w:t>
      </w:r>
      <w:r>
        <w:rPr>
          <w:rFonts w:hint="eastAsia" w:ascii="宋体" w:hAnsi="宋体" w:eastAsia="宋体" w:cs="宋体"/>
          <w:b w:val="0"/>
          <w:bCs w:val="0"/>
          <w:i w:val="0"/>
          <w:iCs w:val="0"/>
          <w:color w:val="auto"/>
          <w:sz w:val="21"/>
          <w:szCs w:val="21"/>
          <w:highlight w:val="none"/>
        </w:rPr>
        <w:t>日</w:t>
      </w:r>
      <w:r>
        <w:rPr>
          <w:rFonts w:hint="eastAsia" w:ascii="宋体" w:hAnsi="宋体" w:eastAsia="宋体" w:cs="宋体"/>
          <w:b w:val="0"/>
          <w:bCs w:val="0"/>
          <w:color w:val="auto"/>
          <w:sz w:val="21"/>
          <w:szCs w:val="21"/>
          <w:highlight w:val="none"/>
        </w:rPr>
        <w:t>，每天上午00:00至</w:t>
      </w:r>
      <w:r>
        <w:rPr>
          <w:rFonts w:hint="eastAsia" w:ascii="宋体" w:hAnsi="宋体" w:eastAsia="宋体" w:cs="宋体"/>
          <w:color w:val="auto"/>
          <w:sz w:val="21"/>
          <w:szCs w:val="21"/>
          <w:highlight w:val="none"/>
        </w:rPr>
        <w:t>12:00 ，下午12:00至23:59（北京时间，线上获取法定节假日均可，线下获取文件法定节假日除外）</w:t>
      </w:r>
    </w:p>
    <w:p w14:paraId="5B159BE7">
      <w:pPr>
        <w:keepNext w:val="0"/>
        <w:keepLines w:val="0"/>
        <w:pageBreakBefore w:val="0"/>
        <w:kinsoku/>
        <w:wordWrap/>
        <w:overflowPunct/>
        <w:topLinePunct w:val="0"/>
        <w:autoSpaceDE/>
        <w:autoSpaceDN/>
        <w:bidi w:val="0"/>
        <w:adjustRightInd w:val="0"/>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 xml:space="preserve">政采云平台（https://www.zcygov.cn/） </w:t>
      </w:r>
    </w:p>
    <w:p w14:paraId="400ACC9A">
      <w:pPr>
        <w:keepNext w:val="0"/>
        <w:keepLines w:val="0"/>
        <w:pageBreakBefore w:val="0"/>
        <w:kinsoku/>
        <w:wordWrap/>
        <w:overflowPunct/>
        <w:topLinePunct w:val="0"/>
        <w:autoSpaceDE/>
        <w:autoSpaceDN/>
        <w:bidi w:val="0"/>
        <w:adjustRightInd w:val="0"/>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01F94BEA">
      <w:pPr>
        <w:keepNext w:val="0"/>
        <w:keepLines w:val="0"/>
        <w:pageBreakBefore w:val="0"/>
        <w:kinsoku/>
        <w:wordWrap/>
        <w:overflowPunct/>
        <w:topLinePunct w:val="0"/>
        <w:autoSpaceDE/>
        <w:autoSpaceDN/>
        <w:bidi w:val="0"/>
        <w:adjustRightInd w:val="0"/>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p>
    <w:p w14:paraId="4AC1A27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21BF5A78">
      <w:pPr>
        <w:keepNext w:val="0"/>
        <w:keepLines w:val="0"/>
        <w:pageBreakBefore w:val="0"/>
        <w:kinsoku/>
        <w:wordWrap/>
        <w:overflowPunct/>
        <w:topLinePunct w:val="0"/>
        <w:autoSpaceDE/>
        <w:autoSpaceDN/>
        <w:bidi w:val="0"/>
        <w:adjustRightInd w:val="0"/>
        <w:spacing w:line="360"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color w:val="auto"/>
          <w:sz w:val="21"/>
          <w:szCs w:val="21"/>
          <w:highlight w:val="none"/>
        </w:rPr>
        <w:t>提交投标文件截止时间：</w:t>
      </w:r>
      <w:r>
        <w:rPr>
          <w:rFonts w:hint="eastAsia" w:ascii="宋体" w:hAnsi="宋体" w:eastAsia="宋体" w:cs="宋体"/>
          <w:b/>
          <w:bCs/>
          <w:i w:val="0"/>
          <w:iCs w:val="0"/>
          <w:color w:val="auto"/>
          <w:sz w:val="21"/>
          <w:szCs w:val="21"/>
          <w:highlight w:val="none"/>
          <w:u w:val="single"/>
        </w:rPr>
        <w:t>202</w:t>
      </w:r>
      <w:r>
        <w:rPr>
          <w:rFonts w:hint="eastAsia" w:ascii="宋体" w:hAnsi="宋体" w:eastAsia="宋体" w:cs="宋体"/>
          <w:b/>
          <w:bCs/>
          <w:i w:val="0"/>
          <w:iCs w:val="0"/>
          <w:color w:val="auto"/>
          <w:sz w:val="21"/>
          <w:szCs w:val="21"/>
          <w:highlight w:val="none"/>
          <w:u w:val="single"/>
          <w:lang w:val="en-US" w:eastAsia="zh-CN"/>
        </w:rPr>
        <w:t>5</w:t>
      </w:r>
      <w:r>
        <w:rPr>
          <w:rFonts w:hint="eastAsia" w:ascii="宋体" w:hAnsi="宋体" w:eastAsia="宋体" w:cs="宋体"/>
          <w:b/>
          <w:bCs/>
          <w:i w:val="0"/>
          <w:iCs w:val="0"/>
          <w:color w:val="auto"/>
          <w:sz w:val="21"/>
          <w:szCs w:val="21"/>
          <w:highlight w:val="none"/>
        </w:rPr>
        <w:t>年</w:t>
      </w:r>
      <w:r>
        <w:rPr>
          <w:rFonts w:hint="eastAsia" w:ascii="宋体" w:hAnsi="宋体" w:cs="宋体"/>
          <w:b/>
          <w:bCs/>
          <w:i w:val="0"/>
          <w:iCs w:val="0"/>
          <w:color w:val="auto"/>
          <w:sz w:val="21"/>
          <w:szCs w:val="21"/>
          <w:highlight w:val="none"/>
          <w:u w:val="single"/>
          <w:lang w:val="en-US" w:eastAsia="zh-CN"/>
        </w:rPr>
        <w:t>05</w:t>
      </w:r>
      <w:r>
        <w:rPr>
          <w:rFonts w:hint="eastAsia" w:ascii="宋体" w:hAnsi="宋体" w:eastAsia="宋体" w:cs="宋体"/>
          <w:b/>
          <w:bCs/>
          <w:i w:val="0"/>
          <w:iCs w:val="0"/>
          <w:color w:val="auto"/>
          <w:sz w:val="21"/>
          <w:szCs w:val="21"/>
          <w:highlight w:val="none"/>
        </w:rPr>
        <w:t>月</w:t>
      </w:r>
      <w:r>
        <w:rPr>
          <w:rFonts w:hint="eastAsia" w:ascii="宋体" w:hAnsi="宋体" w:cs="宋体"/>
          <w:b/>
          <w:bCs/>
          <w:i w:val="0"/>
          <w:iCs w:val="0"/>
          <w:color w:val="auto"/>
          <w:sz w:val="21"/>
          <w:szCs w:val="21"/>
          <w:highlight w:val="none"/>
          <w:u w:val="single"/>
          <w:lang w:val="en-US" w:eastAsia="zh-CN"/>
        </w:rPr>
        <w:t>29</w:t>
      </w:r>
      <w:r>
        <w:rPr>
          <w:rFonts w:hint="eastAsia" w:ascii="宋体" w:hAnsi="宋体" w:eastAsia="宋体" w:cs="宋体"/>
          <w:b/>
          <w:bCs/>
          <w:i w:val="0"/>
          <w:iCs w:val="0"/>
          <w:color w:val="auto"/>
          <w:sz w:val="21"/>
          <w:szCs w:val="21"/>
          <w:highlight w:val="none"/>
        </w:rPr>
        <w:t>日</w:t>
      </w:r>
      <w:r>
        <w:rPr>
          <w:rFonts w:hint="eastAsia" w:ascii="宋体" w:hAnsi="宋体" w:cs="宋体"/>
          <w:b/>
          <w:bCs/>
          <w:color w:val="000000"/>
          <w:szCs w:val="21"/>
          <w:highlight w:val="none"/>
          <w:u w:val="single"/>
          <w:lang w:val="en-US" w:eastAsia="zh-CN"/>
        </w:rPr>
        <w:t>13</w:t>
      </w:r>
      <w:r>
        <w:rPr>
          <w:rFonts w:hint="eastAsia" w:ascii="宋体" w:hAnsi="宋体" w:eastAsia="宋体" w:cs="宋体"/>
          <w:b/>
          <w:bCs/>
          <w:color w:val="000000"/>
          <w:szCs w:val="21"/>
          <w:highlight w:val="none"/>
        </w:rPr>
        <w:t>时</w:t>
      </w:r>
      <w:r>
        <w:rPr>
          <w:rFonts w:hint="eastAsia" w:ascii="宋体" w:hAnsi="宋体" w:cs="宋体"/>
          <w:b/>
          <w:bCs/>
          <w:color w:val="000000"/>
          <w:szCs w:val="21"/>
          <w:highlight w:val="none"/>
          <w:u w:val="single"/>
          <w:lang w:val="en-US" w:eastAsia="zh-CN"/>
        </w:rPr>
        <w:t>30</w:t>
      </w:r>
      <w:r>
        <w:rPr>
          <w:rFonts w:hint="eastAsia" w:ascii="宋体" w:hAnsi="宋体" w:cs="宋体"/>
          <w:b/>
          <w:bCs/>
          <w:color w:val="000000"/>
          <w:szCs w:val="21"/>
          <w:highlight w:val="none"/>
          <w:u w:val="none"/>
          <w:lang w:val="en-US" w:eastAsia="zh-CN"/>
        </w:rPr>
        <w:t>分</w:t>
      </w:r>
      <w:r>
        <w:rPr>
          <w:rFonts w:hint="eastAsia" w:ascii="宋体" w:hAnsi="宋体" w:eastAsia="宋体" w:cs="宋体"/>
          <w:b/>
          <w:bCs/>
          <w:i w:val="0"/>
          <w:iCs w:val="0"/>
          <w:color w:val="auto"/>
          <w:sz w:val="21"/>
          <w:szCs w:val="21"/>
          <w:highlight w:val="none"/>
        </w:rPr>
        <w:t>（北京时间）</w:t>
      </w:r>
    </w:p>
    <w:p w14:paraId="5F272FC7">
      <w:pPr>
        <w:keepNext w:val="0"/>
        <w:keepLines w:val="0"/>
        <w:pageBreakBefore w:val="0"/>
        <w:kinsoku/>
        <w:wordWrap/>
        <w:overflowPunct/>
        <w:topLinePunct w:val="0"/>
        <w:autoSpaceDE/>
        <w:autoSpaceDN/>
        <w:bidi w:val="0"/>
        <w:adjustRightInd w:val="0"/>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政采云平台（https://www.zcygov.cn/）</w:t>
      </w:r>
    </w:p>
    <w:p w14:paraId="23329DC5">
      <w:pPr>
        <w:keepNext w:val="0"/>
        <w:keepLines w:val="0"/>
        <w:pageBreakBefore w:val="0"/>
        <w:kinsoku/>
        <w:wordWrap/>
        <w:overflowPunct/>
        <w:topLinePunct w:val="0"/>
        <w:autoSpaceDE/>
        <w:autoSpaceDN/>
        <w:bidi w:val="0"/>
        <w:adjustRightInd w:val="0"/>
        <w:spacing w:line="360" w:lineRule="auto"/>
        <w:ind w:firstLine="422" w:firstLineChars="200"/>
        <w:textAlignment w:val="auto"/>
        <w:outlineLvl w:val="9"/>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b/>
          <w:bCs/>
          <w:i w:val="0"/>
          <w:iCs w:val="0"/>
          <w:color w:val="auto"/>
          <w:sz w:val="21"/>
          <w:szCs w:val="21"/>
          <w:highlight w:val="none"/>
          <w:u w:val="single"/>
        </w:rPr>
        <w:t>202</w:t>
      </w:r>
      <w:r>
        <w:rPr>
          <w:rFonts w:hint="eastAsia" w:ascii="宋体" w:hAnsi="宋体" w:eastAsia="宋体" w:cs="宋体"/>
          <w:b/>
          <w:bCs/>
          <w:i w:val="0"/>
          <w:iCs w:val="0"/>
          <w:color w:val="auto"/>
          <w:sz w:val="21"/>
          <w:szCs w:val="21"/>
          <w:highlight w:val="none"/>
          <w:u w:val="single"/>
          <w:lang w:val="en-US" w:eastAsia="zh-CN"/>
        </w:rPr>
        <w:t>5</w:t>
      </w:r>
      <w:r>
        <w:rPr>
          <w:rFonts w:hint="eastAsia" w:ascii="宋体" w:hAnsi="宋体" w:eastAsia="宋体" w:cs="宋体"/>
          <w:b/>
          <w:bCs/>
          <w:i w:val="0"/>
          <w:iCs w:val="0"/>
          <w:color w:val="auto"/>
          <w:sz w:val="21"/>
          <w:szCs w:val="21"/>
          <w:highlight w:val="none"/>
        </w:rPr>
        <w:t>年</w:t>
      </w:r>
      <w:r>
        <w:rPr>
          <w:rFonts w:hint="eastAsia" w:ascii="宋体" w:hAnsi="宋体" w:cs="宋体"/>
          <w:b/>
          <w:bCs/>
          <w:i w:val="0"/>
          <w:iCs w:val="0"/>
          <w:color w:val="auto"/>
          <w:sz w:val="21"/>
          <w:szCs w:val="21"/>
          <w:highlight w:val="none"/>
          <w:u w:val="single"/>
          <w:lang w:val="en-US" w:eastAsia="zh-CN"/>
        </w:rPr>
        <w:t>05</w:t>
      </w:r>
      <w:r>
        <w:rPr>
          <w:rFonts w:hint="eastAsia" w:ascii="宋体" w:hAnsi="宋体" w:eastAsia="宋体" w:cs="宋体"/>
          <w:b/>
          <w:bCs/>
          <w:i w:val="0"/>
          <w:iCs w:val="0"/>
          <w:color w:val="auto"/>
          <w:sz w:val="21"/>
          <w:szCs w:val="21"/>
          <w:highlight w:val="none"/>
        </w:rPr>
        <w:t>月</w:t>
      </w:r>
      <w:r>
        <w:rPr>
          <w:rFonts w:hint="eastAsia" w:ascii="宋体" w:hAnsi="宋体" w:cs="宋体"/>
          <w:b/>
          <w:bCs/>
          <w:i w:val="0"/>
          <w:iCs w:val="0"/>
          <w:color w:val="auto"/>
          <w:sz w:val="21"/>
          <w:szCs w:val="21"/>
          <w:highlight w:val="none"/>
          <w:u w:val="single"/>
          <w:lang w:val="en-US" w:eastAsia="zh-CN"/>
        </w:rPr>
        <w:t>29</w:t>
      </w:r>
      <w:r>
        <w:rPr>
          <w:rFonts w:hint="eastAsia" w:ascii="宋体" w:hAnsi="宋体" w:eastAsia="宋体" w:cs="宋体"/>
          <w:b/>
          <w:bCs/>
          <w:i w:val="0"/>
          <w:iCs w:val="0"/>
          <w:color w:val="auto"/>
          <w:sz w:val="21"/>
          <w:szCs w:val="21"/>
          <w:highlight w:val="none"/>
        </w:rPr>
        <w:t>日</w:t>
      </w:r>
      <w:r>
        <w:rPr>
          <w:rFonts w:hint="eastAsia" w:ascii="宋体" w:hAnsi="宋体" w:cs="宋体"/>
          <w:b/>
          <w:bCs/>
          <w:color w:val="000000"/>
          <w:szCs w:val="21"/>
          <w:highlight w:val="none"/>
          <w:u w:val="single"/>
          <w:lang w:val="en-US" w:eastAsia="zh-CN"/>
        </w:rPr>
        <w:t>13</w:t>
      </w:r>
      <w:r>
        <w:rPr>
          <w:rFonts w:hint="eastAsia" w:ascii="宋体" w:hAnsi="宋体" w:eastAsia="宋体" w:cs="宋体"/>
          <w:b/>
          <w:bCs/>
          <w:color w:val="000000"/>
          <w:szCs w:val="21"/>
          <w:highlight w:val="none"/>
        </w:rPr>
        <w:t>时</w:t>
      </w:r>
      <w:r>
        <w:rPr>
          <w:rFonts w:hint="eastAsia" w:ascii="宋体" w:hAnsi="宋体" w:cs="宋体"/>
          <w:b/>
          <w:bCs/>
          <w:color w:val="000000"/>
          <w:szCs w:val="21"/>
          <w:highlight w:val="none"/>
          <w:u w:val="single"/>
          <w:lang w:val="en-US" w:eastAsia="zh-CN"/>
        </w:rPr>
        <w:t>30</w:t>
      </w:r>
      <w:r>
        <w:rPr>
          <w:rFonts w:hint="eastAsia" w:ascii="宋体" w:hAnsi="宋体" w:cs="宋体"/>
          <w:b/>
          <w:bCs/>
          <w:color w:val="000000"/>
          <w:szCs w:val="21"/>
          <w:highlight w:val="none"/>
          <w:u w:val="none"/>
          <w:lang w:val="en-US" w:eastAsia="zh-CN"/>
        </w:rPr>
        <w:t>分</w:t>
      </w:r>
      <w:r>
        <w:rPr>
          <w:rFonts w:hint="eastAsia" w:ascii="宋体" w:hAnsi="宋体" w:eastAsia="宋体" w:cs="宋体"/>
          <w:b/>
          <w:bCs/>
          <w:i w:val="0"/>
          <w:iCs w:val="0"/>
          <w:color w:val="auto"/>
          <w:sz w:val="21"/>
          <w:szCs w:val="21"/>
          <w:highlight w:val="none"/>
        </w:rPr>
        <w:t>（北京时间）</w:t>
      </w:r>
    </w:p>
    <w:p w14:paraId="3EF8D683">
      <w:pPr>
        <w:keepNext w:val="0"/>
        <w:keepLines w:val="0"/>
        <w:pageBreakBefore w:val="0"/>
        <w:kinsoku/>
        <w:wordWrap/>
        <w:overflowPunct/>
        <w:topLinePunct w:val="0"/>
        <w:autoSpaceDE/>
        <w:autoSpaceDN/>
        <w:bidi w:val="0"/>
        <w:adjustRightInd w:val="0"/>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政采云平台（https://www.zcygov.cn/）</w:t>
      </w:r>
    </w:p>
    <w:p w14:paraId="3AEC49B0">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399A8186">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567422D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67BEF726">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361C2C4">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鼓励供应商在线提起质疑，路径为：政采云-项目采购-询问质疑投诉-质疑列表。质疑供应商对在线质疑答复不满意的，可在线提起投诉，路径为：浙江政府服务网-政府采购投诉处理-在线办理。</w:t>
      </w:r>
    </w:p>
    <w:p w14:paraId="3BF49871">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054941">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w:t>
      </w:r>
    </w:p>
    <w:p w14:paraId="71541ED4">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（1）需要落实的政府采购政策：包括节约资源、保护环境、支持创新、促进中小企业发展等。详见招标文件的第二部分总则。</w:t>
      </w:r>
    </w:p>
    <w:p w14:paraId="4D71DBA4">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678565D3">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（3）招标文件公告期限与招标公告的公告期限一致。</w:t>
      </w:r>
    </w:p>
    <w:p w14:paraId="06052991">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本招标公告中二、申请人的资格要求：第一条中的“重大税收违法案件当事人名单”即为“重大税收违法失信主体”。</w:t>
      </w:r>
    </w:p>
    <w:p w14:paraId="6232AA86">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253D56CE">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5CE2936F">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宁海县气象局</w:t>
      </w:r>
    </w:p>
    <w:p w14:paraId="15648415">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宁海县金水东路2号</w:t>
      </w:r>
    </w:p>
    <w:p w14:paraId="2A10AEF3">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lang w:val="en-US" w:eastAsia="zh-CN"/>
        </w:rPr>
        <w:t>/</w:t>
      </w:r>
    </w:p>
    <w:p w14:paraId="194178EE">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val="en-US" w:eastAsia="zh-CN"/>
        </w:rPr>
        <w:t>郁老师</w:t>
      </w:r>
    </w:p>
    <w:p w14:paraId="4FC7B48B">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项目联系方式（询问）：0574-</w:t>
      </w:r>
      <w:r>
        <w:rPr>
          <w:rFonts w:hint="eastAsia" w:ascii="宋体" w:hAnsi="宋体" w:eastAsia="宋体" w:cs="宋体"/>
          <w:color w:val="auto"/>
          <w:sz w:val="21"/>
          <w:szCs w:val="21"/>
          <w:highlight w:val="none"/>
          <w:lang w:val="en-US" w:eastAsia="zh-CN"/>
        </w:rPr>
        <w:t>65582612</w:t>
      </w:r>
    </w:p>
    <w:p w14:paraId="7CAE034E">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质疑联系人：周老师</w:t>
      </w:r>
    </w:p>
    <w:p w14:paraId="6A25253B">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质疑联系方式：0574-65582612</w:t>
      </w:r>
    </w:p>
    <w:p w14:paraId="3673E20C">
      <w:pPr>
        <w:pStyle w:val="84"/>
        <w:rPr>
          <w:rFonts w:hint="eastAsia" w:ascii="宋体" w:hAnsi="宋体" w:eastAsia="宋体" w:cs="宋体"/>
          <w:sz w:val="21"/>
          <w:szCs w:val="21"/>
          <w:highlight w:val="none"/>
          <w:lang w:val="en-US" w:eastAsia="zh-CN"/>
        </w:rPr>
      </w:pPr>
    </w:p>
    <w:p w14:paraId="6FEB58F2">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7465399F">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宁波市盛达工程管理咨询有限公司</w:t>
      </w:r>
    </w:p>
    <w:p w14:paraId="7DBD523E">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 xml:space="preserve">宁波市江北区唐虞路319号（创富商业中心） A座5楼 </w:t>
      </w:r>
      <w:bookmarkStart w:id="522" w:name="_GoBack"/>
      <w:bookmarkEnd w:id="522"/>
    </w:p>
    <w:p w14:paraId="611F6D5A">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lang w:eastAsia="zh-CN"/>
        </w:rPr>
        <w:t>/</w:t>
      </w:r>
    </w:p>
    <w:p w14:paraId="6FB7B0AD">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val="en-US" w:eastAsia="zh-CN"/>
        </w:rPr>
        <w:t>蔡青青、何周军、徐乃昕、马亚红、胡燕、江晓明、张琳玲</w:t>
      </w:r>
    </w:p>
    <w:p w14:paraId="591B0790">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lang w:eastAsia="zh-CN"/>
        </w:rPr>
        <w:t>0574-87636525</w:t>
      </w:r>
    </w:p>
    <w:p w14:paraId="6718B3B4">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张琳玲</w:t>
      </w:r>
    </w:p>
    <w:p w14:paraId="224D8E6D">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质疑联系方式：0574-8742</w:t>
      </w:r>
      <w:r>
        <w:rPr>
          <w:rFonts w:hint="eastAsia" w:ascii="宋体" w:hAnsi="宋体" w:eastAsia="宋体" w:cs="宋体"/>
          <w:color w:val="auto"/>
          <w:sz w:val="21"/>
          <w:szCs w:val="21"/>
          <w:highlight w:val="none"/>
          <w:lang w:val="en-US" w:eastAsia="zh-CN"/>
        </w:rPr>
        <w:t>5583</w:t>
      </w:r>
    </w:p>
    <w:p w14:paraId="6D80ECF5">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p>
    <w:p w14:paraId="3B1791E0">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w:t>
      </w:r>
    </w:p>
    <w:p w14:paraId="27A03D0F">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称：宁海县政府采购管理办公室</w:t>
      </w:r>
    </w:p>
    <w:p w14:paraId="17162DB8">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址：宁海县跃龙街道桃源中路218号</w:t>
      </w:r>
    </w:p>
    <w:p w14:paraId="3AA150BA">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真：0574-65265612</w:t>
      </w:r>
    </w:p>
    <w:p w14:paraId="08334605">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联系人：王老师</w:t>
      </w:r>
    </w:p>
    <w:p w14:paraId="207E9EAD">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监督投诉电话：0574-65265668</w:t>
      </w:r>
    </w:p>
    <w:p w14:paraId="38933B8C">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宋体" w:hAnsi="宋体" w:eastAsia="宋体" w:cs="宋体"/>
          <w:color w:val="auto"/>
          <w:sz w:val="21"/>
          <w:szCs w:val="21"/>
          <w:highlight w:val="none"/>
        </w:rPr>
      </w:pPr>
    </w:p>
    <w:p w14:paraId="6763D683">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1"/>
          <w:szCs w:val="21"/>
          <w:highlight w:val="none"/>
          <w:lang w:eastAsia="zh-CN"/>
        </w:rPr>
        <w:t>“95763”</w:t>
      </w:r>
      <w:r>
        <w:rPr>
          <w:rFonts w:hint="eastAsia" w:ascii="宋体" w:hAnsi="宋体" w:eastAsia="宋体" w:cs="宋体"/>
          <w:color w:val="auto"/>
          <w:sz w:val="21"/>
          <w:szCs w:val="21"/>
          <w:highlight w:val="none"/>
        </w:rPr>
        <w:t>获取热线服务帮助。</w:t>
      </w:r>
    </w:p>
    <w:p w14:paraId="63A41E82">
      <w:pPr>
        <w:keepNext w:val="0"/>
        <w:keepLines w:val="0"/>
        <w:pageBreakBefore w:val="0"/>
        <w:kinsoku/>
        <w:wordWrap/>
        <w:overflowPunct/>
        <w:topLinePunct w:val="0"/>
        <w:autoSpaceDE/>
        <w:autoSpaceDN/>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41D6977A">
      <w:pPr>
        <w:widowControl/>
        <w:kinsoku/>
        <w:wordWrap/>
        <w:overflowPunct/>
        <w:topLinePunct w:val="0"/>
        <w:bidi w:val="0"/>
        <w:adjustRightInd/>
        <w:jc w:val="left"/>
        <w:outlineLvl w:val="9"/>
        <w:rPr>
          <w:rFonts w:ascii="宋体" w:hAnsi="宋体" w:cs="宋体"/>
          <w:b/>
          <w:color w:val="auto"/>
          <w:sz w:val="36"/>
          <w:szCs w:val="20"/>
          <w:highlight w:val="none"/>
        </w:rPr>
      </w:pPr>
    </w:p>
    <w:p w14:paraId="6D802F2E">
      <w:pPr>
        <w:widowControl/>
        <w:kinsoku/>
        <w:wordWrap/>
        <w:overflowPunct/>
        <w:topLinePunct w:val="0"/>
        <w:bidi w:val="0"/>
        <w:adjustRightInd/>
        <w:jc w:val="left"/>
        <w:outlineLvl w:val="9"/>
        <w:rPr>
          <w:rFonts w:ascii="宋体" w:hAnsi="宋体" w:cs="宋体"/>
          <w:b/>
          <w:color w:val="auto"/>
          <w:sz w:val="36"/>
          <w:szCs w:val="20"/>
          <w:highlight w:val="none"/>
        </w:rPr>
      </w:pPr>
      <w:r>
        <w:rPr>
          <w:rFonts w:ascii="宋体" w:hAnsi="宋体" w:cs="宋体"/>
          <w:b/>
          <w:color w:val="auto"/>
          <w:sz w:val="36"/>
          <w:szCs w:val="20"/>
          <w:highlight w:val="none"/>
        </w:rPr>
        <w:br w:type="page"/>
      </w:r>
    </w:p>
    <w:p w14:paraId="03FE5AE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color w:val="auto"/>
          <w:sz w:val="36"/>
          <w:szCs w:val="20"/>
          <w:highlight w:val="none"/>
        </w:rPr>
      </w:pPr>
      <w:bookmarkStart w:id="6" w:name="_Toc21580"/>
      <w:r>
        <w:rPr>
          <w:rFonts w:hint="eastAsia" w:ascii="宋体" w:hAnsi="宋体" w:cs="宋体"/>
          <w:b/>
          <w:color w:val="auto"/>
          <w:sz w:val="36"/>
          <w:szCs w:val="20"/>
          <w:highlight w:val="none"/>
        </w:rPr>
        <w:t>第二部分</w:t>
      </w:r>
      <w:bookmarkEnd w:id="3"/>
      <w:r>
        <w:rPr>
          <w:rFonts w:hint="eastAsia" w:ascii="宋体" w:hAnsi="宋体" w:cs="宋体"/>
          <w:b/>
          <w:color w:val="auto"/>
          <w:sz w:val="36"/>
          <w:szCs w:val="20"/>
          <w:highlight w:val="none"/>
        </w:rPr>
        <w:t xml:space="preserve"> 投标人须知</w:t>
      </w:r>
      <w:bookmarkEnd w:id="4"/>
      <w:bookmarkEnd w:id="6"/>
    </w:p>
    <w:p w14:paraId="2343950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4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984"/>
      </w:tblGrid>
      <w:tr w14:paraId="1257B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A0DABB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EED19B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984" w:type="dxa"/>
            <w:tcBorders>
              <w:top w:val="single" w:color="000000" w:sz="8" w:space="0"/>
              <w:left w:val="single" w:color="000000" w:sz="2" w:space="0"/>
              <w:bottom w:val="single" w:color="000000" w:sz="8" w:space="0"/>
              <w:right w:val="single" w:color="000000" w:sz="8" w:space="0"/>
            </w:tcBorders>
            <w:vAlign w:val="center"/>
          </w:tcPr>
          <w:p w14:paraId="59EEA85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1A6EB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A122753">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31674F3">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p>
        </w:tc>
        <w:tc>
          <w:tcPr>
            <w:tcW w:w="6984" w:type="dxa"/>
            <w:tcBorders>
              <w:top w:val="single" w:color="000000" w:sz="8" w:space="0"/>
              <w:left w:val="single" w:color="000000" w:sz="2" w:space="0"/>
              <w:bottom w:val="single" w:color="000000" w:sz="8" w:space="0"/>
              <w:right w:val="single" w:color="000000" w:sz="8" w:space="0"/>
            </w:tcBorders>
            <w:vAlign w:val="center"/>
          </w:tcPr>
          <w:p w14:paraId="7D3236E6">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服务类。</w:t>
            </w:r>
          </w:p>
        </w:tc>
      </w:tr>
      <w:tr w14:paraId="7C786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DDF8F56">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5F8D99">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6984" w:type="dxa"/>
            <w:tcBorders>
              <w:top w:val="single" w:color="000000" w:sz="8" w:space="0"/>
              <w:left w:val="single" w:color="000000" w:sz="2" w:space="0"/>
              <w:bottom w:val="single" w:color="000000" w:sz="8" w:space="0"/>
              <w:right w:val="single" w:color="000000" w:sz="8" w:space="0"/>
            </w:tcBorders>
            <w:vAlign w:val="center"/>
          </w:tcPr>
          <w:p w14:paraId="3E2E12A9">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是否专门面向中小企业招标：是。</w:t>
            </w:r>
          </w:p>
          <w:p w14:paraId="2726035B">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标的：</w:t>
            </w:r>
            <w:r>
              <w:rPr>
                <w:rFonts w:hint="eastAsia" w:ascii="宋体" w:hAnsi="宋体" w:cs="宋体"/>
                <w:color w:val="auto"/>
                <w:kern w:val="0"/>
                <w:sz w:val="21"/>
                <w:szCs w:val="21"/>
                <w:highlight w:val="none"/>
                <w:u w:val="single"/>
                <w:lang w:eastAsia="zh-CN"/>
              </w:rPr>
              <w:t>宁海强对流天气秒预警工程（重招）</w:t>
            </w:r>
            <w:r>
              <w:rPr>
                <w:rFonts w:hint="eastAsia" w:ascii="宋体" w:hAnsi="宋体" w:eastAsia="宋体" w:cs="宋体"/>
                <w:color w:val="auto"/>
                <w:kern w:val="0"/>
                <w:sz w:val="21"/>
                <w:szCs w:val="21"/>
                <w:highlight w:val="none"/>
              </w:rPr>
              <w:t>，属于</w:t>
            </w:r>
            <w:r>
              <w:rPr>
                <w:rFonts w:hint="eastAsia" w:ascii="宋体" w:hAnsi="宋体" w:eastAsia="宋体" w:cs="宋体"/>
                <w:b/>
                <w:bCs/>
                <w:color w:val="auto"/>
                <w:kern w:val="0"/>
                <w:sz w:val="21"/>
                <w:szCs w:val="21"/>
                <w:highlight w:val="none"/>
                <w:u w:val="single"/>
                <w:lang w:val="en-US" w:eastAsia="zh-CN"/>
              </w:rPr>
              <w:t>其他未列明行业</w:t>
            </w:r>
            <w:r>
              <w:rPr>
                <w:rFonts w:hint="eastAsia" w:ascii="宋体" w:hAnsi="宋体" w:eastAsia="宋体" w:cs="宋体"/>
                <w:color w:val="auto"/>
                <w:kern w:val="0"/>
                <w:sz w:val="21"/>
                <w:szCs w:val="21"/>
                <w:highlight w:val="none"/>
              </w:rPr>
              <w:t>行业</w:t>
            </w:r>
            <w:r>
              <w:rPr>
                <w:rFonts w:hint="eastAsia" w:ascii="宋体" w:hAnsi="宋体" w:eastAsia="宋体" w:cs="宋体"/>
                <w:color w:val="auto"/>
                <w:kern w:val="0"/>
                <w:sz w:val="21"/>
                <w:szCs w:val="21"/>
                <w:highlight w:val="none"/>
                <w:lang w:eastAsia="zh-CN"/>
              </w:rPr>
              <w:t>。</w:t>
            </w:r>
          </w:p>
        </w:tc>
      </w:tr>
      <w:tr w14:paraId="093D0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225BA2D">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5DB2647">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984" w:type="dxa"/>
            <w:tcBorders>
              <w:top w:val="single" w:color="000000" w:sz="8" w:space="0"/>
              <w:left w:val="single" w:color="000000" w:sz="2" w:space="0"/>
              <w:bottom w:val="single" w:color="000000" w:sz="8" w:space="0"/>
              <w:right w:val="single" w:color="000000" w:sz="8" w:space="0"/>
            </w:tcBorders>
            <w:vAlign w:val="center"/>
          </w:tcPr>
          <w:p w14:paraId="49787640">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54315"/>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本项目不允许采购进口产品。</w:t>
            </w:r>
          </w:p>
          <w:p w14:paraId="6D6017D0">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334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16F26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7BB708C">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3AAD3AF">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984" w:type="dxa"/>
            <w:tcBorders>
              <w:top w:val="single" w:color="000000" w:sz="8" w:space="0"/>
              <w:left w:val="single" w:color="000000" w:sz="2" w:space="0"/>
              <w:bottom w:val="single" w:color="000000" w:sz="8" w:space="0"/>
              <w:right w:val="single" w:color="000000" w:sz="8" w:space="0"/>
            </w:tcBorders>
            <w:vAlign w:val="center"/>
          </w:tcPr>
          <w:p w14:paraId="3587D0AB">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6160"/>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 xml:space="preserve"> 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工作分包。</w:t>
            </w:r>
          </w:p>
          <w:p w14:paraId="77F21BC7">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1822"/>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B</w:t>
            </w:r>
            <w:r>
              <w:rPr>
                <w:rFonts w:hint="eastAsia" w:ascii="宋体" w:hAnsi="宋体" w:eastAsia="宋体" w:cs="宋体"/>
                <w:color w:val="auto"/>
                <w:sz w:val="21"/>
                <w:szCs w:val="21"/>
                <w:highlight w:val="none"/>
              </w:rPr>
              <w:t>不同意分包。</w:t>
            </w:r>
          </w:p>
        </w:tc>
      </w:tr>
      <w:tr w14:paraId="2508F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77B3623">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64A64EF">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6984" w:type="dxa"/>
            <w:tcBorders>
              <w:top w:val="single" w:color="000000" w:sz="8" w:space="0"/>
              <w:left w:val="single" w:color="000000" w:sz="2" w:space="0"/>
              <w:bottom w:val="single" w:color="000000" w:sz="8" w:space="0"/>
              <w:right w:val="single" w:color="000000" w:sz="8" w:space="0"/>
            </w:tcBorders>
            <w:vAlign w:val="center"/>
          </w:tcPr>
          <w:p w14:paraId="2F24D1D5">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4818"/>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1EECFBDB">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426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7FBAA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B3FEE0D">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05F36F9">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984" w:type="dxa"/>
            <w:tcBorders>
              <w:top w:val="single" w:color="000000" w:sz="8" w:space="0"/>
              <w:left w:val="single" w:color="000000" w:sz="2" w:space="0"/>
              <w:bottom w:val="single" w:color="000000" w:sz="8" w:space="0"/>
              <w:right w:val="single" w:color="000000" w:sz="8" w:space="0"/>
            </w:tcBorders>
            <w:vAlign w:val="center"/>
          </w:tcPr>
          <w:p w14:paraId="79514A30">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5847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4E45485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B要求提供，</w:t>
            </w:r>
          </w:p>
          <w:p w14:paraId="10AF8A6C">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E31DC22">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199F25E">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02A25E45">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sdt>
              <w:sdtPr>
                <w:rPr>
                  <w:rFonts w:hint="eastAsia" w:ascii="宋体" w:hAnsi="宋体" w:eastAsia="宋体" w:cs="宋体"/>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否；</w:t>
            </w:r>
            <w:sdt>
              <w:sdtPr>
                <w:rPr>
                  <w:rFonts w:hint="eastAsia" w:ascii="宋体" w:hAnsi="宋体" w:eastAsia="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9E2ED1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。请投标人在上述时间内提供样品并按规定位置安装完毕。超过截止时间的，采购人或采购代理机构将不予接收，并将清场并封闭样品现场。</w:t>
            </w:r>
          </w:p>
          <w:p w14:paraId="1212DEBA">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采购活动结束后，对于未中标人提供的样品，采购人、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将通知未中标人在规定的时间内取回，逾期未取回的，采购人、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不负保管义务；对于中标人提供的样品，采购人将进行保管、封存，并作为履约验收的参考。</w:t>
            </w:r>
          </w:p>
          <w:p w14:paraId="27EDBDAD">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（7）制作、运输、安装和保管样品所发生的一切费用由投标人自理。</w:t>
            </w:r>
          </w:p>
        </w:tc>
      </w:tr>
      <w:tr w14:paraId="6E993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530ACE0">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DFCFC72">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984" w:type="dxa"/>
            <w:tcBorders>
              <w:top w:val="single" w:color="000000" w:sz="8" w:space="0"/>
              <w:left w:val="single" w:color="000000" w:sz="2" w:space="0"/>
              <w:bottom w:val="single" w:color="000000" w:sz="8" w:space="0"/>
              <w:right w:val="single" w:color="000000" w:sz="8" w:space="0"/>
            </w:tcBorders>
            <w:vAlign w:val="center"/>
          </w:tcPr>
          <w:p w14:paraId="7D9CA0F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1152"/>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3DDF7FD5">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B组织。</w:t>
            </w:r>
          </w:p>
          <w:p w14:paraId="33C4A59A">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（1）在评标时安排每个投标人进行方案讲解演示。每个投标人时间不超过</w:t>
            </w:r>
            <w:r>
              <w:rPr>
                <w:rFonts w:hint="eastAsia" w:ascii="宋体" w:hAnsi="宋体" w:eastAsia="宋体" w:cs="宋体"/>
                <w:color w:val="auto"/>
                <w:kern w:val="0"/>
                <w:sz w:val="21"/>
                <w:szCs w:val="21"/>
                <w:highlight w:val="none"/>
                <w:u w:val="single"/>
                <w:lang w:val="en-US" w:eastAsia="zh-CN"/>
              </w:rPr>
              <w:t>15</w:t>
            </w:r>
            <w:r>
              <w:rPr>
                <w:rFonts w:hint="eastAsia" w:ascii="宋体" w:hAnsi="宋体" w:eastAsia="宋体" w:cs="宋体"/>
                <w:color w:val="auto"/>
                <w:kern w:val="0"/>
                <w:sz w:val="21"/>
                <w:szCs w:val="21"/>
                <w:highlight w:val="none"/>
              </w:rPr>
              <w:t>分钟，讲解次序以投标文件解密时间先后次序为准，讲解演示人员不超过</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rPr>
              <w:t>人。讲解演示结束后按要求解答评标委员会提问。</w:t>
            </w:r>
          </w:p>
          <w:p w14:paraId="7150B4C5">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（2）方案讲解演示：交易中心现场讲解演示。现场讲解地点为</w:t>
            </w:r>
            <w:r>
              <w:rPr>
                <w:rFonts w:hint="eastAsia" w:ascii="宋体" w:hAnsi="宋体" w:eastAsia="宋体" w:cs="宋体"/>
                <w:color w:val="auto"/>
                <w:kern w:val="0"/>
                <w:sz w:val="21"/>
                <w:szCs w:val="21"/>
                <w:highlight w:val="none"/>
                <w:u w:val="single"/>
                <w:lang w:val="en-US" w:eastAsia="zh-CN"/>
              </w:rPr>
              <w:t>宁海县公共资源交易中心七楼评标室</w:t>
            </w:r>
            <w:r>
              <w:rPr>
                <w:rFonts w:hint="eastAsia" w:ascii="宋体" w:hAnsi="宋体" w:eastAsia="宋体" w:cs="宋体"/>
                <w:color w:val="auto"/>
                <w:kern w:val="0"/>
                <w:sz w:val="21"/>
                <w:szCs w:val="21"/>
                <w:highlight w:val="none"/>
              </w:rPr>
              <w:t>，讲解演示所用电脑等设备</w:t>
            </w:r>
            <w:r>
              <w:rPr>
                <w:rFonts w:hint="eastAsia" w:ascii="宋体" w:hAnsi="宋体" w:eastAsia="宋体" w:cs="宋体"/>
                <w:color w:val="auto"/>
                <w:kern w:val="0"/>
                <w:sz w:val="21"/>
                <w:szCs w:val="21"/>
                <w:highlight w:val="none"/>
                <w:lang w:eastAsia="zh-CN"/>
              </w:rPr>
              <w:t>、材料（如PPT、各类设计图等）</w:t>
            </w:r>
            <w:r>
              <w:rPr>
                <w:rFonts w:hint="eastAsia" w:ascii="宋体" w:hAnsi="宋体" w:eastAsia="宋体" w:cs="宋体"/>
                <w:color w:val="auto"/>
                <w:kern w:val="0"/>
                <w:sz w:val="21"/>
                <w:szCs w:val="21"/>
                <w:highlight w:val="none"/>
              </w:rPr>
              <w:t>由投标人自备。现场讲解演示人员</w:t>
            </w:r>
            <w:r>
              <w:rPr>
                <w:rFonts w:hint="eastAsia" w:ascii="宋体" w:hAnsi="宋体" w:eastAsia="宋体" w:cs="宋体"/>
                <w:color w:val="auto"/>
                <w:kern w:val="0"/>
                <w:sz w:val="21"/>
                <w:szCs w:val="21"/>
                <w:highlight w:val="none"/>
                <w:lang w:val="en-US" w:eastAsia="zh-CN"/>
              </w:rPr>
              <w:t>在投标截止时间前进行签到确认，未按规定进行签到的</w:t>
            </w:r>
            <w:r>
              <w:rPr>
                <w:rFonts w:hint="eastAsia" w:ascii="宋体" w:hAnsi="宋体" w:eastAsia="宋体" w:cs="宋体"/>
                <w:color w:val="auto"/>
                <w:kern w:val="0"/>
                <w:sz w:val="21"/>
                <w:szCs w:val="21"/>
                <w:highlight w:val="none"/>
              </w:rPr>
              <w:t>不得讲解演示。</w:t>
            </w:r>
          </w:p>
          <w:p w14:paraId="220741DE">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注：因投标人自身原因导致无法演示或者演示效果不理想的，责任自负。</w:t>
            </w:r>
          </w:p>
        </w:tc>
      </w:tr>
      <w:tr w14:paraId="728FE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29" w:type="dxa"/>
            <w:vMerge w:val="restart"/>
            <w:tcBorders>
              <w:top w:val="single" w:color="auto" w:sz="4" w:space="0"/>
              <w:left w:val="single" w:color="auto" w:sz="4" w:space="0"/>
              <w:right w:val="single" w:color="auto" w:sz="4" w:space="0"/>
            </w:tcBorders>
            <w:vAlign w:val="center"/>
          </w:tcPr>
          <w:p w14:paraId="7D75CDED">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1263E1A">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6984" w:type="dxa"/>
            <w:tcBorders>
              <w:top w:val="single" w:color="000000" w:sz="8" w:space="0"/>
              <w:left w:val="single" w:color="000000" w:sz="2" w:space="0"/>
              <w:bottom w:val="single" w:color="auto" w:sz="4" w:space="0"/>
              <w:right w:val="single" w:color="000000" w:sz="8" w:space="0"/>
            </w:tcBorders>
            <w:vAlign w:val="center"/>
          </w:tcPr>
          <w:p w14:paraId="1587C8EC">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rPr>
              <w:t>见招标文件第二部分11.1</w:t>
            </w:r>
            <w:r>
              <w:rPr>
                <w:rFonts w:hint="eastAsia" w:ascii="宋体" w:hAnsi="宋体" w:eastAsia="宋体" w:cs="宋体"/>
                <w:color w:val="auto"/>
                <w:sz w:val="21"/>
                <w:szCs w:val="21"/>
                <w:highlight w:val="none"/>
              </w:rPr>
              <w:t>。</w:t>
            </w:r>
          </w:p>
          <w:p w14:paraId="0785F71A">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tc>
      </w:tr>
      <w:tr w14:paraId="47DBB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29" w:type="dxa"/>
            <w:vMerge w:val="continue"/>
            <w:tcBorders>
              <w:left w:val="single" w:color="auto" w:sz="4" w:space="0"/>
              <w:bottom w:val="single" w:color="auto" w:sz="4" w:space="0"/>
              <w:right w:val="single" w:color="auto" w:sz="4" w:space="0"/>
            </w:tcBorders>
            <w:vAlign w:val="center"/>
          </w:tcPr>
          <w:p w14:paraId="0B3A27B2">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color w:val="auto"/>
                <w:sz w:val="21"/>
                <w:szCs w:val="21"/>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55FD1FB">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b/>
                <w:color w:val="auto"/>
                <w:sz w:val="21"/>
                <w:szCs w:val="21"/>
                <w:highlight w:val="none"/>
              </w:rPr>
            </w:pPr>
          </w:p>
        </w:tc>
        <w:tc>
          <w:tcPr>
            <w:tcW w:w="6984" w:type="dxa"/>
            <w:tcBorders>
              <w:top w:val="single" w:color="auto" w:sz="4" w:space="0"/>
              <w:left w:val="single" w:color="000000" w:sz="2" w:space="0"/>
              <w:bottom w:val="single" w:color="000000" w:sz="8" w:space="0"/>
              <w:right w:val="single" w:color="000000" w:sz="8" w:space="0"/>
            </w:tcBorders>
            <w:vAlign w:val="center"/>
          </w:tcPr>
          <w:p w14:paraId="76F2AFD0">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33869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6B0126">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204B544">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6984" w:type="dxa"/>
            <w:tcBorders>
              <w:top w:val="single" w:color="000000" w:sz="8" w:space="0"/>
              <w:left w:val="single" w:color="000000" w:sz="2" w:space="0"/>
              <w:bottom w:val="single" w:color="000000" w:sz="8" w:space="0"/>
              <w:right w:val="single" w:color="000000" w:sz="8" w:space="0"/>
            </w:tcBorders>
            <w:vAlign w:val="center"/>
          </w:tcPr>
          <w:p w14:paraId="0B3025A9">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E610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F2F3047">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D23BBB6">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984" w:type="dxa"/>
            <w:tcBorders>
              <w:top w:val="single" w:color="000000" w:sz="8" w:space="0"/>
              <w:left w:val="single" w:color="000000" w:sz="2" w:space="0"/>
              <w:bottom w:val="single" w:color="000000" w:sz="8" w:space="0"/>
              <w:right w:val="single" w:color="000000" w:sz="8" w:space="0"/>
            </w:tcBorders>
            <w:vAlign w:val="center"/>
          </w:tcPr>
          <w:p w14:paraId="33721B0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p>
          <w:p w14:paraId="3DF2001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的投标总价须包含人员费用【包括人员基本工资、各类福利和补贴（如高温补贴、加班补贴等）、社保等】、系统设计、软件开发、软件测试、软件部署、系统培训、日常安全检查、安全补丁升级、设备供货、包装、运输、装卸、保险、仓储、货到就位以及施工安装、调试、检测验收、提交审计相应技术资料、返工、培训、保修、备品备件、技术培训、售后服务、税费合理利润、中标服务费等等为完成本次项目涉及的一切费用，采购人不再另行支付其他任何形式的费用。</w:t>
            </w:r>
          </w:p>
          <w:p w14:paraId="0866CDE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55E891D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3873571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2773301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lang w:eastAsia="zh-CN"/>
              </w:rPr>
              <w:t>；</w:t>
            </w:r>
          </w:p>
          <w:p w14:paraId="4635897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投标人对根据修正原则修正后的报价不确认的</w:t>
            </w:r>
            <w:r>
              <w:rPr>
                <w:rFonts w:hint="eastAsia" w:ascii="宋体" w:hAnsi="宋体" w:eastAsia="宋体" w:cs="宋体"/>
                <w:b/>
                <w:color w:val="auto"/>
                <w:sz w:val="21"/>
                <w:szCs w:val="21"/>
                <w:highlight w:val="none"/>
              </w:rPr>
              <w:t>。</w:t>
            </w:r>
          </w:p>
        </w:tc>
      </w:tr>
      <w:tr w14:paraId="45521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29" w:type="dxa"/>
            <w:tcBorders>
              <w:top w:val="single" w:color="auto" w:sz="4" w:space="0"/>
              <w:left w:val="single" w:color="000000" w:sz="8" w:space="0"/>
              <w:right w:val="single" w:color="000000" w:sz="2" w:space="0"/>
            </w:tcBorders>
            <w:vAlign w:val="center"/>
          </w:tcPr>
          <w:p w14:paraId="63618A63">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843" w:type="dxa"/>
            <w:tcBorders>
              <w:top w:val="single" w:color="000000" w:sz="8" w:space="0"/>
              <w:left w:val="single" w:color="000000" w:sz="2" w:space="0"/>
              <w:right w:val="single" w:color="000000" w:sz="8" w:space="0"/>
            </w:tcBorders>
            <w:vAlign w:val="center"/>
          </w:tcPr>
          <w:p w14:paraId="7F8E8129">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6984" w:type="dxa"/>
            <w:tcBorders>
              <w:top w:val="single" w:color="000000" w:sz="8" w:space="0"/>
              <w:left w:val="single" w:color="000000" w:sz="2" w:space="0"/>
              <w:right w:val="single" w:color="000000" w:sz="8" w:space="0"/>
            </w:tcBorders>
            <w:vAlign w:val="center"/>
          </w:tcPr>
          <w:p w14:paraId="3F3E012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1BA0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373F09">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171AACF">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备份投标文件送达</w:t>
            </w:r>
            <w:r>
              <w:rPr>
                <w:rFonts w:hint="eastAsia" w:ascii="宋体" w:hAnsi="宋体" w:eastAsia="宋体" w:cs="宋体"/>
                <w:b/>
                <w:color w:val="auto"/>
                <w:sz w:val="21"/>
                <w:szCs w:val="21"/>
                <w:highlight w:val="none"/>
                <w:lang w:val="en-US" w:eastAsia="zh-CN"/>
              </w:rPr>
              <w:t>时间、</w:t>
            </w:r>
            <w:r>
              <w:rPr>
                <w:rFonts w:hint="eastAsia" w:ascii="宋体" w:hAnsi="宋体" w:eastAsia="宋体" w:cs="宋体"/>
                <w:b/>
                <w:color w:val="auto"/>
                <w:sz w:val="21"/>
                <w:szCs w:val="21"/>
                <w:highlight w:val="none"/>
              </w:rPr>
              <w:t>地点和签收人员</w:t>
            </w:r>
          </w:p>
        </w:tc>
        <w:tc>
          <w:tcPr>
            <w:tcW w:w="6984" w:type="dxa"/>
            <w:tcBorders>
              <w:top w:val="single" w:color="000000" w:sz="8" w:space="0"/>
              <w:left w:val="single" w:color="000000" w:sz="2" w:space="0"/>
              <w:bottom w:val="single" w:color="000000" w:sz="8" w:space="0"/>
              <w:right w:val="single" w:color="000000" w:sz="8" w:space="0"/>
            </w:tcBorders>
            <w:vAlign w:val="center"/>
          </w:tcPr>
          <w:p w14:paraId="2F84E11C">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9"/>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（1）直接提交备份投标文件的：</w:t>
            </w:r>
          </w:p>
          <w:p w14:paraId="6C60AF4F">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9"/>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8"/>
                <w:sz w:val="21"/>
                <w:szCs w:val="21"/>
                <w:highlight w:val="none"/>
                <w:lang w:val="en-US" w:eastAsia="zh-CN" w:bidi="ar-SA"/>
              </w:rPr>
              <w:t>备份投标文件送达地点：</w:t>
            </w:r>
            <w:r>
              <w:rPr>
                <w:rFonts w:hint="eastAsia" w:ascii="宋体" w:hAnsi="宋体" w:eastAsia="宋体" w:cs="宋体"/>
                <w:snapToGrid w:val="0"/>
                <w:color w:val="auto"/>
                <w:kern w:val="28"/>
                <w:sz w:val="21"/>
                <w:szCs w:val="21"/>
                <w:highlight w:val="none"/>
                <w:u w:val="single"/>
                <w:lang w:val="en-US" w:eastAsia="zh-CN" w:bidi="ar-SA"/>
              </w:rPr>
              <w:t>宁海县公共资源交易中心五楼【具体受理场所详见当日电子指示屏】</w:t>
            </w:r>
            <w:r>
              <w:rPr>
                <w:rFonts w:hint="eastAsia" w:ascii="宋体" w:hAnsi="宋体" w:eastAsia="宋体" w:cs="宋体"/>
                <w:snapToGrid w:val="0"/>
                <w:color w:val="auto"/>
                <w:kern w:val="28"/>
                <w:sz w:val="21"/>
                <w:szCs w:val="21"/>
                <w:highlight w:val="none"/>
                <w:u w:val="none"/>
                <w:lang w:val="en-US" w:eastAsia="zh-CN" w:bidi="ar-SA"/>
              </w:rPr>
              <w:t>。</w:t>
            </w:r>
          </w:p>
          <w:p w14:paraId="51A61335">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9"/>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8"/>
                <w:sz w:val="21"/>
                <w:szCs w:val="21"/>
                <w:highlight w:val="none"/>
                <w:lang w:val="en-US" w:eastAsia="zh-CN" w:bidi="ar-SA"/>
              </w:rPr>
              <w:t>（2）</w:t>
            </w:r>
            <w:r>
              <w:rPr>
                <w:rFonts w:hint="eastAsia" w:ascii="宋体" w:hAnsi="宋体" w:eastAsia="宋体" w:cs="宋体"/>
                <w:snapToGrid w:val="0"/>
                <w:color w:val="auto"/>
                <w:kern w:val="2"/>
                <w:sz w:val="21"/>
                <w:szCs w:val="21"/>
                <w:highlight w:val="none"/>
                <w:lang w:val="en-US" w:eastAsia="zh-CN" w:bidi="ar-SA"/>
              </w:rPr>
              <w:t>以快递方式递交备份投标文件的：</w:t>
            </w:r>
          </w:p>
          <w:p w14:paraId="007E26A3">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9"/>
              <w:rPr>
                <w:rFonts w:hint="eastAsia" w:ascii="宋体" w:hAnsi="宋体" w:eastAsia="宋体" w:cs="宋体"/>
                <w:snapToGrid w:val="0"/>
                <w:color w:val="auto"/>
                <w:kern w:val="28"/>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备份投标文件送达</w:t>
            </w:r>
            <w:r>
              <w:rPr>
                <w:rFonts w:hint="eastAsia" w:ascii="宋体" w:hAnsi="宋体" w:eastAsia="宋体" w:cs="宋体"/>
                <w:snapToGrid w:val="0"/>
                <w:color w:val="auto"/>
                <w:kern w:val="2"/>
                <w:sz w:val="21"/>
                <w:szCs w:val="21"/>
                <w:highlight w:val="none"/>
                <w:lang w:val="en-US" w:eastAsia="zh-CN" w:bidi="ar-SA"/>
              </w:rPr>
              <w:t>截止时间：</w:t>
            </w:r>
            <w:r>
              <w:rPr>
                <w:rFonts w:hint="eastAsia" w:ascii="宋体" w:hAnsi="宋体" w:eastAsia="宋体" w:cs="宋体"/>
                <w:snapToGrid w:val="0"/>
                <w:color w:val="auto"/>
                <w:kern w:val="2"/>
                <w:sz w:val="21"/>
                <w:szCs w:val="21"/>
                <w:highlight w:val="none"/>
                <w:u w:val="single"/>
                <w:lang w:val="en-US" w:eastAsia="zh-CN" w:bidi="ar-SA"/>
              </w:rPr>
              <w:t>开标时间前一个工作日的16:00止</w:t>
            </w:r>
            <w:r>
              <w:rPr>
                <w:rFonts w:hint="eastAsia" w:ascii="宋体" w:hAnsi="宋体" w:eastAsia="宋体" w:cs="宋体"/>
                <w:snapToGrid w:val="0"/>
                <w:color w:val="auto"/>
                <w:kern w:val="2"/>
                <w:sz w:val="21"/>
                <w:szCs w:val="21"/>
                <w:highlight w:val="none"/>
                <w:u w:val="none"/>
                <w:lang w:val="en-US" w:eastAsia="zh-CN" w:bidi="ar-SA"/>
              </w:rPr>
              <w:t>。</w:t>
            </w:r>
          </w:p>
          <w:p w14:paraId="51936A49">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kern w:val="28"/>
                <w:sz w:val="21"/>
                <w:szCs w:val="21"/>
                <w:highlight w:val="none"/>
              </w:rPr>
            </w:pPr>
            <w:r>
              <w:rPr>
                <w:rFonts w:hint="eastAsia" w:ascii="宋体" w:hAnsi="宋体" w:eastAsia="宋体" w:cs="宋体"/>
                <w:snapToGrid w:val="0"/>
                <w:color w:val="auto"/>
                <w:kern w:val="28"/>
                <w:sz w:val="21"/>
                <w:szCs w:val="21"/>
                <w:highlight w:val="none"/>
                <w:lang w:val="en-US" w:eastAsia="zh-CN" w:bidi="ar-SA"/>
              </w:rPr>
              <w:t>备份投标文件送达地点：</w:t>
            </w:r>
            <w:r>
              <w:rPr>
                <w:rFonts w:hint="eastAsia" w:ascii="宋体" w:hAnsi="宋体" w:eastAsia="宋体" w:cs="宋体"/>
                <w:snapToGrid w:val="0"/>
                <w:color w:val="auto"/>
                <w:kern w:val="2"/>
                <w:sz w:val="21"/>
                <w:szCs w:val="21"/>
                <w:highlight w:val="none"/>
                <w:u w:val="single"/>
                <w:lang w:val="en-US" w:eastAsia="zh-CN" w:bidi="ar-SA"/>
              </w:rPr>
              <w:t xml:space="preserve">宁波市江北区唐虞路319号（创富商业中心） A座5楼 510 </w:t>
            </w:r>
            <w:r>
              <w:rPr>
                <w:rFonts w:hint="eastAsia" w:ascii="宋体" w:hAnsi="宋体" w:eastAsia="宋体" w:cs="宋体"/>
                <w:snapToGrid w:val="0"/>
                <w:color w:val="auto"/>
                <w:kern w:val="28"/>
                <w:sz w:val="21"/>
                <w:szCs w:val="21"/>
                <w:highlight w:val="none"/>
                <w:lang w:val="en-US" w:eastAsia="zh-CN" w:bidi="ar-SA"/>
              </w:rPr>
              <w:t>；备份投标文件签收人员联系电话：</w:t>
            </w:r>
            <w:r>
              <w:rPr>
                <w:rFonts w:hint="eastAsia" w:ascii="宋体" w:hAnsi="宋体" w:eastAsia="宋体" w:cs="宋体"/>
                <w:snapToGrid w:val="0"/>
                <w:color w:val="auto"/>
                <w:kern w:val="2"/>
                <w:sz w:val="21"/>
                <w:szCs w:val="21"/>
                <w:highlight w:val="none"/>
                <w:u w:val="single"/>
                <w:lang w:val="en-US" w:eastAsia="zh-CN" w:bidi="ar-SA"/>
              </w:rPr>
              <w:t>蔡青青0574-87636525</w:t>
            </w:r>
            <w:r>
              <w:rPr>
                <w:rFonts w:hint="eastAsia" w:ascii="宋体" w:hAnsi="宋体" w:eastAsia="宋体" w:cs="宋体"/>
                <w:snapToGrid w:val="0"/>
                <w:color w:val="auto"/>
                <w:kern w:val="2"/>
                <w:sz w:val="21"/>
                <w:szCs w:val="21"/>
                <w:highlight w:val="none"/>
                <w:lang w:val="en-US" w:eastAsia="zh-CN" w:bidi="ar-SA"/>
              </w:rPr>
              <w:t>。请各供应商确保密封包装在邮寄过程密封包装完好，因邮寄过程的密封破损造成不符合开标要求的，本采购代理及采购人概不负责。</w:t>
            </w:r>
            <w:r>
              <w:rPr>
                <w:rFonts w:hint="eastAsia" w:ascii="宋体" w:hAnsi="宋体" w:eastAsia="宋体" w:cs="宋体"/>
                <w:b/>
                <w:snapToGrid w:val="0"/>
                <w:color w:val="auto"/>
                <w:kern w:val="2"/>
                <w:sz w:val="21"/>
                <w:szCs w:val="21"/>
                <w:highlight w:val="none"/>
                <w:lang w:val="en-US" w:eastAsia="zh-CN" w:bidi="ar-SA"/>
              </w:rPr>
              <w:t>采购人、采购代理机构不强制或变相强制投标人提交备份投标文件。</w:t>
            </w:r>
          </w:p>
        </w:tc>
      </w:tr>
      <w:tr w14:paraId="6A54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704368E">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843" w:type="dxa"/>
            <w:tcBorders>
              <w:top w:val="single" w:color="auto" w:sz="4" w:space="0"/>
              <w:left w:val="single" w:color="auto" w:sz="4" w:space="0"/>
              <w:bottom w:val="single" w:color="auto" w:sz="4" w:space="0"/>
              <w:right w:val="single" w:color="auto" w:sz="4" w:space="0"/>
            </w:tcBorders>
            <w:vAlign w:val="center"/>
          </w:tcPr>
          <w:p w14:paraId="563E63DB">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6984" w:type="dxa"/>
            <w:tcBorders>
              <w:top w:val="single" w:color="000000" w:sz="8" w:space="0"/>
              <w:left w:val="single" w:color="auto" w:sz="4" w:space="0"/>
              <w:bottom w:val="single" w:color="000000" w:sz="8" w:space="0"/>
              <w:right w:val="single" w:color="000000" w:sz="8" w:space="0"/>
            </w:tcBorders>
            <w:vAlign w:val="center"/>
          </w:tcPr>
          <w:p w14:paraId="42E71402">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联合体投标的，联合体中有一方或者联合体成员按招标文件第四部分评标标准要求提供资信证明文件的，</w:t>
            </w:r>
            <w:r>
              <w:rPr>
                <w:rFonts w:hint="eastAsia" w:ascii="宋体" w:hAnsi="宋体" w:eastAsia="宋体" w:cs="宋体"/>
                <w:snapToGrid w:val="0"/>
                <w:color w:val="auto"/>
                <w:kern w:val="28"/>
                <w:sz w:val="21"/>
                <w:szCs w:val="21"/>
                <w:highlight w:val="none"/>
                <w:lang w:val="en-US" w:eastAsia="zh-CN"/>
              </w:rPr>
              <w:t>均</w:t>
            </w:r>
            <w:r>
              <w:rPr>
                <w:rFonts w:hint="eastAsia" w:ascii="宋体" w:hAnsi="宋体" w:eastAsia="宋体" w:cs="宋体"/>
                <w:snapToGrid w:val="0"/>
                <w:color w:val="auto"/>
                <w:kern w:val="28"/>
                <w:sz w:val="21"/>
                <w:szCs w:val="21"/>
                <w:highlight w:val="none"/>
              </w:rPr>
              <w:t>视为符合了相关要求。</w:t>
            </w:r>
          </w:p>
        </w:tc>
      </w:tr>
      <w:tr w14:paraId="2DDD8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FFC4324">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B74D6CA">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招标代理服务费</w:t>
            </w:r>
          </w:p>
        </w:tc>
        <w:tc>
          <w:tcPr>
            <w:tcW w:w="6984" w:type="dxa"/>
            <w:tcBorders>
              <w:top w:val="single" w:color="000000" w:sz="8" w:space="0"/>
              <w:left w:val="single" w:color="auto" w:sz="4" w:space="0"/>
              <w:bottom w:val="single" w:color="000000" w:sz="8" w:space="0"/>
              <w:right w:val="single" w:color="000000" w:sz="8" w:space="0"/>
            </w:tcBorders>
            <w:vAlign w:val="center"/>
          </w:tcPr>
          <w:p w14:paraId="0A41AC70">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snapToGrid w:val="0"/>
                <w:color w:val="auto"/>
                <w:kern w:val="28"/>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1、招标代理费：招标代理服务费</w:t>
            </w:r>
            <w:r>
              <w:rPr>
                <w:rFonts w:hint="eastAsia" w:ascii="宋体" w:hAnsi="宋体" w:cs="宋体"/>
                <w:snapToGrid w:val="0"/>
                <w:color w:val="auto"/>
                <w:kern w:val="28"/>
                <w:sz w:val="21"/>
                <w:szCs w:val="21"/>
                <w:highlight w:val="none"/>
                <w:lang w:val="en-US" w:eastAsia="zh-CN"/>
              </w:rPr>
              <w:t>为</w:t>
            </w:r>
            <w:r>
              <w:rPr>
                <w:rFonts w:hint="eastAsia" w:ascii="宋体" w:hAnsi="宋体" w:eastAsia="宋体" w:cs="宋体"/>
                <w:snapToGrid w:val="0"/>
                <w:color w:val="auto"/>
                <w:kern w:val="28"/>
                <w:sz w:val="21"/>
                <w:szCs w:val="21"/>
                <w:highlight w:val="none"/>
                <w:lang w:val="en-US" w:eastAsia="zh-CN"/>
              </w:rPr>
              <w:t xml:space="preserve">7520元，该费用由中标单位支付。 </w:t>
            </w:r>
          </w:p>
          <w:p w14:paraId="4E286CE5">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snapToGrid w:val="0"/>
                <w:color w:val="auto"/>
                <w:kern w:val="28"/>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2、招标代理服务费只收现金、银行票汇款、电汇款，由中标人一次性缴纳至一下账户：</w:t>
            </w:r>
          </w:p>
          <w:p w14:paraId="0F855445">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snapToGrid w:val="0"/>
                <w:color w:val="auto"/>
                <w:kern w:val="28"/>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账户名称：宁波市盛达工程管理咨询有限公司</w:t>
            </w:r>
          </w:p>
          <w:p w14:paraId="221A5377">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snapToGrid w:val="0"/>
                <w:color w:val="auto"/>
                <w:kern w:val="28"/>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开户银行：宁波银行南苑支行</w:t>
            </w:r>
          </w:p>
          <w:p w14:paraId="10B15CAE">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snapToGrid w:val="0"/>
                <w:color w:val="auto"/>
                <w:kern w:val="28"/>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账号：24040122000059033</w:t>
            </w:r>
          </w:p>
        </w:tc>
      </w:tr>
      <w:bookmarkEnd w:id="5"/>
    </w:tbl>
    <w:p w14:paraId="288EA735">
      <w:pPr>
        <w:kinsoku/>
        <w:wordWrap/>
        <w:overflowPunct/>
        <w:topLinePunct w:val="0"/>
        <w:bidi w:val="0"/>
        <w:outlineLvl w:val="9"/>
        <w:rPr>
          <w:rFonts w:hint="eastAsia" w:ascii="宋体" w:hAnsi="宋体" w:cs="宋体"/>
          <w:b/>
          <w:color w:val="auto"/>
          <w:sz w:val="32"/>
          <w:szCs w:val="20"/>
          <w:highlight w:val="none"/>
        </w:rPr>
      </w:pPr>
      <w:bookmarkStart w:id="7" w:name="_Toc164416483"/>
      <w:bookmarkStart w:id="8" w:name="第三部分"/>
      <w:r>
        <w:rPr>
          <w:rFonts w:hint="eastAsia" w:ascii="宋体" w:hAnsi="宋体" w:cs="宋体"/>
          <w:b/>
          <w:color w:val="auto"/>
          <w:sz w:val="32"/>
          <w:szCs w:val="20"/>
          <w:highlight w:val="none"/>
        </w:rPr>
        <w:br w:type="page"/>
      </w:r>
    </w:p>
    <w:p w14:paraId="4F0F8710">
      <w:pPr>
        <w:keepNext w:val="0"/>
        <w:keepLines w:val="0"/>
        <w:pageBreakBefore w:val="0"/>
        <w:widowControl w:val="0"/>
        <w:kinsoku/>
        <w:wordWrap/>
        <w:overflowPunct/>
        <w:topLinePunct w:val="0"/>
        <w:autoSpaceDE/>
        <w:autoSpaceDN/>
        <w:bidi w:val="0"/>
        <w:adjustRightInd/>
        <w:spacing w:before="157" w:beforeLines="50" w:beforeAutospacing="0" w:after="157" w:afterLines="50" w:line="360" w:lineRule="auto"/>
        <w:ind w:left="0" w:leftChars="0" w:firstLine="0" w:firstLineChars="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14:paraId="22023B0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1.适用范围</w:t>
      </w:r>
    </w:p>
    <w:p w14:paraId="50A44E45">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14:paraId="5C8D4D53">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w:t>
      </w:r>
    </w:p>
    <w:p w14:paraId="15C4E42C">
      <w:pPr>
        <w:keepNext w:val="0"/>
        <w:keepLines w:val="0"/>
        <w:pageBreakBefore w:val="0"/>
        <w:kinsoku/>
        <w:wordWrap/>
        <w:overflowPunct/>
        <w:topLinePunct w:val="0"/>
        <w:autoSpaceDE/>
        <w:autoSpaceDN/>
        <w:bidi w:val="0"/>
        <w:adjustRightInd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“采购人”系指招标公告中载明的本项目的采购人。</w:t>
      </w:r>
    </w:p>
    <w:p w14:paraId="53EDC453">
      <w:pPr>
        <w:keepNext w:val="0"/>
        <w:keepLines w:val="0"/>
        <w:pageBreakBefore w:val="0"/>
        <w:kinsoku/>
        <w:wordWrap/>
        <w:overflowPunct/>
        <w:topLinePunct w:val="0"/>
        <w:autoSpaceDE/>
        <w:autoSpaceDN/>
        <w:bidi w:val="0"/>
        <w:adjustRightInd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”系指招标公告中载明的本项目的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79512B1D">
      <w:pPr>
        <w:keepNext w:val="0"/>
        <w:keepLines w:val="0"/>
        <w:pageBreakBefore w:val="0"/>
        <w:kinsoku/>
        <w:wordWrap/>
        <w:overflowPunct/>
        <w:topLinePunct w:val="0"/>
        <w:autoSpaceDE/>
        <w:autoSpaceDN/>
        <w:bidi w:val="0"/>
        <w:adjustRightInd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“投标人”系指是指响应招标、参加投标竞争的法人、其他组织或者自然人。</w:t>
      </w:r>
    </w:p>
    <w:p w14:paraId="3F841B8F">
      <w:pPr>
        <w:keepNext w:val="0"/>
        <w:keepLines w:val="0"/>
        <w:pageBreakBefore w:val="0"/>
        <w:kinsoku/>
        <w:wordWrap/>
        <w:overflowPunct/>
        <w:topLinePunct w:val="0"/>
        <w:autoSpaceDE/>
        <w:autoSpaceDN/>
        <w:bidi w:val="0"/>
        <w:adjustRightInd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“负责人”系指法人企业的法定负责人，或其他组织为法律、行政法规规定代表单位行使职权的主要负责人，或自然人本人。</w:t>
      </w:r>
    </w:p>
    <w:p w14:paraId="3E7D88D9">
      <w:pPr>
        <w:keepNext w:val="0"/>
        <w:keepLines w:val="0"/>
        <w:pageBreakBefore w:val="0"/>
        <w:kinsoku/>
        <w:wordWrap/>
        <w:overflowPunct/>
        <w:topLinePunct w:val="0"/>
        <w:autoSpaceDE/>
        <w:autoSpaceDN/>
        <w:bidi w:val="0"/>
        <w:adjustRightInd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4FBE83">
      <w:pPr>
        <w:keepNext w:val="0"/>
        <w:keepLines w:val="0"/>
        <w:pageBreakBefore w:val="0"/>
        <w:kinsoku/>
        <w:wordWrap/>
        <w:overflowPunct/>
        <w:topLinePunct w:val="0"/>
        <w:autoSpaceDE/>
        <w:autoSpaceDN/>
        <w:bidi w:val="0"/>
        <w:adjustRightInd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指本项目政府采购活动所依托的政府采购云平台（https://www.zcygov.cn/）。</w:t>
      </w:r>
    </w:p>
    <w:p w14:paraId="6E7B38AE">
      <w:pPr>
        <w:keepNext w:val="0"/>
        <w:keepLines w:val="0"/>
        <w:pageBreakBefore w:val="0"/>
        <w:kinsoku/>
        <w:wordWrap/>
        <w:overflowPunct/>
        <w:topLinePunct w:val="0"/>
        <w:autoSpaceDE/>
        <w:autoSpaceDN/>
        <w:bidi w:val="0"/>
        <w:adjustRightInd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sz w:val="21"/>
          <w:szCs w:val="21"/>
          <w:highlight w:val="none"/>
        </w:rPr>
        <w:t>” 系指适用本项目的要求，“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eastAsia="宋体" w:cs="宋体"/>
          <w:color w:val="auto"/>
          <w:sz w:val="21"/>
          <w:szCs w:val="21"/>
          <w:highlight w:val="none"/>
        </w:rPr>
        <w:t>” 系指不适用本项目的要求。</w:t>
      </w:r>
    </w:p>
    <w:p w14:paraId="395F55C3">
      <w:pPr>
        <w:keepNext w:val="0"/>
        <w:keepLines w:val="0"/>
        <w:pageBreakBefore w:val="0"/>
        <w:widowControl w:val="0"/>
        <w:kinsoku/>
        <w:wordWrap/>
        <w:overflowPunct/>
        <w:topLinePunct w:val="0"/>
        <w:autoSpaceDE/>
        <w:autoSpaceDN/>
        <w:bidi w:val="0"/>
        <w:adjustRightInd w:val="0"/>
        <w:spacing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3.采购项目需要落实的政府采购政策</w:t>
      </w:r>
    </w:p>
    <w:p w14:paraId="0D85CD5D">
      <w:pPr>
        <w:keepNext w:val="0"/>
        <w:keepLines w:val="0"/>
        <w:pageBreakBefore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681647C1">
      <w:pPr>
        <w:keepNext w:val="0"/>
        <w:keepLines w:val="0"/>
        <w:pageBreakBefore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支持绿色发展</w:t>
      </w:r>
    </w:p>
    <w:p w14:paraId="2CAF944D">
      <w:pPr>
        <w:keepNext w:val="0"/>
        <w:keepLines w:val="0"/>
        <w:pageBreakBefore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5FC105E7">
      <w:pPr>
        <w:keepNext w:val="0"/>
        <w:keepLines w:val="0"/>
        <w:pageBreakBefore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修缮、装修类项目采购建材的，采购人应将绿色建筑和绿色建材性能、指标等作为实质性条件纳入招标文件和合同。</w:t>
      </w:r>
    </w:p>
    <w:p w14:paraId="45CC1852">
      <w:pPr>
        <w:keepNext w:val="0"/>
        <w:keepLines w:val="0"/>
        <w:pageBreakBefore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9A4BCED">
      <w:pPr>
        <w:keepNext w:val="0"/>
        <w:keepLines w:val="0"/>
        <w:pageBreakBefore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4B3C0B9E">
      <w:pPr>
        <w:keepNext w:val="0"/>
        <w:keepLines w:val="0"/>
        <w:pageBreakBefore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3.3支持中小企业发展</w:t>
      </w:r>
    </w:p>
    <w:p w14:paraId="4D7D8F86">
      <w:pPr>
        <w:keepNext w:val="0"/>
        <w:keepLines w:val="0"/>
        <w:pageBreakBefore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704576">
      <w:pPr>
        <w:keepNext w:val="0"/>
        <w:keepLines w:val="0"/>
        <w:pageBreakBefore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3C24344B">
      <w:pPr>
        <w:keepNext w:val="0"/>
        <w:keepLines w:val="0"/>
        <w:pageBreakBefore w:val="0"/>
        <w:widowControl/>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3.3.2</w:t>
      </w:r>
      <w:r>
        <w:rPr>
          <w:rFonts w:hint="eastAsia" w:ascii="宋体" w:hAnsi="宋体" w:eastAsia="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B0BBA98">
      <w:pPr>
        <w:keepNext w:val="0"/>
        <w:keepLines w:val="0"/>
        <w:pageBreakBefore w:val="0"/>
        <w:widowControl/>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6913CF36">
      <w:pPr>
        <w:keepNext w:val="0"/>
        <w:keepLines w:val="0"/>
        <w:pageBreakBefore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8550B25">
      <w:pPr>
        <w:keepNext w:val="0"/>
        <w:keepLines w:val="0"/>
        <w:pageBreakBefore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061DDFF7">
      <w:pPr>
        <w:keepNext w:val="0"/>
        <w:keepLines w:val="0"/>
        <w:pageBreakBefore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50A818">
      <w:pPr>
        <w:keepNext w:val="0"/>
        <w:keepLines w:val="0"/>
        <w:pageBreakBefore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9312265">
      <w:pPr>
        <w:keepNext w:val="0"/>
        <w:keepLines w:val="0"/>
        <w:pageBreakBefore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3.3.7中小企业享受扶持政策获得政府采购合同的，小微企业不得将合同分包给大中型企业，中型企业不得将合同分包给大型企业。</w:t>
      </w:r>
    </w:p>
    <w:p w14:paraId="7868BA17">
      <w:pPr>
        <w:keepNext w:val="0"/>
        <w:keepLines w:val="0"/>
        <w:pageBreakBefore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bCs/>
          <w:color w:val="auto"/>
          <w:sz w:val="21"/>
          <w:szCs w:val="21"/>
          <w:highlight w:val="none"/>
        </w:rPr>
        <w:t>支持创新发展</w:t>
      </w:r>
    </w:p>
    <w:p w14:paraId="214B3692">
      <w:pPr>
        <w:keepNext w:val="0"/>
        <w:keepLines w:val="0"/>
        <w:pageBreakBefore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3.4.1采购人优先采购被认定为首台套产品和“制造精品”的自主创新产品。</w:t>
      </w:r>
    </w:p>
    <w:p w14:paraId="730B97DE">
      <w:pPr>
        <w:keepNext w:val="0"/>
        <w:keepLines w:val="0"/>
        <w:pageBreakBefore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054EB47">
      <w:pPr>
        <w:keepNext w:val="0"/>
        <w:keepLines w:val="0"/>
        <w:pageBreakBefore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3.5平等对待内外资企业和符合条件的破产重整企业</w:t>
      </w:r>
    </w:p>
    <w:p w14:paraId="779EA4CC">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p>
    <w:p w14:paraId="4629B5DA">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4.询问、质疑、投诉</w:t>
      </w:r>
    </w:p>
    <w:p w14:paraId="65688995">
      <w:pPr>
        <w:keepNext w:val="0"/>
        <w:keepLines w:val="0"/>
        <w:pageBreakBefore w:val="0"/>
        <w:kinsoku/>
        <w:wordWrap/>
        <w:overflowPunct/>
        <w:topLinePunct w:val="0"/>
        <w:autoSpaceDE w:val="0"/>
        <w:autoSpaceDN w:val="0"/>
        <w:bidi w:val="0"/>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6FB699">
      <w:pPr>
        <w:keepNext w:val="0"/>
        <w:keepLines w:val="0"/>
        <w:pageBreakBefore w:val="0"/>
        <w:kinsoku/>
        <w:wordWrap/>
        <w:overflowPunct/>
        <w:topLinePunct w:val="0"/>
        <w:autoSpaceDE w:val="0"/>
        <w:autoSpaceDN w:val="0"/>
        <w:bidi w:val="0"/>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4.2供应商询问</w:t>
      </w:r>
    </w:p>
    <w:p w14:paraId="26312F3A">
      <w:pPr>
        <w:keepNext w:val="0"/>
        <w:keepLines w:val="0"/>
        <w:pageBreakBefore w:val="0"/>
        <w:kinsoku/>
        <w:wordWrap/>
        <w:overflowPunct/>
        <w:topLinePunct w:val="0"/>
        <w:autoSpaceDE w:val="0"/>
        <w:autoSpaceDN w:val="0"/>
        <w:bidi w:val="0"/>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45214A">
      <w:pPr>
        <w:keepNext w:val="0"/>
        <w:keepLines w:val="0"/>
        <w:pageBreakBefore w:val="0"/>
        <w:kinsoku/>
        <w:wordWrap/>
        <w:overflowPunct/>
        <w:topLinePunct w:val="0"/>
        <w:autoSpaceDE w:val="0"/>
        <w:autoSpaceDN w:val="0"/>
        <w:bidi w:val="0"/>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4.3供应商质疑</w:t>
      </w:r>
    </w:p>
    <w:p w14:paraId="5549E9C3">
      <w:pPr>
        <w:pStyle w:val="33"/>
        <w:keepNext w:val="0"/>
        <w:keepLines w:val="0"/>
        <w:pageBreakBefore w:val="0"/>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.1提出质疑的供应商应当是参与所质疑项目采购活动的供应商。潜在供应商已依法获取其可质疑的招标文件的，可以对该文件提出质疑。</w:t>
      </w:r>
    </w:p>
    <w:p w14:paraId="2DF340E5">
      <w:pPr>
        <w:pStyle w:val="33"/>
        <w:keepNext w:val="0"/>
        <w:keepLines w:val="0"/>
        <w:pageBreakBefore w:val="0"/>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提出质疑，否则，采购人或者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不予受理：</w:t>
      </w:r>
    </w:p>
    <w:p w14:paraId="2C68E2BD">
      <w:pPr>
        <w:pStyle w:val="16"/>
        <w:keepNext w:val="0"/>
        <w:keepLines w:val="0"/>
        <w:pageBreakBefore w:val="0"/>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4.3.2.1对招标文件提出质疑的，质疑期限为供应商获得招标文件之日或者招标文件公告期限届满之日起计算。</w:t>
      </w:r>
    </w:p>
    <w:p w14:paraId="168DC355">
      <w:pPr>
        <w:pStyle w:val="33"/>
        <w:keepNext w:val="0"/>
        <w:keepLines w:val="0"/>
        <w:pageBreakBefore w:val="0"/>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4.3.2.2对采购过程提出质疑的，质疑期限为各采购程序环节结束之日起计算。4.3.2.3对采购结果提出质疑的，质疑期限自采购结果公告期限届满之日起计算。</w:t>
      </w:r>
    </w:p>
    <w:p w14:paraId="4D2B2EC2">
      <w:pPr>
        <w:pStyle w:val="33"/>
        <w:keepNext w:val="0"/>
        <w:keepLines w:val="0"/>
        <w:pageBreakBefore w:val="0"/>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w:t>
      </w:r>
      <w:r>
        <w:rPr>
          <w:rFonts w:hint="eastAsia" w:ascii="宋体" w:hAnsi="宋体" w:eastAsia="宋体" w:cs="宋体"/>
          <w:color w:val="auto"/>
          <w:sz w:val="21"/>
          <w:szCs w:val="21"/>
          <w:highlight w:val="none"/>
        </w:rPr>
        <w:t>供应商提出质疑应当提交质疑函和必要的证明材料。质疑函应当包括下列内容：</w:t>
      </w:r>
    </w:p>
    <w:p w14:paraId="10BED33D">
      <w:pPr>
        <w:pStyle w:val="33"/>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4.3.3.1供应商的姓名或者名称、地址、邮编、联系人及联系电话；</w:t>
      </w:r>
    </w:p>
    <w:p w14:paraId="4577D175">
      <w:pPr>
        <w:pStyle w:val="33"/>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4.3.3.2质疑项目的名称、编号；</w:t>
      </w:r>
    </w:p>
    <w:p w14:paraId="73F06D12">
      <w:pPr>
        <w:pStyle w:val="33"/>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4.3.3.3具体、明确的质疑事项和与质疑事项相关的请求；</w:t>
      </w:r>
    </w:p>
    <w:p w14:paraId="3C7A7EF6">
      <w:pPr>
        <w:pStyle w:val="33"/>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4.3.3.4事实依据；</w:t>
      </w:r>
    </w:p>
    <w:p w14:paraId="58E8345E">
      <w:pPr>
        <w:pStyle w:val="33"/>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4.3.3.5必要的法律依据；</w:t>
      </w:r>
    </w:p>
    <w:p w14:paraId="39BDC5EA">
      <w:pPr>
        <w:pStyle w:val="33"/>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4.3.3.6提出质疑的日期。</w:t>
      </w:r>
    </w:p>
    <w:p w14:paraId="45D40962">
      <w:pPr>
        <w:pStyle w:val="89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提交的质疑函需一式三份。供应商为自然人的，应当由本人签字；供应商为法人或者其他组织的，应当由法定代表人、主要负责人，或者其授权代表签字或者盖章，并加盖公章。</w:t>
      </w:r>
    </w:p>
    <w:p w14:paraId="707150E3">
      <w:pPr>
        <w:pStyle w:val="890"/>
        <w:keepNext w:val="0"/>
        <w:keepLines w:val="0"/>
        <w:pageBreakBefore w:val="0"/>
        <w:shd w:val="clear" w:color="auto"/>
        <w:kinsoku/>
        <w:wordWrap/>
        <w:overflowPunct/>
        <w:topLinePunct w:val="0"/>
        <w:bidi w:val="0"/>
        <w:snapToGrid w:val="0"/>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质疑函范本及制作说明详见附件2。</w:t>
      </w:r>
    </w:p>
    <w:p w14:paraId="5528F1B8">
      <w:pPr>
        <w:pStyle w:val="890"/>
        <w:keepNext w:val="0"/>
        <w:keepLines w:val="0"/>
        <w:pageBreakBefore w:val="0"/>
        <w:shd w:val="clear" w:color="auto"/>
        <w:kinsoku/>
        <w:wordWrap/>
        <w:overflowPunct/>
        <w:topLinePunct w:val="0"/>
        <w:bidi w:val="0"/>
        <w:snapToGrid w:val="0"/>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4.3.4对同一采购程序环节的质疑，供应商须在法定质疑期内一次性提出。</w:t>
      </w:r>
    </w:p>
    <w:p w14:paraId="118A95DE">
      <w:pPr>
        <w:pStyle w:val="890"/>
        <w:keepNext w:val="0"/>
        <w:keepLines w:val="0"/>
        <w:pageBreakBefore w:val="0"/>
        <w:shd w:val="clear" w:color="auto"/>
        <w:kinsoku/>
        <w:wordWrap/>
        <w:overflowPunct/>
        <w:topLinePunct w:val="0"/>
        <w:bidi w:val="0"/>
        <w:snapToGrid w:val="0"/>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.5采购人或者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color w:val="auto"/>
          <w:sz w:val="21"/>
          <w:szCs w:val="21"/>
          <w:highlight w:val="none"/>
          <w:lang w:val="en-US" w:eastAsia="zh-CN"/>
        </w:rPr>
        <w:t>浙江省财政厅</w:t>
      </w:r>
      <w:r>
        <w:rPr>
          <w:rFonts w:hint="eastAsia" w:ascii="宋体" w:hAnsi="宋体" w:eastAsia="宋体" w:cs="宋体"/>
          <w:color w:val="auto"/>
          <w:sz w:val="21"/>
          <w:szCs w:val="21"/>
          <w:highlight w:val="none"/>
        </w:rPr>
        <w:t>关于进一步加强政府采购公</w:t>
      </w:r>
      <w:r>
        <w:rPr>
          <w:rFonts w:hint="eastAsia" w:ascii="宋体" w:hAnsi="宋体" w:eastAsia="宋体" w:cs="宋体"/>
          <w:color w:val="auto"/>
          <w:sz w:val="21"/>
          <w:szCs w:val="21"/>
          <w:highlight w:val="none"/>
          <w:lang w:val="en-US" w:eastAsia="zh-CN"/>
        </w:rPr>
        <w:t>平竞争打造最</w:t>
      </w:r>
      <w:r>
        <w:rPr>
          <w:rFonts w:hint="eastAsia" w:ascii="宋体" w:hAnsi="宋体" w:eastAsia="宋体" w:cs="宋体"/>
          <w:color w:val="auto"/>
          <w:sz w:val="21"/>
          <w:szCs w:val="21"/>
          <w:highlight w:val="none"/>
        </w:rPr>
        <w:t>优营商环境的通知》（</w:t>
      </w:r>
      <w:r>
        <w:rPr>
          <w:rFonts w:hint="eastAsia" w:ascii="宋体" w:hAnsi="宋体" w:eastAsia="宋体" w:cs="宋体"/>
          <w:color w:val="auto"/>
          <w:sz w:val="21"/>
          <w:szCs w:val="21"/>
          <w:highlight w:val="none"/>
          <w:lang w:val="en-US" w:eastAsia="zh-CN"/>
        </w:rPr>
        <w:t>浙</w:t>
      </w:r>
      <w:r>
        <w:rPr>
          <w:rFonts w:hint="eastAsia" w:ascii="宋体" w:hAnsi="宋体" w:eastAsia="宋体" w:cs="宋体"/>
          <w:color w:val="auto"/>
          <w:sz w:val="21"/>
          <w:szCs w:val="21"/>
          <w:highlight w:val="none"/>
        </w:rPr>
        <w:t>财采监〔2021〕</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在质疑回复后5个工作日内，在浙江政府采购网的“其他公告”栏目公开质疑答复，答复内容应当完整。质疑函作为附件上传。</w:t>
      </w:r>
    </w:p>
    <w:p w14:paraId="5350DD1D">
      <w:pPr>
        <w:pStyle w:val="890"/>
        <w:keepNext w:val="0"/>
        <w:keepLines w:val="0"/>
        <w:pageBreakBefore w:val="0"/>
        <w:shd w:val="clear" w:color="auto"/>
        <w:kinsoku/>
        <w:wordWrap/>
        <w:overflowPunct/>
        <w:topLinePunct w:val="0"/>
        <w:bidi w:val="0"/>
        <w:snapToGrid w:val="0"/>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.6询问或者质疑事项可能影响采购结果的，采购人应当暂停签订合同，已经签订合同的，应当中止履行合同。</w:t>
      </w:r>
    </w:p>
    <w:p w14:paraId="61DCBE18">
      <w:pPr>
        <w:pStyle w:val="890"/>
        <w:keepNext w:val="0"/>
        <w:keepLines w:val="0"/>
        <w:pageBreakBefore w:val="0"/>
        <w:shd w:val="clear" w:color="auto"/>
        <w:kinsoku/>
        <w:wordWrap/>
        <w:overflowPunct/>
        <w:topLinePunct w:val="0"/>
        <w:bidi w:val="0"/>
        <w:snapToGrid w:val="0"/>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4.4供应商投诉</w:t>
      </w:r>
    </w:p>
    <w:p w14:paraId="1A3AB462">
      <w:pPr>
        <w:pStyle w:val="890"/>
        <w:keepNext w:val="0"/>
        <w:keepLines w:val="0"/>
        <w:pageBreakBefore w:val="0"/>
        <w:shd w:val="clear" w:color="auto"/>
        <w:kinsoku/>
        <w:wordWrap/>
        <w:overflowPunct/>
        <w:topLinePunct w:val="0"/>
        <w:bidi w:val="0"/>
        <w:snapToGrid w:val="0"/>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未在规定的时间内作出答复的，可以在答复期满后十五个工作日内向同级政府采购监督管理部门提出投诉。</w:t>
      </w:r>
    </w:p>
    <w:p w14:paraId="1F2A50B1">
      <w:pPr>
        <w:pStyle w:val="890"/>
        <w:keepNext w:val="0"/>
        <w:keepLines w:val="0"/>
        <w:pageBreakBefore w:val="0"/>
        <w:shd w:val="clear" w:color="auto"/>
        <w:kinsoku/>
        <w:wordWrap/>
        <w:overflowPunct/>
        <w:topLinePunct w:val="0"/>
        <w:bidi w:val="0"/>
        <w:snapToGrid w:val="0"/>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50571FB0">
      <w:pPr>
        <w:pStyle w:val="890"/>
        <w:keepNext w:val="0"/>
        <w:keepLines w:val="0"/>
        <w:pageBreakBefore w:val="0"/>
        <w:shd w:val="clear" w:color="auto"/>
        <w:kinsoku/>
        <w:wordWrap/>
        <w:overflowPunct/>
        <w:topLinePunct w:val="0"/>
        <w:bidi w:val="0"/>
        <w:snapToGrid w:val="0"/>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4.4.3供应商投诉应当有明确的请求和必要的证明材料。</w:t>
      </w:r>
    </w:p>
    <w:p w14:paraId="67E11BD7">
      <w:pPr>
        <w:pStyle w:val="890"/>
        <w:keepNext w:val="0"/>
        <w:keepLines w:val="0"/>
        <w:pageBreakBefore w:val="0"/>
        <w:shd w:val="clear" w:color="auto"/>
        <w:kinsoku/>
        <w:wordWrap/>
        <w:overflowPunct/>
        <w:topLinePunct w:val="0"/>
        <w:bidi w:val="0"/>
        <w:snapToGrid w:val="0"/>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4.4.4以联合体形式参加政府采购活动的，其投诉应当由组成联合体的所有供应商共同提出。</w:t>
      </w:r>
    </w:p>
    <w:p w14:paraId="0898BC6D">
      <w:pPr>
        <w:pStyle w:val="890"/>
        <w:keepNext w:val="0"/>
        <w:keepLines w:val="0"/>
        <w:pageBreakBefore w:val="0"/>
        <w:shd w:val="clear" w:color="auto"/>
        <w:kinsoku/>
        <w:wordWrap/>
        <w:overflowPunct/>
        <w:topLinePunct w:val="0"/>
        <w:bidi w:val="0"/>
        <w:snapToGrid w:val="0"/>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4.4.5投诉材料寄送</w:t>
      </w:r>
      <w:r>
        <w:rPr>
          <w:rFonts w:hint="eastAsia" w:ascii="宋体" w:hAnsi="宋体" w:eastAsia="宋体" w:cs="宋体"/>
          <w:color w:val="auto"/>
          <w:sz w:val="21"/>
          <w:szCs w:val="21"/>
          <w:highlight w:val="none"/>
          <w:lang w:val="en-US" w:eastAsia="zh-CN"/>
        </w:rPr>
        <w:t>相关信息详见《第一部分  招标公告》“七、对本次采购提出询问、质疑、投诉，请按以下方式联系  3.同级政府采购监督管理部门”。</w:t>
      </w:r>
    </w:p>
    <w:p w14:paraId="474038B6">
      <w:pPr>
        <w:pStyle w:val="890"/>
        <w:keepNext w:val="0"/>
        <w:keepLines w:val="0"/>
        <w:pageBreakBefore w:val="0"/>
        <w:shd w:val="clear" w:color="auto"/>
        <w:kinsoku/>
        <w:wordWrap/>
        <w:overflowPunct/>
        <w:topLinePunct w:val="0"/>
        <w:bidi w:val="0"/>
        <w:snapToGrid w:val="0"/>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投诉书范本及制作说明详见附件3。</w:t>
      </w:r>
    </w:p>
    <w:p w14:paraId="7BAEE106">
      <w:pPr>
        <w:keepNext w:val="0"/>
        <w:keepLines w:val="0"/>
        <w:pageBreakBefore w:val="0"/>
        <w:widowControl w:val="0"/>
        <w:kinsoku/>
        <w:wordWrap/>
        <w:overflowPunct/>
        <w:topLinePunct w:val="0"/>
        <w:autoSpaceDE/>
        <w:autoSpaceDN/>
        <w:bidi w:val="0"/>
        <w:adjustRightInd/>
        <w:spacing w:before="157" w:beforeLines="50" w:beforeAutospacing="0" w:after="157" w:afterLines="50" w:line="360" w:lineRule="auto"/>
        <w:ind w:left="0" w:leftChars="0" w:firstLine="0" w:firstLineChars="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二、招标文件的构成、澄清、修改</w:t>
      </w:r>
    </w:p>
    <w:p w14:paraId="37502764">
      <w:pPr>
        <w:pStyle w:val="33"/>
        <w:keepNext w:val="0"/>
        <w:keepLines w:val="0"/>
        <w:pageBreakBefore w:val="0"/>
        <w:widowControl w:val="0"/>
        <w:kinsoku/>
        <w:wordWrap/>
        <w:overflowPunct/>
        <w:topLinePunct w:val="0"/>
        <w:autoSpaceDE/>
        <w:autoSpaceDN/>
        <w:bidi w:val="0"/>
        <w:adjustRightInd w:val="0"/>
        <w:spacing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5．招标文件的构成</w:t>
      </w:r>
    </w:p>
    <w:p w14:paraId="52F34DEF">
      <w:pPr>
        <w:pStyle w:val="33"/>
        <w:keepNext w:val="0"/>
        <w:keepLines w:val="0"/>
        <w:pageBreakBefore w:val="0"/>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招标文件包括下列文件及附件：</w:t>
      </w:r>
    </w:p>
    <w:p w14:paraId="6CC8C615">
      <w:pPr>
        <w:pStyle w:val="33"/>
        <w:keepNext w:val="0"/>
        <w:keepLines w:val="0"/>
        <w:pageBreakBefore w:val="0"/>
        <w:tabs>
          <w:tab w:val="left" w:pos="840"/>
        </w:tabs>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5.1.1招标公告；</w:t>
      </w:r>
    </w:p>
    <w:p w14:paraId="06B40376">
      <w:pPr>
        <w:pStyle w:val="33"/>
        <w:keepNext w:val="0"/>
        <w:keepLines w:val="0"/>
        <w:pageBreakBefore w:val="0"/>
        <w:tabs>
          <w:tab w:val="left" w:pos="840"/>
        </w:tabs>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5.1.2投标人须知；</w:t>
      </w:r>
    </w:p>
    <w:p w14:paraId="2837F1BF">
      <w:pPr>
        <w:pStyle w:val="33"/>
        <w:keepNext w:val="0"/>
        <w:keepLines w:val="0"/>
        <w:pageBreakBefore w:val="0"/>
        <w:tabs>
          <w:tab w:val="left" w:pos="840"/>
        </w:tabs>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5.1.3采购需求；</w:t>
      </w:r>
    </w:p>
    <w:p w14:paraId="28811529">
      <w:pPr>
        <w:pStyle w:val="33"/>
        <w:keepNext w:val="0"/>
        <w:keepLines w:val="0"/>
        <w:pageBreakBefore w:val="0"/>
        <w:tabs>
          <w:tab w:val="left" w:pos="840"/>
        </w:tabs>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5.1.4评标办法；</w:t>
      </w:r>
    </w:p>
    <w:p w14:paraId="4EA1999C">
      <w:pPr>
        <w:pStyle w:val="33"/>
        <w:keepNext w:val="0"/>
        <w:keepLines w:val="0"/>
        <w:pageBreakBefore w:val="0"/>
        <w:tabs>
          <w:tab w:val="left" w:pos="840"/>
        </w:tabs>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5.1.5拟签订的合同文本；</w:t>
      </w:r>
    </w:p>
    <w:p w14:paraId="56DDD717">
      <w:pPr>
        <w:pStyle w:val="33"/>
        <w:keepNext w:val="0"/>
        <w:keepLines w:val="0"/>
        <w:pageBreakBefore w:val="0"/>
        <w:tabs>
          <w:tab w:val="left" w:pos="840"/>
        </w:tabs>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5.1.6应提交的有关格式范例。</w:t>
      </w:r>
    </w:p>
    <w:p w14:paraId="6659A006">
      <w:pPr>
        <w:keepNext w:val="0"/>
        <w:keepLines w:val="0"/>
        <w:pageBreakBefore w:val="0"/>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5.2与本项目有关的</w:t>
      </w:r>
      <w:r>
        <w:rPr>
          <w:rFonts w:hint="eastAsia" w:ascii="宋体" w:hAnsi="宋体" w:eastAsia="宋体" w:cs="宋体"/>
          <w:bCs/>
          <w:color w:val="auto"/>
          <w:sz w:val="21"/>
          <w:szCs w:val="21"/>
          <w:highlight w:val="none"/>
        </w:rPr>
        <w:t>澄清或者修改的内容为招标文件的组成部分</w:t>
      </w:r>
      <w:r>
        <w:rPr>
          <w:rFonts w:hint="eastAsia" w:ascii="宋体" w:hAnsi="宋体" w:eastAsia="宋体" w:cs="宋体"/>
          <w:color w:val="auto"/>
          <w:sz w:val="21"/>
          <w:szCs w:val="21"/>
          <w:highlight w:val="none"/>
        </w:rPr>
        <w:t>。</w:t>
      </w:r>
    </w:p>
    <w:p w14:paraId="708DF345">
      <w:pPr>
        <w:pStyle w:val="33"/>
        <w:keepNext w:val="0"/>
        <w:keepLines w:val="0"/>
        <w:pageBreakBefore w:val="0"/>
        <w:widowControl w:val="0"/>
        <w:kinsoku/>
        <w:wordWrap/>
        <w:overflowPunct/>
        <w:topLinePunct w:val="0"/>
        <w:autoSpaceDE/>
        <w:autoSpaceDN/>
        <w:bidi w:val="0"/>
        <w:adjustRightInd w:val="0"/>
        <w:spacing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6.招标文件的澄清、修改</w:t>
      </w:r>
    </w:p>
    <w:p w14:paraId="38D2803A">
      <w:pPr>
        <w:pStyle w:val="137"/>
        <w:keepNext w:val="0"/>
        <w:keepLines w:val="0"/>
        <w:pageBreakBefore w:val="0"/>
        <w:kinsoku/>
        <w:wordWrap/>
        <w:overflowPunct/>
        <w:topLinePunct w:val="0"/>
        <w:bidi w:val="0"/>
        <w:snapToGrid w:val="0"/>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6.1已获取招标文件的潜在投标人，若有问题需要澄清，应于投标截止时间前，以书面形式向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w:t>
      </w:r>
    </w:p>
    <w:p w14:paraId="42509479">
      <w:pPr>
        <w:pStyle w:val="137"/>
        <w:keepNext w:val="0"/>
        <w:keepLines w:val="0"/>
        <w:pageBreakBefore w:val="0"/>
        <w:kinsoku/>
        <w:wordWrap/>
        <w:overflowPunct/>
        <w:topLinePunct w:val="0"/>
        <w:bidi w:val="0"/>
        <w:snapToGrid w:val="0"/>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A7C1FC">
      <w:pPr>
        <w:keepNext w:val="0"/>
        <w:keepLines w:val="0"/>
        <w:pageBreakBefore w:val="0"/>
        <w:widowControl w:val="0"/>
        <w:kinsoku/>
        <w:wordWrap/>
        <w:overflowPunct/>
        <w:topLinePunct w:val="0"/>
        <w:autoSpaceDE/>
        <w:autoSpaceDN/>
        <w:bidi w:val="0"/>
        <w:adjustRightInd/>
        <w:spacing w:before="157" w:beforeLines="50" w:beforeAutospacing="0" w:after="157" w:afterLines="50" w:line="360" w:lineRule="auto"/>
        <w:ind w:left="0" w:leftChars="0" w:firstLine="0" w:firstLineChars="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w:t>
      </w:r>
    </w:p>
    <w:p w14:paraId="54C22F57">
      <w:pPr>
        <w:pStyle w:val="33"/>
        <w:keepNext w:val="0"/>
        <w:keepLines w:val="0"/>
        <w:pageBreakBefore w:val="0"/>
        <w:widowControl w:val="0"/>
        <w:kinsoku/>
        <w:wordWrap/>
        <w:overflowPunct/>
        <w:topLinePunct w:val="0"/>
        <w:autoSpaceDE/>
        <w:autoSpaceDN/>
        <w:bidi w:val="0"/>
        <w:adjustRightInd w:val="0"/>
        <w:spacing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7.招标文件的获取</w:t>
      </w:r>
    </w:p>
    <w:p w14:paraId="20D0414E">
      <w:pPr>
        <w:keepNext w:val="0"/>
        <w:keepLines w:val="0"/>
        <w:pageBreakBefore w:val="0"/>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详见招标公告中获取招标文件的时间期限、地点、方式及招标文件售价。</w:t>
      </w:r>
    </w:p>
    <w:p w14:paraId="075E003E">
      <w:pPr>
        <w:pStyle w:val="33"/>
        <w:keepNext w:val="0"/>
        <w:keepLines w:val="0"/>
        <w:pageBreakBefore w:val="0"/>
        <w:widowControl w:val="0"/>
        <w:kinsoku/>
        <w:wordWrap/>
        <w:overflowPunct/>
        <w:topLinePunct w:val="0"/>
        <w:autoSpaceDE/>
        <w:autoSpaceDN/>
        <w:bidi w:val="0"/>
        <w:adjustRightInd w:val="0"/>
        <w:spacing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8.开标前答疑会或现场考察</w:t>
      </w:r>
    </w:p>
    <w:p w14:paraId="4C6BE229">
      <w:pPr>
        <w:pStyle w:val="33"/>
        <w:keepNext w:val="0"/>
        <w:keepLines w:val="0"/>
        <w:pageBreakBefore w:val="0"/>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7220BEB2">
      <w:pPr>
        <w:pStyle w:val="33"/>
        <w:keepNext w:val="0"/>
        <w:keepLines w:val="0"/>
        <w:pageBreakBefore w:val="0"/>
        <w:widowControl w:val="0"/>
        <w:kinsoku/>
        <w:wordWrap/>
        <w:overflowPunct/>
        <w:topLinePunct w:val="0"/>
        <w:autoSpaceDE/>
        <w:autoSpaceDN/>
        <w:bidi w:val="0"/>
        <w:adjustRightInd w:val="0"/>
        <w:spacing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9.投标保证金</w:t>
      </w:r>
    </w:p>
    <w:p w14:paraId="5D4540DB">
      <w:pPr>
        <w:pStyle w:val="16"/>
        <w:keepNext w:val="0"/>
        <w:keepLines w:val="0"/>
        <w:pageBreakBefore w:val="0"/>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285F9C8C">
      <w:pPr>
        <w:pStyle w:val="33"/>
        <w:keepNext w:val="0"/>
        <w:keepLines w:val="0"/>
        <w:pageBreakBefore w:val="0"/>
        <w:widowControl w:val="0"/>
        <w:kinsoku/>
        <w:wordWrap/>
        <w:overflowPunct/>
        <w:topLinePunct w:val="0"/>
        <w:autoSpaceDE/>
        <w:autoSpaceDN/>
        <w:bidi w:val="0"/>
        <w:adjustRightInd w:val="0"/>
        <w:spacing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10.投标文件的语言</w:t>
      </w:r>
    </w:p>
    <w:p w14:paraId="544CC150">
      <w:pPr>
        <w:keepNext w:val="0"/>
        <w:keepLines w:val="0"/>
        <w:pageBreakBefore w:val="0"/>
        <w:kinsoku/>
        <w:wordWrap/>
        <w:overflowPunct/>
        <w:topLinePunct w:val="0"/>
        <w:autoSpaceDE w:val="0"/>
        <w:autoSpaceDN w:val="0"/>
        <w:bidi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投标文件及投标人与采购有关的来往通知、函件和文件均应使用中文。</w:t>
      </w:r>
    </w:p>
    <w:p w14:paraId="53371979">
      <w:pPr>
        <w:pStyle w:val="33"/>
        <w:keepNext w:val="0"/>
        <w:keepLines w:val="0"/>
        <w:pageBreakBefore w:val="0"/>
        <w:widowControl w:val="0"/>
        <w:kinsoku/>
        <w:wordWrap/>
        <w:overflowPunct/>
        <w:topLinePunct w:val="0"/>
        <w:autoSpaceDE/>
        <w:autoSpaceDN/>
        <w:bidi w:val="0"/>
        <w:adjustRightInd w:val="0"/>
        <w:spacing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11.投标文件的组成</w:t>
      </w:r>
    </w:p>
    <w:p w14:paraId="3652BBEF">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2" w:firstLineChars="20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11.1资格文件：</w:t>
      </w:r>
    </w:p>
    <w:p w14:paraId="400147CA">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11.1.1符合参加政府采购活动应当具备的一般条件的承诺函；</w:t>
      </w:r>
    </w:p>
    <w:p w14:paraId="6A6CD1E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snapToGrid w:val="0"/>
          <w:color w:val="auto"/>
          <w:kern w:val="28"/>
          <w:sz w:val="21"/>
          <w:szCs w:val="21"/>
          <w:highlight w:val="none"/>
          <w:lang w:eastAsia="zh-CN"/>
        </w:rPr>
        <w:t>）</w:t>
      </w:r>
      <w:r>
        <w:rPr>
          <w:rFonts w:hint="eastAsia" w:ascii="宋体" w:hAnsi="宋体" w:eastAsia="宋体" w:cs="宋体"/>
          <w:color w:val="auto"/>
          <w:sz w:val="21"/>
          <w:szCs w:val="21"/>
          <w:highlight w:val="none"/>
        </w:rPr>
        <w:t>；</w:t>
      </w:r>
    </w:p>
    <w:p w14:paraId="6C8E827E">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snapToGrid w:val="0"/>
          <w:color w:val="auto"/>
          <w:kern w:val="28"/>
          <w:sz w:val="21"/>
          <w:szCs w:val="21"/>
          <w:highlight w:val="none"/>
          <w:lang w:eastAsia="zh-CN"/>
        </w:rPr>
        <w:t>）</w:t>
      </w:r>
      <w:r>
        <w:rPr>
          <w:rFonts w:hint="eastAsia" w:ascii="宋体" w:hAnsi="宋体" w:eastAsia="宋体" w:cs="宋体"/>
          <w:color w:val="auto"/>
          <w:sz w:val="21"/>
          <w:szCs w:val="21"/>
          <w:highlight w:val="none"/>
        </w:rPr>
        <w:t>。</w:t>
      </w:r>
    </w:p>
    <w:p w14:paraId="4BDA5FCE">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2" w:firstLineChars="200"/>
        <w:jc w:val="both"/>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11.</w:t>
      </w:r>
      <w:r>
        <w:rPr>
          <w:rFonts w:hint="eastAsia" w:ascii="宋体" w:hAnsi="宋体" w:eastAsia="宋体" w:cs="宋体"/>
          <w:b/>
          <w:bCs/>
          <w:color w:val="auto"/>
          <w:sz w:val="21"/>
          <w:szCs w:val="21"/>
          <w:highlight w:val="none"/>
        </w:rPr>
        <w:t>2商务技术</w:t>
      </w:r>
      <w:r>
        <w:rPr>
          <w:rFonts w:hint="eastAsia" w:ascii="宋体" w:hAnsi="宋体" w:eastAsia="宋体" w:cs="宋体"/>
          <w:b/>
          <w:bCs/>
          <w:color w:val="auto"/>
          <w:sz w:val="21"/>
          <w:szCs w:val="21"/>
          <w:highlight w:val="none"/>
          <w:lang w:val="zh-CN"/>
        </w:rPr>
        <w:t>文件：</w:t>
      </w:r>
    </w:p>
    <w:p w14:paraId="5EDB6B60">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11.2.1投标函；</w:t>
      </w:r>
      <w:r>
        <w:rPr>
          <w:rFonts w:hint="eastAsia" w:ascii="宋体" w:hAnsi="宋体" w:eastAsia="宋体" w:cs="宋体"/>
          <w:color w:val="auto"/>
          <w:sz w:val="21"/>
          <w:szCs w:val="21"/>
          <w:highlight w:val="none"/>
          <w:lang w:val="zh-CN"/>
        </w:rPr>
        <w:t xml:space="preserve"> </w:t>
      </w:r>
    </w:p>
    <w:p w14:paraId="0A35EB34">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11.2.2授权委托书或法定代表人（单位负责人、自然人本人）身份证明；</w:t>
      </w:r>
    </w:p>
    <w:p w14:paraId="679D179A">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符合性审查资料；</w:t>
      </w:r>
    </w:p>
    <w:p w14:paraId="3489E19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评标标准相应的商务技术资料；</w:t>
      </w:r>
    </w:p>
    <w:p w14:paraId="3AAA159E">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商务技术偏离表；</w:t>
      </w:r>
    </w:p>
    <w:p w14:paraId="1750DCE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政府采购供应商廉洁自律承诺书；</w:t>
      </w:r>
    </w:p>
    <w:p w14:paraId="2A247ED7">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2" w:firstLineChars="200"/>
        <w:jc w:val="both"/>
        <w:textAlignment w:val="auto"/>
        <w:outlineLvl w:val="9"/>
        <w:rPr>
          <w:rFonts w:hint="eastAsia" w:ascii="宋体" w:hAnsi="宋体" w:eastAsia="宋体" w:cs="宋体"/>
          <w:b/>
          <w:bCs/>
          <w:color w:val="auto"/>
          <w:sz w:val="21"/>
          <w:szCs w:val="21"/>
          <w:highlight w:val="none"/>
          <w:u w:val="single"/>
          <w:lang w:val="zh-CN"/>
        </w:rPr>
      </w:pPr>
      <w:r>
        <w:rPr>
          <w:rFonts w:hint="eastAsia" w:ascii="宋体" w:hAnsi="宋体" w:eastAsia="宋体" w:cs="宋体"/>
          <w:b/>
          <w:bCs/>
          <w:color w:val="auto"/>
          <w:kern w:val="0"/>
          <w:sz w:val="21"/>
          <w:szCs w:val="21"/>
          <w:highlight w:val="none"/>
          <w:lang w:val="zh-CN"/>
        </w:rPr>
        <w:t>11.</w:t>
      </w: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sz w:val="21"/>
          <w:szCs w:val="21"/>
          <w:highlight w:val="none"/>
        </w:rPr>
        <w:t>报价文件：</w:t>
      </w:r>
    </w:p>
    <w:p w14:paraId="4C96E9A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11.3.1开标一览表（报价表）；</w:t>
      </w:r>
    </w:p>
    <w:p w14:paraId="6520B773">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11.3.2投标报价明细表</w:t>
      </w:r>
      <w:r>
        <w:rPr>
          <w:rFonts w:hint="eastAsia" w:ascii="宋体" w:hAnsi="宋体" w:eastAsia="宋体" w:cs="宋体"/>
          <w:color w:val="auto"/>
          <w:sz w:val="21"/>
          <w:szCs w:val="21"/>
          <w:highlight w:val="none"/>
          <w:lang w:val="en-US" w:eastAsia="zh-CN"/>
        </w:rPr>
        <w:t>。</w:t>
      </w:r>
    </w:p>
    <w:p w14:paraId="4263F772">
      <w:pPr>
        <w:keepNext w:val="0"/>
        <w:keepLines w:val="0"/>
        <w:pageBreakBefore w:val="0"/>
        <w:kinsoku/>
        <w:wordWrap/>
        <w:overflowPunct/>
        <w:topLinePunct w:val="0"/>
        <w:bidi w:val="0"/>
        <w:spacing w:beforeAutospacing="0" w:line="360" w:lineRule="auto"/>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投标文件含有采购人不能接受的附加条件的，投标无效；</w:t>
      </w:r>
    </w:p>
    <w:p w14:paraId="4249DC0B">
      <w:pPr>
        <w:keepNext w:val="0"/>
        <w:keepLines w:val="0"/>
        <w:pageBreakBefore w:val="0"/>
        <w:kinsoku/>
        <w:wordWrap/>
        <w:overflowPunct/>
        <w:topLinePunct w:val="0"/>
        <w:bidi w:val="0"/>
        <w:spacing w:beforeAutospacing="0" w:line="360" w:lineRule="auto"/>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投标人提供虚假材料投标的，投标无效。</w:t>
      </w:r>
    </w:p>
    <w:p w14:paraId="644A0CCA">
      <w:pPr>
        <w:pStyle w:val="137"/>
        <w:keepNext w:val="0"/>
        <w:keepLines w:val="0"/>
        <w:pageBreakBefore w:val="0"/>
        <w:widowControl w:val="0"/>
        <w:kinsoku/>
        <w:wordWrap/>
        <w:overflowPunct/>
        <w:topLinePunct w:val="0"/>
        <w:autoSpaceDE/>
        <w:autoSpaceDN/>
        <w:bidi w:val="0"/>
        <w:adjustRightInd w:val="0"/>
        <w:snapToGrid w:val="0"/>
        <w:spacing w:before="0"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 xml:space="preserve">. </w:t>
      </w:r>
      <w:r>
        <w:rPr>
          <w:rFonts w:hint="eastAsia" w:ascii="宋体" w:hAnsi="宋体" w:eastAsia="宋体" w:cs="宋体"/>
          <w:b/>
          <w:color w:val="auto"/>
          <w:sz w:val="21"/>
          <w:szCs w:val="21"/>
          <w:highlight w:val="none"/>
        </w:rPr>
        <w:t>投标文件的编制</w:t>
      </w:r>
    </w:p>
    <w:p w14:paraId="1E853730">
      <w:pPr>
        <w:keepNext w:val="0"/>
        <w:keepLines w:val="0"/>
        <w:pageBreakBefore w:val="0"/>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AC70B15">
      <w:pPr>
        <w:keepNext w:val="0"/>
        <w:keepLines w:val="0"/>
        <w:pageBreakBefore w:val="0"/>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C99D9D1">
      <w:pPr>
        <w:keepNext w:val="0"/>
        <w:keepLines w:val="0"/>
        <w:pageBreakBefore w:val="0"/>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7B9C7EA3">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5461F5C8">
      <w:pPr>
        <w:pStyle w:val="137"/>
        <w:keepNext w:val="0"/>
        <w:keepLines w:val="0"/>
        <w:pageBreakBefore w:val="0"/>
        <w:kinsoku/>
        <w:wordWrap/>
        <w:overflowPunct/>
        <w:topLinePunct w:val="0"/>
        <w:bidi w:val="0"/>
        <w:snapToGrid w:val="0"/>
        <w:spacing w:before="0" w:beforeAutospacing="0"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13.1投标文件按照招标文件第六部分格式要求进行签署、盖章。</w:t>
      </w:r>
      <w:r>
        <w:rPr>
          <w:rFonts w:hint="eastAsia" w:ascii="宋体" w:hAnsi="宋体" w:eastAsia="宋体" w:cs="宋体"/>
          <w:b/>
          <w:color w:val="auto"/>
          <w:sz w:val="21"/>
          <w:szCs w:val="21"/>
          <w:highlight w:val="none"/>
        </w:rPr>
        <w:t>▲投标人的投标文件未按照招标文件要求签署、盖章的，其投标无效</w:t>
      </w:r>
      <w:r>
        <w:rPr>
          <w:rFonts w:hint="eastAsia" w:ascii="宋体" w:hAnsi="宋体" w:eastAsia="宋体" w:cs="宋体"/>
          <w:color w:val="auto"/>
          <w:sz w:val="21"/>
          <w:szCs w:val="21"/>
          <w:highlight w:val="none"/>
        </w:rPr>
        <w:t>。</w:t>
      </w:r>
    </w:p>
    <w:p w14:paraId="1AE133D8">
      <w:pPr>
        <w:pStyle w:val="137"/>
        <w:keepNext w:val="0"/>
        <w:keepLines w:val="0"/>
        <w:pageBreakBefore w:val="0"/>
        <w:kinsoku/>
        <w:wordWrap/>
        <w:overflowPunct/>
        <w:topLinePunct w:val="0"/>
        <w:bidi w:val="0"/>
        <w:snapToGrid w:val="0"/>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1AE139BB">
      <w:pPr>
        <w:pStyle w:val="137"/>
        <w:keepNext w:val="0"/>
        <w:keepLines w:val="0"/>
        <w:pageBreakBefore w:val="0"/>
        <w:kinsoku/>
        <w:wordWrap/>
        <w:overflowPunct/>
        <w:topLinePunct w:val="0"/>
        <w:bidi w:val="0"/>
        <w:snapToGrid w:val="0"/>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13.3招标文件对投标文件签署、盖章的要求适用于电子签名。</w:t>
      </w:r>
    </w:p>
    <w:p w14:paraId="195A40C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14.投标文件的提交、补充、修改、撤回</w:t>
      </w:r>
    </w:p>
    <w:p w14:paraId="474C0939">
      <w:pPr>
        <w:pStyle w:val="137"/>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42D392">
      <w:pPr>
        <w:pStyle w:val="137"/>
        <w:keepNext w:val="0"/>
        <w:keepLines w:val="0"/>
        <w:pageBreakBefore w:val="0"/>
        <w:kinsoku/>
        <w:wordWrap/>
        <w:overflowPunct/>
        <w:topLinePunct w:val="0"/>
        <w:bidi w:val="0"/>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34515FB9">
      <w:pPr>
        <w:pStyle w:val="137"/>
        <w:keepNext w:val="0"/>
        <w:keepLines w:val="0"/>
        <w:pageBreakBefore w:val="0"/>
        <w:kinsoku/>
        <w:wordWrap/>
        <w:overflowPunct/>
        <w:topLinePunct w:val="0"/>
        <w:bidi w:val="0"/>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可以视情况延长投标文件提交的截止时间。在上述情况下，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与投标人以前在投标截止期方面的全部权利、责任和义务，将适用于延长至新的投标截止期。</w:t>
      </w:r>
    </w:p>
    <w:p w14:paraId="77E01411">
      <w:pPr>
        <w:pStyle w:val="33"/>
        <w:keepNext w:val="0"/>
        <w:keepLines w:val="0"/>
        <w:pageBreakBefore w:val="0"/>
        <w:widowControl w:val="0"/>
        <w:kinsoku/>
        <w:wordWrap/>
        <w:overflowPunct/>
        <w:topLinePunct w:val="0"/>
        <w:autoSpaceDE/>
        <w:autoSpaceDN/>
        <w:bidi w:val="0"/>
        <w:adjustRightInd w:val="0"/>
        <w:spacing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15.备份投标文件</w:t>
      </w:r>
      <w:r>
        <w:rPr>
          <w:rFonts w:hint="eastAsia" w:ascii="宋体" w:hAnsi="宋体" w:eastAsia="宋体" w:cs="宋体"/>
          <w:b/>
          <w:color w:val="auto"/>
          <w:sz w:val="21"/>
          <w:szCs w:val="21"/>
          <w:highlight w:val="none"/>
          <w:lang w:eastAsia="zh-CN"/>
        </w:rPr>
        <w:t>（文件后缀为：bfbs）</w:t>
      </w:r>
    </w:p>
    <w:p w14:paraId="19031E37">
      <w:pPr>
        <w:pStyle w:val="33"/>
        <w:keepNext w:val="0"/>
        <w:keepLines w:val="0"/>
        <w:pageBreakBefore w:val="0"/>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15.1投标人在电子交易平台传输递交投标文件后，还可以在投标截止时间前直接提交或者以快递方式递交备份投标文件1份，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p w14:paraId="681B0F10">
      <w:pPr>
        <w:keepNext w:val="0"/>
        <w:keepLines w:val="0"/>
        <w:pageBreakBefore w:val="0"/>
        <w:widowControl w:val="0"/>
        <w:kinsoku/>
        <w:wordWrap/>
        <w:overflowPunct/>
        <w:topLinePunct w:val="0"/>
        <w:bidi w:val="0"/>
        <w:adjustRightInd w:val="0"/>
        <w:spacing w:beforeAutospacing="0" w:line="360" w:lineRule="auto"/>
        <w:ind w:left="0" w:leftChars="0" w:firstLine="420" w:firstLineChars="200"/>
        <w:jc w:val="both"/>
        <w:textAlignment w:val="auto"/>
        <w:outlineLvl w:val="9"/>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napToGrid w:val="0"/>
          <w:color w:val="auto"/>
          <w:kern w:val="2"/>
          <w:sz w:val="21"/>
          <w:szCs w:val="21"/>
          <w:highlight w:val="none"/>
          <w:lang w:val="en-US" w:eastAsia="zh-CN" w:bidi="ar-SA"/>
        </w:rPr>
        <w:t>不符合上述制作、存储、密封规定的备份投标文件将被视为无效或者被拒绝接收。</w:t>
      </w:r>
    </w:p>
    <w:p w14:paraId="2D8D9CB3">
      <w:pPr>
        <w:keepNext w:val="0"/>
        <w:keepLines w:val="0"/>
        <w:pageBreakBefore w:val="0"/>
        <w:widowControl w:val="0"/>
        <w:kinsoku/>
        <w:wordWrap/>
        <w:overflowPunct/>
        <w:topLinePunct w:val="0"/>
        <w:bidi w:val="0"/>
        <w:adjustRightInd w:val="0"/>
        <w:spacing w:beforeAutospacing="0" w:line="360" w:lineRule="auto"/>
        <w:ind w:left="0" w:leftChars="0" w:firstLine="420" w:firstLineChars="200"/>
        <w:jc w:val="both"/>
        <w:textAlignment w:val="auto"/>
        <w:outlineLvl w:val="9"/>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15.3直接提交备份投标文件的，投标人应于投标截止时间前在</w:t>
      </w:r>
      <w:r>
        <w:rPr>
          <w:rFonts w:hint="eastAsia" w:ascii="宋体" w:hAnsi="宋体" w:eastAsia="宋体" w:cs="宋体"/>
          <w:snapToGrid/>
          <w:color w:val="auto"/>
          <w:kern w:val="2"/>
          <w:sz w:val="21"/>
          <w:szCs w:val="21"/>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1"/>
          <w:szCs w:val="21"/>
          <w:highlight w:val="none"/>
          <w:lang w:val="en-US" w:eastAsia="zh-CN" w:bidi="ar-SA"/>
        </w:rPr>
        <w:t>将备份投标文件提交给采购代理机构，采购代理机构将拒绝接受逾期送达的备份投标文件。</w:t>
      </w:r>
    </w:p>
    <w:p w14:paraId="25C7B59C">
      <w:pPr>
        <w:keepNext w:val="0"/>
        <w:keepLines w:val="0"/>
        <w:pageBreakBefore w:val="0"/>
        <w:widowControl w:val="0"/>
        <w:kinsoku/>
        <w:wordWrap/>
        <w:overflowPunct/>
        <w:topLinePunct w:val="0"/>
        <w:bidi w:val="0"/>
        <w:adjustRightInd w:val="0"/>
        <w:spacing w:beforeAutospacing="0" w:line="360" w:lineRule="auto"/>
        <w:ind w:left="0" w:leftChars="0" w:firstLine="420" w:firstLineChars="200"/>
        <w:jc w:val="both"/>
        <w:textAlignment w:val="auto"/>
        <w:outlineLvl w:val="9"/>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15.4以快递方式递交备份投标文件的，投标人应先将备份投标文件按要求密封和标记，再进行快递包装后邮寄。备份投标文件须在</w:t>
      </w:r>
      <w:r>
        <w:rPr>
          <w:rFonts w:hint="eastAsia" w:ascii="宋体" w:hAnsi="宋体" w:eastAsia="宋体" w:cs="宋体"/>
          <w:snapToGrid/>
          <w:color w:val="auto"/>
          <w:kern w:val="2"/>
          <w:sz w:val="21"/>
          <w:szCs w:val="21"/>
          <w:highlight w:val="none"/>
          <w:lang w:val="en-US" w:eastAsia="zh-CN" w:bidi="ar-SA"/>
        </w:rPr>
        <w:t>第二部分投标人须知前附表规定的备份投标文件送达</w:t>
      </w:r>
      <w:r>
        <w:rPr>
          <w:rFonts w:hint="eastAsia" w:ascii="宋体" w:hAnsi="宋体" w:eastAsia="宋体" w:cs="宋体"/>
          <w:snapToGrid w:val="0"/>
          <w:color w:val="auto"/>
          <w:kern w:val="2"/>
          <w:sz w:val="21"/>
          <w:szCs w:val="21"/>
          <w:highlight w:val="none"/>
          <w:lang w:val="en-US" w:eastAsia="zh-CN" w:bidi="ar-SA"/>
        </w:rPr>
        <w:t>截止时间之前送达</w:t>
      </w:r>
      <w:r>
        <w:rPr>
          <w:rFonts w:hint="eastAsia" w:ascii="宋体" w:hAnsi="宋体" w:eastAsia="宋体" w:cs="宋体"/>
          <w:snapToGrid/>
          <w:color w:val="auto"/>
          <w:kern w:val="2"/>
          <w:sz w:val="21"/>
          <w:szCs w:val="21"/>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1"/>
          <w:szCs w:val="21"/>
          <w:highlight w:val="none"/>
          <w:lang w:val="en-US" w:eastAsia="zh-CN" w:bidi="ar-SA"/>
        </w:rPr>
        <w:t>送达时间以签收人签收时间为准。采购代理机构将拒绝接受逾期送达的备份投标文件。邮寄过程中，电子备份投标文件发生泄露、遗失、损坏或延期送达等情况的，由投标人自行负责。</w:t>
      </w:r>
    </w:p>
    <w:p w14:paraId="68A3DEC8">
      <w:pPr>
        <w:pStyle w:val="33"/>
        <w:keepNext w:val="0"/>
        <w:keepLines w:val="0"/>
        <w:pageBreakBefore w:val="0"/>
        <w:kinsoku/>
        <w:wordWrap/>
        <w:overflowPunct/>
        <w:topLinePunct w:val="0"/>
        <w:bidi w:val="0"/>
        <w:spacing w:beforeAutospacing="0" w:line="360" w:lineRule="auto"/>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snapToGrid w:val="0"/>
          <w:color w:val="auto"/>
          <w:kern w:val="2"/>
          <w:sz w:val="21"/>
          <w:szCs w:val="21"/>
          <w:highlight w:val="none"/>
          <w:lang w:val="en-US" w:eastAsia="zh-CN" w:bidi="ar-SA"/>
        </w:rPr>
        <w:t>▲15.5投标人仅提交备份投标文件，未在电子交易平台传输递交投标文件的，投标无效。</w:t>
      </w:r>
    </w:p>
    <w:p w14:paraId="7EBD44EA">
      <w:pPr>
        <w:pStyle w:val="137"/>
        <w:keepNext w:val="0"/>
        <w:keepLines w:val="0"/>
        <w:pageBreakBefore w:val="0"/>
        <w:widowControl w:val="0"/>
        <w:kinsoku/>
        <w:wordWrap/>
        <w:overflowPunct/>
        <w:topLinePunct w:val="0"/>
        <w:autoSpaceDE/>
        <w:autoSpaceDN/>
        <w:bidi w:val="0"/>
        <w:adjustRightInd w:val="0"/>
        <w:spacing w:before="0"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3F173034">
      <w:pPr>
        <w:pStyle w:val="25"/>
        <w:keepNext w:val="0"/>
        <w:keepLines w:val="0"/>
        <w:pageBreakBefore w:val="0"/>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14:paraId="37366A85">
      <w:pPr>
        <w:pStyle w:val="137"/>
        <w:keepNext w:val="0"/>
        <w:keepLines w:val="0"/>
        <w:pageBreakBefore w:val="0"/>
        <w:widowControl w:val="0"/>
        <w:kinsoku/>
        <w:wordWrap/>
        <w:overflowPunct/>
        <w:topLinePunct w:val="0"/>
        <w:autoSpaceDE/>
        <w:autoSpaceDN/>
        <w:bidi w:val="0"/>
        <w:adjustRightInd w:val="0"/>
        <w:spacing w:before="0"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0316C8FC">
      <w:pPr>
        <w:keepNext w:val="0"/>
        <w:keepLines w:val="0"/>
        <w:pageBreakBefore w:val="0"/>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6ADCEC79">
      <w:pPr>
        <w:pStyle w:val="137"/>
        <w:keepNext w:val="0"/>
        <w:keepLines w:val="0"/>
        <w:pageBreakBefore w:val="0"/>
        <w:kinsoku/>
        <w:wordWrap/>
        <w:overflowPunct/>
        <w:topLinePunct w:val="0"/>
        <w:bidi w:val="0"/>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17.2投标文件合格投递后，自投标截止日期起，在投标有效期内有效。</w:t>
      </w:r>
    </w:p>
    <w:p w14:paraId="22860689">
      <w:pPr>
        <w:pStyle w:val="137"/>
        <w:keepNext w:val="0"/>
        <w:keepLines w:val="0"/>
        <w:pageBreakBefore w:val="0"/>
        <w:kinsoku/>
        <w:wordWrap/>
        <w:overflowPunct/>
        <w:topLinePunct w:val="0"/>
        <w:bidi w:val="0"/>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17.3在原定投标有效期满之前，如果出现特殊情况，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可以以书面形式通知投标人延长投标有效期。投标人同意延长的，不得要求或被允许修改其投标文件，投标人拒绝延长的，其投标无效。</w:t>
      </w:r>
    </w:p>
    <w:p w14:paraId="0BE8FAEA">
      <w:pPr>
        <w:pStyle w:val="137"/>
        <w:keepNext w:val="0"/>
        <w:keepLines w:val="0"/>
        <w:pageBreakBefore w:val="0"/>
        <w:widowControl w:val="0"/>
        <w:kinsoku/>
        <w:wordWrap/>
        <w:overflowPunct/>
        <w:topLinePunct w:val="0"/>
        <w:autoSpaceDE/>
        <w:autoSpaceDN/>
        <w:bidi w:val="0"/>
        <w:spacing w:before="157" w:beforeLines="50" w:beforeAutospacing="0" w:after="157" w:afterLines="50" w:line="360" w:lineRule="auto"/>
        <w:ind w:left="0" w:leftChars="0" w:firstLine="0" w:firstLineChars="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四、开标、资格审查与信用信息查询</w:t>
      </w:r>
    </w:p>
    <w:p w14:paraId="56B8C8BC">
      <w:pPr>
        <w:pStyle w:val="558"/>
        <w:keepNext w:val="0"/>
        <w:keepLines w:val="0"/>
        <w:pageBreakBefore w:val="0"/>
        <w:widowControl w:val="0"/>
        <w:kinsoku/>
        <w:wordWrap/>
        <w:overflowPunct/>
        <w:topLinePunct w:val="0"/>
        <w:autoSpaceDE/>
        <w:autoSpaceDN/>
        <w:bidi w:val="0"/>
        <w:adjustRightInd w:val="0"/>
        <w:spacing w:before="0" w:beforeAutospacing="0" w:line="360" w:lineRule="auto"/>
        <w:ind w:left="0" w:leftChars="0" w:firstLine="422" w:firstLineChars="200"/>
        <w:contextualSpacing/>
        <w:jc w:val="both"/>
        <w:textAlignment w:val="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18.开标</w:t>
      </w:r>
      <w:r>
        <w:rPr>
          <w:rFonts w:hint="eastAsia" w:ascii="宋体" w:hAnsi="宋体" w:eastAsia="宋体" w:cs="宋体"/>
          <w:color w:val="auto"/>
          <w:sz w:val="21"/>
          <w:szCs w:val="21"/>
          <w:highlight w:val="none"/>
        </w:rPr>
        <w:t xml:space="preserve"> </w:t>
      </w:r>
    </w:p>
    <w:p w14:paraId="308C8BEA">
      <w:pPr>
        <w:pStyle w:val="558"/>
        <w:keepNext w:val="0"/>
        <w:keepLines w:val="0"/>
        <w:pageBreakBefore w:val="0"/>
        <w:kinsoku/>
        <w:wordWrap/>
        <w:overflowPunct/>
        <w:topLinePunct w:val="0"/>
        <w:bidi w:val="0"/>
        <w:spacing w:before="0" w:before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按照招标文件规定的时间通过电子交易平台组织开标，所有投标人均应当准时在线参加。投标人不足3家的，不得开标。</w:t>
      </w:r>
    </w:p>
    <w:p w14:paraId="7096BA21">
      <w:pPr>
        <w:pStyle w:val="558"/>
        <w:keepNext w:val="0"/>
        <w:keepLines w:val="0"/>
        <w:pageBreakBefore w:val="0"/>
        <w:kinsoku/>
        <w:wordWrap/>
        <w:overflowPunct/>
        <w:topLinePunct w:val="0"/>
        <w:bidi w:val="0"/>
        <w:spacing w:before="0" w:before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18.2开标时，电子交易平台按开标时间自动提取所有投标文件。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依托电子交易平台发起开始解密指令，投标人按照平台提示和招标文件的规定在半小时内完成在线解密。</w:t>
      </w:r>
    </w:p>
    <w:p w14:paraId="1AA9E6F4">
      <w:pPr>
        <w:pStyle w:val="558"/>
        <w:keepNext w:val="0"/>
        <w:keepLines w:val="0"/>
        <w:pageBreakBefore w:val="0"/>
        <w:kinsoku/>
        <w:wordWrap/>
        <w:overflowPunct/>
        <w:topLinePunct w:val="0"/>
        <w:bidi w:val="0"/>
        <w:spacing w:before="0" w:before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18.2.1具体开标程序：</w:t>
      </w:r>
    </w:p>
    <w:p w14:paraId="5FC1F776">
      <w:pPr>
        <w:pStyle w:val="558"/>
        <w:keepNext w:val="0"/>
        <w:keepLines w:val="0"/>
        <w:pageBreakBefore w:val="0"/>
        <w:kinsoku/>
        <w:wordWrap/>
        <w:overflowPunct/>
        <w:topLinePunct w:val="0"/>
        <w:bidi w:val="0"/>
        <w:spacing w:before="0" w:before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第一阶段：</w:t>
      </w:r>
    </w:p>
    <w:p w14:paraId="328D35E8">
      <w:pPr>
        <w:pStyle w:val="558"/>
        <w:keepNext w:val="0"/>
        <w:keepLines w:val="0"/>
        <w:pageBreakBefore w:val="0"/>
        <w:kinsoku/>
        <w:wordWrap/>
        <w:overflowPunct/>
        <w:topLinePunct w:val="0"/>
        <w:bidi w:val="0"/>
        <w:spacing w:before="0" w:before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投标截止时间后，供应商登录政府采购云平台，用“项目采购-开标评标”功能对电子投标文件进行在线解密，在线解密电子投标文件时间为开标时间后30分钟内。</w:t>
      </w:r>
    </w:p>
    <w:p w14:paraId="0399564B">
      <w:pPr>
        <w:pStyle w:val="558"/>
        <w:keepNext w:val="0"/>
        <w:keepLines w:val="0"/>
        <w:pageBreakBefore w:val="0"/>
        <w:kinsoku/>
        <w:wordWrap/>
        <w:overflowPunct/>
        <w:topLinePunct w:val="0"/>
        <w:bidi w:val="0"/>
        <w:spacing w:before="0" w:before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在政府采购云平台开启已解密供应商的“资格文件、商务技术文件”，并做开标记录；</w:t>
      </w:r>
    </w:p>
    <w:p w14:paraId="1D12E3C3">
      <w:pPr>
        <w:pStyle w:val="558"/>
        <w:keepNext w:val="0"/>
        <w:keepLines w:val="0"/>
        <w:pageBreakBefore w:val="0"/>
        <w:kinsoku/>
        <w:wordWrap/>
        <w:overflowPunct/>
        <w:topLinePunct w:val="0"/>
        <w:bidi w:val="0"/>
        <w:spacing w:before="0" w:before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第二阶段：</w:t>
      </w:r>
    </w:p>
    <w:p w14:paraId="7A1ABCD5">
      <w:pPr>
        <w:pStyle w:val="558"/>
        <w:keepNext w:val="0"/>
        <w:keepLines w:val="0"/>
        <w:pageBreakBefore w:val="0"/>
        <w:kinsoku/>
        <w:wordWrap/>
        <w:overflowPunct/>
        <w:topLinePunct w:val="0"/>
        <w:bidi w:val="0"/>
        <w:spacing w:before="0" w:before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（1）在政府采购云平台宣告第一阶段评审无效供应商名单及理由；</w:t>
      </w:r>
    </w:p>
    <w:p w14:paraId="1D46A2BE">
      <w:pPr>
        <w:pStyle w:val="558"/>
        <w:keepNext w:val="0"/>
        <w:keepLines w:val="0"/>
        <w:pageBreakBefore w:val="0"/>
        <w:kinsoku/>
        <w:wordWrap/>
        <w:overflowPunct/>
        <w:topLinePunct w:val="0"/>
        <w:bidi w:val="0"/>
        <w:spacing w:before="0" w:before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（2）公布经第一阶段评审符合招标文件要求的供应商的商务技术得分情况；</w:t>
      </w:r>
    </w:p>
    <w:p w14:paraId="64571882">
      <w:pPr>
        <w:pStyle w:val="558"/>
        <w:keepNext w:val="0"/>
        <w:keepLines w:val="0"/>
        <w:pageBreakBefore w:val="0"/>
        <w:kinsoku/>
        <w:wordWrap/>
        <w:overflowPunct/>
        <w:topLinePunct w:val="0"/>
        <w:bidi w:val="0"/>
        <w:spacing w:before="0" w:before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（3）在政府采购云平台开启除第一阶段无效标外的供应商的“报价文件”，并做开标记录；</w:t>
      </w:r>
    </w:p>
    <w:p w14:paraId="40FD5962">
      <w:pPr>
        <w:pStyle w:val="558"/>
        <w:keepNext w:val="0"/>
        <w:keepLines w:val="0"/>
        <w:pageBreakBefore w:val="0"/>
        <w:kinsoku/>
        <w:wordWrap/>
        <w:overflowPunct/>
        <w:topLinePunct w:val="0"/>
        <w:bidi w:val="0"/>
        <w:spacing w:before="0" w:before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（4）在政府采购云平台公布评审结果。</w:t>
      </w:r>
    </w:p>
    <w:p w14:paraId="03FE38EF">
      <w:pPr>
        <w:pStyle w:val="558"/>
        <w:keepNext w:val="0"/>
        <w:keepLines w:val="0"/>
        <w:pageBreakBefore w:val="0"/>
        <w:kinsoku/>
        <w:wordWrap/>
        <w:overflowPunct/>
        <w:topLinePunct w:val="0"/>
        <w:bidi w:val="0"/>
        <w:spacing w:before="0" w:before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（5）开标会议结束。</w:t>
      </w:r>
    </w:p>
    <w:p w14:paraId="4157B57C">
      <w:pPr>
        <w:pStyle w:val="558"/>
        <w:keepNext w:val="0"/>
        <w:keepLines w:val="0"/>
        <w:pageBreakBefore w:val="0"/>
        <w:kinsoku/>
        <w:wordWrap/>
        <w:overflowPunct/>
        <w:topLinePunct w:val="0"/>
        <w:bidi w:val="0"/>
        <w:spacing w:before="0" w:beforeAutospacing="0" w:line="360" w:lineRule="auto"/>
        <w:ind w:left="0" w:leftChars="0" w:firstLine="420" w:firstLineChars="200"/>
        <w:contextualSpacing/>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18.3</w:t>
      </w:r>
      <w:r>
        <w:rPr>
          <w:rFonts w:hint="eastAsia" w:ascii="宋体" w:hAnsi="宋体" w:eastAsia="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6CB4B2B6">
      <w:pPr>
        <w:pStyle w:val="137"/>
        <w:keepNext w:val="0"/>
        <w:keepLines w:val="0"/>
        <w:pageBreakBefore w:val="0"/>
        <w:widowControl w:val="0"/>
        <w:kinsoku/>
        <w:wordWrap/>
        <w:overflowPunct/>
        <w:topLinePunct w:val="0"/>
        <w:autoSpaceDE/>
        <w:autoSpaceDN/>
        <w:bidi w:val="0"/>
        <w:adjustRightInd w:val="0"/>
        <w:spacing w:before="0"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资格审查</w:t>
      </w:r>
    </w:p>
    <w:p w14:paraId="1D50834C">
      <w:pPr>
        <w:keepNext w:val="0"/>
        <w:keepLines w:val="0"/>
        <w:pageBreakBefore w:val="0"/>
        <w:kinsoku/>
        <w:wordWrap/>
        <w:overflowPunct/>
        <w:topLinePunct w:val="0"/>
        <w:bidi w:val="0"/>
        <w:snapToGrid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依据法律法规和招标文件的规定，对投标人的资格进行审查。</w:t>
      </w:r>
    </w:p>
    <w:p w14:paraId="6F734AD4">
      <w:pPr>
        <w:pStyle w:val="137"/>
        <w:keepNext w:val="0"/>
        <w:keepLines w:val="0"/>
        <w:pageBreakBefore w:val="0"/>
        <w:kinsoku/>
        <w:wordWrap/>
        <w:overflowPunct/>
        <w:topLinePunct w:val="0"/>
        <w:bidi w:val="0"/>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70E52AE0">
      <w:pPr>
        <w:pStyle w:val="137"/>
        <w:keepNext w:val="0"/>
        <w:keepLines w:val="0"/>
        <w:pageBreakBefore w:val="0"/>
        <w:kinsoku/>
        <w:wordWrap/>
        <w:overflowPunct/>
        <w:topLinePunct w:val="0"/>
        <w:bidi w:val="0"/>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对未通过资格审查的投标人，采购人或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告知其未通过的原因。</w:t>
      </w:r>
    </w:p>
    <w:p w14:paraId="77EEF07D">
      <w:pPr>
        <w:pStyle w:val="137"/>
        <w:keepNext w:val="0"/>
        <w:keepLines w:val="0"/>
        <w:pageBreakBefore w:val="0"/>
        <w:kinsoku/>
        <w:wordWrap/>
        <w:overflowPunct/>
        <w:topLinePunct w:val="0"/>
        <w:bidi w:val="0"/>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合格投标人不足3家的，不再评标。</w:t>
      </w:r>
    </w:p>
    <w:p w14:paraId="20B25F4E">
      <w:pPr>
        <w:pStyle w:val="137"/>
        <w:keepNext w:val="0"/>
        <w:keepLines w:val="0"/>
        <w:pageBreakBefore w:val="0"/>
        <w:widowControl w:val="0"/>
        <w:kinsoku/>
        <w:wordWrap/>
        <w:overflowPunct/>
        <w:topLinePunct w:val="0"/>
        <w:autoSpaceDE/>
        <w:autoSpaceDN/>
        <w:bidi w:val="0"/>
        <w:adjustRightInd w:val="0"/>
        <w:spacing w:before="0"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信用信息查询</w:t>
      </w:r>
    </w:p>
    <w:p w14:paraId="18CDBC96">
      <w:pPr>
        <w:pStyle w:val="137"/>
        <w:keepNext w:val="0"/>
        <w:keepLines w:val="0"/>
        <w:pageBreakBefore w:val="0"/>
        <w:kinsoku/>
        <w:wordWrap/>
        <w:overflowPunct/>
        <w:topLinePunct w:val="0"/>
        <w:bidi w:val="0"/>
        <w:spacing w:before="0"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20.1信用信息查询渠道及截止时间：</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将在资格审查时通过“信用中国”网站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www.creditchina.gov.cn)、中国政府采购网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www.ccgp.gov.cn</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渠道查询投标人接受资格时的信用记录。</w:t>
      </w:r>
    </w:p>
    <w:p w14:paraId="1614E320">
      <w:pPr>
        <w:pStyle w:val="137"/>
        <w:keepNext w:val="0"/>
        <w:keepLines w:val="0"/>
        <w:pageBreakBefore w:val="0"/>
        <w:kinsoku/>
        <w:wordWrap/>
        <w:overflowPunct/>
        <w:topLinePunct w:val="0"/>
        <w:bidi w:val="0"/>
        <w:spacing w:before="0"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20.2信用信息查询记录和证据留存的具体方式：现场查询的投标人的信用记录、查询结果经确认后将与采购文件一起存档。</w:t>
      </w:r>
    </w:p>
    <w:p w14:paraId="66B08FB2">
      <w:pPr>
        <w:pStyle w:val="137"/>
        <w:keepNext w:val="0"/>
        <w:keepLines w:val="0"/>
        <w:pageBreakBefore w:val="0"/>
        <w:kinsoku/>
        <w:wordWrap/>
        <w:overflowPunct/>
        <w:topLinePunct w:val="0"/>
        <w:bidi w:val="0"/>
        <w:spacing w:before="0"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20.3信用信息的使用规则：经查询列入失信被执行人名单、重大税收违法案件当事人名单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重大税收违法失信主体</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、政府采购严重违法失信行为记录名单的投标人将被拒绝参与政府采购活动。</w:t>
      </w:r>
    </w:p>
    <w:p w14:paraId="7B95BCF6">
      <w:pPr>
        <w:pStyle w:val="137"/>
        <w:keepNext w:val="0"/>
        <w:keepLines w:val="0"/>
        <w:pageBreakBefore w:val="0"/>
        <w:kinsoku/>
        <w:wordWrap/>
        <w:overflowPunct/>
        <w:topLinePunct w:val="0"/>
        <w:bidi w:val="0"/>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14:paraId="012B702E">
      <w:pPr>
        <w:keepNext w:val="0"/>
        <w:keepLines w:val="0"/>
        <w:pageBreakBefore w:val="0"/>
        <w:widowControl w:val="0"/>
        <w:kinsoku/>
        <w:wordWrap/>
        <w:overflowPunct/>
        <w:topLinePunct w:val="0"/>
        <w:autoSpaceDE/>
        <w:autoSpaceDN/>
        <w:bidi w:val="0"/>
        <w:snapToGrid w:val="0"/>
        <w:spacing w:before="157" w:beforeLines="50" w:beforeAutospacing="0" w:after="157" w:afterLines="50" w:line="360" w:lineRule="auto"/>
        <w:ind w:left="0" w:leftChars="0" w:firstLine="0" w:firstLineChars="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五、评标</w:t>
      </w:r>
    </w:p>
    <w:p w14:paraId="26E61EA3">
      <w:pPr>
        <w:keepNext w:val="0"/>
        <w:keepLines w:val="0"/>
        <w:pageBreakBefore w:val="0"/>
        <w:kinsoku/>
        <w:wordWrap/>
        <w:overflowPunct/>
        <w:topLinePunct w:val="0"/>
        <w:bidi w:val="0"/>
        <w:spacing w:beforeAutospacing="0" w:line="360" w:lineRule="auto"/>
        <w:ind w:left="0" w:leftChars="0" w:firstLine="422" w:firstLineChars="200"/>
        <w:jc w:val="both"/>
        <w:textAlignment w:val="auto"/>
        <w:outlineLvl w:val="9"/>
        <w:rPr>
          <w:rFonts w:hint="eastAsia" w:ascii="宋体" w:hAnsi="宋体" w:eastAsia="宋体" w:cs="宋体"/>
          <w:b/>
          <w:color w:val="auto"/>
          <w:sz w:val="21"/>
          <w:szCs w:val="21"/>
          <w:highlight w:val="none"/>
        </w:rPr>
      </w:pPr>
      <w:bookmarkStart w:id="9" w:name="_Toc91899903"/>
      <w:r>
        <w:rPr>
          <w:rFonts w:hint="eastAsia" w:ascii="宋体" w:hAnsi="宋体" w:eastAsia="宋体" w:cs="宋体"/>
          <w:b/>
          <w:color w:val="auto"/>
          <w:sz w:val="21"/>
          <w:szCs w:val="21"/>
          <w:highlight w:val="none"/>
        </w:rPr>
        <w:t>21</w:t>
      </w: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1"/>
          <w:szCs w:val="21"/>
          <w:highlight w:val="none"/>
        </w:rPr>
        <w:t>详见招标文件第四部分评标办法。</w:t>
      </w:r>
    </w:p>
    <w:p w14:paraId="4C9400E1">
      <w:pPr>
        <w:keepNext w:val="0"/>
        <w:keepLines w:val="0"/>
        <w:pageBreakBefore w:val="0"/>
        <w:widowControl w:val="0"/>
        <w:kinsoku/>
        <w:wordWrap/>
        <w:overflowPunct/>
        <w:topLinePunct w:val="0"/>
        <w:autoSpaceDE/>
        <w:autoSpaceDN/>
        <w:bidi w:val="0"/>
        <w:snapToGrid w:val="0"/>
        <w:spacing w:before="157" w:beforeLines="50" w:beforeAutospacing="0" w:after="157" w:afterLines="50" w:line="360" w:lineRule="auto"/>
        <w:ind w:left="0" w:leftChars="0" w:firstLine="0" w:firstLineChars="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六、定 标</w:t>
      </w:r>
    </w:p>
    <w:p w14:paraId="0D67CBDE">
      <w:pPr>
        <w:pStyle w:val="25"/>
        <w:keepNext w:val="0"/>
        <w:keepLines w:val="0"/>
        <w:pageBreakBefore w:val="0"/>
        <w:widowControl w:val="0"/>
        <w:kinsoku/>
        <w:wordWrap/>
        <w:overflowPunct/>
        <w:topLinePunct w:val="0"/>
        <w:autoSpaceDE/>
        <w:autoSpaceDN/>
        <w:bidi w:val="0"/>
        <w:adjustRightInd w:val="0"/>
        <w:spacing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22</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确定</w:t>
      </w:r>
      <w:r>
        <w:rPr>
          <w:rFonts w:hint="eastAsia" w:ascii="宋体" w:hAnsi="宋体" w:eastAsia="宋体" w:cs="宋体"/>
          <w:b/>
          <w:color w:val="auto"/>
          <w:sz w:val="21"/>
          <w:szCs w:val="21"/>
          <w:highlight w:val="none"/>
          <w:lang w:eastAsia="zh-CN"/>
        </w:rPr>
        <w:t>中标人</w:t>
      </w:r>
    </w:p>
    <w:p w14:paraId="63DF5DB7">
      <w:pPr>
        <w:pStyle w:val="137"/>
        <w:keepNext w:val="0"/>
        <w:keepLines w:val="0"/>
        <w:pageBreakBefore w:val="0"/>
        <w:kinsoku/>
        <w:wordWrap/>
        <w:overflowPunct/>
        <w:topLinePunct w:val="0"/>
        <w:bidi w:val="0"/>
        <w:snapToGrid w:val="0"/>
        <w:spacing w:before="0" w:beforeAutospacing="0"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个工作日内在线确定中标或者成交供应商。中标、成交通知书和中标、成交结果公告应当在规定时间内同时发出。</w:t>
      </w:r>
    </w:p>
    <w:p w14:paraId="252A9778">
      <w:pPr>
        <w:pStyle w:val="137"/>
        <w:keepNext w:val="0"/>
        <w:keepLines w:val="0"/>
        <w:pageBreakBefore w:val="0"/>
        <w:widowControl w:val="0"/>
        <w:kinsoku/>
        <w:wordWrap/>
        <w:overflowPunct/>
        <w:topLinePunct w:val="0"/>
        <w:autoSpaceDE/>
        <w:autoSpaceDN/>
        <w:bidi w:val="0"/>
        <w:adjustRightInd w:val="0"/>
        <w:snapToGrid w:val="0"/>
        <w:spacing w:before="0"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中标通知与中标结果公告</w:t>
      </w:r>
    </w:p>
    <w:p w14:paraId="6DBBED51">
      <w:pPr>
        <w:keepNext w:val="0"/>
        <w:keepLines w:val="0"/>
        <w:pageBreakBefore w:val="0"/>
        <w:widowControl/>
        <w:shd w:val="clear" w:color="auto"/>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23.1自中标人确定之日起2个工作日内，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通过电子交易平台向中标人发出中标通知书，同时编制发布采购结果公告。</w:t>
      </w:r>
    </w:p>
    <w:p w14:paraId="6F545B39">
      <w:pPr>
        <w:keepNext w:val="0"/>
        <w:keepLines w:val="0"/>
        <w:pageBreakBefore w:val="0"/>
        <w:widowControl/>
        <w:shd w:val="clear" w:color="auto"/>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23.2中标结果公告内容包括采购人及其委托的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的名称、地址、联系方式，项目名称和项目编号，中标人名称、地址和中标金额，主要中标标的的名称、服务范围、服务要求、服务时间、服务标准，开标记录、</w:t>
      </w:r>
      <w:bookmarkStart w:id="10" w:name="_Hlk101184471"/>
      <w:r>
        <w:rPr>
          <w:rFonts w:hint="eastAsia" w:ascii="宋体" w:hAnsi="宋体" w:eastAsia="宋体" w:cs="宋体"/>
          <w:color w:val="auto"/>
          <w:sz w:val="21"/>
          <w:szCs w:val="21"/>
          <w:highlight w:val="none"/>
        </w:rPr>
        <w:t>资格审查情况、评审专家抽取规则、符合性审查情况、</w:t>
      </w:r>
      <w:bookmarkEnd w:id="10"/>
      <w:r>
        <w:rPr>
          <w:rFonts w:hint="eastAsia" w:ascii="宋体" w:hAnsi="宋体" w:eastAsia="宋体" w:cs="宋体"/>
          <w:color w:val="auto"/>
          <w:sz w:val="21"/>
          <w:szCs w:val="21"/>
          <w:highlight w:val="none"/>
        </w:rPr>
        <w:t>未中标情况说明、中标公告期限以及评审专家名单、评分汇总及明细。</w:t>
      </w:r>
    </w:p>
    <w:p w14:paraId="26371A34">
      <w:pPr>
        <w:keepNext w:val="0"/>
        <w:keepLines w:val="0"/>
        <w:pageBreakBefore w:val="0"/>
        <w:widowControl/>
        <w:shd w:val="clear" w:color="auto"/>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23.3中标结果公告期限为1个工作日。</w:t>
      </w:r>
    </w:p>
    <w:p w14:paraId="1EDA0350">
      <w:pPr>
        <w:keepNext w:val="0"/>
        <w:keepLines w:val="0"/>
        <w:pageBreakBefore w:val="0"/>
        <w:widowControl w:val="0"/>
        <w:kinsoku/>
        <w:wordWrap/>
        <w:overflowPunct/>
        <w:topLinePunct w:val="0"/>
        <w:autoSpaceDE/>
        <w:autoSpaceDN/>
        <w:bidi w:val="0"/>
        <w:snapToGrid w:val="0"/>
        <w:spacing w:before="157" w:beforeLines="50" w:beforeAutospacing="0" w:after="157" w:afterLines="50" w:line="360" w:lineRule="auto"/>
        <w:ind w:left="0" w:leftChars="0" w:firstLine="0" w:firstLineChars="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七、合同授予</w:t>
      </w:r>
    </w:p>
    <w:p w14:paraId="110D75A1">
      <w:pPr>
        <w:pStyle w:val="25"/>
        <w:keepNext w:val="0"/>
        <w:keepLines w:val="0"/>
        <w:pageBreakBefore w:val="0"/>
        <w:widowControl w:val="0"/>
        <w:kinsoku/>
        <w:wordWrap/>
        <w:overflowPunct/>
        <w:topLinePunct w:val="0"/>
        <w:autoSpaceDE/>
        <w:autoSpaceDN/>
        <w:bidi w:val="0"/>
        <w:adjustRightInd w:val="0"/>
        <w:spacing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w:t>
      </w:r>
      <w:r>
        <w:rPr>
          <w:rFonts w:hint="eastAsia" w:ascii="宋体" w:hAnsi="宋体" w:eastAsia="宋体" w:cs="宋体"/>
          <w:color w:val="auto"/>
          <w:sz w:val="21"/>
          <w:szCs w:val="21"/>
          <w:highlight w:val="none"/>
        </w:rPr>
        <w:t>合同主要条款详见第五部分拟签订的合同文本。</w:t>
      </w:r>
    </w:p>
    <w:p w14:paraId="75688B44">
      <w:pPr>
        <w:pStyle w:val="25"/>
        <w:keepNext w:val="0"/>
        <w:keepLines w:val="0"/>
        <w:pageBreakBefore w:val="0"/>
        <w:widowControl w:val="0"/>
        <w:kinsoku/>
        <w:wordWrap/>
        <w:overflowPunct/>
        <w:topLinePunct w:val="0"/>
        <w:autoSpaceDE/>
        <w:autoSpaceDN/>
        <w:bidi w:val="0"/>
        <w:adjustRightInd w:val="0"/>
        <w:spacing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25.合同的签订</w:t>
      </w:r>
    </w:p>
    <w:p w14:paraId="45F56CCE">
      <w:pPr>
        <w:keepNext w:val="0"/>
        <w:keepLines w:val="0"/>
        <w:pageBreakBefore w:val="0"/>
        <w:widowControl/>
        <w:shd w:val="clear" w:color="auto"/>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25.1</w:t>
      </w:r>
      <w:r>
        <w:rPr>
          <w:rFonts w:hint="eastAsia" w:ascii="宋体" w:hAnsi="宋体" w:eastAsia="宋体" w:cs="宋体"/>
          <w:color w:val="auto"/>
          <w:kern w:val="0"/>
          <w:sz w:val="21"/>
          <w:szCs w:val="21"/>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63C46F5B">
      <w:pPr>
        <w:pStyle w:val="137"/>
        <w:keepNext w:val="0"/>
        <w:keepLines w:val="0"/>
        <w:pageBreakBefore w:val="0"/>
        <w:kinsoku/>
        <w:wordWrap/>
        <w:overflowPunct/>
        <w:topLinePunct w:val="0"/>
        <w:bidi w:val="0"/>
        <w:snapToGrid w:val="0"/>
        <w:spacing w:before="0"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0A8B183">
      <w:pPr>
        <w:pStyle w:val="137"/>
        <w:keepNext w:val="0"/>
        <w:keepLines w:val="0"/>
        <w:pageBreakBefore w:val="0"/>
        <w:kinsoku/>
        <w:wordWrap/>
        <w:overflowPunct/>
        <w:topLinePunct w:val="0"/>
        <w:bidi w:val="0"/>
        <w:snapToGrid w:val="0"/>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25.3如签订合同并生效后，供应商无故拒绝或延期，除按照合同条款处理外，列入不良行为记录一次，并给予通报。</w:t>
      </w:r>
    </w:p>
    <w:p w14:paraId="13A6AABE">
      <w:pPr>
        <w:pStyle w:val="137"/>
        <w:keepNext w:val="0"/>
        <w:keepLines w:val="0"/>
        <w:pageBreakBefore w:val="0"/>
        <w:kinsoku/>
        <w:wordWrap/>
        <w:overflowPunct/>
        <w:topLinePunct w:val="0"/>
        <w:bidi w:val="0"/>
        <w:snapToGrid w:val="0"/>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拒绝与采购人签订合同的，采购人可以按照评审报告推荐的中标或者成交候选人名单排序，确定下一候选人为</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，也可以重新开展政府采购活动。</w:t>
      </w:r>
    </w:p>
    <w:p w14:paraId="21BC52D2">
      <w:pPr>
        <w:pStyle w:val="137"/>
        <w:keepNext w:val="0"/>
        <w:keepLines w:val="0"/>
        <w:pageBreakBefore w:val="0"/>
        <w:widowControl w:val="0"/>
        <w:kinsoku/>
        <w:wordWrap/>
        <w:overflowPunct/>
        <w:topLinePunct w:val="0"/>
        <w:autoSpaceDE/>
        <w:autoSpaceDN/>
        <w:bidi w:val="0"/>
        <w:adjustRightInd w:val="0"/>
        <w:snapToGrid w:val="0"/>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25.5采购合同由采购人与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根据招标文件、投标文件等内容通过政府采购电子交易平台在线签订，自动备案。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由采购人自行选择线上签订或线下签订</w:t>
      </w:r>
      <w:r>
        <w:rPr>
          <w:rFonts w:hint="eastAsia" w:ascii="宋体" w:hAnsi="宋体" w:eastAsia="宋体" w:cs="宋体"/>
          <w:color w:val="auto"/>
          <w:sz w:val="21"/>
          <w:szCs w:val="21"/>
          <w:highlight w:val="none"/>
          <w:lang w:eastAsia="zh-CN"/>
        </w:rPr>
        <w:t>）</w:t>
      </w:r>
    </w:p>
    <w:p w14:paraId="4B7D20DD">
      <w:pPr>
        <w:pStyle w:val="25"/>
        <w:keepNext w:val="0"/>
        <w:keepLines w:val="0"/>
        <w:pageBreakBefore w:val="0"/>
        <w:widowControl w:val="0"/>
        <w:kinsoku/>
        <w:wordWrap/>
        <w:overflowPunct/>
        <w:topLinePunct w:val="0"/>
        <w:autoSpaceDE/>
        <w:autoSpaceDN/>
        <w:bidi w:val="0"/>
        <w:adjustRightInd w:val="0"/>
        <w:spacing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26.履约保证金</w:t>
      </w:r>
    </w:p>
    <w:p w14:paraId="38FD447D">
      <w:pPr>
        <w:keepNext w:val="0"/>
        <w:keepLines w:val="0"/>
        <w:pageBreakBefore w:val="0"/>
        <w:tabs>
          <w:tab w:val="left" w:pos="0"/>
        </w:tabs>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w:t>
      </w:r>
      <w:r>
        <w:rPr>
          <w:rFonts w:hint="eastAsia" w:ascii="宋体" w:hAnsi="宋体" w:eastAsia="宋体" w:cs="宋体"/>
          <w:color w:val="auto"/>
          <w:kern w:val="0"/>
          <w:sz w:val="21"/>
          <w:szCs w:val="21"/>
          <w:highlight w:val="none"/>
          <w:lang w:eastAsia="zh-CN"/>
        </w:rPr>
        <w:t>中标人</w:t>
      </w:r>
      <w:r>
        <w:rPr>
          <w:rFonts w:hint="eastAsia" w:ascii="宋体" w:hAnsi="宋体" w:eastAsia="宋体" w:cs="宋体"/>
          <w:color w:val="auto"/>
          <w:kern w:val="0"/>
          <w:sz w:val="21"/>
          <w:szCs w:val="21"/>
          <w:highlight w:val="none"/>
        </w:rPr>
        <w:t>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7ABB5BB">
      <w:pPr>
        <w:keepNext w:val="0"/>
        <w:keepLines w:val="0"/>
        <w:pageBreakBefore w:val="0"/>
        <w:tabs>
          <w:tab w:val="left" w:pos="0"/>
        </w:tabs>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038205A">
      <w:pPr>
        <w:pStyle w:val="25"/>
        <w:keepNext w:val="0"/>
        <w:keepLines w:val="0"/>
        <w:pageBreakBefore w:val="0"/>
        <w:widowControl w:val="0"/>
        <w:kinsoku/>
        <w:wordWrap/>
        <w:overflowPunct/>
        <w:topLinePunct w:val="0"/>
        <w:autoSpaceDE/>
        <w:autoSpaceDN/>
        <w:bidi w:val="0"/>
        <w:adjustRightInd w:val="0"/>
        <w:spacing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rPr>
        <w:t>27.预付款</w:t>
      </w:r>
    </w:p>
    <w:p w14:paraId="1136BEF0">
      <w:pPr>
        <w:keepNext w:val="0"/>
        <w:keepLines w:val="0"/>
        <w:pageBreakBefore w:val="0"/>
        <w:kinsoku/>
        <w:wordWrap/>
        <w:overflowPunct/>
        <w:topLinePunct w:val="0"/>
        <w:bidi w:val="0"/>
        <w:adjustRightIn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采购单位应当在政府采购合同中约定预付款，对中小企业合同预付款比例原则上不低于合同金额的40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，不高于合同金额的70%；项目分年安排预算的，每年预付款比例不低于项目年度计划支付资金额的40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color w:val="auto"/>
          <w:sz w:val="21"/>
          <w:szCs w:val="21"/>
          <w:highlight w:val="none"/>
          <w:lang w:eastAsia="zh-CN"/>
        </w:rPr>
        <w:t>7个工作日内</w:t>
      </w:r>
      <w:r>
        <w:rPr>
          <w:rFonts w:hint="eastAsia" w:ascii="宋体" w:hAnsi="宋体" w:eastAsia="宋体" w:cs="宋体"/>
          <w:color w:val="auto"/>
          <w:sz w:val="21"/>
          <w:szCs w:val="21"/>
          <w:highlight w:val="none"/>
        </w:rPr>
        <w:t>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016925C">
      <w:pPr>
        <w:keepNext w:val="0"/>
        <w:keepLines w:val="0"/>
        <w:pageBreakBefore w:val="0"/>
        <w:widowControl w:val="0"/>
        <w:kinsoku/>
        <w:wordWrap/>
        <w:overflowPunct/>
        <w:topLinePunct w:val="0"/>
        <w:autoSpaceDE/>
        <w:autoSpaceDN/>
        <w:bidi w:val="0"/>
        <w:snapToGrid w:val="0"/>
        <w:spacing w:before="157" w:beforeLines="50" w:beforeAutospacing="0" w:after="157" w:afterLines="50" w:line="360" w:lineRule="auto"/>
        <w:ind w:left="0" w:leftChars="0" w:firstLine="0" w:firstLineChars="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八、电子交易活动的中止</w:t>
      </w:r>
    </w:p>
    <w:p w14:paraId="7EF5A6AC">
      <w:pPr>
        <w:pStyle w:val="137"/>
        <w:keepNext w:val="0"/>
        <w:keepLines w:val="0"/>
        <w:pageBreakBefore w:val="0"/>
        <w:widowControl w:val="0"/>
        <w:kinsoku/>
        <w:wordWrap/>
        <w:overflowPunct/>
        <w:topLinePunct w:val="0"/>
        <w:autoSpaceDE/>
        <w:autoSpaceDN/>
        <w:bidi w:val="0"/>
        <w:adjustRightInd w:val="0"/>
        <w:snapToGrid w:val="0"/>
        <w:spacing w:before="0" w:beforeAutospacing="0" w:line="360" w:lineRule="auto"/>
        <w:ind w:left="0" w:leftChars="0" w:firstLine="422" w:firstLineChars="200"/>
        <w:jc w:val="both"/>
        <w:textAlignment w:val="auto"/>
        <w:outlineLvl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28</w:t>
      </w:r>
      <w:r>
        <w:rPr>
          <w:rFonts w:hint="eastAsia" w:ascii="宋体" w:hAnsi="宋体" w:eastAsia="宋体" w:cs="宋体"/>
          <w:b/>
          <w:color w:val="auto"/>
          <w:sz w:val="21"/>
          <w:szCs w:val="21"/>
          <w:highlight w:val="none"/>
        </w:rPr>
        <w:t>.电子交易活动的中止。</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可中止电子交易活动：</w:t>
      </w:r>
    </w:p>
    <w:p w14:paraId="73E2D007">
      <w:pPr>
        <w:pStyle w:val="137"/>
        <w:keepNext w:val="0"/>
        <w:keepLines w:val="0"/>
        <w:pageBreakBefore w:val="0"/>
        <w:kinsoku/>
        <w:wordWrap/>
        <w:overflowPunct/>
        <w:topLinePunct w:val="0"/>
        <w:bidi w:val="0"/>
        <w:snapToGrid w:val="0"/>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28.1电子交易平台发生故障而无法登录访问的； </w:t>
      </w:r>
    </w:p>
    <w:p w14:paraId="2069A09D">
      <w:pPr>
        <w:pStyle w:val="137"/>
        <w:keepNext w:val="0"/>
        <w:keepLines w:val="0"/>
        <w:pageBreakBefore w:val="0"/>
        <w:kinsoku/>
        <w:wordWrap/>
        <w:overflowPunct/>
        <w:topLinePunct w:val="0"/>
        <w:bidi w:val="0"/>
        <w:snapToGrid w:val="0"/>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28.2电子交易平台应用或数据库出现错误，不能进行正常操作的；</w:t>
      </w:r>
    </w:p>
    <w:p w14:paraId="3D50F785">
      <w:pPr>
        <w:pStyle w:val="137"/>
        <w:keepNext w:val="0"/>
        <w:keepLines w:val="0"/>
        <w:pageBreakBefore w:val="0"/>
        <w:kinsoku/>
        <w:wordWrap/>
        <w:overflowPunct/>
        <w:topLinePunct w:val="0"/>
        <w:bidi w:val="0"/>
        <w:snapToGrid w:val="0"/>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28.3电子交易平台发现严重安全漏洞，有潜在泄密危险的；</w:t>
      </w:r>
    </w:p>
    <w:p w14:paraId="5CAFC7BB">
      <w:pPr>
        <w:pStyle w:val="137"/>
        <w:keepNext w:val="0"/>
        <w:keepLines w:val="0"/>
        <w:pageBreakBefore w:val="0"/>
        <w:kinsoku/>
        <w:wordWrap/>
        <w:overflowPunct/>
        <w:topLinePunct w:val="0"/>
        <w:bidi w:val="0"/>
        <w:snapToGrid w:val="0"/>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28.4病毒发作导致不能进行正常操作的； </w:t>
      </w:r>
    </w:p>
    <w:p w14:paraId="04DA2BEA">
      <w:pPr>
        <w:pStyle w:val="137"/>
        <w:keepNext w:val="0"/>
        <w:keepLines w:val="0"/>
        <w:pageBreakBefore w:val="0"/>
        <w:kinsoku/>
        <w:wordWrap/>
        <w:overflowPunct/>
        <w:topLinePunct w:val="0"/>
        <w:bidi w:val="0"/>
        <w:snapToGrid w:val="0"/>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28.5其他无法保证电子交易的公平、公正和安全的情况。</w:t>
      </w:r>
    </w:p>
    <w:p w14:paraId="2B794A6D">
      <w:pPr>
        <w:pStyle w:val="137"/>
        <w:keepNext w:val="0"/>
        <w:keepLines w:val="0"/>
        <w:pageBreakBefore w:val="0"/>
        <w:widowControl w:val="0"/>
        <w:kinsoku/>
        <w:wordWrap/>
        <w:overflowPunct/>
        <w:topLinePunct w:val="0"/>
        <w:autoSpaceDE/>
        <w:autoSpaceDN/>
        <w:bidi w:val="0"/>
        <w:adjustRightInd w:val="0"/>
        <w:snapToGrid w:val="0"/>
        <w:spacing w:before="0" w:beforeAutospacing="0" w:line="360" w:lineRule="auto"/>
        <w:ind w:left="0" w:leftChars="0" w:firstLine="422" w:firstLineChars="200"/>
        <w:jc w:val="both"/>
        <w:textAlignment w:val="auto"/>
        <w:outlineLvl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29.</w:t>
      </w:r>
      <w:r>
        <w:rPr>
          <w:rFonts w:hint="eastAsia" w:ascii="宋体" w:hAnsi="宋体" w:eastAsia="宋体" w:cs="宋体"/>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738FDBB">
      <w:pPr>
        <w:keepNext w:val="0"/>
        <w:keepLines w:val="0"/>
        <w:pageBreakBefore w:val="0"/>
        <w:widowControl w:val="0"/>
        <w:kinsoku/>
        <w:wordWrap/>
        <w:overflowPunct/>
        <w:topLinePunct w:val="0"/>
        <w:autoSpaceDE/>
        <w:autoSpaceDN/>
        <w:bidi w:val="0"/>
        <w:snapToGrid w:val="0"/>
        <w:spacing w:before="157" w:beforeLines="50" w:beforeAutospacing="0" w:after="157" w:afterLines="50" w:line="360" w:lineRule="auto"/>
        <w:ind w:left="0" w:leftChars="0" w:firstLine="0" w:firstLineChars="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九、验收</w:t>
      </w:r>
    </w:p>
    <w:p w14:paraId="1277A8CA">
      <w:pPr>
        <w:pStyle w:val="25"/>
        <w:keepNext w:val="0"/>
        <w:keepLines w:val="0"/>
        <w:pageBreakBefore w:val="0"/>
        <w:widowControl w:val="0"/>
        <w:kinsoku/>
        <w:wordWrap/>
        <w:overflowPunct/>
        <w:topLinePunct w:val="0"/>
        <w:autoSpaceDE/>
        <w:autoSpaceDN/>
        <w:bidi w:val="0"/>
        <w:adjustRightInd w:val="0"/>
        <w:spacing w:before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30.验收</w:t>
      </w:r>
    </w:p>
    <w:p w14:paraId="33BE088C">
      <w:pPr>
        <w:keepNext w:val="0"/>
        <w:keepLines w:val="0"/>
        <w:pageBreakBefore w:val="0"/>
        <w:tabs>
          <w:tab w:val="left" w:pos="0"/>
        </w:tabs>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6C6A4A">
      <w:pPr>
        <w:keepNext w:val="0"/>
        <w:keepLines w:val="0"/>
        <w:pageBreakBefore w:val="0"/>
        <w:tabs>
          <w:tab w:val="left" w:pos="0"/>
        </w:tabs>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6CCB142C">
      <w:pPr>
        <w:keepNext w:val="0"/>
        <w:keepLines w:val="0"/>
        <w:pageBreakBefore w:val="0"/>
        <w:tabs>
          <w:tab w:val="left" w:pos="0"/>
        </w:tabs>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527202">
      <w:pPr>
        <w:keepNext w:val="0"/>
        <w:keepLines w:val="0"/>
        <w:pageBreakBefore w:val="0"/>
        <w:tabs>
          <w:tab w:val="left" w:pos="0"/>
        </w:tabs>
        <w:kinsoku/>
        <w:wordWrap/>
        <w:overflowPunct/>
        <w:topLinePunct w:val="0"/>
        <w:bidi w:val="0"/>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14:paraId="2D9AC18F">
      <w:pPr>
        <w:pStyle w:val="87"/>
        <w:kinsoku/>
        <w:wordWrap/>
        <w:overflowPunct/>
        <w:topLinePunct w:val="0"/>
        <w:bidi w:val="0"/>
        <w:outlineLvl w:val="9"/>
        <w:rPr>
          <w:rFonts w:ascii="宋体" w:hAnsi="宋体" w:cs="宋体"/>
          <w:color w:val="auto"/>
          <w:kern w:val="0"/>
          <w:sz w:val="24"/>
          <w:highlight w:val="none"/>
        </w:rPr>
      </w:pPr>
      <w:bookmarkStart w:id="11" w:name="_Hlt75236101"/>
      <w:bookmarkEnd w:id="11"/>
      <w:bookmarkStart w:id="12" w:name="_Hlt74729768"/>
      <w:bookmarkEnd w:id="12"/>
      <w:bookmarkStart w:id="13" w:name="_Hlt74730295"/>
      <w:bookmarkEnd w:id="13"/>
      <w:bookmarkStart w:id="14" w:name="_Hlt68057669"/>
      <w:bookmarkEnd w:id="14"/>
      <w:bookmarkStart w:id="15" w:name="_Hlt75236011"/>
      <w:bookmarkEnd w:id="15"/>
      <w:bookmarkStart w:id="16" w:name="_Hlt68403820"/>
      <w:bookmarkEnd w:id="16"/>
      <w:bookmarkStart w:id="17" w:name="_Hlt68073093"/>
      <w:bookmarkEnd w:id="17"/>
      <w:bookmarkStart w:id="18" w:name="_Hlt75236290"/>
      <w:bookmarkEnd w:id="18"/>
      <w:bookmarkStart w:id="19" w:name="_Hlt74707468"/>
      <w:bookmarkEnd w:id="19"/>
      <w:bookmarkStart w:id="20" w:name="_Hlt68072990"/>
      <w:bookmarkEnd w:id="20"/>
      <w:bookmarkStart w:id="21" w:name="_Hlt68072998"/>
      <w:bookmarkEnd w:id="21"/>
      <w:bookmarkStart w:id="22" w:name="_Hlt74714665"/>
      <w:bookmarkEnd w:id="22"/>
    </w:p>
    <w:p w14:paraId="418CD497">
      <w:pPr>
        <w:pStyle w:val="87"/>
        <w:kinsoku/>
        <w:wordWrap/>
        <w:overflowPunct/>
        <w:topLinePunct w:val="0"/>
        <w:bidi w:val="0"/>
        <w:outlineLvl w:val="9"/>
        <w:rPr>
          <w:highlight w:val="none"/>
        </w:rPr>
        <w:sectPr>
          <w:footerReference r:id="rId5" w:type="first"/>
          <w:headerReference r:id="rId3" w:type="default"/>
          <w:footerReference r:id="rId4" w:type="default"/>
          <w:pgSz w:w="11906" w:h="16838"/>
          <w:pgMar w:top="680" w:right="1304" w:bottom="468" w:left="1304" w:header="851" w:footer="992" w:gutter="0"/>
          <w:pgNumType w:fmt="decimal" w:start="1"/>
          <w:cols w:space="720" w:num="1"/>
          <w:titlePg/>
          <w:docGrid w:linePitch="312" w:charSpace="0"/>
        </w:sectPr>
      </w:pPr>
    </w:p>
    <w:bookmarkEnd w:id="7"/>
    <w:bookmarkEnd w:id="8"/>
    <w:p w14:paraId="6AD657A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color w:val="auto"/>
          <w:sz w:val="36"/>
          <w:szCs w:val="36"/>
          <w:highlight w:val="none"/>
        </w:rPr>
      </w:pPr>
      <w:bookmarkStart w:id="23" w:name="_Toc7512"/>
      <w:bookmarkStart w:id="24" w:name="第四部分"/>
      <w:r>
        <w:rPr>
          <w:rFonts w:hint="eastAsia" w:ascii="宋体" w:hAnsi="宋体" w:cs="宋体"/>
          <w:b/>
          <w:color w:val="auto"/>
          <w:sz w:val="36"/>
          <w:szCs w:val="36"/>
          <w:highlight w:val="none"/>
        </w:rPr>
        <w:t>第三部分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采购需求</w:t>
      </w:r>
      <w:bookmarkEnd w:id="23"/>
    </w:p>
    <w:p w14:paraId="7FC390C4">
      <w:pPr>
        <w:pStyle w:val="5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outlineLvl w:val="1"/>
        <w:rPr>
          <w:rFonts w:hint="eastAsia" w:ascii="宋体" w:hAnsi="宋体" w:eastAsia="宋体" w:cs="宋体"/>
          <w:b/>
          <w:sz w:val="21"/>
          <w:szCs w:val="21"/>
          <w:highlight w:val="none"/>
        </w:rPr>
      </w:pPr>
      <w:bookmarkStart w:id="25" w:name="_Toc17869"/>
      <w:r>
        <w:rPr>
          <w:rFonts w:hint="eastAsia" w:cs="宋体"/>
          <w:b/>
          <w:sz w:val="21"/>
          <w:szCs w:val="21"/>
          <w:highlight w:val="none"/>
          <w:lang w:val="en-US" w:eastAsia="zh-CN"/>
        </w:rPr>
        <w:t>一、</w:t>
      </w:r>
      <w:r>
        <w:rPr>
          <w:rFonts w:hint="eastAsia" w:ascii="宋体" w:hAnsi="宋体" w:eastAsia="宋体" w:cs="宋体"/>
          <w:b/>
          <w:sz w:val="21"/>
          <w:szCs w:val="21"/>
          <w:highlight w:val="none"/>
        </w:rPr>
        <w:t>项目概况</w:t>
      </w:r>
    </w:p>
    <w:p w14:paraId="3204C89A">
      <w:pPr>
        <w:pStyle w:val="5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default" w:ascii="宋体" w:hAnsi="宋体" w:eastAsia="宋体" w:cs="宋体"/>
          <w:spacing w:val="0"/>
          <w:sz w:val="21"/>
          <w:szCs w:val="21"/>
          <w:highlight w:val="none"/>
          <w:u w:val="none"/>
          <w:lang w:val="en-US" w:eastAsia="zh-CN"/>
        </w:rPr>
      </w:pPr>
      <w:r>
        <w:rPr>
          <w:rFonts w:hint="eastAsia" w:cs="宋体"/>
          <w:spacing w:val="0"/>
          <w:sz w:val="21"/>
          <w:szCs w:val="21"/>
          <w:highlight w:val="none"/>
          <w:u w:val="none"/>
          <w:lang w:eastAsia="zh-CN"/>
        </w:rPr>
        <w:t>（</w:t>
      </w:r>
      <w:r>
        <w:rPr>
          <w:rFonts w:hint="eastAsia" w:cs="宋体"/>
          <w:spacing w:val="0"/>
          <w:sz w:val="21"/>
          <w:szCs w:val="21"/>
          <w:highlight w:val="none"/>
          <w:u w:val="none"/>
          <w:lang w:val="en-US" w:eastAsia="zh-CN"/>
        </w:rPr>
        <w:t>一</w:t>
      </w:r>
      <w:r>
        <w:rPr>
          <w:rFonts w:hint="eastAsia" w:cs="宋体"/>
          <w:spacing w:val="0"/>
          <w:sz w:val="21"/>
          <w:szCs w:val="21"/>
          <w:highlight w:val="none"/>
          <w:u w:val="none"/>
          <w:lang w:eastAsia="zh-CN"/>
        </w:rPr>
        <w:t>）</w:t>
      </w:r>
      <w:r>
        <w:rPr>
          <w:rFonts w:hint="eastAsia" w:cs="宋体"/>
          <w:spacing w:val="0"/>
          <w:sz w:val="21"/>
          <w:szCs w:val="21"/>
          <w:highlight w:val="none"/>
          <w:u w:val="none"/>
          <w:lang w:val="en-US" w:eastAsia="zh-CN"/>
        </w:rPr>
        <w:t>项目概况</w:t>
      </w:r>
    </w:p>
    <w:p w14:paraId="38CB79AF">
      <w:pPr>
        <w:pStyle w:val="5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spacing w:val="0"/>
          <w:sz w:val="21"/>
          <w:szCs w:val="21"/>
          <w:highlight w:val="none"/>
          <w:u w:val="none"/>
          <w:lang w:eastAsia="zh-CN"/>
        </w:rPr>
      </w:pPr>
      <w:r>
        <w:rPr>
          <w:rFonts w:hint="eastAsia" w:ascii="宋体" w:hAnsi="宋体" w:eastAsia="宋体" w:cs="宋体"/>
          <w:spacing w:val="0"/>
          <w:sz w:val="21"/>
          <w:szCs w:val="21"/>
          <w:highlight w:val="none"/>
          <w:u w:val="none"/>
          <w:lang w:eastAsia="zh-CN"/>
        </w:rPr>
        <w:t>结合风险普查成果，并整合多部门调研数据和现有的加密气象监测资源，构建分行业、分灾种、分区域阈值矩阵。利用可视化大数据分析，提升气象要素立体监测、精准监测能力，提升气象数据的处理能力和预测精度，建设包含气象监测数据综合查询、多部门风险信息应用、气象灾害分行业专题服务、靶向预警等，实现气象灾害的秒监测、秒预警、秒发送和秒服务功能，切实发挥气象防灾减灾第一道防线作用。</w:t>
      </w:r>
    </w:p>
    <w:p w14:paraId="1C3C62A9">
      <w:pPr>
        <w:pStyle w:val="5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cs="宋体"/>
          <w:spacing w:val="0"/>
          <w:sz w:val="21"/>
          <w:szCs w:val="21"/>
          <w:highlight w:val="none"/>
          <w:u w:val="none"/>
          <w:lang w:val="en-US" w:eastAsia="zh-CN"/>
        </w:rPr>
      </w:pPr>
      <w:r>
        <w:rPr>
          <w:rFonts w:hint="eastAsia" w:cs="宋体"/>
          <w:spacing w:val="0"/>
          <w:sz w:val="21"/>
          <w:szCs w:val="21"/>
          <w:highlight w:val="none"/>
          <w:u w:val="none"/>
          <w:lang w:val="en-US" w:eastAsia="zh-CN"/>
        </w:rPr>
        <w:t>（二）项目建设内容</w:t>
      </w:r>
    </w:p>
    <w:p w14:paraId="55008E77">
      <w:pPr>
        <w:pStyle w:val="5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Fonts w:hint="eastAsia" w:cs="宋体"/>
          <w:spacing w:val="0"/>
          <w:sz w:val="21"/>
          <w:szCs w:val="21"/>
          <w:highlight w:val="none"/>
          <w:u w:val="none"/>
          <w:lang w:val="en-US" w:eastAsia="zh-CN"/>
        </w:rPr>
      </w:pPr>
      <w:r>
        <w:rPr>
          <w:highlight w:val="none"/>
        </w:rPr>
        <w:drawing>
          <wp:anchor distT="0" distB="0" distL="114300" distR="114300" simplePos="0" relativeHeight="251663360" behindDoc="1" locked="0" layoutInCell="1" allowOverlap="1">
            <wp:simplePos x="0" y="0"/>
            <wp:positionH relativeFrom="column">
              <wp:posOffset>104775</wp:posOffset>
            </wp:positionH>
            <wp:positionV relativeFrom="paragraph">
              <wp:posOffset>763905</wp:posOffset>
            </wp:positionV>
            <wp:extent cx="5118735" cy="936625"/>
            <wp:effectExtent l="0" t="0" r="32385" b="38735"/>
            <wp:wrapTight wrapText="bothSides">
              <wp:wrapPolygon>
                <wp:start x="0" y="0"/>
                <wp:lineTo x="0" y="21087"/>
                <wp:lineTo x="21544" y="21087"/>
                <wp:lineTo x="21544"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5"/>
                    <a:stretch>
                      <a:fillRect/>
                    </a:stretch>
                  </pic:blipFill>
                  <pic:spPr>
                    <a:xfrm>
                      <a:off x="0" y="0"/>
                      <a:ext cx="5118735" cy="936625"/>
                    </a:xfrm>
                    <a:prstGeom prst="rect">
                      <a:avLst/>
                    </a:prstGeom>
                    <a:noFill/>
                    <a:ln>
                      <a:noFill/>
                    </a:ln>
                  </pic:spPr>
                </pic:pic>
              </a:graphicData>
            </a:graphic>
          </wp:anchor>
        </w:drawing>
      </w:r>
      <w:r>
        <w:rPr>
          <w:rFonts w:hint="eastAsia" w:cs="宋体"/>
          <w:spacing w:val="0"/>
          <w:sz w:val="21"/>
          <w:szCs w:val="21"/>
          <w:highlight w:val="none"/>
          <w:u w:val="none"/>
          <w:lang w:val="en-US" w:eastAsia="zh-CN"/>
        </w:rPr>
        <w:t>依托宁波市气象保障中心“天机”气象机器人，宁海强对流天气秒预警工程（重招）通过基础数据环境建设、气象监测数据综合查询显示、多部门风险信息应用、灾害气象场景化专题服务、靶向预警和系统管理6个子系统开发。</w:t>
      </w:r>
    </w:p>
    <w:p w14:paraId="48988CE0">
      <w:pPr>
        <w:pStyle w:val="5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default" w:ascii="宋体" w:hAnsi="宋体" w:eastAsia="宋体" w:cs="宋体"/>
          <w:spacing w:val="0"/>
          <w:sz w:val="21"/>
          <w:szCs w:val="21"/>
          <w:highlight w:val="none"/>
          <w:u w:val="none"/>
          <w:lang w:val="en-US" w:eastAsia="zh-CN"/>
        </w:rPr>
      </w:pPr>
      <w:r>
        <w:rPr>
          <w:rFonts w:hint="eastAsia" w:cs="宋体"/>
          <w:spacing w:val="0"/>
          <w:sz w:val="21"/>
          <w:szCs w:val="21"/>
          <w:highlight w:val="none"/>
          <w:u w:val="none"/>
          <w:lang w:val="en-US" w:eastAsia="zh-CN"/>
        </w:rPr>
        <w:t>（三）</w:t>
      </w:r>
      <w:r>
        <w:rPr>
          <w:rFonts w:hint="default" w:ascii="宋体" w:hAnsi="宋体" w:eastAsia="宋体" w:cs="宋体"/>
          <w:spacing w:val="0"/>
          <w:sz w:val="21"/>
          <w:szCs w:val="21"/>
          <w:highlight w:val="none"/>
          <w:u w:val="none"/>
          <w:lang w:val="en-US" w:eastAsia="zh-CN"/>
        </w:rPr>
        <w:t>建设规模</w:t>
      </w:r>
    </w:p>
    <w:p w14:paraId="04321129">
      <w:pPr>
        <w:pStyle w:val="5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cs="宋体"/>
          <w:spacing w:val="0"/>
          <w:sz w:val="21"/>
          <w:szCs w:val="21"/>
          <w:highlight w:val="none"/>
          <w:u w:val="none"/>
          <w:lang w:val="en-US" w:eastAsia="zh-CN"/>
        </w:rPr>
      </w:pPr>
      <w:r>
        <w:rPr>
          <w:rFonts w:hint="default" w:ascii="宋体" w:hAnsi="宋体" w:eastAsia="宋体" w:cs="宋体"/>
          <w:spacing w:val="0"/>
          <w:sz w:val="21"/>
          <w:szCs w:val="21"/>
          <w:highlight w:val="none"/>
          <w:u w:val="none"/>
          <w:lang w:val="en-US" w:eastAsia="zh-CN"/>
        </w:rPr>
        <w:t>项目使用区域主要为宁海县，主要使用对象为县气象台预报员用户、其他政府部门用户</w:t>
      </w:r>
      <w:r>
        <w:rPr>
          <w:rFonts w:hint="eastAsia" w:cs="宋体"/>
          <w:spacing w:val="0"/>
          <w:sz w:val="21"/>
          <w:szCs w:val="21"/>
          <w:highlight w:val="none"/>
          <w:u w:val="none"/>
          <w:lang w:val="en-US" w:eastAsia="zh-CN"/>
        </w:rPr>
        <w:t>。</w:t>
      </w:r>
    </w:p>
    <w:p w14:paraId="0C821720">
      <w:pPr>
        <w:pStyle w:val="5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outlineLvl w:val="1"/>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二、技术要求</w:t>
      </w:r>
    </w:p>
    <w:p w14:paraId="556D185A">
      <w:pPr>
        <w:keepNext w:val="0"/>
        <w:keepLines w:val="0"/>
        <w:pageBreakBefore w:val="0"/>
        <w:kinsoku/>
        <w:wordWrap/>
        <w:overflowPunct/>
        <w:topLinePunct w:val="0"/>
        <w:autoSpaceDE/>
        <w:autoSpaceDN/>
        <w:bidi w:val="0"/>
        <w:snapToGrid/>
        <w:spacing w:line="360" w:lineRule="auto"/>
        <w:ind w:firstLine="422" w:firstLineChars="200"/>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一</w:t>
      </w:r>
      <w:r>
        <w:rPr>
          <w:rFonts w:hint="eastAsia" w:ascii="宋体" w:hAnsi="宋体" w:eastAsia="宋体" w:cs="宋体"/>
          <w:b/>
          <w:sz w:val="21"/>
          <w:szCs w:val="21"/>
          <w:highlight w:val="none"/>
        </w:rPr>
        <w:t>）软硬件要求</w:t>
      </w:r>
    </w:p>
    <w:p w14:paraId="50110417">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1.基于采购人现有服务器资源及办公应用终端基础环境进行搭建，从硬件到软件完全按照国产化适配要求进行方案设计和选型，满足信创要求。</w:t>
      </w:r>
    </w:p>
    <w:p w14:paraId="10CDF3B1">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2.本项目涉及软硬件基于采购人现有服务器资源及办公应用终端建设，其中服务器、操作系统及数据库软件等属于信创目录内产品，符合信创要求。</w:t>
      </w:r>
    </w:p>
    <w:p w14:paraId="6DAA1BB8">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3.软件符合信创要求，后端系统运行在国产化服务环境，前端系统满足国产及非国产办公终端的访问要求。</w:t>
      </w:r>
    </w:p>
    <w:p w14:paraId="6F0343F3">
      <w:pPr>
        <w:keepNext w:val="0"/>
        <w:keepLines w:val="0"/>
        <w:pageBreakBefore w:val="0"/>
        <w:kinsoku/>
        <w:wordWrap/>
        <w:overflowPunct/>
        <w:topLinePunct w:val="0"/>
        <w:autoSpaceDE/>
        <w:autoSpaceDN/>
        <w:bidi w:val="0"/>
        <w:snapToGrid/>
        <w:spacing w:line="360" w:lineRule="auto"/>
        <w:ind w:firstLine="422" w:firstLineChars="200"/>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二</w:t>
      </w:r>
      <w:r>
        <w:rPr>
          <w:rFonts w:hint="eastAsia" w:ascii="宋体" w:hAnsi="宋体" w:eastAsia="宋体" w:cs="宋体"/>
          <w:b/>
          <w:sz w:val="21"/>
          <w:szCs w:val="21"/>
          <w:highlight w:val="none"/>
        </w:rPr>
        <w:t>）软件功能要求</w:t>
      </w:r>
    </w:p>
    <w:tbl>
      <w:tblPr>
        <w:tblStyle w:val="63"/>
        <w:tblW w:w="55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6"/>
        <w:gridCol w:w="1128"/>
        <w:gridCol w:w="1671"/>
        <w:gridCol w:w="6284"/>
      </w:tblGrid>
      <w:tr w14:paraId="5558E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22C6FA5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序号</w:t>
            </w:r>
          </w:p>
        </w:tc>
        <w:tc>
          <w:tcPr>
            <w:tcW w:w="1434" w:type="pct"/>
            <w:gridSpan w:val="2"/>
            <w:tcBorders>
              <w:top w:val="single" w:color="000000" w:sz="4" w:space="0"/>
              <w:left w:val="single" w:color="000000" w:sz="4" w:space="0"/>
              <w:bottom w:val="single" w:color="000000" w:sz="4" w:space="0"/>
              <w:right w:val="single" w:color="000000" w:sz="4" w:space="0"/>
            </w:tcBorders>
            <w:noWrap w:val="0"/>
            <w:vAlign w:val="center"/>
          </w:tcPr>
          <w:p w14:paraId="301A1C6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功能</w:t>
            </w:r>
          </w:p>
        </w:tc>
        <w:tc>
          <w:tcPr>
            <w:tcW w:w="3219" w:type="pct"/>
            <w:tcBorders>
              <w:top w:val="single" w:color="000000" w:sz="4" w:space="0"/>
              <w:left w:val="single" w:color="000000" w:sz="4" w:space="0"/>
              <w:bottom w:val="single" w:color="000000" w:sz="4" w:space="0"/>
              <w:right w:val="single" w:color="000000" w:sz="4" w:space="0"/>
            </w:tcBorders>
            <w:noWrap/>
            <w:vAlign w:val="center"/>
          </w:tcPr>
          <w:p w14:paraId="61D08E6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功能说明</w:t>
            </w:r>
          </w:p>
        </w:tc>
      </w:tr>
      <w:tr w14:paraId="66D6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3F4BCD4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1</w:t>
            </w:r>
          </w:p>
        </w:tc>
        <w:tc>
          <w:tcPr>
            <w:tcW w:w="577" w:type="pct"/>
            <w:vMerge w:val="restart"/>
            <w:tcBorders>
              <w:top w:val="single" w:color="000000" w:sz="4" w:space="0"/>
              <w:left w:val="single" w:color="000000" w:sz="4" w:space="0"/>
              <w:bottom w:val="single" w:color="000000" w:sz="4" w:space="0"/>
              <w:right w:val="single" w:color="000000" w:sz="4" w:space="0"/>
            </w:tcBorders>
            <w:noWrap w:val="0"/>
            <w:vAlign w:val="center"/>
          </w:tcPr>
          <w:p w14:paraId="68700B3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基础数据环境建设</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18D0DF9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数据收集与存储</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6242C29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对接省天擎和宁波市气象局数字底座整合多源数据采集、处理、传输，确保数据高效、安全、可靠交换，支持数据备份管理。</w:t>
            </w:r>
          </w:p>
        </w:tc>
      </w:tr>
      <w:tr w14:paraId="3E821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1480D63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2</w:t>
            </w:r>
          </w:p>
        </w:tc>
        <w:tc>
          <w:tcPr>
            <w:tcW w:w="5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F83D66">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ign w:val="center"/>
          </w:tcPr>
          <w:p w14:paraId="4C800E3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数据处理与分析</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67ADCDE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对气象数据进行处理、清洗和分析，提供数据多维度的数据分析功能</w:t>
            </w:r>
          </w:p>
        </w:tc>
      </w:tr>
      <w:tr w14:paraId="407A0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4657DBB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3</w:t>
            </w:r>
          </w:p>
        </w:tc>
        <w:tc>
          <w:tcPr>
            <w:tcW w:w="5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021C43">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60FFA2A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数据异常监控</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472691E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对各类观测站数据进行到报情况监控，一旦数据缺失、偏离正常范围或出现突变数值即触发报警，通知值班人员进行核查。</w:t>
            </w:r>
          </w:p>
        </w:tc>
      </w:tr>
      <w:tr w14:paraId="240E6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4036347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4</w:t>
            </w:r>
          </w:p>
        </w:tc>
        <w:tc>
          <w:tcPr>
            <w:tcW w:w="577" w:type="pct"/>
            <w:vMerge w:val="restart"/>
            <w:tcBorders>
              <w:top w:val="single" w:color="000000" w:sz="4" w:space="0"/>
              <w:left w:val="single" w:color="000000" w:sz="4" w:space="0"/>
              <w:bottom w:val="single" w:color="000000" w:sz="4" w:space="0"/>
              <w:right w:val="single" w:color="000000" w:sz="4" w:space="0"/>
            </w:tcBorders>
            <w:noWrap w:val="0"/>
            <w:vAlign w:val="center"/>
          </w:tcPr>
          <w:p w14:paraId="29E985D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气象监测数据综合查询显示</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6917321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基于地图的数据展示与交互</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16D3D14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基于WEBGIS、SVG矢量化图形、HTML5、WEBGL等GIS分析、图形处理和信息推送技术，建立基于B/S架构的融合资料显示和交互分析平台。通过关联产品叠加分析功能，实现对地面观测实况、多部门防灾减灾基础数据集等数据的精准融合处理，能够实现对复杂气象数据的快速分析和展示，对气象数据、天气雷达、卫星云图、各类灾害风险关联等要素信息，功能包含GIS加载、要素选择、时间轴操作、地图基础操作、图层叠加、统计概况等功能模块充分满足业务人员对数据的监测要求。</w:t>
            </w:r>
          </w:p>
        </w:tc>
      </w:tr>
      <w:tr w14:paraId="2E8C2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4E0FB97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5</w:t>
            </w:r>
          </w:p>
        </w:tc>
        <w:tc>
          <w:tcPr>
            <w:tcW w:w="5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479B23">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4E38C92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天气综合分析</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055E03B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提供针对全区域站点的数据进行单站多要素、多站单要素、雨量监测及色斑图生成等多维度的高效查询，并提供可视化的数据报表和图表，帮助业务人员对数据进行深入分析和挖掘，更好地理解数据快速了解数据的特征和趋势，发现数据中的规律和价值。</w:t>
            </w:r>
          </w:p>
        </w:tc>
      </w:tr>
      <w:tr w14:paraId="6E78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647CE8E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6</w:t>
            </w:r>
          </w:p>
        </w:tc>
        <w:tc>
          <w:tcPr>
            <w:tcW w:w="5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19D19E">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759230D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过程统计查询</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025A179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实时查询，支持各观测站气温、降水、气压、风向风速、能见度、相对湿度、降雪、雷电任意时段多样化查询与统计，可对站点、时段进行筛选，并支持阈值设定下的各气象要素统计查询与显示。可生成色斑图、站点图，直观展示数据分布情况。</w:t>
            </w:r>
          </w:p>
        </w:tc>
      </w:tr>
      <w:tr w14:paraId="6DCF7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262CF6F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7</w:t>
            </w:r>
          </w:p>
        </w:tc>
        <w:tc>
          <w:tcPr>
            <w:tcW w:w="5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AE14EE">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31A9169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快报统计生成</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4556284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根据气象局的天气快报模板，对其相关数据进行收集、整理和统计分析，通过按时间、类型等维度进行分类统计。基于该模块快速分析生成对应的气象事件快报，为后续的气象分析和决策提供数据支持。这一模块的核心在于通过高效的数据处理，实现对气象快报的快速生成和展示。</w:t>
            </w:r>
          </w:p>
        </w:tc>
      </w:tr>
      <w:tr w14:paraId="32E44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078DB56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8</w:t>
            </w:r>
          </w:p>
        </w:tc>
        <w:tc>
          <w:tcPr>
            <w:tcW w:w="5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E5A1A4">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575696E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数据报警与通知</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6C499FA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基于GIS地图技术精准对区域范围内站点、落区、灾害风险的基于设置灾害性天气告警指标阈值和与灾害性天气告警指标相关物理量的阈值，对达到阈值的站点、落区、灾害风险数据进行灾害性天气告警。告警内容不仅涵盖了1分钟、5分钟、10分钟、整点及自定义过程时间段的降水超阈值情况，</w:t>
            </w:r>
          </w:p>
        </w:tc>
      </w:tr>
      <w:tr w14:paraId="28ED1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404E412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9</w:t>
            </w:r>
          </w:p>
        </w:tc>
        <w:tc>
          <w:tcPr>
            <w:tcW w:w="577" w:type="pct"/>
            <w:vMerge w:val="restart"/>
            <w:tcBorders>
              <w:top w:val="single" w:color="000000" w:sz="4" w:space="0"/>
              <w:left w:val="single" w:color="000000" w:sz="4" w:space="0"/>
              <w:bottom w:val="single" w:color="000000" w:sz="4" w:space="0"/>
              <w:right w:val="single" w:color="000000" w:sz="4" w:space="0"/>
            </w:tcBorders>
            <w:noWrap w:val="0"/>
            <w:vAlign w:val="center"/>
          </w:tcPr>
          <w:p w14:paraId="19BADF7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多部门风险信息应用</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2BC3104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风险点位气象数据关联</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2D40552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接入地质灾害、小流域山洪、易积涝点、山体、河网、水库、旅游景点、防雷重点企业、农业主体、避灾安置点、危旧房、高速路段、城市主干道等多类风险点位普查成果信息叠加展示，并显示每个风险点相关联的气象数据、分层责任人、灾害阈值、风险点信息、预警级别、历史极值，分类分级预警信息，构建影响阈值矩阵。</w:t>
            </w:r>
          </w:p>
        </w:tc>
      </w:tr>
      <w:tr w14:paraId="6C57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56EBD1B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10</w:t>
            </w:r>
          </w:p>
        </w:tc>
        <w:tc>
          <w:tcPr>
            <w:tcW w:w="5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D048D3">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00E4503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行业矩阵阈值管理</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556E36B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通过调整降水量、风速、气温、能见度、积雪等气象指标的行业阈值对致灾点位信息和报警机制进行管理，当数据达到或超过这些阈值时，系统会触发关联预警。</w:t>
            </w:r>
          </w:p>
        </w:tc>
      </w:tr>
      <w:tr w14:paraId="69C09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2F3CE44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11</w:t>
            </w:r>
          </w:p>
        </w:tc>
        <w:tc>
          <w:tcPr>
            <w:tcW w:w="5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F41647">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394A10D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多部门风险信息查询</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2015F2B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接入地质灾害、小流域山洪、易积涝点、山体、河网、水库、旅游景点、防雷重点企业、农业主体、避灾安置点、危旧房、高速路段、城市主干道等多类风险点位普查成果信息叠加展示。</w:t>
            </w:r>
          </w:p>
        </w:tc>
      </w:tr>
      <w:tr w14:paraId="3B870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08A485F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12</w:t>
            </w:r>
          </w:p>
        </w:tc>
        <w:tc>
          <w:tcPr>
            <w:tcW w:w="5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513FFE">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3CEA19B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致灾风险信息查询</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72CE81B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融合气象、水利、交通、住建、应急等多部门风险普查成果防灾减灾一张图，掌握承灾体风险及气象防灾阈值。</w:t>
            </w:r>
          </w:p>
        </w:tc>
      </w:tr>
      <w:tr w14:paraId="63E67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60CFBB4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13</w:t>
            </w:r>
          </w:p>
        </w:tc>
        <w:tc>
          <w:tcPr>
            <w:tcW w:w="577" w:type="pct"/>
            <w:vMerge w:val="restart"/>
            <w:tcBorders>
              <w:top w:val="single" w:color="000000" w:sz="4" w:space="0"/>
              <w:left w:val="single" w:color="000000" w:sz="4" w:space="0"/>
              <w:bottom w:val="single" w:color="000000" w:sz="4" w:space="0"/>
              <w:right w:val="single" w:color="000000" w:sz="4" w:space="0"/>
            </w:tcBorders>
            <w:noWrap w:val="0"/>
            <w:vAlign w:val="center"/>
          </w:tcPr>
          <w:p w14:paraId="01453F3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灾害气象场景化专题服务</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1838080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多灾种风险阈值告警</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5320708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基于雷达回波、实况数据及多源资料等产品，实现极端天气预警信息智能化告警。当出现强对流天气时，平台根据识别结果，自动确定预警落区范围，超阈值要素突出显示。</w:t>
            </w:r>
          </w:p>
        </w:tc>
      </w:tr>
      <w:tr w14:paraId="6F320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0BC885C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14</w:t>
            </w:r>
          </w:p>
        </w:tc>
        <w:tc>
          <w:tcPr>
            <w:tcW w:w="5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ED62E6">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44830BE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短临预报告警</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772658F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基于短临预报产品、智能网格产品，形成中短期的暴雨危险性和短临的暴雨危险性预警，自动识别灾害范围，生成落区告警。</w:t>
            </w:r>
          </w:p>
        </w:tc>
      </w:tr>
      <w:tr w14:paraId="628C3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7AEB89F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15</w:t>
            </w:r>
          </w:p>
        </w:tc>
        <w:tc>
          <w:tcPr>
            <w:tcW w:w="5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C41A6C">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7C6ACEC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预警信息生成</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0C4DEDF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通过弹窗、声音报警等方式，提醒预报员进行预警信息生成预发布，预警信息包括预警范围（乡镇/街道名称）预警类型（大风、雨、冰雹、雷电）。阈值告警，基于站点和落区告警，并将气象灾害实况通报应急责任人。</w:t>
            </w:r>
          </w:p>
        </w:tc>
      </w:tr>
      <w:tr w14:paraId="7C6C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3082A80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16</w:t>
            </w:r>
          </w:p>
        </w:tc>
        <w:tc>
          <w:tcPr>
            <w:tcW w:w="5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D7ADB8">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4AB9C81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分灾种递进式服务支撑</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21B5082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根据梯次化递进式服务要求，生成分灾种（台风、暴雨和强对流）分阶段（影响提示、警戒提醒、精细预警）的客观服务支撑产品，同时可主观调整。</w:t>
            </w:r>
          </w:p>
        </w:tc>
      </w:tr>
      <w:tr w14:paraId="55F8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38C197B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17</w:t>
            </w:r>
          </w:p>
        </w:tc>
        <w:tc>
          <w:tcPr>
            <w:tcW w:w="5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D077A3">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61EA088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城市安全运行可视化专题</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3A5CED3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依托多种尺度数值预报模式产品和，融合风险普查成果对承灾体风险及气象防灾阈值进行可视化。对接和显示资规、水利、农业、文旅、公安、交通、综治等外部门各类信息</w:t>
            </w:r>
          </w:p>
        </w:tc>
      </w:tr>
      <w:tr w14:paraId="4FCD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6C8C25B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18</w:t>
            </w:r>
          </w:p>
        </w:tc>
        <w:tc>
          <w:tcPr>
            <w:tcW w:w="5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601D83">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5D92033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重点企业防雷气象服务可视化专题</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074993C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依托数值天气预报、雷电监测设施，实现捕捉雷电活动的关键信息，为危化企业和电网安全运行，实现包括雷电的发生位置、强度、频率等预警信息，并通过多渠道告警叫应联动提供靶向式雷电监测预报预警服务。</w:t>
            </w:r>
          </w:p>
        </w:tc>
      </w:tr>
      <w:tr w14:paraId="080C8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34F683D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19</w:t>
            </w:r>
          </w:p>
        </w:tc>
        <w:tc>
          <w:tcPr>
            <w:tcW w:w="5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9D4A2F">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791E7C8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生态文旅气象服务可视化专题</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5C1CEB6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将气象实况监测信息及景区生态气象信息与景区品牌元素融和，通过气候背景评价报告、气候适宜性评价报告以及实时景区生态环境空气质量监测等信息，实现针对文旅部门推进气候品牌应用，拓展文旅融合媒体服务。</w:t>
            </w:r>
          </w:p>
        </w:tc>
      </w:tr>
      <w:tr w14:paraId="4152C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068D6AD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20</w:t>
            </w:r>
          </w:p>
        </w:tc>
        <w:tc>
          <w:tcPr>
            <w:tcW w:w="5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668DE0">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6F35CA6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农业气象服务可视化专题</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4C49F36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融合省大数据云平台和本地农田小气候站气象实况数据及预报预警的重要信息，围绕辖区内农业资源分布情况，包括太阳辐射、负氧离子、空气质量等。打造覆盖“耕-种-管-收”全链条的农作物生长环境气象数据监测与管控的特色智慧农业气象服务系统</w:t>
            </w:r>
          </w:p>
        </w:tc>
      </w:tr>
      <w:tr w14:paraId="2E8B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615C530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21</w:t>
            </w:r>
          </w:p>
        </w:tc>
        <w:tc>
          <w:tcPr>
            <w:tcW w:w="577" w:type="pct"/>
            <w:vMerge w:val="restart"/>
            <w:tcBorders>
              <w:top w:val="single" w:color="000000" w:sz="4" w:space="0"/>
              <w:left w:val="single" w:color="000000" w:sz="4" w:space="0"/>
              <w:bottom w:val="single" w:color="000000" w:sz="4" w:space="0"/>
              <w:right w:val="single" w:color="000000" w:sz="4" w:space="0"/>
            </w:tcBorders>
            <w:noWrap/>
            <w:vAlign w:val="center"/>
          </w:tcPr>
          <w:p w14:paraId="6EED21C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靶向预警</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19D1BAA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灾害性天气风险告警</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7D8C9F9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基于GIS地图技术精准对区域范围内站点、落区、灾害风险的基于设置灾害性天气告警指标阈值和与灾害性天气告警指标相关物理量的阈值，对达到阈值的站点、落区、灾害风险数据进行灾害性天气告警。告警内容不仅涵盖了1分钟、5分钟、10分钟、整点及自定义过程时间段的降水超阈值情况，</w:t>
            </w:r>
          </w:p>
        </w:tc>
      </w:tr>
      <w:tr w14:paraId="74221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01A6B6C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22</w:t>
            </w:r>
          </w:p>
        </w:tc>
        <w:tc>
          <w:tcPr>
            <w:tcW w:w="577" w:type="pct"/>
            <w:vMerge w:val="continue"/>
            <w:tcBorders>
              <w:top w:val="single" w:color="000000" w:sz="4" w:space="0"/>
              <w:left w:val="single" w:color="000000" w:sz="4" w:space="0"/>
              <w:bottom w:val="single" w:color="000000" w:sz="4" w:space="0"/>
              <w:right w:val="single" w:color="000000" w:sz="4" w:space="0"/>
            </w:tcBorders>
            <w:noWrap/>
            <w:vAlign w:val="center"/>
          </w:tcPr>
          <w:p w14:paraId="31B90B81">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602E657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多渠道告警叫应联动</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1AAA927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对接发布平台实现浙政钉、语音、短信、天机机器人提醒，根据报警信息，一键发布多渠道自动发送服务信息至责任区人</w:t>
            </w:r>
          </w:p>
        </w:tc>
      </w:tr>
      <w:tr w14:paraId="7FC2F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7566E93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23</w:t>
            </w:r>
          </w:p>
        </w:tc>
        <w:tc>
          <w:tcPr>
            <w:tcW w:w="577" w:type="pct"/>
            <w:vMerge w:val="continue"/>
            <w:tcBorders>
              <w:top w:val="single" w:color="000000" w:sz="4" w:space="0"/>
              <w:left w:val="single" w:color="000000" w:sz="4" w:space="0"/>
              <w:bottom w:val="single" w:color="000000" w:sz="4" w:space="0"/>
              <w:right w:val="single" w:color="000000" w:sz="4" w:space="0"/>
            </w:tcBorders>
            <w:noWrap/>
            <w:vAlign w:val="center"/>
          </w:tcPr>
          <w:p w14:paraId="373A88A7">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55FEA75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告警统计</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4B20763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对各类灾害性天气发生有影响的灾害告警以表格和柱状图方式进行汇总统计，并根据告警进行分类统计展示。</w:t>
            </w:r>
          </w:p>
        </w:tc>
      </w:tr>
      <w:tr w14:paraId="066A9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2AD7B48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24</w:t>
            </w:r>
          </w:p>
        </w:tc>
        <w:tc>
          <w:tcPr>
            <w:tcW w:w="577" w:type="pct"/>
            <w:vMerge w:val="restart"/>
            <w:tcBorders>
              <w:top w:val="single" w:color="000000" w:sz="4" w:space="0"/>
              <w:left w:val="single" w:color="000000" w:sz="4" w:space="0"/>
              <w:bottom w:val="single" w:color="000000" w:sz="4" w:space="0"/>
              <w:right w:val="single" w:color="000000" w:sz="4" w:space="0"/>
            </w:tcBorders>
            <w:noWrap w:val="0"/>
            <w:vAlign w:val="center"/>
          </w:tcPr>
          <w:p w14:paraId="27E04F1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系统管理</w:t>
            </w:r>
          </w:p>
        </w:tc>
        <w:tc>
          <w:tcPr>
            <w:tcW w:w="856" w:type="pct"/>
            <w:tcBorders>
              <w:top w:val="single" w:color="000000" w:sz="4" w:space="0"/>
              <w:left w:val="single" w:color="000000" w:sz="4" w:space="0"/>
              <w:bottom w:val="single" w:color="000000" w:sz="4" w:space="0"/>
              <w:right w:val="single" w:color="000000" w:sz="4" w:space="0"/>
            </w:tcBorders>
            <w:noWrap/>
            <w:vAlign w:val="center"/>
          </w:tcPr>
          <w:p w14:paraId="15F4CF6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用户权限管理</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3CEC6E15">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实现多级用户权限控制，确保不同用户可以访问和操作相应的数据和功能。①用户的注册、登录、注销功能，用户信息的增删改查功能。②用户角色和权限的灵活配置：针对管理员、普通用户、访客，分配不同操作权限，如数据查看、数据编辑、系统配置等</w:t>
            </w:r>
          </w:p>
        </w:tc>
      </w:tr>
      <w:tr w14:paraId="2658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7B9B098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25</w:t>
            </w:r>
          </w:p>
        </w:tc>
        <w:tc>
          <w:tcPr>
            <w:tcW w:w="5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C138CA">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4868ABF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系统日志</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19A54FDD">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记录用户的登录、操作日志；记录系统的运行日志，如数据处理日志、错误日志等。支持按时间、用户、操作类型等条件查询日志；支持日志的导出功能，便于分析和备份</w:t>
            </w:r>
          </w:p>
        </w:tc>
      </w:tr>
      <w:tr w14:paraId="0CEC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5BF0513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26</w:t>
            </w:r>
          </w:p>
        </w:tc>
        <w:tc>
          <w:tcPr>
            <w:tcW w:w="5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9ED297">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558CF26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系统监控</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1D9D0372">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监控系统的运行状态，包CPU使用率、内存使用情况、磁盘I/O、网络流量、服务状态等；实时报警机制，当系统运行异常时自动发送报警通知</w:t>
            </w:r>
          </w:p>
        </w:tc>
      </w:tr>
      <w:tr w14:paraId="1E3E4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6E4B2F1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27</w:t>
            </w:r>
          </w:p>
        </w:tc>
        <w:tc>
          <w:tcPr>
            <w:tcW w:w="5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A44D2C">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1"/>
                <w:szCs w:val="21"/>
                <w:highlight w:val="none"/>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3CF419F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综合管理</w:t>
            </w:r>
          </w:p>
        </w:tc>
        <w:tc>
          <w:tcPr>
            <w:tcW w:w="3219" w:type="pct"/>
            <w:tcBorders>
              <w:top w:val="single" w:color="000000" w:sz="4" w:space="0"/>
              <w:left w:val="single" w:color="000000" w:sz="4" w:space="0"/>
              <w:bottom w:val="single" w:color="000000" w:sz="4" w:space="0"/>
              <w:right w:val="single" w:color="000000" w:sz="4" w:space="0"/>
            </w:tcBorders>
            <w:noWrap w:val="0"/>
            <w:vAlign w:val="center"/>
          </w:tcPr>
          <w:p w14:paraId="726DF4AD">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主要包括：风险点管理、减灾防灾设施综合管理、减灾防灾人员管理、防灾阈值动态管理及更新、交通数据管理、留痕管理功能等。</w:t>
            </w:r>
          </w:p>
        </w:tc>
      </w:tr>
    </w:tbl>
    <w:p w14:paraId="22C53BF8">
      <w:pPr>
        <w:pStyle w:val="50"/>
        <w:rPr>
          <w:rFonts w:hint="eastAsia" w:ascii="宋体" w:hAnsi="宋体" w:eastAsia="宋体" w:cs="宋体"/>
          <w:sz w:val="28"/>
          <w:szCs w:val="28"/>
          <w:highlight w:val="none"/>
        </w:rPr>
      </w:pPr>
    </w:p>
    <w:p w14:paraId="5F2F9DBA">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三</w:t>
      </w:r>
      <w:r>
        <w:rPr>
          <w:rFonts w:hint="eastAsia" w:ascii="宋体" w:hAnsi="宋体" w:eastAsia="宋体" w:cs="宋体"/>
          <w:b/>
          <w:sz w:val="21"/>
          <w:szCs w:val="21"/>
          <w:highlight w:val="none"/>
        </w:rPr>
        <w:t>、服务要求</w:t>
      </w:r>
    </w:p>
    <w:p w14:paraId="3D49D6F1">
      <w:pPr>
        <w:pStyle w:val="96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（一）提交成果和知识产权要求</w:t>
      </w:r>
    </w:p>
    <w:p w14:paraId="7453868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3"/>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1.提交成果</w:t>
      </w:r>
    </w:p>
    <w:p w14:paraId="3F9174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成交单位需按照采购人的要求配合做好项目初验、终验等各阶段资料完善递交的相关工作。并允许采购人工作人员参与系统的测试、安装、诊断及解决问题等各项工作。</w:t>
      </w:r>
    </w:p>
    <w:p w14:paraId="526CCC3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3"/>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2.知识产权</w:t>
      </w:r>
    </w:p>
    <w:p w14:paraId="170FFA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在本项目过程中所产生的技术成果（包括软件、技术诀窍、秘密信息、技术资料等）的知识产权包括相关权益、项目开发和运行过程当中产生的项目资产和最终成果无条件归</w:t>
      </w:r>
      <w:r>
        <w:rPr>
          <w:rFonts w:hint="eastAsia" w:ascii="宋体" w:hAnsi="宋体" w:eastAsia="宋体" w:cs="宋体"/>
          <w:color w:val="auto"/>
          <w:sz w:val="21"/>
          <w:szCs w:val="21"/>
          <w:highlight w:val="none"/>
          <w:u w:val="none"/>
          <w:lang w:val="en-US" w:eastAsia="zh-CN"/>
        </w:rPr>
        <w:t>采购人或采购人指定单位</w:t>
      </w:r>
      <w:r>
        <w:rPr>
          <w:rFonts w:hint="eastAsia" w:ascii="宋体" w:hAnsi="宋体" w:eastAsia="宋体" w:cs="宋体"/>
          <w:color w:val="auto"/>
          <w:sz w:val="21"/>
          <w:szCs w:val="21"/>
          <w:highlight w:val="none"/>
          <w:u w:val="none"/>
        </w:rPr>
        <w:t>所有</w:t>
      </w:r>
      <w:r>
        <w:rPr>
          <w:rFonts w:hint="eastAsia" w:ascii="宋体" w:hAnsi="宋体" w:eastAsia="宋体" w:cs="宋体"/>
          <w:kern w:val="2"/>
          <w:sz w:val="21"/>
          <w:szCs w:val="21"/>
          <w:highlight w:val="none"/>
          <w:lang w:val="en-US" w:eastAsia="zh-CN" w:bidi="ar-SA"/>
        </w:rPr>
        <w:t>。未经采购人同意，不得将涉及知识产权的技术秘密透露给第三方。中标人有不可争议的义务确保采购人依据本次采购所获得的知识产权不存在任何瑕疵并且可以不受限制地行使相关权利，包括各项延伸权利。终验时需提供完整的数据库设计代码及数据字典等相关技术资料。</w:t>
      </w:r>
    </w:p>
    <w:p w14:paraId="1E089B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（二）</w:t>
      </w:r>
      <w:bookmarkStart w:id="26" w:name="_Toc9350"/>
      <w:bookmarkStart w:id="27" w:name="_Toc14129"/>
      <w:bookmarkStart w:id="28" w:name="_Toc8595"/>
      <w:bookmarkStart w:id="29" w:name="_Toc14307"/>
      <w:bookmarkStart w:id="30" w:name="_Toc22755"/>
      <w:bookmarkStart w:id="31" w:name="_Toc155875642"/>
      <w:bookmarkStart w:id="32" w:name="_Toc20419"/>
      <w:bookmarkStart w:id="33" w:name="_Toc22452"/>
      <w:bookmarkStart w:id="34" w:name="_Toc20469"/>
      <w:bookmarkStart w:id="35" w:name="_Toc24969"/>
      <w:bookmarkStart w:id="36" w:name="_Toc15429"/>
      <w:bookmarkStart w:id="37" w:name="_Toc31139"/>
      <w:bookmarkStart w:id="38" w:name="_Toc15226"/>
      <w:bookmarkStart w:id="39" w:name="_Toc18471"/>
      <w:bookmarkStart w:id="40" w:name="_Toc30525"/>
      <w:bookmarkStart w:id="41" w:name="_Toc17983"/>
      <w:bookmarkStart w:id="42" w:name="_Toc6981"/>
      <w:bookmarkStart w:id="43" w:name="_Toc1159"/>
      <w:bookmarkStart w:id="44" w:name="_Toc19829"/>
      <w:r>
        <w:rPr>
          <w:rFonts w:hint="eastAsia" w:ascii="宋体" w:hAnsi="宋体" w:eastAsia="宋体" w:cs="宋体"/>
          <w:b/>
          <w:bCs/>
          <w:kern w:val="2"/>
          <w:sz w:val="21"/>
          <w:szCs w:val="21"/>
          <w:highlight w:val="none"/>
          <w:lang w:val="en-US" w:eastAsia="zh-CN" w:bidi="ar-SA"/>
        </w:rPr>
        <w:t>项目建设技术力量和人员配置</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E5973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根据指定项目负责人1名，负责本项目建设的管理、协调；其他人员要求在中标后成项目组，负责项目的设计、开发以及售后运维服务。</w:t>
      </w:r>
    </w:p>
    <w:p w14:paraId="37D6FD0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（三）培训服务</w:t>
      </w:r>
    </w:p>
    <w:p w14:paraId="4362A0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（1）中标人对本次采购软件的正常使用和维护提供必要的培训。</w:t>
      </w:r>
    </w:p>
    <w:p w14:paraId="28B86B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（2）培训的内容包括主要软件的操作使用、配置管理、以及相关基本维护知识等。中标人需制定合理的培训计划，针对本期项目建设的功能等进行免费客户培训。</w:t>
      </w:r>
    </w:p>
    <w:p w14:paraId="043CEC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（3）投标人应当在投标文件中明确给出培训对象、培训时间、培训内容等。</w:t>
      </w:r>
    </w:p>
    <w:p w14:paraId="050ADE2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（四）技术支持及售后服务要求</w:t>
      </w:r>
    </w:p>
    <w:p w14:paraId="11981ACC">
      <w:pPr>
        <w:keepNext w:val="0"/>
        <w:keepLines w:val="0"/>
        <w:pageBreakBefore w:val="0"/>
        <w:widowControl w:val="0"/>
        <w:kinsoku/>
        <w:overflowPunct/>
        <w:topLinePunct w:val="0"/>
        <w:autoSpaceDE/>
        <w:autoSpaceDN/>
        <w:bidi w:val="0"/>
        <w:snapToGrid/>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1.成交供应商通过电话、传真等方式，提供7天×24小时的服务响应；通过电子邮件、QQ、VPN等方式，提供5天×8小时的远程服务响应，在4小时内通过网络远程登录，提供技术服务；采购人有上门服务要求时，成交供应商提供上门服务。</w:t>
      </w:r>
    </w:p>
    <w:p w14:paraId="1348CF7E">
      <w:pPr>
        <w:keepNext w:val="0"/>
        <w:keepLines w:val="0"/>
        <w:pageBreakBefore w:val="0"/>
        <w:widowControl w:val="0"/>
        <w:tabs>
          <w:tab w:val="left" w:pos="0"/>
          <w:tab w:val="left" w:pos="1260"/>
          <w:tab w:val="left" w:pos="1365"/>
        </w:tabs>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szCs w:val="21"/>
          <w:highlight w:val="none"/>
        </w:rPr>
        <w:t>2.软件功能出现故障且无法用电话或远程登录等方式解决故障时，成交供应商提供</w:t>
      </w:r>
      <w:r>
        <w:rPr>
          <w:rFonts w:hint="eastAsia" w:ascii="宋体" w:hAnsi="宋体" w:eastAsia="宋体" w:cs="宋体"/>
          <w:highlight w:val="none"/>
        </w:rPr>
        <w:t>上门服务，</w:t>
      </w:r>
      <w:r>
        <w:rPr>
          <w:rFonts w:hint="eastAsia" w:ascii="宋体" w:hAnsi="宋体" w:eastAsia="宋体" w:cs="宋体"/>
          <w:bCs/>
          <w:szCs w:val="21"/>
          <w:highlight w:val="none"/>
        </w:rPr>
        <w:t>在接到采购人报修通知后4小时内修复完成，上述时间内确有特殊原因不能按时修复完成的，需向采购人说明情况，经采购人同意后可适当延长修复时间。</w:t>
      </w:r>
    </w:p>
    <w:p w14:paraId="7E0CA26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（五）安全要求</w:t>
      </w:r>
    </w:p>
    <w:p w14:paraId="3E7F364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供应商按照相关规定落实安全防护措施，自行负责安全管理，定期对工作人员进行安全教育和安全培训，对工作人员的安全负责。由于成交供应商原因在本项目实施过程中造成人员伤亡、财产损失及成交供应商工作人员发生的各种事故（包括治安、交通、劳资纠纷等事件），所造成的一切后果及损失均由成交供应商承担全部责任并负责赔偿，与采购人无关，如采购人因此而遭受损失的，成交供应商应赔偿该损失。</w:t>
      </w:r>
    </w:p>
    <w:p w14:paraId="1C2C350E">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1"/>
        <w:rPr>
          <w:rFonts w:hint="eastAsia" w:ascii="宋体" w:hAnsi="宋体" w:eastAsia="宋体" w:cs="宋体"/>
          <w:b/>
          <w:sz w:val="21"/>
          <w:szCs w:val="21"/>
          <w:highlight w:val="none"/>
          <w:shd w:val="clear" w:color="auto" w:fill="BEBEBE" w:themeFill="background1" w:themeFillShade="BF"/>
        </w:rPr>
      </w:pPr>
      <w:r>
        <w:rPr>
          <w:rFonts w:hint="eastAsia" w:ascii="宋体" w:hAnsi="宋体" w:eastAsia="宋体" w:cs="宋体"/>
          <w:b/>
          <w:sz w:val="21"/>
          <w:szCs w:val="21"/>
          <w:highlight w:val="none"/>
        </w:rPr>
        <w:t>三、商务要求</w:t>
      </w:r>
    </w:p>
    <w:tbl>
      <w:tblPr>
        <w:tblStyle w:val="63"/>
        <w:tblW w:w="9459" w:type="dxa"/>
        <w:jc w:val="center"/>
        <w:tblLayout w:type="fixed"/>
        <w:tblCellMar>
          <w:top w:w="0" w:type="dxa"/>
          <w:left w:w="0" w:type="dxa"/>
          <w:bottom w:w="0" w:type="dxa"/>
          <w:right w:w="0" w:type="dxa"/>
        </w:tblCellMar>
      </w:tblPr>
      <w:tblGrid>
        <w:gridCol w:w="1731"/>
        <w:gridCol w:w="7728"/>
      </w:tblGrid>
      <w:tr w14:paraId="64B6C775">
        <w:tblPrEx>
          <w:tblCellMar>
            <w:top w:w="0" w:type="dxa"/>
            <w:left w:w="0" w:type="dxa"/>
            <w:bottom w:w="0" w:type="dxa"/>
            <w:right w:w="0" w:type="dxa"/>
          </w:tblCellMar>
        </w:tblPrEx>
        <w:trPr>
          <w:cantSplit/>
          <w:trHeight w:val="567" w:hRule="atLeast"/>
          <w:jc w:val="center"/>
        </w:trPr>
        <w:tc>
          <w:tcPr>
            <w:tcW w:w="1731" w:type="dxa"/>
            <w:tcBorders>
              <w:top w:val="single" w:color="000000" w:sz="4" w:space="0"/>
              <w:left w:val="single" w:color="000000" w:sz="4" w:space="0"/>
              <w:bottom w:val="single" w:color="000000" w:sz="4" w:space="0"/>
              <w:right w:val="single" w:color="000000" w:sz="4" w:space="0"/>
            </w:tcBorders>
            <w:noWrap w:val="0"/>
            <w:vAlign w:val="center"/>
          </w:tcPr>
          <w:p w14:paraId="1E2FF605">
            <w:pPr>
              <w:keepNext w:val="0"/>
              <w:keepLines w:val="0"/>
              <w:pageBreakBefore w:val="0"/>
              <w:widowControl w:val="0"/>
              <w:kinsoku/>
              <w:wordWrap/>
              <w:overflowPunct/>
              <w:topLinePunct w:val="0"/>
              <w:autoSpaceDE/>
              <w:autoSpaceDN/>
              <w:bidi w:val="0"/>
              <w:snapToGrid/>
              <w:spacing w:line="240" w:lineRule="auto"/>
              <w:contextualSpacing/>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服务内容</w:t>
            </w:r>
          </w:p>
        </w:tc>
        <w:tc>
          <w:tcPr>
            <w:tcW w:w="7728" w:type="dxa"/>
            <w:tcBorders>
              <w:top w:val="single" w:color="000000" w:sz="4" w:space="0"/>
              <w:left w:val="single" w:color="000000" w:sz="4" w:space="0"/>
              <w:bottom w:val="single" w:color="000000" w:sz="4" w:space="0"/>
              <w:right w:val="single" w:color="000000" w:sz="4" w:space="0"/>
            </w:tcBorders>
            <w:noWrap w:val="0"/>
            <w:vAlign w:val="center"/>
          </w:tcPr>
          <w:p w14:paraId="0803BF91">
            <w:pPr>
              <w:keepNext w:val="0"/>
              <w:keepLines w:val="0"/>
              <w:pageBreakBefore w:val="0"/>
              <w:widowControl w:val="0"/>
              <w:kinsoku/>
              <w:wordWrap/>
              <w:overflowPunct/>
              <w:topLinePunct w:val="0"/>
              <w:autoSpaceDE/>
              <w:autoSpaceDN/>
              <w:bidi w:val="0"/>
              <w:snapToGrid/>
              <w:spacing w:line="360" w:lineRule="auto"/>
              <w:ind w:left="0" w:leftChars="0"/>
              <w:contextualSpacing/>
              <w:jc w:val="both"/>
              <w:textAlignment w:val="auto"/>
              <w:rPr>
                <w:rFonts w:hint="default" w:ascii="宋体" w:hAnsi="宋体" w:eastAsia="宋体" w:cs="宋体"/>
                <w:kern w:val="2"/>
                <w:sz w:val="21"/>
                <w:szCs w:val="21"/>
                <w:highlight w:val="none"/>
                <w:lang w:val="en-US" w:eastAsia="zh-CN" w:bidi="ar-SA"/>
              </w:rPr>
            </w:pPr>
            <w:r>
              <w:rPr>
                <w:rFonts w:hint="eastAsia" w:ascii="宋体" w:hAnsi="宋体" w:cs="宋体"/>
                <w:color w:val="000000" w:themeColor="text1"/>
                <w:szCs w:val="21"/>
                <w:highlight w:val="none"/>
                <w:lang w:eastAsia="zh-CN"/>
                <w14:textFill>
                  <w14:solidFill>
                    <w14:schemeClr w14:val="tx1"/>
                  </w14:solidFill>
                </w14:textFill>
              </w:rPr>
              <w:t>宁海强对流天气秒预警工程（重招）</w:t>
            </w:r>
            <w:r>
              <w:rPr>
                <w:rFonts w:hint="eastAsia" w:ascii="宋体" w:hAnsi="宋体" w:eastAsia="宋体" w:cs="宋体"/>
                <w:color w:val="000000" w:themeColor="text1"/>
                <w:szCs w:val="21"/>
                <w:highlight w:val="none"/>
                <w:lang w:val="en-US" w:eastAsia="zh-CN"/>
                <w14:textFill>
                  <w14:solidFill>
                    <w14:schemeClr w14:val="tx1"/>
                  </w14:solidFill>
                </w14:textFill>
              </w:rPr>
              <w:t>服务，主要依托宁波市气象保障中心“天机”气象机器人，</w:t>
            </w:r>
            <w:r>
              <w:rPr>
                <w:rFonts w:hint="eastAsia" w:ascii="宋体" w:hAnsi="宋体" w:cs="宋体"/>
                <w:color w:val="000000" w:themeColor="text1"/>
                <w:szCs w:val="21"/>
                <w:highlight w:val="none"/>
                <w:lang w:val="en-US" w:eastAsia="zh-CN"/>
                <w14:textFill>
                  <w14:solidFill>
                    <w14:schemeClr w14:val="tx1"/>
                  </w14:solidFill>
                </w14:textFill>
              </w:rPr>
              <w:t>宁海强对流天气秒预警工程（重招）</w:t>
            </w:r>
            <w:r>
              <w:rPr>
                <w:rFonts w:hint="eastAsia" w:ascii="宋体" w:hAnsi="宋体" w:eastAsia="宋体" w:cs="宋体"/>
                <w:color w:val="000000" w:themeColor="text1"/>
                <w:szCs w:val="21"/>
                <w:highlight w:val="none"/>
                <w:lang w:val="en-US" w:eastAsia="zh-CN"/>
                <w14:textFill>
                  <w14:solidFill>
                    <w14:schemeClr w14:val="tx1"/>
                  </w14:solidFill>
                </w14:textFill>
              </w:rPr>
              <w:t>通过基础数据环境建设、气象监测数据综合查询显示、多部门风险信息应用、灾害气象场景化专题服务、靶向预警和系统管理6个子系统开发。</w:t>
            </w:r>
          </w:p>
        </w:tc>
      </w:tr>
      <w:tr w14:paraId="19EDA9EB">
        <w:tblPrEx>
          <w:tblCellMar>
            <w:top w:w="0" w:type="dxa"/>
            <w:left w:w="0" w:type="dxa"/>
            <w:bottom w:w="0" w:type="dxa"/>
            <w:right w:w="0" w:type="dxa"/>
          </w:tblCellMar>
        </w:tblPrEx>
        <w:trPr>
          <w:cantSplit/>
          <w:trHeight w:val="567" w:hRule="atLeast"/>
          <w:jc w:val="center"/>
        </w:trPr>
        <w:tc>
          <w:tcPr>
            <w:tcW w:w="1731" w:type="dxa"/>
            <w:tcBorders>
              <w:top w:val="single" w:color="000000" w:sz="4" w:space="0"/>
              <w:left w:val="single" w:color="000000" w:sz="4" w:space="0"/>
              <w:bottom w:val="single" w:color="000000" w:sz="4" w:space="0"/>
              <w:right w:val="single" w:color="000000" w:sz="4" w:space="0"/>
            </w:tcBorders>
            <w:noWrap w:val="0"/>
            <w:vAlign w:val="center"/>
          </w:tcPr>
          <w:p w14:paraId="097E930A">
            <w:pPr>
              <w:keepNext w:val="0"/>
              <w:keepLines w:val="0"/>
              <w:pageBreakBefore w:val="0"/>
              <w:widowControl w:val="0"/>
              <w:kinsoku/>
              <w:wordWrap/>
              <w:overflowPunct/>
              <w:topLinePunct w:val="0"/>
              <w:autoSpaceDE/>
              <w:autoSpaceDN/>
              <w:bidi w:val="0"/>
              <w:snapToGrid/>
              <w:spacing w:line="240" w:lineRule="auto"/>
              <w:contextualSpacing/>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▲服务期限</w:t>
            </w:r>
          </w:p>
        </w:tc>
        <w:tc>
          <w:tcPr>
            <w:tcW w:w="7728" w:type="dxa"/>
            <w:tcBorders>
              <w:top w:val="single" w:color="000000" w:sz="4" w:space="0"/>
              <w:left w:val="single" w:color="000000" w:sz="4" w:space="0"/>
              <w:bottom w:val="single" w:color="000000" w:sz="4" w:space="0"/>
              <w:right w:val="single" w:color="000000" w:sz="4" w:space="0"/>
            </w:tcBorders>
            <w:noWrap w:val="0"/>
            <w:vAlign w:val="center"/>
          </w:tcPr>
          <w:p w14:paraId="0E6A3F83">
            <w:pPr>
              <w:pStyle w:val="62"/>
              <w:keepNext w:val="0"/>
              <w:keepLines w:val="0"/>
              <w:pageBreakBefore w:val="0"/>
              <w:widowControl w:val="0"/>
              <w:kinsoku/>
              <w:wordWrap/>
              <w:overflowPunct/>
              <w:topLinePunct w:val="0"/>
              <w:autoSpaceDE/>
              <w:autoSpaceDN/>
              <w:bidi w:val="0"/>
              <w:snapToGrid/>
              <w:spacing w:after="0" w:line="360" w:lineRule="auto"/>
              <w:ind w:left="0" w:leftChars="0" w:firstLine="0" w:firstLineChars="0"/>
              <w:jc w:val="both"/>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2025年8月31日前完成平台系统开发、部署安装、实施建设；2025年12月31日前完成试运行及最终验收工作，最终验收合格后开始计算售后运维服务期，售后运维服务期</w:t>
            </w:r>
            <w:r>
              <w:rPr>
                <w:rFonts w:hint="eastAsia" w:cs="宋体"/>
                <w:sz w:val="21"/>
                <w:szCs w:val="21"/>
                <w:highlight w:val="none"/>
                <w:lang w:val="en-US" w:eastAsia="zh-CN"/>
              </w:rPr>
              <w:t>三</w:t>
            </w:r>
            <w:r>
              <w:rPr>
                <w:rFonts w:hint="eastAsia" w:ascii="宋体" w:hAnsi="宋体" w:eastAsia="宋体" w:cs="宋体"/>
                <w:sz w:val="21"/>
                <w:szCs w:val="21"/>
                <w:highlight w:val="none"/>
                <w:lang w:val="en-US" w:eastAsia="zh-CN"/>
              </w:rPr>
              <w:t>年</w:t>
            </w:r>
            <w:r>
              <w:rPr>
                <w:rFonts w:hint="eastAsia" w:ascii="宋体" w:hAnsi="宋体" w:eastAsia="宋体" w:cs="宋体"/>
                <w:sz w:val="21"/>
                <w:szCs w:val="21"/>
                <w:highlight w:val="none"/>
                <w:lang w:val="en-US"/>
              </w:rPr>
              <w:t>。</w:t>
            </w:r>
          </w:p>
        </w:tc>
      </w:tr>
      <w:tr w14:paraId="43CC73AC">
        <w:tblPrEx>
          <w:tblCellMar>
            <w:top w:w="0" w:type="dxa"/>
            <w:left w:w="0" w:type="dxa"/>
            <w:bottom w:w="0" w:type="dxa"/>
            <w:right w:w="0" w:type="dxa"/>
          </w:tblCellMar>
        </w:tblPrEx>
        <w:trPr>
          <w:cantSplit/>
          <w:trHeight w:val="567" w:hRule="atLeast"/>
          <w:jc w:val="center"/>
        </w:trPr>
        <w:tc>
          <w:tcPr>
            <w:tcW w:w="1731" w:type="dxa"/>
            <w:tcBorders>
              <w:top w:val="single" w:color="000000" w:sz="4" w:space="0"/>
              <w:left w:val="single" w:color="000000" w:sz="4" w:space="0"/>
              <w:bottom w:val="single" w:color="000000" w:sz="4" w:space="0"/>
              <w:right w:val="single" w:color="000000" w:sz="4" w:space="0"/>
            </w:tcBorders>
            <w:noWrap w:val="0"/>
            <w:vAlign w:val="center"/>
          </w:tcPr>
          <w:p w14:paraId="62387B2F">
            <w:pPr>
              <w:keepNext w:val="0"/>
              <w:keepLines w:val="0"/>
              <w:pageBreakBefore w:val="0"/>
              <w:widowControl w:val="0"/>
              <w:kinsoku/>
              <w:wordWrap/>
              <w:overflowPunct/>
              <w:topLinePunct w:val="0"/>
              <w:autoSpaceDE/>
              <w:autoSpaceDN/>
              <w:bidi w:val="0"/>
              <w:snapToGrid/>
              <w:spacing w:line="240" w:lineRule="auto"/>
              <w:contextualSpacing/>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▲最高限价</w:t>
            </w:r>
          </w:p>
        </w:tc>
        <w:tc>
          <w:tcPr>
            <w:tcW w:w="7728" w:type="dxa"/>
            <w:tcBorders>
              <w:top w:val="single" w:color="000000" w:sz="4" w:space="0"/>
              <w:left w:val="single" w:color="000000" w:sz="4" w:space="0"/>
              <w:bottom w:val="single" w:color="000000" w:sz="4" w:space="0"/>
              <w:right w:val="single" w:color="000000" w:sz="4" w:space="0"/>
            </w:tcBorders>
            <w:noWrap w:val="0"/>
            <w:vAlign w:val="center"/>
          </w:tcPr>
          <w:p w14:paraId="3509D52D">
            <w:pPr>
              <w:keepNext w:val="0"/>
              <w:keepLines w:val="0"/>
              <w:pageBreakBefore w:val="0"/>
              <w:widowControl w:val="0"/>
              <w:kinsoku/>
              <w:wordWrap/>
              <w:overflowPunct/>
              <w:topLinePunct w:val="0"/>
              <w:autoSpaceDE/>
              <w:autoSpaceDN/>
              <w:bidi w:val="0"/>
              <w:snapToGrid/>
              <w:spacing w:line="240" w:lineRule="auto"/>
              <w:ind w:left="0" w:leftChars="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本项目最高限价为</w:t>
            </w:r>
            <w:r>
              <w:rPr>
                <w:rFonts w:hint="eastAsia" w:ascii="宋体" w:hAnsi="宋体" w:eastAsia="宋体" w:cs="宋体"/>
                <w:b/>
                <w:bCs/>
                <w:sz w:val="21"/>
                <w:szCs w:val="21"/>
                <w:highlight w:val="none"/>
                <w:lang w:val="en-US" w:eastAsia="zh-CN"/>
              </w:rPr>
              <w:t>427000</w:t>
            </w:r>
            <w:r>
              <w:rPr>
                <w:rFonts w:hint="eastAsia" w:ascii="宋体" w:hAnsi="宋体" w:eastAsia="宋体" w:cs="宋体"/>
                <w:b/>
                <w:bCs/>
                <w:sz w:val="21"/>
                <w:szCs w:val="21"/>
                <w:highlight w:val="none"/>
              </w:rPr>
              <w:t>元</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超过最高限价的投标报价作无效标处理</w:t>
            </w:r>
            <w:r>
              <w:rPr>
                <w:rFonts w:hint="eastAsia" w:ascii="宋体" w:hAnsi="宋体" w:eastAsia="宋体" w:cs="宋体"/>
                <w:b/>
                <w:bCs/>
                <w:sz w:val="21"/>
                <w:szCs w:val="21"/>
                <w:highlight w:val="none"/>
              </w:rPr>
              <w:t>。</w:t>
            </w:r>
          </w:p>
        </w:tc>
      </w:tr>
      <w:tr w14:paraId="064CF72C">
        <w:tblPrEx>
          <w:tblCellMar>
            <w:top w:w="0" w:type="dxa"/>
            <w:left w:w="0" w:type="dxa"/>
            <w:bottom w:w="0" w:type="dxa"/>
            <w:right w:w="0" w:type="dxa"/>
          </w:tblCellMar>
        </w:tblPrEx>
        <w:trPr>
          <w:cantSplit/>
          <w:trHeight w:val="567" w:hRule="atLeast"/>
          <w:jc w:val="center"/>
        </w:trPr>
        <w:tc>
          <w:tcPr>
            <w:tcW w:w="1731" w:type="dxa"/>
            <w:tcBorders>
              <w:top w:val="single" w:color="000000" w:sz="4" w:space="0"/>
              <w:left w:val="single" w:color="000000" w:sz="4" w:space="0"/>
              <w:bottom w:val="single" w:color="000000" w:sz="4" w:space="0"/>
              <w:right w:val="single" w:color="000000" w:sz="4" w:space="0"/>
            </w:tcBorders>
            <w:noWrap w:val="0"/>
            <w:vAlign w:val="center"/>
          </w:tcPr>
          <w:p w14:paraId="795DA13A">
            <w:pPr>
              <w:keepNext w:val="0"/>
              <w:keepLines w:val="0"/>
              <w:pageBreakBefore w:val="0"/>
              <w:widowControl w:val="0"/>
              <w:kinsoku/>
              <w:wordWrap/>
              <w:overflowPunct/>
              <w:topLinePunct w:val="0"/>
              <w:autoSpaceDE/>
              <w:autoSpaceDN/>
              <w:bidi w:val="0"/>
              <w:snapToGrid/>
              <w:spacing w:line="240" w:lineRule="auto"/>
              <w:contextualSpacing/>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7728" w:type="dxa"/>
            <w:tcBorders>
              <w:top w:val="single" w:color="000000" w:sz="4" w:space="0"/>
              <w:left w:val="single" w:color="000000" w:sz="4" w:space="0"/>
              <w:bottom w:val="single" w:color="000000" w:sz="4" w:space="0"/>
              <w:right w:val="single" w:color="000000" w:sz="4" w:space="0"/>
            </w:tcBorders>
            <w:noWrap w:val="0"/>
            <w:vAlign w:val="center"/>
          </w:tcPr>
          <w:p w14:paraId="62682B94">
            <w:pPr>
              <w:pStyle w:val="84"/>
              <w:keepNext w:val="0"/>
              <w:keepLines w:val="0"/>
              <w:pageBreakBefore w:val="0"/>
              <w:widowControl w:val="0"/>
              <w:kinsoku/>
              <w:wordWrap/>
              <w:overflowPunct/>
              <w:topLinePunct w:val="0"/>
              <w:autoSpaceDE/>
              <w:autoSpaceDN/>
              <w:bidi w:val="0"/>
              <w:snapToGrid/>
              <w:spacing w:line="360" w:lineRule="auto"/>
              <w:ind w:left="0" w:leftChars="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1、合同签订后</w:t>
            </w:r>
            <w:r>
              <w:rPr>
                <w:rFonts w:hint="eastAsia" w:ascii="宋体" w:hAnsi="宋体" w:eastAsia="宋体" w:cs="宋体"/>
                <w:sz w:val="21"/>
                <w:szCs w:val="21"/>
                <w:highlight w:val="none"/>
                <w:lang w:eastAsia="zh-CN"/>
              </w:rPr>
              <w:t>7</w:t>
            </w:r>
            <w:r>
              <w:rPr>
                <w:rFonts w:hint="eastAsia" w:ascii="宋体" w:hAnsi="宋体" w:eastAsia="宋体" w:cs="宋体"/>
                <w:sz w:val="21"/>
                <w:szCs w:val="21"/>
                <w:highlight w:val="none"/>
              </w:rPr>
              <w:t>个工作日内支付至合同总价的40%；</w:t>
            </w:r>
          </w:p>
          <w:p w14:paraId="216399F8">
            <w:pPr>
              <w:pStyle w:val="84"/>
              <w:keepNext w:val="0"/>
              <w:keepLines w:val="0"/>
              <w:pageBreakBefore w:val="0"/>
              <w:widowControl w:val="0"/>
              <w:kinsoku/>
              <w:wordWrap/>
              <w:overflowPunct/>
              <w:topLinePunct w:val="0"/>
              <w:autoSpaceDE/>
              <w:autoSpaceDN/>
              <w:bidi w:val="0"/>
              <w:snapToGrid/>
              <w:spacing w:line="360" w:lineRule="auto"/>
              <w:ind w:left="0" w:leftChars="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2、项目实施完成且通过初验后15个工作日内支付至合同总价的70%；</w:t>
            </w:r>
          </w:p>
          <w:p w14:paraId="556C3270">
            <w:pPr>
              <w:pStyle w:val="84"/>
              <w:keepNext w:val="0"/>
              <w:keepLines w:val="0"/>
              <w:pageBreakBefore w:val="0"/>
              <w:widowControl w:val="0"/>
              <w:kinsoku/>
              <w:wordWrap/>
              <w:overflowPunct/>
              <w:topLinePunct w:val="0"/>
              <w:autoSpaceDE/>
              <w:autoSpaceDN/>
              <w:bidi w:val="0"/>
              <w:snapToGrid/>
              <w:spacing w:line="360" w:lineRule="auto"/>
              <w:ind w:left="0" w:leftChars="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3、项目</w:t>
            </w:r>
            <w:r>
              <w:rPr>
                <w:rFonts w:hint="eastAsia" w:ascii="宋体" w:hAnsi="宋体" w:eastAsia="宋体" w:cs="宋体"/>
                <w:sz w:val="21"/>
                <w:szCs w:val="21"/>
                <w:highlight w:val="none"/>
                <w:lang w:val="en-US" w:eastAsia="zh-CN"/>
              </w:rPr>
              <w:t>试运行结束并</w:t>
            </w:r>
            <w:r>
              <w:rPr>
                <w:rFonts w:hint="eastAsia" w:ascii="宋体" w:hAnsi="宋体" w:eastAsia="宋体" w:cs="宋体"/>
                <w:sz w:val="21"/>
                <w:szCs w:val="21"/>
                <w:highlight w:val="none"/>
              </w:rPr>
              <w:t>通过终验后15个工作日内支付至合同总价的</w:t>
            </w:r>
            <w:r>
              <w:rPr>
                <w:rFonts w:hint="eastAsia" w:ascii="宋体" w:hAnsi="宋体" w:eastAsia="宋体" w:cs="宋体"/>
                <w:sz w:val="21"/>
                <w:szCs w:val="21"/>
                <w:highlight w:val="none"/>
                <w:lang w:val="en-US" w:eastAsia="zh-CN"/>
              </w:rPr>
              <w:t>100</w:t>
            </w:r>
            <w:r>
              <w:rPr>
                <w:rFonts w:hint="eastAsia" w:ascii="宋体" w:hAnsi="宋体" w:eastAsia="宋体" w:cs="宋体"/>
                <w:sz w:val="21"/>
                <w:szCs w:val="21"/>
                <w:highlight w:val="none"/>
              </w:rPr>
              <w:t>%。</w:t>
            </w:r>
          </w:p>
        </w:tc>
      </w:tr>
      <w:tr w14:paraId="7801456E">
        <w:tblPrEx>
          <w:tblCellMar>
            <w:top w:w="0" w:type="dxa"/>
            <w:left w:w="0" w:type="dxa"/>
            <w:bottom w:w="0" w:type="dxa"/>
            <w:right w:w="0" w:type="dxa"/>
          </w:tblCellMar>
        </w:tblPrEx>
        <w:trPr>
          <w:cantSplit/>
          <w:trHeight w:val="567" w:hRule="atLeast"/>
          <w:jc w:val="center"/>
        </w:trPr>
        <w:tc>
          <w:tcPr>
            <w:tcW w:w="1731" w:type="dxa"/>
            <w:tcBorders>
              <w:top w:val="single" w:color="000000" w:sz="4" w:space="0"/>
              <w:left w:val="single" w:color="000000" w:sz="4" w:space="0"/>
              <w:bottom w:val="single" w:color="000000" w:sz="4" w:space="0"/>
              <w:right w:val="single" w:color="000000" w:sz="4" w:space="0"/>
            </w:tcBorders>
            <w:noWrap w:val="0"/>
            <w:vAlign w:val="center"/>
          </w:tcPr>
          <w:p w14:paraId="5896D863">
            <w:pPr>
              <w:keepNext w:val="0"/>
              <w:keepLines w:val="0"/>
              <w:pageBreakBefore w:val="0"/>
              <w:widowControl w:val="0"/>
              <w:kinsoku/>
              <w:wordWrap/>
              <w:overflowPunct/>
              <w:topLinePunct w:val="0"/>
              <w:autoSpaceDE/>
              <w:autoSpaceDN/>
              <w:bidi w:val="0"/>
              <w:snapToGrid/>
              <w:spacing w:line="240" w:lineRule="auto"/>
              <w:contextualSpacing/>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w:t>
            </w:r>
          </w:p>
        </w:tc>
        <w:tc>
          <w:tcPr>
            <w:tcW w:w="7728" w:type="dxa"/>
            <w:tcBorders>
              <w:top w:val="single" w:color="000000" w:sz="4" w:space="0"/>
              <w:left w:val="single" w:color="000000" w:sz="4" w:space="0"/>
              <w:bottom w:val="single" w:color="000000" w:sz="4" w:space="0"/>
              <w:right w:val="single" w:color="000000" w:sz="4" w:space="0"/>
            </w:tcBorders>
            <w:noWrap w:val="0"/>
            <w:vAlign w:val="center"/>
          </w:tcPr>
          <w:p w14:paraId="50AD4798">
            <w:pPr>
              <w:keepNext w:val="0"/>
              <w:keepLines w:val="0"/>
              <w:pageBreakBefore w:val="0"/>
              <w:widowControl w:val="0"/>
              <w:kinsoku/>
              <w:wordWrap/>
              <w:overflowPunct/>
              <w:topLinePunct w:val="0"/>
              <w:autoSpaceDE/>
              <w:autoSpaceDN/>
              <w:bidi w:val="0"/>
              <w:snapToGrid/>
              <w:spacing w:line="360" w:lineRule="auto"/>
              <w:ind w:left="0" w:leftChars="0"/>
              <w:contextualSpacing/>
              <w:jc w:val="both"/>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本项目不适用。</w:t>
            </w:r>
          </w:p>
        </w:tc>
      </w:tr>
      <w:tr w14:paraId="16AB0207">
        <w:tblPrEx>
          <w:tblCellMar>
            <w:top w:w="0" w:type="dxa"/>
            <w:left w:w="0" w:type="dxa"/>
            <w:bottom w:w="0" w:type="dxa"/>
            <w:right w:w="0" w:type="dxa"/>
          </w:tblCellMar>
        </w:tblPrEx>
        <w:trPr>
          <w:cantSplit/>
          <w:trHeight w:val="567" w:hRule="atLeast"/>
          <w:jc w:val="center"/>
        </w:trPr>
        <w:tc>
          <w:tcPr>
            <w:tcW w:w="1731" w:type="dxa"/>
            <w:tcBorders>
              <w:top w:val="single" w:color="000000" w:sz="4" w:space="0"/>
              <w:left w:val="single" w:color="000000" w:sz="4" w:space="0"/>
              <w:bottom w:val="single" w:color="000000" w:sz="4" w:space="0"/>
              <w:right w:val="single" w:color="000000" w:sz="4" w:space="0"/>
            </w:tcBorders>
            <w:noWrap w:val="0"/>
            <w:vAlign w:val="center"/>
          </w:tcPr>
          <w:p w14:paraId="615E4D21">
            <w:pPr>
              <w:keepNext w:val="0"/>
              <w:keepLines w:val="0"/>
              <w:pageBreakBefore w:val="0"/>
              <w:widowControl w:val="0"/>
              <w:kinsoku/>
              <w:wordWrap/>
              <w:overflowPunct/>
              <w:topLinePunct w:val="0"/>
              <w:autoSpaceDE/>
              <w:autoSpaceDN/>
              <w:bidi w:val="0"/>
              <w:snapToGrid/>
              <w:spacing w:line="240" w:lineRule="auto"/>
              <w:contextualSpacing/>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运维期</w:t>
            </w:r>
          </w:p>
        </w:tc>
        <w:tc>
          <w:tcPr>
            <w:tcW w:w="7728" w:type="dxa"/>
            <w:tcBorders>
              <w:top w:val="single" w:color="000000" w:sz="4" w:space="0"/>
              <w:left w:val="single" w:color="000000" w:sz="4" w:space="0"/>
              <w:bottom w:val="single" w:color="000000" w:sz="4" w:space="0"/>
              <w:right w:val="single" w:color="000000" w:sz="4" w:space="0"/>
            </w:tcBorders>
            <w:noWrap w:val="0"/>
            <w:vAlign w:val="center"/>
          </w:tcPr>
          <w:p w14:paraId="05397593">
            <w:pPr>
              <w:keepNext w:val="0"/>
              <w:keepLines w:val="0"/>
              <w:pageBreakBefore w:val="0"/>
              <w:widowControl w:val="0"/>
              <w:kinsoku/>
              <w:wordWrap/>
              <w:overflowPunct/>
              <w:topLinePunct w:val="0"/>
              <w:autoSpaceDE/>
              <w:autoSpaceDN/>
              <w:bidi w:val="0"/>
              <w:snapToGrid/>
              <w:spacing w:line="360" w:lineRule="auto"/>
              <w:ind w:left="0" w:leftChars="0"/>
              <w:contextualSpacing/>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本项目系统免费维保期为</w:t>
            </w: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rPr>
              <w:t>年，自项目</w:t>
            </w:r>
            <w:r>
              <w:rPr>
                <w:rFonts w:hint="eastAsia" w:ascii="宋体" w:hAnsi="宋体" w:eastAsia="宋体" w:cs="宋体"/>
                <w:sz w:val="21"/>
                <w:szCs w:val="21"/>
                <w:highlight w:val="none"/>
                <w:lang w:val="en-US" w:eastAsia="zh-CN"/>
              </w:rPr>
              <w:t>最终验收合格后</w:t>
            </w:r>
            <w:r>
              <w:rPr>
                <w:rFonts w:hint="eastAsia" w:ascii="宋体" w:hAnsi="宋体" w:eastAsia="宋体" w:cs="宋体"/>
                <w:sz w:val="21"/>
                <w:szCs w:val="21"/>
                <w:highlight w:val="none"/>
              </w:rPr>
              <w:t>计算，免费维保期内能够及时处理所有可能发生的故障及甲方要求系统的一般性修改和国家相关政策性调整后的修改等。</w:t>
            </w:r>
            <w:r>
              <w:rPr>
                <w:rFonts w:hint="eastAsia" w:ascii="宋体" w:hAnsi="宋体" w:eastAsia="宋体" w:cs="宋体"/>
                <w:bCs/>
                <w:szCs w:val="21"/>
                <w:highlight w:val="none"/>
              </w:rPr>
              <w:t>提供7天×24小时的服务响应；通过电子邮件、QQ、VPN等方式，提供5天×8小时的远程服务响应，在4小时内通过网络远程登录，提供技术服务；采购人有上门服务要求时，成交供应商提供上门服务</w:t>
            </w:r>
            <w:r>
              <w:rPr>
                <w:rFonts w:hint="eastAsia" w:ascii="宋体" w:hAnsi="宋体" w:eastAsia="宋体" w:cs="宋体"/>
                <w:bCs/>
                <w:szCs w:val="21"/>
                <w:highlight w:val="none"/>
                <w:lang w:eastAsia="zh-CN"/>
              </w:rPr>
              <w:t>。</w:t>
            </w:r>
          </w:p>
        </w:tc>
      </w:tr>
    </w:tbl>
    <w:p w14:paraId="7F242F09">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Times New Roman"/>
          <w:b/>
          <w:bCs/>
          <w:color w:val="auto"/>
          <w:szCs w:val="21"/>
          <w:highlight w:val="none"/>
        </w:rPr>
      </w:pPr>
    </w:p>
    <w:p w14:paraId="5227EA93">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jc w:val="center"/>
        <w:textAlignment w:val="auto"/>
        <w:outlineLvl w:val="0"/>
        <w:rPr>
          <w:rFonts w:hint="eastAsia" w:ascii="宋体" w:hAnsi="宋体" w:cs="宋体"/>
          <w:b/>
          <w:color w:val="auto"/>
          <w:sz w:val="36"/>
          <w:szCs w:val="36"/>
          <w:highlight w:val="none"/>
        </w:rPr>
      </w:pPr>
      <w:r>
        <w:rPr>
          <w:rFonts w:hint="eastAsia" w:ascii="宋体" w:hAnsi="宋体" w:eastAsia="宋体" w:cs="Times New Roman"/>
          <w:b/>
          <w:bCs/>
          <w:color w:val="auto"/>
          <w:szCs w:val="21"/>
          <w:highlight w:val="none"/>
        </w:rPr>
        <w:br w:type="page"/>
      </w:r>
      <w:bookmarkEnd w:id="25"/>
      <w:bookmarkStart w:id="45" w:name="_Toc184313248"/>
      <w:bookmarkEnd w:id="45"/>
      <w:bookmarkStart w:id="46" w:name="_Toc184312126"/>
      <w:bookmarkEnd w:id="46"/>
      <w:bookmarkStart w:id="47" w:name="_Toc184313260"/>
      <w:bookmarkEnd w:id="47"/>
      <w:bookmarkStart w:id="48" w:name="_Toc184310344"/>
      <w:bookmarkEnd w:id="48"/>
      <w:bookmarkStart w:id="49" w:name="_Toc184310334"/>
      <w:bookmarkEnd w:id="49"/>
      <w:bookmarkStart w:id="50" w:name="_Toc184310301"/>
      <w:bookmarkEnd w:id="50"/>
      <w:bookmarkStart w:id="51" w:name="_Toc184308056"/>
      <w:bookmarkEnd w:id="51"/>
      <w:bookmarkStart w:id="52" w:name="_Toc184308069"/>
      <w:bookmarkEnd w:id="52"/>
      <w:bookmarkStart w:id="53" w:name="_Toc184314468"/>
      <w:bookmarkEnd w:id="53"/>
      <w:bookmarkStart w:id="54" w:name="_Toc184314459"/>
      <w:bookmarkEnd w:id="54"/>
      <w:bookmarkStart w:id="55" w:name="_Toc184308085"/>
      <w:bookmarkEnd w:id="55"/>
      <w:bookmarkStart w:id="56" w:name="_Toc184310312"/>
      <w:bookmarkEnd w:id="56"/>
      <w:bookmarkStart w:id="57" w:name="_Toc184308086"/>
      <w:bookmarkEnd w:id="57"/>
      <w:bookmarkStart w:id="58" w:name="_Toc184312074"/>
      <w:bookmarkEnd w:id="58"/>
      <w:bookmarkStart w:id="59" w:name="_Toc184314463"/>
      <w:bookmarkEnd w:id="59"/>
      <w:bookmarkStart w:id="60" w:name="_Toc184310306"/>
      <w:bookmarkEnd w:id="60"/>
      <w:bookmarkStart w:id="61" w:name="_Toc184310323"/>
      <w:bookmarkEnd w:id="61"/>
      <w:bookmarkStart w:id="62" w:name="_Toc184313265"/>
      <w:bookmarkEnd w:id="62"/>
      <w:bookmarkStart w:id="63" w:name="_Toc184312073"/>
      <w:bookmarkEnd w:id="63"/>
      <w:bookmarkStart w:id="64" w:name="_Toc184314482"/>
      <w:bookmarkEnd w:id="64"/>
      <w:bookmarkStart w:id="65" w:name="_Toc184312133"/>
      <w:bookmarkEnd w:id="65"/>
      <w:bookmarkStart w:id="66" w:name="_Toc184313247"/>
      <w:bookmarkEnd w:id="66"/>
      <w:bookmarkStart w:id="67" w:name="_Toc184314450"/>
      <w:bookmarkEnd w:id="67"/>
      <w:bookmarkStart w:id="68" w:name="_Toc184312072"/>
      <w:bookmarkEnd w:id="68"/>
      <w:bookmarkStart w:id="69" w:name="_Toc184310331"/>
      <w:bookmarkEnd w:id="69"/>
      <w:bookmarkStart w:id="70" w:name="_Toc184308100"/>
      <w:bookmarkEnd w:id="70"/>
      <w:bookmarkStart w:id="71" w:name="_Toc184314464"/>
      <w:bookmarkEnd w:id="71"/>
      <w:bookmarkStart w:id="72" w:name="_Toc184308061"/>
      <w:bookmarkEnd w:id="72"/>
      <w:bookmarkStart w:id="73" w:name="_Toc184313301"/>
      <w:bookmarkEnd w:id="73"/>
      <w:bookmarkStart w:id="74" w:name="_Toc184310289"/>
      <w:bookmarkEnd w:id="74"/>
      <w:bookmarkStart w:id="75" w:name="_Toc184314476"/>
      <w:bookmarkEnd w:id="75"/>
      <w:bookmarkStart w:id="76" w:name="_Toc184313278"/>
      <w:bookmarkEnd w:id="76"/>
      <w:bookmarkStart w:id="77" w:name="_Toc184313277"/>
      <w:bookmarkEnd w:id="77"/>
      <w:bookmarkStart w:id="78" w:name="_Toc184308071"/>
      <w:bookmarkEnd w:id="78"/>
      <w:bookmarkStart w:id="79" w:name="_Toc184313266"/>
      <w:bookmarkEnd w:id="79"/>
      <w:bookmarkStart w:id="80" w:name="_Toc184314456"/>
      <w:bookmarkEnd w:id="80"/>
      <w:bookmarkStart w:id="81" w:name="_Toc184314411"/>
      <w:bookmarkEnd w:id="81"/>
      <w:bookmarkStart w:id="82" w:name="_Toc184312092"/>
      <w:bookmarkEnd w:id="82"/>
      <w:bookmarkStart w:id="83" w:name="_Toc184308055"/>
      <w:bookmarkEnd w:id="83"/>
      <w:bookmarkStart w:id="84" w:name="_Toc184313261"/>
      <w:bookmarkEnd w:id="84"/>
      <w:bookmarkStart w:id="85" w:name="_Toc184308039"/>
      <w:bookmarkEnd w:id="85"/>
      <w:bookmarkStart w:id="86" w:name="_Toc184312075"/>
      <w:bookmarkEnd w:id="86"/>
      <w:bookmarkStart w:id="87" w:name="_Toc184310294"/>
      <w:bookmarkEnd w:id="87"/>
      <w:bookmarkStart w:id="88" w:name="_Toc184312139"/>
      <w:bookmarkEnd w:id="88"/>
      <w:bookmarkStart w:id="89" w:name="_Toc184308074"/>
      <w:bookmarkEnd w:id="89"/>
      <w:bookmarkStart w:id="90" w:name="_Toc184310309"/>
      <w:bookmarkEnd w:id="90"/>
      <w:bookmarkStart w:id="91" w:name="_Toc184310317"/>
      <w:bookmarkEnd w:id="91"/>
      <w:bookmarkStart w:id="92" w:name="_Toc184310298"/>
      <w:bookmarkEnd w:id="92"/>
      <w:bookmarkStart w:id="93" w:name="_Toc184308043"/>
      <w:bookmarkEnd w:id="93"/>
      <w:bookmarkStart w:id="94" w:name="_Toc184313309"/>
      <w:bookmarkEnd w:id="94"/>
      <w:bookmarkStart w:id="95" w:name="_Toc184313303"/>
      <w:bookmarkEnd w:id="95"/>
      <w:bookmarkStart w:id="96" w:name="_Toc184314437"/>
      <w:bookmarkEnd w:id="96"/>
      <w:bookmarkStart w:id="97" w:name="_Toc184310279"/>
      <w:bookmarkEnd w:id="97"/>
      <w:bookmarkStart w:id="98" w:name="_Toc184310302"/>
      <w:bookmarkEnd w:id="98"/>
      <w:bookmarkStart w:id="99" w:name="_Toc184314461"/>
      <w:bookmarkEnd w:id="99"/>
      <w:bookmarkStart w:id="100" w:name="_Toc184312122"/>
      <w:bookmarkEnd w:id="100"/>
      <w:bookmarkStart w:id="101" w:name="_Toc184313253"/>
      <w:bookmarkEnd w:id="101"/>
      <w:bookmarkStart w:id="102" w:name="_Toc184310311"/>
      <w:bookmarkEnd w:id="102"/>
      <w:bookmarkStart w:id="103" w:name="_Toc184308037"/>
      <w:bookmarkEnd w:id="103"/>
      <w:bookmarkStart w:id="104" w:name="_Toc184313299"/>
      <w:bookmarkEnd w:id="104"/>
      <w:bookmarkStart w:id="105" w:name="_Toc184313288"/>
      <w:bookmarkEnd w:id="105"/>
      <w:bookmarkStart w:id="106" w:name="_Toc184314439"/>
      <w:bookmarkEnd w:id="106"/>
      <w:bookmarkStart w:id="107" w:name="_Toc184310291"/>
      <w:bookmarkEnd w:id="107"/>
      <w:bookmarkStart w:id="108" w:name="_Toc184310308"/>
      <w:bookmarkEnd w:id="108"/>
      <w:bookmarkStart w:id="109" w:name="_Toc184308076"/>
      <w:bookmarkEnd w:id="109"/>
      <w:bookmarkStart w:id="110" w:name="_Toc184314458"/>
      <w:bookmarkEnd w:id="110"/>
      <w:bookmarkStart w:id="111" w:name="_Toc184313242"/>
      <w:bookmarkEnd w:id="111"/>
      <w:bookmarkStart w:id="112" w:name="_Toc184313243"/>
      <w:bookmarkEnd w:id="112"/>
      <w:bookmarkStart w:id="113" w:name="_Toc184314474"/>
      <w:bookmarkEnd w:id="113"/>
      <w:bookmarkStart w:id="114" w:name="_Toc184310277"/>
      <w:bookmarkEnd w:id="114"/>
      <w:bookmarkStart w:id="115" w:name="_Toc184310322"/>
      <w:bookmarkEnd w:id="115"/>
      <w:bookmarkStart w:id="116" w:name="_Toc184313267"/>
      <w:bookmarkEnd w:id="116"/>
      <w:bookmarkStart w:id="117" w:name="_Toc184314473"/>
      <w:bookmarkEnd w:id="117"/>
      <w:bookmarkStart w:id="118" w:name="_Toc184310321"/>
      <w:bookmarkEnd w:id="118"/>
      <w:bookmarkStart w:id="119" w:name="_Toc184308067"/>
      <w:bookmarkEnd w:id="119"/>
      <w:bookmarkStart w:id="120" w:name="_Toc184310295"/>
      <w:bookmarkEnd w:id="120"/>
      <w:bookmarkStart w:id="121" w:name="_Toc184310273"/>
      <w:bookmarkEnd w:id="121"/>
      <w:bookmarkStart w:id="122" w:name="_Toc184312114"/>
      <w:bookmarkEnd w:id="122"/>
      <w:bookmarkStart w:id="123" w:name="_Toc184313271"/>
      <w:bookmarkEnd w:id="123"/>
      <w:bookmarkStart w:id="124" w:name="_Toc184310282"/>
      <w:bookmarkEnd w:id="124"/>
      <w:bookmarkStart w:id="125" w:name="_Toc184308084"/>
      <w:bookmarkEnd w:id="125"/>
      <w:bookmarkStart w:id="126" w:name="_Toc184310313"/>
      <w:bookmarkEnd w:id="126"/>
      <w:bookmarkStart w:id="127" w:name="_Toc184313262"/>
      <w:bookmarkEnd w:id="127"/>
      <w:bookmarkStart w:id="128" w:name="_Toc184308108"/>
      <w:bookmarkEnd w:id="128"/>
      <w:bookmarkStart w:id="129" w:name="_Toc184312119"/>
      <w:bookmarkEnd w:id="129"/>
      <w:bookmarkStart w:id="130" w:name="_Toc184314469"/>
      <w:bookmarkEnd w:id="130"/>
      <w:bookmarkStart w:id="131" w:name="_Toc184312089"/>
      <w:bookmarkEnd w:id="131"/>
      <w:bookmarkStart w:id="132" w:name="_Toc184314427"/>
      <w:bookmarkEnd w:id="132"/>
      <w:bookmarkStart w:id="133" w:name="_Toc184308095"/>
      <w:bookmarkEnd w:id="133"/>
      <w:bookmarkStart w:id="134" w:name="_Toc184310299"/>
      <w:bookmarkEnd w:id="134"/>
      <w:bookmarkStart w:id="135" w:name="_Toc184313270"/>
      <w:bookmarkEnd w:id="135"/>
      <w:bookmarkStart w:id="136" w:name="_Toc184313290"/>
      <w:bookmarkEnd w:id="136"/>
      <w:bookmarkStart w:id="137" w:name="_Toc184314455"/>
      <w:bookmarkEnd w:id="137"/>
      <w:bookmarkStart w:id="138" w:name="_Toc184308078"/>
      <w:bookmarkEnd w:id="138"/>
      <w:bookmarkStart w:id="139" w:name="_Toc184313305"/>
      <w:bookmarkEnd w:id="139"/>
      <w:bookmarkStart w:id="140" w:name="_Toc184314418"/>
      <w:bookmarkEnd w:id="140"/>
      <w:bookmarkStart w:id="141" w:name="_Toc184312086"/>
      <w:bookmarkEnd w:id="141"/>
      <w:bookmarkStart w:id="142" w:name="_Toc184313294"/>
      <w:bookmarkEnd w:id="142"/>
      <w:bookmarkStart w:id="143" w:name="_Toc184308042"/>
      <w:bookmarkEnd w:id="143"/>
      <w:bookmarkStart w:id="144" w:name="_Toc184308066"/>
      <w:bookmarkEnd w:id="144"/>
      <w:bookmarkStart w:id="145" w:name="_Toc184310280"/>
      <w:bookmarkEnd w:id="145"/>
      <w:bookmarkStart w:id="146" w:name="_Toc184312080"/>
      <w:bookmarkEnd w:id="146"/>
      <w:bookmarkStart w:id="147" w:name="_Toc184313310"/>
      <w:bookmarkEnd w:id="147"/>
      <w:bookmarkStart w:id="148" w:name="_Toc184312084"/>
      <w:bookmarkEnd w:id="148"/>
      <w:bookmarkStart w:id="149" w:name="_Toc184310307"/>
      <w:bookmarkEnd w:id="149"/>
      <w:bookmarkStart w:id="150" w:name="_Toc184310325"/>
      <w:bookmarkEnd w:id="150"/>
      <w:bookmarkStart w:id="151" w:name="_Toc184312104"/>
      <w:bookmarkEnd w:id="151"/>
      <w:bookmarkStart w:id="152" w:name="_Toc184314470"/>
      <w:bookmarkEnd w:id="152"/>
      <w:bookmarkStart w:id="153" w:name="_Toc184308097"/>
      <w:bookmarkEnd w:id="153"/>
      <w:bookmarkStart w:id="154" w:name="_Toc184313269"/>
      <w:bookmarkEnd w:id="154"/>
      <w:bookmarkStart w:id="155" w:name="_Toc184308092"/>
      <w:bookmarkEnd w:id="155"/>
      <w:bookmarkStart w:id="156" w:name="_Toc184308036"/>
      <w:bookmarkEnd w:id="156"/>
      <w:bookmarkStart w:id="157" w:name="_Toc184310342"/>
      <w:bookmarkEnd w:id="157"/>
      <w:bookmarkStart w:id="158" w:name="_Toc184308087"/>
      <w:bookmarkEnd w:id="158"/>
      <w:bookmarkStart w:id="159" w:name="_Toc184310320"/>
      <w:bookmarkEnd w:id="159"/>
      <w:bookmarkStart w:id="160" w:name="_Toc184314429"/>
      <w:bookmarkEnd w:id="160"/>
      <w:bookmarkStart w:id="161" w:name="_Toc184313275"/>
      <w:bookmarkEnd w:id="161"/>
      <w:bookmarkStart w:id="162" w:name="_Toc184308090"/>
      <w:bookmarkEnd w:id="162"/>
      <w:bookmarkStart w:id="163" w:name="_Toc184312093"/>
      <w:bookmarkEnd w:id="163"/>
      <w:bookmarkStart w:id="164" w:name="_Toc184310293"/>
      <w:bookmarkEnd w:id="164"/>
      <w:bookmarkStart w:id="165" w:name="_Toc184314445"/>
      <w:bookmarkEnd w:id="165"/>
      <w:bookmarkStart w:id="166" w:name="_Toc184312078"/>
      <w:bookmarkEnd w:id="166"/>
      <w:bookmarkStart w:id="167" w:name="_Toc184310310"/>
      <w:bookmarkEnd w:id="167"/>
      <w:bookmarkStart w:id="168" w:name="_Toc184310343"/>
      <w:bookmarkEnd w:id="168"/>
      <w:bookmarkStart w:id="169" w:name="_Toc184308096"/>
      <w:bookmarkEnd w:id="169"/>
      <w:bookmarkStart w:id="170" w:name="_Toc184314448"/>
      <w:bookmarkEnd w:id="170"/>
      <w:bookmarkStart w:id="171" w:name="_Toc184308068"/>
      <w:bookmarkEnd w:id="171"/>
      <w:bookmarkStart w:id="172" w:name="_Toc184312109"/>
      <w:bookmarkEnd w:id="172"/>
      <w:bookmarkStart w:id="173" w:name="_Toc184314457"/>
      <w:bookmarkEnd w:id="173"/>
      <w:bookmarkStart w:id="174" w:name="_Toc184312120"/>
      <w:bookmarkEnd w:id="174"/>
      <w:bookmarkStart w:id="175" w:name="_Toc184313258"/>
      <w:bookmarkEnd w:id="175"/>
      <w:bookmarkStart w:id="176" w:name="_Toc184310330"/>
      <w:bookmarkEnd w:id="176"/>
      <w:bookmarkStart w:id="177" w:name="_Toc184308079"/>
      <w:bookmarkEnd w:id="177"/>
      <w:bookmarkStart w:id="178" w:name="_Toc184312081"/>
      <w:bookmarkEnd w:id="178"/>
      <w:bookmarkStart w:id="179" w:name="_Toc184312091"/>
      <w:bookmarkEnd w:id="179"/>
      <w:bookmarkStart w:id="180" w:name="_Toc184310281"/>
      <w:bookmarkEnd w:id="180"/>
      <w:bookmarkStart w:id="181" w:name="_Toc184312105"/>
      <w:bookmarkEnd w:id="181"/>
      <w:bookmarkStart w:id="182" w:name="_Toc184310338"/>
      <w:bookmarkEnd w:id="182"/>
      <w:bookmarkStart w:id="183" w:name="_Toc184313279"/>
      <w:bookmarkEnd w:id="183"/>
      <w:bookmarkStart w:id="184" w:name="_Toc184314460"/>
      <w:bookmarkEnd w:id="184"/>
      <w:bookmarkStart w:id="185" w:name="_Toc184314440"/>
      <w:bookmarkEnd w:id="185"/>
      <w:bookmarkStart w:id="186" w:name="_Toc184314446"/>
      <w:bookmarkEnd w:id="186"/>
      <w:bookmarkStart w:id="187" w:name="_Toc184310297"/>
      <w:bookmarkEnd w:id="187"/>
      <w:bookmarkStart w:id="188" w:name="_Toc184312088"/>
      <w:bookmarkEnd w:id="188"/>
      <w:bookmarkStart w:id="189" w:name="_Toc184312087"/>
      <w:bookmarkEnd w:id="189"/>
      <w:bookmarkStart w:id="190" w:name="_Toc184310315"/>
      <w:bookmarkEnd w:id="190"/>
      <w:bookmarkStart w:id="191" w:name="_Toc184313249"/>
      <w:bookmarkEnd w:id="191"/>
      <w:bookmarkStart w:id="192" w:name="_Toc184312115"/>
      <w:bookmarkEnd w:id="192"/>
      <w:bookmarkStart w:id="193" w:name="_Toc184308070"/>
      <w:bookmarkEnd w:id="193"/>
      <w:bookmarkStart w:id="194" w:name="_Toc184312117"/>
      <w:bookmarkEnd w:id="194"/>
      <w:bookmarkStart w:id="195" w:name="_Toc184310336"/>
      <w:bookmarkEnd w:id="195"/>
      <w:bookmarkStart w:id="196" w:name="_Toc184308053"/>
      <w:bookmarkEnd w:id="196"/>
      <w:bookmarkStart w:id="197" w:name="_Toc184313240"/>
      <w:bookmarkEnd w:id="197"/>
      <w:bookmarkStart w:id="198" w:name="_Toc184314423"/>
      <w:bookmarkEnd w:id="198"/>
      <w:bookmarkStart w:id="199" w:name="_Toc184312100"/>
      <w:bookmarkEnd w:id="199"/>
      <w:bookmarkStart w:id="200" w:name="_Toc184310339"/>
      <w:bookmarkEnd w:id="200"/>
      <w:bookmarkStart w:id="201" w:name="_Toc184310319"/>
      <w:bookmarkEnd w:id="201"/>
      <w:bookmarkStart w:id="202" w:name="_Toc184313291"/>
      <w:bookmarkEnd w:id="202"/>
      <w:bookmarkStart w:id="203" w:name="_Toc184313286"/>
      <w:bookmarkEnd w:id="203"/>
      <w:bookmarkStart w:id="204" w:name="_Toc184308058"/>
      <w:bookmarkEnd w:id="204"/>
      <w:bookmarkStart w:id="205" w:name="_Toc184310278"/>
      <w:bookmarkEnd w:id="205"/>
      <w:bookmarkStart w:id="206" w:name="_Toc184308051"/>
      <w:bookmarkEnd w:id="206"/>
      <w:bookmarkStart w:id="207" w:name="_Toc184310328"/>
      <w:bookmarkEnd w:id="207"/>
      <w:bookmarkStart w:id="208" w:name="_Toc184308103"/>
      <w:bookmarkEnd w:id="208"/>
      <w:bookmarkStart w:id="209" w:name="_Toc184313259"/>
      <w:bookmarkEnd w:id="209"/>
      <w:bookmarkStart w:id="210" w:name="_Toc184310303"/>
      <w:bookmarkEnd w:id="210"/>
      <w:bookmarkStart w:id="211" w:name="_Toc184314424"/>
      <w:bookmarkEnd w:id="211"/>
      <w:bookmarkStart w:id="212" w:name="_Toc184314471"/>
      <w:bookmarkEnd w:id="212"/>
      <w:bookmarkStart w:id="213" w:name="_Toc184312079"/>
      <w:bookmarkEnd w:id="213"/>
      <w:bookmarkStart w:id="214" w:name="_Toc184312108"/>
      <w:bookmarkEnd w:id="214"/>
      <w:bookmarkStart w:id="215" w:name="_Toc184312110"/>
      <w:bookmarkEnd w:id="215"/>
      <w:bookmarkStart w:id="216" w:name="_Toc184310286"/>
      <w:bookmarkEnd w:id="216"/>
      <w:bookmarkStart w:id="217" w:name="_Toc184312077"/>
      <w:bookmarkEnd w:id="217"/>
      <w:bookmarkStart w:id="218" w:name="_Toc184313244"/>
      <w:bookmarkEnd w:id="218"/>
      <w:bookmarkStart w:id="219" w:name="_Toc184308106"/>
      <w:bookmarkEnd w:id="219"/>
      <w:bookmarkStart w:id="220" w:name="_Toc184308075"/>
      <w:bookmarkEnd w:id="220"/>
      <w:bookmarkStart w:id="221" w:name="_Toc184310272"/>
      <w:bookmarkEnd w:id="221"/>
      <w:bookmarkStart w:id="222" w:name="_Toc184313255"/>
      <w:bookmarkEnd w:id="222"/>
      <w:bookmarkStart w:id="223" w:name="_Toc184314416"/>
      <w:bookmarkEnd w:id="223"/>
      <w:bookmarkStart w:id="224" w:name="_Toc184308041"/>
      <w:bookmarkEnd w:id="224"/>
      <w:bookmarkStart w:id="225" w:name="_Toc184313302"/>
      <w:bookmarkEnd w:id="225"/>
      <w:bookmarkStart w:id="226" w:name="_Toc184310332"/>
      <w:bookmarkEnd w:id="226"/>
      <w:bookmarkStart w:id="227" w:name="_Toc184308047"/>
      <w:bookmarkEnd w:id="227"/>
      <w:bookmarkStart w:id="228" w:name="_Toc184314412"/>
      <w:bookmarkEnd w:id="228"/>
      <w:bookmarkStart w:id="229" w:name="_Toc184313306"/>
      <w:bookmarkEnd w:id="229"/>
      <w:bookmarkStart w:id="230" w:name="_Toc184314453"/>
      <w:bookmarkEnd w:id="230"/>
      <w:bookmarkStart w:id="231" w:name="_Toc184313308"/>
      <w:bookmarkEnd w:id="231"/>
      <w:bookmarkStart w:id="232" w:name="_Toc184312111"/>
      <w:bookmarkEnd w:id="232"/>
      <w:bookmarkStart w:id="233" w:name="_Toc184310296"/>
      <w:bookmarkEnd w:id="233"/>
      <w:bookmarkStart w:id="234" w:name="_Toc184312071"/>
      <w:bookmarkEnd w:id="234"/>
      <w:bookmarkStart w:id="235" w:name="_Toc184313292"/>
      <w:bookmarkEnd w:id="235"/>
      <w:bookmarkStart w:id="236" w:name="_Toc184312129"/>
      <w:bookmarkEnd w:id="236"/>
      <w:bookmarkStart w:id="237" w:name="_Toc184312095"/>
      <w:bookmarkEnd w:id="237"/>
      <w:bookmarkStart w:id="238" w:name="_Toc184308088"/>
      <w:bookmarkEnd w:id="238"/>
      <w:bookmarkStart w:id="239" w:name="_Toc184313297"/>
      <w:bookmarkEnd w:id="239"/>
      <w:bookmarkStart w:id="240" w:name="_Toc184308072"/>
      <w:bookmarkEnd w:id="240"/>
      <w:bookmarkStart w:id="241" w:name="_Toc184308044"/>
      <w:bookmarkEnd w:id="241"/>
      <w:bookmarkStart w:id="242" w:name="_Toc184312116"/>
      <w:bookmarkEnd w:id="242"/>
      <w:bookmarkStart w:id="243" w:name="_Toc184312132"/>
      <w:bookmarkEnd w:id="243"/>
      <w:bookmarkStart w:id="244" w:name="_Toc184312118"/>
      <w:bookmarkEnd w:id="244"/>
      <w:bookmarkStart w:id="245" w:name="_Toc184312102"/>
      <w:bookmarkEnd w:id="245"/>
      <w:bookmarkStart w:id="246" w:name="_Toc184308052"/>
      <w:bookmarkEnd w:id="246"/>
      <w:bookmarkStart w:id="247" w:name="_Toc184314467"/>
      <w:bookmarkEnd w:id="247"/>
      <w:bookmarkStart w:id="248" w:name="_Toc184312134"/>
      <w:bookmarkEnd w:id="248"/>
      <w:bookmarkStart w:id="249" w:name="_Toc184314436"/>
      <w:bookmarkEnd w:id="249"/>
      <w:bookmarkStart w:id="250" w:name="_Toc184314432"/>
      <w:bookmarkEnd w:id="250"/>
      <w:bookmarkStart w:id="251" w:name="_Toc184312124"/>
      <w:bookmarkEnd w:id="251"/>
      <w:bookmarkStart w:id="252" w:name="_Toc184312128"/>
      <w:bookmarkEnd w:id="252"/>
      <w:bookmarkStart w:id="253" w:name="_Toc184310284"/>
      <w:bookmarkEnd w:id="253"/>
      <w:bookmarkStart w:id="254" w:name="_Toc184314434"/>
      <w:bookmarkEnd w:id="254"/>
      <w:bookmarkStart w:id="255" w:name="_Toc184308091"/>
      <w:bookmarkEnd w:id="255"/>
      <w:bookmarkStart w:id="256" w:name="_Toc184312127"/>
      <w:bookmarkEnd w:id="256"/>
      <w:bookmarkStart w:id="257" w:name="_Toc184310275"/>
      <w:bookmarkEnd w:id="257"/>
      <w:bookmarkStart w:id="258" w:name="_Toc184310318"/>
      <w:bookmarkEnd w:id="258"/>
      <w:bookmarkStart w:id="259" w:name="_Toc184312083"/>
      <w:bookmarkEnd w:id="259"/>
      <w:bookmarkStart w:id="260" w:name="_Toc184312138"/>
      <w:bookmarkEnd w:id="260"/>
      <w:bookmarkStart w:id="261" w:name="_Toc184308082"/>
      <w:bookmarkEnd w:id="261"/>
      <w:bookmarkStart w:id="262" w:name="_Toc184308065"/>
      <w:bookmarkEnd w:id="262"/>
      <w:bookmarkStart w:id="263" w:name="_Toc184308064"/>
      <w:bookmarkEnd w:id="263"/>
      <w:bookmarkStart w:id="264" w:name="_Toc184310300"/>
      <w:bookmarkEnd w:id="264"/>
      <w:bookmarkStart w:id="265" w:name="_Toc184313246"/>
      <w:bookmarkEnd w:id="265"/>
      <w:bookmarkStart w:id="266" w:name="_Toc184313298"/>
      <w:bookmarkEnd w:id="266"/>
      <w:bookmarkStart w:id="267" w:name="_Toc184312082"/>
      <w:bookmarkEnd w:id="267"/>
      <w:bookmarkStart w:id="268" w:name="_Toc184308102"/>
      <w:bookmarkEnd w:id="268"/>
      <w:bookmarkStart w:id="269" w:name="_Toc184308089"/>
      <w:bookmarkEnd w:id="269"/>
      <w:bookmarkStart w:id="270" w:name="_Toc184308104"/>
      <w:bookmarkEnd w:id="270"/>
      <w:bookmarkStart w:id="271" w:name="_Toc184312131"/>
      <w:bookmarkEnd w:id="271"/>
      <w:bookmarkStart w:id="272" w:name="_Toc184314477"/>
      <w:bookmarkEnd w:id="272"/>
      <w:bookmarkStart w:id="273" w:name="_Toc184312135"/>
      <w:bookmarkEnd w:id="273"/>
      <w:bookmarkStart w:id="274" w:name="_Toc184313304"/>
      <w:bookmarkEnd w:id="274"/>
      <w:bookmarkStart w:id="275" w:name="_Toc184313245"/>
      <w:bookmarkEnd w:id="275"/>
      <w:bookmarkStart w:id="276" w:name="_Toc184313280"/>
      <w:bookmarkEnd w:id="276"/>
      <w:bookmarkStart w:id="277" w:name="_Toc184313252"/>
      <w:bookmarkEnd w:id="277"/>
      <w:bookmarkStart w:id="278" w:name="_Toc184312099"/>
      <w:bookmarkEnd w:id="278"/>
      <w:bookmarkStart w:id="279" w:name="_Toc184310276"/>
      <w:bookmarkEnd w:id="279"/>
      <w:bookmarkStart w:id="280" w:name="_Toc184314414"/>
      <w:bookmarkEnd w:id="280"/>
      <w:bookmarkStart w:id="281" w:name="_Toc184312106"/>
      <w:bookmarkEnd w:id="281"/>
      <w:bookmarkStart w:id="282" w:name="_Toc184314472"/>
      <w:bookmarkEnd w:id="282"/>
      <w:bookmarkStart w:id="283" w:name="_Toc184314413"/>
      <w:bookmarkEnd w:id="283"/>
      <w:bookmarkStart w:id="284" w:name="_Toc184310337"/>
      <w:bookmarkEnd w:id="284"/>
      <w:bookmarkStart w:id="285" w:name="_Toc184313281"/>
      <w:bookmarkEnd w:id="285"/>
      <w:bookmarkStart w:id="286" w:name="_Toc184310333"/>
      <w:bookmarkEnd w:id="286"/>
      <w:bookmarkStart w:id="287" w:name="_Toc184308049"/>
      <w:bookmarkEnd w:id="287"/>
      <w:bookmarkStart w:id="288" w:name="_Toc184308063"/>
      <w:bookmarkEnd w:id="288"/>
      <w:bookmarkStart w:id="289" w:name="_Toc184313296"/>
      <w:bookmarkEnd w:id="289"/>
      <w:bookmarkStart w:id="290" w:name="_Toc184312101"/>
      <w:bookmarkEnd w:id="290"/>
      <w:bookmarkStart w:id="291" w:name="_Toc184314462"/>
      <w:bookmarkEnd w:id="291"/>
      <w:bookmarkStart w:id="292" w:name="_Toc184314438"/>
      <w:bookmarkEnd w:id="292"/>
      <w:bookmarkStart w:id="293" w:name="_Toc184310314"/>
      <w:bookmarkEnd w:id="293"/>
      <w:bookmarkStart w:id="294" w:name="_Toc184310324"/>
      <w:bookmarkEnd w:id="294"/>
      <w:bookmarkStart w:id="295" w:name="_Toc184312067"/>
      <w:bookmarkEnd w:id="295"/>
      <w:bookmarkStart w:id="296" w:name="_Toc184314447"/>
      <w:bookmarkEnd w:id="296"/>
      <w:bookmarkStart w:id="297" w:name="_Toc184310316"/>
      <w:bookmarkEnd w:id="297"/>
      <w:bookmarkStart w:id="298" w:name="_Toc184312103"/>
      <w:bookmarkEnd w:id="298"/>
      <w:bookmarkStart w:id="299" w:name="_Toc184313257"/>
      <w:bookmarkEnd w:id="299"/>
      <w:bookmarkStart w:id="300" w:name="_Toc184308045"/>
      <w:bookmarkEnd w:id="300"/>
      <w:bookmarkStart w:id="301" w:name="_Toc184313307"/>
      <w:bookmarkEnd w:id="301"/>
      <w:bookmarkStart w:id="302" w:name="_Toc184310335"/>
      <w:bookmarkEnd w:id="302"/>
      <w:bookmarkStart w:id="303" w:name="_Toc184314420"/>
      <w:bookmarkEnd w:id="303"/>
      <w:bookmarkStart w:id="304" w:name="_Toc184310305"/>
      <w:bookmarkEnd w:id="304"/>
      <w:bookmarkStart w:id="305" w:name="_Toc184310340"/>
      <w:bookmarkEnd w:id="305"/>
      <w:bookmarkStart w:id="306" w:name="_Toc184312098"/>
      <w:bookmarkEnd w:id="306"/>
      <w:bookmarkStart w:id="307" w:name="_Toc184314431"/>
      <w:bookmarkEnd w:id="307"/>
      <w:bookmarkStart w:id="308" w:name="_Toc184313241"/>
      <w:bookmarkEnd w:id="308"/>
      <w:bookmarkStart w:id="309" w:name="_Toc184313300"/>
      <w:bookmarkEnd w:id="309"/>
      <w:bookmarkStart w:id="310" w:name="_Toc184314478"/>
      <w:bookmarkEnd w:id="310"/>
      <w:bookmarkStart w:id="311" w:name="_Toc184308046"/>
      <w:bookmarkEnd w:id="311"/>
      <w:bookmarkStart w:id="312" w:name="_Toc184314466"/>
      <w:bookmarkEnd w:id="312"/>
      <w:bookmarkStart w:id="313" w:name="_Toc184308048"/>
      <w:bookmarkEnd w:id="313"/>
      <w:bookmarkStart w:id="314" w:name="_Toc184314433"/>
      <w:bookmarkEnd w:id="314"/>
      <w:bookmarkStart w:id="315" w:name="_Toc184310290"/>
      <w:bookmarkEnd w:id="315"/>
      <w:bookmarkStart w:id="316" w:name="_Toc184308040"/>
      <w:bookmarkEnd w:id="316"/>
      <w:bookmarkStart w:id="317" w:name="_Toc184308057"/>
      <w:bookmarkEnd w:id="317"/>
      <w:bookmarkStart w:id="318" w:name="_Toc184313239"/>
      <w:bookmarkEnd w:id="318"/>
      <w:bookmarkStart w:id="319" w:name="_Toc184310287"/>
      <w:bookmarkEnd w:id="319"/>
      <w:bookmarkStart w:id="320" w:name="_Toc184314479"/>
      <w:bookmarkEnd w:id="320"/>
      <w:bookmarkStart w:id="321" w:name="_Toc184308054"/>
      <w:bookmarkEnd w:id="321"/>
      <w:bookmarkStart w:id="322" w:name="_Toc184314452"/>
      <w:bookmarkEnd w:id="322"/>
      <w:bookmarkStart w:id="323" w:name="_Toc184308080"/>
      <w:bookmarkEnd w:id="323"/>
      <w:bookmarkStart w:id="324" w:name="_Toc184308038"/>
      <w:bookmarkEnd w:id="324"/>
      <w:bookmarkStart w:id="325" w:name="_Toc184308094"/>
      <w:bookmarkEnd w:id="325"/>
      <w:bookmarkStart w:id="326" w:name="_Toc184314419"/>
      <w:bookmarkEnd w:id="326"/>
      <w:bookmarkStart w:id="327" w:name="_Toc184308059"/>
      <w:bookmarkEnd w:id="327"/>
      <w:bookmarkStart w:id="328" w:name="_Toc184308062"/>
      <w:bookmarkEnd w:id="328"/>
      <w:bookmarkStart w:id="329" w:name="_Toc184312121"/>
      <w:bookmarkEnd w:id="329"/>
      <w:bookmarkStart w:id="330" w:name="_Toc184308107"/>
      <w:bookmarkEnd w:id="330"/>
      <w:bookmarkStart w:id="331" w:name="_Toc184312125"/>
      <w:bookmarkEnd w:id="331"/>
      <w:bookmarkStart w:id="332" w:name="_Toc184312094"/>
      <w:bookmarkEnd w:id="332"/>
      <w:bookmarkStart w:id="333" w:name="_Toc184313268"/>
      <w:bookmarkEnd w:id="333"/>
      <w:bookmarkStart w:id="334" w:name="_Toc184310274"/>
      <w:bookmarkEnd w:id="334"/>
      <w:bookmarkStart w:id="335" w:name="_Toc184313284"/>
      <w:bookmarkEnd w:id="335"/>
      <w:bookmarkStart w:id="336" w:name="_Toc184308050"/>
      <w:bookmarkEnd w:id="336"/>
      <w:bookmarkStart w:id="337" w:name="_Toc184314435"/>
      <w:bookmarkEnd w:id="337"/>
      <w:bookmarkStart w:id="338" w:name="_Toc184314428"/>
      <w:bookmarkEnd w:id="338"/>
      <w:bookmarkStart w:id="339" w:name="_Toc184313250"/>
      <w:bookmarkEnd w:id="339"/>
      <w:bookmarkStart w:id="340" w:name="_Toc184314481"/>
      <w:bookmarkEnd w:id="340"/>
      <w:bookmarkStart w:id="341" w:name="_Toc184314475"/>
      <w:bookmarkEnd w:id="341"/>
      <w:bookmarkStart w:id="342" w:name="_Toc184312136"/>
      <w:bookmarkEnd w:id="342"/>
      <w:bookmarkStart w:id="343" w:name="_Toc184314417"/>
      <w:bookmarkEnd w:id="343"/>
      <w:bookmarkStart w:id="344" w:name="_Toc184313283"/>
      <w:bookmarkEnd w:id="344"/>
      <w:bookmarkStart w:id="345" w:name="_Toc184308101"/>
      <w:bookmarkEnd w:id="345"/>
      <w:bookmarkStart w:id="346" w:name="_Toc184308077"/>
      <w:bookmarkEnd w:id="346"/>
      <w:bookmarkStart w:id="347" w:name="_Toc184310341"/>
      <w:bookmarkEnd w:id="347"/>
      <w:bookmarkStart w:id="348" w:name="_Toc184308093"/>
      <w:bookmarkEnd w:id="348"/>
      <w:bookmarkStart w:id="349" w:name="_Toc184314426"/>
      <w:bookmarkEnd w:id="349"/>
      <w:bookmarkStart w:id="350" w:name="_Toc184314421"/>
      <w:bookmarkEnd w:id="350"/>
      <w:bookmarkStart w:id="351" w:name="_Toc184313251"/>
      <w:bookmarkEnd w:id="351"/>
      <w:bookmarkStart w:id="352" w:name="_Toc184313273"/>
      <w:bookmarkEnd w:id="352"/>
      <w:bookmarkStart w:id="353" w:name="_Toc184314449"/>
      <w:bookmarkEnd w:id="353"/>
      <w:bookmarkStart w:id="354" w:name="_Toc184312112"/>
      <w:bookmarkEnd w:id="354"/>
      <w:bookmarkStart w:id="355" w:name="_Toc184312070"/>
      <w:bookmarkEnd w:id="355"/>
      <w:bookmarkStart w:id="356" w:name="_Toc184313274"/>
      <w:bookmarkEnd w:id="356"/>
      <w:bookmarkStart w:id="357" w:name="_Toc184312123"/>
      <w:bookmarkEnd w:id="357"/>
      <w:bookmarkStart w:id="358" w:name="_Toc184310283"/>
      <w:bookmarkEnd w:id="358"/>
      <w:bookmarkStart w:id="359" w:name="_Toc184313295"/>
      <w:bookmarkEnd w:id="359"/>
      <w:bookmarkStart w:id="360" w:name="_Toc184310292"/>
      <w:bookmarkEnd w:id="360"/>
      <w:bookmarkStart w:id="361" w:name="_Toc184313256"/>
      <w:bookmarkEnd w:id="361"/>
      <w:bookmarkStart w:id="362" w:name="_Toc184313276"/>
      <w:bookmarkEnd w:id="362"/>
      <w:bookmarkStart w:id="363" w:name="_Toc184314441"/>
      <w:bookmarkEnd w:id="363"/>
      <w:bookmarkStart w:id="364" w:name="_Toc184314454"/>
      <w:bookmarkEnd w:id="364"/>
      <w:bookmarkStart w:id="365" w:name="_Toc184313289"/>
      <w:bookmarkEnd w:id="365"/>
      <w:bookmarkStart w:id="366" w:name="_Toc184308083"/>
      <w:bookmarkEnd w:id="366"/>
      <w:bookmarkStart w:id="367" w:name="_Toc184308081"/>
      <w:bookmarkEnd w:id="367"/>
      <w:bookmarkStart w:id="368" w:name="_Toc184314422"/>
      <w:bookmarkEnd w:id="368"/>
      <w:bookmarkStart w:id="369" w:name="_Toc184310329"/>
      <w:bookmarkEnd w:id="369"/>
      <w:bookmarkStart w:id="370" w:name="_Toc184314451"/>
      <w:bookmarkEnd w:id="370"/>
      <w:bookmarkStart w:id="371" w:name="_Toc184312130"/>
      <w:bookmarkEnd w:id="371"/>
      <w:bookmarkStart w:id="372" w:name="_Toc184308073"/>
      <w:bookmarkEnd w:id="372"/>
      <w:bookmarkStart w:id="373" w:name="_Toc184313293"/>
      <w:bookmarkEnd w:id="373"/>
      <w:bookmarkStart w:id="374" w:name="_Toc184312107"/>
      <w:bookmarkEnd w:id="374"/>
      <w:bookmarkStart w:id="375" w:name="_Toc184313254"/>
      <w:bookmarkEnd w:id="375"/>
      <w:bookmarkStart w:id="376" w:name="_Toc184314410"/>
      <w:bookmarkEnd w:id="376"/>
      <w:bookmarkStart w:id="377" w:name="_Toc184313287"/>
      <w:bookmarkEnd w:id="377"/>
      <w:bookmarkStart w:id="378" w:name="_Toc184313264"/>
      <w:bookmarkEnd w:id="378"/>
      <w:bookmarkStart w:id="379" w:name="_Toc184312085"/>
      <w:bookmarkEnd w:id="379"/>
      <w:bookmarkStart w:id="380" w:name="_Toc184314442"/>
      <w:bookmarkEnd w:id="380"/>
      <w:bookmarkStart w:id="381" w:name="_Toc184312068"/>
      <w:bookmarkEnd w:id="381"/>
      <w:bookmarkStart w:id="382" w:name="_Toc184313285"/>
      <w:bookmarkEnd w:id="382"/>
      <w:bookmarkStart w:id="383" w:name="_Toc184310285"/>
      <w:bookmarkEnd w:id="383"/>
      <w:bookmarkStart w:id="384" w:name="_Toc184312090"/>
      <w:bookmarkEnd w:id="384"/>
      <w:bookmarkStart w:id="385" w:name="_Toc184314444"/>
      <w:bookmarkEnd w:id="385"/>
      <w:bookmarkStart w:id="386" w:name="_Toc184312113"/>
      <w:bookmarkEnd w:id="386"/>
      <w:bookmarkStart w:id="387" w:name="_Toc184312096"/>
      <w:bookmarkEnd w:id="387"/>
      <w:bookmarkStart w:id="388" w:name="_Toc184314425"/>
      <w:bookmarkEnd w:id="388"/>
      <w:bookmarkStart w:id="389" w:name="_Toc184310304"/>
      <w:bookmarkEnd w:id="389"/>
      <w:bookmarkStart w:id="390" w:name="_Toc184310327"/>
      <w:bookmarkEnd w:id="390"/>
      <w:bookmarkStart w:id="391" w:name="_Toc184308098"/>
      <w:bookmarkEnd w:id="391"/>
      <w:bookmarkStart w:id="392" w:name="_Toc184314465"/>
      <w:bookmarkEnd w:id="392"/>
      <w:bookmarkStart w:id="393" w:name="_Toc184314430"/>
      <w:bookmarkEnd w:id="393"/>
      <w:bookmarkStart w:id="394" w:name="_Toc184313238"/>
      <w:bookmarkEnd w:id="394"/>
      <w:bookmarkStart w:id="395" w:name="_Toc184313263"/>
      <w:bookmarkEnd w:id="395"/>
      <w:bookmarkStart w:id="396" w:name="_Toc184308099"/>
      <w:bookmarkEnd w:id="396"/>
      <w:bookmarkStart w:id="397" w:name="_Toc184312097"/>
      <w:bookmarkEnd w:id="397"/>
      <w:bookmarkStart w:id="398" w:name="_Toc184312076"/>
      <w:bookmarkEnd w:id="398"/>
      <w:bookmarkStart w:id="399" w:name="_Toc184314443"/>
      <w:bookmarkEnd w:id="399"/>
      <w:bookmarkStart w:id="400" w:name="_Toc184310288"/>
      <w:bookmarkEnd w:id="400"/>
      <w:bookmarkStart w:id="401" w:name="_Toc184313272"/>
      <w:bookmarkEnd w:id="401"/>
      <w:bookmarkStart w:id="402" w:name="_Toc184312069"/>
      <w:bookmarkEnd w:id="402"/>
      <w:bookmarkStart w:id="403" w:name="_Toc184308060"/>
      <w:bookmarkEnd w:id="403"/>
      <w:bookmarkStart w:id="404" w:name="_Toc184308105"/>
      <w:bookmarkEnd w:id="404"/>
      <w:bookmarkStart w:id="405" w:name="_Toc184310326"/>
      <w:bookmarkEnd w:id="405"/>
      <w:bookmarkStart w:id="406" w:name="_Toc184312137"/>
      <w:bookmarkEnd w:id="406"/>
      <w:bookmarkStart w:id="407" w:name="_Toc184314480"/>
      <w:bookmarkEnd w:id="407"/>
      <w:bookmarkStart w:id="408" w:name="_Toc184314415"/>
      <w:bookmarkEnd w:id="408"/>
      <w:bookmarkStart w:id="409" w:name="_Toc184313282"/>
      <w:bookmarkEnd w:id="409"/>
      <w:bookmarkStart w:id="410" w:name="_Toc20574"/>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评标办法</w:t>
      </w:r>
      <w:bookmarkEnd w:id="410"/>
    </w:p>
    <w:p w14:paraId="3FDB9F68">
      <w:pPr>
        <w:keepNext w:val="0"/>
        <w:keepLines w:val="0"/>
        <w:pageBreakBefore w:val="0"/>
        <w:widowControl w:val="0"/>
        <w:kinsoku/>
        <w:wordWrap/>
        <w:overflowPunct/>
        <w:topLinePunct w:val="0"/>
        <w:autoSpaceDE/>
        <w:autoSpaceDN/>
        <w:bidi w:val="0"/>
        <w:snapToGrid w:val="0"/>
        <w:spacing w:line="360" w:lineRule="auto"/>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14:paraId="362AAABA">
      <w:pPr>
        <w:keepNext w:val="0"/>
        <w:keepLines w:val="0"/>
        <w:pageBreakBefore w:val="0"/>
        <w:kinsoku/>
        <w:wordWrap/>
        <w:overflowPunct/>
        <w:topLinePunct w:val="0"/>
        <w:autoSpaceDE/>
        <w:autoSpaceDN/>
        <w:bidi w:val="0"/>
        <w:adjustRightInd/>
        <w:spacing w:line="360" w:lineRule="auto"/>
        <w:ind w:left="0" w:leftChars="0" w:firstLine="422"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2A123D87">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jc w:val="both"/>
        <w:textAlignment w:val="auto"/>
        <w:outlineLvl w:val="1"/>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二、评标标准</w:t>
      </w:r>
    </w:p>
    <w:p w14:paraId="1534B34C">
      <w:pPr>
        <w:keepNext w:val="0"/>
        <w:keepLines w:val="0"/>
        <w:pageBreakBefore w:val="0"/>
        <w:kinsoku/>
        <w:wordWrap/>
        <w:overflowPunct/>
        <w:topLinePunct w:val="0"/>
        <w:autoSpaceDE/>
        <w:autoSpaceDN/>
        <w:bidi w:val="0"/>
        <w:spacing w:line="360" w:lineRule="auto"/>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见评标办法前附表。</w:t>
      </w:r>
    </w:p>
    <w:p w14:paraId="1F9A3307">
      <w:pPr>
        <w:keepNext w:val="0"/>
        <w:keepLines w:val="0"/>
        <w:pageBreakBefore w:val="0"/>
        <w:widowControl w:val="0"/>
        <w:kinsoku/>
        <w:wordWrap/>
        <w:overflowPunct/>
        <w:topLinePunct w:val="0"/>
        <w:autoSpaceDE/>
        <w:autoSpaceDN/>
        <w:bidi w:val="0"/>
        <w:spacing w:line="360" w:lineRule="auto"/>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14:paraId="3C892D09">
      <w:pPr>
        <w:keepNext w:val="0"/>
        <w:keepLines w:val="0"/>
        <w:pageBreakBefore w:val="0"/>
        <w:kinsoku/>
        <w:wordWrap/>
        <w:overflowPunct/>
        <w:topLinePunct w:val="0"/>
        <w:autoSpaceDE/>
        <w:autoSpaceDN/>
        <w:bidi w:val="0"/>
        <w:spacing w:line="360" w:lineRule="auto"/>
        <w:ind w:left="0" w:leftChars="0" w:firstLine="422"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629BBB4B">
      <w:pPr>
        <w:keepNext w:val="0"/>
        <w:keepLines w:val="0"/>
        <w:pageBreakBefore w:val="0"/>
        <w:kinsoku/>
        <w:wordWrap/>
        <w:overflowPunct/>
        <w:topLinePunct w:val="0"/>
        <w:autoSpaceDE/>
        <w:autoSpaceDN/>
        <w:bidi w:val="0"/>
        <w:spacing w:line="360" w:lineRule="auto"/>
        <w:ind w:left="0" w:leftChars="0" w:firstLine="422"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28684CE8">
      <w:pPr>
        <w:keepNext w:val="0"/>
        <w:keepLines w:val="0"/>
        <w:pageBreakBefore w:val="0"/>
        <w:kinsoku/>
        <w:wordWrap/>
        <w:overflowPunct/>
        <w:topLinePunct w:val="0"/>
        <w:autoSpaceDE/>
        <w:autoSpaceDN/>
        <w:bidi w:val="0"/>
        <w:spacing w:line="360" w:lineRule="auto"/>
        <w:ind w:left="0" w:leftChars="0" w:firstLine="422"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14:paraId="4370008E">
      <w:pPr>
        <w:keepNext w:val="0"/>
        <w:keepLines w:val="0"/>
        <w:pageBreakBefore w:val="0"/>
        <w:kinsoku/>
        <w:wordWrap/>
        <w:overflowPunct/>
        <w:topLinePunct w:val="0"/>
        <w:autoSpaceDE/>
        <w:autoSpaceDN/>
        <w:bidi w:val="0"/>
        <w:spacing w:line="360" w:lineRule="auto"/>
        <w:ind w:left="0" w:leftChars="0" w:firstLine="422" w:firstLineChars="200"/>
        <w:jc w:val="both"/>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4207F2D9">
      <w:pPr>
        <w:pStyle w:val="137"/>
        <w:keepNext w:val="0"/>
        <w:keepLines w:val="0"/>
        <w:pageBreakBefore w:val="0"/>
        <w:kinsoku/>
        <w:wordWrap/>
        <w:overflowPunct/>
        <w:topLinePunct w:val="0"/>
        <w:autoSpaceDE/>
        <w:autoSpaceDN/>
        <w:bidi w:val="0"/>
        <w:spacing w:before="0"/>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50BA6D24">
      <w:pPr>
        <w:pStyle w:val="137"/>
        <w:keepNext w:val="0"/>
        <w:keepLines w:val="0"/>
        <w:pageBreakBefore w:val="0"/>
        <w:kinsoku/>
        <w:wordWrap/>
        <w:overflowPunct/>
        <w:topLinePunct w:val="0"/>
        <w:autoSpaceDE/>
        <w:autoSpaceDN/>
        <w:bidi w:val="0"/>
        <w:spacing w:before="0"/>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3.4.1.1投标文件中开标一览表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内容与投标文件中相应内容不一致的，以开标一览表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为准</w:t>
      </w:r>
      <w:r>
        <w:rPr>
          <w:rFonts w:hint="eastAsia" w:ascii="宋体" w:hAnsi="宋体" w:eastAsia="宋体" w:cs="宋体"/>
          <w:color w:val="auto"/>
          <w:kern w:val="0"/>
          <w:sz w:val="21"/>
          <w:szCs w:val="21"/>
          <w:highlight w:val="none"/>
          <w:lang w:eastAsia="zh-CN"/>
        </w:rPr>
        <w:t>；</w:t>
      </w:r>
    </w:p>
    <w:p w14:paraId="7B291669">
      <w:pPr>
        <w:pStyle w:val="137"/>
        <w:keepNext w:val="0"/>
        <w:keepLines w:val="0"/>
        <w:pageBreakBefore w:val="0"/>
        <w:kinsoku/>
        <w:wordWrap/>
        <w:overflowPunct/>
        <w:topLinePunct w:val="0"/>
        <w:autoSpaceDE/>
        <w:autoSpaceDN/>
        <w:bidi w:val="0"/>
        <w:spacing w:before="0"/>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3.4.1.2大写金额和小写金额不一致的，以大写金额为准</w:t>
      </w:r>
      <w:r>
        <w:rPr>
          <w:rFonts w:hint="eastAsia" w:ascii="宋体" w:hAnsi="宋体" w:eastAsia="宋体" w:cs="宋体"/>
          <w:color w:val="auto"/>
          <w:kern w:val="0"/>
          <w:sz w:val="21"/>
          <w:szCs w:val="21"/>
          <w:highlight w:val="none"/>
          <w:lang w:eastAsia="zh-CN"/>
        </w:rPr>
        <w:t>；</w:t>
      </w:r>
    </w:p>
    <w:p w14:paraId="7BAE9E02">
      <w:pPr>
        <w:pStyle w:val="137"/>
        <w:keepNext w:val="0"/>
        <w:keepLines w:val="0"/>
        <w:pageBreakBefore w:val="0"/>
        <w:kinsoku/>
        <w:wordWrap/>
        <w:overflowPunct/>
        <w:topLinePunct w:val="0"/>
        <w:autoSpaceDE/>
        <w:autoSpaceDN/>
        <w:bidi w:val="0"/>
        <w:spacing w:before="0"/>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r>
        <w:rPr>
          <w:rFonts w:hint="eastAsia" w:ascii="宋体" w:hAnsi="宋体" w:eastAsia="宋体" w:cs="宋体"/>
          <w:color w:val="auto"/>
          <w:kern w:val="0"/>
          <w:sz w:val="21"/>
          <w:szCs w:val="21"/>
          <w:highlight w:val="none"/>
          <w:lang w:eastAsia="zh-CN"/>
        </w:rPr>
        <w:t>；</w:t>
      </w:r>
    </w:p>
    <w:p w14:paraId="0DB2D6A7">
      <w:pPr>
        <w:pStyle w:val="137"/>
        <w:keepNext w:val="0"/>
        <w:keepLines w:val="0"/>
        <w:pageBreakBefore w:val="0"/>
        <w:kinsoku/>
        <w:wordWrap/>
        <w:overflowPunct/>
        <w:topLinePunct w:val="0"/>
        <w:autoSpaceDE/>
        <w:autoSpaceDN/>
        <w:bidi w:val="0"/>
        <w:spacing w:before="0"/>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4AAA9924">
      <w:pPr>
        <w:pStyle w:val="137"/>
        <w:keepNext w:val="0"/>
        <w:keepLines w:val="0"/>
        <w:pageBreakBefore w:val="0"/>
        <w:kinsoku/>
        <w:wordWrap/>
        <w:overflowPunct/>
        <w:topLinePunct w:val="0"/>
        <w:autoSpaceDE/>
        <w:autoSpaceDN/>
        <w:bidi w:val="0"/>
        <w:spacing w:before="0"/>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911DA38">
      <w:pPr>
        <w:keepNext w:val="0"/>
        <w:keepLines w:val="0"/>
        <w:pageBreakBefore w:val="0"/>
        <w:kinsoku/>
        <w:wordWrap/>
        <w:overflowPunct/>
        <w:topLinePunct w:val="0"/>
        <w:autoSpaceDE/>
        <w:autoSpaceDN/>
        <w:bidi w:val="0"/>
        <w:snapToGrid w:val="0"/>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790DA03A">
      <w:pPr>
        <w:keepNext w:val="0"/>
        <w:keepLines w:val="0"/>
        <w:pageBreakBefore w:val="0"/>
        <w:kinsoku/>
        <w:wordWrap/>
        <w:overflowPunct/>
        <w:topLinePunct w:val="0"/>
        <w:autoSpaceDE/>
        <w:autoSpaceDN/>
        <w:bidi w:val="0"/>
        <w:snapToGrid w:val="0"/>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3.4.3投标报价超过招标文件中规定的预算金额或者最高限价的，投标无效。</w:t>
      </w:r>
    </w:p>
    <w:p w14:paraId="4C43F7BE">
      <w:pPr>
        <w:pStyle w:val="137"/>
        <w:keepNext w:val="0"/>
        <w:keepLines w:val="0"/>
        <w:pageBreakBefore w:val="0"/>
        <w:kinsoku/>
        <w:wordWrap/>
        <w:overflowPunct/>
        <w:topLinePunct w:val="0"/>
        <w:autoSpaceDE/>
        <w:autoSpaceDN/>
        <w:bidi w:val="0"/>
        <w:spacing w:before="0"/>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低于项目预算50%的</w:t>
      </w:r>
      <w:r>
        <w:rPr>
          <w:rFonts w:hint="eastAsia" w:ascii="宋体" w:hAnsi="宋体" w:eastAsia="宋体" w:cs="宋体"/>
          <w:kern w:val="0"/>
          <w:sz w:val="21"/>
          <w:szCs w:val="21"/>
          <w:highlight w:val="none"/>
          <w:lang w:eastAsia="zh-CN"/>
        </w:rPr>
        <w:t>）</w:t>
      </w:r>
      <w:r>
        <w:rPr>
          <w:rFonts w:hint="eastAsia" w:ascii="宋体" w:hAnsi="宋体" w:eastAsia="宋体" w:cs="宋体"/>
          <w:color w:val="auto"/>
          <w:kern w:val="0"/>
          <w:sz w:val="21"/>
          <w:szCs w:val="21"/>
          <w:highlight w:val="none"/>
        </w:rPr>
        <w:t>，有可能影响产品质量或者不能诚信履约的，应当要求其在合理的时间内提供书面说明，必要时提交相关证明材料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投标人不能证明其报价合理性的，评标委员会应当将其作为无效投标处理。</w:t>
      </w:r>
    </w:p>
    <w:p w14:paraId="7993B6B6">
      <w:pPr>
        <w:pStyle w:val="137"/>
        <w:keepNext w:val="0"/>
        <w:keepLines w:val="0"/>
        <w:pageBreakBefore w:val="0"/>
        <w:kinsoku/>
        <w:wordWrap/>
        <w:overflowPunct/>
        <w:topLinePunct w:val="0"/>
        <w:autoSpaceDE/>
        <w:autoSpaceDN/>
        <w:bidi w:val="0"/>
        <w:spacing w:before="0"/>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C0EB19D">
      <w:pPr>
        <w:keepNext w:val="0"/>
        <w:keepLines w:val="0"/>
        <w:pageBreakBefore w:val="0"/>
        <w:kinsoku/>
        <w:wordWrap/>
        <w:overflowPunct/>
        <w:topLinePunct w:val="0"/>
        <w:autoSpaceDE/>
        <w:autoSpaceDN/>
        <w:bidi w:val="0"/>
        <w:spacing w:line="360" w:lineRule="auto"/>
        <w:ind w:left="0" w:leftChars="0" w:firstLine="422" w:firstLineChars="200"/>
        <w:jc w:val="both"/>
        <w:textAlignment w:val="auto"/>
        <w:outlineLvl w:val="9"/>
        <w:rPr>
          <w:rFonts w:hint="eastAsia" w:ascii="宋体" w:hAnsi="宋体" w:eastAsia="宋体" w:cs="宋体"/>
          <w:kern w:val="0"/>
          <w:sz w:val="21"/>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kern w:val="0"/>
          <w:sz w:val="21"/>
          <w:szCs w:val="21"/>
          <w:highlight w:val="none"/>
        </w:rPr>
        <w:t>评标委员会根据供应商的投标文件的总得分高低排定顺序，推荐综合得分最高的为中标候选人；若综合得分相同，则报价低者为中标候选人；若报价也相同则由抽签决定中标候选人。评标委员会推荐综合得分排名第一的供应商为本项目的第一中标候选人。</w:t>
      </w:r>
    </w:p>
    <w:p w14:paraId="713B47BE">
      <w:pPr>
        <w:keepNext w:val="0"/>
        <w:keepLines w:val="0"/>
        <w:pageBreakBefore w:val="0"/>
        <w:kinsoku/>
        <w:wordWrap/>
        <w:overflowPunct/>
        <w:topLinePunct w:val="0"/>
        <w:autoSpaceDE/>
        <w:autoSpaceDN/>
        <w:bidi w:val="0"/>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kern w:val="0"/>
          <w:sz w:val="21"/>
          <w:szCs w:val="21"/>
          <w:highlight w:val="none"/>
        </w:rPr>
        <w:t>若中标供应商因投标过程中所提供的资料有失实或弄虚作假的或放弃中标或因不可抗力提出不能履行合同或未按规定提交履约保证金的，则采购人可确定排名次之的中标候选人为中标供应商或重新组织招标。</w:t>
      </w:r>
    </w:p>
    <w:p w14:paraId="31CFF1B7">
      <w:pPr>
        <w:keepNext w:val="0"/>
        <w:keepLines w:val="0"/>
        <w:pageBreakBefore w:val="0"/>
        <w:kinsoku/>
        <w:wordWrap/>
        <w:overflowPunct/>
        <w:topLinePunct w:val="0"/>
        <w:autoSpaceDE/>
        <w:autoSpaceDN/>
        <w:bidi w:val="0"/>
        <w:spacing w:line="360" w:lineRule="auto"/>
        <w:ind w:left="0" w:leftChars="0" w:firstLine="420" w:firstLineChars="200"/>
        <w:jc w:val="both"/>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300FA19">
      <w:pPr>
        <w:keepNext w:val="0"/>
        <w:keepLines w:val="0"/>
        <w:pageBreakBefore w:val="0"/>
        <w:kinsoku/>
        <w:wordWrap/>
        <w:overflowPunct/>
        <w:topLinePunct w:val="0"/>
        <w:autoSpaceDE/>
        <w:autoSpaceDN/>
        <w:bidi w:val="0"/>
        <w:spacing w:line="360" w:lineRule="auto"/>
        <w:ind w:left="0" w:leftChars="0" w:firstLine="422"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0C91583">
      <w:pPr>
        <w:keepNext w:val="0"/>
        <w:keepLines w:val="0"/>
        <w:pageBreakBefore w:val="0"/>
        <w:widowControl/>
        <w:shd w:val="clear" w:color="auto"/>
        <w:kinsoku/>
        <w:wordWrap/>
        <w:overflowPunct/>
        <w:topLinePunct w:val="0"/>
        <w:autoSpaceDE/>
        <w:autoSpaceDN/>
        <w:bidi w:val="0"/>
        <w:adjustRightInd/>
        <w:snapToGrid/>
        <w:spacing w:line="360" w:lineRule="auto"/>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14:paraId="588C09A2">
      <w:pPr>
        <w:pStyle w:val="137"/>
        <w:keepNext w:val="0"/>
        <w:keepLines w:val="0"/>
        <w:pageBreakBefore w:val="0"/>
        <w:kinsoku/>
        <w:wordWrap/>
        <w:overflowPunct/>
        <w:topLinePunct w:val="0"/>
        <w:autoSpaceDE/>
        <w:autoSpaceDN/>
        <w:bidi w:val="0"/>
        <w:spacing w:before="0"/>
        <w:ind w:left="0" w:leftChars="0" w:firstLine="422"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E1C2692">
      <w:pPr>
        <w:pStyle w:val="25"/>
        <w:keepNext w:val="0"/>
        <w:keepLines w:val="0"/>
        <w:pageBreakBefore w:val="0"/>
        <w:kinsoku/>
        <w:wordWrap/>
        <w:overflowPunct/>
        <w:topLinePunct w:val="0"/>
        <w:autoSpaceDE/>
        <w:autoSpaceDN/>
        <w:bidi w:val="0"/>
        <w:spacing w:line="360" w:lineRule="auto"/>
        <w:ind w:left="0" w:leftChars="0" w:firstLine="422"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0CEBAF63">
      <w:pPr>
        <w:keepNext w:val="0"/>
        <w:keepLines w:val="0"/>
        <w:pageBreakBefore w:val="0"/>
        <w:kinsoku/>
        <w:wordWrap/>
        <w:overflowPunct/>
        <w:topLinePunct w:val="0"/>
        <w:autoSpaceDE/>
        <w:autoSpaceDN/>
        <w:bidi w:val="0"/>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4.2.1投标人不具备招标文件中规定的资格要求的（投标人未提供有效的资格文件的，视为投标人不具备招标文件中规定的资格要求）；</w:t>
      </w:r>
    </w:p>
    <w:p w14:paraId="236654D7">
      <w:pPr>
        <w:keepNext w:val="0"/>
        <w:keepLines w:val="0"/>
        <w:pageBreakBefore w:val="0"/>
        <w:kinsoku/>
        <w:wordWrap/>
        <w:overflowPunct/>
        <w:topLinePunct w:val="0"/>
        <w:autoSpaceDE/>
        <w:autoSpaceDN/>
        <w:bidi w:val="0"/>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4.2.2投标文件未按照招标文件要求签署、盖章的；</w:t>
      </w:r>
    </w:p>
    <w:p w14:paraId="689AF107">
      <w:pPr>
        <w:keepNext w:val="0"/>
        <w:keepLines w:val="0"/>
        <w:pageBreakBefore w:val="0"/>
        <w:kinsoku/>
        <w:wordWrap/>
        <w:overflowPunct/>
        <w:topLinePunct w:val="0"/>
        <w:autoSpaceDE/>
        <w:autoSpaceDN/>
        <w:bidi w:val="0"/>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7594A18F">
      <w:pPr>
        <w:keepNext w:val="0"/>
        <w:keepLines w:val="0"/>
        <w:pageBreakBefore w:val="0"/>
        <w:kinsoku/>
        <w:wordWrap/>
        <w:overflowPunct/>
        <w:topLinePunct w:val="0"/>
        <w:autoSpaceDE/>
        <w:autoSpaceDN/>
        <w:bidi w:val="0"/>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4.2.4投标文件含有采购人不能接受的附加条件的；</w:t>
      </w:r>
    </w:p>
    <w:p w14:paraId="49AA0BFF">
      <w:pPr>
        <w:keepNext w:val="0"/>
        <w:keepLines w:val="0"/>
        <w:pageBreakBefore w:val="0"/>
        <w:kinsoku/>
        <w:wordWrap/>
        <w:overflowPunct/>
        <w:topLinePunct w:val="0"/>
        <w:autoSpaceDE/>
        <w:autoSpaceDN/>
        <w:bidi w:val="0"/>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4.2.5投标文件中承诺的投标有效期少于招标文件中载明的投标有效期的；</w:t>
      </w:r>
    </w:p>
    <w:p w14:paraId="204AAC70">
      <w:pPr>
        <w:keepNext w:val="0"/>
        <w:keepLines w:val="0"/>
        <w:pageBreakBefore w:val="0"/>
        <w:kinsoku/>
        <w:wordWrap/>
        <w:overflowPunct/>
        <w:topLinePunct w:val="0"/>
        <w:autoSpaceDE/>
        <w:autoSpaceDN/>
        <w:bidi w:val="0"/>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4.2.6投标文件出现不是唯一的、有选择性投标报价的</w:t>
      </w:r>
      <w:r>
        <w:rPr>
          <w:rFonts w:hint="eastAsia" w:ascii="宋体" w:hAnsi="宋体" w:eastAsia="宋体" w:cs="宋体"/>
          <w:color w:val="auto"/>
          <w:kern w:val="0"/>
          <w:sz w:val="21"/>
          <w:szCs w:val="21"/>
          <w:highlight w:val="none"/>
          <w:lang w:eastAsia="zh-CN"/>
        </w:rPr>
        <w:t>；</w:t>
      </w:r>
    </w:p>
    <w:p w14:paraId="05A248A6">
      <w:pPr>
        <w:keepNext w:val="0"/>
        <w:keepLines w:val="0"/>
        <w:pageBreakBefore w:val="0"/>
        <w:kinsoku/>
        <w:wordWrap/>
        <w:overflowPunct/>
        <w:topLinePunct w:val="0"/>
        <w:autoSpaceDE/>
        <w:autoSpaceDN/>
        <w:bidi w:val="0"/>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4.2.7投标报价超过招标文件中规定的预算金额或者最高限价的</w:t>
      </w:r>
      <w:r>
        <w:rPr>
          <w:rFonts w:hint="eastAsia" w:ascii="宋体" w:hAnsi="宋体" w:eastAsia="宋体" w:cs="宋体"/>
          <w:color w:val="auto"/>
          <w:kern w:val="0"/>
          <w:sz w:val="21"/>
          <w:szCs w:val="21"/>
          <w:highlight w:val="none"/>
          <w:lang w:eastAsia="zh-CN"/>
        </w:rPr>
        <w:t>；</w:t>
      </w:r>
    </w:p>
    <w:p w14:paraId="7918FBDE">
      <w:pPr>
        <w:keepNext w:val="0"/>
        <w:keepLines w:val="0"/>
        <w:pageBreakBefore w:val="0"/>
        <w:kinsoku/>
        <w:wordWrap/>
        <w:overflowPunct/>
        <w:topLinePunct w:val="0"/>
        <w:autoSpaceDE/>
        <w:autoSpaceDN/>
        <w:bidi w:val="0"/>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4.2.8报价明显低于其他通过符合性审查投标人的报价</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低于项目预算50%的</w:t>
      </w:r>
      <w:r>
        <w:rPr>
          <w:rFonts w:hint="eastAsia" w:ascii="宋体" w:hAnsi="宋体" w:eastAsia="宋体" w:cs="宋体"/>
          <w:kern w:val="0"/>
          <w:sz w:val="21"/>
          <w:szCs w:val="21"/>
          <w:highlight w:val="none"/>
          <w:lang w:eastAsia="zh-CN"/>
        </w:rPr>
        <w:t>）</w:t>
      </w:r>
      <w:r>
        <w:rPr>
          <w:rFonts w:hint="eastAsia" w:ascii="宋体" w:hAnsi="宋体" w:eastAsia="宋体" w:cs="宋体"/>
          <w:color w:val="auto"/>
          <w:kern w:val="0"/>
          <w:sz w:val="21"/>
          <w:szCs w:val="21"/>
          <w:highlight w:val="none"/>
        </w:rPr>
        <w:t>，有可能影响产品质量或者不能诚信履约的，未能按要求提供书面说明或者提交相关证明材料，不能证明其报价合理性的</w:t>
      </w:r>
      <w:r>
        <w:rPr>
          <w:rFonts w:hint="eastAsia" w:ascii="宋体" w:hAnsi="宋体" w:eastAsia="宋体" w:cs="宋体"/>
          <w:color w:val="auto"/>
          <w:kern w:val="0"/>
          <w:sz w:val="21"/>
          <w:szCs w:val="21"/>
          <w:highlight w:val="none"/>
          <w:lang w:eastAsia="zh-CN"/>
        </w:rPr>
        <w:t>；</w:t>
      </w:r>
    </w:p>
    <w:p w14:paraId="613FEF45">
      <w:pPr>
        <w:keepNext w:val="0"/>
        <w:keepLines w:val="0"/>
        <w:pageBreakBefore w:val="0"/>
        <w:kinsoku/>
        <w:wordWrap/>
        <w:overflowPunct/>
        <w:topLinePunct w:val="0"/>
        <w:autoSpaceDE/>
        <w:autoSpaceDN/>
        <w:bidi w:val="0"/>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4.2.9投标人对根据修正原则修正后的报价不确认的；</w:t>
      </w:r>
    </w:p>
    <w:p w14:paraId="02598D4D">
      <w:pPr>
        <w:keepNext w:val="0"/>
        <w:keepLines w:val="0"/>
        <w:pageBreakBefore w:val="0"/>
        <w:kinsoku/>
        <w:wordWrap/>
        <w:overflowPunct/>
        <w:topLinePunct w:val="0"/>
        <w:autoSpaceDE/>
        <w:autoSpaceDN/>
        <w:bidi w:val="0"/>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4.2.10投标人提供虚假材料投标的；</w:t>
      </w:r>
    </w:p>
    <w:p w14:paraId="6314CBA3">
      <w:pPr>
        <w:keepNext w:val="0"/>
        <w:keepLines w:val="0"/>
        <w:pageBreakBefore w:val="0"/>
        <w:kinsoku/>
        <w:wordWrap/>
        <w:overflowPunct/>
        <w:topLinePunct w:val="0"/>
        <w:autoSpaceDE/>
        <w:autoSpaceDN/>
        <w:bidi w:val="0"/>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4.2.11投标人有恶意串通、妨碍其他投标人的竞争行为、损害采购人或者其他投标人的合法权益情形的；</w:t>
      </w:r>
    </w:p>
    <w:p w14:paraId="7D4F7BFE">
      <w:pPr>
        <w:keepNext w:val="0"/>
        <w:keepLines w:val="0"/>
        <w:pageBreakBefore w:val="0"/>
        <w:kinsoku/>
        <w:wordWrap/>
        <w:overflowPunct/>
        <w:topLinePunct w:val="0"/>
        <w:autoSpaceDE/>
        <w:autoSpaceDN/>
        <w:bidi w:val="0"/>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4.2.12投标人仅提交备份投标文件，未在电子交易平台传输递交投标文件的，投标无效；</w:t>
      </w:r>
    </w:p>
    <w:p w14:paraId="37DA0E40">
      <w:pPr>
        <w:keepNext w:val="0"/>
        <w:keepLines w:val="0"/>
        <w:pageBreakBefore w:val="0"/>
        <w:kinsoku/>
        <w:wordWrap/>
        <w:overflowPunct/>
        <w:topLinePunct w:val="0"/>
        <w:autoSpaceDE/>
        <w:autoSpaceDN/>
        <w:bidi w:val="0"/>
        <w:spacing w:line="360" w:lineRule="auto"/>
        <w:ind w:left="0" w:leftChars="0" w:firstLine="420" w:firstLineChars="200"/>
        <w:jc w:val="both"/>
        <w:textAlignment w:val="auto"/>
        <w:outlineLvl w:val="9"/>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4.2.13投标文件不满足招标文件</w:t>
      </w:r>
      <w:r>
        <w:rPr>
          <w:rFonts w:hint="eastAsia" w:ascii="宋体" w:hAnsi="宋体" w:eastAsia="宋体" w:cs="宋体"/>
          <w:b w:val="0"/>
          <w:bCs w:val="0"/>
          <w:color w:val="auto"/>
          <w:kern w:val="0"/>
          <w:sz w:val="21"/>
          <w:szCs w:val="21"/>
          <w:highlight w:val="none"/>
          <w:lang w:val="en-US" w:eastAsia="zh-CN"/>
        </w:rPr>
        <w:t>的其他</w:t>
      </w:r>
      <w:r>
        <w:rPr>
          <w:rFonts w:hint="eastAsia" w:ascii="宋体" w:hAnsi="宋体" w:eastAsia="宋体" w:cs="宋体"/>
          <w:b w:val="0"/>
          <w:bCs w:val="0"/>
          <w:color w:val="auto"/>
          <w:kern w:val="0"/>
          <w:sz w:val="21"/>
          <w:szCs w:val="21"/>
          <w:highlight w:val="none"/>
          <w:lang w:val="en-US"/>
        </w:rPr>
        <w:t>实质性要求的；</w:t>
      </w:r>
    </w:p>
    <w:p w14:paraId="528AFE04">
      <w:pPr>
        <w:keepNext w:val="0"/>
        <w:keepLines w:val="0"/>
        <w:pageBreakBefore w:val="0"/>
        <w:kinsoku/>
        <w:wordWrap/>
        <w:overflowPunct/>
        <w:topLinePunct w:val="0"/>
        <w:autoSpaceDE/>
        <w:autoSpaceDN/>
        <w:bidi w:val="0"/>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4.2.14法律、法规、规章（适用本市的）及省级以上规范性文件（适用本市的）规定的其他无效情形。</w:t>
      </w:r>
    </w:p>
    <w:p w14:paraId="29223340">
      <w:pPr>
        <w:pStyle w:val="25"/>
        <w:keepNext w:val="0"/>
        <w:keepLines w:val="0"/>
        <w:pageBreakBefore w:val="0"/>
        <w:kinsoku/>
        <w:wordWrap/>
        <w:overflowPunct/>
        <w:topLinePunct w:val="0"/>
        <w:autoSpaceDE/>
        <w:autoSpaceDN/>
        <w:bidi w:val="0"/>
        <w:snapToGrid w:val="0"/>
        <w:spacing w:line="360" w:lineRule="auto"/>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4.2.15上传投标文件同一网卡地址、同一IP地址的为无效标。</w:t>
      </w:r>
    </w:p>
    <w:p w14:paraId="26DDBA66">
      <w:pPr>
        <w:pStyle w:val="25"/>
        <w:keepNext w:val="0"/>
        <w:keepLines w:val="0"/>
        <w:pageBreakBefore w:val="0"/>
        <w:kinsoku/>
        <w:wordWrap/>
        <w:overflowPunct/>
        <w:topLinePunct w:val="0"/>
        <w:autoSpaceDE/>
        <w:autoSpaceDN/>
        <w:bidi w:val="0"/>
        <w:snapToGrid w:val="0"/>
        <w:spacing w:line="360" w:lineRule="auto"/>
        <w:ind w:left="0" w:leftChars="0" w:firstLine="422"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6B38FD65">
      <w:pPr>
        <w:pStyle w:val="25"/>
        <w:keepNext w:val="0"/>
        <w:keepLines w:val="0"/>
        <w:pageBreakBefore w:val="0"/>
        <w:kinsoku/>
        <w:wordWrap/>
        <w:overflowPunct/>
        <w:topLinePunct w:val="0"/>
        <w:autoSpaceDE/>
        <w:autoSpaceDN/>
        <w:bidi w:val="0"/>
        <w:snapToGrid w:val="0"/>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58B5CD35">
      <w:pPr>
        <w:pStyle w:val="25"/>
        <w:keepNext w:val="0"/>
        <w:keepLines w:val="0"/>
        <w:pageBreakBefore w:val="0"/>
        <w:kinsoku/>
        <w:wordWrap/>
        <w:overflowPunct/>
        <w:topLinePunct w:val="0"/>
        <w:autoSpaceDE/>
        <w:autoSpaceDN/>
        <w:bidi w:val="0"/>
        <w:snapToGrid w:val="0"/>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40506EFD">
      <w:pPr>
        <w:pStyle w:val="25"/>
        <w:keepNext w:val="0"/>
        <w:keepLines w:val="0"/>
        <w:pageBreakBefore w:val="0"/>
        <w:kinsoku/>
        <w:wordWrap/>
        <w:overflowPunct/>
        <w:topLinePunct w:val="0"/>
        <w:autoSpaceDE/>
        <w:autoSpaceDN/>
        <w:bidi w:val="0"/>
        <w:snapToGrid w:val="0"/>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14:paraId="12F67666">
      <w:pPr>
        <w:pStyle w:val="25"/>
        <w:keepNext w:val="0"/>
        <w:keepLines w:val="0"/>
        <w:pageBreakBefore w:val="0"/>
        <w:kinsoku/>
        <w:wordWrap/>
        <w:overflowPunct/>
        <w:topLinePunct w:val="0"/>
        <w:autoSpaceDE/>
        <w:autoSpaceDN/>
        <w:bidi w:val="0"/>
        <w:snapToGrid w:val="0"/>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1E6B34AC">
      <w:pPr>
        <w:pStyle w:val="25"/>
        <w:keepNext w:val="0"/>
        <w:keepLines w:val="0"/>
        <w:pageBreakBefore w:val="0"/>
        <w:kinsoku/>
        <w:wordWrap/>
        <w:overflowPunct/>
        <w:topLinePunct w:val="0"/>
        <w:autoSpaceDE/>
        <w:autoSpaceDN/>
        <w:bidi w:val="0"/>
        <w:snapToGrid w:val="0"/>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应当将废标理由通知所有投标人。</w:t>
      </w:r>
    </w:p>
    <w:p w14:paraId="6328211D">
      <w:pPr>
        <w:pStyle w:val="25"/>
        <w:keepNext w:val="0"/>
        <w:keepLines w:val="0"/>
        <w:pageBreakBefore w:val="0"/>
        <w:kinsoku/>
        <w:wordWrap/>
        <w:overflowPunct/>
        <w:topLinePunct w:val="0"/>
        <w:autoSpaceDE/>
        <w:autoSpaceDN/>
        <w:bidi w:val="0"/>
        <w:snapToGrid w:val="0"/>
        <w:spacing w:line="360" w:lineRule="auto"/>
        <w:ind w:left="0" w:leftChars="0" w:firstLine="422"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确认后，将修改招标文件，重新组织采购活动。</w:t>
      </w:r>
    </w:p>
    <w:p w14:paraId="28D3FE4A">
      <w:pPr>
        <w:pStyle w:val="25"/>
        <w:keepNext w:val="0"/>
        <w:keepLines w:val="0"/>
        <w:pageBreakBefore w:val="0"/>
        <w:kinsoku/>
        <w:wordWrap/>
        <w:overflowPunct/>
        <w:topLinePunct w:val="0"/>
        <w:autoSpaceDE/>
        <w:autoSpaceDN/>
        <w:bidi w:val="0"/>
        <w:snapToGrid w:val="0"/>
        <w:spacing w:line="360" w:lineRule="auto"/>
        <w:ind w:left="0" w:leftChars="0" w:firstLine="422"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16C98FCF">
      <w:pPr>
        <w:pStyle w:val="25"/>
        <w:keepNext w:val="0"/>
        <w:keepLines w:val="0"/>
        <w:pageBreakBefore w:val="0"/>
        <w:kinsoku/>
        <w:wordWrap/>
        <w:overflowPunct/>
        <w:topLinePunct w:val="0"/>
        <w:autoSpaceDE/>
        <w:autoSpaceDN/>
        <w:bidi w:val="0"/>
        <w:snapToGrid w:val="0"/>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的，终止本次政府采购活动，重新开展政府采购活动。</w:t>
      </w:r>
    </w:p>
    <w:p w14:paraId="08E3ED16">
      <w:pPr>
        <w:pStyle w:val="25"/>
        <w:keepNext w:val="0"/>
        <w:keepLines w:val="0"/>
        <w:pageBreakBefore w:val="0"/>
        <w:kinsoku/>
        <w:wordWrap/>
        <w:overflowPunct/>
        <w:topLinePunct w:val="0"/>
        <w:autoSpaceDE/>
        <w:autoSpaceDN/>
        <w:bidi w:val="0"/>
        <w:snapToGrid w:val="0"/>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但尚未签订政府采购合同的，中标结果无效，从合格的中标候选人中另行确定</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；没有合格的中标候选人的，重新开展政府采购活动。</w:t>
      </w:r>
    </w:p>
    <w:p w14:paraId="729021F4">
      <w:pPr>
        <w:pStyle w:val="25"/>
        <w:keepNext w:val="0"/>
        <w:keepLines w:val="0"/>
        <w:pageBreakBefore w:val="0"/>
        <w:kinsoku/>
        <w:wordWrap/>
        <w:overflowPunct/>
        <w:topLinePunct w:val="0"/>
        <w:autoSpaceDE/>
        <w:autoSpaceDN/>
        <w:bidi w:val="0"/>
        <w:snapToGrid w:val="0"/>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；没有合格的中标候选人的，重新开展政府采购活动。</w:t>
      </w:r>
    </w:p>
    <w:p w14:paraId="6812147C">
      <w:pPr>
        <w:pStyle w:val="25"/>
        <w:keepNext w:val="0"/>
        <w:keepLines w:val="0"/>
        <w:pageBreakBefore w:val="0"/>
        <w:kinsoku/>
        <w:wordWrap/>
        <w:overflowPunct/>
        <w:topLinePunct w:val="0"/>
        <w:autoSpaceDE/>
        <w:autoSpaceDN/>
        <w:bidi w:val="0"/>
        <w:snapToGrid w:val="0"/>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159FFB4A">
      <w:pPr>
        <w:pStyle w:val="25"/>
        <w:keepNext w:val="0"/>
        <w:keepLines w:val="0"/>
        <w:pageBreakBefore w:val="0"/>
        <w:kinsoku/>
        <w:wordWrap/>
        <w:overflowPunct/>
        <w:topLinePunct w:val="0"/>
        <w:autoSpaceDE/>
        <w:autoSpaceDN/>
        <w:bidi w:val="0"/>
        <w:snapToGrid w:val="0"/>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4"/>
      <w:bookmarkStart w:id="411" w:name="第五部分"/>
      <w:bookmarkStart w:id="412" w:name="_Toc86217003"/>
    </w:p>
    <w:p w14:paraId="3870EBF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评标办法前附表</w:t>
      </w:r>
    </w:p>
    <w:tbl>
      <w:tblPr>
        <w:tblStyle w:val="64"/>
        <w:tblW w:w="993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28"/>
        <w:gridCol w:w="1079"/>
        <w:gridCol w:w="7723"/>
      </w:tblGrid>
      <w:tr w14:paraId="58A890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28" w:type="dxa"/>
            <w:vAlign w:val="center"/>
          </w:tcPr>
          <w:p w14:paraId="0C06E66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评审项目</w:t>
            </w:r>
          </w:p>
        </w:tc>
        <w:tc>
          <w:tcPr>
            <w:tcW w:w="8802" w:type="dxa"/>
            <w:gridSpan w:val="2"/>
            <w:vAlign w:val="center"/>
          </w:tcPr>
          <w:p w14:paraId="54C4A9D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评审因素的量化指标</w:t>
            </w:r>
          </w:p>
        </w:tc>
      </w:tr>
      <w:tr w14:paraId="7F694F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28" w:type="dxa"/>
            <w:vAlign w:val="center"/>
          </w:tcPr>
          <w:p w14:paraId="40CECAF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报价分</w:t>
            </w:r>
          </w:p>
          <w:p w14:paraId="4E26122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w:t>
            </w:r>
            <w:r>
              <w:rPr>
                <w:rFonts w:hint="eastAsia" w:ascii="宋体" w:hAnsi="宋体" w:cs="宋体"/>
                <w:b/>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color w:val="000000" w:themeColor="text1"/>
                <w:kern w:val="0"/>
                <w:sz w:val="21"/>
                <w:szCs w:val="21"/>
                <w:highlight w:val="none"/>
                <w14:textFill>
                  <w14:solidFill>
                    <w14:schemeClr w14:val="tx1"/>
                  </w14:solidFill>
                </w14:textFill>
              </w:rPr>
              <w:t>0分）</w:t>
            </w:r>
          </w:p>
        </w:tc>
        <w:tc>
          <w:tcPr>
            <w:tcW w:w="8802" w:type="dxa"/>
            <w:gridSpan w:val="2"/>
            <w:vAlign w:val="center"/>
          </w:tcPr>
          <w:p w14:paraId="1D74B663">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参与评审的价格=</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报价</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5FA1AE8E">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满足</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招标文件</w:t>
            </w:r>
            <w:r>
              <w:rPr>
                <w:rFonts w:hint="eastAsia" w:ascii="宋体" w:hAnsi="宋体" w:eastAsia="宋体" w:cs="宋体"/>
                <w:color w:val="000000" w:themeColor="text1"/>
                <w:kern w:val="0"/>
                <w:sz w:val="21"/>
                <w:szCs w:val="21"/>
                <w:highlight w:val="none"/>
                <w14:textFill>
                  <w14:solidFill>
                    <w14:schemeClr w14:val="tx1"/>
                  </w14:solidFill>
                </w14:textFill>
              </w:rPr>
              <w:t>要求的</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最终</w:t>
            </w:r>
            <w:r>
              <w:rPr>
                <w:rFonts w:hint="eastAsia" w:ascii="宋体" w:hAnsi="宋体" w:eastAsia="宋体" w:cs="宋体"/>
                <w:color w:val="000000" w:themeColor="text1"/>
                <w:kern w:val="0"/>
                <w:sz w:val="21"/>
                <w:szCs w:val="21"/>
                <w:highlight w:val="none"/>
                <w14:textFill>
                  <w14:solidFill>
                    <w14:schemeClr w14:val="tx1"/>
                  </w14:solidFill>
                </w14:textFill>
              </w:rPr>
              <w:t>有效</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报价</w:t>
            </w:r>
            <w:r>
              <w:rPr>
                <w:rFonts w:hint="eastAsia" w:ascii="宋体" w:hAnsi="宋体" w:eastAsia="宋体" w:cs="宋体"/>
                <w:color w:val="000000" w:themeColor="text1"/>
                <w:kern w:val="0"/>
                <w:sz w:val="21"/>
                <w:szCs w:val="21"/>
                <w:highlight w:val="none"/>
                <w14:textFill>
                  <w14:solidFill>
                    <w14:schemeClr w14:val="tx1"/>
                  </w14:solidFill>
                </w14:textFill>
              </w:rPr>
              <w:t>（初步评审合格且技术商务、报价部分评审合格）且参与评审的价格最低的为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评标</w:t>
            </w:r>
            <w:r>
              <w:rPr>
                <w:rFonts w:hint="eastAsia" w:ascii="宋体" w:hAnsi="宋体" w:eastAsia="宋体" w:cs="宋体"/>
                <w:color w:val="000000" w:themeColor="text1"/>
                <w:kern w:val="0"/>
                <w:sz w:val="21"/>
                <w:szCs w:val="21"/>
                <w:highlight w:val="none"/>
                <w14:textFill>
                  <w14:solidFill>
                    <w14:schemeClr w14:val="tx1"/>
                  </w14:solidFill>
                </w14:textFill>
              </w:rPr>
              <w:t>基准价，其价格分得</w:t>
            </w: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 xml:space="preserve">0分； </w:t>
            </w:r>
          </w:p>
          <w:p w14:paraId="6F1FC15E">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报价</w:t>
            </w:r>
            <w:r>
              <w:rPr>
                <w:rFonts w:hint="eastAsia" w:ascii="宋体" w:hAnsi="宋体" w:eastAsia="宋体" w:cs="宋体"/>
                <w:color w:val="000000" w:themeColor="text1"/>
                <w:kern w:val="0"/>
                <w:sz w:val="21"/>
                <w:szCs w:val="21"/>
                <w:highlight w:val="none"/>
                <w14:textFill>
                  <w14:solidFill>
                    <w14:schemeClr w14:val="tx1"/>
                  </w14:solidFill>
                </w14:textFill>
              </w:rPr>
              <w:t>得分=（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评标</w:t>
            </w:r>
            <w:r>
              <w:rPr>
                <w:rFonts w:hint="eastAsia" w:ascii="宋体" w:hAnsi="宋体" w:eastAsia="宋体" w:cs="宋体"/>
                <w:color w:val="000000" w:themeColor="text1"/>
                <w:kern w:val="0"/>
                <w:sz w:val="21"/>
                <w:szCs w:val="21"/>
                <w:highlight w:val="none"/>
                <w14:textFill>
                  <w14:solidFill>
                    <w14:schemeClr w14:val="tx1"/>
                  </w14:solidFill>
                </w14:textFill>
              </w:rPr>
              <w:t>基准价/参与评审的</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有效报价</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0%×100。</w:t>
            </w:r>
          </w:p>
          <w:p w14:paraId="181E3492">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注：投标价得分四舍五入保留两位小数。</w:t>
            </w:r>
          </w:p>
        </w:tc>
      </w:tr>
      <w:tr w14:paraId="59C897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28" w:type="dxa"/>
            <w:vMerge w:val="restart"/>
            <w:vAlign w:val="center"/>
          </w:tcPr>
          <w:p w14:paraId="32666B1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商务技术分（</w:t>
            </w:r>
            <w:r>
              <w:rPr>
                <w:rFonts w:hint="eastAsia" w:ascii="宋体" w:hAnsi="宋体" w:cs="宋体"/>
                <w:b/>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color w:val="000000" w:themeColor="text1"/>
                <w:kern w:val="0"/>
                <w:sz w:val="21"/>
                <w:szCs w:val="21"/>
                <w:highlight w:val="none"/>
                <w14:textFill>
                  <w14:solidFill>
                    <w14:schemeClr w14:val="tx1"/>
                  </w14:solidFill>
                </w14:textFill>
              </w:rPr>
              <w:t>0分）</w:t>
            </w:r>
          </w:p>
        </w:tc>
        <w:tc>
          <w:tcPr>
            <w:tcW w:w="1079" w:type="dxa"/>
            <w:vAlign w:val="center"/>
          </w:tcPr>
          <w:p w14:paraId="65F7B78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同类项目业绩</w:t>
            </w:r>
          </w:p>
          <w:p w14:paraId="63A7339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7723" w:type="dxa"/>
            <w:vAlign w:val="center"/>
          </w:tcPr>
          <w:p w14:paraId="1CCB19F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供应商提供自202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年1月1日以来的同类项目业绩（软件开发类），每个业绩得1分，本项最高得</w:t>
            </w: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00A5D37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备注</w:t>
            </w:r>
            <w:r>
              <w:rPr>
                <w:rFonts w:hint="eastAsia" w:ascii="宋体" w:hAnsi="宋体" w:eastAsia="宋体" w:cs="宋体"/>
                <w:b/>
                <w:color w:val="000000" w:themeColor="text1"/>
                <w:kern w:val="0"/>
                <w:sz w:val="21"/>
                <w:szCs w:val="21"/>
                <w:highlight w:val="none"/>
                <w14:textFill>
                  <w14:solidFill>
                    <w14:schemeClr w14:val="tx1"/>
                  </w14:solidFill>
                </w14:textFill>
              </w:rPr>
              <w:t>：①响应文件中提供同类项目业绩合同复印件；②时间以合同签订日期为准；③同一个合同中含有多个项目的，按一个业绩认定；④与同一个客户签订的多个项目名称相近的合同（如同一项目下的续签合同），如不能提供证明材料证明是单独项目合同的，按一个业绩认定。</w:t>
            </w:r>
          </w:p>
        </w:tc>
      </w:tr>
      <w:tr w14:paraId="440DF5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28" w:type="dxa"/>
            <w:vMerge w:val="continue"/>
            <w:vAlign w:val="center"/>
          </w:tcPr>
          <w:p w14:paraId="372C76C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1079" w:type="dxa"/>
            <w:vAlign w:val="center"/>
          </w:tcPr>
          <w:p w14:paraId="3448886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证书</w:t>
            </w:r>
          </w:p>
          <w:p w14:paraId="7C78E8A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7723" w:type="dxa"/>
            <w:vAlign w:val="center"/>
          </w:tcPr>
          <w:p w14:paraId="65B747C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（1）供应商具有信息技术服务管理体系认证证书的得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分，本项最高得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11E651B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（2）供应商具有信息安全管理体系认证证书的得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分，本项最高得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5ADF3C1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（3）供应商具有</w:t>
            </w:r>
            <w:r>
              <w:rPr>
                <w:rFonts w:hint="eastAsia" w:ascii="宋体" w:hAnsi="宋体" w:cs="宋体"/>
                <w:sz w:val="21"/>
                <w:szCs w:val="21"/>
                <w:highlight w:val="none"/>
                <w:lang w:val="en-US" w:eastAsia="zh-CN"/>
              </w:rPr>
              <w:t>气象数据专业相关</w:t>
            </w:r>
            <w:r>
              <w:rPr>
                <w:rFonts w:hint="eastAsia" w:ascii="宋体" w:hAnsi="宋体" w:eastAsia="宋体" w:cs="宋体"/>
                <w:color w:val="000000" w:themeColor="text1"/>
                <w:kern w:val="0"/>
                <w:sz w:val="21"/>
                <w:szCs w:val="21"/>
                <w:highlight w:val="none"/>
                <w14:textFill>
                  <w14:solidFill>
                    <w14:schemeClr w14:val="tx1"/>
                  </w14:solidFill>
                </w14:textFill>
              </w:rPr>
              <w:t>的计算机软件著作权登记证书的每个得1分，本项最高得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5804C87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备注：提供有效证书复印件并加盖单位公章。</w:t>
            </w:r>
          </w:p>
        </w:tc>
      </w:tr>
      <w:tr w14:paraId="5CA9F1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28" w:type="dxa"/>
            <w:vMerge w:val="continue"/>
            <w:vAlign w:val="center"/>
          </w:tcPr>
          <w:p w14:paraId="53377DC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1079" w:type="dxa"/>
            <w:vMerge w:val="restart"/>
            <w:vAlign w:val="center"/>
          </w:tcPr>
          <w:p w14:paraId="023249E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工作人员综合情况</w:t>
            </w:r>
          </w:p>
          <w:p w14:paraId="260120C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7723" w:type="dxa"/>
            <w:vAlign w:val="center"/>
          </w:tcPr>
          <w:p w14:paraId="2754FC0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kern w:val="0"/>
                <w:sz w:val="21"/>
                <w:szCs w:val="21"/>
                <w:highlight w:val="none"/>
                <w:lang w:val="zh-CN" w:bidi="ar"/>
              </w:rPr>
            </w:pPr>
            <w:r>
              <w:rPr>
                <w:rFonts w:hint="eastAsia" w:ascii="宋体" w:hAnsi="宋体" w:eastAsia="宋体" w:cs="宋体"/>
                <w:b/>
                <w:bCs/>
                <w:kern w:val="0"/>
                <w:sz w:val="21"/>
                <w:szCs w:val="21"/>
                <w:highlight w:val="none"/>
                <w:lang w:val="zh-CN" w:bidi="ar"/>
              </w:rPr>
              <w:t>项目组成员（</w:t>
            </w:r>
            <w:r>
              <w:rPr>
                <w:rFonts w:hint="eastAsia" w:ascii="宋体" w:hAnsi="宋体" w:eastAsia="宋体" w:cs="宋体"/>
                <w:b/>
                <w:bCs/>
                <w:kern w:val="0"/>
                <w:sz w:val="21"/>
                <w:szCs w:val="21"/>
                <w:highlight w:val="none"/>
                <w:lang w:val="en-US" w:eastAsia="zh-CN" w:bidi="ar"/>
              </w:rPr>
              <w:t>2</w:t>
            </w:r>
            <w:r>
              <w:rPr>
                <w:rFonts w:hint="eastAsia" w:ascii="宋体" w:hAnsi="宋体" w:eastAsia="宋体" w:cs="宋体"/>
                <w:b/>
                <w:bCs/>
                <w:kern w:val="0"/>
                <w:sz w:val="21"/>
                <w:szCs w:val="21"/>
                <w:highlight w:val="none"/>
                <w:lang w:val="zh-CN" w:bidi="ar"/>
              </w:rPr>
              <w:t>分）</w:t>
            </w:r>
          </w:p>
          <w:p w14:paraId="69E34F9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项目组成员具有信息系统项目管理师（高级）证书的得2分，本项最高得2分。</w:t>
            </w:r>
          </w:p>
          <w:p w14:paraId="213EF73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备注</w:t>
            </w:r>
            <w:r>
              <w:rPr>
                <w:rFonts w:hint="eastAsia" w:ascii="宋体" w:hAnsi="宋体" w:eastAsia="宋体" w:cs="宋体"/>
                <w:b/>
                <w:color w:val="000000" w:themeColor="text1"/>
                <w:kern w:val="0"/>
                <w:sz w:val="21"/>
                <w:szCs w:val="21"/>
                <w:highlight w:val="none"/>
                <w14:textFill>
                  <w14:solidFill>
                    <w14:schemeClr w14:val="tx1"/>
                  </w14:solidFill>
                </w14:textFill>
              </w:rPr>
              <w:t>：①响应文件中提供证书复印件；②</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提供由社保部门出具的供应商为相关人员缴纳的近三个月的</w:t>
            </w:r>
            <w:r>
              <w:rPr>
                <w:rFonts w:hint="eastAsia" w:ascii="宋体" w:hAnsi="宋体" w:cs="宋体"/>
                <w:b/>
                <w:color w:val="000000" w:themeColor="text1"/>
                <w:kern w:val="0"/>
                <w:sz w:val="21"/>
                <w:szCs w:val="21"/>
                <w:highlight w:val="none"/>
                <w:lang w:val="en-US" w:eastAsia="zh-CN"/>
                <w14:textFill>
                  <w14:solidFill>
                    <w14:schemeClr w14:val="tx1"/>
                  </w14:solidFill>
                </w14:textFill>
              </w:rPr>
              <w:t>任意一个月的</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参保证明（社保缴纳单位应与供应商名称保持一致）并加盖公章</w:t>
            </w:r>
            <w:r>
              <w:rPr>
                <w:rFonts w:hint="eastAsia" w:ascii="宋体" w:hAnsi="宋体" w:eastAsia="宋体" w:cs="宋体"/>
                <w:b/>
                <w:color w:val="000000" w:themeColor="text1"/>
                <w:kern w:val="0"/>
                <w:sz w:val="21"/>
                <w:szCs w:val="21"/>
                <w:highlight w:val="none"/>
                <w14:textFill>
                  <w14:solidFill>
                    <w14:schemeClr w14:val="tx1"/>
                  </w14:solidFill>
                </w14:textFill>
              </w:rPr>
              <w:t>。</w:t>
            </w:r>
          </w:p>
        </w:tc>
      </w:tr>
      <w:tr w14:paraId="62624E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128" w:type="dxa"/>
            <w:vMerge w:val="continue"/>
            <w:vAlign w:val="center"/>
          </w:tcPr>
          <w:p w14:paraId="1E4AE43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1079" w:type="dxa"/>
            <w:vMerge w:val="continue"/>
            <w:vAlign w:val="center"/>
          </w:tcPr>
          <w:p w14:paraId="5C8C4BA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7723" w:type="dxa"/>
            <w:vAlign w:val="center"/>
          </w:tcPr>
          <w:p w14:paraId="578A52E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评审小组</w:t>
            </w:r>
            <w:r>
              <w:rPr>
                <w:rFonts w:hint="eastAsia" w:ascii="宋体" w:hAnsi="宋体" w:eastAsia="宋体" w:cs="宋体"/>
                <w:color w:val="000000" w:themeColor="text1"/>
                <w:kern w:val="0"/>
                <w:sz w:val="21"/>
                <w:szCs w:val="21"/>
                <w:highlight w:val="none"/>
                <w14:textFill>
                  <w14:solidFill>
                    <w14:schemeClr w14:val="tx1"/>
                  </w14:solidFill>
                </w14:textFill>
              </w:rPr>
              <w:t>对“项目管理人员是否具有调动供应商各项资源能力、对项目组成员的协调管理能力、专业素质、技术能力、工作经验”及“项目组成员的专业素质、技术能力、工作经验”的综合优质情况进行</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综合评议</w:t>
            </w:r>
            <w:r>
              <w:rPr>
                <w:rFonts w:hint="eastAsia" w:ascii="宋体" w:hAnsi="宋体" w:eastAsia="宋体" w:cs="宋体"/>
                <w:color w:val="000000" w:themeColor="text1"/>
                <w:kern w:val="0"/>
                <w:sz w:val="21"/>
                <w:szCs w:val="21"/>
                <w:highlight w:val="none"/>
                <w14:textFill>
                  <w14:solidFill>
                    <w14:schemeClr w14:val="tx1"/>
                  </w14:solidFill>
                </w14:textFill>
              </w:rPr>
              <w:t>本项最高得</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rPr>
              <w:t>未提供不得分。</w:t>
            </w:r>
          </w:p>
          <w:p w14:paraId="2C16A9DF">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人员数量充足、岗位安排合理、工作经验丰富的，得5分；</w:t>
            </w:r>
          </w:p>
          <w:p w14:paraId="6A604F6F">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人员数量较足、岗位安排较合理、工作经验较丰富的，得4分；</w:t>
            </w:r>
          </w:p>
          <w:p w14:paraId="1066D23A">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人员数量一般、岗位安排普通、工作经验一般的，得3分；</w:t>
            </w:r>
          </w:p>
          <w:p w14:paraId="7DEDFE8D">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人员数量较少、岗位安排不太合理、工作经验较少的，得2分；</w:t>
            </w:r>
          </w:p>
          <w:p w14:paraId="4ED238A2">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人员配备不齐全、岗位安排不可行、缺少工作经验的，得1分；</w:t>
            </w:r>
          </w:p>
          <w:p w14:paraId="38D2C47E">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未提供相关内容的不得分。</w:t>
            </w:r>
          </w:p>
          <w:p w14:paraId="0CCFC51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备注：投标文件中提供相关证明资料。</w:t>
            </w:r>
          </w:p>
        </w:tc>
      </w:tr>
      <w:tr w14:paraId="3F450D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5" w:hRule="atLeast"/>
          <w:jc w:val="center"/>
        </w:trPr>
        <w:tc>
          <w:tcPr>
            <w:tcW w:w="1128" w:type="dxa"/>
            <w:vMerge w:val="continue"/>
            <w:vAlign w:val="center"/>
          </w:tcPr>
          <w:p w14:paraId="610A227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1079" w:type="dxa"/>
            <w:vAlign w:val="center"/>
          </w:tcPr>
          <w:p w14:paraId="06DB27E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项目理解分析</w:t>
            </w:r>
          </w:p>
          <w:p w14:paraId="695EEC5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7723" w:type="dxa"/>
            <w:shd w:val="clear" w:color="auto" w:fill="FEFEFE"/>
            <w:vAlign w:val="center"/>
          </w:tcPr>
          <w:p w14:paraId="6C8F5DF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根据供应商对本项目现状及需求分析</w:t>
            </w:r>
            <w:r>
              <w:rPr>
                <w:rFonts w:hint="eastAsia" w:ascii="宋体" w:hAnsi="宋体" w:eastAsia="宋体" w:cs="宋体"/>
                <w:color w:val="auto"/>
                <w:sz w:val="21"/>
                <w:szCs w:val="21"/>
                <w:highlight w:val="none"/>
                <w:lang w:val="en-US" w:eastAsia="zh-CN"/>
              </w:rPr>
              <w:t>及</w:t>
            </w:r>
            <w:r>
              <w:rPr>
                <w:rFonts w:hint="eastAsia" w:ascii="宋体" w:hAnsi="宋体" w:eastAsia="宋体" w:cs="宋体"/>
                <w:kern w:val="0"/>
                <w:sz w:val="21"/>
                <w:szCs w:val="21"/>
                <w:highlight w:val="none"/>
              </w:rPr>
              <w:t>系统总体设计的科学性</w:t>
            </w:r>
            <w:r>
              <w:rPr>
                <w:rFonts w:hint="eastAsia" w:ascii="宋体" w:hAnsi="宋体" w:eastAsia="宋体" w:cs="宋体"/>
                <w:color w:val="auto"/>
                <w:sz w:val="21"/>
                <w:szCs w:val="21"/>
                <w:highlight w:val="none"/>
              </w:rPr>
              <w:t>进行综合评分。</w:t>
            </w:r>
          </w:p>
          <w:p w14:paraId="3CD669D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对项目现状及需求的理解分析条理清晰，</w:t>
            </w:r>
            <w:r>
              <w:rPr>
                <w:rFonts w:hint="eastAsia" w:ascii="宋体" w:hAnsi="宋体" w:eastAsia="宋体" w:cs="宋体"/>
                <w:kern w:val="0"/>
                <w:sz w:val="21"/>
                <w:szCs w:val="21"/>
                <w:highlight w:val="none"/>
              </w:rPr>
              <w:t>系统总体设计</w:t>
            </w:r>
            <w:r>
              <w:rPr>
                <w:rFonts w:hint="eastAsia" w:ascii="宋体" w:hAnsi="宋体" w:eastAsia="宋体" w:cs="宋体"/>
                <w:color w:val="auto"/>
                <w:sz w:val="21"/>
                <w:szCs w:val="21"/>
                <w:highlight w:val="none"/>
              </w:rPr>
              <w:t>具有前瞻性且与项目采购需求相符合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CE5A0D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对项目现状及需求理解分析条理较为清晰、较为全面,内容基本涉及项目需求的得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F9F178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对项目现状及需求的理解分析</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w:t>
            </w:r>
            <w:r>
              <w:rPr>
                <w:rFonts w:hint="eastAsia" w:ascii="宋体" w:hAnsi="宋体" w:eastAsia="宋体" w:cs="宋体"/>
                <w:kern w:val="0"/>
                <w:sz w:val="21"/>
                <w:szCs w:val="21"/>
                <w:highlight w:val="none"/>
              </w:rPr>
              <w:t>系统总体设计</w:t>
            </w:r>
            <w:r>
              <w:rPr>
                <w:rFonts w:hint="eastAsia" w:ascii="宋体" w:hAnsi="宋体" w:cs="宋体"/>
                <w:color w:val="auto"/>
                <w:sz w:val="21"/>
                <w:szCs w:val="21"/>
                <w:highlight w:val="none"/>
                <w:lang w:val="en-US" w:eastAsia="zh-CN"/>
              </w:rPr>
              <w:t>内容简单笼统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10DB23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对项目现状及需求的理解分析条理清晰，</w:t>
            </w:r>
            <w:r>
              <w:rPr>
                <w:rFonts w:hint="eastAsia" w:ascii="宋体" w:hAnsi="宋体" w:eastAsia="宋体" w:cs="宋体"/>
                <w:kern w:val="0"/>
                <w:sz w:val="21"/>
                <w:szCs w:val="21"/>
                <w:highlight w:val="none"/>
              </w:rPr>
              <w:t>系统总体设计</w:t>
            </w:r>
            <w:r>
              <w:rPr>
                <w:rFonts w:hint="eastAsia" w:ascii="宋体" w:hAnsi="宋体" w:cs="宋体"/>
                <w:color w:val="auto"/>
                <w:sz w:val="21"/>
                <w:szCs w:val="21"/>
                <w:highlight w:val="none"/>
                <w:lang w:val="en-US" w:eastAsia="zh-CN"/>
              </w:rPr>
              <w:t>简单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3E939C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对项目理解分析片面，条理清不够晰，内容偏离了项目需求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552FD74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未提供相关内容的不得分。</w:t>
            </w:r>
          </w:p>
        </w:tc>
      </w:tr>
      <w:tr w14:paraId="28F411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5" w:hRule="atLeast"/>
          <w:jc w:val="center"/>
        </w:trPr>
        <w:tc>
          <w:tcPr>
            <w:tcW w:w="1128" w:type="dxa"/>
            <w:vMerge w:val="continue"/>
            <w:vAlign w:val="center"/>
          </w:tcPr>
          <w:p w14:paraId="4EF7F184">
            <w:pPr>
              <w:keepNext w:val="0"/>
              <w:keepLines w:val="0"/>
              <w:pageBreakBefore w:val="0"/>
              <w:widowControl w:val="0"/>
              <w:kinsoku/>
              <w:wordWrap/>
              <w:overflowPunct/>
              <w:topLinePunct w:val="0"/>
              <w:autoSpaceDE/>
              <w:autoSpaceDN/>
              <w:bidi w:val="0"/>
              <w:adjustRightInd w:val="0"/>
              <w:snapToGrid/>
              <w:spacing w:line="440" w:lineRule="exact"/>
              <w:textAlignment w:val="auto"/>
              <w:rPr>
                <w:highlight w:val="none"/>
              </w:rPr>
            </w:pPr>
          </w:p>
        </w:tc>
        <w:tc>
          <w:tcPr>
            <w:tcW w:w="1079" w:type="dxa"/>
            <w:shd w:val="clear" w:color="auto" w:fill="auto"/>
            <w:vAlign w:val="center"/>
          </w:tcPr>
          <w:p w14:paraId="0C35170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bookmarkStart w:id="413" w:name="_Hlk58598833"/>
            <w:r>
              <w:rPr>
                <w:rFonts w:hint="eastAsia" w:ascii="宋体" w:hAnsi="宋体" w:eastAsia="宋体" w:cs="宋体"/>
                <w:color w:val="auto"/>
                <w:sz w:val="21"/>
                <w:szCs w:val="21"/>
                <w:highlight w:val="none"/>
                <w:lang w:val="en-US" w:eastAsia="zh-CN"/>
              </w:rPr>
              <w:t>合理化建议</w:t>
            </w:r>
            <w:bookmarkEnd w:id="413"/>
          </w:p>
          <w:p w14:paraId="5443904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7723" w:type="dxa"/>
            <w:shd w:val="clear" w:color="auto" w:fill="FEFEFE"/>
            <w:vAlign w:val="center"/>
          </w:tcPr>
          <w:p w14:paraId="15C4AF91">
            <w:pPr>
              <w:spacing w:line="400" w:lineRule="exact"/>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sz w:val="21"/>
                <w:szCs w:val="21"/>
                <w:highlight w:val="none"/>
              </w:rPr>
              <w:t>供应商从项目的实际情况考虑，提供有针对性的合理化建议</w:t>
            </w:r>
            <w:r>
              <w:rPr>
                <w:rFonts w:hint="eastAsia" w:ascii="宋体" w:hAnsi="宋体" w:eastAsia="宋体" w:cs="宋体"/>
                <w:b w:val="0"/>
                <w:bCs w:val="0"/>
                <w:kern w:val="0"/>
                <w:sz w:val="21"/>
                <w:szCs w:val="21"/>
                <w:highlight w:val="none"/>
              </w:rPr>
              <w:t>或其他优化服务承诺</w:t>
            </w:r>
            <w:r>
              <w:rPr>
                <w:rFonts w:hint="eastAsia" w:ascii="宋体" w:hAnsi="宋体" w:eastAsia="宋体" w:cs="宋体"/>
                <w:b w:val="0"/>
                <w:bCs w:val="0"/>
                <w:color w:val="000000"/>
                <w:sz w:val="21"/>
                <w:szCs w:val="21"/>
                <w:highlight w:val="none"/>
              </w:rPr>
              <w:t>，根据合理化建议</w:t>
            </w:r>
            <w:r>
              <w:rPr>
                <w:rFonts w:hint="eastAsia" w:ascii="宋体" w:hAnsi="宋体" w:eastAsia="宋体" w:cs="宋体"/>
                <w:b w:val="0"/>
                <w:bCs w:val="0"/>
                <w:kern w:val="0"/>
                <w:sz w:val="21"/>
                <w:szCs w:val="21"/>
                <w:highlight w:val="none"/>
              </w:rPr>
              <w:t>或其他优化服务承诺</w:t>
            </w:r>
            <w:r>
              <w:rPr>
                <w:rFonts w:hint="eastAsia" w:ascii="宋体" w:hAnsi="宋体" w:eastAsia="宋体" w:cs="宋体"/>
                <w:b w:val="0"/>
                <w:bCs w:val="0"/>
                <w:color w:val="000000"/>
                <w:sz w:val="21"/>
                <w:szCs w:val="21"/>
                <w:highlight w:val="none"/>
              </w:rPr>
              <w:t>的合理性、可行性进行综合评分</w:t>
            </w:r>
            <w:r>
              <w:rPr>
                <w:rFonts w:hint="eastAsia" w:ascii="宋体" w:hAnsi="宋体" w:eastAsia="宋体" w:cs="宋体"/>
                <w:b w:val="0"/>
                <w:bCs w:val="0"/>
                <w:color w:val="000000"/>
                <w:sz w:val="21"/>
                <w:szCs w:val="21"/>
                <w:highlight w:val="none"/>
                <w:lang w:eastAsia="zh-CN"/>
              </w:rPr>
              <w:t>。</w:t>
            </w:r>
          </w:p>
          <w:p w14:paraId="7AA414ED">
            <w:pPr>
              <w:widowControl/>
              <w:numPr>
                <w:ilvl w:val="0"/>
                <w:numId w:val="0"/>
              </w:num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rPr>
              <w:t>针对项目实施过程中</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提供的</w:t>
            </w:r>
            <w:r>
              <w:rPr>
                <w:rFonts w:hint="eastAsia" w:ascii="宋体" w:hAnsi="宋体" w:eastAsia="宋体" w:cs="宋体"/>
                <w:kern w:val="0"/>
                <w:sz w:val="21"/>
                <w:szCs w:val="21"/>
                <w:highlight w:val="none"/>
              </w:rPr>
              <w:t>合理化建议具有实用性、针对性，</w:t>
            </w:r>
            <w:r>
              <w:rPr>
                <w:rFonts w:hint="eastAsia" w:ascii="宋体" w:hAnsi="宋体" w:eastAsia="宋体" w:cs="宋体"/>
                <w:sz w:val="21"/>
                <w:szCs w:val="21"/>
                <w:highlight w:val="none"/>
              </w:rPr>
              <w:t>服务承诺具有可行性、实用性</w:t>
            </w:r>
            <w:r>
              <w:rPr>
                <w:rFonts w:hint="eastAsia" w:ascii="宋体" w:hAnsi="宋体" w:eastAsia="宋体" w:cs="宋体"/>
                <w:sz w:val="21"/>
                <w:szCs w:val="21"/>
                <w:highlight w:val="none"/>
                <w:lang w:val="en-US" w:eastAsia="zh-CN"/>
              </w:rPr>
              <w:t>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w:t>
            </w:r>
          </w:p>
          <w:p w14:paraId="190CC18C">
            <w:pPr>
              <w:widowControl/>
              <w:numPr>
                <w:ilvl w:val="0"/>
                <w:numId w:val="0"/>
              </w:numPr>
              <w:spacing w:line="400" w:lineRule="exac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针对项目实施过程中，提供的合理化建议与服务承诺相对具有实用性、针对性的得4分。</w:t>
            </w:r>
          </w:p>
          <w:p w14:paraId="6CC224AB">
            <w:pPr>
              <w:widowControl/>
              <w:numPr>
                <w:ilvl w:val="0"/>
                <w:numId w:val="0"/>
              </w:numPr>
              <w:spacing w:line="400" w:lineRule="exact"/>
              <w:rPr>
                <w:rFonts w:hint="default" w:ascii="宋体" w:hAnsi="宋体" w:eastAsia="宋体" w:cs="宋体"/>
                <w:kern w:val="0"/>
                <w:sz w:val="21"/>
                <w:szCs w:val="21"/>
                <w:highlight w:val="none"/>
                <w:lang w:val="en-US"/>
              </w:rPr>
            </w:pPr>
            <w:r>
              <w:rPr>
                <w:rFonts w:hint="eastAsia" w:ascii="宋体" w:hAnsi="宋体" w:eastAsia="宋体" w:cs="宋体"/>
                <w:kern w:val="0"/>
                <w:sz w:val="21"/>
                <w:szCs w:val="21"/>
                <w:highlight w:val="none"/>
              </w:rPr>
              <w:t>针对项目实施过程中</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提供的</w:t>
            </w:r>
            <w:r>
              <w:rPr>
                <w:rFonts w:hint="eastAsia" w:ascii="宋体" w:hAnsi="宋体" w:eastAsia="宋体" w:cs="宋体"/>
                <w:kern w:val="0"/>
                <w:sz w:val="21"/>
                <w:szCs w:val="21"/>
                <w:highlight w:val="none"/>
              </w:rPr>
              <w:t>合理化建议</w:t>
            </w:r>
            <w:r>
              <w:rPr>
                <w:rFonts w:hint="eastAsia" w:ascii="宋体" w:hAnsi="宋体" w:eastAsia="宋体" w:cs="宋体"/>
                <w:kern w:val="0"/>
                <w:sz w:val="21"/>
                <w:szCs w:val="21"/>
                <w:highlight w:val="none"/>
                <w:lang w:val="en-US" w:eastAsia="zh-CN"/>
              </w:rPr>
              <w:t>与服务承诺有一定可行性、实用性，能够符合采购人基本需求的得3分。</w:t>
            </w:r>
          </w:p>
          <w:p w14:paraId="1FD2AB57">
            <w:pPr>
              <w:widowControl/>
              <w:numPr>
                <w:ilvl w:val="0"/>
                <w:numId w:val="0"/>
              </w:numPr>
              <w:spacing w:line="400" w:lineRule="exac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针对项目实施过程中，合理化建议与服务承诺可行性不强，考虑不够全面，基本符合采购人需求的得2分。</w:t>
            </w:r>
          </w:p>
          <w:p w14:paraId="02872A87">
            <w:pPr>
              <w:widowControl/>
              <w:numPr>
                <w:ilvl w:val="0"/>
                <w:numId w:val="0"/>
              </w:numPr>
              <w:spacing w:line="400" w:lineRule="exac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针对项目实施过程中，合理化建议存在明显缺陷或服务承诺无法满足采购人需求的得1分。</w:t>
            </w:r>
          </w:p>
          <w:p w14:paraId="34F70773">
            <w:pPr>
              <w:widowControl/>
              <w:numPr>
                <w:ilvl w:val="0"/>
                <w:numId w:val="0"/>
              </w:numPr>
              <w:spacing w:line="400" w:lineRule="exac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未提供相关内容的不得分。</w:t>
            </w:r>
          </w:p>
        </w:tc>
      </w:tr>
      <w:tr w14:paraId="2C0487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28" w:type="dxa"/>
            <w:vMerge w:val="continue"/>
            <w:vAlign w:val="center"/>
          </w:tcPr>
          <w:p w14:paraId="4461793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1079" w:type="dxa"/>
            <w:vMerge w:val="restart"/>
            <w:vAlign w:val="center"/>
          </w:tcPr>
          <w:p w14:paraId="6029D8A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技术方案</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7723" w:type="dxa"/>
            <w:shd w:val="clear" w:color="auto" w:fill="FEFEFE"/>
            <w:vAlign w:val="center"/>
          </w:tcPr>
          <w:p w14:paraId="7679663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对气象监测数据综合查询显示</w:t>
            </w:r>
            <w:r>
              <w:rPr>
                <w:rFonts w:hint="eastAsia" w:ascii="宋体" w:hAnsi="宋体" w:eastAsia="宋体" w:cs="宋体"/>
                <w:color w:val="auto"/>
                <w:sz w:val="21"/>
                <w:szCs w:val="21"/>
                <w:highlight w:val="none"/>
              </w:rPr>
              <w:t>模块技术方案进行综合评分。</w:t>
            </w:r>
          </w:p>
          <w:p w14:paraId="48BE2C6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方案完整，描述具体详细，提供系统高保设计图，与采购需求相符的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C42CA5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方案较为完整，描述较为具体详细，提供系统设计草图，较符合本项目采购需求的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503648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，描述较为详细，系统设计</w:t>
            </w:r>
            <w:r>
              <w:rPr>
                <w:rFonts w:hint="eastAsia" w:ascii="宋体" w:hAnsi="宋体" w:cs="宋体"/>
                <w:color w:val="auto"/>
                <w:sz w:val="21"/>
                <w:szCs w:val="21"/>
                <w:highlight w:val="none"/>
                <w:lang w:val="en-US" w:eastAsia="zh-CN"/>
              </w:rPr>
              <w:t>图基本</w:t>
            </w:r>
            <w:r>
              <w:rPr>
                <w:rFonts w:hint="eastAsia" w:ascii="宋体" w:hAnsi="宋体" w:eastAsia="宋体" w:cs="宋体"/>
                <w:color w:val="auto"/>
                <w:sz w:val="21"/>
                <w:szCs w:val="21"/>
                <w:highlight w:val="none"/>
              </w:rPr>
              <w:t>符合本项目采购需求的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805B6F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方案</w:t>
            </w:r>
            <w:r>
              <w:rPr>
                <w:rFonts w:hint="eastAsia" w:ascii="宋体" w:hAnsi="宋体" w:cs="宋体"/>
                <w:color w:val="auto"/>
                <w:sz w:val="21"/>
                <w:szCs w:val="21"/>
                <w:highlight w:val="none"/>
                <w:lang w:val="en-US" w:eastAsia="zh-CN"/>
              </w:rPr>
              <w:t>简单</w:t>
            </w:r>
            <w:r>
              <w:rPr>
                <w:rFonts w:hint="eastAsia" w:ascii="宋体" w:hAnsi="宋体" w:eastAsia="宋体" w:cs="宋体"/>
                <w:color w:val="auto"/>
                <w:sz w:val="21"/>
                <w:szCs w:val="21"/>
                <w:highlight w:val="none"/>
              </w:rPr>
              <w:t>，描述</w:t>
            </w:r>
            <w:r>
              <w:rPr>
                <w:rFonts w:hint="eastAsia" w:ascii="宋体" w:hAnsi="宋体" w:cs="宋体"/>
                <w:color w:val="auto"/>
                <w:sz w:val="21"/>
                <w:szCs w:val="21"/>
                <w:highlight w:val="none"/>
                <w:lang w:val="en-US" w:eastAsia="zh-CN"/>
              </w:rPr>
              <w:t>简略</w:t>
            </w:r>
            <w:r>
              <w:rPr>
                <w:rFonts w:hint="eastAsia" w:ascii="宋体" w:hAnsi="宋体" w:eastAsia="宋体" w:cs="宋体"/>
                <w:color w:val="auto"/>
                <w:sz w:val="21"/>
                <w:szCs w:val="21"/>
                <w:highlight w:val="none"/>
              </w:rPr>
              <w:t>，系统设计</w:t>
            </w:r>
            <w:r>
              <w:rPr>
                <w:rFonts w:hint="eastAsia" w:ascii="宋体" w:hAnsi="宋体" w:cs="宋体"/>
                <w:color w:val="auto"/>
                <w:sz w:val="21"/>
                <w:szCs w:val="21"/>
                <w:highlight w:val="none"/>
                <w:lang w:val="en-US" w:eastAsia="zh-CN"/>
              </w:rPr>
              <w:t>图较为简单</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勉强</w:t>
            </w:r>
            <w:r>
              <w:rPr>
                <w:rFonts w:hint="eastAsia" w:ascii="宋体" w:hAnsi="宋体" w:eastAsia="宋体" w:cs="宋体"/>
                <w:color w:val="auto"/>
                <w:sz w:val="21"/>
                <w:szCs w:val="21"/>
                <w:highlight w:val="none"/>
              </w:rPr>
              <w:t>符合本项目采购需求的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B494BB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方案笼统，描述不够清晰，未提供设计图纸，偏离了项目需求的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37DEBD8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i w:val="0"/>
                <w:iCs w:val="0"/>
                <w:color w:val="000000"/>
                <w:spacing w:val="-4"/>
                <w:kern w:val="0"/>
                <w:sz w:val="21"/>
                <w:szCs w:val="21"/>
                <w:highlight w:val="none"/>
                <w:u w:val="none"/>
                <w:lang w:val="en-US" w:eastAsia="zh-CN" w:bidi="ar"/>
              </w:rPr>
            </w:pPr>
            <w:r>
              <w:rPr>
                <w:rFonts w:hint="eastAsia" w:ascii="宋体" w:hAnsi="宋体" w:cs="宋体"/>
                <w:color w:val="auto"/>
                <w:sz w:val="21"/>
                <w:szCs w:val="21"/>
                <w:highlight w:val="none"/>
                <w:lang w:val="en-US" w:eastAsia="zh-CN"/>
              </w:rPr>
              <w:t>未提供相关内容的不得分。</w:t>
            </w:r>
          </w:p>
        </w:tc>
      </w:tr>
      <w:tr w14:paraId="35FCC9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28" w:type="dxa"/>
            <w:vMerge w:val="continue"/>
            <w:vAlign w:val="center"/>
          </w:tcPr>
          <w:p w14:paraId="1D0E1A4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1079" w:type="dxa"/>
            <w:vMerge w:val="continue"/>
            <w:vAlign w:val="center"/>
          </w:tcPr>
          <w:p w14:paraId="5AC02A6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7723" w:type="dxa"/>
            <w:shd w:val="clear" w:color="auto" w:fill="FEFEFE"/>
            <w:vAlign w:val="center"/>
          </w:tcPr>
          <w:p w14:paraId="3EDB6C9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对多部门风险信息应用</w:t>
            </w:r>
            <w:r>
              <w:rPr>
                <w:rFonts w:hint="eastAsia" w:ascii="宋体" w:hAnsi="宋体" w:eastAsia="宋体" w:cs="宋体"/>
                <w:color w:val="auto"/>
                <w:sz w:val="21"/>
                <w:szCs w:val="21"/>
                <w:highlight w:val="none"/>
              </w:rPr>
              <w:t>模块技术方案进行综合评分。</w:t>
            </w:r>
          </w:p>
          <w:p w14:paraId="71C8F37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方案完整，描述具体详细，提供系统高保设计图，与采购需求相符的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3BB8EB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方案较为完整，描述较为具体详细，提供系统设计草图，较符合本项目采购需求的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95035D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，描述较为详细，系统设计</w:t>
            </w:r>
            <w:r>
              <w:rPr>
                <w:rFonts w:hint="eastAsia" w:ascii="宋体" w:hAnsi="宋体" w:cs="宋体"/>
                <w:color w:val="auto"/>
                <w:sz w:val="21"/>
                <w:szCs w:val="21"/>
                <w:highlight w:val="none"/>
                <w:lang w:val="en-US" w:eastAsia="zh-CN"/>
              </w:rPr>
              <w:t>图基本</w:t>
            </w:r>
            <w:r>
              <w:rPr>
                <w:rFonts w:hint="eastAsia" w:ascii="宋体" w:hAnsi="宋体" w:eastAsia="宋体" w:cs="宋体"/>
                <w:color w:val="auto"/>
                <w:sz w:val="21"/>
                <w:szCs w:val="21"/>
                <w:highlight w:val="none"/>
              </w:rPr>
              <w:t>符合本项目采购需求的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125F43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方案</w:t>
            </w:r>
            <w:r>
              <w:rPr>
                <w:rFonts w:hint="eastAsia" w:ascii="宋体" w:hAnsi="宋体" w:cs="宋体"/>
                <w:color w:val="auto"/>
                <w:sz w:val="21"/>
                <w:szCs w:val="21"/>
                <w:highlight w:val="none"/>
                <w:lang w:val="en-US" w:eastAsia="zh-CN"/>
              </w:rPr>
              <w:t>简单</w:t>
            </w:r>
            <w:r>
              <w:rPr>
                <w:rFonts w:hint="eastAsia" w:ascii="宋体" w:hAnsi="宋体" w:eastAsia="宋体" w:cs="宋体"/>
                <w:color w:val="auto"/>
                <w:sz w:val="21"/>
                <w:szCs w:val="21"/>
                <w:highlight w:val="none"/>
              </w:rPr>
              <w:t>，描述</w:t>
            </w:r>
            <w:r>
              <w:rPr>
                <w:rFonts w:hint="eastAsia" w:ascii="宋体" w:hAnsi="宋体" w:cs="宋体"/>
                <w:color w:val="auto"/>
                <w:sz w:val="21"/>
                <w:szCs w:val="21"/>
                <w:highlight w:val="none"/>
                <w:lang w:val="en-US" w:eastAsia="zh-CN"/>
              </w:rPr>
              <w:t>简略</w:t>
            </w:r>
            <w:r>
              <w:rPr>
                <w:rFonts w:hint="eastAsia" w:ascii="宋体" w:hAnsi="宋体" w:eastAsia="宋体" w:cs="宋体"/>
                <w:color w:val="auto"/>
                <w:sz w:val="21"/>
                <w:szCs w:val="21"/>
                <w:highlight w:val="none"/>
              </w:rPr>
              <w:t>，系统设计</w:t>
            </w:r>
            <w:r>
              <w:rPr>
                <w:rFonts w:hint="eastAsia" w:ascii="宋体" w:hAnsi="宋体" w:cs="宋体"/>
                <w:color w:val="auto"/>
                <w:sz w:val="21"/>
                <w:szCs w:val="21"/>
                <w:highlight w:val="none"/>
                <w:lang w:val="en-US" w:eastAsia="zh-CN"/>
              </w:rPr>
              <w:t>图较为简单</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勉强</w:t>
            </w:r>
            <w:r>
              <w:rPr>
                <w:rFonts w:hint="eastAsia" w:ascii="宋体" w:hAnsi="宋体" w:eastAsia="宋体" w:cs="宋体"/>
                <w:color w:val="auto"/>
                <w:sz w:val="21"/>
                <w:szCs w:val="21"/>
                <w:highlight w:val="none"/>
              </w:rPr>
              <w:t>符合本项目采购需求的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EA6992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方案笼统，描述不够清晰，未提供设计图纸，偏离了项目需求的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9A1354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i w:val="0"/>
                <w:iCs w:val="0"/>
                <w:color w:val="000000"/>
                <w:spacing w:val="-4"/>
                <w:kern w:val="0"/>
                <w:sz w:val="21"/>
                <w:szCs w:val="21"/>
                <w:highlight w:val="none"/>
                <w:u w:val="none"/>
                <w:lang w:val="en-US" w:eastAsia="zh-CN" w:bidi="ar"/>
              </w:rPr>
            </w:pPr>
            <w:r>
              <w:rPr>
                <w:rFonts w:hint="eastAsia" w:ascii="宋体" w:hAnsi="宋体" w:cs="宋体"/>
                <w:color w:val="auto"/>
                <w:sz w:val="21"/>
                <w:szCs w:val="21"/>
                <w:highlight w:val="none"/>
                <w:lang w:val="en-US" w:eastAsia="zh-CN"/>
              </w:rPr>
              <w:t>未提供相关内容的不得分。</w:t>
            </w:r>
          </w:p>
        </w:tc>
      </w:tr>
      <w:tr w14:paraId="5463A6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28" w:type="dxa"/>
            <w:vMerge w:val="continue"/>
            <w:vAlign w:val="center"/>
          </w:tcPr>
          <w:p w14:paraId="3C91EB7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1079" w:type="dxa"/>
            <w:vMerge w:val="continue"/>
            <w:vAlign w:val="center"/>
          </w:tcPr>
          <w:p w14:paraId="259FC90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7723" w:type="dxa"/>
            <w:shd w:val="clear" w:color="auto" w:fill="FEFEFE"/>
            <w:vAlign w:val="center"/>
          </w:tcPr>
          <w:p w14:paraId="568E5F8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对灾害气象场景化专题服务模块技术方案进行综合评分。</w:t>
            </w:r>
          </w:p>
          <w:p w14:paraId="6625111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方案完整，描述具体详细，提供系统高保设计图，与采购需求相符的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0EF7C82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方案较为完整，描述较为具体详细，提供系统设计草图，较符合本项目采购需求的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62DF0B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，描述较为详细，系统设计</w:t>
            </w:r>
            <w:r>
              <w:rPr>
                <w:rFonts w:hint="eastAsia" w:ascii="宋体" w:hAnsi="宋体" w:cs="宋体"/>
                <w:color w:val="auto"/>
                <w:sz w:val="21"/>
                <w:szCs w:val="21"/>
                <w:highlight w:val="none"/>
                <w:lang w:val="en-US" w:eastAsia="zh-CN"/>
              </w:rPr>
              <w:t>图基本</w:t>
            </w:r>
            <w:r>
              <w:rPr>
                <w:rFonts w:hint="eastAsia" w:ascii="宋体" w:hAnsi="宋体" w:eastAsia="宋体" w:cs="宋体"/>
                <w:color w:val="auto"/>
                <w:sz w:val="21"/>
                <w:szCs w:val="21"/>
                <w:highlight w:val="none"/>
              </w:rPr>
              <w:t>符合本项目采购需求的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B6270A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方案</w:t>
            </w:r>
            <w:r>
              <w:rPr>
                <w:rFonts w:hint="eastAsia" w:ascii="宋体" w:hAnsi="宋体" w:cs="宋体"/>
                <w:color w:val="auto"/>
                <w:sz w:val="21"/>
                <w:szCs w:val="21"/>
                <w:highlight w:val="none"/>
                <w:lang w:val="en-US" w:eastAsia="zh-CN"/>
              </w:rPr>
              <w:t>简单</w:t>
            </w:r>
            <w:r>
              <w:rPr>
                <w:rFonts w:hint="eastAsia" w:ascii="宋体" w:hAnsi="宋体" w:eastAsia="宋体" w:cs="宋体"/>
                <w:color w:val="auto"/>
                <w:sz w:val="21"/>
                <w:szCs w:val="21"/>
                <w:highlight w:val="none"/>
              </w:rPr>
              <w:t>，描述</w:t>
            </w:r>
            <w:r>
              <w:rPr>
                <w:rFonts w:hint="eastAsia" w:ascii="宋体" w:hAnsi="宋体" w:cs="宋体"/>
                <w:color w:val="auto"/>
                <w:sz w:val="21"/>
                <w:szCs w:val="21"/>
                <w:highlight w:val="none"/>
                <w:lang w:val="en-US" w:eastAsia="zh-CN"/>
              </w:rPr>
              <w:t>简略</w:t>
            </w:r>
            <w:r>
              <w:rPr>
                <w:rFonts w:hint="eastAsia" w:ascii="宋体" w:hAnsi="宋体" w:eastAsia="宋体" w:cs="宋体"/>
                <w:color w:val="auto"/>
                <w:sz w:val="21"/>
                <w:szCs w:val="21"/>
                <w:highlight w:val="none"/>
              </w:rPr>
              <w:t>，系统设计</w:t>
            </w:r>
            <w:r>
              <w:rPr>
                <w:rFonts w:hint="eastAsia" w:ascii="宋体" w:hAnsi="宋体" w:cs="宋体"/>
                <w:color w:val="auto"/>
                <w:sz w:val="21"/>
                <w:szCs w:val="21"/>
                <w:highlight w:val="none"/>
                <w:lang w:val="en-US" w:eastAsia="zh-CN"/>
              </w:rPr>
              <w:t>图较为简单</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勉强</w:t>
            </w:r>
            <w:r>
              <w:rPr>
                <w:rFonts w:hint="eastAsia" w:ascii="宋体" w:hAnsi="宋体" w:eastAsia="宋体" w:cs="宋体"/>
                <w:color w:val="auto"/>
                <w:sz w:val="21"/>
                <w:szCs w:val="21"/>
                <w:highlight w:val="none"/>
              </w:rPr>
              <w:t>符合本项目采购需求的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87A6B9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方案笼统，描述不够清晰，未提供设计图纸，偏离了项目需求的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5B47242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i w:val="0"/>
                <w:iCs w:val="0"/>
                <w:color w:val="000000"/>
                <w:spacing w:val="-4"/>
                <w:kern w:val="0"/>
                <w:sz w:val="21"/>
                <w:szCs w:val="21"/>
                <w:highlight w:val="none"/>
                <w:u w:val="none"/>
                <w:lang w:val="en-US" w:eastAsia="zh-CN" w:bidi="ar"/>
              </w:rPr>
            </w:pPr>
            <w:r>
              <w:rPr>
                <w:rFonts w:hint="eastAsia" w:ascii="宋体" w:hAnsi="宋体" w:cs="宋体"/>
                <w:color w:val="auto"/>
                <w:sz w:val="21"/>
                <w:szCs w:val="21"/>
                <w:highlight w:val="none"/>
                <w:lang w:val="en-US" w:eastAsia="zh-CN"/>
              </w:rPr>
              <w:t>未提供相关内容的不得分。</w:t>
            </w:r>
          </w:p>
        </w:tc>
      </w:tr>
      <w:tr w14:paraId="241133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28" w:type="dxa"/>
            <w:vMerge w:val="continue"/>
            <w:vAlign w:val="center"/>
          </w:tcPr>
          <w:p w14:paraId="6872A8E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1079" w:type="dxa"/>
            <w:vAlign w:val="center"/>
          </w:tcPr>
          <w:p w14:paraId="03B99E3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auto"/>
                <w:kern w:val="0"/>
                <w:sz w:val="21"/>
                <w:szCs w:val="21"/>
                <w:highlight w:val="none"/>
              </w:rPr>
              <w:t>进度安排计划</w:t>
            </w:r>
          </w:p>
          <w:p w14:paraId="6ADF937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7723" w:type="dxa"/>
            <w:vAlign w:val="center"/>
          </w:tcPr>
          <w:p w14:paraId="3FED9AA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000000" w:themeColor="text1"/>
                <w:kern w:val="0"/>
                <w:sz w:val="21"/>
                <w:szCs w:val="21"/>
                <w:highlight w:val="none"/>
                <w14:textFill>
                  <w14:solidFill>
                    <w14:schemeClr w14:val="tx1"/>
                  </w14:solidFill>
                </w14:textFill>
              </w:rPr>
              <w:t>供应商提供进度安排计划，可从时间节点、流程、工作进度安排方面着手，</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评审</w:t>
            </w:r>
            <w:r>
              <w:rPr>
                <w:rFonts w:hint="eastAsia" w:ascii="宋体" w:hAnsi="宋体" w:eastAsia="宋体" w:cs="宋体"/>
                <w:bCs/>
                <w:color w:val="000000" w:themeColor="text1"/>
                <w:kern w:val="0"/>
                <w:sz w:val="21"/>
                <w:szCs w:val="21"/>
                <w:highlight w:val="none"/>
                <w14:textFill>
                  <w14:solidFill>
                    <w14:schemeClr w14:val="tx1"/>
                  </w14:solidFill>
                </w14:textFill>
              </w:rPr>
              <w:t>小组对进度安排计划的</w:t>
            </w:r>
            <w:r>
              <w:rPr>
                <w:rFonts w:hint="eastAsia" w:ascii="宋体" w:hAnsi="宋体" w:eastAsia="宋体" w:cs="宋体"/>
                <w:color w:val="000000" w:themeColor="text1"/>
                <w:kern w:val="0"/>
                <w:sz w:val="21"/>
                <w:szCs w:val="21"/>
                <w:highlight w:val="none"/>
                <w14:textFill>
                  <w14:solidFill>
                    <w14:schemeClr w14:val="tx1"/>
                  </w14:solidFill>
                </w14:textFill>
              </w:rPr>
              <w:t>综合优质情况进行</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综合评</w:t>
            </w:r>
            <w:r>
              <w:rPr>
                <w:rFonts w:hint="eastAsia" w:ascii="宋体" w:hAnsi="宋体" w:cs="宋体"/>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color w:val="auto"/>
                <w:sz w:val="21"/>
                <w:szCs w:val="21"/>
                <w:highlight w:val="none"/>
              </w:rPr>
              <w:t>。</w:t>
            </w:r>
          </w:p>
          <w:p w14:paraId="141214E2">
            <w:pPr>
              <w:keepNext w:val="0"/>
              <w:keepLines w:val="0"/>
              <w:pageBreakBefore w:val="0"/>
              <w:widowControl w:val="0"/>
              <w:tabs>
                <w:tab w:val="right" w:pos="4601"/>
              </w:tabs>
              <w:kinsoku/>
              <w:wordWrap/>
              <w:overflowPunct/>
              <w:topLinePunct w:val="0"/>
              <w:autoSpaceDE/>
              <w:autoSpaceDN/>
              <w:bidi w:val="0"/>
              <w:adjustRightInd w:val="0"/>
              <w:snapToGrid/>
              <w:spacing w:line="44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项目进度安排</w:t>
            </w:r>
            <w:r>
              <w:rPr>
                <w:rFonts w:hint="eastAsia" w:ascii="宋体" w:hAnsi="宋体" w:eastAsia="宋体" w:cs="宋体"/>
                <w:color w:val="000000" w:themeColor="text1"/>
                <w:kern w:val="0"/>
                <w:sz w:val="21"/>
                <w:szCs w:val="21"/>
                <w:highlight w:val="none"/>
                <w14:textFill>
                  <w14:solidFill>
                    <w14:schemeClr w14:val="tx1"/>
                  </w14:solidFill>
                </w14:textFill>
              </w:rPr>
              <w:t>全面</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逻辑清晰</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合理、可行的</w:t>
            </w:r>
            <w:r>
              <w:rPr>
                <w:rFonts w:hint="eastAsia" w:ascii="宋体" w:hAnsi="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得</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p>
          <w:p w14:paraId="7DE41211">
            <w:pPr>
              <w:pStyle w:val="84"/>
              <w:keepNext w:val="0"/>
              <w:keepLines w:val="0"/>
              <w:pageBreakBefore w:val="0"/>
              <w:widowControl w:val="0"/>
              <w:kinsoku/>
              <w:wordWrap/>
              <w:overflowPunct/>
              <w:topLinePunct w:val="0"/>
              <w:autoSpaceDE/>
              <w:autoSpaceDN/>
              <w:bidi w:val="0"/>
              <w:adjustRightInd w:val="0"/>
              <w:snapToGrid/>
              <w:spacing w:line="440" w:lineRule="exact"/>
              <w:ind w:left="0" w:leftChars="0" w:firstLine="0"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项目进度安排</w:t>
            </w:r>
            <w:r>
              <w:rPr>
                <w:rFonts w:hint="eastAsia" w:ascii="宋体" w:hAnsi="宋体" w:eastAsia="宋体" w:cs="宋体"/>
                <w:kern w:val="0"/>
                <w:sz w:val="21"/>
                <w:szCs w:val="21"/>
                <w:highlight w:val="none"/>
                <w:lang w:val="en-US" w:eastAsia="zh-CN"/>
              </w:rPr>
              <w:t>较为全面、较为清晰、合理的，得4分；</w:t>
            </w:r>
          </w:p>
          <w:p w14:paraId="7CDEA4B8">
            <w:pPr>
              <w:pStyle w:val="84"/>
              <w:keepNext w:val="0"/>
              <w:keepLines w:val="0"/>
              <w:pageBreakBefore w:val="0"/>
              <w:widowControl w:val="0"/>
              <w:kinsoku/>
              <w:wordWrap/>
              <w:overflowPunct/>
              <w:topLinePunct w:val="0"/>
              <w:autoSpaceDE/>
              <w:autoSpaceDN/>
              <w:bidi w:val="0"/>
              <w:adjustRightInd w:val="0"/>
              <w:snapToGrid/>
              <w:spacing w:line="440" w:lineRule="exact"/>
              <w:ind w:left="0" w:leftChars="0" w:firstLine="0"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项目进度安排</w:t>
            </w:r>
            <w:r>
              <w:rPr>
                <w:rFonts w:hint="eastAsia" w:ascii="宋体" w:hAnsi="宋体" w:eastAsia="宋体" w:cs="宋体"/>
                <w:kern w:val="0"/>
                <w:sz w:val="21"/>
                <w:szCs w:val="21"/>
                <w:highlight w:val="none"/>
                <w:lang w:val="en-US" w:eastAsia="zh-CN"/>
              </w:rPr>
              <w:t>基本合理、</w:t>
            </w:r>
            <w:r>
              <w:rPr>
                <w:rFonts w:hint="eastAsia" w:ascii="宋体" w:hAnsi="宋体" w:eastAsia="宋体" w:cs="宋体"/>
                <w:color w:val="auto"/>
                <w:sz w:val="21"/>
                <w:szCs w:val="21"/>
                <w:highlight w:val="none"/>
                <w:lang w:val="en-US" w:eastAsia="zh-CN"/>
              </w:rPr>
              <w:t>存在较小的瑕疵</w:t>
            </w:r>
            <w:r>
              <w:rPr>
                <w:rFonts w:hint="eastAsia" w:ascii="宋体" w:hAnsi="宋体" w:eastAsia="宋体" w:cs="宋体"/>
                <w:kern w:val="0"/>
                <w:sz w:val="21"/>
                <w:szCs w:val="21"/>
                <w:highlight w:val="none"/>
                <w:lang w:val="en-US" w:eastAsia="zh-CN"/>
              </w:rPr>
              <w:t>的，得3分；</w:t>
            </w:r>
          </w:p>
          <w:p w14:paraId="4EEB5A40">
            <w:pPr>
              <w:pStyle w:val="84"/>
              <w:keepNext w:val="0"/>
              <w:keepLines w:val="0"/>
              <w:pageBreakBefore w:val="0"/>
              <w:widowControl w:val="0"/>
              <w:kinsoku/>
              <w:wordWrap/>
              <w:overflowPunct/>
              <w:topLinePunct w:val="0"/>
              <w:autoSpaceDE/>
              <w:autoSpaceDN/>
              <w:bidi w:val="0"/>
              <w:adjustRightInd w:val="0"/>
              <w:snapToGrid/>
              <w:spacing w:line="440" w:lineRule="exact"/>
              <w:ind w:left="0" w:leftChars="0" w:firstLine="0"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项目进度安排</w:t>
            </w:r>
            <w:r>
              <w:rPr>
                <w:rFonts w:hint="eastAsia" w:ascii="宋体" w:hAnsi="宋体" w:eastAsia="宋体" w:cs="宋体"/>
                <w:kern w:val="0"/>
                <w:sz w:val="21"/>
                <w:szCs w:val="21"/>
                <w:highlight w:val="none"/>
                <w:lang w:val="en-US" w:eastAsia="zh-CN"/>
              </w:rPr>
              <w:t>明显不完善、缺乏可行性的，得2分；</w:t>
            </w:r>
          </w:p>
          <w:p w14:paraId="1888154B">
            <w:pPr>
              <w:pStyle w:val="84"/>
              <w:keepNext w:val="0"/>
              <w:keepLines w:val="0"/>
              <w:pageBreakBefore w:val="0"/>
              <w:widowControl w:val="0"/>
              <w:kinsoku/>
              <w:wordWrap/>
              <w:overflowPunct/>
              <w:topLinePunct w:val="0"/>
              <w:autoSpaceDE/>
              <w:autoSpaceDN/>
              <w:bidi w:val="0"/>
              <w:adjustRightInd w:val="0"/>
              <w:snapToGrid/>
              <w:spacing w:line="440" w:lineRule="exact"/>
              <w:ind w:left="0" w:leftChars="0" w:firstLine="0"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项目进度安排</w:t>
            </w:r>
            <w:r>
              <w:rPr>
                <w:rFonts w:hint="eastAsia" w:ascii="宋体" w:hAnsi="宋体" w:eastAsia="宋体" w:cs="宋体"/>
                <w:kern w:val="0"/>
                <w:sz w:val="21"/>
                <w:szCs w:val="21"/>
                <w:highlight w:val="none"/>
                <w:lang w:val="en-US" w:eastAsia="zh-CN"/>
              </w:rPr>
              <w:t>较差、不完善、明显不可行的，得1分；</w:t>
            </w:r>
          </w:p>
          <w:p w14:paraId="0DF7FF1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未提供相关内容的不得分。</w:t>
            </w:r>
          </w:p>
        </w:tc>
      </w:tr>
      <w:tr w14:paraId="7D23E0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28" w:type="dxa"/>
            <w:vMerge w:val="continue"/>
            <w:vAlign w:val="center"/>
          </w:tcPr>
          <w:p w14:paraId="007967A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1079" w:type="dxa"/>
            <w:vAlign w:val="center"/>
          </w:tcPr>
          <w:p w14:paraId="0CC0EE0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auto"/>
                <w:sz w:val="21"/>
                <w:szCs w:val="21"/>
                <w:highlight w:val="none"/>
              </w:rPr>
              <w:t>质量管理</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7723" w:type="dxa"/>
            <w:vAlign w:val="center"/>
          </w:tcPr>
          <w:p w14:paraId="4EF1FE8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根据供应商是否把质量管理体系融合本项目管理过程中，质量管理体系中是否包含组织机构及服务质量保证措施进行综合评分。</w:t>
            </w:r>
          </w:p>
          <w:p w14:paraId="42019F5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组织机构及服务质量保证措施内容制定合理、有效，能够很好的满足项目服务要求</w:t>
            </w:r>
            <w:r>
              <w:rPr>
                <w:rFonts w:hint="eastAsia" w:ascii="宋体" w:hAnsi="宋体" w:eastAsia="宋体" w:cs="宋体"/>
                <w:color w:val="auto"/>
                <w:sz w:val="21"/>
                <w:szCs w:val="21"/>
                <w:highlight w:val="none"/>
                <w:lang w:val="en-US" w:eastAsia="zh-CN"/>
              </w:rPr>
              <w:t>的，得5分；</w:t>
            </w:r>
          </w:p>
          <w:p w14:paraId="15820A9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组织机构及服务质量保证措施内容相对合理，存在较小的瑕疵，但基本满足项目质量保证要求的，得4分；</w:t>
            </w:r>
          </w:p>
          <w:p w14:paraId="4C5DDA8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组织机构及服务质量保证措施内容相对简单，存在部分的瑕疵的，得3分；</w:t>
            </w:r>
          </w:p>
          <w:p w14:paraId="204726D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组织机构及服务质量保证措施内容不完善，</w:t>
            </w:r>
            <w:r>
              <w:rPr>
                <w:rFonts w:hint="eastAsia" w:ascii="宋体" w:hAnsi="宋体" w:cs="宋体"/>
                <w:color w:val="auto"/>
                <w:sz w:val="21"/>
                <w:szCs w:val="21"/>
                <w:highlight w:val="none"/>
                <w:lang w:val="en-US" w:eastAsia="zh-CN"/>
              </w:rPr>
              <w:t>勉强</w:t>
            </w:r>
            <w:r>
              <w:rPr>
                <w:rFonts w:hint="eastAsia" w:ascii="宋体" w:hAnsi="宋体" w:eastAsia="宋体" w:cs="宋体"/>
                <w:color w:val="auto"/>
                <w:sz w:val="21"/>
                <w:szCs w:val="21"/>
                <w:highlight w:val="none"/>
              </w:rPr>
              <w:t>符合本项目采购需求的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AEB864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组织机构及服务质量保证措施内容明显</w:t>
            </w:r>
            <w:r>
              <w:rPr>
                <w:rFonts w:hint="eastAsia" w:ascii="宋体" w:hAnsi="宋体" w:eastAsia="宋体" w:cs="宋体"/>
                <w:color w:val="auto"/>
                <w:sz w:val="21"/>
                <w:szCs w:val="21"/>
                <w:highlight w:val="none"/>
                <w:lang w:val="en-US" w:eastAsia="zh-CN"/>
              </w:rPr>
              <w:t>存在缺项</w:t>
            </w:r>
            <w:r>
              <w:rPr>
                <w:rFonts w:hint="eastAsia" w:ascii="宋体" w:hAnsi="宋体" w:eastAsia="宋体" w:cs="宋体"/>
                <w:color w:val="auto"/>
                <w:sz w:val="21"/>
                <w:szCs w:val="21"/>
                <w:highlight w:val="none"/>
              </w:rPr>
              <w:t>，缺陷较多且对项目实施质量存在明显影响的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0865DE7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未提供相关内容的不得分。</w:t>
            </w:r>
          </w:p>
        </w:tc>
      </w:tr>
      <w:tr w14:paraId="3C02E7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28" w:type="dxa"/>
            <w:vMerge w:val="continue"/>
            <w:vAlign w:val="center"/>
          </w:tcPr>
          <w:p w14:paraId="155DE5C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1079" w:type="dxa"/>
            <w:vAlign w:val="center"/>
          </w:tcPr>
          <w:p w14:paraId="38138C5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培训方案</w:t>
            </w:r>
          </w:p>
          <w:p w14:paraId="3AD68AD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7723" w:type="dxa"/>
            <w:vAlign w:val="center"/>
          </w:tcPr>
          <w:p w14:paraId="1DAC43A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供应商提供针对本项目的培训方案，可从培训团队安排、培训时间安排、培训内容着手，</w:t>
            </w:r>
            <w:r>
              <w:rPr>
                <w:rFonts w:hint="eastAsia" w:ascii="宋体" w:hAnsi="宋体" w:eastAsia="宋体" w:cs="宋体"/>
                <w:kern w:val="0"/>
                <w:sz w:val="21"/>
                <w:szCs w:val="21"/>
                <w:highlight w:val="none"/>
                <w:lang w:val="en-US" w:eastAsia="zh-CN"/>
              </w:rPr>
              <w:t>评审</w:t>
            </w:r>
            <w:r>
              <w:rPr>
                <w:rFonts w:hint="eastAsia" w:ascii="宋体" w:hAnsi="宋体" w:eastAsia="宋体" w:cs="宋体"/>
                <w:kern w:val="0"/>
                <w:sz w:val="21"/>
                <w:szCs w:val="21"/>
                <w:highlight w:val="none"/>
              </w:rPr>
              <w:t>小组进行</w:t>
            </w:r>
            <w:r>
              <w:rPr>
                <w:rFonts w:hint="eastAsia" w:ascii="宋体" w:hAnsi="宋体" w:eastAsia="宋体" w:cs="宋体"/>
                <w:kern w:val="0"/>
                <w:sz w:val="21"/>
                <w:szCs w:val="21"/>
                <w:highlight w:val="none"/>
                <w:lang w:val="en-US" w:eastAsia="zh-CN"/>
              </w:rPr>
              <w:t>综合评</w:t>
            </w:r>
            <w:r>
              <w:rPr>
                <w:rFonts w:hint="eastAsia" w:ascii="宋体" w:hAnsi="宋体" w:cs="宋体"/>
                <w:kern w:val="0"/>
                <w:sz w:val="21"/>
                <w:szCs w:val="21"/>
                <w:highlight w:val="none"/>
                <w:lang w:val="en-US" w:eastAsia="zh-CN"/>
              </w:rPr>
              <w:t>分</w:t>
            </w:r>
            <w:r>
              <w:rPr>
                <w:rFonts w:hint="eastAsia" w:ascii="宋体" w:hAnsi="宋体" w:eastAsia="宋体" w:cs="宋体"/>
                <w:kern w:val="0"/>
                <w:sz w:val="21"/>
                <w:szCs w:val="21"/>
                <w:highlight w:val="none"/>
              </w:rPr>
              <w:t>。</w:t>
            </w:r>
          </w:p>
          <w:p w14:paraId="3AD4D78C">
            <w:pPr>
              <w:pStyle w:val="84"/>
              <w:keepNext w:val="0"/>
              <w:keepLines w:val="0"/>
              <w:pageBreakBefore w:val="0"/>
              <w:widowControl w:val="0"/>
              <w:kinsoku/>
              <w:wordWrap/>
              <w:overflowPunct/>
              <w:topLinePunct w:val="0"/>
              <w:autoSpaceDE/>
              <w:autoSpaceDN/>
              <w:bidi w:val="0"/>
              <w:adjustRightInd w:val="0"/>
              <w:snapToGrid/>
              <w:spacing w:line="440" w:lineRule="exact"/>
              <w:ind w:left="0" w:leftChars="0" w:firstLine="0"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培训计划详细且全面，涵盖项目所需的所有培训内容和目标，培训方法科学合理，时间安排得当，能够满足项目实施过程中人员的培训需求，且具有较强的可操作性的得5分；</w:t>
            </w:r>
          </w:p>
          <w:p w14:paraId="5014F5FF">
            <w:pPr>
              <w:pStyle w:val="84"/>
              <w:keepNext w:val="0"/>
              <w:keepLines w:val="0"/>
              <w:pageBreakBefore w:val="0"/>
              <w:widowControl w:val="0"/>
              <w:kinsoku/>
              <w:wordWrap/>
              <w:overflowPunct/>
              <w:topLinePunct w:val="0"/>
              <w:autoSpaceDE/>
              <w:autoSpaceDN/>
              <w:bidi w:val="0"/>
              <w:adjustRightInd w:val="0"/>
              <w:snapToGrid/>
              <w:spacing w:line="440" w:lineRule="exact"/>
              <w:ind w:left="0" w:leftChars="0" w:firstLine="0"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培训计划较为全面，能够满足招标文件中对人员培训的基本要求，虽在某些细节上可能不够完善，但整体上可以保障项目的顺利实施的得4分；</w:t>
            </w:r>
          </w:p>
          <w:p w14:paraId="657AD917">
            <w:pPr>
              <w:pStyle w:val="84"/>
              <w:keepNext w:val="0"/>
              <w:keepLines w:val="0"/>
              <w:pageBreakBefore w:val="0"/>
              <w:widowControl w:val="0"/>
              <w:kinsoku/>
              <w:wordWrap/>
              <w:overflowPunct/>
              <w:topLinePunct w:val="0"/>
              <w:autoSpaceDE/>
              <w:autoSpaceDN/>
              <w:bidi w:val="0"/>
              <w:adjustRightInd w:val="0"/>
              <w:snapToGrid/>
              <w:spacing w:line="440" w:lineRule="exact"/>
              <w:ind w:left="0" w:leftChars="0" w:firstLine="0"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培训计划在整体框架上较为完整，但存在部分关键内容的缺失，如某些重要培训模块未涵盖或培训目标不够明确等，需要进一步补充完善的得3分；</w:t>
            </w:r>
          </w:p>
          <w:p w14:paraId="49AB4F68">
            <w:pPr>
              <w:pStyle w:val="84"/>
              <w:keepNext w:val="0"/>
              <w:keepLines w:val="0"/>
              <w:pageBreakBefore w:val="0"/>
              <w:widowControl w:val="0"/>
              <w:kinsoku/>
              <w:wordWrap/>
              <w:overflowPunct/>
              <w:topLinePunct w:val="0"/>
              <w:autoSpaceDE/>
              <w:autoSpaceDN/>
              <w:bidi w:val="0"/>
              <w:adjustRightInd w:val="0"/>
              <w:snapToGrid/>
              <w:spacing w:line="440" w:lineRule="exact"/>
              <w:ind w:left="0" w:leftChars="0" w:firstLine="0"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培训计划存在较多不足之处，如培训内容不够全面、培训方法缺乏科学性或合理性、时间安排不够合理等，可能会影响项目实施过程中人员培训的效果的得2分；</w:t>
            </w:r>
          </w:p>
          <w:p w14:paraId="7BD6D5A9">
            <w:pPr>
              <w:pStyle w:val="84"/>
              <w:keepNext w:val="0"/>
              <w:keepLines w:val="0"/>
              <w:pageBreakBefore w:val="0"/>
              <w:widowControl w:val="0"/>
              <w:kinsoku/>
              <w:wordWrap/>
              <w:overflowPunct/>
              <w:topLinePunct w:val="0"/>
              <w:autoSpaceDE/>
              <w:autoSpaceDN/>
              <w:bidi w:val="0"/>
              <w:adjustRightInd w:val="0"/>
              <w:snapToGrid/>
              <w:spacing w:line="440" w:lineRule="exact"/>
              <w:ind w:left="0" w:leftChars="0" w:firstLine="0"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培训计划存在严重缺陷，如培训内容与项目需求严重不符、培训目标不明确或缺失等，无法满足招标文件中对人员培训的基本要求的得1分；</w:t>
            </w:r>
          </w:p>
          <w:p w14:paraId="54E51111">
            <w:pPr>
              <w:pStyle w:val="84"/>
              <w:keepNext w:val="0"/>
              <w:keepLines w:val="0"/>
              <w:pageBreakBefore w:val="0"/>
              <w:widowControl w:val="0"/>
              <w:kinsoku/>
              <w:wordWrap/>
              <w:overflowPunct/>
              <w:topLinePunct w:val="0"/>
              <w:autoSpaceDE/>
              <w:autoSpaceDN/>
              <w:bidi w:val="0"/>
              <w:adjustRightInd w:val="0"/>
              <w:snapToGrid/>
              <w:spacing w:line="440" w:lineRule="exac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未提供相关内容的不得分。</w:t>
            </w:r>
          </w:p>
        </w:tc>
      </w:tr>
      <w:tr w14:paraId="228D8D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55" w:hRule="atLeast"/>
          <w:jc w:val="center"/>
        </w:trPr>
        <w:tc>
          <w:tcPr>
            <w:tcW w:w="1128" w:type="dxa"/>
            <w:vMerge w:val="continue"/>
            <w:vAlign w:val="center"/>
          </w:tcPr>
          <w:p w14:paraId="76BF9ED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1079" w:type="dxa"/>
            <w:vAlign w:val="center"/>
          </w:tcPr>
          <w:p w14:paraId="7B07029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售后服务方案</w:t>
            </w:r>
          </w:p>
          <w:p w14:paraId="64D899B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7723" w:type="dxa"/>
            <w:vAlign w:val="center"/>
          </w:tcPr>
          <w:p w14:paraId="2FBA09C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售后服务方案可从售后服务期内的人员配置、软件功能故障的响应修复时间及保障措施、售后服务期内外的技术支持及维护能力方面着手，</w:t>
            </w:r>
            <w:r>
              <w:rPr>
                <w:rFonts w:hint="eastAsia" w:ascii="宋体" w:hAnsi="宋体" w:eastAsia="宋体" w:cs="宋体"/>
                <w:kern w:val="0"/>
                <w:sz w:val="21"/>
                <w:szCs w:val="21"/>
                <w:highlight w:val="none"/>
                <w:lang w:val="en-US" w:eastAsia="zh-CN"/>
              </w:rPr>
              <w:t>评审</w:t>
            </w:r>
            <w:r>
              <w:rPr>
                <w:rFonts w:hint="eastAsia" w:ascii="宋体" w:hAnsi="宋体" w:eastAsia="宋体" w:cs="宋体"/>
                <w:kern w:val="0"/>
                <w:sz w:val="21"/>
                <w:szCs w:val="21"/>
                <w:highlight w:val="none"/>
              </w:rPr>
              <w:t>小组进行</w:t>
            </w:r>
            <w:r>
              <w:rPr>
                <w:rFonts w:hint="eastAsia" w:ascii="宋体" w:hAnsi="宋体" w:eastAsia="宋体" w:cs="宋体"/>
                <w:kern w:val="0"/>
                <w:sz w:val="21"/>
                <w:szCs w:val="21"/>
                <w:highlight w:val="none"/>
                <w:lang w:val="en-US" w:eastAsia="zh-CN"/>
              </w:rPr>
              <w:t>综合评</w:t>
            </w:r>
            <w:r>
              <w:rPr>
                <w:rFonts w:hint="eastAsia" w:ascii="宋体" w:hAnsi="宋体" w:cs="宋体"/>
                <w:kern w:val="0"/>
                <w:sz w:val="21"/>
                <w:szCs w:val="21"/>
                <w:highlight w:val="none"/>
                <w:lang w:val="en-US" w:eastAsia="zh-CN"/>
              </w:rPr>
              <w:t>分</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7C397EDC">
            <w:pPr>
              <w:keepNext w:val="0"/>
              <w:keepLines w:val="0"/>
              <w:pageBreakBefore w:val="0"/>
              <w:widowControl w:val="0"/>
              <w:tabs>
                <w:tab w:val="right" w:pos="4601"/>
              </w:tabs>
              <w:kinsoku/>
              <w:wordWrap/>
              <w:overflowPunct/>
              <w:topLinePunct w:val="0"/>
              <w:autoSpaceDE/>
              <w:autoSpaceDN/>
              <w:bidi w:val="0"/>
              <w:adjustRightInd w:val="0"/>
              <w:snapToGrid/>
              <w:spacing w:line="44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售后服务方案全面</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逻辑清晰</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合理、可行的</w:t>
            </w:r>
            <w:r>
              <w:rPr>
                <w:rFonts w:hint="eastAsia" w:ascii="宋体" w:hAnsi="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得</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p>
          <w:p w14:paraId="1C0E4306">
            <w:pPr>
              <w:pStyle w:val="84"/>
              <w:keepNext w:val="0"/>
              <w:keepLines w:val="0"/>
              <w:pageBreakBefore w:val="0"/>
              <w:widowControl w:val="0"/>
              <w:kinsoku/>
              <w:wordWrap/>
              <w:overflowPunct/>
              <w:topLinePunct w:val="0"/>
              <w:autoSpaceDE/>
              <w:autoSpaceDN/>
              <w:bidi w:val="0"/>
              <w:adjustRightInd w:val="0"/>
              <w:snapToGrid/>
              <w:spacing w:line="440" w:lineRule="exact"/>
              <w:ind w:left="0" w:leftChars="0" w:firstLine="0"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售后服务方案较为全面、较为清晰、合理的，得4分；</w:t>
            </w:r>
          </w:p>
          <w:p w14:paraId="3085E11F">
            <w:pPr>
              <w:pStyle w:val="84"/>
              <w:keepNext w:val="0"/>
              <w:keepLines w:val="0"/>
              <w:pageBreakBefore w:val="0"/>
              <w:widowControl w:val="0"/>
              <w:kinsoku/>
              <w:wordWrap/>
              <w:overflowPunct/>
              <w:topLinePunct w:val="0"/>
              <w:autoSpaceDE/>
              <w:autoSpaceDN/>
              <w:bidi w:val="0"/>
              <w:adjustRightInd w:val="0"/>
              <w:snapToGrid/>
              <w:spacing w:line="440" w:lineRule="exact"/>
              <w:ind w:left="0" w:leftChars="0" w:firstLine="0"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售后服务方案基本合理、</w:t>
            </w:r>
            <w:r>
              <w:rPr>
                <w:rFonts w:hint="eastAsia" w:ascii="宋体" w:hAnsi="宋体" w:eastAsia="宋体" w:cs="宋体"/>
                <w:color w:val="auto"/>
                <w:sz w:val="21"/>
                <w:szCs w:val="21"/>
                <w:highlight w:val="none"/>
                <w:lang w:val="en-US" w:eastAsia="zh-CN"/>
              </w:rPr>
              <w:t>存在较小的瑕疵</w:t>
            </w:r>
            <w:r>
              <w:rPr>
                <w:rFonts w:hint="eastAsia" w:ascii="宋体" w:hAnsi="宋体" w:eastAsia="宋体" w:cs="宋体"/>
                <w:kern w:val="0"/>
                <w:sz w:val="21"/>
                <w:szCs w:val="21"/>
                <w:highlight w:val="none"/>
                <w:lang w:val="en-US" w:eastAsia="zh-CN"/>
              </w:rPr>
              <w:t>的，得3分；</w:t>
            </w:r>
          </w:p>
          <w:p w14:paraId="552441D8">
            <w:pPr>
              <w:pStyle w:val="84"/>
              <w:keepNext w:val="0"/>
              <w:keepLines w:val="0"/>
              <w:pageBreakBefore w:val="0"/>
              <w:widowControl w:val="0"/>
              <w:kinsoku/>
              <w:wordWrap/>
              <w:overflowPunct/>
              <w:topLinePunct w:val="0"/>
              <w:autoSpaceDE/>
              <w:autoSpaceDN/>
              <w:bidi w:val="0"/>
              <w:adjustRightInd w:val="0"/>
              <w:snapToGrid/>
              <w:spacing w:line="440" w:lineRule="exact"/>
              <w:ind w:left="0" w:leftChars="0" w:firstLine="0"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售后服务方案明显不完善、缺乏可行性的，得2分；</w:t>
            </w:r>
          </w:p>
          <w:p w14:paraId="58967E81">
            <w:pPr>
              <w:pStyle w:val="84"/>
              <w:keepNext w:val="0"/>
              <w:keepLines w:val="0"/>
              <w:pageBreakBefore w:val="0"/>
              <w:widowControl w:val="0"/>
              <w:kinsoku/>
              <w:wordWrap/>
              <w:overflowPunct/>
              <w:topLinePunct w:val="0"/>
              <w:autoSpaceDE/>
              <w:autoSpaceDN/>
              <w:bidi w:val="0"/>
              <w:adjustRightInd w:val="0"/>
              <w:snapToGrid/>
              <w:spacing w:line="440" w:lineRule="exact"/>
              <w:ind w:left="0" w:leftChars="0" w:firstLine="0"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售后服务方案较差、不完善、明显不可行的，得1分；</w:t>
            </w:r>
          </w:p>
          <w:p w14:paraId="05E8D1FA">
            <w:pPr>
              <w:pStyle w:val="84"/>
              <w:keepNext w:val="0"/>
              <w:keepLines w:val="0"/>
              <w:pageBreakBefore w:val="0"/>
              <w:widowControl w:val="0"/>
              <w:kinsoku/>
              <w:wordWrap/>
              <w:overflowPunct/>
              <w:topLinePunct w:val="0"/>
              <w:autoSpaceDE/>
              <w:autoSpaceDN/>
              <w:bidi w:val="0"/>
              <w:adjustRightInd w:val="0"/>
              <w:snapToGrid/>
              <w:spacing w:line="440" w:lineRule="exac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未提供相关内容的不得分。</w:t>
            </w:r>
          </w:p>
        </w:tc>
      </w:tr>
      <w:tr w14:paraId="6718A2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55" w:hRule="atLeast"/>
          <w:jc w:val="center"/>
        </w:trPr>
        <w:tc>
          <w:tcPr>
            <w:tcW w:w="1128" w:type="dxa"/>
            <w:vMerge w:val="continue"/>
            <w:vAlign w:val="center"/>
          </w:tcPr>
          <w:p w14:paraId="1FFE85A4">
            <w:pPr>
              <w:pStyle w:val="84"/>
              <w:keepNext w:val="0"/>
              <w:keepLines w:val="0"/>
              <w:pageBreakBefore w:val="0"/>
              <w:widowControl w:val="0"/>
              <w:kinsoku/>
              <w:wordWrap/>
              <w:overflowPunct/>
              <w:topLinePunct w:val="0"/>
              <w:autoSpaceDE/>
              <w:autoSpaceDN/>
              <w:bidi w:val="0"/>
              <w:adjustRightInd w:val="0"/>
              <w:snapToGrid/>
              <w:spacing w:line="440" w:lineRule="exact"/>
              <w:ind w:left="0" w:leftChars="0" w:firstLine="0" w:firstLineChars="0"/>
              <w:textAlignment w:val="auto"/>
              <w:rPr>
                <w:highlight w:val="none"/>
              </w:rPr>
            </w:pPr>
          </w:p>
        </w:tc>
        <w:tc>
          <w:tcPr>
            <w:tcW w:w="1079" w:type="dxa"/>
            <w:vAlign w:val="center"/>
          </w:tcPr>
          <w:p w14:paraId="0B8A5E8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应急方案及应急保障措施</w:t>
            </w:r>
          </w:p>
          <w:p w14:paraId="6AD8C67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c>
          <w:tcPr>
            <w:tcW w:w="7723" w:type="dxa"/>
            <w:vAlign w:val="center"/>
          </w:tcPr>
          <w:p w14:paraId="7928077B">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w:t>
            </w:r>
            <w:r>
              <w:rPr>
                <w:rFonts w:hint="eastAsia" w:ascii="宋体" w:hAnsi="宋体" w:cs="宋体"/>
                <w:color w:val="auto"/>
                <w:kern w:val="0"/>
                <w:sz w:val="21"/>
                <w:szCs w:val="21"/>
                <w:highlight w:val="none"/>
                <w:lang w:eastAsia="zh-CN" w:bidi="ar"/>
              </w:rPr>
              <w:t>投标人</w:t>
            </w:r>
            <w:r>
              <w:rPr>
                <w:rFonts w:hint="eastAsia" w:ascii="宋体" w:hAnsi="宋体" w:eastAsia="宋体" w:cs="宋体"/>
                <w:color w:val="auto"/>
                <w:kern w:val="0"/>
                <w:sz w:val="21"/>
                <w:szCs w:val="21"/>
                <w:highlight w:val="none"/>
                <w:lang w:bidi="ar"/>
              </w:rPr>
              <w:t>提供的突发事件的应急方案进行</w:t>
            </w:r>
            <w:r>
              <w:rPr>
                <w:rFonts w:hint="eastAsia" w:ascii="宋体" w:hAnsi="宋体" w:cs="宋体"/>
                <w:color w:val="auto"/>
                <w:kern w:val="0"/>
                <w:sz w:val="21"/>
                <w:szCs w:val="21"/>
                <w:highlight w:val="none"/>
                <w:lang w:val="en-US" w:eastAsia="zh-CN" w:bidi="ar"/>
              </w:rPr>
              <w:t>综合评分。</w:t>
            </w:r>
          </w:p>
          <w:p w14:paraId="540E0479">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kern w:val="0"/>
                <w:szCs w:val="21"/>
                <w:highlight w:val="none"/>
                <w:lang w:bidi="ar"/>
              </w:rPr>
              <w:t>总体应急方案描述完善，应急事件类型划分详细，能结合自身经验提供针对性的应急措施，确保有效解决可预见性问题，有规范处理流程和行之有效的处理办法，并在日常做好防范的措施的</w:t>
            </w:r>
            <w:r>
              <w:rPr>
                <w:rFonts w:hint="eastAsia" w:ascii="宋体" w:hAnsi="宋体" w:cs="宋体"/>
                <w:color w:val="auto"/>
                <w:kern w:val="0"/>
                <w:szCs w:val="21"/>
                <w:highlight w:val="none"/>
                <w:lang w:eastAsia="zh-CN" w:bidi="ar"/>
              </w:rPr>
              <w:t>，</w:t>
            </w:r>
            <w:r>
              <w:rPr>
                <w:rFonts w:hint="eastAsia" w:ascii="宋体" w:hAnsi="宋体" w:eastAsia="宋体" w:cs="宋体"/>
                <w:color w:val="auto"/>
                <w:kern w:val="0"/>
                <w:sz w:val="21"/>
                <w:szCs w:val="21"/>
                <w:highlight w:val="none"/>
                <w:lang w:bidi="ar"/>
              </w:rPr>
              <w:t>得</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w:t>
            </w:r>
          </w:p>
          <w:p w14:paraId="5E12633B">
            <w:pPr>
              <w:widowControl/>
              <w:spacing w:line="360" w:lineRule="auto"/>
              <w:jc w:val="left"/>
              <w:textAlignment w:val="center"/>
              <w:rPr>
                <w:rFonts w:hint="eastAsia"/>
                <w:highlight w:val="none"/>
              </w:rPr>
            </w:pPr>
            <w:r>
              <w:rPr>
                <w:rFonts w:hint="eastAsia" w:ascii="宋体" w:hAnsi="宋体" w:cs="宋体"/>
                <w:color w:val="auto"/>
                <w:kern w:val="0"/>
                <w:szCs w:val="21"/>
                <w:highlight w:val="none"/>
                <w:lang w:bidi="ar"/>
              </w:rPr>
              <w:t>总体应急方案描述较为完善，应急事件类型划分较详细，能结合自身经验提供较有针对性的应急措施，预防措施</w:t>
            </w:r>
            <w:r>
              <w:rPr>
                <w:rFonts w:hint="eastAsia" w:ascii="宋体" w:hAnsi="宋体" w:cs="宋体"/>
                <w:color w:val="auto"/>
                <w:kern w:val="0"/>
                <w:szCs w:val="21"/>
                <w:highlight w:val="none"/>
                <w:lang w:val="en-US" w:eastAsia="zh-CN" w:bidi="ar"/>
              </w:rPr>
              <w:t>较为可行</w:t>
            </w:r>
            <w:r>
              <w:rPr>
                <w:rFonts w:hint="eastAsia" w:ascii="宋体" w:hAnsi="宋体" w:cs="宋体"/>
                <w:color w:val="auto"/>
                <w:kern w:val="0"/>
                <w:szCs w:val="21"/>
                <w:highlight w:val="none"/>
                <w:lang w:bidi="ar"/>
              </w:rPr>
              <w:t>的</w:t>
            </w:r>
            <w:r>
              <w:rPr>
                <w:rFonts w:hint="eastAsia" w:ascii="宋体" w:hAnsi="宋体" w:cs="宋体"/>
                <w:color w:val="auto"/>
                <w:kern w:val="0"/>
                <w:szCs w:val="21"/>
                <w:highlight w:val="none"/>
                <w:lang w:eastAsia="zh-CN" w:bidi="ar"/>
              </w:rPr>
              <w:t>，</w:t>
            </w:r>
            <w:r>
              <w:rPr>
                <w:rFonts w:hint="eastAsia" w:ascii="宋体" w:hAnsi="宋体" w:eastAsia="宋体" w:cs="宋体"/>
                <w:color w:val="auto"/>
                <w:kern w:val="0"/>
                <w:sz w:val="21"/>
                <w:szCs w:val="21"/>
                <w:highlight w:val="none"/>
                <w:lang w:bidi="ar"/>
              </w:rPr>
              <w:t>得</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p>
          <w:p w14:paraId="5FB27F0F">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kern w:val="0"/>
                <w:szCs w:val="21"/>
                <w:highlight w:val="none"/>
                <w:lang w:bidi="ar"/>
              </w:rPr>
              <w:t>总体应急方案描述</w:t>
            </w:r>
            <w:r>
              <w:rPr>
                <w:rFonts w:hint="eastAsia" w:ascii="宋体" w:hAnsi="宋体" w:cs="宋体"/>
                <w:color w:val="auto"/>
                <w:kern w:val="0"/>
                <w:szCs w:val="21"/>
                <w:highlight w:val="none"/>
                <w:lang w:val="en-US" w:eastAsia="zh-CN" w:bidi="ar"/>
              </w:rPr>
              <w:t>基本合理</w:t>
            </w:r>
            <w:r>
              <w:rPr>
                <w:rFonts w:hint="eastAsia" w:ascii="宋体" w:hAnsi="宋体" w:cs="宋体"/>
                <w:color w:val="auto"/>
                <w:kern w:val="0"/>
                <w:szCs w:val="21"/>
                <w:highlight w:val="none"/>
                <w:lang w:bidi="ar"/>
              </w:rPr>
              <w:t>，应急事件类型划分</w:t>
            </w:r>
            <w:r>
              <w:rPr>
                <w:rFonts w:hint="eastAsia" w:ascii="宋体" w:hAnsi="宋体" w:cs="宋体"/>
                <w:color w:val="auto"/>
                <w:kern w:val="0"/>
                <w:szCs w:val="21"/>
                <w:highlight w:val="none"/>
                <w:lang w:val="en-US" w:eastAsia="zh-CN" w:bidi="ar"/>
              </w:rPr>
              <w:t>宽泛</w:t>
            </w:r>
            <w:r>
              <w:rPr>
                <w:rFonts w:hint="eastAsia" w:ascii="宋体" w:hAnsi="宋体" w:cs="宋体"/>
                <w:color w:val="auto"/>
                <w:kern w:val="0"/>
                <w:szCs w:val="21"/>
                <w:highlight w:val="none"/>
                <w:lang w:bidi="ar"/>
              </w:rPr>
              <w:t>，能结合自身经验提供</w:t>
            </w:r>
            <w:r>
              <w:rPr>
                <w:rFonts w:hint="eastAsia" w:ascii="宋体" w:hAnsi="宋体" w:cs="宋体"/>
                <w:color w:val="auto"/>
                <w:kern w:val="0"/>
                <w:szCs w:val="21"/>
                <w:highlight w:val="none"/>
                <w:lang w:val="en-US" w:eastAsia="zh-CN" w:bidi="ar"/>
              </w:rPr>
              <w:t>相对合理</w:t>
            </w:r>
            <w:r>
              <w:rPr>
                <w:rFonts w:hint="eastAsia" w:ascii="宋体" w:hAnsi="宋体" w:cs="宋体"/>
                <w:color w:val="auto"/>
                <w:kern w:val="0"/>
                <w:szCs w:val="21"/>
                <w:highlight w:val="none"/>
                <w:lang w:bidi="ar"/>
              </w:rPr>
              <w:t>的应急措施，预防措施不够细致的</w:t>
            </w:r>
            <w:r>
              <w:rPr>
                <w:rFonts w:hint="eastAsia" w:ascii="宋体" w:hAnsi="宋体" w:cs="宋体"/>
                <w:color w:val="auto"/>
                <w:kern w:val="0"/>
                <w:szCs w:val="21"/>
                <w:highlight w:val="none"/>
                <w:lang w:eastAsia="zh-CN" w:bidi="ar"/>
              </w:rPr>
              <w:t>，</w:t>
            </w:r>
            <w:r>
              <w:rPr>
                <w:rFonts w:hint="eastAsia" w:ascii="宋体" w:hAnsi="宋体" w:eastAsia="宋体" w:cs="宋体"/>
                <w:color w:val="auto"/>
                <w:kern w:val="0"/>
                <w:sz w:val="21"/>
                <w:szCs w:val="21"/>
                <w:highlight w:val="none"/>
                <w:lang w:bidi="ar"/>
              </w:rPr>
              <w:t>得</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w:t>
            </w:r>
          </w:p>
          <w:p w14:paraId="4D19020F">
            <w:pPr>
              <w:widowControl/>
              <w:spacing w:line="360" w:lineRule="auto"/>
              <w:jc w:val="left"/>
              <w:textAlignment w:val="center"/>
              <w:rPr>
                <w:rFonts w:hint="eastAsia"/>
                <w:highlight w:val="none"/>
              </w:rPr>
            </w:pPr>
            <w:r>
              <w:rPr>
                <w:rFonts w:hint="eastAsia" w:ascii="宋体" w:hAnsi="宋体" w:cs="宋体"/>
                <w:color w:val="auto"/>
                <w:kern w:val="0"/>
                <w:szCs w:val="21"/>
                <w:highlight w:val="none"/>
                <w:lang w:bidi="ar"/>
              </w:rPr>
              <w:t>总体应急方案，应急措施内容</w:t>
            </w:r>
            <w:r>
              <w:rPr>
                <w:rFonts w:hint="eastAsia" w:ascii="宋体" w:hAnsi="宋体" w:cs="宋体"/>
                <w:color w:val="auto"/>
                <w:kern w:val="0"/>
                <w:szCs w:val="21"/>
                <w:highlight w:val="none"/>
                <w:lang w:val="en-US" w:eastAsia="zh-CN" w:bidi="ar"/>
              </w:rPr>
              <w:t>简略的，</w:t>
            </w:r>
            <w:r>
              <w:rPr>
                <w:rFonts w:hint="eastAsia" w:ascii="宋体" w:hAnsi="宋体" w:eastAsia="宋体" w:cs="宋体"/>
                <w:color w:val="auto"/>
                <w:kern w:val="0"/>
                <w:sz w:val="21"/>
                <w:szCs w:val="21"/>
                <w:highlight w:val="none"/>
                <w:lang w:bidi="ar"/>
              </w:rPr>
              <w:t>得</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p>
          <w:p w14:paraId="72E9377D">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kern w:val="0"/>
                <w:szCs w:val="21"/>
                <w:highlight w:val="none"/>
                <w:lang w:bidi="ar"/>
              </w:rPr>
              <w:t>总体应急方案内容不全，应急措施有明显不合理之处的</w:t>
            </w:r>
            <w:r>
              <w:rPr>
                <w:rFonts w:hint="eastAsia" w:ascii="宋体" w:hAnsi="宋体" w:cs="宋体"/>
                <w:color w:val="auto"/>
                <w:kern w:val="0"/>
                <w:szCs w:val="21"/>
                <w:highlight w:val="none"/>
                <w:lang w:eastAsia="zh-CN" w:bidi="ar"/>
              </w:rPr>
              <w:t>，</w:t>
            </w:r>
            <w:r>
              <w:rPr>
                <w:rFonts w:hint="eastAsia" w:ascii="宋体" w:hAnsi="宋体" w:eastAsia="宋体" w:cs="宋体"/>
                <w:color w:val="auto"/>
                <w:kern w:val="0"/>
                <w:sz w:val="21"/>
                <w:szCs w:val="21"/>
                <w:highlight w:val="none"/>
                <w:lang w:bidi="ar"/>
              </w:rPr>
              <w:t>得1分；</w:t>
            </w:r>
          </w:p>
          <w:p w14:paraId="6E5E71CC">
            <w:pPr>
              <w:widowControl/>
              <w:spacing w:line="360" w:lineRule="auto"/>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sz w:val="21"/>
                <w:szCs w:val="21"/>
                <w:highlight w:val="none"/>
                <w:lang w:val="en-US" w:eastAsia="zh-CN"/>
              </w:rPr>
              <w:t>未提供相关内容的不得分。</w:t>
            </w:r>
          </w:p>
        </w:tc>
      </w:tr>
      <w:tr w14:paraId="15654A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5" w:hRule="atLeast"/>
          <w:jc w:val="center"/>
        </w:trPr>
        <w:tc>
          <w:tcPr>
            <w:tcW w:w="1128" w:type="dxa"/>
            <w:vMerge w:val="continue"/>
            <w:vAlign w:val="center"/>
          </w:tcPr>
          <w:p w14:paraId="65BFDF52">
            <w:pPr>
              <w:pStyle w:val="84"/>
              <w:keepNext w:val="0"/>
              <w:keepLines w:val="0"/>
              <w:pageBreakBefore w:val="0"/>
              <w:widowControl w:val="0"/>
              <w:kinsoku/>
              <w:wordWrap/>
              <w:overflowPunct/>
              <w:topLinePunct w:val="0"/>
              <w:autoSpaceDE/>
              <w:autoSpaceDN/>
              <w:bidi w:val="0"/>
              <w:adjustRightInd w:val="0"/>
              <w:snapToGrid/>
              <w:spacing w:line="440" w:lineRule="exact"/>
              <w:ind w:left="0" w:leftChars="0" w:firstLine="0" w:firstLineChars="0"/>
              <w:textAlignment w:val="auto"/>
              <w:rPr>
                <w:highlight w:val="none"/>
              </w:rPr>
            </w:pPr>
          </w:p>
        </w:tc>
        <w:tc>
          <w:tcPr>
            <w:tcW w:w="1079" w:type="dxa"/>
            <w:shd w:val="clear" w:color="auto" w:fill="auto"/>
            <w:vAlign w:val="center"/>
          </w:tcPr>
          <w:p w14:paraId="0B334306">
            <w:pPr>
              <w:keepNext w:val="0"/>
              <w:keepLines w:val="0"/>
              <w:pageBreakBefore w:val="0"/>
              <w:widowControl w:val="0"/>
              <w:tabs>
                <w:tab w:val="right" w:pos="4601"/>
              </w:tabs>
              <w:kinsoku/>
              <w:wordWrap/>
              <w:overflowPunct/>
              <w:topLinePunct w:val="0"/>
              <w:autoSpaceDE/>
              <w:autoSpaceDN/>
              <w:bidi w:val="0"/>
              <w:adjustRightInd w:val="0"/>
              <w:snapToGrid/>
              <w:spacing w:line="440" w:lineRule="exac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服务便捷性（5分）</w:t>
            </w:r>
          </w:p>
        </w:tc>
        <w:tc>
          <w:tcPr>
            <w:tcW w:w="7723" w:type="dxa"/>
            <w:shd w:val="clear" w:color="auto" w:fill="auto"/>
            <w:vAlign w:val="center"/>
          </w:tcPr>
          <w:p w14:paraId="508ABCBF">
            <w:pPr>
              <w:keepNext w:val="0"/>
              <w:keepLines w:val="0"/>
              <w:pageBreakBefore w:val="0"/>
              <w:widowControl w:val="0"/>
              <w:tabs>
                <w:tab w:val="right" w:pos="4601"/>
              </w:tabs>
              <w:kinsoku/>
              <w:wordWrap/>
              <w:overflowPunct/>
              <w:topLinePunct w:val="0"/>
              <w:autoSpaceDE/>
              <w:autoSpaceDN/>
              <w:bidi w:val="0"/>
              <w:adjustRightInd w:val="0"/>
              <w:snapToGrid/>
              <w:spacing w:line="44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评委根据</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供应商提</w:t>
            </w:r>
            <w:r>
              <w:rPr>
                <w:rFonts w:hint="eastAsia" w:ascii="宋体" w:hAnsi="宋体" w:eastAsia="宋体" w:cs="宋体"/>
                <w:color w:val="000000" w:themeColor="text1"/>
                <w:kern w:val="0"/>
                <w:sz w:val="21"/>
                <w:szCs w:val="21"/>
                <w:highlight w:val="none"/>
                <w:lang w:val="zh-CN"/>
                <w14:textFill>
                  <w14:solidFill>
                    <w14:schemeClr w14:val="tx1"/>
                  </w14:solidFill>
                </w14:textFill>
              </w:rPr>
              <w:t>供的在合同履行期间对服务需求响应的及时性和服务的便捷性</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等方面</w:t>
            </w:r>
            <w:r>
              <w:rPr>
                <w:rFonts w:hint="eastAsia" w:ascii="宋体" w:hAnsi="宋体" w:eastAsia="宋体" w:cs="宋体"/>
                <w:color w:val="000000" w:themeColor="text1"/>
                <w:kern w:val="0"/>
                <w:sz w:val="21"/>
                <w:szCs w:val="21"/>
                <w:highlight w:val="none"/>
                <w:lang w:val="zh-CN"/>
                <w14:textFill>
                  <w14:solidFill>
                    <w14:schemeClr w14:val="tx1"/>
                  </w14:solidFill>
                </w14:textFill>
              </w:rPr>
              <w:t>进行</w:t>
            </w:r>
            <w:r>
              <w:rPr>
                <w:rFonts w:hint="eastAsia" w:ascii="宋体" w:hAnsi="宋体" w:cs="宋体"/>
                <w:color w:val="000000" w:themeColor="text1"/>
                <w:kern w:val="0"/>
                <w:sz w:val="21"/>
                <w:szCs w:val="21"/>
                <w:highlight w:val="none"/>
                <w:lang w:val="en-US" w:eastAsia="zh-CN"/>
                <w14:textFill>
                  <w14:solidFill>
                    <w14:schemeClr w14:val="tx1"/>
                  </w14:solidFill>
                </w14:textFill>
              </w:rPr>
              <w:t>综合</w:t>
            </w:r>
            <w:r>
              <w:rPr>
                <w:rFonts w:hint="eastAsia" w:ascii="宋体" w:hAnsi="宋体" w:eastAsia="宋体" w:cs="宋体"/>
                <w:color w:val="000000" w:themeColor="text1"/>
                <w:kern w:val="0"/>
                <w:sz w:val="21"/>
                <w:szCs w:val="21"/>
                <w:highlight w:val="none"/>
                <w:lang w:val="zh-CN"/>
                <w14:textFill>
                  <w14:solidFill>
                    <w14:schemeClr w14:val="tx1"/>
                  </w14:solidFill>
                </w14:textFill>
              </w:rPr>
              <w:t>评</w:t>
            </w:r>
            <w:r>
              <w:rPr>
                <w:rFonts w:hint="eastAsia" w:ascii="宋体" w:hAnsi="宋体" w:cs="宋体"/>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p>
          <w:p w14:paraId="47185548">
            <w:pPr>
              <w:keepNext w:val="0"/>
              <w:keepLines w:val="0"/>
              <w:pageBreakBefore w:val="0"/>
              <w:widowControl w:val="0"/>
              <w:tabs>
                <w:tab w:val="right" w:pos="4601"/>
              </w:tabs>
              <w:kinsoku/>
              <w:wordWrap/>
              <w:overflowPunct/>
              <w:topLinePunct w:val="0"/>
              <w:autoSpaceDE/>
              <w:autoSpaceDN/>
              <w:bidi w:val="0"/>
              <w:adjustRightInd w:val="0"/>
              <w:snapToGrid/>
              <w:spacing w:line="44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服务便捷，方案完整、科学、合理的得5分；</w:t>
            </w:r>
          </w:p>
          <w:p w14:paraId="78EF7B0A">
            <w:pPr>
              <w:keepNext w:val="0"/>
              <w:keepLines w:val="0"/>
              <w:pageBreakBefore w:val="0"/>
              <w:widowControl w:val="0"/>
              <w:tabs>
                <w:tab w:val="right" w:pos="4601"/>
              </w:tabs>
              <w:kinsoku/>
              <w:wordWrap/>
              <w:overflowPunct/>
              <w:topLinePunct w:val="0"/>
              <w:autoSpaceDE/>
              <w:autoSpaceDN/>
              <w:bidi w:val="0"/>
              <w:adjustRightInd w:val="0"/>
              <w:snapToGrid/>
              <w:spacing w:line="44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服务便捷性较好，方案较完整，基本满足项目要求的得4分；</w:t>
            </w:r>
          </w:p>
          <w:p w14:paraId="68C09617">
            <w:pPr>
              <w:keepNext w:val="0"/>
              <w:keepLines w:val="0"/>
              <w:pageBreakBefore w:val="0"/>
              <w:widowControl w:val="0"/>
              <w:tabs>
                <w:tab w:val="right" w:pos="4601"/>
              </w:tabs>
              <w:kinsoku/>
              <w:wordWrap/>
              <w:overflowPunct/>
              <w:topLinePunct w:val="0"/>
              <w:autoSpaceDE/>
              <w:autoSpaceDN/>
              <w:bidi w:val="0"/>
              <w:adjustRightInd w:val="0"/>
              <w:snapToGrid/>
              <w:spacing w:line="44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服务便捷性一般，方案不够完整，存在部分缺陷的得3分；</w:t>
            </w:r>
          </w:p>
          <w:p w14:paraId="6EB9A725">
            <w:pPr>
              <w:keepNext w:val="0"/>
              <w:keepLines w:val="0"/>
              <w:pageBreakBefore w:val="0"/>
              <w:widowControl w:val="0"/>
              <w:tabs>
                <w:tab w:val="right" w:pos="4601"/>
              </w:tabs>
              <w:kinsoku/>
              <w:wordWrap/>
              <w:overflowPunct/>
              <w:topLinePunct w:val="0"/>
              <w:autoSpaceDE/>
              <w:autoSpaceDN/>
              <w:bidi w:val="0"/>
              <w:adjustRightInd w:val="0"/>
              <w:snapToGrid/>
              <w:spacing w:line="44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服务便捷性较差，方案不完整，存在部分缺陷的得2分；</w:t>
            </w:r>
          </w:p>
          <w:p w14:paraId="6F2600AD">
            <w:pPr>
              <w:keepNext w:val="0"/>
              <w:keepLines w:val="0"/>
              <w:pageBreakBefore w:val="0"/>
              <w:widowControl w:val="0"/>
              <w:tabs>
                <w:tab w:val="right" w:pos="4601"/>
              </w:tabs>
              <w:kinsoku/>
              <w:wordWrap/>
              <w:overflowPunct/>
              <w:topLinePunct w:val="0"/>
              <w:autoSpaceDE/>
              <w:autoSpaceDN/>
              <w:bidi w:val="0"/>
              <w:adjustRightInd w:val="0"/>
              <w:snapToGrid/>
              <w:spacing w:line="440" w:lineRule="exac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服务不便捷，方案不完整，存在明显缺陷，无法满足招标需求的得1分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24B2259A">
            <w:pPr>
              <w:keepNext w:val="0"/>
              <w:keepLines w:val="0"/>
              <w:pageBreakBefore w:val="0"/>
              <w:widowControl w:val="0"/>
              <w:tabs>
                <w:tab w:val="right" w:pos="4601"/>
              </w:tabs>
              <w:kinsoku/>
              <w:wordWrap/>
              <w:overflowPunct/>
              <w:topLinePunct w:val="0"/>
              <w:autoSpaceDE/>
              <w:autoSpaceDN/>
              <w:bidi w:val="0"/>
              <w:adjustRightInd w:val="0"/>
              <w:snapToGrid/>
              <w:spacing w:line="440" w:lineRule="exac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sz w:val="21"/>
                <w:szCs w:val="21"/>
                <w:highlight w:val="none"/>
                <w:lang w:val="en-US" w:eastAsia="zh-CN"/>
              </w:rPr>
              <w:t>未提供相关内容的不得分。</w:t>
            </w:r>
          </w:p>
        </w:tc>
      </w:tr>
    </w:tbl>
    <w:p w14:paraId="08B84628">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default" w:ascii="宋体" w:hAnsi="宋体" w:cs="宋体"/>
          <w:color w:val="auto"/>
          <w:sz w:val="21"/>
          <w:szCs w:val="21"/>
          <w:highlight w:val="none"/>
          <w:lang w:val="en-US" w:eastAsia="zh-CN"/>
        </w:rPr>
      </w:pPr>
      <w:r>
        <w:rPr>
          <w:rFonts w:hint="eastAsia" w:ascii="宋体" w:hAnsi="宋体" w:cs="宋体"/>
          <w:b/>
          <w:color w:val="auto"/>
          <w:sz w:val="21"/>
          <w:szCs w:val="21"/>
          <w:highlight w:val="none"/>
        </w:rPr>
        <w:t>备注：1、小数点后保留</w:t>
      </w:r>
      <w:r>
        <w:rPr>
          <w:rFonts w:hint="eastAsia" w:ascii="宋体" w:hAnsi="宋体" w:cs="宋体"/>
          <w:b/>
          <w:color w:val="auto"/>
          <w:sz w:val="21"/>
          <w:szCs w:val="21"/>
          <w:highlight w:val="none"/>
          <w:lang w:val="en-US" w:eastAsia="zh-CN"/>
        </w:rPr>
        <w:t>二</w:t>
      </w:r>
      <w:r>
        <w:rPr>
          <w:rFonts w:hint="eastAsia" w:ascii="宋体" w:hAnsi="宋体" w:cs="宋体"/>
          <w:b/>
          <w:color w:val="auto"/>
          <w:sz w:val="21"/>
          <w:szCs w:val="21"/>
          <w:highlight w:val="none"/>
        </w:rPr>
        <w:t>位数。2、各</w:t>
      </w:r>
      <w:r>
        <w:rPr>
          <w:rFonts w:hint="eastAsia" w:ascii="宋体" w:hAnsi="宋体" w:cs="宋体"/>
          <w:b/>
          <w:color w:val="auto"/>
          <w:sz w:val="21"/>
          <w:szCs w:val="21"/>
          <w:highlight w:val="none"/>
          <w:lang w:val="en-US" w:eastAsia="zh-CN"/>
        </w:rPr>
        <w:t>评审小组</w:t>
      </w:r>
      <w:r>
        <w:rPr>
          <w:rFonts w:hint="eastAsia" w:ascii="宋体" w:hAnsi="宋体" w:cs="宋体"/>
          <w:b/>
          <w:color w:val="auto"/>
          <w:sz w:val="21"/>
          <w:szCs w:val="21"/>
          <w:highlight w:val="none"/>
        </w:rPr>
        <w:t>成员自行按以上参考分值评分。3、重大事件由评标委员会集体讨论，应当按照少数服从多数的原则作出结论。</w:t>
      </w:r>
      <w:r>
        <w:rPr>
          <w:rFonts w:hint="eastAsia" w:ascii="宋体" w:hAnsi="宋体" w:cs="宋体"/>
          <w:b/>
          <w:color w:val="auto"/>
          <w:sz w:val="21"/>
          <w:szCs w:val="21"/>
          <w:highlight w:val="none"/>
          <w:lang w:val="en-US" w:eastAsia="zh-CN"/>
        </w:rPr>
        <w:t>4、</w:t>
      </w:r>
      <w:r>
        <w:rPr>
          <w:rFonts w:hint="eastAsia" w:ascii="宋体" w:hAnsi="宋体" w:cs="宋体"/>
          <w:b/>
          <w:bCs/>
          <w:color w:val="auto"/>
          <w:sz w:val="21"/>
          <w:szCs w:val="21"/>
          <w:highlight w:val="none"/>
        </w:rPr>
        <w:t>投标人编制投标文件（商务技术文件部分）时，建议按此目录（序号和内容）提供评标标准相应的商务技术资料。</w:t>
      </w:r>
    </w:p>
    <w:p w14:paraId="0502BB78">
      <w:pPr>
        <w:pStyle w:val="24"/>
        <w:kinsoku/>
        <w:wordWrap/>
        <w:overflowPunct/>
        <w:topLinePunct w:val="0"/>
        <w:bidi w:val="0"/>
        <w:outlineLvl w:val="9"/>
        <w:rPr>
          <w:rFonts w:hint="eastAsia"/>
          <w:color w:val="auto"/>
          <w:highlight w:val="none"/>
        </w:rPr>
        <w:sectPr>
          <w:pgSz w:w="11907" w:h="16840"/>
          <w:pgMar w:top="1474" w:right="1701" w:bottom="1474" w:left="1701" w:header="851" w:footer="851" w:gutter="0"/>
          <w:pgNumType w:fmt="decimal"/>
          <w:cols w:space="720" w:num="1"/>
        </w:sectPr>
      </w:pPr>
    </w:p>
    <w:p w14:paraId="3BCE0FC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eastAsia="宋体" w:cs="仿宋_GB2312"/>
          <w:b/>
          <w:color w:val="auto"/>
          <w:sz w:val="36"/>
          <w:szCs w:val="36"/>
          <w:highlight w:val="none"/>
        </w:rPr>
      </w:pPr>
      <w:bookmarkStart w:id="414" w:name="_Toc22205"/>
      <w:r>
        <w:rPr>
          <w:rFonts w:hint="eastAsia" w:ascii="宋体" w:hAnsi="宋体" w:cs="宋体"/>
          <w:b/>
          <w:color w:val="auto"/>
          <w:sz w:val="36"/>
          <w:szCs w:val="36"/>
          <w:highlight w:val="none"/>
        </w:rPr>
        <w:t xml:space="preserve">第五部分 </w:t>
      </w:r>
      <w:bookmarkStart w:id="415" w:name="_Toc7080"/>
      <w:r>
        <w:rPr>
          <w:rFonts w:hint="eastAsia" w:ascii="宋体" w:hAnsi="宋体" w:eastAsia="宋体" w:cs="仿宋_GB2312"/>
          <w:b/>
          <w:color w:val="auto"/>
          <w:sz w:val="36"/>
          <w:szCs w:val="36"/>
          <w:highlight w:val="none"/>
        </w:rPr>
        <w:t>拟签订的合同文本</w:t>
      </w:r>
      <w:bookmarkEnd w:id="414"/>
      <w:bookmarkEnd w:id="415"/>
    </w:p>
    <w:p w14:paraId="02529791">
      <w:pPr>
        <w:kinsoku/>
        <w:wordWrap/>
        <w:overflowPunct/>
        <w:topLinePunct w:val="0"/>
        <w:bidi w:val="0"/>
        <w:spacing w:line="360" w:lineRule="auto"/>
        <w:outlineLvl w:val="9"/>
        <w:rPr>
          <w:rFonts w:ascii="宋体" w:hAnsi="宋体" w:eastAsia="宋体" w:cs="Times New Roman"/>
          <w:color w:val="auto"/>
          <w:sz w:val="24"/>
          <w:highlight w:val="none"/>
        </w:rPr>
      </w:pPr>
    </w:p>
    <w:p w14:paraId="1AFD8238">
      <w:pPr>
        <w:kinsoku/>
        <w:wordWrap/>
        <w:overflowPunct/>
        <w:topLinePunct w:val="0"/>
        <w:bidi w:val="0"/>
        <w:spacing w:line="360" w:lineRule="auto"/>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合同编号：</w:t>
      </w:r>
      <w:r>
        <w:rPr>
          <w:rFonts w:hint="eastAsia" w:ascii="宋体" w:hAnsi="宋体" w:eastAsia="宋体" w:cs="Times New Roman"/>
          <w:color w:val="auto"/>
          <w:sz w:val="24"/>
          <w:highlight w:val="none"/>
          <w:u w:val="single"/>
        </w:rPr>
        <w:t xml:space="preserve">           </w:t>
      </w:r>
    </w:p>
    <w:p w14:paraId="411FF6F1">
      <w:pPr>
        <w:kinsoku/>
        <w:wordWrap/>
        <w:overflowPunct/>
        <w:topLinePunct w:val="0"/>
        <w:bidi w:val="0"/>
        <w:spacing w:line="360" w:lineRule="auto"/>
        <w:outlineLvl w:val="9"/>
        <w:rPr>
          <w:rFonts w:ascii="宋体" w:hAnsi="宋体" w:eastAsia="宋体" w:cs="Times New Roman"/>
          <w:color w:val="auto"/>
          <w:sz w:val="24"/>
          <w:highlight w:val="none"/>
          <w:u w:val="single"/>
        </w:rPr>
      </w:pPr>
    </w:p>
    <w:p w14:paraId="356C6682">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outlineLvl w:val="1"/>
        <w:rPr>
          <w:rFonts w:ascii="宋体" w:hAnsi="宋体" w:eastAsia="宋体" w:cs="仿宋_GB2312"/>
          <w:b/>
          <w:color w:val="auto"/>
          <w:kern w:val="2"/>
          <w:sz w:val="28"/>
          <w:szCs w:val="28"/>
          <w:highlight w:val="none"/>
          <w:lang w:val="en-US" w:eastAsia="zh-CN" w:bidi="ar-SA"/>
        </w:rPr>
      </w:pPr>
      <w:r>
        <w:rPr>
          <w:rFonts w:hint="eastAsia" w:ascii="宋体" w:hAnsi="宋体" w:eastAsia="宋体" w:cs="仿宋_GB2312"/>
          <w:b/>
          <w:color w:val="auto"/>
          <w:kern w:val="2"/>
          <w:sz w:val="28"/>
          <w:szCs w:val="28"/>
          <w:highlight w:val="none"/>
          <w:lang w:val="en-US" w:eastAsia="zh-CN" w:bidi="ar-SA"/>
        </w:rPr>
        <w:t>政府采购合同书</w:t>
      </w:r>
    </w:p>
    <w:p w14:paraId="2F4A4BBB">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Times New Roman"/>
          <w:color w:val="auto"/>
          <w:kern w:val="2"/>
          <w:sz w:val="24"/>
          <w:szCs w:val="24"/>
          <w:highlight w:val="none"/>
          <w:lang w:val="en-US" w:eastAsia="zh-CN" w:bidi="ar-SA"/>
        </w:rPr>
      </w:pPr>
    </w:p>
    <w:p w14:paraId="4C15C656">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Times New Roman"/>
          <w:color w:val="auto"/>
          <w:kern w:val="2"/>
          <w:sz w:val="24"/>
          <w:szCs w:val="24"/>
          <w:highlight w:val="none"/>
          <w:lang w:val="en-US" w:eastAsia="zh-CN" w:bidi="ar-SA"/>
        </w:rPr>
      </w:pPr>
    </w:p>
    <w:p w14:paraId="09E8BB03">
      <w:pPr>
        <w:kinsoku/>
        <w:wordWrap/>
        <w:overflowPunct/>
        <w:topLinePunct w:val="0"/>
        <w:bidi w:val="0"/>
        <w:spacing w:before="120" w:line="360" w:lineRule="auto"/>
        <w:outlineLvl w:val="9"/>
        <w:rPr>
          <w:rFonts w:ascii="宋体" w:hAnsi="宋体" w:eastAsia="宋体" w:cs="Times New Roman"/>
          <w:color w:val="auto"/>
          <w:sz w:val="24"/>
          <w:highlight w:val="none"/>
        </w:rPr>
      </w:pPr>
    </w:p>
    <w:p w14:paraId="160E878B">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single"/>
          <w:lang w:eastAsia="zh-CN"/>
        </w:rPr>
        <w:t>宁海强对流天气秒预警工程（重招）</w:t>
      </w:r>
    </w:p>
    <w:p w14:paraId="2B2ED003">
      <w:pPr>
        <w:widowControl w:val="0"/>
        <w:kinsoku/>
        <w:wordWrap/>
        <w:overflowPunct/>
        <w:topLinePunct w:val="0"/>
        <w:bidi w:val="0"/>
        <w:adjustRightInd/>
        <w:spacing w:before="120" w:line="360" w:lineRule="auto"/>
        <w:jc w:val="both"/>
        <w:outlineLvl w:val="9"/>
        <w:rPr>
          <w:rFonts w:ascii="宋体" w:hAnsi="宋体" w:eastAsia="宋体" w:cs="Times New Roman"/>
          <w:color w:val="auto"/>
          <w:kern w:val="2"/>
          <w:sz w:val="24"/>
          <w:szCs w:val="24"/>
          <w:highlight w:val="none"/>
          <w:lang w:val="en-US" w:eastAsia="zh-CN" w:bidi="ar-SA"/>
        </w:rPr>
      </w:pPr>
    </w:p>
    <w:p w14:paraId="61778B27">
      <w:pPr>
        <w:kinsoku/>
        <w:wordWrap/>
        <w:overflowPunct/>
        <w:topLinePunct w:val="0"/>
        <w:bidi w:val="0"/>
        <w:spacing w:line="360" w:lineRule="auto"/>
        <w:outlineLvl w:val="9"/>
        <w:rPr>
          <w:rFonts w:ascii="宋体" w:hAnsi="宋体" w:eastAsia="宋体" w:cs="Times New Roman"/>
          <w:color w:val="auto"/>
          <w:sz w:val="24"/>
          <w:highlight w:val="none"/>
        </w:rPr>
      </w:pPr>
    </w:p>
    <w:p w14:paraId="6D1AF47C">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甲方：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宁海县气象局</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3D34E1DF">
      <w:pPr>
        <w:kinsoku/>
        <w:wordWrap/>
        <w:overflowPunct/>
        <w:topLinePunct w:val="0"/>
        <w:bidi w:val="0"/>
        <w:spacing w:before="120" w:line="360" w:lineRule="auto"/>
        <w:outlineLvl w:val="9"/>
        <w:rPr>
          <w:rFonts w:ascii="宋体" w:hAnsi="宋体" w:eastAsia="宋体" w:cs="Times New Roman"/>
          <w:color w:val="auto"/>
          <w:sz w:val="24"/>
          <w:highlight w:val="none"/>
        </w:rPr>
      </w:pPr>
    </w:p>
    <w:p w14:paraId="646EEF41">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乙方：</w:t>
      </w:r>
      <w:r>
        <w:rPr>
          <w:rFonts w:hint="eastAsia" w:ascii="宋体" w:hAnsi="宋体" w:eastAsia="宋体" w:cs="Times New Roman"/>
          <w:color w:val="auto"/>
          <w:sz w:val="24"/>
          <w:highlight w:val="none"/>
          <w:u w:val="single"/>
        </w:rPr>
        <w:t xml:space="preserve">                                       </w:t>
      </w:r>
    </w:p>
    <w:p w14:paraId="278F5056">
      <w:pPr>
        <w:kinsoku/>
        <w:wordWrap/>
        <w:overflowPunct/>
        <w:topLinePunct w:val="0"/>
        <w:bidi w:val="0"/>
        <w:spacing w:before="120" w:line="360" w:lineRule="auto"/>
        <w:outlineLvl w:val="9"/>
        <w:rPr>
          <w:rFonts w:ascii="宋体" w:hAnsi="宋体" w:eastAsia="宋体" w:cs="Times New Roman"/>
          <w:color w:val="auto"/>
          <w:sz w:val="24"/>
          <w:highlight w:val="none"/>
        </w:rPr>
      </w:pPr>
    </w:p>
    <w:p w14:paraId="4F84A5ED">
      <w:pPr>
        <w:kinsoku/>
        <w:wordWrap/>
        <w:overflowPunct/>
        <w:topLinePunct w:val="0"/>
        <w:bidi w:val="0"/>
        <w:spacing w:before="120" w:line="360" w:lineRule="auto"/>
        <w:ind w:firstLine="960" w:firstLineChars="40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签订地：</w:t>
      </w:r>
      <w:r>
        <w:rPr>
          <w:rFonts w:hint="eastAsia" w:ascii="宋体" w:hAnsi="宋体" w:eastAsia="宋体" w:cs="Times New Roman"/>
          <w:color w:val="auto"/>
          <w:sz w:val="24"/>
          <w:highlight w:val="none"/>
          <w:u w:val="single"/>
        </w:rPr>
        <w:t xml:space="preserve">                                     </w:t>
      </w:r>
    </w:p>
    <w:p w14:paraId="5DAFBEB2">
      <w:pPr>
        <w:kinsoku/>
        <w:wordWrap/>
        <w:overflowPunct/>
        <w:topLinePunct w:val="0"/>
        <w:bidi w:val="0"/>
        <w:spacing w:before="120" w:line="360" w:lineRule="auto"/>
        <w:outlineLvl w:val="9"/>
        <w:rPr>
          <w:rFonts w:ascii="宋体" w:hAnsi="宋体" w:eastAsia="宋体" w:cs="Times New Roman"/>
          <w:color w:val="auto"/>
          <w:sz w:val="24"/>
          <w:highlight w:val="none"/>
        </w:rPr>
      </w:pPr>
    </w:p>
    <w:p w14:paraId="652659A7">
      <w:pPr>
        <w:kinsoku/>
        <w:wordWrap/>
        <w:overflowPunct/>
        <w:topLinePunct w:val="0"/>
        <w:bidi w:val="0"/>
        <w:spacing w:before="120" w:line="360" w:lineRule="auto"/>
        <w:ind w:firstLine="960" w:firstLineChars="40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4A322CF8">
      <w:pPr>
        <w:widowControl/>
        <w:kinsoku/>
        <w:wordWrap/>
        <w:overflowPunct/>
        <w:topLinePunct w:val="0"/>
        <w:bidi w:val="0"/>
        <w:adjustRightInd/>
        <w:jc w:val="left"/>
        <w:outlineLvl w:val="9"/>
        <w:rPr>
          <w:rFonts w:ascii="宋体" w:hAnsi="宋体" w:eastAsia="宋体" w:cs="仿宋_GB2312"/>
          <w:b/>
          <w:color w:val="auto"/>
          <w:sz w:val="24"/>
          <w:highlight w:val="none"/>
        </w:rPr>
      </w:pPr>
      <w:r>
        <w:rPr>
          <w:rFonts w:hint="eastAsia" w:ascii="宋体" w:hAnsi="宋体" w:eastAsia="宋体" w:cs="仿宋_GB2312"/>
          <w:b/>
          <w:color w:val="auto"/>
          <w:sz w:val="24"/>
          <w:highlight w:val="none"/>
        </w:rPr>
        <w:br w:type="page"/>
      </w:r>
    </w:p>
    <w:p w14:paraId="1567129C">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outlineLvl w:val="1"/>
        <w:rPr>
          <w:rFonts w:ascii="宋体" w:hAnsi="宋体" w:eastAsia="宋体" w:cs="Times New Roman"/>
          <w:b/>
          <w:color w:val="auto"/>
          <w:kern w:val="2"/>
          <w:sz w:val="28"/>
          <w:szCs w:val="28"/>
          <w:highlight w:val="none"/>
          <w:lang w:val="en-US" w:eastAsia="zh-CN" w:bidi="ar-SA"/>
        </w:rPr>
      </w:pPr>
      <w:r>
        <w:rPr>
          <w:rFonts w:hint="eastAsia" w:ascii="宋体" w:hAnsi="宋体" w:eastAsia="宋体" w:cs="Times New Roman"/>
          <w:b/>
          <w:color w:val="auto"/>
          <w:kern w:val="2"/>
          <w:sz w:val="28"/>
          <w:szCs w:val="28"/>
          <w:highlight w:val="none"/>
          <w:lang w:val="en-US" w:eastAsia="zh-CN" w:bidi="ar-SA"/>
        </w:rPr>
        <w:t>第一部分</w:t>
      </w:r>
      <w:r>
        <w:rPr>
          <w:rFonts w:ascii="宋体" w:hAnsi="宋体" w:eastAsia="宋体" w:cs="Times New Roman"/>
          <w:b/>
          <w:color w:val="auto"/>
          <w:kern w:val="2"/>
          <w:sz w:val="28"/>
          <w:szCs w:val="28"/>
          <w:highlight w:val="none"/>
          <w:lang w:val="en-US" w:eastAsia="zh-CN" w:bidi="ar-SA"/>
        </w:rPr>
        <w:t xml:space="preserve"> </w:t>
      </w:r>
      <w:r>
        <w:rPr>
          <w:rFonts w:hint="eastAsia" w:ascii="宋体" w:hAnsi="宋体" w:eastAsia="宋体" w:cs="Times New Roman"/>
          <w:b/>
          <w:color w:val="auto"/>
          <w:kern w:val="2"/>
          <w:sz w:val="28"/>
          <w:szCs w:val="28"/>
          <w:highlight w:val="none"/>
          <w:lang w:val="en-US" w:eastAsia="zh-CN" w:bidi="ar-SA"/>
        </w:rPr>
        <w:t>协议书</w:t>
      </w:r>
    </w:p>
    <w:p w14:paraId="2E5324C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highlight w:val="none"/>
          <w:u w:val="single"/>
          <w:lang w:val="zh-CN"/>
        </w:rPr>
      </w:pPr>
    </w:p>
    <w:p w14:paraId="468F0ED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公开招标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u w:val="single"/>
          <w:lang w:eastAsia="zh-CN"/>
        </w:rPr>
        <w:t>宁海强对流天气秒预警工程（重招）</w:t>
      </w:r>
      <w:r>
        <w:rPr>
          <w:rFonts w:hint="eastAsia" w:ascii="宋体" w:hAnsi="宋体" w:eastAsia="宋体" w:cs="宋体"/>
          <w:color w:val="auto"/>
          <w:sz w:val="21"/>
          <w:szCs w:val="21"/>
          <w:highlight w:val="none"/>
          <w:u w:val="none"/>
          <w:lang w:eastAsia="zh-CN"/>
        </w:rPr>
        <w:t>进行</w:t>
      </w:r>
      <w:r>
        <w:rPr>
          <w:rFonts w:hint="eastAsia" w:ascii="宋体" w:hAnsi="宋体" w:eastAsia="宋体" w:cs="宋体"/>
          <w:color w:val="auto"/>
          <w:sz w:val="21"/>
          <w:szCs w:val="21"/>
          <w:highlight w:val="none"/>
        </w:rPr>
        <w:t>了采购。经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评审</w:t>
      </w:r>
      <w:r>
        <w:rPr>
          <w:rFonts w:hint="eastAsia" w:ascii="宋体" w:hAnsi="宋体" w:eastAsia="宋体" w:cs="宋体"/>
          <w:color w:val="auto"/>
          <w:sz w:val="21"/>
          <w:szCs w:val="21"/>
          <w:highlight w:val="none"/>
          <w:u w:val="single"/>
        </w:rPr>
        <w:t xml:space="preserve">小组 </w:t>
      </w:r>
      <w:r>
        <w:rPr>
          <w:rFonts w:hint="eastAsia" w:ascii="宋体" w:hAnsi="宋体" w:eastAsia="宋体" w:cs="宋体"/>
          <w:color w:val="auto"/>
          <w:sz w:val="21"/>
          <w:szCs w:val="21"/>
          <w:highlight w:val="none"/>
        </w:rPr>
        <w:t>评定，</w:t>
      </w:r>
      <w:r>
        <w:rPr>
          <w:rFonts w:hint="eastAsia" w:ascii="宋体" w:hAnsi="宋体" w:eastAsia="宋体" w:cs="宋体"/>
          <w:color w:val="auto"/>
          <w:sz w:val="21"/>
          <w:szCs w:val="21"/>
          <w:highlight w:val="none"/>
          <w:u w:val="single"/>
        </w:rPr>
        <w:t xml:space="preserve"> （中标或者成交供应商名称） </w:t>
      </w:r>
      <w:r>
        <w:rPr>
          <w:rFonts w:hint="eastAsia" w:ascii="宋体" w:hAnsi="宋体" w:eastAsia="宋体" w:cs="宋体"/>
          <w:color w:val="auto"/>
          <w:sz w:val="21"/>
          <w:szCs w:val="21"/>
          <w:highlight w:val="none"/>
        </w:rPr>
        <w:t>为该项目中标或者成交供应商。现于中标或者成交通知书发出之日起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日内，按照采购文件确定的事项签订本合同。</w:t>
      </w:r>
    </w:p>
    <w:p w14:paraId="7FDC669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宁海县气象局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val="zh-CN"/>
        </w:rPr>
        <w:t>以下简称：甲方）和</w:t>
      </w:r>
      <w:r>
        <w:rPr>
          <w:rFonts w:hint="eastAsia" w:ascii="宋体" w:hAnsi="宋体" w:eastAsia="宋体" w:cs="宋体"/>
          <w:color w:val="auto"/>
          <w:sz w:val="21"/>
          <w:szCs w:val="21"/>
          <w:highlight w:val="none"/>
          <w:u w:val="single"/>
        </w:rPr>
        <w:t xml:space="preserve">   （中</w:t>
      </w:r>
      <w:r>
        <w:rPr>
          <w:rFonts w:hint="eastAsia" w:ascii="宋体" w:hAnsi="宋体" w:eastAsia="宋体" w:cs="宋体"/>
          <w:color w:val="auto"/>
          <w:sz w:val="21"/>
          <w:szCs w:val="21"/>
          <w:highlight w:val="none"/>
          <w:u w:val="single"/>
          <w:lang w:val="en-US" w:eastAsia="zh-CN"/>
        </w:rPr>
        <w:t>标</w:t>
      </w:r>
      <w:r>
        <w:rPr>
          <w:rFonts w:hint="eastAsia" w:ascii="宋体" w:hAnsi="宋体" w:eastAsia="宋体" w:cs="宋体"/>
          <w:color w:val="auto"/>
          <w:sz w:val="21"/>
          <w:szCs w:val="21"/>
          <w:highlight w:val="none"/>
          <w:u w:val="single"/>
        </w:rPr>
        <w:t xml:space="preserve">或者成交标供应商名称）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val="zh-CN"/>
        </w:rPr>
        <w:t>以下简称：乙方）协商一致，约定以下合同</w:t>
      </w:r>
      <w:r>
        <w:rPr>
          <w:rFonts w:hint="eastAsia" w:ascii="宋体" w:hAnsi="宋体" w:eastAsia="宋体" w:cs="宋体"/>
          <w:color w:val="auto"/>
          <w:sz w:val="21"/>
          <w:szCs w:val="21"/>
          <w:highlight w:val="none"/>
        </w:rPr>
        <w:t>条款，以兹共同遵守、全面履行。</w:t>
      </w:r>
    </w:p>
    <w:p w14:paraId="2B58F8F2">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both"/>
        <w:textAlignment w:val="auto"/>
        <w:outlineLvl w:val="2"/>
        <w:rPr>
          <w:rFonts w:hint="eastAsia" w:ascii="宋体" w:hAnsi="宋体" w:eastAsia="宋体" w:cs="宋体"/>
          <w:color w:val="auto"/>
          <w:sz w:val="21"/>
          <w:szCs w:val="21"/>
          <w:highlight w:val="none"/>
        </w:rPr>
      </w:pPr>
      <w:bookmarkStart w:id="416" w:name="_Toc28855"/>
      <w:bookmarkStart w:id="417" w:name="_Toc22967"/>
      <w:bookmarkStart w:id="418" w:name="_Toc20421"/>
      <w:bookmarkStart w:id="419" w:name="_Toc15367"/>
      <w:bookmarkStart w:id="420" w:name="_Toc19273"/>
      <w:r>
        <w:rPr>
          <w:rFonts w:hint="eastAsia" w:ascii="宋体" w:hAnsi="宋体" w:eastAsia="宋体" w:cs="宋体"/>
          <w:b/>
          <w:color w:val="auto"/>
          <w:sz w:val="21"/>
          <w:szCs w:val="21"/>
          <w:highlight w:val="none"/>
        </w:rPr>
        <w:t>1.1 合同组成部分</w:t>
      </w:r>
      <w:bookmarkEnd w:id="416"/>
      <w:bookmarkEnd w:id="417"/>
      <w:bookmarkEnd w:id="418"/>
      <w:bookmarkEnd w:id="419"/>
      <w:bookmarkEnd w:id="420"/>
    </w:p>
    <w:p w14:paraId="6BE7B56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6EEBD2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14:paraId="0756C40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中标或者成交通知书；</w:t>
      </w:r>
    </w:p>
    <w:p w14:paraId="43A9FCB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投标或者响应文件（含澄清或者说明文件）；</w:t>
      </w:r>
    </w:p>
    <w:p w14:paraId="2E0F543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采购文件（含澄清或者修改文件）；</w:t>
      </w:r>
    </w:p>
    <w:p w14:paraId="089D7ED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14:paraId="7099D279">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both"/>
        <w:textAlignment w:val="auto"/>
        <w:outlineLvl w:val="2"/>
        <w:rPr>
          <w:rFonts w:hint="eastAsia" w:ascii="宋体" w:hAnsi="宋体" w:eastAsia="宋体" w:cs="宋体"/>
          <w:b/>
          <w:color w:val="auto"/>
          <w:sz w:val="21"/>
          <w:szCs w:val="21"/>
          <w:highlight w:val="none"/>
        </w:rPr>
      </w:pPr>
      <w:bookmarkStart w:id="421" w:name="_Toc22185"/>
      <w:bookmarkStart w:id="422" w:name="_Toc6311"/>
      <w:bookmarkStart w:id="423" w:name="_Toc18585"/>
      <w:bookmarkStart w:id="424" w:name="_Toc2918"/>
      <w:bookmarkStart w:id="425" w:name="_Toc6773"/>
      <w:r>
        <w:rPr>
          <w:rFonts w:hint="eastAsia" w:ascii="宋体" w:hAnsi="宋体" w:eastAsia="宋体" w:cs="宋体"/>
          <w:b/>
          <w:color w:val="auto"/>
          <w:sz w:val="21"/>
          <w:szCs w:val="21"/>
          <w:highlight w:val="none"/>
        </w:rPr>
        <w:t>1.2 标的</w:t>
      </w:r>
      <w:bookmarkEnd w:id="421"/>
      <w:bookmarkEnd w:id="422"/>
      <w:bookmarkEnd w:id="423"/>
      <w:bookmarkEnd w:id="424"/>
      <w:bookmarkEnd w:id="425"/>
    </w:p>
    <w:p w14:paraId="5900019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服务内容：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ADB70B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服务标准：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BD3936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1.2.3 技术保障：</w:t>
      </w:r>
      <w:r>
        <w:rPr>
          <w:rFonts w:hint="eastAsia" w:ascii="宋体" w:hAnsi="宋体" w:eastAsia="宋体" w:cs="宋体"/>
          <w:color w:val="auto"/>
          <w:sz w:val="21"/>
          <w:szCs w:val="21"/>
          <w:highlight w:val="none"/>
          <w:u w:val="single"/>
        </w:rPr>
        <w:t>　　　　　　　　　                      　      ；</w:t>
      </w:r>
    </w:p>
    <w:p w14:paraId="539559C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服务人员组成：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555F1C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1.2.5合同</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（是/否）涉及货物。若涉及货物的，则：</w:t>
      </w:r>
    </w:p>
    <w:p w14:paraId="7D199ABB">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highlight w:val="none"/>
          <w:u w:val="single"/>
        </w:rPr>
      </w:pPr>
      <w:bookmarkStart w:id="426" w:name="_Toc21124"/>
      <w:bookmarkStart w:id="427" w:name="_Toc4929"/>
      <w:bookmarkStart w:id="428" w:name="_Toc13918"/>
      <w:bookmarkStart w:id="429" w:name="_Toc5635"/>
      <w:bookmarkStart w:id="430" w:name="_Toc1386"/>
      <w:r>
        <w:rPr>
          <w:rFonts w:hint="eastAsia" w:ascii="宋体" w:hAnsi="宋体" w:eastAsia="宋体" w:cs="宋体"/>
          <w:color w:val="auto"/>
          <w:sz w:val="21"/>
          <w:szCs w:val="21"/>
          <w:highlight w:val="none"/>
        </w:rPr>
        <w:t>1.2.5.1 货物名称、品牌、规格型号、花色：</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F0C9AA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1.2.5.2 货物数量：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3D1563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1.2.5.3 货物质量：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24BFDB7">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 价款</w:t>
      </w:r>
      <w:bookmarkEnd w:id="426"/>
      <w:bookmarkEnd w:id="427"/>
      <w:bookmarkEnd w:id="428"/>
      <w:bookmarkEnd w:id="429"/>
      <w:bookmarkEnd w:id="430"/>
    </w:p>
    <w:p w14:paraId="5A8F0FE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本项目采用以下第</w:t>
      </w:r>
      <w:r>
        <w:rPr>
          <w:rFonts w:hint="eastAsia" w:ascii="宋体" w:hAnsi="宋体" w:eastAsia="宋体" w:cs="宋体"/>
          <w:color w:val="auto"/>
          <w:sz w:val="21"/>
          <w:szCs w:val="21"/>
          <w:highlight w:val="none"/>
          <w:u w:val="single"/>
        </w:rPr>
        <w:t xml:space="preserve"> 1.3.</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条款规定的计价方式计价。</w:t>
      </w:r>
    </w:p>
    <w:p w14:paraId="17109A4F">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1.3.1总价合同，本合同总价（含税）为：￥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1E0AD9F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FA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204D1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宋体" w:cs="Times New Roman"/>
                <w:color w:val="auto"/>
                <w:kern w:val="0"/>
                <w:sz w:val="21"/>
                <w:szCs w:val="21"/>
                <w:highlight w:val="none"/>
                <w:lang w:val="en-US" w:eastAsia="zh-CN" w:bidi="ar-SA"/>
              </w:rPr>
            </w:pPr>
            <w:r>
              <w:rPr>
                <w:rFonts w:ascii="宋体" w:hAnsi="宋体" w:eastAsia="宋体" w:cs="Times New Roman"/>
                <w:color w:val="auto"/>
                <w:kern w:val="0"/>
                <w:sz w:val="21"/>
                <w:szCs w:val="21"/>
                <w:highlight w:val="none"/>
                <w:lang w:val="en-US" w:eastAsia="zh-CN" w:bidi="ar-SA"/>
              </w:rPr>
              <w:t>序号</w:t>
            </w:r>
          </w:p>
        </w:tc>
        <w:tc>
          <w:tcPr>
            <w:tcW w:w="3402" w:type="dxa"/>
            <w:vAlign w:val="center"/>
          </w:tcPr>
          <w:p w14:paraId="24FA522E">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分项名称</w:t>
            </w:r>
          </w:p>
        </w:tc>
        <w:tc>
          <w:tcPr>
            <w:tcW w:w="2552" w:type="dxa"/>
            <w:vAlign w:val="center"/>
          </w:tcPr>
          <w:p w14:paraId="5034E80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宋体" w:cs="Times New Roman"/>
                <w:color w:val="auto"/>
                <w:kern w:val="0"/>
                <w:sz w:val="21"/>
                <w:szCs w:val="21"/>
                <w:highlight w:val="none"/>
                <w:lang w:val="en-US" w:eastAsia="zh-CN" w:bidi="ar-SA"/>
              </w:rPr>
            </w:pPr>
            <w:r>
              <w:rPr>
                <w:rFonts w:ascii="宋体" w:hAnsi="宋体" w:eastAsia="宋体" w:cs="Times New Roman"/>
                <w:color w:val="auto"/>
                <w:kern w:val="0"/>
                <w:sz w:val="21"/>
                <w:szCs w:val="21"/>
                <w:highlight w:val="none"/>
                <w:lang w:val="en-US" w:eastAsia="zh-CN" w:bidi="ar-SA"/>
              </w:rPr>
              <w:t>分项价格</w:t>
            </w:r>
          </w:p>
        </w:tc>
      </w:tr>
      <w:tr w14:paraId="5A5D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7ADD74">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1"/>
                <w:szCs w:val="21"/>
                <w:highlight w:val="none"/>
                <w:lang w:val="en-US" w:eastAsia="zh-CN" w:bidi="ar-SA"/>
              </w:rPr>
            </w:pPr>
          </w:p>
        </w:tc>
        <w:tc>
          <w:tcPr>
            <w:tcW w:w="3402" w:type="dxa"/>
            <w:vAlign w:val="center"/>
          </w:tcPr>
          <w:p w14:paraId="0ACD112B">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1"/>
                <w:szCs w:val="21"/>
                <w:highlight w:val="none"/>
                <w:lang w:val="en-US" w:eastAsia="zh-CN" w:bidi="ar-SA"/>
              </w:rPr>
            </w:pPr>
          </w:p>
        </w:tc>
        <w:tc>
          <w:tcPr>
            <w:tcW w:w="2552" w:type="dxa"/>
            <w:vAlign w:val="center"/>
          </w:tcPr>
          <w:p w14:paraId="5FD51702">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1"/>
                <w:szCs w:val="21"/>
                <w:highlight w:val="none"/>
                <w:lang w:val="en-US" w:eastAsia="zh-CN" w:bidi="ar-SA"/>
              </w:rPr>
            </w:pPr>
          </w:p>
        </w:tc>
      </w:tr>
      <w:tr w14:paraId="14AA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B15184">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1"/>
                <w:szCs w:val="21"/>
                <w:highlight w:val="none"/>
                <w:lang w:val="en-US" w:eastAsia="zh-CN" w:bidi="ar-SA"/>
              </w:rPr>
            </w:pPr>
          </w:p>
        </w:tc>
        <w:tc>
          <w:tcPr>
            <w:tcW w:w="3402" w:type="dxa"/>
            <w:vAlign w:val="center"/>
          </w:tcPr>
          <w:p w14:paraId="32D1C454">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1"/>
                <w:szCs w:val="21"/>
                <w:highlight w:val="none"/>
                <w:lang w:val="en-US" w:eastAsia="zh-CN" w:bidi="ar-SA"/>
              </w:rPr>
            </w:pPr>
          </w:p>
        </w:tc>
        <w:tc>
          <w:tcPr>
            <w:tcW w:w="2552" w:type="dxa"/>
            <w:vAlign w:val="center"/>
          </w:tcPr>
          <w:p w14:paraId="496A8744">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1"/>
                <w:szCs w:val="21"/>
                <w:highlight w:val="none"/>
                <w:lang w:val="en-US" w:eastAsia="zh-CN" w:bidi="ar-SA"/>
              </w:rPr>
            </w:pPr>
          </w:p>
        </w:tc>
      </w:tr>
      <w:tr w14:paraId="484D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5754F0">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1"/>
                <w:szCs w:val="21"/>
                <w:highlight w:val="none"/>
                <w:lang w:val="en-US" w:eastAsia="zh-CN" w:bidi="ar-SA"/>
              </w:rPr>
            </w:pPr>
          </w:p>
        </w:tc>
        <w:tc>
          <w:tcPr>
            <w:tcW w:w="3402" w:type="dxa"/>
            <w:vAlign w:val="center"/>
          </w:tcPr>
          <w:p w14:paraId="1928794F">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1"/>
                <w:szCs w:val="21"/>
                <w:highlight w:val="none"/>
                <w:lang w:val="en-US" w:eastAsia="zh-CN" w:bidi="ar-SA"/>
              </w:rPr>
            </w:pPr>
          </w:p>
        </w:tc>
        <w:tc>
          <w:tcPr>
            <w:tcW w:w="2552" w:type="dxa"/>
            <w:vAlign w:val="center"/>
          </w:tcPr>
          <w:p w14:paraId="369B3CB0">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1"/>
                <w:szCs w:val="21"/>
                <w:highlight w:val="none"/>
                <w:lang w:val="en-US" w:eastAsia="zh-CN" w:bidi="ar-SA"/>
              </w:rPr>
            </w:pPr>
          </w:p>
        </w:tc>
      </w:tr>
      <w:tr w14:paraId="4A58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6F4FF0">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1"/>
                <w:szCs w:val="21"/>
                <w:highlight w:val="none"/>
                <w:lang w:val="en-US" w:eastAsia="zh-CN" w:bidi="ar-SA"/>
              </w:rPr>
            </w:pPr>
          </w:p>
        </w:tc>
        <w:tc>
          <w:tcPr>
            <w:tcW w:w="3402" w:type="dxa"/>
            <w:vAlign w:val="center"/>
          </w:tcPr>
          <w:p w14:paraId="62D32C5C">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1"/>
                <w:szCs w:val="21"/>
                <w:highlight w:val="none"/>
                <w:lang w:val="en-US" w:eastAsia="zh-CN" w:bidi="ar-SA"/>
              </w:rPr>
            </w:pPr>
          </w:p>
        </w:tc>
        <w:tc>
          <w:tcPr>
            <w:tcW w:w="2552" w:type="dxa"/>
            <w:vAlign w:val="center"/>
          </w:tcPr>
          <w:p w14:paraId="2B284010">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1"/>
                <w:szCs w:val="21"/>
                <w:highlight w:val="none"/>
                <w:lang w:val="en-US" w:eastAsia="zh-CN" w:bidi="ar-SA"/>
              </w:rPr>
            </w:pPr>
          </w:p>
        </w:tc>
      </w:tr>
      <w:tr w14:paraId="53D1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4EA9DB4">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总价</w:t>
            </w:r>
          </w:p>
        </w:tc>
        <w:tc>
          <w:tcPr>
            <w:tcW w:w="2552" w:type="dxa"/>
            <w:vAlign w:val="center"/>
          </w:tcPr>
          <w:p w14:paraId="6F6B4F50">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1"/>
                <w:szCs w:val="21"/>
                <w:highlight w:val="none"/>
                <w:lang w:val="en-US" w:eastAsia="zh-CN" w:bidi="ar-SA"/>
              </w:rPr>
            </w:pPr>
          </w:p>
        </w:tc>
      </w:tr>
    </w:tbl>
    <w:p w14:paraId="4541815F">
      <w:pPr>
        <w:keepNext w:val="0"/>
        <w:keepLines w:val="0"/>
        <w:pageBreakBefore w:val="0"/>
        <w:kinsoku/>
        <w:wordWrap/>
        <w:overflowPunct/>
        <w:topLinePunct w:val="0"/>
        <w:autoSpaceDE/>
        <w:autoSpaceDN/>
        <w:bidi w:val="0"/>
        <w:snapToGrid/>
        <w:spacing w:line="360" w:lineRule="auto"/>
        <w:ind w:left="0" w:leftChars="0" w:firstLine="422" w:firstLineChars="200"/>
        <w:jc w:val="both"/>
        <w:textAlignment w:val="auto"/>
        <w:outlineLvl w:val="2"/>
        <w:rPr>
          <w:rFonts w:hint="eastAsia" w:ascii="宋体" w:hAnsi="宋体" w:eastAsia="宋体" w:cs="宋体"/>
          <w:b/>
          <w:color w:val="auto"/>
          <w:kern w:val="0"/>
          <w:sz w:val="21"/>
          <w:szCs w:val="21"/>
          <w:highlight w:val="none"/>
          <w:lang w:val="en-US" w:eastAsia="zh-CN" w:bidi="ar-SA"/>
        </w:rPr>
      </w:pPr>
      <w:bookmarkStart w:id="431" w:name="_Toc10340"/>
      <w:bookmarkStart w:id="432" w:name="_Toc1814"/>
      <w:bookmarkStart w:id="433" w:name="_Toc22618"/>
      <w:bookmarkStart w:id="434" w:name="_Toc3625"/>
      <w:bookmarkStart w:id="435" w:name="_Toc11108"/>
      <w:bookmarkStart w:id="436" w:name="_Toc8772"/>
      <w:bookmarkStart w:id="437" w:name="_Toc4760"/>
      <w:bookmarkStart w:id="438" w:name="_Toc31421"/>
      <w:r>
        <w:rPr>
          <w:rFonts w:hint="eastAsia" w:ascii="宋体" w:hAnsi="宋体" w:eastAsia="宋体" w:cs="宋体"/>
          <w:b/>
          <w:color w:val="auto"/>
          <w:kern w:val="0"/>
          <w:sz w:val="21"/>
          <w:szCs w:val="21"/>
          <w:highlight w:val="none"/>
          <w:lang w:val="en-US" w:eastAsia="zh-CN" w:bidi="ar-SA"/>
        </w:rPr>
        <w:t>1.4履约保证金</w:t>
      </w:r>
    </w:p>
    <w:p w14:paraId="69B3CE70">
      <w:pPr>
        <w:pageBreakBefore w:val="0"/>
        <w:kinsoku/>
        <w:wordWrap/>
        <w:overflowPunct/>
        <w:topLinePunct w:val="0"/>
        <w:autoSpaceDE/>
        <w:autoSpaceDN/>
        <w:bidi w:val="0"/>
        <w:snapToGrid/>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u w:val="single"/>
          <w:lang w:val="en-US" w:eastAsia="zh-CN" w:bidi="ar-SA"/>
        </w:rPr>
        <w:t xml:space="preserve"> 否 </w:t>
      </w:r>
      <w:r>
        <w:rPr>
          <w:rFonts w:hint="eastAsia" w:ascii="宋体" w:hAnsi="宋体" w:eastAsia="宋体" w:cs="宋体"/>
          <w:color w:val="auto"/>
          <w:kern w:val="0"/>
          <w:sz w:val="21"/>
          <w:szCs w:val="21"/>
          <w:highlight w:val="none"/>
          <w:lang w:val="en-US" w:eastAsia="zh-CN" w:bidi="ar-SA"/>
        </w:rPr>
        <w:t>（是/否）需要支付履约保证金。若需要支付履约保证金的，则：</w:t>
      </w:r>
    </w:p>
    <w:p w14:paraId="4B30C0AE">
      <w:pPr>
        <w:pageBreakBefore w:val="0"/>
        <w:kinsoku/>
        <w:wordWrap/>
        <w:overflowPunct/>
        <w:topLinePunct w:val="0"/>
        <w:autoSpaceDE/>
        <w:autoSpaceDN/>
        <w:bidi w:val="0"/>
        <w:snapToGrid/>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1.4.1履约保证金的比例为合同金额的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6859DCB">
      <w:pPr>
        <w:pageBreakBefore w:val="0"/>
        <w:kinsoku/>
        <w:wordWrap/>
        <w:overflowPunct/>
        <w:topLinePunct w:val="0"/>
        <w:autoSpaceDE/>
        <w:autoSpaceDN/>
        <w:bidi w:val="0"/>
        <w:snapToGrid/>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1.4.2履约保证金支付方式详见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081FEBA">
      <w:pPr>
        <w:keepNext/>
        <w:keepLines/>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E90A659">
      <w:pPr>
        <w:pageBreakBefore w:val="0"/>
        <w:kinsoku/>
        <w:wordWrap/>
        <w:overflowPunct/>
        <w:topLinePunct w:val="0"/>
        <w:autoSpaceDE/>
        <w:autoSpaceDN/>
        <w:bidi w:val="0"/>
        <w:snapToGrid/>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1.4.4甲方在项目验收结束后及时退还履约保证金。甲方在项目通过验收之日起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1"/>
          <w:szCs w:val="21"/>
          <w:highlight w:val="none"/>
          <w:u w:val="single"/>
        </w:rPr>
        <w:t xml:space="preserve">  0.05（可根据情况修改）  </w:t>
      </w:r>
      <w:r>
        <w:rPr>
          <w:rFonts w:hint="eastAsia" w:ascii="宋体" w:hAnsi="宋体" w:eastAsia="宋体" w:cs="宋体"/>
          <w:color w:val="auto"/>
          <w:kern w:val="0"/>
          <w:sz w:val="21"/>
          <w:szCs w:val="21"/>
          <w:highlight w:val="none"/>
        </w:rPr>
        <w:t>%计算，最高限额为本合同履约保证金的</w:t>
      </w:r>
      <w:r>
        <w:rPr>
          <w:rFonts w:hint="eastAsia" w:ascii="宋体" w:hAnsi="宋体" w:eastAsia="宋体" w:cs="宋体"/>
          <w:color w:val="auto"/>
          <w:kern w:val="0"/>
          <w:sz w:val="21"/>
          <w:szCs w:val="21"/>
          <w:highlight w:val="none"/>
          <w:u w:val="single"/>
        </w:rPr>
        <w:t xml:space="preserve">  20  </w:t>
      </w:r>
      <w:r>
        <w:rPr>
          <w:rFonts w:hint="eastAsia" w:ascii="宋体" w:hAnsi="宋体" w:eastAsia="宋体" w:cs="宋体"/>
          <w:color w:val="auto"/>
          <w:kern w:val="0"/>
          <w:sz w:val="21"/>
          <w:szCs w:val="21"/>
          <w:highlight w:val="none"/>
        </w:rPr>
        <w:t xml:space="preserve"> %。</w:t>
      </w:r>
    </w:p>
    <w:p w14:paraId="616AAC53">
      <w:pPr>
        <w:keepNext w:val="0"/>
        <w:keepLines w:val="0"/>
        <w:pageBreakBefore w:val="0"/>
        <w:kinsoku/>
        <w:wordWrap/>
        <w:overflowPunct/>
        <w:topLinePunct w:val="0"/>
        <w:autoSpaceDE/>
        <w:autoSpaceDN/>
        <w:bidi w:val="0"/>
        <w:snapToGrid/>
        <w:spacing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bookmarkEnd w:id="431"/>
      <w:bookmarkEnd w:id="432"/>
      <w:bookmarkEnd w:id="433"/>
      <w:r>
        <w:rPr>
          <w:rFonts w:hint="eastAsia" w:ascii="宋体" w:hAnsi="宋体" w:eastAsia="宋体" w:cs="宋体"/>
          <w:b/>
          <w:color w:val="auto"/>
          <w:sz w:val="21"/>
          <w:szCs w:val="21"/>
          <w:highlight w:val="none"/>
        </w:rPr>
        <w:t>预付款</w:t>
      </w:r>
    </w:p>
    <w:p w14:paraId="56DBDE40">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（是/否）需要支付预付款。若需要支付预付款的，则：</w:t>
      </w:r>
    </w:p>
    <w:p w14:paraId="570F5CB6">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1.5.1预付款比例、支付方式、时间详见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6D8B195">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1.5.2预付款的扣回方式详见</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b/>
          <w:i/>
          <w:color w:val="auto"/>
          <w:kern w:val="0"/>
          <w:sz w:val="21"/>
          <w:szCs w:val="21"/>
          <w:highlight w:val="none"/>
          <w:u w:val="single"/>
          <w:lang w:val="en-US" w:eastAsia="zh-CN" w:bidi="ar-SA"/>
        </w:rPr>
        <w:t>合同专用条款</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14:paraId="7378B0D6">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1.5.3预付款的担保措施详见</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b/>
          <w:i/>
          <w:color w:val="auto"/>
          <w:kern w:val="0"/>
          <w:sz w:val="21"/>
          <w:szCs w:val="21"/>
          <w:highlight w:val="none"/>
          <w:u w:val="single"/>
          <w:lang w:val="en-US" w:eastAsia="zh-CN" w:bidi="ar-SA"/>
        </w:rPr>
        <w:t>合同专用条款</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14:paraId="4FF07CB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2" w:firstLineChars="200"/>
        <w:jc w:val="both"/>
        <w:textAlignment w:val="auto"/>
        <w:outlineLvl w:val="2"/>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1.6资金支付</w:t>
      </w:r>
    </w:p>
    <w:p w14:paraId="7714D08A">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7F619DE4">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1.6.2资金支付的方式、时间和条件详见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2D39AED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 履行期限、地点和方式</w:t>
      </w:r>
      <w:bookmarkEnd w:id="434"/>
      <w:bookmarkEnd w:id="435"/>
      <w:bookmarkEnd w:id="436"/>
      <w:bookmarkEnd w:id="437"/>
      <w:bookmarkEnd w:id="438"/>
    </w:p>
    <w:p w14:paraId="7EE6D4F0">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1.7.1 服务交付（实施）的时间（期限）：</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0F99974D">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服务交付（实施）的地点（地域范围）：</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2023F837">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 服务交付（实施）的方式：</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778CB3FD">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bCs/>
          <w:color w:val="auto"/>
          <w:sz w:val="21"/>
          <w:szCs w:val="21"/>
          <w:highlight w:val="none"/>
        </w:rPr>
      </w:pPr>
      <w:bookmarkStart w:id="439" w:name="_Toc24662"/>
      <w:bookmarkStart w:id="440" w:name="_Toc8586"/>
      <w:bookmarkStart w:id="441" w:name="_Toc5698"/>
      <w:bookmarkStart w:id="442" w:name="_Toc3079"/>
      <w:bookmarkStart w:id="443" w:name="_Toc2375"/>
      <w:r>
        <w:rPr>
          <w:rFonts w:hint="eastAsia" w:ascii="宋体" w:hAnsi="宋体" w:eastAsia="宋体" w:cs="宋体"/>
          <w:bCs/>
          <w:color w:val="auto"/>
          <w:sz w:val="21"/>
          <w:szCs w:val="21"/>
          <w:highlight w:val="none"/>
        </w:rPr>
        <w:t>1.7.4若服务涉及货物的，则货物的：</w:t>
      </w:r>
    </w:p>
    <w:p w14:paraId="69F0B87E">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1.7.4.1 交付期限：详见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619F1B7D">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1.7.4.2 交付地点：</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322471E5">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1.7.4.3 交付方式：</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726CE0E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2" w:firstLineChars="200"/>
        <w:jc w:val="both"/>
        <w:textAlignment w:val="auto"/>
        <w:outlineLvl w:val="2"/>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1.8违约责任</w:t>
      </w:r>
      <w:bookmarkEnd w:id="439"/>
      <w:bookmarkEnd w:id="440"/>
      <w:bookmarkEnd w:id="441"/>
      <w:bookmarkEnd w:id="442"/>
      <w:bookmarkEnd w:id="443"/>
    </w:p>
    <w:p w14:paraId="2C48ECE9">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1"/>
          <w:szCs w:val="21"/>
          <w:highlight w:val="none"/>
          <w:u w:val="single"/>
        </w:rPr>
        <w:t xml:space="preserve">0.05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20   </w:t>
      </w:r>
      <w:r>
        <w:rPr>
          <w:rFonts w:hint="eastAsia" w:ascii="宋体" w:hAnsi="宋体" w:eastAsia="宋体" w:cs="宋体"/>
          <w:color w:val="auto"/>
          <w:sz w:val="21"/>
          <w:szCs w:val="21"/>
          <w:highlight w:val="none"/>
        </w:rPr>
        <w:t>%；迟延履行的违约金计算数额达到前述最高限额之日起，甲方有权在要求乙方支付违约金的同时，书面通知乙方解除本合同；</w:t>
      </w:r>
    </w:p>
    <w:p w14:paraId="1D998C8C">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kern w:val="2"/>
          <w:sz w:val="21"/>
          <w:szCs w:val="21"/>
          <w:highlight w:val="none"/>
          <w:u w:val="single"/>
          <w:lang w:val="en-US" w:eastAsia="zh-CN" w:bidi="ar-SA"/>
        </w:rPr>
        <w:t xml:space="preserve">  0.05 （可根据情况修改）   </w:t>
      </w:r>
      <w:r>
        <w:rPr>
          <w:rFonts w:hint="eastAsia" w:ascii="宋体" w:hAnsi="宋体" w:eastAsia="宋体" w:cs="宋体"/>
          <w:b w:val="0"/>
          <w:bCs w:val="0"/>
          <w:color w:val="auto"/>
          <w:kern w:val="2"/>
          <w:sz w:val="21"/>
          <w:szCs w:val="21"/>
          <w:highlight w:val="none"/>
          <w:lang w:val="en-US" w:eastAsia="zh-CN" w:bidi="ar-SA"/>
        </w:rPr>
        <w:t>%计算，最高限额为本合同总价的</w:t>
      </w:r>
      <w:r>
        <w:rPr>
          <w:rFonts w:hint="eastAsia" w:ascii="宋体" w:hAnsi="宋体" w:eastAsia="宋体" w:cs="宋体"/>
          <w:b w:val="0"/>
          <w:bCs w:val="0"/>
          <w:color w:val="auto"/>
          <w:kern w:val="2"/>
          <w:sz w:val="21"/>
          <w:szCs w:val="21"/>
          <w:highlight w:val="none"/>
          <w:u w:val="single"/>
          <w:lang w:val="en-US" w:eastAsia="zh-CN" w:bidi="ar-SA"/>
        </w:rPr>
        <w:t xml:space="preserve">  20  </w:t>
      </w:r>
      <w:r>
        <w:rPr>
          <w:rFonts w:hint="eastAsia" w:ascii="宋体" w:hAnsi="宋体" w:eastAsia="宋体" w:cs="宋体"/>
          <w:b w:val="0"/>
          <w:bCs w:val="0"/>
          <w:color w:val="auto"/>
          <w:kern w:val="2"/>
          <w:sz w:val="21"/>
          <w:szCs w:val="21"/>
          <w:highlight w:val="none"/>
          <w:lang w:val="en-US" w:eastAsia="zh-CN" w:bidi="ar-SA"/>
        </w:rPr>
        <w:t>%；迟延交付货物的违约金计算数额达到前述最高限额之日起，甲方有权在要求乙方支付违约金的同时，书面通知乙方解除本合同；</w:t>
      </w:r>
    </w:p>
    <w:p w14:paraId="00E97176">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0.05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20</w:t>
      </w:r>
      <w:r>
        <w:rPr>
          <w:rFonts w:hint="eastAsia" w:ascii="宋体" w:hAnsi="宋体" w:eastAsia="宋体" w:cs="宋体"/>
          <w:color w:val="auto"/>
          <w:kern w:val="0"/>
          <w:sz w:val="21"/>
          <w:szCs w:val="21"/>
          <w:highlight w:val="none"/>
          <w:u w:val="single"/>
        </w:rPr>
        <w:t>（可根据情况修改）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12A0DA0B">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bookmarkStart w:id="444" w:name="_Toc9497"/>
      <w:bookmarkStart w:id="445" w:name="_Toc26807"/>
      <w:bookmarkStart w:id="446" w:name="_Toc18683"/>
      <w:bookmarkStart w:id="447" w:name="_Toc32454"/>
      <w:bookmarkStart w:id="448" w:name="_Toc30329"/>
      <w:r>
        <w:rPr>
          <w:rFonts w:hint="eastAsia" w:ascii="宋体" w:hAnsi="宋体" w:eastAsia="宋体" w:cs="宋体"/>
          <w:color w:val="auto"/>
          <w:sz w:val="21"/>
          <w:szCs w:val="21"/>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81B28D5">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EEEA121">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56F0D7C">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1.8.7违约责任</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另有约定的，从其约定。</w:t>
      </w:r>
    </w:p>
    <w:bookmarkEnd w:id="444"/>
    <w:bookmarkEnd w:id="445"/>
    <w:bookmarkEnd w:id="446"/>
    <w:bookmarkEnd w:id="447"/>
    <w:bookmarkEnd w:id="448"/>
    <w:p w14:paraId="43A55CD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1.9合同争议的解决</w:t>
      </w:r>
    </w:p>
    <w:p w14:paraId="45AB30AA">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1"/>
          <w:szCs w:val="21"/>
          <w:highlight w:val="none"/>
          <w:u w:val="single"/>
        </w:rPr>
        <w:t xml:space="preserve"> 1.9.2 </w:t>
      </w:r>
      <w:r>
        <w:rPr>
          <w:rFonts w:hint="eastAsia" w:ascii="宋体" w:hAnsi="宋体" w:eastAsia="宋体" w:cs="宋体"/>
          <w:color w:val="auto"/>
          <w:sz w:val="21"/>
          <w:szCs w:val="21"/>
          <w:highlight w:val="none"/>
        </w:rPr>
        <w:t>条款规定的方式解决：</w:t>
      </w:r>
    </w:p>
    <w:p w14:paraId="59AD182F">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将争议提交</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仲裁委员会依申请仲裁时其现行有效的仲裁规则裁决；</w:t>
      </w:r>
    </w:p>
    <w:p w14:paraId="0B85D595">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向</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人民法院起诉。</w:t>
      </w:r>
    </w:p>
    <w:p w14:paraId="3470BF6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 合同生效</w:t>
      </w:r>
    </w:p>
    <w:p w14:paraId="23C9DDE9">
      <w:pPr>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本合同自双方当事人盖章签字时生效。</w:t>
      </w:r>
    </w:p>
    <w:p w14:paraId="070B1A61">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Times New Roman"/>
          <w:b/>
          <w:color w:val="auto"/>
          <w:sz w:val="21"/>
          <w:szCs w:val="21"/>
          <w:highlight w:val="none"/>
          <w:lang w:val="zh-CN"/>
        </w:rPr>
      </w:pPr>
    </w:p>
    <w:p w14:paraId="5E275E0C">
      <w:pPr>
        <w:keepNext w:val="0"/>
        <w:keepLines w:val="0"/>
        <w:pageBreakBefore w:val="0"/>
        <w:widowControl w:val="0"/>
        <w:kinsoku/>
        <w:wordWrap/>
        <w:overflowPunct/>
        <w:topLinePunct w:val="0"/>
        <w:autoSpaceDE w:val="0"/>
        <w:autoSpaceDN w:val="0"/>
        <w:bidi w:val="0"/>
        <w:adjustRightInd w:val="0"/>
        <w:snapToGrid/>
        <w:spacing w:line="360" w:lineRule="auto"/>
        <w:ind w:leftChars="500"/>
        <w:textAlignment w:val="auto"/>
        <w:outlineLvl w:val="9"/>
        <w:rPr>
          <w:rFonts w:ascii="宋体" w:hAnsi="宋体" w:eastAsia="宋体" w:cs="Times New Roman"/>
          <w:color w:val="auto"/>
          <w:sz w:val="21"/>
          <w:szCs w:val="21"/>
          <w:highlight w:val="none"/>
          <w:lang w:val="zh-CN"/>
        </w:rPr>
      </w:pPr>
      <w:r>
        <w:rPr>
          <w:rFonts w:hint="eastAsia" w:ascii="宋体" w:hAnsi="宋体" w:eastAsia="宋体" w:cs="Times New Roman"/>
          <w:b/>
          <w:color w:val="auto"/>
          <w:sz w:val="21"/>
          <w:szCs w:val="21"/>
          <w:highlight w:val="none"/>
          <w:lang w:val="zh-CN"/>
        </w:rPr>
        <w:t>甲方</w:t>
      </w:r>
      <w:r>
        <w:rPr>
          <w:rFonts w:hint="eastAsia" w:ascii="宋体" w:hAnsi="宋体" w:eastAsia="宋体" w:cs="Times New Roman"/>
          <w:color w:val="auto"/>
          <w:sz w:val="21"/>
          <w:szCs w:val="21"/>
          <w:highlight w:val="none"/>
          <w:lang w:val="zh-CN"/>
        </w:rPr>
        <w:t>：</w:t>
      </w:r>
      <w:r>
        <w:rPr>
          <w:rFonts w:ascii="宋体" w:hAnsi="宋体" w:eastAsia="宋体" w:cs="Times New Roman"/>
          <w:color w:val="auto"/>
          <w:sz w:val="21"/>
          <w:szCs w:val="21"/>
          <w:highlight w:val="none"/>
          <w:lang w:val="zh-CN"/>
        </w:rPr>
        <w:t xml:space="preserve">                             </w:t>
      </w:r>
      <w:r>
        <w:rPr>
          <w:rFonts w:ascii="宋体" w:hAnsi="宋体" w:eastAsia="宋体" w:cs="Times New Roman"/>
          <w:b/>
          <w:color w:val="auto"/>
          <w:sz w:val="21"/>
          <w:szCs w:val="21"/>
          <w:highlight w:val="none"/>
          <w:lang w:val="zh-CN"/>
        </w:rPr>
        <w:t xml:space="preserve">      乙方</w:t>
      </w:r>
      <w:r>
        <w:rPr>
          <w:rFonts w:hint="eastAsia" w:ascii="宋体" w:hAnsi="宋体" w:eastAsia="宋体" w:cs="Times New Roman"/>
          <w:color w:val="auto"/>
          <w:sz w:val="21"/>
          <w:szCs w:val="21"/>
          <w:highlight w:val="none"/>
          <w:lang w:val="zh-CN"/>
        </w:rPr>
        <w:t>：</w:t>
      </w:r>
    </w:p>
    <w:p w14:paraId="0855309D">
      <w:pPr>
        <w:keepNext w:val="0"/>
        <w:keepLines w:val="0"/>
        <w:pageBreakBefore w:val="0"/>
        <w:widowControl w:val="0"/>
        <w:kinsoku/>
        <w:wordWrap/>
        <w:overflowPunct/>
        <w:topLinePunct w:val="0"/>
        <w:autoSpaceDE w:val="0"/>
        <w:autoSpaceDN w:val="0"/>
        <w:bidi w:val="0"/>
        <w:adjustRightInd w:val="0"/>
        <w:snapToGrid/>
        <w:spacing w:line="360" w:lineRule="auto"/>
        <w:ind w:leftChars="500"/>
        <w:textAlignment w:val="auto"/>
        <w:outlineLvl w:val="9"/>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统一社会信用代码：</w:t>
      </w:r>
      <w:r>
        <w:rPr>
          <w:rFonts w:ascii="宋体" w:hAnsi="宋体" w:eastAsia="宋体" w:cs="Times New Roman"/>
          <w:color w:val="auto"/>
          <w:sz w:val="21"/>
          <w:szCs w:val="21"/>
          <w:highlight w:val="none"/>
          <w:lang w:val="zh-CN"/>
        </w:rPr>
        <w:t xml:space="preserve">                        </w:t>
      </w:r>
      <w:r>
        <w:rPr>
          <w:rFonts w:hint="eastAsia" w:ascii="宋体" w:hAnsi="宋体" w:eastAsia="宋体" w:cs="Times New Roman"/>
          <w:color w:val="auto"/>
          <w:sz w:val="21"/>
          <w:szCs w:val="21"/>
          <w:highlight w:val="none"/>
          <w:lang w:val="zh-CN"/>
        </w:rPr>
        <w:t>统一社会信用代码或身份证号码：</w:t>
      </w:r>
    </w:p>
    <w:p w14:paraId="172843E9">
      <w:pPr>
        <w:keepNext w:val="0"/>
        <w:keepLines w:val="0"/>
        <w:pageBreakBefore w:val="0"/>
        <w:widowControl w:val="0"/>
        <w:kinsoku/>
        <w:wordWrap/>
        <w:overflowPunct/>
        <w:topLinePunct w:val="0"/>
        <w:autoSpaceDE w:val="0"/>
        <w:autoSpaceDN w:val="0"/>
        <w:bidi w:val="0"/>
        <w:adjustRightInd w:val="0"/>
        <w:snapToGrid/>
        <w:spacing w:line="360" w:lineRule="auto"/>
        <w:ind w:leftChars="500"/>
        <w:textAlignment w:val="auto"/>
        <w:outlineLvl w:val="9"/>
        <w:rPr>
          <w:rFonts w:ascii="宋体" w:hAnsi="宋体" w:eastAsia="宋体" w:cs="Times New Roman"/>
          <w:color w:val="auto"/>
          <w:sz w:val="21"/>
          <w:szCs w:val="21"/>
          <w:highlight w:val="none"/>
          <w:lang w:val="zh-CN"/>
        </w:rPr>
      </w:pPr>
    </w:p>
    <w:p w14:paraId="77B779DD">
      <w:pPr>
        <w:keepNext w:val="0"/>
        <w:keepLines w:val="0"/>
        <w:pageBreakBefore w:val="0"/>
        <w:widowControl w:val="0"/>
        <w:kinsoku/>
        <w:wordWrap/>
        <w:overflowPunct/>
        <w:topLinePunct w:val="0"/>
        <w:autoSpaceDE w:val="0"/>
        <w:autoSpaceDN w:val="0"/>
        <w:bidi w:val="0"/>
        <w:adjustRightInd w:val="0"/>
        <w:snapToGrid/>
        <w:spacing w:line="360" w:lineRule="auto"/>
        <w:ind w:leftChars="500"/>
        <w:textAlignment w:val="auto"/>
        <w:outlineLvl w:val="9"/>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住所：</w:t>
      </w:r>
      <w:r>
        <w:rPr>
          <w:rFonts w:ascii="宋体" w:hAnsi="宋体" w:eastAsia="宋体" w:cs="Times New Roman"/>
          <w:color w:val="auto"/>
          <w:sz w:val="21"/>
          <w:szCs w:val="21"/>
          <w:highlight w:val="none"/>
          <w:lang w:val="zh-CN"/>
        </w:rPr>
        <w:t xml:space="preserve">                                   </w:t>
      </w:r>
      <w:r>
        <w:rPr>
          <w:rFonts w:hint="eastAsia" w:ascii="宋体" w:hAnsi="宋体" w:eastAsia="宋体" w:cs="Times New Roman"/>
          <w:color w:val="auto"/>
          <w:sz w:val="21"/>
          <w:szCs w:val="21"/>
          <w:highlight w:val="none"/>
          <w:lang w:val="zh-CN"/>
        </w:rPr>
        <w:t>住所：</w:t>
      </w:r>
    </w:p>
    <w:p w14:paraId="4D4B7955">
      <w:pPr>
        <w:keepNext w:val="0"/>
        <w:keepLines w:val="0"/>
        <w:pageBreakBefore w:val="0"/>
        <w:widowControl w:val="0"/>
        <w:kinsoku/>
        <w:wordWrap/>
        <w:overflowPunct/>
        <w:topLinePunct w:val="0"/>
        <w:autoSpaceDE w:val="0"/>
        <w:autoSpaceDN w:val="0"/>
        <w:bidi w:val="0"/>
        <w:adjustRightInd w:val="0"/>
        <w:snapToGrid/>
        <w:spacing w:line="360" w:lineRule="auto"/>
        <w:ind w:leftChars="500"/>
        <w:textAlignment w:val="auto"/>
        <w:outlineLvl w:val="9"/>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法定代表人或</w:t>
      </w:r>
      <w:r>
        <w:rPr>
          <w:rFonts w:ascii="宋体" w:hAnsi="宋体" w:eastAsia="宋体" w:cs="Times New Roman"/>
          <w:color w:val="auto"/>
          <w:sz w:val="21"/>
          <w:szCs w:val="21"/>
          <w:highlight w:val="none"/>
          <w:lang w:val="zh-CN"/>
        </w:rPr>
        <w:t xml:space="preserve">                             </w:t>
      </w:r>
      <w:r>
        <w:rPr>
          <w:rFonts w:hint="eastAsia" w:ascii="宋体" w:hAnsi="宋体" w:eastAsia="宋体" w:cs="Times New Roman"/>
          <w:color w:val="auto"/>
          <w:sz w:val="21"/>
          <w:szCs w:val="21"/>
          <w:highlight w:val="none"/>
          <w:lang w:val="zh-CN"/>
        </w:rPr>
        <w:t>法定代表人或</w:t>
      </w:r>
    </w:p>
    <w:p w14:paraId="4EB8A080">
      <w:pPr>
        <w:keepNext w:val="0"/>
        <w:keepLines w:val="0"/>
        <w:pageBreakBefore w:val="0"/>
        <w:widowControl w:val="0"/>
        <w:kinsoku/>
        <w:wordWrap/>
        <w:overflowPunct/>
        <w:topLinePunct w:val="0"/>
        <w:autoSpaceDE w:val="0"/>
        <w:autoSpaceDN w:val="0"/>
        <w:bidi w:val="0"/>
        <w:adjustRightInd w:val="0"/>
        <w:snapToGrid/>
        <w:spacing w:line="360" w:lineRule="auto"/>
        <w:ind w:leftChars="500"/>
        <w:textAlignment w:val="auto"/>
        <w:outlineLvl w:val="9"/>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授权代表（签字）：</w:t>
      </w:r>
      <w:r>
        <w:rPr>
          <w:rFonts w:ascii="宋体" w:hAnsi="宋体" w:eastAsia="宋体" w:cs="Times New Roman"/>
          <w:color w:val="auto"/>
          <w:sz w:val="21"/>
          <w:szCs w:val="21"/>
          <w:highlight w:val="none"/>
          <w:lang w:val="zh-CN"/>
        </w:rPr>
        <w:t xml:space="preserve">                       授权代表（签字）</w:t>
      </w:r>
      <w:r>
        <w:rPr>
          <w:rFonts w:hint="eastAsia" w:ascii="宋体" w:hAnsi="宋体" w:cs="Times New Roman"/>
          <w:color w:val="auto"/>
          <w:sz w:val="21"/>
          <w:szCs w:val="21"/>
          <w:highlight w:val="none"/>
          <w:lang w:val="zh-CN"/>
        </w:rPr>
        <w:t>：</w:t>
      </w:r>
      <w:r>
        <w:rPr>
          <w:rFonts w:ascii="宋体" w:hAnsi="宋体" w:eastAsia="宋体" w:cs="Times New Roman"/>
          <w:color w:val="auto"/>
          <w:sz w:val="21"/>
          <w:szCs w:val="21"/>
          <w:highlight w:val="none"/>
          <w:lang w:val="zh-CN"/>
        </w:rPr>
        <w:t xml:space="preserve"> </w:t>
      </w:r>
    </w:p>
    <w:p w14:paraId="099C88F5">
      <w:pPr>
        <w:keepNext w:val="0"/>
        <w:keepLines w:val="0"/>
        <w:pageBreakBefore w:val="0"/>
        <w:widowControl w:val="0"/>
        <w:kinsoku/>
        <w:wordWrap/>
        <w:overflowPunct/>
        <w:topLinePunct w:val="0"/>
        <w:autoSpaceDE w:val="0"/>
        <w:autoSpaceDN w:val="0"/>
        <w:bidi w:val="0"/>
        <w:adjustRightInd w:val="0"/>
        <w:snapToGrid/>
        <w:spacing w:line="360" w:lineRule="auto"/>
        <w:ind w:leftChars="500"/>
        <w:textAlignment w:val="auto"/>
        <w:outlineLvl w:val="9"/>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联系人：</w:t>
      </w:r>
      <w:r>
        <w:rPr>
          <w:rFonts w:ascii="宋体" w:hAnsi="宋体" w:eastAsia="宋体" w:cs="Times New Roman"/>
          <w:color w:val="auto"/>
          <w:sz w:val="21"/>
          <w:szCs w:val="21"/>
          <w:highlight w:val="none"/>
          <w:lang w:val="zh-CN"/>
        </w:rPr>
        <w:t xml:space="preserve">                                 </w:t>
      </w:r>
      <w:r>
        <w:rPr>
          <w:rFonts w:hint="eastAsia" w:ascii="宋体" w:hAnsi="宋体" w:eastAsia="宋体" w:cs="Times New Roman"/>
          <w:color w:val="auto"/>
          <w:sz w:val="21"/>
          <w:szCs w:val="21"/>
          <w:highlight w:val="none"/>
          <w:lang w:val="zh-CN"/>
        </w:rPr>
        <w:t>联系人：</w:t>
      </w:r>
    </w:p>
    <w:p w14:paraId="7157AD19">
      <w:pPr>
        <w:keepNext w:val="0"/>
        <w:keepLines w:val="0"/>
        <w:pageBreakBefore w:val="0"/>
        <w:widowControl w:val="0"/>
        <w:kinsoku/>
        <w:wordWrap/>
        <w:overflowPunct/>
        <w:topLinePunct w:val="0"/>
        <w:autoSpaceDE w:val="0"/>
        <w:autoSpaceDN w:val="0"/>
        <w:bidi w:val="0"/>
        <w:adjustRightInd w:val="0"/>
        <w:snapToGrid/>
        <w:spacing w:line="360" w:lineRule="auto"/>
        <w:ind w:leftChars="500"/>
        <w:textAlignment w:val="auto"/>
        <w:outlineLvl w:val="9"/>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约定送达地址：</w:t>
      </w:r>
      <w:r>
        <w:rPr>
          <w:rFonts w:ascii="宋体" w:hAnsi="宋体" w:eastAsia="宋体" w:cs="Times New Roman"/>
          <w:color w:val="auto"/>
          <w:sz w:val="21"/>
          <w:szCs w:val="21"/>
          <w:highlight w:val="none"/>
          <w:lang w:val="zh-CN"/>
        </w:rPr>
        <w:t xml:space="preserve">                           </w:t>
      </w:r>
      <w:r>
        <w:rPr>
          <w:rFonts w:hint="eastAsia" w:ascii="宋体" w:hAnsi="宋体" w:eastAsia="宋体" w:cs="Times New Roman"/>
          <w:color w:val="auto"/>
          <w:sz w:val="21"/>
          <w:szCs w:val="21"/>
          <w:highlight w:val="none"/>
          <w:lang w:val="zh-CN"/>
        </w:rPr>
        <w:t>约定送达地址：</w:t>
      </w:r>
    </w:p>
    <w:p w14:paraId="0ED6741A">
      <w:pPr>
        <w:keepNext w:val="0"/>
        <w:keepLines w:val="0"/>
        <w:pageBreakBefore w:val="0"/>
        <w:widowControl w:val="0"/>
        <w:kinsoku/>
        <w:wordWrap/>
        <w:overflowPunct/>
        <w:topLinePunct w:val="0"/>
        <w:autoSpaceDE w:val="0"/>
        <w:autoSpaceDN w:val="0"/>
        <w:bidi w:val="0"/>
        <w:adjustRightInd w:val="0"/>
        <w:snapToGrid/>
        <w:spacing w:line="360" w:lineRule="auto"/>
        <w:ind w:leftChars="500"/>
        <w:textAlignment w:val="auto"/>
        <w:outlineLvl w:val="9"/>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邮政编码：</w:t>
      </w:r>
      <w:r>
        <w:rPr>
          <w:rFonts w:ascii="宋体" w:hAnsi="宋体" w:eastAsia="宋体" w:cs="Times New Roman"/>
          <w:color w:val="auto"/>
          <w:sz w:val="21"/>
          <w:szCs w:val="21"/>
          <w:highlight w:val="none"/>
          <w:lang w:val="zh-CN"/>
        </w:rPr>
        <w:t xml:space="preserve">                               </w:t>
      </w:r>
      <w:r>
        <w:rPr>
          <w:rFonts w:hint="eastAsia" w:ascii="宋体" w:hAnsi="宋体" w:eastAsia="宋体" w:cs="Times New Roman"/>
          <w:color w:val="auto"/>
          <w:sz w:val="21"/>
          <w:szCs w:val="21"/>
          <w:highlight w:val="none"/>
          <w:lang w:val="zh-CN"/>
        </w:rPr>
        <w:t>邮政编码：</w:t>
      </w:r>
    </w:p>
    <w:p w14:paraId="5BC88E07">
      <w:pPr>
        <w:keepNext w:val="0"/>
        <w:keepLines w:val="0"/>
        <w:pageBreakBefore w:val="0"/>
        <w:widowControl w:val="0"/>
        <w:kinsoku/>
        <w:wordWrap/>
        <w:overflowPunct/>
        <w:topLinePunct w:val="0"/>
        <w:autoSpaceDE w:val="0"/>
        <w:autoSpaceDN w:val="0"/>
        <w:bidi w:val="0"/>
        <w:adjustRightInd w:val="0"/>
        <w:snapToGrid/>
        <w:spacing w:line="360" w:lineRule="auto"/>
        <w:ind w:leftChars="500"/>
        <w:textAlignment w:val="auto"/>
        <w:outlineLvl w:val="9"/>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电话</w:t>
      </w:r>
      <w:r>
        <w:rPr>
          <w:rFonts w:hint="eastAsia" w:ascii="宋体" w:hAnsi="宋体" w:cs="Times New Roman"/>
          <w:color w:val="auto"/>
          <w:sz w:val="21"/>
          <w:szCs w:val="21"/>
          <w:highlight w:val="none"/>
          <w:lang w:val="zh-CN"/>
        </w:rPr>
        <w:t>：</w:t>
      </w:r>
      <w:r>
        <w:rPr>
          <w:rFonts w:ascii="宋体" w:hAnsi="宋体" w:eastAsia="宋体" w:cs="Times New Roman"/>
          <w:color w:val="auto"/>
          <w:sz w:val="21"/>
          <w:szCs w:val="21"/>
          <w:highlight w:val="none"/>
          <w:lang w:val="zh-CN"/>
        </w:rPr>
        <w:t xml:space="preserve">                                    电话</w:t>
      </w:r>
      <w:r>
        <w:rPr>
          <w:rFonts w:hint="eastAsia" w:ascii="宋体" w:hAnsi="宋体" w:cs="Times New Roman"/>
          <w:color w:val="auto"/>
          <w:sz w:val="21"/>
          <w:szCs w:val="21"/>
          <w:highlight w:val="none"/>
          <w:lang w:val="zh-CN"/>
        </w:rPr>
        <w:t>：</w:t>
      </w:r>
      <w:r>
        <w:rPr>
          <w:rFonts w:ascii="宋体" w:hAnsi="宋体" w:eastAsia="宋体" w:cs="Times New Roman"/>
          <w:color w:val="auto"/>
          <w:sz w:val="21"/>
          <w:szCs w:val="21"/>
          <w:highlight w:val="none"/>
          <w:lang w:val="zh-CN"/>
        </w:rPr>
        <w:t xml:space="preserve"> </w:t>
      </w:r>
    </w:p>
    <w:p w14:paraId="3DFDF56D">
      <w:pPr>
        <w:keepNext w:val="0"/>
        <w:keepLines w:val="0"/>
        <w:pageBreakBefore w:val="0"/>
        <w:widowControl w:val="0"/>
        <w:kinsoku/>
        <w:wordWrap/>
        <w:overflowPunct/>
        <w:topLinePunct w:val="0"/>
        <w:autoSpaceDE w:val="0"/>
        <w:autoSpaceDN w:val="0"/>
        <w:bidi w:val="0"/>
        <w:adjustRightInd w:val="0"/>
        <w:snapToGrid/>
        <w:spacing w:line="360" w:lineRule="auto"/>
        <w:ind w:leftChars="500"/>
        <w:textAlignment w:val="auto"/>
        <w:outlineLvl w:val="9"/>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传真</w:t>
      </w:r>
      <w:r>
        <w:rPr>
          <w:rFonts w:hint="eastAsia" w:ascii="宋体" w:hAnsi="宋体" w:cs="Times New Roman"/>
          <w:color w:val="auto"/>
          <w:sz w:val="21"/>
          <w:szCs w:val="21"/>
          <w:highlight w:val="none"/>
          <w:lang w:val="zh-CN"/>
        </w:rPr>
        <w:t>：</w:t>
      </w:r>
      <w:r>
        <w:rPr>
          <w:rFonts w:ascii="宋体" w:hAnsi="宋体" w:eastAsia="宋体" w:cs="Times New Roman"/>
          <w:color w:val="auto"/>
          <w:sz w:val="21"/>
          <w:szCs w:val="21"/>
          <w:highlight w:val="none"/>
          <w:lang w:val="zh-CN"/>
        </w:rPr>
        <w:t xml:space="preserve">                                    </w:t>
      </w:r>
      <w:r>
        <w:rPr>
          <w:rFonts w:hint="eastAsia" w:ascii="宋体" w:hAnsi="宋体" w:eastAsia="宋体" w:cs="Times New Roman"/>
          <w:color w:val="auto"/>
          <w:sz w:val="21"/>
          <w:szCs w:val="21"/>
          <w:highlight w:val="none"/>
          <w:lang w:val="zh-CN"/>
        </w:rPr>
        <w:t>传真</w:t>
      </w:r>
      <w:r>
        <w:rPr>
          <w:rFonts w:hint="eastAsia" w:ascii="宋体" w:hAnsi="宋体" w:cs="Times New Roman"/>
          <w:color w:val="auto"/>
          <w:sz w:val="21"/>
          <w:szCs w:val="21"/>
          <w:highlight w:val="none"/>
          <w:lang w:val="zh-CN"/>
        </w:rPr>
        <w:t>：</w:t>
      </w:r>
    </w:p>
    <w:p w14:paraId="0B72156C">
      <w:pPr>
        <w:keepNext w:val="0"/>
        <w:keepLines w:val="0"/>
        <w:pageBreakBefore w:val="0"/>
        <w:widowControl w:val="0"/>
        <w:kinsoku/>
        <w:wordWrap/>
        <w:overflowPunct/>
        <w:topLinePunct w:val="0"/>
        <w:autoSpaceDE w:val="0"/>
        <w:autoSpaceDN w:val="0"/>
        <w:bidi w:val="0"/>
        <w:adjustRightInd w:val="0"/>
        <w:snapToGrid/>
        <w:spacing w:line="360" w:lineRule="auto"/>
        <w:ind w:leftChars="500"/>
        <w:textAlignment w:val="auto"/>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zh-CN"/>
        </w:rPr>
        <w:t>电子邮箱：</w:t>
      </w:r>
      <w:r>
        <w:rPr>
          <w:rFonts w:ascii="宋体" w:hAnsi="宋体" w:eastAsia="宋体" w:cs="Times New Roman"/>
          <w:color w:val="auto"/>
          <w:sz w:val="21"/>
          <w:szCs w:val="21"/>
          <w:highlight w:val="none"/>
          <w:lang w:val="zh-CN"/>
        </w:rPr>
        <w:t xml:space="preserve">                               </w:t>
      </w:r>
      <w:r>
        <w:rPr>
          <w:rFonts w:hint="eastAsia" w:ascii="宋体" w:hAnsi="宋体" w:eastAsia="宋体" w:cs="Times New Roman"/>
          <w:color w:val="auto"/>
          <w:sz w:val="21"/>
          <w:szCs w:val="21"/>
          <w:highlight w:val="none"/>
          <w:lang w:val="zh-CN"/>
        </w:rPr>
        <w:t>电子邮箱：</w:t>
      </w:r>
    </w:p>
    <w:p w14:paraId="09462B45">
      <w:pPr>
        <w:keepNext w:val="0"/>
        <w:keepLines w:val="0"/>
        <w:pageBreakBefore w:val="0"/>
        <w:widowControl w:val="0"/>
        <w:kinsoku/>
        <w:wordWrap/>
        <w:overflowPunct/>
        <w:topLinePunct w:val="0"/>
        <w:autoSpaceDE w:val="0"/>
        <w:autoSpaceDN w:val="0"/>
        <w:bidi w:val="0"/>
        <w:adjustRightInd w:val="0"/>
        <w:snapToGrid/>
        <w:spacing w:line="360" w:lineRule="auto"/>
        <w:ind w:leftChars="500"/>
        <w:textAlignment w:val="auto"/>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开户银行：</w:t>
      </w:r>
      <w:r>
        <w:rPr>
          <w:rFonts w:ascii="宋体" w:hAnsi="宋体" w:eastAsia="宋体" w:cs="Times New Roman"/>
          <w:color w:val="auto"/>
          <w:sz w:val="21"/>
          <w:szCs w:val="21"/>
          <w:highlight w:val="none"/>
        </w:rPr>
        <w:t xml:space="preserve">                               开户银行： </w:t>
      </w:r>
    </w:p>
    <w:p w14:paraId="651C4A77">
      <w:pPr>
        <w:keepNext w:val="0"/>
        <w:keepLines w:val="0"/>
        <w:pageBreakBefore w:val="0"/>
        <w:widowControl w:val="0"/>
        <w:kinsoku/>
        <w:wordWrap/>
        <w:overflowPunct/>
        <w:topLinePunct w:val="0"/>
        <w:autoSpaceDE w:val="0"/>
        <w:autoSpaceDN w:val="0"/>
        <w:bidi w:val="0"/>
        <w:adjustRightInd w:val="0"/>
        <w:snapToGrid/>
        <w:spacing w:line="360" w:lineRule="auto"/>
        <w:ind w:leftChars="500"/>
        <w:textAlignment w:val="auto"/>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开户名称：</w:t>
      </w:r>
      <w:r>
        <w:rPr>
          <w:rFonts w:ascii="宋体" w:hAnsi="宋体" w:eastAsia="宋体" w:cs="Times New Roman"/>
          <w:color w:val="auto"/>
          <w:sz w:val="21"/>
          <w:szCs w:val="21"/>
          <w:highlight w:val="none"/>
        </w:rPr>
        <w:t xml:space="preserve">                               开户名称： </w:t>
      </w:r>
    </w:p>
    <w:p w14:paraId="4E3642A3">
      <w:pPr>
        <w:keepNext w:val="0"/>
        <w:keepLines w:val="0"/>
        <w:pageBreakBefore w:val="0"/>
        <w:widowControl w:val="0"/>
        <w:kinsoku/>
        <w:wordWrap/>
        <w:overflowPunct/>
        <w:topLinePunct w:val="0"/>
        <w:autoSpaceDE w:val="0"/>
        <w:autoSpaceDN w:val="0"/>
        <w:bidi w:val="0"/>
        <w:adjustRightInd w:val="0"/>
        <w:snapToGrid/>
        <w:spacing w:line="360" w:lineRule="auto"/>
        <w:ind w:leftChars="500"/>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开户账号：</w:t>
      </w:r>
      <w:r>
        <w:rPr>
          <w:rFonts w:ascii="宋体" w:hAnsi="宋体" w:eastAsia="宋体" w:cs="Times New Roman"/>
          <w:color w:val="auto"/>
          <w:sz w:val="21"/>
          <w:szCs w:val="21"/>
          <w:highlight w:val="none"/>
          <w:lang w:val="zh-CN"/>
        </w:rPr>
        <w:t xml:space="preserve">                               </w:t>
      </w:r>
      <w:r>
        <w:rPr>
          <w:rFonts w:hint="eastAsia" w:ascii="宋体" w:hAnsi="宋体" w:eastAsia="宋体" w:cs="Times New Roman"/>
          <w:color w:val="auto"/>
          <w:sz w:val="21"/>
          <w:szCs w:val="21"/>
          <w:highlight w:val="none"/>
        </w:rPr>
        <w:t>开户账号：</w:t>
      </w:r>
    </w:p>
    <w:p w14:paraId="3E9B6C0E">
      <w:pPr>
        <w:widowControl/>
        <w:kinsoku/>
        <w:wordWrap/>
        <w:overflowPunct/>
        <w:topLinePunct w:val="0"/>
        <w:bidi w:val="0"/>
        <w:spacing w:line="560" w:lineRule="exact"/>
        <w:ind w:leftChars="500"/>
        <w:jc w:val="left"/>
        <w:outlineLvl w:val="9"/>
        <w:rPr>
          <w:rFonts w:ascii="宋体" w:hAnsi="宋体" w:eastAsia="宋体" w:cs="Times New Roman"/>
          <w:b/>
          <w:color w:val="auto"/>
          <w:sz w:val="24"/>
          <w:highlight w:val="none"/>
        </w:rPr>
      </w:pPr>
    </w:p>
    <w:p w14:paraId="201E1ED6">
      <w:pPr>
        <w:widowControl/>
        <w:kinsoku/>
        <w:wordWrap/>
        <w:overflowPunct/>
        <w:topLinePunct w:val="0"/>
        <w:bidi w:val="0"/>
        <w:adjustRightInd/>
        <w:jc w:val="left"/>
        <w:outlineLvl w:val="9"/>
        <w:rPr>
          <w:rFonts w:ascii="宋体" w:hAnsi="宋体" w:eastAsia="宋体" w:cs="Times New Roman"/>
          <w:b/>
          <w:color w:val="auto"/>
          <w:sz w:val="24"/>
          <w:highlight w:val="none"/>
        </w:rPr>
      </w:pPr>
      <w:r>
        <w:rPr>
          <w:rFonts w:ascii="宋体" w:hAnsi="宋体" w:eastAsia="宋体" w:cs="Times New Roman"/>
          <w:b/>
          <w:color w:val="auto"/>
          <w:highlight w:val="none"/>
        </w:rPr>
        <w:br w:type="page"/>
      </w:r>
    </w:p>
    <w:p w14:paraId="7CCF343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outlineLvl w:val="1"/>
        <w:rPr>
          <w:rFonts w:ascii="宋体" w:hAnsi="宋体" w:eastAsia="宋体" w:cs="Times New Roman"/>
          <w:b/>
          <w:color w:val="auto"/>
          <w:kern w:val="2"/>
          <w:sz w:val="28"/>
          <w:szCs w:val="28"/>
          <w:highlight w:val="none"/>
          <w:lang w:val="en-US" w:eastAsia="zh-CN" w:bidi="ar-SA"/>
        </w:rPr>
      </w:pPr>
      <w:bookmarkStart w:id="449" w:name="_Toc22072"/>
      <w:r>
        <w:rPr>
          <w:rFonts w:hint="eastAsia" w:ascii="宋体" w:hAnsi="宋体" w:eastAsia="宋体" w:cs="Times New Roman"/>
          <w:b/>
          <w:color w:val="auto"/>
          <w:kern w:val="2"/>
          <w:sz w:val="28"/>
          <w:szCs w:val="28"/>
          <w:highlight w:val="none"/>
          <w:lang w:val="en-US" w:eastAsia="zh-CN" w:bidi="ar-SA"/>
        </w:rPr>
        <w:t>第二部分</w:t>
      </w:r>
      <w:r>
        <w:rPr>
          <w:rFonts w:ascii="宋体" w:hAnsi="宋体" w:eastAsia="宋体" w:cs="Times New Roman"/>
          <w:b/>
          <w:color w:val="auto"/>
          <w:kern w:val="2"/>
          <w:sz w:val="28"/>
          <w:szCs w:val="28"/>
          <w:highlight w:val="none"/>
          <w:lang w:val="en-US" w:eastAsia="zh-CN" w:bidi="ar-SA"/>
        </w:rPr>
        <w:t xml:space="preserve"> </w:t>
      </w:r>
      <w:r>
        <w:rPr>
          <w:rFonts w:hint="eastAsia" w:ascii="宋体" w:hAnsi="宋体" w:eastAsia="宋体" w:cs="Times New Roman"/>
          <w:b/>
          <w:color w:val="auto"/>
          <w:kern w:val="2"/>
          <w:sz w:val="28"/>
          <w:szCs w:val="28"/>
          <w:highlight w:val="none"/>
          <w:lang w:val="en-US" w:eastAsia="zh-CN" w:bidi="ar-SA"/>
        </w:rPr>
        <w:t>合同一般条款</w:t>
      </w:r>
      <w:bookmarkEnd w:id="449"/>
    </w:p>
    <w:p w14:paraId="1640C297">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50" w:name="_Toc25079"/>
      <w:bookmarkStart w:id="451" w:name="_Toc5228"/>
      <w:bookmarkStart w:id="452" w:name="_Toc14021"/>
      <w:bookmarkStart w:id="453" w:name="_Toc19680"/>
      <w:bookmarkStart w:id="454" w:name="_Toc31297"/>
      <w:r>
        <w:rPr>
          <w:rFonts w:hint="eastAsia" w:ascii="宋体" w:hAnsi="宋体" w:eastAsia="宋体" w:cs="宋体"/>
          <w:b/>
          <w:color w:val="auto"/>
          <w:sz w:val="21"/>
          <w:szCs w:val="21"/>
          <w:highlight w:val="none"/>
        </w:rPr>
        <w:t>2.1 定义</w:t>
      </w:r>
      <w:bookmarkEnd w:id="450"/>
      <w:bookmarkEnd w:id="451"/>
      <w:bookmarkEnd w:id="452"/>
      <w:bookmarkEnd w:id="453"/>
      <w:bookmarkEnd w:id="454"/>
    </w:p>
    <w:p w14:paraId="239BAB9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54247A3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“合同”系指采购人和中标或成交供应商签订的载明双方当事人所达成的协议，并包括所有的附件、附录和构成合同的其他文件。</w:t>
      </w:r>
    </w:p>
    <w:p w14:paraId="39EB8CE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“合同价”系指根据合同约定，中标或成交供应商在完全履行合同义务后，采购人应支付给中标或成交供应商的价格。</w:t>
      </w:r>
    </w:p>
    <w:p w14:paraId="169D341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“服务”系指中标或成交供应商根据合同约定应向采购人履行的除货物和工程以外的其他政府采购对象，包括采购人自身需要的服务和向社会公众提供的公共服务。</w:t>
      </w:r>
    </w:p>
    <w:p w14:paraId="025C116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 “甲方”系指与中标或成交供应商签署合同的采购人；采购人委托采购代理机构代表其与乙方签订合同的，采购人的授权委托书作为合同附件。</w:t>
      </w:r>
    </w:p>
    <w:p w14:paraId="47291BB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39894E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“现场”系指合同约定提供服务的地点。</w:t>
      </w:r>
    </w:p>
    <w:p w14:paraId="182C4AD0">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55" w:name="_Toc19539"/>
      <w:bookmarkStart w:id="456" w:name="_Toc16752"/>
      <w:bookmarkStart w:id="457" w:name="_Toc31402"/>
      <w:bookmarkStart w:id="458" w:name="_Toc23289"/>
      <w:bookmarkStart w:id="459" w:name="_Toc3769"/>
      <w:r>
        <w:rPr>
          <w:rFonts w:hint="eastAsia" w:ascii="宋体" w:hAnsi="宋体" w:eastAsia="宋体" w:cs="宋体"/>
          <w:b/>
          <w:color w:val="auto"/>
          <w:sz w:val="21"/>
          <w:szCs w:val="21"/>
          <w:highlight w:val="none"/>
        </w:rPr>
        <w:t>2.2 技术规范</w:t>
      </w:r>
      <w:bookmarkEnd w:id="455"/>
      <w:bookmarkEnd w:id="456"/>
      <w:bookmarkEnd w:id="457"/>
      <w:bookmarkEnd w:id="458"/>
      <w:bookmarkEnd w:id="459"/>
    </w:p>
    <w:p w14:paraId="1DA1EBF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服务所应遵守的技术规范应与采购文件规定的技术规范和技术规范附件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如果有的话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及其技术规范偏差表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如果被甲方接受的话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相一致；如果采购文件中没有技术规范的相应说明，那么应以国家有关部门最新颁布的相应标准和规范为准。</w:t>
      </w:r>
    </w:p>
    <w:p w14:paraId="4E98F045">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60" w:name="_Toc4133"/>
      <w:bookmarkStart w:id="461" w:name="_Toc13673"/>
      <w:bookmarkStart w:id="462" w:name="_Toc12412"/>
      <w:bookmarkStart w:id="463" w:name="_Toc9161"/>
      <w:bookmarkStart w:id="464" w:name="_Toc27945"/>
      <w:r>
        <w:rPr>
          <w:rFonts w:hint="eastAsia" w:ascii="宋体" w:hAnsi="宋体" w:eastAsia="宋体" w:cs="宋体"/>
          <w:b/>
          <w:color w:val="auto"/>
          <w:sz w:val="21"/>
          <w:szCs w:val="21"/>
          <w:highlight w:val="none"/>
        </w:rPr>
        <w:t>2.3 知识产权</w:t>
      </w:r>
      <w:bookmarkEnd w:id="460"/>
      <w:bookmarkEnd w:id="461"/>
      <w:bookmarkEnd w:id="462"/>
      <w:bookmarkEnd w:id="463"/>
      <w:bookmarkEnd w:id="464"/>
    </w:p>
    <w:p w14:paraId="33A1CF9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8753DD2">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合同涉及技术成果的归属和收益的分成办法的，详见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3A12BF90">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 履约检查和问题反馈</w:t>
      </w:r>
    </w:p>
    <w:p w14:paraId="3EEFD2A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B74CDF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合同履行期间，甲方有权将履行过程中出现的问题反馈给乙方，双方当事人应以书面形式约定需要完善和改进的内容。</w:t>
      </w:r>
    </w:p>
    <w:p w14:paraId="756771AB">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65" w:name="_Toc15447"/>
      <w:bookmarkStart w:id="466" w:name="_Toc22011"/>
      <w:bookmarkStart w:id="467" w:name="_Toc26555"/>
      <w:bookmarkStart w:id="468" w:name="_Toc31233"/>
      <w:bookmarkStart w:id="469" w:name="_Toc32670"/>
      <w:r>
        <w:rPr>
          <w:rFonts w:hint="eastAsia" w:ascii="宋体" w:hAnsi="宋体" w:eastAsia="宋体" w:cs="宋体"/>
          <w:b/>
          <w:color w:val="auto"/>
          <w:sz w:val="21"/>
          <w:szCs w:val="21"/>
          <w:highlight w:val="none"/>
        </w:rPr>
        <w:t>2.5 结算方式和付款条件</w:t>
      </w:r>
      <w:bookmarkEnd w:id="465"/>
      <w:bookmarkEnd w:id="466"/>
      <w:bookmarkEnd w:id="467"/>
      <w:bookmarkEnd w:id="468"/>
      <w:bookmarkEnd w:id="469"/>
    </w:p>
    <w:p w14:paraId="3ABADBD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71EF1654">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70" w:name="_Toc13154"/>
      <w:bookmarkStart w:id="471" w:name="_Toc13467"/>
      <w:bookmarkStart w:id="472" w:name="_Toc18990"/>
      <w:bookmarkStart w:id="473" w:name="_Toc16163"/>
      <w:bookmarkStart w:id="474" w:name="_Toc30507"/>
      <w:r>
        <w:rPr>
          <w:rFonts w:hint="eastAsia" w:ascii="宋体" w:hAnsi="宋体" w:eastAsia="宋体" w:cs="宋体"/>
          <w:b/>
          <w:color w:val="auto"/>
          <w:sz w:val="21"/>
          <w:szCs w:val="21"/>
          <w:highlight w:val="none"/>
        </w:rPr>
        <w:t>2.6 技术资料和保密义务</w:t>
      </w:r>
      <w:bookmarkEnd w:id="470"/>
      <w:bookmarkEnd w:id="471"/>
      <w:bookmarkEnd w:id="472"/>
      <w:bookmarkEnd w:id="473"/>
      <w:bookmarkEnd w:id="474"/>
    </w:p>
    <w:p w14:paraId="50F2E29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 乙方有权依据合同约定和项目需要，向甲方了解有关情况，调阅有关资料等，甲方应予积极配合；</w:t>
      </w:r>
    </w:p>
    <w:p w14:paraId="48CA70E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 乙方有义务妥善保管和保护由甲方提供的前款信息和资料等；</w:t>
      </w:r>
    </w:p>
    <w:p w14:paraId="480AA582">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26AC685">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75" w:name="_Toc19069"/>
      <w:r>
        <w:rPr>
          <w:rFonts w:hint="eastAsia" w:ascii="宋体" w:hAnsi="宋体" w:eastAsia="宋体" w:cs="宋体"/>
          <w:b/>
          <w:color w:val="auto"/>
          <w:sz w:val="21"/>
          <w:szCs w:val="21"/>
          <w:highlight w:val="none"/>
        </w:rPr>
        <w:t>2.7 质量保证</w:t>
      </w:r>
      <w:bookmarkEnd w:id="475"/>
    </w:p>
    <w:p w14:paraId="0DB2216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 乙方应建立和完善履行合同的内部质量保证体系，并提供相关内部规章制度给甲方，以便甲方进行监督检查；</w:t>
      </w:r>
    </w:p>
    <w:p w14:paraId="477E8A7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乙方应保证履行合同的人员数量和素质、软件和硬件设备的配置、场地、环境和设施等满足全面履行合同的要求，并应接受甲方的监督检查。</w:t>
      </w:r>
    </w:p>
    <w:p w14:paraId="3EFA7ABC">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76" w:name="_Toc22267"/>
      <w:r>
        <w:rPr>
          <w:rFonts w:hint="eastAsia" w:ascii="宋体" w:hAnsi="宋体" w:eastAsia="宋体" w:cs="宋体"/>
          <w:b/>
          <w:color w:val="auto"/>
          <w:sz w:val="21"/>
          <w:szCs w:val="21"/>
          <w:highlight w:val="none"/>
        </w:rPr>
        <w:t>2.8 延迟履行</w:t>
      </w:r>
      <w:bookmarkEnd w:id="476"/>
    </w:p>
    <w:p w14:paraId="457BFEE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8F65F4F">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77" w:name="_Toc10611"/>
      <w:r>
        <w:rPr>
          <w:rFonts w:hint="eastAsia" w:ascii="宋体" w:hAnsi="宋体" w:eastAsia="宋体" w:cs="宋体"/>
          <w:b/>
          <w:color w:val="auto"/>
          <w:sz w:val="21"/>
          <w:szCs w:val="21"/>
          <w:highlight w:val="none"/>
        </w:rPr>
        <w:t>2.9 合同变更</w:t>
      </w:r>
      <w:bookmarkEnd w:id="477"/>
    </w:p>
    <w:p w14:paraId="5DEFFE0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p>
    <w:p w14:paraId="07DD632B">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78" w:name="_Toc42"/>
      <w:bookmarkStart w:id="479" w:name="_Toc26689"/>
      <w:bookmarkStart w:id="480" w:name="_Toc10663"/>
      <w:bookmarkStart w:id="481" w:name="_Toc21830"/>
      <w:bookmarkStart w:id="482" w:name="_Toc23368"/>
      <w:r>
        <w:rPr>
          <w:rFonts w:hint="eastAsia" w:ascii="宋体" w:hAnsi="宋体" w:eastAsia="宋体" w:cs="宋体"/>
          <w:b/>
          <w:color w:val="auto"/>
          <w:sz w:val="21"/>
          <w:szCs w:val="21"/>
          <w:highlight w:val="none"/>
        </w:rPr>
        <w:t>2.10 合同转让和分包</w:t>
      </w:r>
      <w:bookmarkEnd w:id="478"/>
      <w:bookmarkEnd w:id="479"/>
      <w:bookmarkEnd w:id="480"/>
      <w:bookmarkEnd w:id="481"/>
      <w:bookmarkEnd w:id="482"/>
    </w:p>
    <w:p w14:paraId="43BF356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2ADE7D0">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83" w:name="_Toc14371"/>
      <w:bookmarkStart w:id="484" w:name="_Toc32494"/>
      <w:bookmarkStart w:id="485" w:name="_Toc4720"/>
      <w:bookmarkStart w:id="486" w:name="_Toc26633"/>
      <w:bookmarkStart w:id="487" w:name="_Toc25571"/>
      <w:r>
        <w:rPr>
          <w:rFonts w:hint="eastAsia" w:ascii="宋体" w:hAnsi="宋体" w:eastAsia="宋体" w:cs="宋体"/>
          <w:b/>
          <w:color w:val="auto"/>
          <w:sz w:val="21"/>
          <w:szCs w:val="21"/>
          <w:highlight w:val="none"/>
        </w:rPr>
        <w:t>2.11 不可抗力</w:t>
      </w:r>
      <w:bookmarkEnd w:id="483"/>
      <w:bookmarkEnd w:id="484"/>
      <w:bookmarkEnd w:id="485"/>
      <w:bookmarkEnd w:id="486"/>
      <w:bookmarkEnd w:id="487"/>
    </w:p>
    <w:p w14:paraId="11042D3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2.11.1如果任何一方遭遇法律规定的不可抗力，致使合同履行受阻时，履行合同的期限应予延长，延长的期限应相当于不可抗力所影响的时间；</w:t>
      </w:r>
    </w:p>
    <w:p w14:paraId="378AAE7F">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 因不可抗力致使不能实现合同目的的，当事人可以解除合同；</w:t>
      </w:r>
    </w:p>
    <w:p w14:paraId="748280D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2.11.3 因不可抗力致使合同有变更必要的，双方当事人应在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约定时间内以书面形式变更合同；</w:t>
      </w:r>
    </w:p>
    <w:p w14:paraId="580C723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2.11.4受不可抗力影响的一方在不可抗力发生后，应在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约定时间内以书面形式通知对方当事人，并在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约定时间内，将有关部门出具的证明文件送达对方当事人。</w:t>
      </w:r>
    </w:p>
    <w:p w14:paraId="5B6EE8BD">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88" w:name="_Toc23854"/>
      <w:bookmarkStart w:id="489" w:name="_Toc14115"/>
      <w:bookmarkStart w:id="490" w:name="_Toc25783"/>
      <w:bookmarkStart w:id="491" w:name="_Toc24465"/>
      <w:bookmarkStart w:id="492" w:name="_Toc3638"/>
      <w:r>
        <w:rPr>
          <w:rFonts w:hint="eastAsia" w:ascii="宋体" w:hAnsi="宋体" w:eastAsia="宋体" w:cs="宋体"/>
          <w:b/>
          <w:color w:val="auto"/>
          <w:sz w:val="21"/>
          <w:szCs w:val="21"/>
          <w:highlight w:val="none"/>
        </w:rPr>
        <w:t>2.12 税费</w:t>
      </w:r>
      <w:bookmarkEnd w:id="488"/>
      <w:bookmarkEnd w:id="489"/>
      <w:bookmarkEnd w:id="490"/>
      <w:bookmarkEnd w:id="491"/>
      <w:bookmarkEnd w:id="492"/>
    </w:p>
    <w:p w14:paraId="772AEDB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与合同有关的一切税费，均按照中华人民共和国法律的相关规定缴纳。</w:t>
      </w:r>
    </w:p>
    <w:p w14:paraId="0A4B5D0C">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93" w:name="_Toc30105"/>
      <w:bookmarkStart w:id="494" w:name="_Toc14814"/>
      <w:bookmarkStart w:id="495" w:name="_Toc7315"/>
      <w:bookmarkStart w:id="496" w:name="_Toc26883"/>
      <w:bookmarkStart w:id="497" w:name="_Toc25525"/>
      <w:r>
        <w:rPr>
          <w:rFonts w:hint="eastAsia" w:ascii="宋体" w:hAnsi="宋体" w:eastAsia="宋体" w:cs="宋体"/>
          <w:b/>
          <w:color w:val="auto"/>
          <w:sz w:val="21"/>
          <w:szCs w:val="21"/>
          <w:highlight w:val="none"/>
        </w:rPr>
        <w:t>2.13 乙方破产</w:t>
      </w:r>
      <w:bookmarkEnd w:id="493"/>
      <w:bookmarkEnd w:id="494"/>
      <w:bookmarkEnd w:id="495"/>
      <w:bookmarkEnd w:id="496"/>
      <w:bookmarkEnd w:id="497"/>
    </w:p>
    <w:p w14:paraId="0D6A236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5C0678F">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98" w:name="_Toc1123"/>
      <w:bookmarkStart w:id="499" w:name="_Toc2016"/>
      <w:bookmarkStart w:id="500" w:name="_Toc23323"/>
      <w:r>
        <w:rPr>
          <w:rFonts w:hint="eastAsia" w:ascii="宋体" w:hAnsi="宋体" w:eastAsia="宋体" w:cs="宋体"/>
          <w:b/>
          <w:color w:val="auto"/>
          <w:sz w:val="21"/>
          <w:szCs w:val="21"/>
          <w:highlight w:val="none"/>
        </w:rPr>
        <w:t>2.14 合同中止、终止</w:t>
      </w:r>
      <w:bookmarkEnd w:id="498"/>
      <w:bookmarkEnd w:id="499"/>
      <w:bookmarkEnd w:id="500"/>
    </w:p>
    <w:p w14:paraId="4C2193C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2.14.1 双方当事人不得擅自中止或者终止合同；</w:t>
      </w:r>
    </w:p>
    <w:p w14:paraId="221EBF3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2.14.2合同继续履行将损害国家利益和社会公共利益的，双方当事人应当中止或者终止合同。有过错的一方应当承担赔偿责任，双方当事人都有过错的，各自承担相应的责任。</w:t>
      </w:r>
    </w:p>
    <w:p w14:paraId="3D1648F8">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501" w:name="_Toc14525"/>
      <w:bookmarkStart w:id="502" w:name="_Toc1969"/>
      <w:bookmarkStart w:id="503" w:name="_Toc17363"/>
      <w:r>
        <w:rPr>
          <w:rFonts w:hint="eastAsia" w:ascii="宋体" w:hAnsi="宋体" w:eastAsia="宋体" w:cs="宋体"/>
          <w:b/>
          <w:color w:val="auto"/>
          <w:sz w:val="21"/>
          <w:szCs w:val="21"/>
          <w:highlight w:val="none"/>
        </w:rPr>
        <w:t>2.15 检验和验收</w:t>
      </w:r>
      <w:bookmarkEnd w:id="501"/>
      <w:bookmarkEnd w:id="502"/>
      <w:bookmarkEnd w:id="503"/>
    </w:p>
    <w:p w14:paraId="2F6D5E20">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2.15.1 乙方按照</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的约定，定期提交服务报告，甲方按照</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的约定进行定期验收；</w:t>
      </w:r>
    </w:p>
    <w:p w14:paraId="32F46F4A">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C41DC1B">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2.15.3 检验和验收标准、程序等具体内容以及前述验收书的效力详见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i/>
          <w:color w:val="auto"/>
          <w:sz w:val="21"/>
          <w:szCs w:val="21"/>
          <w:highlight w:val="none"/>
        </w:rPr>
        <w:t>。</w:t>
      </w:r>
    </w:p>
    <w:p w14:paraId="778BDA22">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504" w:name="_Toc31892"/>
      <w:bookmarkStart w:id="505" w:name="_Toc12666"/>
      <w:bookmarkStart w:id="506" w:name="_Toc2308"/>
      <w:bookmarkStart w:id="507" w:name="_Toc25198"/>
      <w:bookmarkStart w:id="508" w:name="_Toc9808"/>
      <w:r>
        <w:rPr>
          <w:rFonts w:hint="eastAsia" w:ascii="宋体" w:hAnsi="宋体" w:eastAsia="宋体" w:cs="宋体"/>
          <w:b/>
          <w:color w:val="auto"/>
          <w:sz w:val="21"/>
          <w:szCs w:val="21"/>
          <w:highlight w:val="none"/>
        </w:rPr>
        <w:t>2.16 通知和送达</w:t>
      </w:r>
      <w:bookmarkEnd w:id="504"/>
      <w:bookmarkEnd w:id="505"/>
      <w:bookmarkEnd w:id="506"/>
      <w:bookmarkEnd w:id="507"/>
      <w:bookmarkEnd w:id="508"/>
    </w:p>
    <w:p w14:paraId="2F6067CB">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bookmarkStart w:id="509" w:name="_Toc18401"/>
      <w:bookmarkStart w:id="510" w:name="_Toc27674"/>
      <w:r>
        <w:rPr>
          <w:rFonts w:hint="eastAsia" w:ascii="宋体" w:hAnsi="宋体" w:eastAsia="宋体" w:cs="宋体"/>
          <w:color w:val="auto"/>
          <w:sz w:val="21"/>
          <w:szCs w:val="21"/>
          <w:highlight w:val="none"/>
        </w:rPr>
        <w:t xml:space="preserve">2.17.1任何一方因履行合同而以合同第一部分尾部所列明的传真或电子邮件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个工作日内书面通知对方当事人，在对方当事人收到有关变更通知之前，变更前的约定送达方式或者地址仍视为有效。</w:t>
      </w:r>
    </w:p>
    <w:p w14:paraId="42B7DE2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9"/>
      <w:bookmarkEnd w:id="510"/>
    </w:p>
    <w:p w14:paraId="41CA3D41">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511" w:name="_Toc28906"/>
      <w:bookmarkStart w:id="512" w:name="_Toc27644"/>
      <w:bookmarkStart w:id="513" w:name="_Toc12254"/>
      <w:bookmarkStart w:id="514" w:name="_Toc5063"/>
      <w:bookmarkStart w:id="515" w:name="_Toc20808"/>
      <w:r>
        <w:rPr>
          <w:rFonts w:hint="eastAsia" w:ascii="宋体" w:hAnsi="宋体" w:eastAsia="宋体" w:cs="宋体"/>
          <w:b/>
          <w:color w:val="auto"/>
          <w:sz w:val="21"/>
          <w:szCs w:val="21"/>
          <w:highlight w:val="none"/>
        </w:rPr>
        <w:t>2.17 合同使用的文字和适用的法律</w:t>
      </w:r>
      <w:bookmarkEnd w:id="511"/>
      <w:bookmarkEnd w:id="512"/>
      <w:bookmarkEnd w:id="513"/>
      <w:bookmarkEnd w:id="514"/>
      <w:bookmarkEnd w:id="515"/>
    </w:p>
    <w:p w14:paraId="66B5376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2.17.1 合同使用汉语书就、变更和解释；</w:t>
      </w:r>
    </w:p>
    <w:p w14:paraId="2BC597A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2.17.2 合同适用中华人民共和国法律。</w:t>
      </w:r>
    </w:p>
    <w:p w14:paraId="5DB97320">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2.18 计量单位</w:t>
      </w:r>
    </w:p>
    <w:p w14:paraId="6B69B5B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除技术规范中另有规定外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合同的计量单位均使用国家法定计量单位。</w:t>
      </w:r>
    </w:p>
    <w:p w14:paraId="3A3BD992">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2.19合同份数</w:t>
      </w:r>
    </w:p>
    <w:p w14:paraId="5575066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合同份数按</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规定，每份均具有同等法律效力。</w:t>
      </w:r>
    </w:p>
    <w:p w14:paraId="1025DE82">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outlineLvl w:val="1"/>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16" w:name="_Toc26030"/>
      <w:r>
        <w:rPr>
          <w:rFonts w:hint="eastAsia" w:ascii="宋体" w:hAnsi="宋体" w:eastAsia="宋体" w:cs="宋体"/>
          <w:b/>
          <w:color w:val="auto"/>
          <w:sz w:val="28"/>
          <w:szCs w:val="28"/>
          <w:highlight w:val="none"/>
        </w:rPr>
        <w:t>第三部分  合同专用条款</w:t>
      </w:r>
      <w:bookmarkEnd w:id="516"/>
    </w:p>
    <w:p w14:paraId="2B0B94D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textAlignment w:val="auto"/>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D5CD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2745448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4464" w:type="pct"/>
            <w:vAlign w:val="center"/>
          </w:tcPr>
          <w:p w14:paraId="652A3E6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约定内容</w:t>
            </w:r>
          </w:p>
        </w:tc>
      </w:tr>
      <w:tr w14:paraId="6C37D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25341D8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4464" w:type="pct"/>
            <w:vAlign w:val="center"/>
          </w:tcPr>
          <w:p w14:paraId="7C6AD875">
            <w:pPr>
              <w:keepNext w:val="0"/>
              <w:keepLines w:val="0"/>
              <w:pageBreakBefore w:val="0"/>
              <w:widowControl w:val="0"/>
              <w:kinsoku/>
              <w:wordWrap/>
              <w:overflowPunct/>
              <w:topLinePunct w:val="0"/>
              <w:autoSpaceDE/>
              <w:autoSpaceDN/>
              <w:bidi w:val="0"/>
              <w:adjustRightInd w:val="0"/>
              <w:snapToGrid/>
              <w:spacing w:line="360" w:lineRule="auto"/>
              <w:ind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2F454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6BA28D3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w:t>
            </w:r>
          </w:p>
        </w:tc>
        <w:tc>
          <w:tcPr>
            <w:tcW w:w="4464" w:type="pct"/>
            <w:vAlign w:val="center"/>
          </w:tcPr>
          <w:p w14:paraId="6A00A8F8">
            <w:pPr>
              <w:keepNext w:val="0"/>
              <w:keepLines w:val="0"/>
              <w:pageBreakBefore w:val="0"/>
              <w:widowControl w:val="0"/>
              <w:kinsoku/>
              <w:wordWrap/>
              <w:overflowPunct/>
              <w:topLinePunct w:val="0"/>
              <w:autoSpaceDE/>
              <w:autoSpaceDN/>
              <w:bidi w:val="0"/>
              <w:adjustRightInd w:val="0"/>
              <w:snapToGrid/>
              <w:spacing w:line="360" w:lineRule="auto"/>
              <w:ind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合同生效并具备实施条件后，采购人向供应商支付合同总价30%的预付款（注：中标人于合同签订前书面承诺放弃预付款或降低预付款支付比例的，以承诺内容为准。）</w:t>
            </w:r>
          </w:p>
        </w:tc>
      </w:tr>
      <w:tr w14:paraId="2AB80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3DAA2B9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4464" w:type="pct"/>
            <w:vAlign w:val="center"/>
          </w:tcPr>
          <w:p w14:paraId="3E8E259C">
            <w:pPr>
              <w:keepNext w:val="0"/>
              <w:keepLines w:val="0"/>
              <w:pageBreakBefore w:val="0"/>
              <w:widowControl w:val="0"/>
              <w:kinsoku/>
              <w:wordWrap/>
              <w:overflowPunct/>
              <w:topLinePunct w:val="0"/>
              <w:autoSpaceDE/>
              <w:autoSpaceDN/>
              <w:bidi w:val="0"/>
              <w:adjustRightInd w:val="0"/>
              <w:snapToGrid/>
              <w:spacing w:line="360" w:lineRule="auto"/>
              <w:ind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05986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4AE9831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w:t>
            </w:r>
          </w:p>
        </w:tc>
        <w:tc>
          <w:tcPr>
            <w:tcW w:w="4464" w:type="pct"/>
            <w:vAlign w:val="center"/>
          </w:tcPr>
          <w:p w14:paraId="1978B11E">
            <w:pPr>
              <w:keepNext w:val="0"/>
              <w:keepLines w:val="0"/>
              <w:pageBreakBefore w:val="0"/>
              <w:widowControl w:val="0"/>
              <w:kinsoku/>
              <w:wordWrap/>
              <w:overflowPunct/>
              <w:topLinePunct w:val="0"/>
              <w:autoSpaceDE/>
              <w:autoSpaceDN/>
              <w:bidi w:val="0"/>
              <w:adjustRightInd w:val="0"/>
              <w:snapToGrid/>
              <w:spacing w:line="360" w:lineRule="auto"/>
              <w:ind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16DD3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4558CC4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4464" w:type="pct"/>
            <w:shd w:val="clear" w:color="auto" w:fill="auto"/>
            <w:vAlign w:val="center"/>
          </w:tcPr>
          <w:p w14:paraId="40634CC1">
            <w:pPr>
              <w:pStyle w:val="84"/>
              <w:keepNext w:val="0"/>
              <w:keepLines w:val="0"/>
              <w:pageBreakBefore w:val="0"/>
              <w:widowControl w:val="0"/>
              <w:kinsoku/>
              <w:wordWrap/>
              <w:overflowPunct/>
              <w:topLinePunct w:val="0"/>
              <w:autoSpaceDE/>
              <w:autoSpaceDN/>
              <w:bidi w:val="0"/>
              <w:snapToGrid/>
              <w:spacing w:line="36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p w14:paraId="2579E643">
            <w:pPr>
              <w:pStyle w:val="84"/>
              <w:keepNext w:val="0"/>
              <w:keepLines w:val="0"/>
              <w:pageBreakBefore w:val="0"/>
              <w:widowControl w:val="0"/>
              <w:kinsoku/>
              <w:wordWrap/>
              <w:overflowPunct/>
              <w:topLinePunct w:val="0"/>
              <w:autoSpaceDE/>
              <w:autoSpaceDN/>
              <w:bidi w:val="0"/>
              <w:snapToGrid/>
              <w:spacing w:line="360" w:lineRule="auto"/>
              <w:ind w:left="0" w:leftChars="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1、合同签订后</w:t>
            </w:r>
            <w:r>
              <w:rPr>
                <w:rFonts w:hint="eastAsia" w:ascii="宋体" w:hAnsi="宋体" w:eastAsia="宋体" w:cs="宋体"/>
                <w:sz w:val="21"/>
                <w:szCs w:val="21"/>
                <w:highlight w:val="none"/>
                <w:lang w:eastAsia="zh-CN"/>
              </w:rPr>
              <w:t>7</w:t>
            </w:r>
            <w:r>
              <w:rPr>
                <w:rFonts w:hint="eastAsia" w:ascii="宋体" w:hAnsi="宋体" w:eastAsia="宋体" w:cs="宋体"/>
                <w:sz w:val="21"/>
                <w:szCs w:val="21"/>
                <w:highlight w:val="none"/>
              </w:rPr>
              <w:t>个工作日内支付至合同总价的40%；</w:t>
            </w:r>
          </w:p>
          <w:p w14:paraId="59AC1A5C">
            <w:pPr>
              <w:pStyle w:val="84"/>
              <w:keepNext w:val="0"/>
              <w:keepLines w:val="0"/>
              <w:pageBreakBefore w:val="0"/>
              <w:widowControl w:val="0"/>
              <w:kinsoku/>
              <w:wordWrap/>
              <w:overflowPunct/>
              <w:topLinePunct w:val="0"/>
              <w:autoSpaceDE/>
              <w:autoSpaceDN/>
              <w:bidi w:val="0"/>
              <w:snapToGrid/>
              <w:spacing w:line="360" w:lineRule="auto"/>
              <w:ind w:left="0" w:leftChars="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2、项目实施完成且通过初验后15个工作日内支付至合同总价的70%；</w:t>
            </w:r>
          </w:p>
          <w:p w14:paraId="064B60C6">
            <w:pPr>
              <w:keepNext w:val="0"/>
              <w:keepLines w:val="0"/>
              <w:pageBreakBefore w:val="0"/>
              <w:widowControl w:val="0"/>
              <w:kinsoku/>
              <w:wordWrap/>
              <w:overflowPunct/>
              <w:topLinePunct w:val="0"/>
              <w:autoSpaceDE/>
              <w:autoSpaceDN/>
              <w:bidi w:val="0"/>
              <w:adjustRightInd w:val="0"/>
              <w:snapToGrid/>
              <w:spacing w:line="360" w:lineRule="auto"/>
              <w:ind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3、项目</w:t>
            </w:r>
            <w:r>
              <w:rPr>
                <w:rFonts w:hint="eastAsia" w:ascii="宋体" w:hAnsi="宋体" w:eastAsia="宋体" w:cs="宋体"/>
                <w:sz w:val="21"/>
                <w:szCs w:val="21"/>
                <w:highlight w:val="none"/>
                <w:lang w:val="en-US" w:eastAsia="zh-CN"/>
              </w:rPr>
              <w:t>试运行结束并</w:t>
            </w:r>
            <w:r>
              <w:rPr>
                <w:rFonts w:hint="eastAsia" w:ascii="宋体" w:hAnsi="宋体" w:eastAsia="宋体" w:cs="宋体"/>
                <w:sz w:val="21"/>
                <w:szCs w:val="21"/>
                <w:highlight w:val="none"/>
              </w:rPr>
              <w:t>通过终验后15个工作日内支付至合同总价的</w:t>
            </w:r>
            <w:r>
              <w:rPr>
                <w:rFonts w:hint="eastAsia" w:ascii="宋体" w:hAnsi="宋体" w:eastAsia="宋体" w:cs="宋体"/>
                <w:sz w:val="21"/>
                <w:szCs w:val="21"/>
                <w:highlight w:val="none"/>
                <w:lang w:val="en-US" w:eastAsia="zh-CN"/>
              </w:rPr>
              <w:t>100</w:t>
            </w:r>
            <w:r>
              <w:rPr>
                <w:rFonts w:hint="eastAsia" w:ascii="宋体" w:hAnsi="宋体" w:eastAsia="宋体" w:cs="宋体"/>
                <w:sz w:val="21"/>
                <w:szCs w:val="21"/>
                <w:highlight w:val="none"/>
              </w:rPr>
              <w:t>%。</w:t>
            </w:r>
          </w:p>
        </w:tc>
      </w:tr>
      <w:tr w14:paraId="08EF5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5AB0BC9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4464" w:type="pct"/>
            <w:vAlign w:val="center"/>
          </w:tcPr>
          <w:p w14:paraId="65CFF49F">
            <w:pPr>
              <w:keepNext w:val="0"/>
              <w:keepLines w:val="0"/>
              <w:pageBreakBefore w:val="0"/>
              <w:widowControl w:val="0"/>
              <w:kinsoku/>
              <w:wordWrap/>
              <w:overflowPunct/>
              <w:topLinePunct w:val="0"/>
              <w:autoSpaceDE/>
              <w:autoSpaceDN/>
              <w:bidi w:val="0"/>
              <w:adjustRightInd w:val="0"/>
              <w:snapToGrid/>
              <w:spacing w:line="360" w:lineRule="auto"/>
              <w:ind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2025年8月31日前完成平台系统开发、部署安装、实施建设；2025年12月31日前完成试运行及最终验收工作，最终验收合格后开始计算售后运维服务期，售后运维服务期</w:t>
            </w: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lang w:val="en-US" w:eastAsia="zh-CN"/>
              </w:rPr>
              <w:t>年</w:t>
            </w:r>
            <w:r>
              <w:rPr>
                <w:rFonts w:hint="eastAsia" w:ascii="宋体" w:hAnsi="宋体" w:eastAsia="宋体" w:cs="宋体"/>
                <w:sz w:val="21"/>
                <w:szCs w:val="21"/>
                <w:highlight w:val="none"/>
                <w:lang w:val="en-US"/>
              </w:rPr>
              <w:t>。</w:t>
            </w:r>
          </w:p>
        </w:tc>
      </w:tr>
      <w:tr w14:paraId="0050F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725F4D0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4464" w:type="pct"/>
            <w:vAlign w:val="center"/>
          </w:tcPr>
          <w:p w14:paraId="02F597CA">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指定地点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宁海县</w:t>
            </w:r>
            <w:r>
              <w:rPr>
                <w:rFonts w:hint="eastAsia" w:ascii="宋体" w:hAnsi="宋体" w:eastAsia="宋体" w:cs="宋体"/>
                <w:color w:val="auto"/>
                <w:sz w:val="21"/>
                <w:szCs w:val="21"/>
                <w:highlight w:val="none"/>
                <w:lang w:eastAsia="zh-CN"/>
              </w:rPr>
              <w:t>）</w:t>
            </w:r>
          </w:p>
        </w:tc>
      </w:tr>
      <w:tr w14:paraId="1A32F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150F9ED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w:t>
            </w:r>
          </w:p>
        </w:tc>
        <w:tc>
          <w:tcPr>
            <w:tcW w:w="4464" w:type="pct"/>
            <w:vAlign w:val="center"/>
          </w:tcPr>
          <w:p w14:paraId="7A58F05A">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满足甲方要求</w:t>
            </w:r>
          </w:p>
        </w:tc>
      </w:tr>
      <w:tr w14:paraId="5024B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5F973C8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1.7.4.1</w:t>
            </w:r>
          </w:p>
        </w:tc>
        <w:tc>
          <w:tcPr>
            <w:tcW w:w="4464" w:type="pct"/>
            <w:vAlign w:val="center"/>
          </w:tcPr>
          <w:p w14:paraId="0B7EF7EB">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Cs/>
                <w:snapToGrid/>
                <w:color w:val="auto"/>
                <w:kern w:val="2"/>
                <w:sz w:val="21"/>
                <w:szCs w:val="21"/>
                <w:highlight w:val="none"/>
                <w:lang w:val="en-US" w:eastAsia="zh-CN" w:bidi="ar-SA"/>
              </w:rPr>
              <w:t>/</w:t>
            </w:r>
          </w:p>
        </w:tc>
      </w:tr>
      <w:tr w14:paraId="7415C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18F2151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1.7.4.2</w:t>
            </w:r>
          </w:p>
        </w:tc>
        <w:tc>
          <w:tcPr>
            <w:tcW w:w="4464" w:type="pct"/>
            <w:vAlign w:val="center"/>
          </w:tcPr>
          <w:p w14:paraId="54977C52">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甲方指定地点</w:t>
            </w:r>
          </w:p>
        </w:tc>
      </w:tr>
      <w:tr w14:paraId="507A3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622723F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1.7.4.3</w:t>
            </w:r>
          </w:p>
        </w:tc>
        <w:tc>
          <w:tcPr>
            <w:tcW w:w="4464" w:type="pct"/>
            <w:vAlign w:val="center"/>
          </w:tcPr>
          <w:p w14:paraId="06C646A6">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满足甲方要求</w:t>
            </w:r>
          </w:p>
        </w:tc>
      </w:tr>
      <w:tr w14:paraId="32619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757E905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w:t>
            </w:r>
          </w:p>
        </w:tc>
        <w:tc>
          <w:tcPr>
            <w:tcW w:w="4464" w:type="pct"/>
            <w:vAlign w:val="center"/>
          </w:tcPr>
          <w:p w14:paraId="64430B52">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w:t>
            </w:r>
          </w:p>
        </w:tc>
      </w:tr>
      <w:tr w14:paraId="75542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09B097E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4464" w:type="pct"/>
            <w:vAlign w:val="center"/>
          </w:tcPr>
          <w:p w14:paraId="764CB66E">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303D3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710247D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w:t>
            </w:r>
          </w:p>
        </w:tc>
        <w:tc>
          <w:tcPr>
            <w:tcW w:w="4464" w:type="pct"/>
            <w:vAlign w:val="center"/>
          </w:tcPr>
          <w:p w14:paraId="1403CB91">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宁波市宁海县</w:t>
            </w:r>
          </w:p>
        </w:tc>
      </w:tr>
      <w:tr w14:paraId="2B9D0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7ED2900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4464" w:type="pct"/>
            <w:vAlign w:val="center"/>
          </w:tcPr>
          <w:p w14:paraId="4DFF6E5F">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归甲方所有</w:t>
            </w:r>
          </w:p>
        </w:tc>
      </w:tr>
      <w:tr w14:paraId="0D1B3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4C0E58E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4464" w:type="pct"/>
            <w:vAlign w:val="center"/>
          </w:tcPr>
          <w:p w14:paraId="6A75C5F3">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31AE1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21B3EB6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2.11.3</w:t>
            </w:r>
          </w:p>
        </w:tc>
        <w:tc>
          <w:tcPr>
            <w:tcW w:w="4464" w:type="pct"/>
            <w:vAlign w:val="center"/>
          </w:tcPr>
          <w:p w14:paraId="11824381">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不可抗力时间发生后7天</w:t>
            </w:r>
            <w:r>
              <w:rPr>
                <w:rFonts w:hint="eastAsia" w:ascii="宋体" w:hAnsi="宋体" w:eastAsia="宋体" w:cs="宋体"/>
                <w:color w:val="auto"/>
                <w:sz w:val="21"/>
                <w:szCs w:val="21"/>
                <w:highlight w:val="none"/>
                <w:lang w:eastAsia="zh-CN"/>
              </w:rPr>
              <w:t>。</w:t>
            </w:r>
          </w:p>
        </w:tc>
      </w:tr>
      <w:tr w14:paraId="32617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47C66BE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w:t>
            </w:r>
          </w:p>
        </w:tc>
        <w:tc>
          <w:tcPr>
            <w:tcW w:w="4464" w:type="pct"/>
            <w:vAlign w:val="center"/>
          </w:tcPr>
          <w:p w14:paraId="38FD946C">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不可抗力时间发生后7天。</w:t>
            </w:r>
          </w:p>
        </w:tc>
      </w:tr>
      <w:tr w14:paraId="17B22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17BBF08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2.15.1</w:t>
            </w:r>
          </w:p>
        </w:tc>
        <w:tc>
          <w:tcPr>
            <w:tcW w:w="4464" w:type="pct"/>
            <w:vAlign w:val="center"/>
          </w:tcPr>
          <w:p w14:paraId="6E825470">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w:t>
            </w:r>
          </w:p>
        </w:tc>
      </w:tr>
      <w:tr w14:paraId="00639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4BD75A3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2.15.3</w:t>
            </w:r>
          </w:p>
        </w:tc>
        <w:tc>
          <w:tcPr>
            <w:tcW w:w="4464" w:type="pct"/>
            <w:vAlign w:val="center"/>
          </w:tcPr>
          <w:p w14:paraId="212FAD2F">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文件及</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签订的政府采购合同为标准进行验收。</w:t>
            </w:r>
          </w:p>
        </w:tc>
      </w:tr>
      <w:tr w14:paraId="36A14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35" w:type="pct"/>
            <w:tcBorders>
              <w:left w:val="single" w:color="auto" w:sz="4" w:space="0"/>
            </w:tcBorders>
            <w:vAlign w:val="center"/>
          </w:tcPr>
          <w:p w14:paraId="5CCC153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w:t>
            </w:r>
          </w:p>
        </w:tc>
        <w:tc>
          <w:tcPr>
            <w:tcW w:w="4464" w:type="pct"/>
            <w:vAlign w:val="center"/>
          </w:tcPr>
          <w:p w14:paraId="12C582BD">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   份，甲方执   份，乙方执   份。每份均具有同等法律效力。</w:t>
            </w:r>
          </w:p>
        </w:tc>
      </w:tr>
    </w:tbl>
    <w:p w14:paraId="60F89A92">
      <w:pPr>
        <w:widowControl/>
        <w:kinsoku/>
        <w:wordWrap/>
        <w:overflowPunct/>
        <w:topLinePunct w:val="0"/>
        <w:bidi w:val="0"/>
        <w:adjustRightInd/>
        <w:jc w:val="center"/>
        <w:outlineLvl w:val="9"/>
        <w:rPr>
          <w:rFonts w:hint="eastAsia" w:ascii="宋体" w:hAnsi="宋体" w:cs="宋体"/>
          <w:b/>
          <w:color w:val="auto"/>
          <w:sz w:val="36"/>
          <w:szCs w:val="20"/>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pgNumType w:fmt="decimal"/>
          <w:cols w:space="720" w:num="1"/>
          <w:titlePg/>
          <w:docGrid w:linePitch="312" w:charSpace="0"/>
        </w:sectPr>
      </w:pPr>
    </w:p>
    <w:p w14:paraId="24C29F0A">
      <w:pPr>
        <w:keepNext w:val="0"/>
        <w:keepLines w:val="0"/>
        <w:pageBreakBefore w:val="0"/>
        <w:widowControl/>
        <w:kinsoku/>
        <w:wordWrap/>
        <w:overflowPunct/>
        <w:topLinePunct w:val="0"/>
        <w:autoSpaceDE/>
        <w:autoSpaceDN/>
        <w:bidi w:val="0"/>
        <w:adjustRightInd/>
        <w:snapToGrid/>
        <w:jc w:val="center"/>
        <w:textAlignment w:val="auto"/>
        <w:outlineLvl w:val="0"/>
        <w:rPr>
          <w:rFonts w:ascii="宋体" w:hAnsi="宋体" w:cs="宋体"/>
          <w:b/>
          <w:color w:val="auto"/>
          <w:sz w:val="36"/>
          <w:szCs w:val="20"/>
          <w:highlight w:val="none"/>
        </w:rPr>
      </w:pPr>
      <w:bookmarkStart w:id="517" w:name="_Toc18297"/>
      <w:r>
        <w:rPr>
          <w:rFonts w:hint="eastAsia" w:ascii="宋体" w:hAnsi="宋体" w:cs="宋体"/>
          <w:b/>
          <w:color w:val="auto"/>
          <w:sz w:val="36"/>
          <w:szCs w:val="20"/>
          <w:highlight w:val="none"/>
        </w:rPr>
        <w:t>第六部分</w:t>
      </w:r>
      <w:bookmarkEnd w:id="411"/>
      <w:r>
        <w:rPr>
          <w:rFonts w:hint="eastAsia" w:ascii="宋体" w:hAnsi="宋体" w:cs="宋体"/>
          <w:b/>
          <w:color w:val="auto"/>
          <w:sz w:val="36"/>
          <w:szCs w:val="20"/>
          <w:highlight w:val="none"/>
        </w:rPr>
        <w:t xml:space="preserve"> </w:t>
      </w:r>
      <w:bookmarkEnd w:id="412"/>
      <w:r>
        <w:rPr>
          <w:rFonts w:hint="eastAsia" w:ascii="宋体" w:hAnsi="宋体" w:cs="宋体"/>
          <w:b/>
          <w:color w:val="auto"/>
          <w:sz w:val="36"/>
          <w:szCs w:val="20"/>
          <w:highlight w:val="none"/>
        </w:rPr>
        <w:t>应提交的有关格式范例</w:t>
      </w:r>
      <w:bookmarkEnd w:id="517"/>
    </w:p>
    <w:p w14:paraId="46A73C6B">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050AFBF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1CC882B">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1BE240A">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01A4ABC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096B3F2">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）落实政府采购政策需满足的资格要求………………………………（页码）</w:t>
      </w:r>
    </w:p>
    <w:p w14:paraId="2D0BCDA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）本项目的特定资格要求………………………………………………（页码）</w:t>
      </w:r>
    </w:p>
    <w:p w14:paraId="1FE40AEC">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p>
    <w:p w14:paraId="7F3B3588">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46CAEDAB">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outlineLvl w:val="2"/>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14:paraId="57E584C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 w:val="21"/>
          <w:szCs w:val="21"/>
          <w:highlight w:val="none"/>
          <w:lang w:eastAsia="zh-CN"/>
        </w:rPr>
      </w:pPr>
    </w:p>
    <w:p w14:paraId="04F9A5B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lang w:eastAsia="zh-CN"/>
        </w:rPr>
        <w:t>宁海县气象局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宁波市盛达工程管理咨询有限公司</w:t>
      </w:r>
      <w:r>
        <w:rPr>
          <w:rFonts w:hint="eastAsia" w:ascii="宋体" w:hAnsi="宋体" w:cs="宋体"/>
          <w:color w:val="auto"/>
          <w:sz w:val="21"/>
          <w:szCs w:val="21"/>
          <w:highlight w:val="none"/>
        </w:rPr>
        <w:t>：</w:t>
      </w:r>
    </w:p>
    <w:p w14:paraId="79EBF4A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u w:val="single"/>
          <w:lang w:eastAsia="zh-CN"/>
        </w:rPr>
        <w:t>宁海强对流天气秒预警工程（重招）</w:t>
      </w:r>
      <w:r>
        <w:rPr>
          <w:rFonts w:hint="eastAsia" w:ascii="宋体" w:hAnsi="宋体" w:cs="宋体"/>
          <w:color w:val="auto"/>
          <w:sz w:val="21"/>
          <w:szCs w:val="21"/>
          <w:highlight w:val="none"/>
          <w:u w:val="single"/>
        </w:rPr>
        <w:t>【招标编号：</w:t>
      </w:r>
      <w:r>
        <w:rPr>
          <w:rFonts w:hint="eastAsia" w:ascii="宋体" w:hAnsi="宋体" w:cs="宋体"/>
          <w:color w:val="auto"/>
          <w:sz w:val="21"/>
          <w:szCs w:val="21"/>
          <w:highlight w:val="none"/>
          <w:u w:val="single"/>
          <w:lang w:eastAsia="zh-CN"/>
        </w:rPr>
        <w:t>NBSD2025-012-1</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政府采购活动，郑重承诺：</w:t>
      </w:r>
    </w:p>
    <w:p w14:paraId="79DB182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287FD6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3ECFFD7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11B0128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54FFB01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3D5AE1D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47A0829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4F099ED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、中国政府采购网（www.ccgp.gov.cn）列入失信被执行人、重大税收违法案件当事人名单</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重大税收违法失信主体</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、政府采购严重违法失信行为记录名单。</w:t>
      </w:r>
    </w:p>
    <w:p w14:paraId="6BAED23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04FEDFE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w:t>
      </w:r>
      <w:r>
        <w:rPr>
          <w:rFonts w:hint="eastAsia" w:ascii="宋体" w:hAnsi="宋体" w:eastAsia="宋体" w:cs="宋体"/>
          <w:color w:val="auto"/>
          <w:sz w:val="21"/>
          <w:szCs w:val="21"/>
          <w:highlight w:val="none"/>
        </w:rPr>
        <w:t>府采购活动的；</w:t>
      </w:r>
    </w:p>
    <w:p w14:paraId="785823E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2、为采购项目提供整体设计、规范编制或者项目管理、监理、检测等服务后再参加该采购项目的其他采购活动的。</w:t>
      </w:r>
    </w:p>
    <w:p w14:paraId="1E4FA9F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rPr>
        <w:t>未在中国裁判文书网有行贿犯罪相关记录。</w:t>
      </w:r>
    </w:p>
    <w:p w14:paraId="77831AD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cs="宋体"/>
          <w:color w:val="auto"/>
          <w:kern w:val="0"/>
          <w:sz w:val="21"/>
          <w:szCs w:val="21"/>
          <w:highlight w:val="none"/>
          <w:lang w:val="zh-CN"/>
        </w:rPr>
      </w:pPr>
    </w:p>
    <w:p w14:paraId="2A99370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cs="宋体"/>
          <w:color w:val="auto"/>
          <w:kern w:val="0"/>
          <w:sz w:val="21"/>
          <w:szCs w:val="21"/>
          <w:highlight w:val="none"/>
          <w:lang w:val="zh-CN"/>
        </w:rPr>
      </w:pPr>
    </w:p>
    <w:p w14:paraId="0E0CB605">
      <w:pPr>
        <w:pStyle w:val="25"/>
        <w:widowControl/>
        <w:spacing w:line="360" w:lineRule="auto"/>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供应商全称（盖公章）：</w:t>
      </w:r>
    </w:p>
    <w:p w14:paraId="1928B763">
      <w:pPr>
        <w:pStyle w:val="25"/>
        <w:widowControl/>
        <w:spacing w:line="360" w:lineRule="auto"/>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法定代表人或其授权委托人（签名或印章）：</w:t>
      </w:r>
    </w:p>
    <w:p w14:paraId="225DCD7C">
      <w:pPr>
        <w:spacing w:line="360" w:lineRule="auto"/>
        <w:ind w:right="18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年   月  日</w:t>
      </w:r>
    </w:p>
    <w:p w14:paraId="20679A3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ED8AB11">
      <w:pPr>
        <w:kinsoku/>
        <w:wordWrap/>
        <w:overflowPunct/>
        <w:topLinePunct w:val="0"/>
        <w:bidi w:val="0"/>
        <w:outlineLvl w:val="9"/>
        <w:rPr>
          <w:rFonts w:ascii="宋体" w:hAnsi="宋体" w:cs="宋体"/>
          <w:color w:val="auto"/>
          <w:highlight w:val="none"/>
        </w:rPr>
      </w:pPr>
    </w:p>
    <w:p w14:paraId="3DC78A9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400459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7C2D92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180793E">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26D51FC">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、落实政府采购政策需满足的资格要求</w:t>
      </w:r>
    </w:p>
    <w:p w14:paraId="4E4FF403">
      <w:pPr>
        <w:kinsoku/>
        <w:wordWrap/>
        <w:overflowPunct/>
        <w:topLinePunct w:val="0"/>
        <w:bidi w:val="0"/>
        <w:spacing w:line="360" w:lineRule="auto"/>
        <w:outlineLvl w:val="9"/>
        <w:rPr>
          <w:rFonts w:ascii="宋体" w:hAnsi="宋体" w:cs="宋体"/>
          <w:color w:val="auto"/>
          <w:sz w:val="21"/>
          <w:szCs w:val="21"/>
          <w:highlight w:val="none"/>
        </w:rPr>
      </w:pPr>
      <w:r>
        <w:rPr>
          <w:rFonts w:hint="eastAsia" w:ascii="宋体" w:hAnsi="宋体" w:cs="宋体"/>
          <w:color w:val="auto"/>
          <w:sz w:val="21"/>
          <w:szCs w:val="21"/>
          <w:highlight w:val="none"/>
        </w:rPr>
        <w:t>（根据招标公告落实政府采购政策需满足的资格要求选择提供相应的材料；未要求的，无需提供）</w:t>
      </w:r>
    </w:p>
    <w:p w14:paraId="7370A31B">
      <w:pPr>
        <w:kinsoku/>
        <w:wordWrap/>
        <w:overflowPunct/>
        <w:topLinePunct w:val="0"/>
        <w:bidi w:val="0"/>
        <w:snapToGrid w:val="0"/>
        <w:spacing w:before="50" w:after="50" w:line="360" w:lineRule="auto"/>
        <w:ind w:firstLine="413" w:firstLineChars="196"/>
        <w:jc w:val="left"/>
        <w:outlineLvl w:val="9"/>
        <w:rPr>
          <w:rFonts w:ascii="宋体" w:hAnsi="宋体" w:cs="宋体"/>
          <w:color w:val="auto"/>
          <w:sz w:val="21"/>
          <w:szCs w:val="21"/>
          <w:highlight w:val="none"/>
        </w:rPr>
      </w:pPr>
      <w:r>
        <w:rPr>
          <w:rFonts w:hint="eastAsia" w:ascii="宋体" w:hAnsi="宋体" w:cs="宋体"/>
          <w:b/>
          <w:color w:val="auto"/>
          <w:sz w:val="21"/>
          <w:szCs w:val="21"/>
          <w:highlight w:val="none"/>
        </w:rPr>
        <w:t>A</w:t>
      </w:r>
      <w:r>
        <w:rPr>
          <w:rFonts w:hint="eastAsia" w:ascii="宋体" w:hAnsi="宋体" w:cs="宋体"/>
          <w:color w:val="auto"/>
          <w:sz w:val="21"/>
          <w:szCs w:val="21"/>
          <w:highlight w:val="none"/>
        </w:rPr>
        <w:t>.专门面向中小企业，服务全部由符合政策要求的中小企业（或小微企业）承接的，提供相应的中小企业声明函（</w:t>
      </w:r>
      <w:r>
        <w:rPr>
          <w:rFonts w:hint="eastAsia" w:ascii="宋体" w:hAnsi="宋体" w:cs="宋体"/>
          <w:color w:val="auto"/>
          <w:sz w:val="21"/>
          <w:szCs w:val="21"/>
          <w:highlight w:val="none"/>
          <w:lang w:val="en-US" w:eastAsia="zh-CN"/>
        </w:rPr>
        <w:t>见</w:t>
      </w:r>
      <w:r>
        <w:rPr>
          <w:rFonts w:hint="eastAsia" w:ascii="宋体" w:hAnsi="宋体" w:cs="宋体"/>
          <w:color w:val="auto"/>
          <w:sz w:val="21"/>
          <w:szCs w:val="21"/>
          <w:highlight w:val="none"/>
        </w:rPr>
        <w:t>附件</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 xml:space="preserve">）。 </w:t>
      </w:r>
    </w:p>
    <w:p w14:paraId="79322417">
      <w:pPr>
        <w:widowControl/>
        <w:kinsoku/>
        <w:wordWrap/>
        <w:overflowPunct/>
        <w:topLinePunct w:val="0"/>
        <w:bidi w:val="0"/>
        <w:spacing w:line="360" w:lineRule="auto"/>
        <w:ind w:firstLine="480"/>
        <w:jc w:val="left"/>
        <w:outlineLvl w:val="9"/>
        <w:rPr>
          <w:rFonts w:ascii="宋体" w:hAnsi="宋体" w:cs="宋体"/>
          <w:color w:val="auto"/>
          <w:sz w:val="21"/>
          <w:szCs w:val="21"/>
          <w:highlight w:val="none"/>
        </w:rPr>
      </w:pPr>
    </w:p>
    <w:p w14:paraId="206D3E6F">
      <w:pPr>
        <w:widowControl/>
        <w:kinsoku/>
        <w:wordWrap/>
        <w:overflowPunct/>
        <w:topLinePunct w:val="0"/>
        <w:bidi w:val="0"/>
        <w:spacing w:line="360" w:lineRule="auto"/>
        <w:ind w:left="150"/>
        <w:jc w:val="center"/>
        <w:outlineLvl w:val="9"/>
        <w:rPr>
          <w:rFonts w:ascii="宋体" w:hAnsi="宋体" w:cs="宋体"/>
          <w:b/>
          <w:color w:val="auto"/>
          <w:kern w:val="0"/>
          <w:sz w:val="21"/>
          <w:szCs w:val="21"/>
          <w:highlight w:val="none"/>
        </w:rPr>
      </w:pPr>
    </w:p>
    <w:p w14:paraId="49F0E169">
      <w:pPr>
        <w:keepNext w:val="0"/>
        <w:keepLines w:val="0"/>
        <w:pageBreakBefore w:val="0"/>
        <w:widowControl/>
        <w:kinsoku/>
        <w:wordWrap/>
        <w:overflowPunct/>
        <w:topLinePunct w:val="0"/>
        <w:autoSpaceDE/>
        <w:autoSpaceDN/>
        <w:bidi w:val="0"/>
        <w:adjustRightInd w:val="0"/>
        <w:spacing w:line="360" w:lineRule="auto"/>
        <w:ind w:left="0" w:right="0"/>
        <w:jc w:val="center"/>
        <w:textAlignment w:val="auto"/>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14:paraId="3B98F618">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367D433">
      <w:pPr>
        <w:kinsoku/>
        <w:wordWrap/>
        <w:overflowPunct/>
        <w:topLinePunct w:val="0"/>
        <w:bidi w:val="0"/>
        <w:outlineLvl w:val="9"/>
        <w:rPr>
          <w:rFonts w:ascii="宋体" w:hAnsi="宋体" w:cs="宋体"/>
          <w:color w:val="auto"/>
          <w:highlight w:val="none"/>
        </w:rPr>
      </w:pPr>
    </w:p>
    <w:p w14:paraId="2455175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75F1ED8">
      <w:pPr>
        <w:widowControl/>
        <w:kinsoku/>
        <w:wordWrap/>
        <w:overflowPunct/>
        <w:topLinePunct w:val="0"/>
        <w:bidi w:val="0"/>
        <w:adjustRightInd/>
        <w:jc w:val="left"/>
        <w:outlineLvl w:val="9"/>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FDB74CA">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F4D4F">
      <w:pPr>
        <w:kinsoku/>
        <w:wordWrap/>
        <w:overflowPunct/>
        <w:topLinePunct w:val="0"/>
        <w:bidi w:val="0"/>
        <w:spacing w:line="360" w:lineRule="auto"/>
        <w:jc w:val="center"/>
        <w:outlineLvl w:val="9"/>
        <w:rPr>
          <w:rFonts w:ascii="宋体" w:hAnsi="宋体" w:cs="宋体"/>
          <w:b/>
          <w:color w:val="auto"/>
          <w:kern w:val="0"/>
          <w:sz w:val="24"/>
          <w:highlight w:val="none"/>
        </w:rPr>
      </w:pPr>
    </w:p>
    <w:p w14:paraId="73ED6301">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4F43C7B">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4FA00EF">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2C6B2FE">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926B6FA">
      <w:pPr>
        <w:kinsoku/>
        <w:wordWrap/>
        <w:overflowPunct/>
        <w:topLinePunct w:val="0"/>
        <w:bidi w:val="0"/>
        <w:snapToGrid w:val="0"/>
        <w:spacing w:line="360" w:lineRule="auto"/>
        <w:ind w:left="479" w:leftChars="228"/>
        <w:outlineLvl w:val="9"/>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2FE6877">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57F38970">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4384514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31F774B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443171E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147F95E">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61B8F3D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1B6894B1">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38EF81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14933358">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4265CD1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645338F0">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6CCB556A">
      <w:pPr>
        <w:kinsoku/>
        <w:wordWrap/>
        <w:overflowPunct/>
        <w:topLinePunct w:val="0"/>
        <w:bidi w:val="0"/>
        <w:outlineLvl w:val="9"/>
        <w:rPr>
          <w:rFonts w:ascii="宋体" w:hAnsi="宋体" w:cs="宋体"/>
          <w:b/>
          <w:color w:val="auto"/>
          <w:kern w:val="0"/>
          <w:sz w:val="32"/>
          <w:szCs w:val="32"/>
          <w:highlight w:val="none"/>
          <w:lang w:val="zh-CN"/>
        </w:rPr>
      </w:pPr>
    </w:p>
    <w:p w14:paraId="6757F7C3">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A17AD1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2"/>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2B8D332">
      <w:pPr>
        <w:kinsoku/>
        <w:wordWrap/>
        <w:overflowPunct/>
        <w:topLinePunct w:val="0"/>
        <w:bidi w:val="0"/>
        <w:snapToGrid w:val="0"/>
        <w:spacing w:line="360" w:lineRule="auto"/>
        <w:outlineLvl w:val="9"/>
        <w:rPr>
          <w:rFonts w:ascii="宋体" w:hAnsi="宋体" w:cs="宋体"/>
          <w:color w:val="auto"/>
          <w:sz w:val="21"/>
          <w:szCs w:val="21"/>
          <w:highlight w:val="none"/>
        </w:rPr>
      </w:pPr>
      <w:r>
        <w:rPr>
          <w:rFonts w:hint="eastAsia" w:ascii="宋体" w:hAnsi="宋体" w:cs="宋体"/>
          <w:color w:val="auto"/>
          <w:sz w:val="21"/>
          <w:szCs w:val="21"/>
          <w:highlight w:val="none"/>
          <w:lang w:eastAsia="zh-CN"/>
        </w:rPr>
        <w:t>宁海县气象局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宁波市盛达工程管理咨询有限公司</w:t>
      </w:r>
      <w:r>
        <w:rPr>
          <w:rFonts w:hint="eastAsia" w:ascii="宋体" w:hAnsi="宋体" w:cs="宋体"/>
          <w:color w:val="auto"/>
          <w:sz w:val="21"/>
          <w:szCs w:val="21"/>
          <w:highlight w:val="none"/>
        </w:rPr>
        <w:t>：</w:t>
      </w:r>
    </w:p>
    <w:p w14:paraId="1E3BB84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u w:val="single"/>
          <w:lang w:eastAsia="zh-CN"/>
        </w:rPr>
        <w:t>宁海强对流天气秒预警工程（重招）</w:t>
      </w:r>
      <w:r>
        <w:rPr>
          <w:rFonts w:hint="eastAsia" w:ascii="宋体" w:hAnsi="宋体" w:cs="宋体"/>
          <w:color w:val="auto"/>
          <w:sz w:val="21"/>
          <w:szCs w:val="21"/>
          <w:highlight w:val="none"/>
          <w:u w:val="single"/>
        </w:rPr>
        <w:t>【招标编号：</w:t>
      </w:r>
      <w:r>
        <w:rPr>
          <w:rFonts w:hint="eastAsia" w:ascii="宋体" w:hAnsi="宋体" w:cs="宋体"/>
          <w:color w:val="auto"/>
          <w:sz w:val="21"/>
          <w:szCs w:val="21"/>
          <w:highlight w:val="none"/>
          <w:u w:val="single"/>
          <w:lang w:eastAsia="zh-CN"/>
        </w:rPr>
        <w:t>NBSD2025-012-1</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招标的有关活动，并对此项目进行投标。为此：</w:t>
      </w:r>
    </w:p>
    <w:p w14:paraId="170E2CE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1D63FC9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1057026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3AF98C4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2.1.1符合参加政府采购活动应当具备的一般条件的承诺函；</w:t>
      </w:r>
    </w:p>
    <w:p w14:paraId="1697D1D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w:t>
      </w:r>
      <w:bookmarkStart w:id="518" w:name="_Hlk101257010"/>
      <w:r>
        <w:rPr>
          <w:rFonts w:hint="eastAsia" w:ascii="宋体" w:hAnsi="宋体" w:cs="宋体"/>
          <w:color w:val="auto"/>
          <w:sz w:val="21"/>
          <w:szCs w:val="21"/>
          <w:highlight w:val="none"/>
        </w:rPr>
        <w:t>（如果有</w:t>
      </w:r>
      <w:r>
        <w:rPr>
          <w:rFonts w:hint="eastAsia" w:ascii="宋体" w:hAnsi="宋体" w:cs="宋体"/>
          <w:color w:val="auto"/>
          <w:sz w:val="21"/>
          <w:szCs w:val="21"/>
          <w:highlight w:val="none"/>
          <w:lang w:eastAsia="zh-CN"/>
        </w:rPr>
        <w:t>）</w:t>
      </w:r>
      <w:bookmarkEnd w:id="518"/>
      <w:r>
        <w:rPr>
          <w:rFonts w:hint="eastAsia" w:ascii="宋体" w:hAnsi="宋体" w:cs="宋体"/>
          <w:snapToGrid w:val="0"/>
          <w:color w:val="auto"/>
          <w:kern w:val="28"/>
          <w:sz w:val="21"/>
          <w:szCs w:val="21"/>
          <w:highlight w:val="none"/>
        </w:rPr>
        <w:t>；</w:t>
      </w:r>
    </w:p>
    <w:p w14:paraId="2207A5A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.1.3</w:t>
      </w:r>
      <w:r>
        <w:rPr>
          <w:rFonts w:hint="eastAsia" w:ascii="宋体" w:hAnsi="宋体" w:cs="宋体"/>
          <w:color w:val="auto"/>
          <w:sz w:val="21"/>
          <w:szCs w:val="21"/>
          <w:highlight w:val="none"/>
        </w:rPr>
        <w:t>落实政府采购政策需满足的资格要求（如果有）；</w:t>
      </w:r>
    </w:p>
    <w:p w14:paraId="4D9B37B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本项目的特定资格要求（如果有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p>
    <w:p w14:paraId="36B80CA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5374DAB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2.2.1投</w:t>
      </w:r>
      <w:r>
        <w:rPr>
          <w:rFonts w:hint="eastAsia" w:ascii="宋体" w:hAnsi="宋体" w:eastAsia="宋体" w:cs="宋体"/>
          <w:color w:val="auto"/>
          <w:sz w:val="21"/>
          <w:szCs w:val="21"/>
          <w:highlight w:val="none"/>
        </w:rPr>
        <w:t>标函；</w:t>
      </w:r>
      <w:r>
        <w:rPr>
          <w:rFonts w:hint="eastAsia" w:ascii="宋体" w:hAnsi="宋体" w:eastAsia="宋体" w:cs="宋体"/>
          <w:color w:val="auto"/>
          <w:sz w:val="21"/>
          <w:szCs w:val="21"/>
          <w:highlight w:val="none"/>
          <w:lang w:val="zh-CN"/>
        </w:rPr>
        <w:t xml:space="preserve"> </w:t>
      </w:r>
    </w:p>
    <w:p w14:paraId="62375F3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eastAsia="宋体" w:cs="宋体"/>
          <w:color w:val="auto"/>
          <w:sz w:val="21"/>
          <w:szCs w:val="21"/>
          <w:highlight w:val="none"/>
          <w:lang w:val="zh-CN"/>
        </w:rPr>
        <w:t>授权委托书或法定代表人（单位负责人、自然人本人）身份证明</w:t>
      </w:r>
      <w:r>
        <w:rPr>
          <w:rFonts w:hint="eastAsia" w:ascii="宋体" w:hAnsi="宋体" w:eastAsia="宋体" w:cs="宋体"/>
          <w:color w:val="auto"/>
          <w:sz w:val="21"/>
          <w:szCs w:val="21"/>
          <w:highlight w:val="none"/>
        </w:rPr>
        <w:t>；</w:t>
      </w:r>
    </w:p>
    <w:p w14:paraId="5A75152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分包意向协议（如果有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p>
    <w:p w14:paraId="71BE2D6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71BD4CB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p>
    <w:p w14:paraId="3A75DAF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商务技术偏离表；</w:t>
      </w:r>
    </w:p>
    <w:p w14:paraId="26C329C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政府采购供应商廉洁自律承诺书；</w:t>
      </w:r>
    </w:p>
    <w:p w14:paraId="6862169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22AE460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2.3.1开标一览表（报价表）；</w:t>
      </w:r>
    </w:p>
    <w:p w14:paraId="5DB8862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2.3.2投标报价明细表</w:t>
      </w:r>
      <w:r>
        <w:rPr>
          <w:rFonts w:hint="eastAsia" w:ascii="宋体" w:hAnsi="宋体" w:cs="宋体"/>
          <w:color w:val="auto"/>
          <w:sz w:val="21"/>
          <w:szCs w:val="21"/>
          <w:highlight w:val="none"/>
          <w:lang w:eastAsia="zh-CN"/>
        </w:rPr>
        <w:t>。</w:t>
      </w:r>
    </w:p>
    <w:p w14:paraId="1753C98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3、我方承诺除商务技术偏离表列出的偏离外，我方响应招标文件的全部要求。</w:t>
      </w:r>
    </w:p>
    <w:p w14:paraId="163765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2AFF66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21FA5B5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06D95F1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4.3按照招标文件要求提交履约保证金； </w:t>
      </w:r>
    </w:p>
    <w:p w14:paraId="09A5722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7A75881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33E5482">
      <w:pPr>
        <w:pStyle w:val="25"/>
        <w:widowControl/>
        <w:spacing w:line="360" w:lineRule="auto"/>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供应商全称（盖公章）：</w:t>
      </w:r>
    </w:p>
    <w:p w14:paraId="41D8CEC3">
      <w:pPr>
        <w:pStyle w:val="25"/>
        <w:widowControl/>
        <w:spacing w:line="360" w:lineRule="auto"/>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法定代表人或其授权委托人（签名或印章）：</w:t>
      </w:r>
    </w:p>
    <w:p w14:paraId="304E37BD">
      <w:pPr>
        <w:spacing w:line="360" w:lineRule="auto"/>
        <w:ind w:right="18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年   月  日</w:t>
      </w:r>
    </w:p>
    <w:p w14:paraId="7364895B">
      <w:pPr>
        <w:kinsoku/>
        <w:wordWrap/>
        <w:overflowPunct/>
        <w:topLinePunct w:val="0"/>
        <w:bidi w:val="0"/>
        <w:spacing w:line="360" w:lineRule="auto"/>
        <w:ind w:firstLine="3150" w:firstLineChars="1500"/>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05A669D1">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outlineLvl w:val="2"/>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D9178F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27E288BD">
      <w:pPr>
        <w:keepNext w:val="0"/>
        <w:keepLines w:val="0"/>
        <w:pageBreakBefore w:val="0"/>
        <w:widowControl w:val="0"/>
        <w:kinsoku/>
        <w:wordWrap/>
        <w:overflowPunct/>
        <w:topLinePunct w:val="0"/>
        <w:autoSpaceDE/>
        <w:autoSpaceDN/>
        <w:bidi w:val="0"/>
        <w:adjustRightInd/>
        <w:snapToGrid/>
        <w:jc w:val="center"/>
        <w:textAlignment w:val="auto"/>
        <w:outlineLvl w:val="9"/>
        <w:rPr>
          <w:rStyle w:val="969"/>
          <w:rFonts w:hint="eastAsia"/>
          <w:color w:val="auto"/>
          <w:highlight w:val="none"/>
        </w:rPr>
      </w:pPr>
    </w:p>
    <w:p w14:paraId="5D941DCC">
      <w:pPr>
        <w:keepNext w:val="0"/>
        <w:keepLines w:val="0"/>
        <w:pageBreakBefore w:val="0"/>
        <w:widowControl w:val="0"/>
        <w:kinsoku/>
        <w:wordWrap/>
        <w:overflowPunct/>
        <w:topLinePunct w:val="0"/>
        <w:autoSpaceDE/>
        <w:autoSpaceDN/>
        <w:bidi w:val="0"/>
        <w:adjustRightInd/>
        <w:snapToGrid/>
        <w:jc w:val="center"/>
        <w:textAlignment w:val="auto"/>
        <w:outlineLvl w:val="2"/>
        <w:rPr>
          <w:rFonts w:ascii="宋体" w:hAnsi="宋体" w:cs="宋体"/>
          <w:b/>
          <w:color w:val="auto"/>
          <w:sz w:val="32"/>
          <w:szCs w:val="32"/>
          <w:highlight w:val="none"/>
        </w:rPr>
      </w:pPr>
      <w:r>
        <w:rPr>
          <w:rStyle w:val="969"/>
          <w:rFonts w:hint="eastAsia"/>
          <w:color w:val="auto"/>
          <w:highlight w:val="none"/>
        </w:rPr>
        <w:t>法定代表人身份证明</w:t>
      </w:r>
    </w:p>
    <w:p w14:paraId="5EE73944">
      <w:pPr>
        <w:spacing w:line="480" w:lineRule="auto"/>
        <w:jc w:val="center"/>
        <w:rPr>
          <w:rFonts w:ascii="宋体" w:hAnsi="宋体" w:cs="宋体"/>
          <w:b/>
          <w:color w:val="auto"/>
          <w:sz w:val="22"/>
          <w:szCs w:val="22"/>
          <w:highlight w:val="none"/>
        </w:rPr>
      </w:pPr>
      <w:r>
        <w:rPr>
          <w:rFonts w:hint="eastAsia" w:ascii="宋体" w:hAnsi="宋体" w:cs="宋体"/>
          <w:bCs/>
          <w:color w:val="auto"/>
          <w:sz w:val="22"/>
          <w:szCs w:val="22"/>
          <w:highlight w:val="none"/>
        </w:rPr>
        <w:t>（法定代表人不来投标的，此表不用）</w:t>
      </w:r>
    </w:p>
    <w:p w14:paraId="443E27A0">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名称：</w:t>
      </w:r>
      <w:r>
        <w:rPr>
          <w:rFonts w:hint="eastAsia" w:ascii="宋体" w:hAnsi="宋体" w:cs="宋体"/>
          <w:color w:val="auto"/>
          <w:sz w:val="22"/>
          <w:szCs w:val="22"/>
          <w:highlight w:val="none"/>
          <w:u w:val="single"/>
        </w:rPr>
        <w:t xml:space="preserve">                                      </w:t>
      </w:r>
    </w:p>
    <w:p w14:paraId="0B21A727">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单位性质：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035BCE1B">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地址：</w:t>
      </w:r>
      <w:r>
        <w:rPr>
          <w:rFonts w:hint="eastAsia" w:ascii="宋体" w:hAnsi="宋体" w:cs="宋体"/>
          <w:color w:val="auto"/>
          <w:sz w:val="22"/>
          <w:szCs w:val="22"/>
          <w:highlight w:val="none"/>
          <w:u w:val="single"/>
        </w:rPr>
        <w:t xml:space="preserve">                                              </w:t>
      </w:r>
    </w:p>
    <w:p w14:paraId="70D3FDED">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成立时间：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5521C225">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经营期限：</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3D8DC3AF">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年龄：</w:t>
      </w:r>
      <w:r>
        <w:rPr>
          <w:rFonts w:hint="eastAsia" w:ascii="宋体" w:hAnsi="宋体" w:cs="宋体"/>
          <w:color w:val="auto"/>
          <w:sz w:val="22"/>
          <w:szCs w:val="22"/>
          <w:highlight w:val="none"/>
          <w:u w:val="single"/>
        </w:rPr>
        <w:t xml:space="preserve">    周岁  </w:t>
      </w:r>
      <w:r>
        <w:rPr>
          <w:rFonts w:hint="eastAsia" w:ascii="宋体" w:hAnsi="宋体" w:cs="宋体"/>
          <w:color w:val="auto"/>
          <w:sz w:val="22"/>
          <w:szCs w:val="22"/>
          <w:highlight w:val="none"/>
        </w:rPr>
        <w:t>职务：</w:t>
      </w:r>
      <w:r>
        <w:rPr>
          <w:rFonts w:hint="eastAsia" w:ascii="宋体" w:hAnsi="宋体" w:cs="宋体"/>
          <w:color w:val="auto"/>
          <w:sz w:val="22"/>
          <w:szCs w:val="22"/>
          <w:highlight w:val="none"/>
          <w:u w:val="single"/>
        </w:rPr>
        <w:t xml:space="preserve">      </w:t>
      </w:r>
    </w:p>
    <w:p w14:paraId="6840982E">
      <w:pPr>
        <w:spacing w:line="480" w:lineRule="auto"/>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身份证号码：</w:t>
      </w:r>
      <w:r>
        <w:rPr>
          <w:rFonts w:hint="eastAsia" w:ascii="宋体" w:hAnsi="宋体" w:cs="宋体"/>
          <w:color w:val="auto"/>
          <w:sz w:val="22"/>
          <w:szCs w:val="22"/>
          <w:highlight w:val="none"/>
          <w:u w:val="single"/>
        </w:rPr>
        <w:t xml:space="preserve">                   </w:t>
      </w:r>
    </w:p>
    <w:p w14:paraId="3FF42963">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名称）的法定代表人。</w:t>
      </w:r>
    </w:p>
    <w:p w14:paraId="7AC04ACA">
      <w:pPr>
        <w:spacing w:line="48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特此证明。</w:t>
      </w:r>
    </w:p>
    <w:p w14:paraId="493086B9">
      <w:pPr>
        <w:spacing w:line="360" w:lineRule="auto"/>
        <w:ind w:firstLine="440" w:firstLineChars="200"/>
        <w:rPr>
          <w:rFonts w:ascii="宋体" w:hAnsi="宋体" w:cs="宋体"/>
          <w:color w:val="auto"/>
          <w:sz w:val="22"/>
          <w:szCs w:val="22"/>
          <w:highlight w:val="none"/>
        </w:rPr>
      </w:pPr>
    </w:p>
    <w:p w14:paraId="1CAE375E">
      <w:pPr>
        <w:spacing w:line="360" w:lineRule="auto"/>
        <w:ind w:firstLine="440" w:firstLineChars="200"/>
        <w:rPr>
          <w:rFonts w:ascii="宋体" w:hAnsi="宋体" w:cs="宋体"/>
          <w:color w:val="auto"/>
          <w:sz w:val="22"/>
          <w:szCs w:val="22"/>
          <w:highlight w:val="none"/>
        </w:rPr>
      </w:pPr>
    </w:p>
    <w:p w14:paraId="206FB2D5">
      <w:pPr>
        <w:wordWrap w:val="0"/>
        <w:spacing w:line="360" w:lineRule="auto"/>
        <w:jc w:val="right"/>
        <w:rPr>
          <w:rFonts w:ascii="宋体" w:hAnsi="宋体" w:cs="宋体"/>
          <w:color w:val="auto"/>
          <w:sz w:val="22"/>
          <w:szCs w:val="22"/>
          <w:highlight w:val="none"/>
        </w:rPr>
      </w:pP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（盖单位公章）</w:t>
      </w:r>
    </w:p>
    <w:p w14:paraId="240A676B">
      <w:pPr>
        <w:spacing w:line="360" w:lineRule="auto"/>
        <w:ind w:firstLine="4730" w:firstLineChars="2150"/>
        <w:rPr>
          <w:rFonts w:ascii="宋体" w:hAnsi="宋体" w:cs="宋体"/>
          <w:color w:val="auto"/>
          <w:sz w:val="22"/>
          <w:szCs w:val="22"/>
          <w:highlight w:val="none"/>
          <w:u w:val="single"/>
        </w:rPr>
      </w:pPr>
    </w:p>
    <w:p w14:paraId="2430E73B">
      <w:pPr>
        <w:spacing w:line="360" w:lineRule="auto"/>
        <w:ind w:firstLine="3850" w:firstLineChars="17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632080DA">
      <w:pPr>
        <w:spacing w:line="360" w:lineRule="auto"/>
        <w:rPr>
          <w:rFonts w:ascii="宋体" w:hAnsi="宋体" w:cs="宋体"/>
          <w:color w:val="auto"/>
          <w:sz w:val="22"/>
          <w:szCs w:val="22"/>
          <w:highlight w:val="none"/>
        </w:rPr>
      </w:pPr>
    </w:p>
    <w:p w14:paraId="01B5C100">
      <w:pPr>
        <w:spacing w:line="360" w:lineRule="auto"/>
        <w:rPr>
          <w:rFonts w:ascii="宋体" w:hAnsi="宋体" w:cs="宋体"/>
          <w:b/>
          <w:color w:val="auto"/>
          <w:sz w:val="22"/>
          <w:szCs w:val="22"/>
          <w:highlight w:val="none"/>
        </w:rPr>
      </w:pPr>
    </w:p>
    <w:p w14:paraId="492630D1">
      <w:pPr>
        <w:spacing w:line="360" w:lineRule="auto"/>
        <w:rPr>
          <w:rFonts w:ascii="宋体" w:hAnsi="宋体" w:cs="宋体"/>
          <w:b/>
          <w:color w:val="auto"/>
          <w:sz w:val="22"/>
          <w:szCs w:val="22"/>
          <w:highlight w:val="none"/>
        </w:rPr>
      </w:pPr>
    </w:p>
    <w:p w14:paraId="6EB987B8">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附法定代表人身份证复印件（正反面）：</w:t>
      </w:r>
    </w:p>
    <w:p w14:paraId="536F92F1">
      <w:pPr>
        <w:rPr>
          <w:rFonts w:hint="eastAsia" w:ascii="宋体" w:hAnsi="宋体" w:cs="宋体"/>
          <w:b/>
          <w:color w:val="auto"/>
          <w:kern w:val="0"/>
          <w:sz w:val="32"/>
          <w:szCs w:val="32"/>
          <w:highlight w:val="none"/>
          <w:lang w:val="zh-CN"/>
        </w:rPr>
      </w:pPr>
    </w:p>
    <w:p w14:paraId="4A6D50AA">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B5B35C8">
      <w:pPr>
        <w:keepNext w:val="0"/>
        <w:keepLines w:val="0"/>
        <w:pageBreakBefore w:val="0"/>
        <w:widowControl w:val="0"/>
        <w:kinsoku/>
        <w:wordWrap/>
        <w:overflowPunct/>
        <w:topLinePunct w:val="0"/>
        <w:autoSpaceDE/>
        <w:autoSpaceDN/>
        <w:bidi w:val="0"/>
        <w:adjustRightInd/>
        <w:snapToGrid/>
        <w:jc w:val="center"/>
        <w:textAlignment w:val="auto"/>
        <w:outlineLvl w:val="2"/>
        <w:rPr>
          <w:rStyle w:val="969"/>
          <w:rFonts w:hint="eastAsia" w:ascii="Times New Roman" w:hAnsi="Times New Roman" w:eastAsia="宋体" w:cs="Times New Roman"/>
          <w:color w:val="auto"/>
          <w:highlight w:val="none"/>
        </w:rPr>
      </w:pPr>
      <w:r>
        <w:rPr>
          <w:rStyle w:val="969"/>
          <w:rFonts w:hint="eastAsia" w:ascii="Times New Roman" w:hAnsi="Times New Roman" w:eastAsia="宋体" w:cs="Times New Roman"/>
          <w:color w:val="auto"/>
          <w:highlight w:val="none"/>
        </w:rPr>
        <w:t>法定代表人授权委托书</w:t>
      </w:r>
    </w:p>
    <w:p w14:paraId="3B171461">
      <w:pP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14:paraId="554946EE">
      <w:pPr>
        <w:snapToGrid w:val="0"/>
        <w:spacing w:line="360" w:lineRule="auto"/>
        <w:rPr>
          <w:rFonts w:ascii="宋体" w:hAnsi="宋体" w:cs="宋体"/>
          <w:bCs/>
          <w:color w:val="auto"/>
          <w:sz w:val="24"/>
          <w:highlight w:val="none"/>
        </w:rPr>
      </w:pPr>
    </w:p>
    <w:p w14:paraId="4ED341C3">
      <w:pPr>
        <w:snapToGrid w:val="0"/>
        <w:spacing w:line="360" w:lineRule="auto"/>
        <w:rPr>
          <w:rFonts w:ascii="宋体" w:hAnsi="宋体" w:cs="宋体"/>
          <w:color w:val="auto"/>
          <w:sz w:val="22"/>
          <w:szCs w:val="22"/>
          <w:highlight w:val="none"/>
        </w:rPr>
      </w:pPr>
      <w:r>
        <w:rPr>
          <w:rFonts w:hint="eastAsia" w:ascii="宋体" w:hAnsi="宋体" w:cs="宋体"/>
          <w:bCs/>
          <w:color w:val="auto"/>
          <w:sz w:val="22"/>
          <w:szCs w:val="22"/>
          <w:highlight w:val="none"/>
        </w:rPr>
        <w:t>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（采购单位名称）</w:t>
      </w: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w:t>：</w:t>
      </w:r>
    </w:p>
    <w:p w14:paraId="2F5E748D">
      <w:pPr>
        <w:snapToGrid w:val="0"/>
        <w:spacing w:line="360" w:lineRule="auto"/>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我</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（姓名）系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 xml:space="preserve">名称）的法定代表人，现授权委托本单位在职职工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（姓名）以我方的名义参加</w:t>
      </w:r>
      <w:r>
        <w:rPr>
          <w:rFonts w:hint="eastAsia" w:ascii="宋体" w:hAnsi="宋体" w:cs="宋体"/>
          <w:color w:val="auto"/>
          <w:sz w:val="22"/>
          <w:szCs w:val="22"/>
          <w:highlight w:val="none"/>
          <w:u w:val="single"/>
        </w:rPr>
        <w:t xml:space="preserve">                       政府采购 </w:t>
      </w:r>
      <w:r>
        <w:rPr>
          <w:rFonts w:hint="eastAsia" w:ascii="宋体" w:hAnsi="宋体" w:cs="宋体"/>
          <w:color w:val="auto"/>
          <w:sz w:val="22"/>
          <w:szCs w:val="22"/>
          <w:highlight w:val="none"/>
        </w:rPr>
        <w:t>项目的投标活动，并代表我方全权办理针对上述项目的投标、开标、评标、签约等具体事务和签署相关文件。</w:t>
      </w:r>
    </w:p>
    <w:p w14:paraId="26055F98">
      <w:pPr>
        <w:snapToGrid w:val="0"/>
        <w:spacing w:line="360" w:lineRule="auto"/>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我方对被授权人的签名事项负全部责任。</w:t>
      </w:r>
    </w:p>
    <w:p w14:paraId="48C527E9">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在撤销授权的书面通知以前，本授权书一直有效。被授权人在授权书有效期内签署的所有文件不因授权的撤销而失效。</w:t>
      </w:r>
    </w:p>
    <w:p w14:paraId="2515E9A5">
      <w:pPr>
        <w:snapToGrid w:val="0"/>
        <w:spacing w:line="360" w:lineRule="auto"/>
        <w:ind w:firstLine="480"/>
        <w:rPr>
          <w:rFonts w:ascii="宋体" w:hAnsi="宋体" w:cs="宋体"/>
          <w:color w:val="auto"/>
          <w:sz w:val="22"/>
          <w:szCs w:val="22"/>
          <w:highlight w:val="none"/>
        </w:rPr>
      </w:pPr>
      <w:r>
        <w:rPr>
          <w:rFonts w:hint="eastAsia" w:ascii="宋体" w:hAnsi="宋体" w:cs="宋体"/>
          <w:color w:val="auto"/>
          <w:sz w:val="22"/>
          <w:szCs w:val="22"/>
          <w:highlight w:val="none"/>
        </w:rPr>
        <w:t>被授权人无转委托权，特此委托。</w:t>
      </w:r>
    </w:p>
    <w:p w14:paraId="43E4B3D8">
      <w:pPr>
        <w:snapToGrid w:val="0"/>
        <w:spacing w:line="360" w:lineRule="auto"/>
        <w:rPr>
          <w:rFonts w:ascii="宋体" w:hAnsi="宋体" w:cs="宋体"/>
          <w:color w:val="auto"/>
          <w:sz w:val="22"/>
          <w:szCs w:val="22"/>
          <w:highlight w:val="none"/>
        </w:rPr>
      </w:pPr>
    </w:p>
    <w:p w14:paraId="0F9FDED0">
      <w:pPr>
        <w:snapToGrid w:val="0"/>
        <w:spacing w:line="360" w:lineRule="auto"/>
        <w:rPr>
          <w:rFonts w:ascii="宋体" w:hAnsi="宋体" w:cs="宋体"/>
          <w:color w:val="auto"/>
          <w:sz w:val="22"/>
          <w:szCs w:val="22"/>
          <w:highlight w:val="none"/>
        </w:rPr>
      </w:pPr>
    </w:p>
    <w:p w14:paraId="1BA475F8">
      <w:pPr>
        <w:snapToGrid w:val="0"/>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rPr>
        <w:t>被授权人签名：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法定代表人签名：</w:t>
      </w:r>
      <w:r>
        <w:rPr>
          <w:rFonts w:hint="eastAsia" w:ascii="宋体" w:hAnsi="宋体" w:cs="宋体"/>
          <w:color w:val="auto"/>
          <w:sz w:val="22"/>
          <w:szCs w:val="22"/>
          <w:highlight w:val="none"/>
          <w:u w:val="single"/>
        </w:rPr>
        <w:t xml:space="preserve">          </w:t>
      </w:r>
    </w:p>
    <w:p w14:paraId="25CF08E1">
      <w:pPr>
        <w:snapToGrid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职务：</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职务：</w:t>
      </w:r>
      <w:r>
        <w:rPr>
          <w:rFonts w:hint="eastAsia" w:ascii="宋体" w:hAnsi="宋体" w:cs="宋体"/>
          <w:color w:val="auto"/>
          <w:sz w:val="22"/>
          <w:szCs w:val="22"/>
          <w:highlight w:val="none"/>
          <w:u w:val="single"/>
        </w:rPr>
        <w:t xml:space="preserve">           </w:t>
      </w:r>
    </w:p>
    <w:p w14:paraId="17EF702A">
      <w:pPr>
        <w:snapToGrid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被授权人身份证号码：</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57CE5E3E">
      <w:pPr>
        <w:snapToGrid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2A83A9D7">
      <w:pPr>
        <w:snapToGrid w:val="0"/>
        <w:spacing w:line="360" w:lineRule="auto"/>
        <w:rPr>
          <w:rFonts w:ascii="宋体" w:hAnsi="宋体" w:cs="宋体"/>
          <w:color w:val="auto"/>
          <w:sz w:val="22"/>
          <w:szCs w:val="22"/>
          <w:highlight w:val="none"/>
        </w:rPr>
      </w:pPr>
    </w:p>
    <w:p w14:paraId="15A23CB4">
      <w:pPr>
        <w:snapToGrid w:val="0"/>
        <w:spacing w:line="360" w:lineRule="auto"/>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公章：</w:t>
      </w:r>
    </w:p>
    <w:p w14:paraId="17FF6680">
      <w:pPr>
        <w:snapToGrid w:val="0"/>
        <w:spacing w:line="360" w:lineRule="auto"/>
        <w:ind w:firstLine="5060" w:firstLineChars="2300"/>
        <w:rPr>
          <w:rFonts w:ascii="宋体" w:hAnsi="宋体" w:cs="宋体"/>
          <w:color w:val="auto"/>
          <w:sz w:val="22"/>
          <w:szCs w:val="22"/>
          <w:highlight w:val="none"/>
        </w:rPr>
      </w:pPr>
    </w:p>
    <w:p w14:paraId="444DA958">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年    月    日</w:t>
      </w:r>
    </w:p>
    <w:p w14:paraId="55260EF1">
      <w:pPr>
        <w:spacing w:line="360" w:lineRule="auto"/>
        <w:rPr>
          <w:rFonts w:ascii="宋体" w:hAnsi="宋体" w:cs="宋体"/>
          <w:b/>
          <w:color w:val="auto"/>
          <w:sz w:val="22"/>
          <w:szCs w:val="22"/>
          <w:highlight w:val="none"/>
        </w:rPr>
      </w:pPr>
    </w:p>
    <w:p w14:paraId="22960EBF">
      <w:pPr>
        <w:kinsoku/>
        <w:wordWrap/>
        <w:overflowPunct/>
        <w:topLinePunct w:val="0"/>
        <w:bidi w:val="0"/>
        <w:jc w:val="center"/>
        <w:outlineLvl w:val="9"/>
        <w:rPr>
          <w:rFonts w:ascii="宋体" w:hAnsi="宋体" w:cs="宋体"/>
          <w:b/>
          <w:color w:val="auto"/>
          <w:kern w:val="0"/>
          <w:sz w:val="32"/>
          <w:szCs w:val="32"/>
          <w:highlight w:val="none"/>
        </w:rPr>
      </w:pPr>
    </w:p>
    <w:p w14:paraId="03971097">
      <w:pPr>
        <w:kinsoku/>
        <w:wordWrap/>
        <w:overflowPunct/>
        <w:topLinePunct w:val="0"/>
        <w:bidi w:val="0"/>
        <w:jc w:val="center"/>
        <w:outlineLvl w:val="9"/>
        <w:rPr>
          <w:rFonts w:ascii="宋体" w:hAnsi="宋体" w:cs="宋体"/>
          <w:b/>
          <w:color w:val="auto"/>
          <w:kern w:val="0"/>
          <w:sz w:val="32"/>
          <w:szCs w:val="32"/>
          <w:highlight w:val="none"/>
        </w:rPr>
      </w:pPr>
    </w:p>
    <w:p w14:paraId="23B871F8">
      <w:pPr>
        <w:kinsoku/>
        <w:wordWrap/>
        <w:overflowPunct/>
        <w:topLinePunct w:val="0"/>
        <w:bidi w:val="0"/>
        <w:jc w:val="center"/>
        <w:outlineLvl w:val="9"/>
        <w:rPr>
          <w:rFonts w:ascii="宋体" w:hAnsi="宋体" w:cs="宋体"/>
          <w:b/>
          <w:color w:val="auto"/>
          <w:kern w:val="0"/>
          <w:sz w:val="32"/>
          <w:szCs w:val="32"/>
          <w:highlight w:val="none"/>
        </w:rPr>
      </w:pPr>
    </w:p>
    <w:p w14:paraId="6354C8B0">
      <w:pPr>
        <w:kinsoku/>
        <w:wordWrap/>
        <w:overflowPunct/>
        <w:topLinePunct w:val="0"/>
        <w:bidi w:val="0"/>
        <w:jc w:val="center"/>
        <w:outlineLvl w:val="9"/>
        <w:rPr>
          <w:rFonts w:ascii="宋体" w:hAnsi="宋体" w:cs="宋体"/>
          <w:b/>
          <w:color w:val="auto"/>
          <w:kern w:val="0"/>
          <w:sz w:val="32"/>
          <w:szCs w:val="32"/>
          <w:highlight w:val="none"/>
        </w:rPr>
      </w:pPr>
    </w:p>
    <w:p w14:paraId="20F867FE">
      <w:pPr>
        <w:kinsoku/>
        <w:wordWrap/>
        <w:overflowPunct/>
        <w:topLinePunct w:val="0"/>
        <w:bidi w:val="0"/>
        <w:jc w:val="center"/>
        <w:outlineLvl w:val="9"/>
        <w:rPr>
          <w:rFonts w:ascii="宋体" w:hAnsi="宋体" w:cs="宋体"/>
          <w:b/>
          <w:color w:val="auto"/>
          <w:kern w:val="0"/>
          <w:sz w:val="32"/>
          <w:szCs w:val="32"/>
          <w:highlight w:val="none"/>
        </w:rPr>
      </w:pPr>
    </w:p>
    <w:p w14:paraId="49CF2265">
      <w:pPr>
        <w:kinsoku/>
        <w:wordWrap/>
        <w:overflowPunct/>
        <w:topLinePunct w:val="0"/>
        <w:bidi w:val="0"/>
        <w:jc w:val="center"/>
        <w:outlineLvl w:val="9"/>
        <w:rPr>
          <w:rFonts w:ascii="宋体" w:hAnsi="宋体" w:cs="宋体"/>
          <w:b/>
          <w:color w:val="auto"/>
          <w:kern w:val="0"/>
          <w:sz w:val="32"/>
          <w:szCs w:val="32"/>
          <w:highlight w:val="none"/>
        </w:rPr>
      </w:pPr>
    </w:p>
    <w:p w14:paraId="7A28E3C9">
      <w:pPr>
        <w:kinsoku/>
        <w:wordWrap/>
        <w:overflowPunct/>
        <w:topLinePunct w:val="0"/>
        <w:bidi w:val="0"/>
        <w:jc w:val="center"/>
        <w:outlineLvl w:val="9"/>
        <w:rPr>
          <w:rFonts w:ascii="宋体" w:hAnsi="宋体" w:cs="宋体"/>
          <w:b/>
          <w:color w:val="auto"/>
          <w:kern w:val="0"/>
          <w:sz w:val="32"/>
          <w:szCs w:val="32"/>
          <w:highlight w:val="none"/>
        </w:rPr>
      </w:pPr>
    </w:p>
    <w:p w14:paraId="301CC5D7">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235A6C1F">
      <w:pPr>
        <w:kinsoku/>
        <w:wordWrap/>
        <w:overflowPunct/>
        <w:topLinePunct w:val="0"/>
        <w:bidi w:val="0"/>
        <w:snapToGrid w:val="0"/>
        <w:spacing w:line="360" w:lineRule="auto"/>
        <w:outlineLvl w:val="9"/>
        <w:rPr>
          <w:rFonts w:ascii="宋体" w:hAnsi="宋体" w:cs="宋体"/>
          <w:color w:val="auto"/>
          <w:kern w:val="0"/>
          <w:sz w:val="24"/>
          <w:highlight w:val="none"/>
        </w:rPr>
      </w:pPr>
    </w:p>
    <w:p w14:paraId="5FD1399C">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6568D31">
      <w:pPr>
        <w:kinsoku/>
        <w:wordWrap/>
        <w:overflowPunct/>
        <w:topLinePunct w:val="0"/>
        <w:bidi w:val="0"/>
        <w:jc w:val="center"/>
        <w:outlineLvl w:val="9"/>
        <w:rPr>
          <w:rFonts w:ascii="宋体" w:hAnsi="宋体" w:cs="宋体"/>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743"/>
        <w:gridCol w:w="3585"/>
        <w:gridCol w:w="1632"/>
      </w:tblGrid>
      <w:tr w14:paraId="32C2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B368A2E">
            <w:pPr>
              <w:kinsoku/>
              <w:wordWrap/>
              <w:overflowPunct/>
              <w:topLinePunct w:val="0"/>
              <w:bidi w:val="0"/>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序号</w:t>
            </w:r>
          </w:p>
        </w:tc>
        <w:tc>
          <w:tcPr>
            <w:tcW w:w="3743" w:type="dxa"/>
            <w:vAlign w:val="center"/>
          </w:tcPr>
          <w:p w14:paraId="2B873E7F">
            <w:pPr>
              <w:kinsoku/>
              <w:wordWrap/>
              <w:overflowPunct/>
              <w:topLinePunct w:val="0"/>
              <w:bidi w:val="0"/>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85" w:type="dxa"/>
            <w:vAlign w:val="center"/>
          </w:tcPr>
          <w:p w14:paraId="559A083B">
            <w:pPr>
              <w:kinsoku/>
              <w:wordWrap/>
              <w:overflowPunct/>
              <w:topLinePunct w:val="0"/>
              <w:bidi w:val="0"/>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632" w:type="dxa"/>
            <w:vAlign w:val="center"/>
          </w:tcPr>
          <w:p w14:paraId="78682C4D">
            <w:pPr>
              <w:kinsoku/>
              <w:wordWrap/>
              <w:overflowPunct/>
              <w:topLinePunct w:val="0"/>
              <w:bidi w:val="0"/>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投标文件中的</w:t>
            </w:r>
          </w:p>
          <w:p w14:paraId="71944D68">
            <w:pPr>
              <w:kinsoku/>
              <w:wordWrap/>
              <w:overflowPunct/>
              <w:topLinePunct w:val="0"/>
              <w:bidi w:val="0"/>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页码位置</w:t>
            </w:r>
          </w:p>
        </w:tc>
      </w:tr>
      <w:tr w14:paraId="34B9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EDE2B88">
            <w:pPr>
              <w:kinsoku/>
              <w:wordWrap/>
              <w:overflowPunct/>
              <w:topLinePunct w:val="0"/>
              <w:bidi w:val="0"/>
              <w:jc w:val="center"/>
              <w:outlineLvl w:val="9"/>
              <w:rPr>
                <w:rFonts w:ascii="宋体" w:hAnsi="宋体" w:cs="宋体"/>
                <w:color w:val="auto"/>
                <w:sz w:val="24"/>
                <w:highlight w:val="none"/>
              </w:rPr>
            </w:pPr>
            <w:r>
              <w:rPr>
                <w:rFonts w:hint="eastAsia" w:ascii="宋体" w:hAnsi="宋体" w:cs="宋体"/>
                <w:color w:val="auto"/>
                <w:sz w:val="24"/>
                <w:highlight w:val="none"/>
              </w:rPr>
              <w:t>1</w:t>
            </w:r>
          </w:p>
        </w:tc>
        <w:tc>
          <w:tcPr>
            <w:tcW w:w="3743" w:type="dxa"/>
            <w:vAlign w:val="center"/>
          </w:tcPr>
          <w:p w14:paraId="3A0663F8">
            <w:pPr>
              <w:kinsoku/>
              <w:wordWrap/>
              <w:overflowPunct/>
              <w:topLinePunct w:val="0"/>
              <w:bidi w:val="0"/>
              <w:spacing w:line="240" w:lineRule="auto"/>
              <w:jc w:val="center"/>
              <w:outlineLvl w:val="9"/>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585" w:type="dxa"/>
            <w:vAlign w:val="center"/>
          </w:tcPr>
          <w:p w14:paraId="1C73705B">
            <w:pPr>
              <w:kinsoku/>
              <w:wordWrap/>
              <w:overflowPunct/>
              <w:topLinePunct w:val="0"/>
              <w:bidi w:val="0"/>
              <w:jc w:val="center"/>
              <w:outlineLvl w:val="9"/>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632" w:type="dxa"/>
            <w:vAlign w:val="center"/>
          </w:tcPr>
          <w:p w14:paraId="55A8A67A">
            <w:pPr>
              <w:kinsoku/>
              <w:wordWrap/>
              <w:overflowPunct/>
              <w:topLinePunct w:val="0"/>
              <w:bidi w:val="0"/>
              <w:jc w:val="center"/>
              <w:outlineLvl w:val="9"/>
              <w:rPr>
                <w:rFonts w:ascii="宋体" w:hAnsi="宋体" w:cs="宋体"/>
                <w:color w:val="auto"/>
                <w:sz w:val="24"/>
                <w:highlight w:val="none"/>
              </w:rPr>
            </w:pPr>
          </w:p>
          <w:p w14:paraId="633ABEFD">
            <w:pPr>
              <w:kinsoku/>
              <w:wordWrap/>
              <w:overflowPunct/>
              <w:topLinePunct w:val="0"/>
              <w:bidi w:val="0"/>
              <w:jc w:val="center"/>
              <w:outlineLvl w:val="9"/>
              <w:rPr>
                <w:rFonts w:ascii="宋体" w:hAnsi="宋体" w:cs="宋体"/>
                <w:color w:val="auto"/>
                <w:sz w:val="24"/>
                <w:highlight w:val="none"/>
              </w:rPr>
            </w:pPr>
            <w:r>
              <w:rPr>
                <w:rFonts w:hint="eastAsia" w:ascii="宋体" w:hAnsi="宋体" w:cs="宋体"/>
                <w:color w:val="auto"/>
                <w:sz w:val="24"/>
                <w:highlight w:val="none"/>
              </w:rPr>
              <w:t>见投标文件</w:t>
            </w:r>
          </w:p>
          <w:p w14:paraId="7996DC02">
            <w:pPr>
              <w:kinsoku/>
              <w:wordWrap/>
              <w:overflowPunct/>
              <w:topLinePunct w:val="0"/>
              <w:bidi w:val="0"/>
              <w:jc w:val="center"/>
              <w:outlineLvl w:val="9"/>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766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3778625">
            <w:pPr>
              <w:kinsoku/>
              <w:wordWrap/>
              <w:overflowPunct/>
              <w:topLinePunct w:val="0"/>
              <w:bidi w:val="0"/>
              <w:jc w:val="center"/>
              <w:outlineLvl w:val="9"/>
              <w:rPr>
                <w:rFonts w:ascii="宋体" w:hAnsi="宋体" w:cs="宋体"/>
                <w:color w:val="auto"/>
                <w:sz w:val="24"/>
                <w:highlight w:val="none"/>
              </w:rPr>
            </w:pPr>
            <w:r>
              <w:rPr>
                <w:rFonts w:hint="eastAsia" w:ascii="宋体" w:hAnsi="宋体" w:cs="宋体"/>
                <w:color w:val="auto"/>
                <w:sz w:val="24"/>
                <w:highlight w:val="none"/>
              </w:rPr>
              <w:t>2</w:t>
            </w:r>
          </w:p>
        </w:tc>
        <w:tc>
          <w:tcPr>
            <w:tcW w:w="3743" w:type="dxa"/>
            <w:vAlign w:val="center"/>
          </w:tcPr>
          <w:p w14:paraId="3D9B6740">
            <w:pPr>
              <w:kinsoku/>
              <w:wordWrap/>
              <w:overflowPunct/>
              <w:topLinePunct w:val="0"/>
              <w:bidi w:val="0"/>
              <w:spacing w:line="240" w:lineRule="auto"/>
              <w:jc w:val="center"/>
              <w:outlineLvl w:val="9"/>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585" w:type="dxa"/>
            <w:vAlign w:val="center"/>
          </w:tcPr>
          <w:p w14:paraId="7F460B63">
            <w:pPr>
              <w:kinsoku/>
              <w:wordWrap/>
              <w:overflowPunct/>
              <w:topLinePunct w:val="0"/>
              <w:bidi w:val="0"/>
              <w:jc w:val="center"/>
              <w:outlineLvl w:val="9"/>
              <w:rPr>
                <w:rFonts w:ascii="宋体" w:hAnsi="宋体" w:cs="宋体"/>
                <w:color w:val="auto"/>
                <w:sz w:val="24"/>
                <w:highlight w:val="none"/>
              </w:rPr>
            </w:pPr>
            <w:r>
              <w:rPr>
                <w:rFonts w:hint="eastAsia" w:ascii="宋体" w:hAnsi="宋体" w:cs="宋体"/>
                <w:color w:val="auto"/>
                <w:sz w:val="24"/>
                <w:highlight w:val="none"/>
              </w:rPr>
              <w:t>投标函</w:t>
            </w:r>
          </w:p>
        </w:tc>
        <w:tc>
          <w:tcPr>
            <w:tcW w:w="1632" w:type="dxa"/>
            <w:vAlign w:val="center"/>
          </w:tcPr>
          <w:p w14:paraId="3E4CD537">
            <w:pPr>
              <w:kinsoku/>
              <w:wordWrap/>
              <w:overflowPunct/>
              <w:topLinePunct w:val="0"/>
              <w:bidi w:val="0"/>
              <w:jc w:val="center"/>
              <w:outlineLvl w:val="9"/>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EAF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CFDCE10">
            <w:pPr>
              <w:kinsoku/>
              <w:wordWrap/>
              <w:overflowPunct/>
              <w:topLinePunct w:val="0"/>
              <w:bidi w:val="0"/>
              <w:jc w:val="center"/>
              <w:outlineLvl w:val="9"/>
              <w:rPr>
                <w:rFonts w:ascii="宋体" w:hAnsi="宋体" w:cs="宋体"/>
                <w:color w:val="auto"/>
                <w:sz w:val="24"/>
                <w:highlight w:val="none"/>
              </w:rPr>
            </w:pPr>
            <w:r>
              <w:rPr>
                <w:rFonts w:hint="eastAsia" w:ascii="宋体" w:hAnsi="宋体" w:cs="宋体"/>
                <w:color w:val="auto"/>
                <w:sz w:val="24"/>
                <w:highlight w:val="none"/>
              </w:rPr>
              <w:t>3</w:t>
            </w:r>
          </w:p>
        </w:tc>
        <w:tc>
          <w:tcPr>
            <w:tcW w:w="3743" w:type="dxa"/>
            <w:vAlign w:val="center"/>
          </w:tcPr>
          <w:p w14:paraId="65D1372E">
            <w:pPr>
              <w:kinsoku/>
              <w:wordWrap/>
              <w:overflowPunct/>
              <w:topLinePunct w:val="0"/>
              <w:bidi w:val="0"/>
              <w:spacing w:line="240" w:lineRule="auto"/>
              <w:jc w:val="center"/>
              <w:outlineLvl w:val="9"/>
              <w:rPr>
                <w:rFonts w:ascii="宋体" w:hAnsi="宋体" w:cs="宋体"/>
                <w:color w:val="auto"/>
                <w:sz w:val="24"/>
                <w:highlight w:val="none"/>
              </w:rPr>
            </w:pPr>
            <w:r>
              <w:rPr>
                <w:rFonts w:hint="eastAsia" w:ascii="宋体" w:hAnsi="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cs="宋体"/>
                <w:color w:val="auto"/>
                <w:sz w:val="24"/>
                <w:highlight w:val="none"/>
              </w:rPr>
              <w:t>实质性要求。</w:t>
            </w:r>
          </w:p>
        </w:tc>
        <w:tc>
          <w:tcPr>
            <w:tcW w:w="3585" w:type="dxa"/>
            <w:vAlign w:val="center"/>
          </w:tcPr>
          <w:p w14:paraId="4B22A6C0">
            <w:pPr>
              <w:kinsoku/>
              <w:wordWrap/>
              <w:overflowPunct/>
              <w:topLinePunct w:val="0"/>
              <w:bidi w:val="0"/>
              <w:jc w:val="center"/>
              <w:outlineLvl w:val="9"/>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cs="宋体"/>
                <w:color w:val="auto"/>
                <w:kern w:val="0"/>
                <w:sz w:val="24"/>
                <w:highlight w:val="none"/>
              </w:rPr>
              <w:t>实质性要求的，无需提供）</w:t>
            </w:r>
          </w:p>
        </w:tc>
        <w:tc>
          <w:tcPr>
            <w:tcW w:w="1632" w:type="dxa"/>
            <w:vAlign w:val="center"/>
          </w:tcPr>
          <w:p w14:paraId="226F8CAA">
            <w:pPr>
              <w:kinsoku/>
              <w:wordWrap/>
              <w:overflowPunct/>
              <w:topLinePunct w:val="0"/>
              <w:bidi w:val="0"/>
              <w:jc w:val="center"/>
              <w:outlineLvl w:val="9"/>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D3FBCC5">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2DB4AD">
      <w:pPr>
        <w:kinsoku/>
        <w:wordWrap/>
        <w:overflowPunct/>
        <w:topLinePunct w:val="0"/>
        <w:bidi w:val="0"/>
        <w:jc w:val="center"/>
        <w:outlineLvl w:val="9"/>
        <w:rPr>
          <w:rFonts w:ascii="宋体" w:hAnsi="宋体" w:cs="宋体"/>
          <w:b/>
          <w:color w:val="auto"/>
          <w:kern w:val="0"/>
          <w:sz w:val="32"/>
          <w:szCs w:val="32"/>
          <w:highlight w:val="none"/>
        </w:rPr>
      </w:pPr>
    </w:p>
    <w:p w14:paraId="56AE1275">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3AECA86">
      <w:pPr>
        <w:kinsoku/>
        <w:wordWrap/>
        <w:overflowPunct/>
        <w:topLinePunct w:val="0"/>
        <w:bidi w:val="0"/>
        <w:jc w:val="center"/>
        <w:outlineLvl w:val="9"/>
        <w:rPr>
          <w:rFonts w:ascii="宋体" w:hAnsi="宋体" w:cs="宋体"/>
          <w:b/>
          <w:color w:val="auto"/>
          <w:kern w:val="0"/>
          <w:sz w:val="32"/>
          <w:szCs w:val="32"/>
          <w:highlight w:val="none"/>
        </w:rPr>
      </w:pPr>
    </w:p>
    <w:p w14:paraId="77F34BDB">
      <w:pPr>
        <w:kinsoku/>
        <w:wordWrap/>
        <w:overflowPunct/>
        <w:topLinePunct w:val="0"/>
        <w:bidi w:val="0"/>
        <w:jc w:val="center"/>
        <w:outlineLvl w:val="9"/>
        <w:rPr>
          <w:rFonts w:ascii="宋体" w:hAnsi="宋体" w:cs="宋体"/>
          <w:b/>
          <w:color w:val="auto"/>
          <w:kern w:val="0"/>
          <w:sz w:val="32"/>
          <w:szCs w:val="32"/>
          <w:highlight w:val="none"/>
        </w:rPr>
      </w:pPr>
    </w:p>
    <w:p w14:paraId="5685B468">
      <w:pPr>
        <w:kinsoku/>
        <w:wordWrap/>
        <w:overflowPunct/>
        <w:topLinePunct w:val="0"/>
        <w:bidi w:val="0"/>
        <w:jc w:val="center"/>
        <w:outlineLvl w:val="9"/>
        <w:rPr>
          <w:rFonts w:ascii="宋体" w:hAnsi="宋体" w:cs="宋体"/>
          <w:b/>
          <w:color w:val="auto"/>
          <w:kern w:val="0"/>
          <w:sz w:val="32"/>
          <w:szCs w:val="32"/>
          <w:highlight w:val="none"/>
        </w:rPr>
      </w:pPr>
    </w:p>
    <w:p w14:paraId="698A144F">
      <w:pPr>
        <w:kinsoku/>
        <w:wordWrap/>
        <w:overflowPunct/>
        <w:topLinePunct w:val="0"/>
        <w:bidi w:val="0"/>
        <w:jc w:val="center"/>
        <w:outlineLvl w:val="9"/>
        <w:rPr>
          <w:rFonts w:ascii="宋体" w:hAnsi="宋体" w:cs="宋体"/>
          <w:b/>
          <w:color w:val="auto"/>
          <w:kern w:val="0"/>
          <w:sz w:val="32"/>
          <w:szCs w:val="32"/>
          <w:highlight w:val="none"/>
        </w:rPr>
      </w:pPr>
    </w:p>
    <w:p w14:paraId="2C0C1E33">
      <w:pPr>
        <w:kinsoku/>
        <w:wordWrap/>
        <w:overflowPunct/>
        <w:topLinePunct w:val="0"/>
        <w:bidi w:val="0"/>
        <w:jc w:val="center"/>
        <w:outlineLvl w:val="9"/>
        <w:rPr>
          <w:rFonts w:ascii="宋体" w:hAnsi="宋体" w:cs="宋体"/>
          <w:b/>
          <w:color w:val="auto"/>
          <w:kern w:val="0"/>
          <w:sz w:val="32"/>
          <w:szCs w:val="32"/>
          <w:highlight w:val="none"/>
        </w:rPr>
      </w:pPr>
    </w:p>
    <w:p w14:paraId="62114D0D">
      <w:pPr>
        <w:kinsoku/>
        <w:wordWrap/>
        <w:overflowPunct/>
        <w:topLinePunct w:val="0"/>
        <w:bidi w:val="0"/>
        <w:jc w:val="center"/>
        <w:outlineLvl w:val="9"/>
        <w:rPr>
          <w:rFonts w:ascii="宋体" w:hAnsi="宋体" w:cs="宋体"/>
          <w:b/>
          <w:color w:val="auto"/>
          <w:kern w:val="0"/>
          <w:sz w:val="32"/>
          <w:szCs w:val="32"/>
          <w:highlight w:val="none"/>
        </w:rPr>
      </w:pPr>
    </w:p>
    <w:p w14:paraId="25E21575">
      <w:pPr>
        <w:kinsoku/>
        <w:wordWrap/>
        <w:overflowPunct/>
        <w:topLinePunct w:val="0"/>
        <w:bidi w:val="0"/>
        <w:jc w:val="center"/>
        <w:outlineLvl w:val="9"/>
        <w:rPr>
          <w:rFonts w:ascii="宋体" w:hAnsi="宋体" w:cs="宋体"/>
          <w:b/>
          <w:color w:val="auto"/>
          <w:kern w:val="0"/>
          <w:sz w:val="32"/>
          <w:szCs w:val="32"/>
          <w:highlight w:val="none"/>
        </w:rPr>
      </w:pPr>
    </w:p>
    <w:p w14:paraId="6594135E">
      <w:pPr>
        <w:kinsoku/>
        <w:wordWrap/>
        <w:overflowPunct/>
        <w:topLinePunct w:val="0"/>
        <w:bidi w:val="0"/>
        <w:jc w:val="center"/>
        <w:outlineLvl w:val="9"/>
        <w:rPr>
          <w:rFonts w:ascii="宋体" w:hAnsi="宋体" w:cs="宋体"/>
          <w:b/>
          <w:color w:val="auto"/>
          <w:kern w:val="0"/>
          <w:sz w:val="32"/>
          <w:szCs w:val="32"/>
          <w:highlight w:val="none"/>
        </w:rPr>
      </w:pPr>
    </w:p>
    <w:p w14:paraId="1F3287FB">
      <w:pPr>
        <w:kinsoku/>
        <w:wordWrap/>
        <w:overflowPunct/>
        <w:topLinePunct w:val="0"/>
        <w:bidi w:val="0"/>
        <w:jc w:val="center"/>
        <w:outlineLvl w:val="9"/>
        <w:rPr>
          <w:rFonts w:ascii="宋体" w:hAnsi="宋体" w:cs="宋体"/>
          <w:b/>
          <w:color w:val="auto"/>
          <w:kern w:val="0"/>
          <w:sz w:val="32"/>
          <w:szCs w:val="32"/>
          <w:highlight w:val="none"/>
        </w:rPr>
      </w:pPr>
    </w:p>
    <w:p w14:paraId="67C360AC">
      <w:pPr>
        <w:kinsoku/>
        <w:wordWrap/>
        <w:overflowPunct/>
        <w:topLinePunct w:val="0"/>
        <w:bidi w:val="0"/>
        <w:jc w:val="center"/>
        <w:outlineLvl w:val="9"/>
        <w:rPr>
          <w:rFonts w:ascii="宋体" w:hAnsi="宋体" w:cs="宋体"/>
          <w:b/>
          <w:color w:val="auto"/>
          <w:kern w:val="0"/>
          <w:sz w:val="32"/>
          <w:szCs w:val="32"/>
          <w:highlight w:val="none"/>
        </w:rPr>
      </w:pPr>
    </w:p>
    <w:p w14:paraId="5A8F0EE1">
      <w:pPr>
        <w:kinsoku/>
        <w:wordWrap/>
        <w:overflowPunct/>
        <w:topLinePunct w:val="0"/>
        <w:bidi w:val="0"/>
        <w:jc w:val="center"/>
        <w:outlineLvl w:val="9"/>
        <w:rPr>
          <w:rFonts w:ascii="宋体" w:hAnsi="宋体" w:cs="宋体"/>
          <w:b/>
          <w:color w:val="auto"/>
          <w:kern w:val="0"/>
          <w:sz w:val="32"/>
          <w:szCs w:val="32"/>
          <w:highlight w:val="none"/>
        </w:rPr>
      </w:pPr>
    </w:p>
    <w:p w14:paraId="252040E9">
      <w:pPr>
        <w:kinsoku/>
        <w:wordWrap/>
        <w:overflowPunct/>
        <w:topLinePunct w:val="0"/>
        <w:bidi w:val="0"/>
        <w:jc w:val="center"/>
        <w:outlineLvl w:val="9"/>
        <w:rPr>
          <w:rFonts w:ascii="宋体" w:hAnsi="宋体" w:cs="宋体"/>
          <w:b/>
          <w:color w:val="auto"/>
          <w:kern w:val="0"/>
          <w:sz w:val="32"/>
          <w:szCs w:val="32"/>
          <w:highlight w:val="none"/>
        </w:rPr>
      </w:pPr>
    </w:p>
    <w:p w14:paraId="11FF9323">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E3ED674">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outlineLvl w:val="2"/>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162C831">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7FCF8BA">
      <w:pPr>
        <w:kinsoku/>
        <w:wordWrap/>
        <w:overflowPunct/>
        <w:topLinePunct w:val="0"/>
        <w:bidi w:val="0"/>
        <w:jc w:val="center"/>
        <w:outlineLvl w:val="9"/>
        <w:rPr>
          <w:rFonts w:ascii="宋体" w:hAnsi="宋体" w:cs="宋体"/>
          <w:b/>
          <w:color w:val="auto"/>
          <w:kern w:val="0"/>
          <w:sz w:val="32"/>
          <w:szCs w:val="32"/>
          <w:highlight w:val="none"/>
        </w:rPr>
      </w:pPr>
    </w:p>
    <w:p w14:paraId="08AADE82">
      <w:pPr>
        <w:kinsoku/>
        <w:wordWrap/>
        <w:overflowPunct/>
        <w:topLinePunct w:val="0"/>
        <w:bidi w:val="0"/>
        <w:jc w:val="center"/>
        <w:outlineLvl w:val="9"/>
        <w:rPr>
          <w:rFonts w:ascii="宋体" w:hAnsi="宋体" w:cs="宋体"/>
          <w:b/>
          <w:color w:val="auto"/>
          <w:kern w:val="0"/>
          <w:sz w:val="32"/>
          <w:szCs w:val="32"/>
          <w:highlight w:val="none"/>
        </w:rPr>
      </w:pPr>
    </w:p>
    <w:p w14:paraId="4B1ACACB">
      <w:pPr>
        <w:kinsoku/>
        <w:wordWrap/>
        <w:overflowPunct/>
        <w:topLinePunct w:val="0"/>
        <w:bidi w:val="0"/>
        <w:jc w:val="center"/>
        <w:outlineLvl w:val="9"/>
        <w:rPr>
          <w:rFonts w:ascii="宋体" w:hAnsi="宋体" w:cs="宋体"/>
          <w:b/>
          <w:color w:val="auto"/>
          <w:kern w:val="0"/>
          <w:sz w:val="32"/>
          <w:szCs w:val="32"/>
          <w:highlight w:val="none"/>
        </w:rPr>
      </w:pPr>
    </w:p>
    <w:p w14:paraId="2B041E0C">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E7E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413332">
            <w:pPr>
              <w:kinsoku/>
              <w:wordWrap/>
              <w:overflowPunct/>
              <w:topLinePunct w:val="0"/>
              <w:bidi w:val="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683" w:type="dxa"/>
          </w:tcPr>
          <w:p w14:paraId="1619A6F0">
            <w:pPr>
              <w:kinsoku/>
              <w:wordWrap/>
              <w:overflowPunct/>
              <w:topLinePunct w:val="0"/>
              <w:bidi w:val="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招标文件章节及具体内容</w:t>
            </w:r>
          </w:p>
        </w:tc>
        <w:tc>
          <w:tcPr>
            <w:tcW w:w="3546" w:type="dxa"/>
          </w:tcPr>
          <w:p w14:paraId="7429BFC7">
            <w:pPr>
              <w:kinsoku/>
              <w:wordWrap/>
              <w:overflowPunct/>
              <w:topLinePunct w:val="0"/>
              <w:bidi w:val="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投标文件章节及具体内容</w:t>
            </w:r>
          </w:p>
        </w:tc>
        <w:tc>
          <w:tcPr>
            <w:tcW w:w="1276" w:type="dxa"/>
          </w:tcPr>
          <w:p w14:paraId="0128CCFC">
            <w:pPr>
              <w:kinsoku/>
              <w:wordWrap/>
              <w:overflowPunct/>
              <w:topLinePunct w:val="0"/>
              <w:bidi w:val="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偏离说明</w:t>
            </w:r>
          </w:p>
        </w:tc>
      </w:tr>
      <w:tr w14:paraId="1167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1D070D">
            <w:pPr>
              <w:kinsoku/>
              <w:wordWrap/>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683" w:type="dxa"/>
          </w:tcPr>
          <w:p w14:paraId="76C7A121">
            <w:pPr>
              <w:kinsoku/>
              <w:wordWrap/>
              <w:overflowPunct/>
              <w:topLinePunct w:val="0"/>
              <w:bidi w:val="0"/>
              <w:jc w:val="center"/>
              <w:outlineLvl w:val="9"/>
              <w:rPr>
                <w:rFonts w:hint="eastAsia" w:ascii="宋体" w:hAnsi="宋体" w:eastAsia="宋体" w:cs="宋体"/>
                <w:b/>
                <w:color w:val="auto"/>
                <w:kern w:val="0"/>
                <w:sz w:val="21"/>
                <w:szCs w:val="21"/>
                <w:highlight w:val="none"/>
              </w:rPr>
            </w:pPr>
          </w:p>
        </w:tc>
        <w:tc>
          <w:tcPr>
            <w:tcW w:w="3546" w:type="dxa"/>
          </w:tcPr>
          <w:p w14:paraId="2CABEFA5">
            <w:pPr>
              <w:kinsoku/>
              <w:wordWrap/>
              <w:overflowPunct/>
              <w:topLinePunct w:val="0"/>
              <w:bidi w:val="0"/>
              <w:jc w:val="center"/>
              <w:outlineLvl w:val="9"/>
              <w:rPr>
                <w:rFonts w:hint="eastAsia" w:ascii="宋体" w:hAnsi="宋体" w:eastAsia="宋体" w:cs="宋体"/>
                <w:b/>
                <w:color w:val="auto"/>
                <w:kern w:val="0"/>
                <w:sz w:val="21"/>
                <w:szCs w:val="21"/>
                <w:highlight w:val="none"/>
              </w:rPr>
            </w:pPr>
          </w:p>
        </w:tc>
        <w:tc>
          <w:tcPr>
            <w:tcW w:w="1276" w:type="dxa"/>
          </w:tcPr>
          <w:p w14:paraId="5757F040">
            <w:pPr>
              <w:kinsoku/>
              <w:wordWrap/>
              <w:overflowPunct/>
              <w:topLinePunct w:val="0"/>
              <w:bidi w:val="0"/>
              <w:jc w:val="center"/>
              <w:outlineLvl w:val="9"/>
              <w:rPr>
                <w:rFonts w:hint="eastAsia" w:ascii="宋体" w:hAnsi="宋体" w:eastAsia="宋体" w:cs="宋体"/>
                <w:b/>
                <w:color w:val="auto"/>
                <w:kern w:val="0"/>
                <w:sz w:val="21"/>
                <w:szCs w:val="21"/>
                <w:highlight w:val="none"/>
              </w:rPr>
            </w:pPr>
          </w:p>
        </w:tc>
      </w:tr>
      <w:tr w14:paraId="4229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ACFB32">
            <w:pPr>
              <w:kinsoku/>
              <w:wordWrap/>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683" w:type="dxa"/>
          </w:tcPr>
          <w:p w14:paraId="5A00E7F7">
            <w:pPr>
              <w:kinsoku/>
              <w:wordWrap/>
              <w:overflowPunct/>
              <w:topLinePunct w:val="0"/>
              <w:bidi w:val="0"/>
              <w:jc w:val="center"/>
              <w:outlineLvl w:val="9"/>
              <w:rPr>
                <w:rFonts w:hint="eastAsia" w:ascii="宋体" w:hAnsi="宋体" w:eastAsia="宋体" w:cs="宋体"/>
                <w:b/>
                <w:color w:val="auto"/>
                <w:kern w:val="0"/>
                <w:sz w:val="21"/>
                <w:szCs w:val="21"/>
                <w:highlight w:val="none"/>
              </w:rPr>
            </w:pPr>
          </w:p>
        </w:tc>
        <w:tc>
          <w:tcPr>
            <w:tcW w:w="3546" w:type="dxa"/>
          </w:tcPr>
          <w:p w14:paraId="25CA45AE">
            <w:pPr>
              <w:kinsoku/>
              <w:wordWrap/>
              <w:overflowPunct/>
              <w:topLinePunct w:val="0"/>
              <w:bidi w:val="0"/>
              <w:jc w:val="center"/>
              <w:outlineLvl w:val="9"/>
              <w:rPr>
                <w:rFonts w:hint="eastAsia" w:ascii="宋体" w:hAnsi="宋体" w:eastAsia="宋体" w:cs="宋体"/>
                <w:b/>
                <w:color w:val="auto"/>
                <w:kern w:val="0"/>
                <w:sz w:val="21"/>
                <w:szCs w:val="21"/>
                <w:highlight w:val="none"/>
              </w:rPr>
            </w:pPr>
          </w:p>
        </w:tc>
        <w:tc>
          <w:tcPr>
            <w:tcW w:w="1276" w:type="dxa"/>
          </w:tcPr>
          <w:p w14:paraId="1D332C06">
            <w:pPr>
              <w:kinsoku/>
              <w:wordWrap/>
              <w:overflowPunct/>
              <w:topLinePunct w:val="0"/>
              <w:bidi w:val="0"/>
              <w:jc w:val="center"/>
              <w:outlineLvl w:val="9"/>
              <w:rPr>
                <w:rFonts w:hint="eastAsia" w:ascii="宋体" w:hAnsi="宋体" w:eastAsia="宋体" w:cs="宋体"/>
                <w:b/>
                <w:color w:val="auto"/>
                <w:kern w:val="0"/>
                <w:sz w:val="21"/>
                <w:szCs w:val="21"/>
                <w:highlight w:val="none"/>
              </w:rPr>
            </w:pPr>
          </w:p>
        </w:tc>
      </w:tr>
      <w:tr w14:paraId="3A30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8EBC06">
            <w:pPr>
              <w:kinsoku/>
              <w:wordWrap/>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3683" w:type="dxa"/>
          </w:tcPr>
          <w:p w14:paraId="41154C50">
            <w:pPr>
              <w:kinsoku/>
              <w:wordWrap/>
              <w:overflowPunct/>
              <w:topLinePunct w:val="0"/>
              <w:bidi w:val="0"/>
              <w:jc w:val="center"/>
              <w:outlineLvl w:val="9"/>
              <w:rPr>
                <w:rFonts w:hint="eastAsia" w:ascii="宋体" w:hAnsi="宋体" w:eastAsia="宋体" w:cs="宋体"/>
                <w:b/>
                <w:color w:val="auto"/>
                <w:kern w:val="0"/>
                <w:sz w:val="21"/>
                <w:szCs w:val="21"/>
                <w:highlight w:val="none"/>
              </w:rPr>
            </w:pPr>
          </w:p>
        </w:tc>
        <w:tc>
          <w:tcPr>
            <w:tcW w:w="3546" w:type="dxa"/>
          </w:tcPr>
          <w:p w14:paraId="20F35843">
            <w:pPr>
              <w:kinsoku/>
              <w:wordWrap/>
              <w:overflowPunct/>
              <w:topLinePunct w:val="0"/>
              <w:bidi w:val="0"/>
              <w:jc w:val="center"/>
              <w:outlineLvl w:val="9"/>
              <w:rPr>
                <w:rFonts w:hint="eastAsia" w:ascii="宋体" w:hAnsi="宋体" w:eastAsia="宋体" w:cs="宋体"/>
                <w:b/>
                <w:color w:val="auto"/>
                <w:kern w:val="0"/>
                <w:sz w:val="21"/>
                <w:szCs w:val="21"/>
                <w:highlight w:val="none"/>
              </w:rPr>
            </w:pPr>
          </w:p>
        </w:tc>
        <w:tc>
          <w:tcPr>
            <w:tcW w:w="1276" w:type="dxa"/>
          </w:tcPr>
          <w:p w14:paraId="275CEC46">
            <w:pPr>
              <w:kinsoku/>
              <w:wordWrap/>
              <w:overflowPunct/>
              <w:topLinePunct w:val="0"/>
              <w:bidi w:val="0"/>
              <w:jc w:val="center"/>
              <w:outlineLvl w:val="9"/>
              <w:rPr>
                <w:rFonts w:hint="eastAsia" w:ascii="宋体" w:hAnsi="宋体" w:eastAsia="宋体" w:cs="宋体"/>
                <w:b/>
                <w:color w:val="auto"/>
                <w:kern w:val="0"/>
                <w:sz w:val="21"/>
                <w:szCs w:val="21"/>
                <w:highlight w:val="none"/>
              </w:rPr>
            </w:pPr>
          </w:p>
        </w:tc>
      </w:tr>
    </w:tbl>
    <w:p w14:paraId="2209CEC1">
      <w:pPr>
        <w:kinsoku/>
        <w:wordWrap/>
        <w:overflowPunct/>
        <w:topLinePunct w:val="0"/>
        <w:bidi w:val="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投标人保证：除商务技术偏离表列出的偏离外，投标人响应招标文件的全部要求</w:t>
      </w:r>
    </w:p>
    <w:p w14:paraId="72595137">
      <w:pPr>
        <w:kinsoku/>
        <w:wordWrap/>
        <w:overflowPunct/>
        <w:topLinePunct w:val="0"/>
        <w:bidi w:val="0"/>
        <w:jc w:val="center"/>
        <w:outlineLvl w:val="9"/>
        <w:rPr>
          <w:rFonts w:hint="eastAsia" w:ascii="宋体" w:hAnsi="宋体" w:eastAsia="宋体" w:cs="宋体"/>
          <w:b/>
          <w:color w:val="auto"/>
          <w:kern w:val="0"/>
          <w:sz w:val="21"/>
          <w:szCs w:val="21"/>
          <w:highlight w:val="none"/>
        </w:rPr>
      </w:pPr>
    </w:p>
    <w:p w14:paraId="01606A37">
      <w:pPr>
        <w:pStyle w:val="25"/>
        <w:widowControl/>
        <w:spacing w:line="60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14:paraId="39ABBCCA">
      <w:pPr>
        <w:pStyle w:val="25"/>
        <w:widowControl/>
        <w:spacing w:line="60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14:paraId="3D0D1CBA">
      <w:pPr>
        <w:spacing w:line="600" w:lineRule="auto"/>
        <w:ind w:right="1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14:paraId="2E9DD635">
      <w:pPr>
        <w:pStyle w:val="841"/>
        <w:keepNext w:val="0"/>
        <w:keepLines w:val="0"/>
        <w:pageBreakBefore w:val="0"/>
        <w:widowControl w:val="0"/>
        <w:numPr>
          <w:ilvl w:val="0"/>
          <w:numId w:val="0"/>
        </w:numPr>
        <w:tabs>
          <w:tab w:val="clear" w:pos="8268"/>
        </w:tabs>
        <w:kinsoku/>
        <w:wordWrap/>
        <w:overflowPunct/>
        <w:topLinePunct w:val="0"/>
        <w:autoSpaceDE/>
        <w:autoSpaceDN/>
        <w:bidi w:val="0"/>
        <w:adjustRightInd w:val="0"/>
        <w:snapToGrid/>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备注填写说明：列明采购文件的服务条款与投标文件对应响应，并说明偏离状况</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若无偏离的须明确“完全响应采购文件要求，无偏离”</w:t>
      </w:r>
      <w:r>
        <w:rPr>
          <w:rFonts w:hint="eastAsia" w:ascii="宋体" w:hAnsi="宋体" w:eastAsia="宋体" w:cs="宋体"/>
          <w:color w:val="auto"/>
          <w:sz w:val="21"/>
          <w:szCs w:val="21"/>
          <w:highlight w:val="none"/>
          <w:u w:val="none"/>
        </w:rPr>
        <w:t>。</w:t>
      </w:r>
    </w:p>
    <w:p w14:paraId="2923FEEC">
      <w:pPr>
        <w:kinsoku/>
        <w:wordWrap/>
        <w:overflowPunct/>
        <w:topLinePunct w:val="0"/>
        <w:bidi w:val="0"/>
        <w:ind w:firstLine="1254" w:firstLineChars="595"/>
        <w:outlineLvl w:val="9"/>
        <w:rPr>
          <w:rFonts w:hint="eastAsia" w:ascii="宋体" w:hAnsi="宋体" w:eastAsia="宋体" w:cs="宋体"/>
          <w:b/>
          <w:bCs/>
          <w:color w:val="auto"/>
          <w:sz w:val="21"/>
          <w:szCs w:val="21"/>
          <w:highlight w:val="none"/>
        </w:rPr>
      </w:pPr>
    </w:p>
    <w:p w14:paraId="5ED067C2">
      <w:pPr>
        <w:kinsoku/>
        <w:wordWrap/>
        <w:overflowPunct/>
        <w:topLinePunct w:val="0"/>
        <w:bidi w:val="0"/>
        <w:ind w:firstLine="1911" w:firstLineChars="595"/>
        <w:outlineLvl w:val="9"/>
        <w:rPr>
          <w:rFonts w:ascii="宋体" w:hAnsi="宋体" w:cs="宋体"/>
          <w:b/>
          <w:bCs/>
          <w:color w:val="auto"/>
          <w:sz w:val="32"/>
          <w:szCs w:val="32"/>
          <w:highlight w:val="none"/>
        </w:rPr>
      </w:pPr>
    </w:p>
    <w:p w14:paraId="791609F0">
      <w:pPr>
        <w:kinsoku/>
        <w:wordWrap/>
        <w:overflowPunct/>
        <w:topLinePunct w:val="0"/>
        <w:bidi w:val="0"/>
        <w:ind w:firstLine="1911" w:firstLineChars="595"/>
        <w:outlineLvl w:val="9"/>
        <w:rPr>
          <w:rFonts w:ascii="宋体" w:hAnsi="宋体" w:cs="宋体"/>
          <w:b/>
          <w:bCs/>
          <w:color w:val="auto"/>
          <w:sz w:val="32"/>
          <w:szCs w:val="32"/>
          <w:highlight w:val="none"/>
        </w:rPr>
      </w:pPr>
    </w:p>
    <w:p w14:paraId="77AD8366">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BB15308">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outlineLvl w:val="2"/>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391DE71">
      <w:pPr>
        <w:kinsoku/>
        <w:wordWrap/>
        <w:overflowPunct/>
        <w:topLinePunct w:val="0"/>
        <w:bidi w:val="0"/>
        <w:snapToGrid w:val="0"/>
        <w:spacing w:line="360" w:lineRule="auto"/>
        <w:outlineLvl w:val="9"/>
        <w:rPr>
          <w:rFonts w:ascii="宋体" w:hAnsi="宋体" w:cs="宋体"/>
          <w:color w:val="auto"/>
          <w:sz w:val="24"/>
          <w:highlight w:val="none"/>
        </w:rPr>
      </w:pPr>
    </w:p>
    <w:p w14:paraId="17423253">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outlineLvl w:val="9"/>
        <w:rPr>
          <w:rFonts w:ascii="宋体" w:hAnsi="宋体" w:cs="宋体"/>
          <w:color w:val="auto"/>
          <w:kern w:val="0"/>
          <w:sz w:val="24"/>
          <w:highlight w:val="none"/>
        </w:rPr>
      </w:pPr>
      <w:r>
        <w:rPr>
          <w:rFonts w:hint="eastAsia" w:ascii="宋体" w:hAnsi="宋体" w:cs="宋体"/>
          <w:color w:val="auto"/>
          <w:sz w:val="24"/>
          <w:highlight w:val="none"/>
          <w:lang w:eastAsia="zh-CN"/>
        </w:rPr>
        <w:t>宁海县气象局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宁波市盛达工程管理咨询有限公司</w:t>
      </w:r>
      <w:r>
        <w:rPr>
          <w:rFonts w:hint="eastAsia" w:ascii="宋体" w:hAnsi="宋体" w:cs="宋体"/>
          <w:color w:val="auto"/>
          <w:kern w:val="0"/>
          <w:sz w:val="24"/>
          <w:highlight w:val="none"/>
          <w:lang w:val="zh-CN"/>
        </w:rPr>
        <w:t>：</w:t>
      </w:r>
    </w:p>
    <w:p w14:paraId="625BA9B5">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5DD338">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555F144">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6714E8C">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1B7C5A3">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CDB6DB8">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4D9E728">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8ADD47B">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A1514C9">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E8AA886">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区</w:t>
      </w:r>
      <w:r>
        <w:rPr>
          <w:rFonts w:hint="eastAsia" w:ascii="宋体" w:hAnsi="宋体" w:cs="宋体"/>
          <w:color w:val="auto"/>
          <w:kern w:val="0"/>
          <w:sz w:val="24"/>
          <w:highlight w:val="none"/>
          <w:lang w:val="zh-CN"/>
        </w:rPr>
        <w:t>财政局。由此引起的相应损失均由我单位承担。</w:t>
      </w:r>
    </w:p>
    <w:p w14:paraId="2320388C">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410493AD">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6235DEFF">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57A31239">
      <w:pPr>
        <w:pStyle w:val="25"/>
        <w:widowControl/>
        <w:spacing w:line="600" w:lineRule="auto"/>
        <w:jc w:val="right"/>
        <w:rPr>
          <w:rFonts w:hAnsi="宋体" w:cs="宋体"/>
          <w:color w:val="auto"/>
          <w:sz w:val="22"/>
          <w:szCs w:val="22"/>
          <w:highlight w:val="none"/>
        </w:rPr>
      </w:pPr>
      <w:r>
        <w:rPr>
          <w:rFonts w:hint="eastAsia" w:hAnsi="宋体" w:cs="宋体"/>
          <w:color w:val="auto"/>
          <w:sz w:val="22"/>
          <w:szCs w:val="22"/>
          <w:highlight w:val="none"/>
        </w:rPr>
        <w:t>供应商全称（盖公章）：</w:t>
      </w:r>
    </w:p>
    <w:p w14:paraId="38E63600">
      <w:pPr>
        <w:pStyle w:val="25"/>
        <w:widowControl/>
        <w:spacing w:line="600" w:lineRule="auto"/>
        <w:jc w:val="right"/>
        <w:rPr>
          <w:rFonts w:hAnsi="宋体" w:cs="宋体"/>
          <w:color w:val="auto"/>
          <w:sz w:val="22"/>
          <w:szCs w:val="22"/>
          <w:highlight w:val="none"/>
        </w:rPr>
      </w:pPr>
      <w:r>
        <w:rPr>
          <w:rFonts w:hint="eastAsia" w:hAnsi="宋体" w:cs="宋体"/>
          <w:color w:val="auto"/>
          <w:sz w:val="22"/>
          <w:szCs w:val="22"/>
          <w:highlight w:val="none"/>
        </w:rPr>
        <w:t>法定代表人或其授权委托人（签名或印章）：</w:t>
      </w:r>
    </w:p>
    <w:p w14:paraId="1A1C486B">
      <w:pPr>
        <w:spacing w:line="600" w:lineRule="auto"/>
        <w:ind w:right="180"/>
        <w:jc w:val="right"/>
        <w:rPr>
          <w:rFonts w:hint="eastAsia" w:hAnsi="宋体" w:cs="宋体"/>
          <w:color w:val="auto"/>
          <w:sz w:val="22"/>
          <w:szCs w:val="22"/>
          <w:highlight w:val="none"/>
        </w:rPr>
      </w:pPr>
      <w:r>
        <w:rPr>
          <w:rFonts w:hint="eastAsia" w:hAnsi="宋体" w:cs="宋体"/>
          <w:color w:val="auto"/>
          <w:sz w:val="22"/>
          <w:szCs w:val="22"/>
          <w:highlight w:val="none"/>
        </w:rPr>
        <w:t xml:space="preserve">                                      日期：</w:t>
      </w:r>
      <w:r>
        <w:rPr>
          <w:rFonts w:hint="eastAsia" w:hAnsi="宋体" w:cs="宋体"/>
          <w:color w:val="auto"/>
          <w:sz w:val="22"/>
          <w:szCs w:val="22"/>
          <w:highlight w:val="none"/>
          <w:lang w:val="en-US" w:eastAsia="zh-CN"/>
        </w:rPr>
        <w:t xml:space="preserve">   </w:t>
      </w:r>
      <w:r>
        <w:rPr>
          <w:rFonts w:hint="eastAsia" w:hAnsi="宋体" w:cs="宋体"/>
          <w:color w:val="auto"/>
          <w:sz w:val="22"/>
          <w:szCs w:val="22"/>
          <w:highlight w:val="none"/>
        </w:rPr>
        <w:t>年   月  日</w:t>
      </w:r>
    </w:p>
    <w:p w14:paraId="57B431CD">
      <w:pPr>
        <w:kinsoku/>
        <w:wordWrap/>
        <w:overflowPunct/>
        <w:topLinePunct w:val="0"/>
        <w:bidi w:val="0"/>
        <w:spacing w:line="360" w:lineRule="auto"/>
        <w:jc w:val="center"/>
        <w:outlineLvl w:val="9"/>
        <w:rPr>
          <w:rFonts w:ascii="宋体" w:hAnsi="宋体" w:cs="宋体"/>
          <w:b/>
          <w:bCs/>
          <w:color w:val="auto"/>
          <w:sz w:val="24"/>
          <w:highlight w:val="none"/>
        </w:rPr>
      </w:pPr>
    </w:p>
    <w:p w14:paraId="5651A843">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D556AE">
      <w:pPr>
        <w:kinsoku/>
        <w:wordWrap/>
        <w:overflowPunct/>
        <w:topLinePunct w:val="0"/>
        <w:bidi w:val="0"/>
        <w:spacing w:line="360" w:lineRule="auto"/>
        <w:jc w:val="center"/>
        <w:outlineLvl w:val="9"/>
        <w:rPr>
          <w:rFonts w:ascii="宋体" w:hAnsi="宋体" w:cs="宋体"/>
          <w:b/>
          <w:bCs/>
          <w:color w:val="auto"/>
          <w:sz w:val="24"/>
          <w:highlight w:val="none"/>
        </w:rPr>
      </w:pPr>
    </w:p>
    <w:p w14:paraId="7AFC887A">
      <w:pPr>
        <w:pStyle w:val="16"/>
        <w:kinsoku/>
        <w:wordWrap/>
        <w:overflowPunct/>
        <w:topLinePunct w:val="0"/>
        <w:bidi w:val="0"/>
        <w:outlineLvl w:val="9"/>
        <w:rPr>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294D9960">
      <w:pPr>
        <w:kinsoku/>
        <w:wordWrap/>
        <w:overflowPunct/>
        <w:topLinePunct w:val="0"/>
        <w:bidi w:val="0"/>
        <w:jc w:val="center"/>
        <w:outlineLvl w:val="9"/>
        <w:rPr>
          <w:rFonts w:hint="eastAsia" w:ascii="宋体" w:hAnsi="宋体" w:eastAsia="宋体" w:cs="宋体"/>
          <w:b/>
          <w:color w:val="auto"/>
          <w:kern w:val="0"/>
          <w:sz w:val="32"/>
          <w:szCs w:val="32"/>
          <w:highlight w:val="none"/>
          <w:lang w:val="en-US" w:eastAsia="zh-CN"/>
        </w:rPr>
      </w:pPr>
    </w:p>
    <w:p w14:paraId="1F6B4B1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94B35E1">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D2C3708">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49689BAC">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cs="宋体"/>
          <w:color w:val="auto"/>
          <w:sz w:val="24"/>
          <w:highlight w:val="none"/>
        </w:rPr>
        <w:t>（1）开标一览</w:t>
      </w:r>
      <w:r>
        <w:rPr>
          <w:rFonts w:hint="eastAsia" w:ascii="宋体" w:hAnsi="宋体" w:eastAsia="宋体" w:cs="宋体"/>
          <w:color w:val="auto"/>
          <w:sz w:val="24"/>
          <w:highlight w:val="none"/>
        </w:rPr>
        <w:t>表（报价表）………………………………………………………（页码）</w:t>
      </w:r>
    </w:p>
    <w:p w14:paraId="2EA5C9E6">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）投标报价明细表………………………………………………………………（页码）</w:t>
      </w:r>
    </w:p>
    <w:p w14:paraId="30294374">
      <w:pPr>
        <w:pStyle w:val="24"/>
        <w:kinsoku/>
        <w:wordWrap/>
        <w:overflowPunct/>
        <w:topLinePunct w:val="0"/>
        <w:bidi w:val="0"/>
        <w:outlineLvl w:val="9"/>
        <w:rPr>
          <w:rFonts w:hint="eastAsia"/>
          <w:color w:val="auto"/>
          <w:highlight w:val="none"/>
        </w:rPr>
      </w:pPr>
    </w:p>
    <w:p w14:paraId="28F459C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2E2D3C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F13382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9FD8F7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C81961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A0B8CA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0468FF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7D4DFE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BA09FC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12B080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E7024E8">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F29BB0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FFEF7A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25C4A9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81EB71A">
      <w:pPr>
        <w:pStyle w:val="694"/>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4952F203">
      <w:pPr>
        <w:pStyle w:val="694"/>
        <w:keepNext w:val="0"/>
        <w:keepLines w:val="0"/>
        <w:pageBreakBefore w:val="0"/>
        <w:widowControl w:val="0"/>
        <w:tabs>
          <w:tab w:val="clear" w:pos="720"/>
        </w:tabs>
        <w:kinsoku/>
        <w:wordWrap/>
        <w:overflowPunct/>
        <w:topLinePunct w:val="0"/>
        <w:autoSpaceDE/>
        <w:autoSpaceDN/>
        <w:bidi w:val="0"/>
        <w:snapToGrid w:val="0"/>
        <w:spacing w:line="360" w:lineRule="auto"/>
        <w:ind w:firstLine="0"/>
        <w:textAlignment w:val="auto"/>
        <w:outlineLvl w:val="2"/>
        <w:rPr>
          <w:rFonts w:ascii="宋体" w:hAnsi="宋体" w:eastAsia="宋体" w:cs="宋体"/>
          <w:color w:val="auto"/>
          <w:kern w:val="2"/>
          <w:sz w:val="32"/>
          <w:szCs w:val="32"/>
          <w:highlight w:val="none"/>
        </w:rPr>
      </w:pPr>
      <w:bookmarkStart w:id="519" w:name="_Toc814"/>
      <w:r>
        <w:rPr>
          <w:rFonts w:hint="eastAsia" w:ascii="宋体" w:hAnsi="宋体" w:eastAsia="宋体" w:cs="宋体"/>
          <w:color w:val="auto"/>
          <w:kern w:val="2"/>
          <w:sz w:val="32"/>
          <w:szCs w:val="32"/>
          <w:highlight w:val="none"/>
        </w:rPr>
        <w:t>一、开标一览表（报价表）</w:t>
      </w:r>
      <w:bookmarkEnd w:id="519"/>
    </w:p>
    <w:p w14:paraId="376520D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lang w:eastAsia="zh-CN"/>
        </w:rPr>
        <w:t>宁海县气象局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宁波市盛达工程管理咨询有限公司</w:t>
      </w:r>
      <w:r>
        <w:rPr>
          <w:rFonts w:hint="eastAsia" w:ascii="宋体" w:hAnsi="宋体" w:cs="宋体"/>
          <w:color w:val="auto"/>
          <w:kern w:val="0"/>
          <w:sz w:val="24"/>
          <w:highlight w:val="none"/>
          <w:lang w:val="zh-CN"/>
        </w:rPr>
        <w:t>：</w:t>
      </w:r>
    </w:p>
    <w:p w14:paraId="72AE9EB2">
      <w:pPr>
        <w:kinsoku/>
        <w:wordWrap/>
        <w:overflowPunct/>
        <w:topLinePunct w:val="0"/>
        <w:bidi w:val="0"/>
        <w:snapToGrid w:val="0"/>
        <w:spacing w:line="360" w:lineRule="auto"/>
        <w:ind w:firstLine="482"/>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宁海强对流天气秒预警工程（重招）</w:t>
      </w:r>
      <w:r>
        <w:rPr>
          <w:rFonts w:hint="eastAsia" w:ascii="宋体" w:hAnsi="宋体" w:cs="宋体"/>
          <w:color w:val="auto"/>
          <w:kern w:val="0"/>
          <w:sz w:val="24"/>
          <w:highlight w:val="none"/>
          <w:u w:val="single"/>
          <w:lang w:val="zh-CN"/>
        </w:rPr>
        <w:t>【招标编号：</w:t>
      </w:r>
      <w:r>
        <w:rPr>
          <w:rFonts w:hint="eastAsia" w:ascii="宋体" w:hAnsi="宋体" w:cs="宋体"/>
          <w:color w:val="auto"/>
          <w:sz w:val="24"/>
          <w:highlight w:val="none"/>
          <w:u w:val="single"/>
          <w:lang w:eastAsia="zh-CN"/>
        </w:rPr>
        <w:t>NBSD2025-012-1</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13A0DD2">
      <w:pPr>
        <w:keepNext w:val="0"/>
        <w:keepLines w:val="0"/>
        <w:pageBreakBefore w:val="0"/>
        <w:widowControl w:val="0"/>
        <w:kinsoku/>
        <w:wordWrap/>
        <w:overflowPunct/>
        <w:topLinePunct w:val="0"/>
        <w:autoSpaceDE/>
        <w:autoSpaceDN/>
        <w:bidi w:val="0"/>
        <w:spacing w:line="360" w:lineRule="auto"/>
        <w:ind w:firstLine="0"/>
        <w:jc w:val="center"/>
        <w:textAlignment w:val="auto"/>
        <w:outlineLvl w:val="2"/>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3322"/>
        <w:gridCol w:w="4876"/>
      </w:tblGrid>
      <w:tr w14:paraId="36C9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60" w:type="dxa"/>
            <w:noWrap w:val="0"/>
            <w:vAlign w:val="center"/>
          </w:tcPr>
          <w:p w14:paraId="436F52C7">
            <w:pPr>
              <w:kinsoku/>
              <w:wordWrap/>
              <w:overflowPunct/>
              <w:topLinePunct w:val="0"/>
              <w:bidi w:val="0"/>
              <w:adjustRightInd/>
              <w:snapToGrid w:val="0"/>
              <w:spacing w:line="240" w:lineRule="auto"/>
              <w:jc w:val="center"/>
              <w:outlineLvl w:val="9"/>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序号</w:t>
            </w:r>
          </w:p>
        </w:tc>
        <w:tc>
          <w:tcPr>
            <w:tcW w:w="3322" w:type="dxa"/>
            <w:noWrap w:val="0"/>
            <w:vAlign w:val="center"/>
          </w:tcPr>
          <w:p w14:paraId="29116139">
            <w:pPr>
              <w:kinsoku/>
              <w:wordWrap/>
              <w:overflowPunct/>
              <w:topLinePunct w:val="0"/>
              <w:bidi w:val="0"/>
              <w:adjustRightInd/>
              <w:snapToGrid w:val="0"/>
              <w:spacing w:line="24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采购内容</w:t>
            </w:r>
          </w:p>
        </w:tc>
        <w:tc>
          <w:tcPr>
            <w:tcW w:w="4876" w:type="dxa"/>
            <w:noWrap w:val="0"/>
            <w:vAlign w:val="center"/>
          </w:tcPr>
          <w:p w14:paraId="0663421B">
            <w:pPr>
              <w:kinsoku/>
              <w:wordWrap/>
              <w:overflowPunct/>
              <w:topLinePunct w:val="0"/>
              <w:bidi w:val="0"/>
              <w:adjustRightInd/>
              <w:snapToGrid w:val="0"/>
              <w:spacing w:line="240" w:lineRule="auto"/>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合同履</w:t>
            </w:r>
            <w:r>
              <w:rPr>
                <w:rFonts w:hint="eastAsia" w:ascii="宋体" w:hAnsi="宋体" w:cs="宋体"/>
                <w:b/>
                <w:bCs/>
                <w:color w:val="auto"/>
                <w:sz w:val="24"/>
                <w:szCs w:val="24"/>
                <w:highlight w:val="none"/>
                <w:lang w:val="en-US" w:eastAsia="zh-CN"/>
              </w:rPr>
              <w:t>约</w:t>
            </w:r>
            <w:r>
              <w:rPr>
                <w:rFonts w:hint="eastAsia" w:ascii="宋体" w:hAnsi="宋体" w:eastAsia="宋体" w:cs="宋体"/>
                <w:b/>
                <w:bCs/>
                <w:color w:val="auto"/>
                <w:sz w:val="24"/>
                <w:szCs w:val="24"/>
                <w:highlight w:val="none"/>
                <w:lang w:eastAsia="zh-CN"/>
              </w:rPr>
              <w:t>期限</w:t>
            </w:r>
          </w:p>
        </w:tc>
      </w:tr>
      <w:tr w14:paraId="5285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360" w:type="dxa"/>
            <w:noWrap w:val="0"/>
            <w:vAlign w:val="center"/>
          </w:tcPr>
          <w:p w14:paraId="4CA0E596">
            <w:pPr>
              <w:kinsoku/>
              <w:wordWrap/>
              <w:overflowPunct/>
              <w:topLinePunct w:val="0"/>
              <w:bidi w:val="0"/>
              <w:adjustRightInd/>
              <w:snapToGrid w:val="0"/>
              <w:spacing w:line="24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3322" w:type="dxa"/>
            <w:noWrap w:val="0"/>
            <w:vAlign w:val="center"/>
          </w:tcPr>
          <w:p w14:paraId="2DCCF7B8">
            <w:pPr>
              <w:kinsoku/>
              <w:wordWrap/>
              <w:overflowPunct/>
              <w:topLinePunct w:val="0"/>
              <w:bidi w:val="0"/>
              <w:adjustRightInd/>
              <w:snapToGrid w:val="0"/>
              <w:spacing w:line="240" w:lineRule="auto"/>
              <w:jc w:val="center"/>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宁海强对流天气秒预警工程（重招）</w:t>
            </w:r>
          </w:p>
        </w:tc>
        <w:tc>
          <w:tcPr>
            <w:tcW w:w="4876" w:type="dxa"/>
            <w:noWrap w:val="0"/>
            <w:vAlign w:val="center"/>
          </w:tcPr>
          <w:p w14:paraId="08FA0221">
            <w:pPr>
              <w:kinsoku/>
              <w:wordWrap/>
              <w:overflowPunct/>
              <w:topLinePunct w:val="0"/>
              <w:bidi w:val="0"/>
              <w:adjustRightInd/>
              <w:snapToGrid w:val="0"/>
              <w:spacing w:line="240" w:lineRule="auto"/>
              <w:jc w:val="center"/>
              <w:outlineLvl w:val="9"/>
              <w:rPr>
                <w:rFonts w:hint="eastAsia" w:ascii="宋体" w:hAnsi="宋体" w:eastAsia="宋体" w:cs="宋体"/>
                <w:color w:val="auto"/>
                <w:sz w:val="24"/>
                <w:szCs w:val="24"/>
                <w:highlight w:val="none"/>
                <w:lang w:val="en-US" w:eastAsia="zh-CN"/>
              </w:rPr>
            </w:pPr>
          </w:p>
        </w:tc>
      </w:tr>
      <w:tr w14:paraId="7B99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682" w:type="dxa"/>
            <w:gridSpan w:val="2"/>
            <w:noWrap w:val="0"/>
            <w:vAlign w:val="center"/>
          </w:tcPr>
          <w:p w14:paraId="071771D1">
            <w:pPr>
              <w:kinsoku/>
              <w:wordWrap/>
              <w:overflowPunct/>
              <w:topLinePunct w:val="0"/>
              <w:bidi w:val="0"/>
              <w:adjustRightInd/>
              <w:snapToGrid w:val="0"/>
              <w:spacing w:line="24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投标总价</w:t>
            </w:r>
          </w:p>
        </w:tc>
        <w:tc>
          <w:tcPr>
            <w:tcW w:w="4876" w:type="dxa"/>
            <w:noWrap w:val="0"/>
            <w:vAlign w:val="center"/>
          </w:tcPr>
          <w:p w14:paraId="2526E2DD">
            <w:pPr>
              <w:kinsoku/>
              <w:wordWrap/>
              <w:overflowPunct/>
              <w:topLinePunct w:val="0"/>
              <w:bidi w:val="0"/>
              <w:adjustRightInd/>
              <w:snapToGrid w:val="0"/>
              <w:spacing w:line="24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p w14:paraId="0596B889">
            <w:pPr>
              <w:kinsoku/>
              <w:wordWrap/>
              <w:overflowPunct/>
              <w:topLinePunct w:val="0"/>
              <w:bidi w:val="0"/>
              <w:adjustRightInd/>
              <w:snapToGrid w:val="0"/>
              <w:spacing w:line="240" w:lineRule="auto"/>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大写：</w:t>
            </w:r>
          </w:p>
        </w:tc>
      </w:tr>
      <w:tr w14:paraId="3DC9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60" w:type="dxa"/>
            <w:noWrap w:val="0"/>
            <w:vAlign w:val="center"/>
          </w:tcPr>
          <w:p w14:paraId="03A473C5">
            <w:pPr>
              <w:kinsoku/>
              <w:wordWrap/>
              <w:overflowPunct/>
              <w:topLinePunct w:val="0"/>
              <w:bidi w:val="0"/>
              <w:adjustRightInd/>
              <w:snapToGrid w:val="0"/>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投标声明</w:t>
            </w:r>
          </w:p>
        </w:tc>
        <w:tc>
          <w:tcPr>
            <w:tcW w:w="8198" w:type="dxa"/>
            <w:gridSpan w:val="2"/>
            <w:noWrap w:val="0"/>
            <w:vAlign w:val="center"/>
          </w:tcPr>
          <w:p w14:paraId="75AB1ED5">
            <w:pPr>
              <w:kinsoku/>
              <w:wordWrap/>
              <w:overflowPunct/>
              <w:topLinePunct w:val="0"/>
              <w:bidi w:val="0"/>
              <w:adjustRightInd/>
              <w:snapToGrid w:val="0"/>
              <w:spacing w:line="240" w:lineRule="auto"/>
              <w:jc w:val="center"/>
              <w:outlineLvl w:val="9"/>
              <w:rPr>
                <w:rFonts w:hint="eastAsia" w:ascii="宋体" w:hAnsi="宋体" w:eastAsia="宋体" w:cs="宋体"/>
                <w:color w:val="auto"/>
                <w:sz w:val="24"/>
                <w:szCs w:val="24"/>
                <w:highlight w:val="none"/>
              </w:rPr>
            </w:pPr>
          </w:p>
        </w:tc>
      </w:tr>
    </w:tbl>
    <w:p w14:paraId="0F4F36E8">
      <w:pPr>
        <w:kinsoku/>
        <w:wordWrap/>
        <w:overflowPunct/>
        <w:topLinePunct w:val="0"/>
        <w:bidi w:val="0"/>
        <w:snapToGrid w:val="0"/>
        <w:spacing w:line="360" w:lineRule="auto"/>
        <w:ind w:left="480"/>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C837800">
      <w:pPr>
        <w:kinsoku/>
        <w:wordWrap/>
        <w:overflowPunct/>
        <w:topLinePunct w:val="0"/>
        <w:bidi w:val="0"/>
        <w:spacing w:line="360" w:lineRule="auto"/>
        <w:ind w:left="-2" w:leftChars="-1" w:firstLine="420" w:firstLineChars="200"/>
        <w:outlineLvl w:val="9"/>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1、投标人需按本表格式填写</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color w:val="auto"/>
          <w:kern w:val="0"/>
          <w:sz w:val="21"/>
          <w:szCs w:val="21"/>
          <w:highlight w:val="none"/>
          <w:lang w:val="zh-CN"/>
        </w:rPr>
        <w:t>。</w:t>
      </w:r>
    </w:p>
    <w:p w14:paraId="38924950">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2、有关本项目实施所涉及的一切费用均计入报价。</w:t>
      </w:r>
      <w:r>
        <w:rPr>
          <w:rFonts w:hint="eastAsia" w:ascii="宋体" w:hAnsi="宋体" w:cs="宋体"/>
          <w:b/>
          <w:color w:val="auto"/>
          <w:kern w:val="0"/>
          <w:sz w:val="21"/>
          <w:szCs w:val="21"/>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不得出现“0元”“免费赠送”等形式的无偿报价，</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b/>
          <w:color w:val="auto"/>
          <w:kern w:val="0"/>
          <w:sz w:val="21"/>
          <w:szCs w:val="21"/>
          <w:highlight w:val="none"/>
          <w:lang w:val="zh-CN"/>
        </w:rPr>
        <w:t>；采购内容未包含在《开标一览表（报价表）》名称栏中，投标人不能作出合理解释的，</w:t>
      </w:r>
      <w:r>
        <w:rPr>
          <w:rFonts w:hint="eastAsia" w:ascii="宋体" w:hAnsi="宋体" w:cs="宋体"/>
          <w:b/>
          <w:color w:val="auto"/>
          <w:kern w:val="0"/>
          <w:sz w:val="21"/>
          <w:szCs w:val="21"/>
          <w:highlight w:val="none"/>
        </w:rPr>
        <w:t>视为</w:t>
      </w:r>
      <w:r>
        <w:rPr>
          <w:rFonts w:hint="eastAsia" w:ascii="宋体" w:hAnsi="宋体" w:cs="宋体"/>
          <w:b/>
          <w:color w:val="auto"/>
          <w:sz w:val="21"/>
          <w:szCs w:val="21"/>
          <w:highlight w:val="none"/>
        </w:rPr>
        <w:t>投标文件含有采购人不能接受的附加条件的，投标无效。</w:t>
      </w:r>
    </w:p>
    <w:p w14:paraId="554BDC0B">
      <w:pPr>
        <w:kinsoku/>
        <w:wordWrap/>
        <w:overflowPunct/>
        <w:topLinePunct w:val="0"/>
        <w:bidi w:val="0"/>
        <w:snapToGrid w:val="0"/>
        <w:spacing w:line="360" w:lineRule="auto"/>
        <w:ind w:firstLine="420" w:firstLineChars="200"/>
        <w:jc w:val="left"/>
        <w:outlineLvl w:val="9"/>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3、特别提示：采购代理机构将对项目名称和项目编号，中标人名称、地址和中标金额，主要中标标的名称、服务范围、服务要求、服务时间、服务标准等予以公示。</w:t>
      </w:r>
    </w:p>
    <w:p w14:paraId="17EDE837">
      <w:pPr>
        <w:kinsoku/>
        <w:wordWrap/>
        <w:overflowPunct/>
        <w:topLinePunct w:val="0"/>
        <w:bidi w:val="0"/>
        <w:snapToGrid w:val="0"/>
        <w:spacing w:line="360" w:lineRule="auto"/>
        <w:ind w:firstLine="420" w:firstLineChars="200"/>
        <w:jc w:val="left"/>
        <w:outlineLvl w:val="9"/>
        <w:rPr>
          <w:rFonts w:ascii="宋体" w:hAnsi="宋体" w:cs="宋体"/>
          <w:color w:val="auto"/>
          <w:kern w:val="0"/>
          <w:sz w:val="21"/>
          <w:szCs w:val="21"/>
          <w:highlight w:val="none"/>
          <w:lang w:val="zh-CN"/>
        </w:rPr>
      </w:pPr>
      <w:r>
        <w:rPr>
          <w:rFonts w:ascii="宋体" w:hAnsi="宋体" w:cs="宋体"/>
          <w:color w:val="auto"/>
          <w:kern w:val="0"/>
          <w:sz w:val="21"/>
          <w:szCs w:val="21"/>
          <w:highlight w:val="none"/>
          <w:lang w:val="zh-CN"/>
        </w:rPr>
        <w:t>4</w:t>
      </w:r>
      <w:r>
        <w:rPr>
          <w:rFonts w:hint="eastAsia" w:ascii="宋体" w:hAnsi="宋体" w:cs="宋体"/>
          <w:color w:val="auto"/>
          <w:kern w:val="0"/>
          <w:sz w:val="21"/>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D9B762">
      <w:pPr>
        <w:kinsoku/>
        <w:wordWrap/>
        <w:overflowPunct/>
        <w:topLinePunct w:val="0"/>
        <w:bidi w:val="0"/>
        <w:spacing w:line="360" w:lineRule="auto"/>
        <w:ind w:firstLine="482" w:firstLineChars="200"/>
        <w:outlineLvl w:val="9"/>
        <w:rPr>
          <w:rFonts w:ascii="宋体" w:hAnsi="宋体" w:cs="宋体"/>
          <w:b/>
          <w:color w:val="auto"/>
          <w:kern w:val="0"/>
          <w:sz w:val="24"/>
          <w:highlight w:val="none"/>
        </w:rPr>
      </w:pPr>
    </w:p>
    <w:p w14:paraId="7EB674B3">
      <w:pPr>
        <w:pStyle w:val="694"/>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pPr>
    </w:p>
    <w:p w14:paraId="41E6F36B">
      <w:pPr>
        <w:pStyle w:val="25"/>
        <w:widowControl/>
        <w:spacing w:line="600" w:lineRule="auto"/>
        <w:jc w:val="right"/>
        <w:rPr>
          <w:rFonts w:hAnsi="宋体" w:cs="宋体"/>
          <w:color w:val="auto"/>
          <w:sz w:val="22"/>
          <w:szCs w:val="22"/>
          <w:highlight w:val="none"/>
        </w:rPr>
      </w:pPr>
      <w:r>
        <w:rPr>
          <w:rFonts w:hint="eastAsia" w:hAnsi="宋体" w:cs="宋体"/>
          <w:color w:val="auto"/>
          <w:sz w:val="22"/>
          <w:szCs w:val="22"/>
          <w:highlight w:val="none"/>
        </w:rPr>
        <w:t>供应商全称（盖公章）：</w:t>
      </w:r>
    </w:p>
    <w:p w14:paraId="55DBE1FD">
      <w:pPr>
        <w:pStyle w:val="25"/>
        <w:widowControl/>
        <w:spacing w:line="600" w:lineRule="auto"/>
        <w:jc w:val="right"/>
        <w:rPr>
          <w:rFonts w:hAnsi="宋体" w:cs="宋体"/>
          <w:color w:val="auto"/>
          <w:sz w:val="22"/>
          <w:szCs w:val="22"/>
          <w:highlight w:val="none"/>
        </w:rPr>
      </w:pPr>
      <w:r>
        <w:rPr>
          <w:rFonts w:hint="eastAsia" w:hAnsi="宋体" w:cs="宋体"/>
          <w:color w:val="auto"/>
          <w:sz w:val="22"/>
          <w:szCs w:val="22"/>
          <w:highlight w:val="none"/>
        </w:rPr>
        <w:t>法定代表人或其授权委托人（签名或印章）：</w:t>
      </w:r>
    </w:p>
    <w:p w14:paraId="2BC01DE9">
      <w:pPr>
        <w:spacing w:line="600" w:lineRule="auto"/>
        <w:ind w:right="180"/>
        <w:jc w:val="right"/>
        <w:rPr>
          <w:rFonts w:hint="eastAsia" w:hAnsi="宋体" w:cs="宋体"/>
          <w:color w:val="auto"/>
          <w:sz w:val="22"/>
          <w:szCs w:val="22"/>
          <w:highlight w:val="none"/>
        </w:rPr>
      </w:pPr>
      <w:r>
        <w:rPr>
          <w:rFonts w:hint="eastAsia" w:hAnsi="宋体" w:cs="宋体"/>
          <w:color w:val="auto"/>
          <w:sz w:val="22"/>
          <w:szCs w:val="22"/>
          <w:highlight w:val="none"/>
        </w:rPr>
        <w:t xml:space="preserve">                                      日期：</w:t>
      </w:r>
      <w:r>
        <w:rPr>
          <w:rFonts w:hint="eastAsia" w:hAnsi="宋体" w:cs="宋体"/>
          <w:color w:val="auto"/>
          <w:sz w:val="22"/>
          <w:szCs w:val="22"/>
          <w:highlight w:val="none"/>
          <w:lang w:val="en-US" w:eastAsia="zh-CN"/>
        </w:rPr>
        <w:t xml:space="preserve">   </w:t>
      </w:r>
      <w:r>
        <w:rPr>
          <w:rFonts w:hint="eastAsia" w:hAnsi="宋体" w:cs="宋体"/>
          <w:color w:val="auto"/>
          <w:sz w:val="22"/>
          <w:szCs w:val="22"/>
          <w:highlight w:val="none"/>
        </w:rPr>
        <w:t>年   月  日</w:t>
      </w:r>
    </w:p>
    <w:p w14:paraId="52B78771">
      <w:pPr>
        <w:pStyle w:val="694"/>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0F5F50EE">
      <w:pPr>
        <w:pStyle w:val="24"/>
        <w:kinsoku/>
        <w:wordWrap/>
        <w:overflowPunct/>
        <w:topLinePunct w:val="0"/>
        <w:bidi w:val="0"/>
        <w:outlineLvl w:val="9"/>
        <w:rPr>
          <w:color w:val="auto"/>
          <w:highlight w:val="none"/>
        </w:rPr>
      </w:pPr>
    </w:p>
    <w:p w14:paraId="22B03AA4">
      <w:pPr>
        <w:keepNext w:val="0"/>
        <w:keepLines w:val="0"/>
        <w:pageBreakBefore w:val="0"/>
        <w:widowControl w:val="0"/>
        <w:kinsoku/>
        <w:wordWrap/>
        <w:overflowPunct/>
        <w:topLinePunct w:val="0"/>
        <w:autoSpaceDE/>
        <w:autoSpaceDN/>
        <w:bidi w:val="0"/>
        <w:adjustRightInd/>
        <w:spacing w:line="360" w:lineRule="auto"/>
        <w:ind w:firstLine="0"/>
        <w:jc w:val="center"/>
        <w:textAlignment w:val="auto"/>
        <w:outlineLvl w:val="2"/>
        <w:rPr>
          <w:rFonts w:hint="eastAsia" w:ascii="宋体" w:hAnsi="宋体" w:eastAsia="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t>二</w:t>
      </w:r>
      <w:r>
        <w:rPr>
          <w:rFonts w:hint="eastAsia" w:ascii="宋体" w:hAnsi="宋体" w:eastAsia="宋体" w:cs="宋体"/>
          <w:b/>
          <w:color w:val="auto"/>
          <w:kern w:val="2"/>
          <w:sz w:val="32"/>
          <w:szCs w:val="32"/>
          <w:highlight w:val="none"/>
          <w:lang w:val="en-US" w:eastAsia="zh-CN" w:bidi="ar-SA"/>
        </w:rPr>
        <w:t>、投标报价明细表</w:t>
      </w:r>
    </w:p>
    <w:p w14:paraId="50708AD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lang w:eastAsia="zh-CN"/>
        </w:rPr>
        <w:t>宁海县气象局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宁波市盛达工程管理咨询有限公司</w:t>
      </w:r>
      <w:r>
        <w:rPr>
          <w:rFonts w:hint="eastAsia" w:ascii="宋体" w:hAnsi="宋体" w:cs="宋体"/>
          <w:color w:val="auto"/>
          <w:kern w:val="0"/>
          <w:sz w:val="24"/>
          <w:highlight w:val="none"/>
          <w:lang w:val="zh-CN"/>
        </w:rPr>
        <w:t>：</w:t>
      </w:r>
    </w:p>
    <w:p w14:paraId="23AC802F">
      <w:pPr>
        <w:kinsoku/>
        <w:wordWrap/>
        <w:overflowPunct/>
        <w:topLinePunct w:val="0"/>
        <w:bidi w:val="0"/>
        <w:snapToGrid w:val="0"/>
        <w:spacing w:line="360" w:lineRule="auto"/>
        <w:ind w:firstLine="482"/>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我方承诺按照如下投标报价明细表的价格完成</w:t>
      </w:r>
      <w:r>
        <w:rPr>
          <w:rFonts w:hint="eastAsia" w:ascii="宋体" w:hAnsi="宋体" w:cs="宋体"/>
          <w:color w:val="auto"/>
          <w:sz w:val="24"/>
          <w:highlight w:val="none"/>
          <w:lang w:eastAsia="zh-CN"/>
        </w:rPr>
        <w:t>宁海强对流天气秒预警工程（重招）</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NBSD2025-012-1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tbl>
      <w:tblPr>
        <w:tblStyle w:val="63"/>
        <w:tblW w:w="48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1"/>
        <w:gridCol w:w="3784"/>
        <w:gridCol w:w="1669"/>
        <w:gridCol w:w="1779"/>
        <w:gridCol w:w="935"/>
      </w:tblGrid>
      <w:tr w14:paraId="2222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73BF35B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spacing w:val="-4"/>
                <w:kern w:val="0"/>
                <w:sz w:val="21"/>
                <w:szCs w:val="21"/>
                <w:highlight w:val="none"/>
                <w:u w:val="none"/>
                <w:lang w:val="en-US" w:eastAsia="zh-CN" w:bidi="ar"/>
              </w:rPr>
              <w:t>序号</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3C8A8DD5">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spacing w:val="-4"/>
                <w:kern w:val="0"/>
                <w:sz w:val="21"/>
                <w:szCs w:val="21"/>
                <w:highlight w:val="none"/>
                <w:u w:val="none"/>
                <w:lang w:val="en-US" w:eastAsia="zh-CN" w:bidi="ar"/>
              </w:rPr>
              <w:t>应用系统名称</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2AAAA590">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b/>
                <w:bCs/>
                <w:i w:val="0"/>
                <w:iCs w:val="0"/>
                <w:color w:val="000000"/>
                <w:spacing w:val="-4"/>
                <w:kern w:val="0"/>
                <w:sz w:val="21"/>
                <w:szCs w:val="21"/>
                <w:highlight w:val="none"/>
                <w:u w:val="none"/>
                <w:lang w:val="en-US" w:eastAsia="zh-CN" w:bidi="ar"/>
              </w:rPr>
            </w:pPr>
            <w:r>
              <w:rPr>
                <w:rFonts w:hint="eastAsia" w:ascii="宋体" w:hAnsi="宋体" w:eastAsia="宋体" w:cs="宋体"/>
                <w:b/>
                <w:bCs/>
                <w:i w:val="0"/>
                <w:iCs w:val="0"/>
                <w:color w:val="000000"/>
                <w:spacing w:val="-4"/>
                <w:kern w:val="0"/>
                <w:sz w:val="21"/>
                <w:szCs w:val="21"/>
                <w:highlight w:val="none"/>
                <w:u w:val="none"/>
                <w:lang w:val="en-US" w:eastAsia="zh-CN" w:bidi="ar"/>
              </w:rPr>
              <w:t>综合单价</w:t>
            </w:r>
          </w:p>
          <w:p w14:paraId="3881DB95">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spacing w:val="-4"/>
                <w:kern w:val="0"/>
                <w:sz w:val="21"/>
                <w:szCs w:val="21"/>
                <w:highlight w:val="none"/>
                <w:u w:val="none"/>
                <w:lang w:val="en-US" w:eastAsia="zh-CN" w:bidi="ar"/>
              </w:rPr>
              <w:t>（含税，元）</w:t>
            </w: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78F35E7F">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b/>
                <w:bCs/>
                <w:i w:val="0"/>
                <w:iCs w:val="0"/>
                <w:color w:val="000000"/>
                <w:spacing w:val="-4"/>
                <w:kern w:val="0"/>
                <w:sz w:val="21"/>
                <w:szCs w:val="21"/>
                <w:highlight w:val="none"/>
                <w:u w:val="none"/>
                <w:lang w:val="en-US" w:eastAsia="zh-CN" w:bidi="ar"/>
              </w:rPr>
            </w:pPr>
            <w:r>
              <w:rPr>
                <w:rFonts w:hint="eastAsia" w:ascii="宋体" w:hAnsi="宋体" w:eastAsia="宋体" w:cs="宋体"/>
                <w:b/>
                <w:bCs/>
                <w:i w:val="0"/>
                <w:iCs w:val="0"/>
                <w:color w:val="000000"/>
                <w:spacing w:val="-4"/>
                <w:kern w:val="0"/>
                <w:sz w:val="21"/>
                <w:szCs w:val="21"/>
                <w:highlight w:val="none"/>
                <w:u w:val="none"/>
                <w:lang w:val="en-US" w:eastAsia="zh-CN" w:bidi="ar"/>
              </w:rPr>
              <w:t>总价</w:t>
            </w:r>
          </w:p>
          <w:p w14:paraId="5E73457A">
            <w:pPr>
              <w:pStyle w:val="37"/>
              <w:keepNext w:val="0"/>
              <w:keepLines w:val="0"/>
              <w:pageBreakBefore w:val="0"/>
              <w:kinsoku/>
              <w:wordWrap/>
              <w:overflowPunct/>
              <w:topLinePunct w:val="0"/>
              <w:autoSpaceDE/>
              <w:autoSpaceDN/>
              <w:bidi w:val="0"/>
              <w:adjustRightInd w:val="0"/>
              <w:snapToGrid/>
              <w:spacing w:line="240" w:lineRule="auto"/>
              <w:ind w:firstLine="0"/>
              <w:jc w:val="center"/>
              <w:rPr>
                <w:rFonts w:hint="eastAsia" w:ascii="宋体" w:hAnsi="宋体" w:eastAsia="宋体" w:cs="宋体"/>
                <w:sz w:val="21"/>
                <w:szCs w:val="21"/>
                <w:highlight w:val="none"/>
              </w:rPr>
            </w:pPr>
            <w:r>
              <w:rPr>
                <w:rFonts w:hint="eastAsia" w:ascii="宋体" w:hAnsi="宋体" w:eastAsia="宋体" w:cs="宋体"/>
                <w:b/>
                <w:bCs/>
                <w:i w:val="0"/>
                <w:iCs w:val="0"/>
                <w:color w:val="000000"/>
                <w:spacing w:val="-4"/>
                <w:kern w:val="0"/>
                <w:sz w:val="21"/>
                <w:szCs w:val="21"/>
                <w:highlight w:val="none"/>
                <w:u w:val="none"/>
                <w:lang w:val="en-US" w:eastAsia="zh-CN" w:bidi="ar"/>
              </w:rPr>
              <w:t>（含税，元）</w:t>
            </w: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63571448">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spacing w:val="-4"/>
                <w:kern w:val="0"/>
                <w:sz w:val="21"/>
                <w:szCs w:val="21"/>
                <w:highlight w:val="none"/>
                <w:u w:val="none"/>
                <w:lang w:val="en-US" w:eastAsia="zh-CN" w:bidi="ar"/>
              </w:rPr>
              <w:t>备注</w:t>
            </w:r>
          </w:p>
        </w:tc>
      </w:tr>
      <w:tr w14:paraId="4F532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15306D8E">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一</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60A148F0">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基础数据环境建设</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14930E31">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394BFCFA">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　</w:t>
            </w: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47CB5E0C">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27AA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5CC4EC17">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1</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1EC370B9">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数据收集与存储</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10EC211A">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37BD4748">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01C82517">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126BA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4B8018F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2</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65D2C5CD">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数据处理与分析</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63FDAB89">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16BCE744">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4E5A0CC0">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0E6AA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47A056AF">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3</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28D7E9BC">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数据异常监控</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59188D5A">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59A4D94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75D5B87D">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05217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591" w:type="pct"/>
            <w:gridSpan w:val="2"/>
            <w:tcBorders>
              <w:top w:val="single" w:color="000000" w:sz="4" w:space="0"/>
              <w:left w:val="single" w:color="000000" w:sz="4" w:space="0"/>
              <w:bottom w:val="single" w:color="000000" w:sz="4" w:space="0"/>
              <w:right w:val="single" w:color="000000" w:sz="4" w:space="0"/>
            </w:tcBorders>
            <w:noWrap/>
            <w:vAlign w:val="center"/>
          </w:tcPr>
          <w:p w14:paraId="05FE4C54">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小计</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16970A30">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34A5CF33">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lang w:val="en-US"/>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67C2D397">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56E73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55EAEA60">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二</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7301CEBA">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气象监测数据综合查询显示</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2B435F68">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26A2DD15">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65AD63BC">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24BE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7DBC5F63">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1</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3F28A9FF">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基于地图的数据展示与交互</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0690FA2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58A74705">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27C17736">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3509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1EE583AA">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2</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1B956235">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天气综合分析</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0036A781">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2CDF4B69">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26B9EE20">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725D3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1803C81F">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3</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01A7D1C8">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过程统计查询</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5873A48D">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192C965E">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19272335">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7BD4C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6D221304">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4</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30750A5F">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快报统计生成</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1C57CB1E">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1485AAF2">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17E1B633">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5B91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3D70D5A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5</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769EEE66">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数据报警与通知</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7A99C2B7">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299A1538">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7810F7CD">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0E1BF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591" w:type="pct"/>
            <w:gridSpan w:val="2"/>
            <w:tcBorders>
              <w:top w:val="single" w:color="000000" w:sz="4" w:space="0"/>
              <w:left w:val="single" w:color="000000" w:sz="4" w:space="0"/>
              <w:bottom w:val="single" w:color="000000" w:sz="4" w:space="0"/>
              <w:right w:val="single" w:color="000000" w:sz="4" w:space="0"/>
            </w:tcBorders>
            <w:noWrap/>
            <w:vAlign w:val="center"/>
          </w:tcPr>
          <w:p w14:paraId="5CB1D681">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小计</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49B3B3F9">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204D2D81">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5583AD10">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02D3A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1DCB39B6">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三</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664C3B7D">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多部门风险信息应用</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2E72FCA9">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6F7C0CD2">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3298326F">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74D67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61016516">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1</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177B6A67">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风险点位气象数据关联</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26556123">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75F463D9">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1AD3903A">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68F13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4EDE09C2">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2</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7D0ECDD0">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行业矩阵阈值管理</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23A1CE48">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102879D7">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432CF26A">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29114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61903F33">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3</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53993258">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多部门风险信息查询</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29E4A5FF">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0FD845AA">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009896C8">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216E8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63D30E70">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4</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612D166F">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致灾风险信息查询</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25F552B1">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698C4302">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53FBC32C">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71A3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591" w:type="pct"/>
            <w:gridSpan w:val="2"/>
            <w:tcBorders>
              <w:top w:val="single" w:color="000000" w:sz="4" w:space="0"/>
              <w:left w:val="single" w:color="000000" w:sz="4" w:space="0"/>
              <w:bottom w:val="single" w:color="000000" w:sz="4" w:space="0"/>
              <w:right w:val="single" w:color="000000" w:sz="4" w:space="0"/>
            </w:tcBorders>
            <w:noWrap/>
            <w:vAlign w:val="center"/>
          </w:tcPr>
          <w:p w14:paraId="52B9B404">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小计</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037D8FFF">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1926D484">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00207772">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11213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60A767F6">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四</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5F5F9ED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灾害气象场景化专题服务</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7F5FE10C">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45E3CA41">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7298AF92">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231A9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41AF906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1</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001ED2A6">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实况阈值告警</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3B56AAE9">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29970FD9">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7F44A0CD">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3FC34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72EEA23D">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2</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66C21385">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短临预报告警</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66F6760D">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6ABD240F">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310FA4F8">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24292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2076D613">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3</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0AC0DCBE">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预警信息生成</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0FFD3D1A">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58F469C2">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76AF8895">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44AA0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2804FD18">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4</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1B303C9D">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分灾种递进式服务支撑</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7BD217B2">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4C333682">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41653480">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205F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7F6DE25F">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5</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4B1EB0EA">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城市安全运行可视化专题</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62384BA5">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6A70A829">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7061394C">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1336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60CB4873">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6</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4FF6D88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农业气象服务可视化专题</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09BACC17">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2455C0E4">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0445B5BB">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425D5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3E96CF73">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7</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54651225">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重点企业防雷气象服务可视化专题</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4D7A3FDE">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59C99E42">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2012A772">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479B1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1AECC05A">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8</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6C3B8958">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生态文旅气象服务可视化专题</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0FE2E70A">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06466B6C">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6EAC09B2">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4EAA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5A88EA97">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0F1A8BD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小计</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3B481EF3">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5B1CE180">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lang w:val="en-US"/>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54E50498">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62CCD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687156A6">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五</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014029B2">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靶向预警</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62056D4B">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1C649317">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6AD0A721">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2CC2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4B23C124">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1</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50E0FADA">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灾害性天气风险告警</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4447E9F6">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35A66373">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39CB5CFC">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6E6B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6DB0026E">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2</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3C351460">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多渠道告警叫应联动</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1E10E538">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315A9460">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60F38E85">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61CA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02443C1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3</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458CCCAE">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告警统计</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73D8C173">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0685AA27">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pacing w:val="-4"/>
                <w:kern w:val="0"/>
                <w:sz w:val="21"/>
                <w:szCs w:val="21"/>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688D34F8">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4B3ED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591" w:type="pct"/>
            <w:gridSpan w:val="2"/>
            <w:tcBorders>
              <w:top w:val="single" w:color="000000" w:sz="4" w:space="0"/>
              <w:left w:val="single" w:color="000000" w:sz="4" w:space="0"/>
              <w:bottom w:val="single" w:color="000000" w:sz="4" w:space="0"/>
              <w:right w:val="single" w:color="000000" w:sz="4" w:space="0"/>
            </w:tcBorders>
            <w:noWrap/>
            <w:vAlign w:val="center"/>
          </w:tcPr>
          <w:p w14:paraId="7E544703">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小计</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514471E7">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604A7BD2">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lang w:val="en-US"/>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2F860D40">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62577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0AB2E138">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六</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325CF4FC">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系统管理</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49F202C1">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461C3B5E">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57229F66">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6390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605E085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1</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5CC123BC">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用户权限管理</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09F95484">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416DFA00">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425BF3BB">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5D658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3346EBF4">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2</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2DF967D1">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系统日志</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4E16A821">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656541B9">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1DAD9433">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20D2F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360B95FD">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3</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4CF08E33">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系统监控</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6B261955">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754F5A7F">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3B94422C">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09A37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20500413">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4</w:t>
            </w:r>
          </w:p>
        </w:tc>
        <w:tc>
          <w:tcPr>
            <w:tcW w:w="2079" w:type="pct"/>
            <w:tcBorders>
              <w:top w:val="single" w:color="000000" w:sz="4" w:space="0"/>
              <w:left w:val="single" w:color="000000" w:sz="4" w:space="0"/>
              <w:bottom w:val="single" w:color="000000" w:sz="4" w:space="0"/>
              <w:right w:val="single" w:color="000000" w:sz="4" w:space="0"/>
            </w:tcBorders>
            <w:noWrap/>
            <w:vAlign w:val="center"/>
          </w:tcPr>
          <w:p w14:paraId="2D68FF81">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综合管理</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2B0AC273">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340CBF22">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12A78F5C">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1E1A7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591" w:type="pct"/>
            <w:gridSpan w:val="2"/>
            <w:tcBorders>
              <w:top w:val="single" w:color="000000" w:sz="4" w:space="0"/>
              <w:left w:val="single" w:color="000000" w:sz="4" w:space="0"/>
              <w:bottom w:val="single" w:color="000000" w:sz="4" w:space="0"/>
              <w:right w:val="single" w:color="000000" w:sz="4" w:space="0"/>
            </w:tcBorders>
            <w:noWrap/>
            <w:vAlign w:val="center"/>
          </w:tcPr>
          <w:p w14:paraId="382D50F5">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小计</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3E7F9A75">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00EA87E8">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5FF7BC6F">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r w14:paraId="7C518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2591" w:type="pct"/>
            <w:gridSpan w:val="2"/>
            <w:tcBorders>
              <w:top w:val="single" w:color="000000" w:sz="4" w:space="0"/>
              <w:left w:val="single" w:color="000000" w:sz="4" w:space="0"/>
              <w:bottom w:val="single" w:color="000000" w:sz="4" w:space="0"/>
              <w:right w:val="single" w:color="000000" w:sz="4" w:space="0"/>
            </w:tcBorders>
            <w:noWrap/>
            <w:vAlign w:val="center"/>
          </w:tcPr>
          <w:p w14:paraId="6F597AFC">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4"/>
                <w:kern w:val="0"/>
                <w:sz w:val="21"/>
                <w:szCs w:val="21"/>
                <w:highlight w:val="none"/>
                <w:u w:val="none"/>
                <w:lang w:val="en-US" w:eastAsia="zh-CN" w:bidi="ar"/>
              </w:rPr>
              <w:t>总计</w:t>
            </w:r>
          </w:p>
        </w:tc>
        <w:tc>
          <w:tcPr>
            <w:tcW w:w="917" w:type="pct"/>
            <w:tcBorders>
              <w:top w:val="single" w:color="000000" w:sz="4" w:space="0"/>
              <w:left w:val="single" w:color="000000" w:sz="4" w:space="0"/>
              <w:bottom w:val="single" w:color="000000" w:sz="4" w:space="0"/>
              <w:right w:val="single" w:color="000000" w:sz="4" w:space="0"/>
            </w:tcBorders>
            <w:noWrap/>
            <w:vAlign w:val="center"/>
          </w:tcPr>
          <w:p w14:paraId="3C06ABDF">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rPr>
            </w:pPr>
          </w:p>
        </w:tc>
        <w:tc>
          <w:tcPr>
            <w:tcW w:w="977" w:type="pct"/>
            <w:tcBorders>
              <w:top w:val="single" w:color="000000" w:sz="4" w:space="0"/>
              <w:left w:val="single" w:color="000000" w:sz="4" w:space="0"/>
              <w:bottom w:val="single" w:color="000000" w:sz="4" w:space="0"/>
              <w:right w:val="single" w:color="000000" w:sz="4" w:space="0"/>
            </w:tcBorders>
            <w:noWrap/>
            <w:vAlign w:val="center"/>
          </w:tcPr>
          <w:p w14:paraId="2C8A2804">
            <w:pPr>
              <w:keepNext w:val="0"/>
              <w:keepLines w:val="0"/>
              <w:pageBreakBefore w:val="0"/>
              <w:widowControl/>
              <w:suppressLineNumbers w:val="0"/>
              <w:kinsoku/>
              <w:wordWrap/>
              <w:overflowPunct/>
              <w:topLinePunct w:val="0"/>
              <w:autoSpaceDE/>
              <w:autoSpaceDN/>
              <w:bidi w:val="0"/>
              <w:adjustRightInd w:val="0"/>
              <w:snapToGrid/>
              <w:spacing w:line="240" w:lineRule="auto"/>
              <w:ind w:firstLine="0"/>
              <w:jc w:val="both"/>
              <w:textAlignment w:val="center"/>
              <w:rPr>
                <w:rFonts w:hint="eastAsia" w:ascii="宋体" w:hAnsi="宋体" w:eastAsia="宋体" w:cs="宋体"/>
                <w:i w:val="0"/>
                <w:iCs w:val="0"/>
                <w:color w:val="000000"/>
                <w:sz w:val="21"/>
                <w:szCs w:val="21"/>
                <w:highlight w:val="none"/>
                <w:u w:val="none"/>
                <w:lang w:val="en-US"/>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4709D0C8">
            <w:pPr>
              <w:keepNext w:val="0"/>
              <w:keepLines w:val="0"/>
              <w:pageBreakBefore w:val="0"/>
              <w:kinsoku/>
              <w:wordWrap/>
              <w:overflowPunct/>
              <w:topLinePunct w:val="0"/>
              <w:autoSpaceDE/>
              <w:autoSpaceDN/>
              <w:bidi w:val="0"/>
              <w:adjustRightInd w:val="0"/>
              <w:snapToGrid/>
              <w:spacing w:line="240" w:lineRule="auto"/>
              <w:ind w:firstLine="0"/>
              <w:jc w:val="both"/>
              <w:rPr>
                <w:rFonts w:hint="eastAsia" w:ascii="宋体" w:hAnsi="宋体" w:eastAsia="宋体" w:cs="宋体"/>
                <w:i w:val="0"/>
                <w:iCs w:val="0"/>
                <w:color w:val="000000"/>
                <w:sz w:val="21"/>
                <w:szCs w:val="21"/>
                <w:highlight w:val="none"/>
                <w:u w:val="none"/>
              </w:rPr>
            </w:pPr>
          </w:p>
        </w:tc>
      </w:tr>
    </w:tbl>
    <w:p w14:paraId="4D1725D9">
      <w:pPr>
        <w:spacing w:line="360" w:lineRule="auto"/>
        <w:jc w:val="right"/>
        <w:rPr>
          <w:rFonts w:hint="eastAsia" w:hAnsi="宋体"/>
          <w:color w:val="auto"/>
          <w:sz w:val="21"/>
          <w:szCs w:val="21"/>
          <w:highlight w:val="none"/>
        </w:rPr>
      </w:pPr>
    </w:p>
    <w:p w14:paraId="20130FC9">
      <w:pPr>
        <w:spacing w:line="360" w:lineRule="auto"/>
        <w:jc w:val="right"/>
        <w:rPr>
          <w:rFonts w:hint="eastAsia" w:hAnsi="宋体"/>
          <w:color w:val="auto"/>
          <w:sz w:val="21"/>
          <w:szCs w:val="21"/>
          <w:highlight w:val="none"/>
        </w:rPr>
      </w:pPr>
    </w:p>
    <w:p w14:paraId="1CFE30BE">
      <w:pPr>
        <w:spacing w:line="360" w:lineRule="auto"/>
        <w:jc w:val="right"/>
        <w:rPr>
          <w:rFonts w:hint="eastAsia" w:ascii="宋体" w:hAnsi="宋体" w:cs="宋体"/>
          <w:color w:val="auto"/>
          <w:highlight w:val="none"/>
        </w:rPr>
      </w:pPr>
      <w:r>
        <w:rPr>
          <w:rFonts w:hint="eastAsia" w:hAnsi="宋体"/>
          <w:color w:val="auto"/>
          <w:sz w:val="21"/>
          <w:szCs w:val="21"/>
          <w:highlight w:val="none"/>
        </w:rPr>
        <w:t xml:space="preserve">  </w:t>
      </w:r>
      <w:r>
        <w:rPr>
          <w:rFonts w:hint="eastAsia" w:ascii="宋体" w:hAnsi="宋体" w:cs="宋体"/>
          <w:color w:val="auto"/>
          <w:highlight w:val="none"/>
        </w:rPr>
        <w:t>供应商盖章：</w:t>
      </w:r>
      <w:r>
        <w:rPr>
          <w:rFonts w:hint="eastAsia" w:ascii="宋体" w:hAnsi="宋体" w:cs="宋体"/>
          <w:color w:val="auto"/>
          <w:highlight w:val="none"/>
          <w:u w:val="single"/>
        </w:rPr>
        <w:t xml:space="preserve">                         （公章）</w:t>
      </w:r>
    </w:p>
    <w:p w14:paraId="042026D6">
      <w:pPr>
        <w:snapToGrid w:val="0"/>
        <w:spacing w:line="360" w:lineRule="auto"/>
        <w:ind w:firstLine="3360" w:firstLineChars="1600"/>
        <w:jc w:val="center"/>
        <w:rPr>
          <w:rFonts w:hint="eastAsia" w:ascii="宋体" w:hAnsi="宋体" w:cs="宋体"/>
          <w:color w:val="auto"/>
          <w:highlight w:val="none"/>
        </w:rPr>
      </w:pPr>
      <w:r>
        <w:rPr>
          <w:rFonts w:hint="eastAsia" w:ascii="宋体" w:hAnsi="宋体" w:cs="宋体"/>
          <w:color w:val="auto"/>
          <w:highlight w:val="none"/>
        </w:rPr>
        <w:t>法定代表人或授权代表（签字或盖章）：</w:t>
      </w:r>
      <w:r>
        <w:rPr>
          <w:rFonts w:hint="eastAsia" w:ascii="宋体" w:hAnsi="宋体" w:cs="宋体"/>
          <w:color w:val="auto"/>
          <w:highlight w:val="none"/>
          <w:u w:val="single"/>
        </w:rPr>
        <w:t xml:space="preserve">                    </w:t>
      </w:r>
    </w:p>
    <w:p w14:paraId="0B873B76">
      <w:pPr>
        <w:ind w:firstLine="3360" w:firstLineChars="1600"/>
        <w:jc w:val="right"/>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3ECB4DA4">
      <w:pPr>
        <w:rPr>
          <w:rFonts w:hint="eastAsia" w:ascii="宋体" w:hAnsi="宋体" w:eastAsia="宋体" w:cs="宋体"/>
          <w:b/>
          <w:color w:val="auto"/>
          <w:spacing w:val="6"/>
          <w:sz w:val="32"/>
          <w:szCs w:val="32"/>
          <w:highlight w:val="none"/>
        </w:rPr>
      </w:pPr>
    </w:p>
    <w:p w14:paraId="2DEA6641">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555C0D1">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2"/>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附件1：残疾人福利性单位声明函</w:t>
      </w:r>
    </w:p>
    <w:p w14:paraId="7BF40659">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auto"/>
        <w:outlineLvl w:val="9"/>
        <w:rPr>
          <w:rFonts w:ascii="宋体" w:hAnsi="宋体" w:cs="宋体"/>
          <w:b/>
          <w:color w:val="auto"/>
          <w:spacing w:val="6"/>
          <w:sz w:val="32"/>
          <w:szCs w:val="32"/>
          <w:highlight w:val="none"/>
        </w:rPr>
      </w:pPr>
      <w:bookmarkStart w:id="520" w:name="OLE_LINK14"/>
      <w:bookmarkStart w:id="521" w:name="OLE_LINK13"/>
      <w:r>
        <w:rPr>
          <w:rFonts w:hint="eastAsia" w:ascii="宋体" w:hAnsi="宋体" w:cs="宋体"/>
          <w:b/>
          <w:color w:val="auto"/>
          <w:spacing w:val="6"/>
          <w:sz w:val="32"/>
          <w:szCs w:val="32"/>
          <w:highlight w:val="none"/>
        </w:rPr>
        <w:t>残疾人福利性单位声明函</w:t>
      </w:r>
    </w:p>
    <w:bookmarkEnd w:id="520"/>
    <w:bookmarkEnd w:id="521"/>
    <w:p w14:paraId="78EC930A">
      <w:pPr>
        <w:kinsoku/>
        <w:wordWrap/>
        <w:overflowPunct/>
        <w:topLinePunct w:val="0"/>
        <w:bidi w:val="0"/>
        <w:spacing w:line="360" w:lineRule="auto"/>
        <w:outlineLvl w:val="9"/>
        <w:rPr>
          <w:rFonts w:ascii="宋体" w:hAnsi="宋体" w:cs="宋体"/>
          <w:b/>
          <w:color w:val="auto"/>
          <w:spacing w:val="6"/>
          <w:sz w:val="30"/>
          <w:szCs w:val="30"/>
          <w:highlight w:val="none"/>
        </w:rPr>
      </w:pPr>
    </w:p>
    <w:p w14:paraId="6A470D66">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宁海县气象局（</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_单位的</w:t>
      </w:r>
      <w:r>
        <w:rPr>
          <w:rFonts w:hint="eastAsia" w:ascii="宋体" w:hAnsi="宋体" w:cs="宋体"/>
          <w:color w:val="auto"/>
          <w:sz w:val="24"/>
          <w:highlight w:val="none"/>
          <w:u w:val="single"/>
          <w:lang w:eastAsia="zh-CN"/>
        </w:rPr>
        <w:t>宁海强对流天气秒预警工程（重招）</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5E5CF497">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7EB6A8C">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584C0226">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2FE1FCC9">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DE329AD">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14:paraId="36E8D072">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102E0AA">
      <w:pPr>
        <w:kinsoku/>
        <w:wordWrap/>
        <w:overflowPunct/>
        <w:topLinePunct w:val="0"/>
        <w:bidi w:val="0"/>
        <w:spacing w:line="360" w:lineRule="auto"/>
        <w:ind w:firstLine="420" w:firstLineChars="200"/>
        <w:outlineLvl w:val="9"/>
        <w:rPr>
          <w:rFonts w:ascii="宋体" w:hAnsi="宋体" w:cs="宋体"/>
          <w:color w:val="auto"/>
          <w:highlight w:val="none"/>
        </w:rPr>
      </w:pPr>
    </w:p>
    <w:p w14:paraId="47FD8B38">
      <w:pPr>
        <w:kinsoku/>
        <w:wordWrap/>
        <w:overflowPunct/>
        <w:topLinePunct w:val="0"/>
        <w:bidi w:val="0"/>
        <w:spacing w:line="360" w:lineRule="auto"/>
        <w:ind w:firstLine="420" w:firstLineChars="200"/>
        <w:outlineLvl w:val="9"/>
        <w:rPr>
          <w:rFonts w:ascii="宋体" w:hAnsi="宋体" w:cs="宋体"/>
          <w:color w:val="auto"/>
          <w:highlight w:val="none"/>
        </w:rPr>
      </w:pPr>
    </w:p>
    <w:p w14:paraId="217C55B3">
      <w:pPr>
        <w:kinsoku/>
        <w:wordWrap/>
        <w:overflowPunct/>
        <w:topLinePunct w:val="0"/>
        <w:bidi w:val="0"/>
        <w:spacing w:line="360" w:lineRule="auto"/>
        <w:ind w:firstLine="420" w:firstLineChars="200"/>
        <w:outlineLvl w:val="9"/>
        <w:rPr>
          <w:rFonts w:ascii="宋体" w:hAnsi="宋体" w:cs="宋体"/>
          <w:color w:val="auto"/>
          <w:highlight w:val="none"/>
        </w:rPr>
      </w:pPr>
    </w:p>
    <w:p w14:paraId="2E4830A3">
      <w:pPr>
        <w:kinsoku/>
        <w:wordWrap/>
        <w:overflowPunct/>
        <w:topLinePunct w:val="0"/>
        <w:bidi w:val="0"/>
        <w:spacing w:line="360" w:lineRule="auto"/>
        <w:ind w:firstLine="420" w:firstLineChars="200"/>
        <w:outlineLvl w:val="9"/>
        <w:rPr>
          <w:rFonts w:ascii="宋体" w:hAnsi="宋体" w:cs="宋体"/>
          <w:color w:val="auto"/>
          <w:highlight w:val="none"/>
        </w:rPr>
      </w:pPr>
    </w:p>
    <w:p w14:paraId="4E860448">
      <w:pPr>
        <w:kinsoku/>
        <w:wordWrap/>
        <w:overflowPunct/>
        <w:topLinePunct w:val="0"/>
        <w:bidi w:val="0"/>
        <w:spacing w:line="360" w:lineRule="auto"/>
        <w:outlineLvl w:val="9"/>
        <w:rPr>
          <w:rFonts w:ascii="宋体" w:hAnsi="宋体" w:cs="宋体"/>
          <w:b/>
          <w:color w:val="auto"/>
          <w:sz w:val="24"/>
          <w:highlight w:val="none"/>
        </w:rPr>
      </w:pPr>
    </w:p>
    <w:p w14:paraId="5678002A">
      <w:pPr>
        <w:kinsoku/>
        <w:wordWrap/>
        <w:overflowPunct/>
        <w:topLinePunct w:val="0"/>
        <w:bidi w:val="0"/>
        <w:spacing w:line="360" w:lineRule="auto"/>
        <w:outlineLvl w:val="9"/>
        <w:rPr>
          <w:rFonts w:ascii="宋体" w:hAnsi="宋体" w:cs="宋体"/>
          <w:b/>
          <w:color w:val="auto"/>
          <w:sz w:val="24"/>
          <w:highlight w:val="none"/>
        </w:rPr>
      </w:pPr>
    </w:p>
    <w:p w14:paraId="6430BD77">
      <w:pPr>
        <w:kinsoku/>
        <w:wordWrap/>
        <w:overflowPunct/>
        <w:topLinePunct w:val="0"/>
        <w:bidi w:val="0"/>
        <w:spacing w:line="360" w:lineRule="auto"/>
        <w:outlineLvl w:val="9"/>
        <w:rPr>
          <w:rFonts w:ascii="宋体" w:hAnsi="宋体" w:cs="宋体"/>
          <w:b/>
          <w:color w:val="auto"/>
          <w:sz w:val="24"/>
          <w:highlight w:val="none"/>
        </w:rPr>
      </w:pPr>
    </w:p>
    <w:p w14:paraId="10BE554C">
      <w:pPr>
        <w:kinsoku/>
        <w:wordWrap/>
        <w:overflowPunct/>
        <w:topLinePunct w:val="0"/>
        <w:bidi w:val="0"/>
        <w:spacing w:line="360" w:lineRule="auto"/>
        <w:outlineLvl w:val="9"/>
        <w:rPr>
          <w:rFonts w:ascii="宋体" w:hAnsi="宋体" w:cs="宋体"/>
          <w:b/>
          <w:color w:val="auto"/>
          <w:sz w:val="24"/>
          <w:highlight w:val="none"/>
        </w:rPr>
      </w:pPr>
    </w:p>
    <w:p w14:paraId="4B1AEEA7">
      <w:pPr>
        <w:kinsoku/>
        <w:wordWrap/>
        <w:overflowPunct/>
        <w:topLinePunct w:val="0"/>
        <w:bidi w:val="0"/>
        <w:spacing w:line="360" w:lineRule="auto"/>
        <w:outlineLvl w:val="9"/>
        <w:rPr>
          <w:rFonts w:ascii="宋体" w:hAnsi="宋体" w:cs="宋体"/>
          <w:b/>
          <w:color w:val="auto"/>
          <w:sz w:val="24"/>
          <w:highlight w:val="none"/>
        </w:rPr>
      </w:pPr>
    </w:p>
    <w:p w14:paraId="14BF0D24">
      <w:pPr>
        <w:kinsoku/>
        <w:wordWrap/>
        <w:overflowPunct/>
        <w:topLinePunct w:val="0"/>
        <w:bidi w:val="0"/>
        <w:spacing w:line="360" w:lineRule="auto"/>
        <w:outlineLvl w:val="9"/>
        <w:rPr>
          <w:rFonts w:ascii="宋体" w:hAnsi="宋体" w:cs="宋体"/>
          <w:b/>
          <w:color w:val="auto"/>
          <w:sz w:val="24"/>
          <w:highlight w:val="none"/>
        </w:rPr>
      </w:pPr>
    </w:p>
    <w:p w14:paraId="6785D78F">
      <w:pPr>
        <w:kinsoku/>
        <w:wordWrap/>
        <w:overflowPunct/>
        <w:topLinePunct w:val="0"/>
        <w:bidi w:val="0"/>
        <w:spacing w:line="360" w:lineRule="auto"/>
        <w:outlineLvl w:val="9"/>
        <w:rPr>
          <w:rFonts w:ascii="宋体" w:hAnsi="宋体" w:cs="宋体"/>
          <w:b/>
          <w:color w:val="auto"/>
          <w:sz w:val="24"/>
          <w:highlight w:val="none"/>
        </w:rPr>
      </w:pPr>
    </w:p>
    <w:p w14:paraId="0AE37947">
      <w:pPr>
        <w:kinsoku/>
        <w:wordWrap/>
        <w:overflowPunct/>
        <w:topLinePunct w:val="0"/>
        <w:bidi w:val="0"/>
        <w:spacing w:line="360" w:lineRule="auto"/>
        <w:outlineLvl w:val="9"/>
        <w:rPr>
          <w:rFonts w:ascii="宋体" w:hAnsi="宋体" w:cs="宋体"/>
          <w:b/>
          <w:color w:val="auto"/>
          <w:sz w:val="24"/>
          <w:highlight w:val="none"/>
        </w:rPr>
      </w:pPr>
    </w:p>
    <w:p w14:paraId="30021BEA">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08698B0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2D7C045">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2"/>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7723BA64">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620C577">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E078B41">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F31F1E6">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7E7529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E656013">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223C3A9">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4B1F9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D3593CA">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9310FC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E9B7989">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706CF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3C768D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6E0679E">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59D131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904A011">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CCD8FC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6494E10">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83BA7E1">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BC0FC7C">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3AE7895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6FFD81E1">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2CFD361">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6FFC19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2931DF8C">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5F30BADE">
      <w:pPr>
        <w:kinsoku/>
        <w:wordWrap/>
        <w:overflowPunct/>
        <w:topLinePunct w:val="0"/>
        <w:bidi w:val="0"/>
        <w:spacing w:line="360" w:lineRule="auto"/>
        <w:jc w:val="center"/>
        <w:outlineLvl w:val="9"/>
        <w:rPr>
          <w:rFonts w:ascii="宋体" w:hAnsi="宋体" w:cs="宋体"/>
          <w:b/>
          <w:bCs/>
          <w:color w:val="auto"/>
          <w:sz w:val="24"/>
          <w:highlight w:val="none"/>
        </w:rPr>
      </w:pPr>
    </w:p>
    <w:p w14:paraId="46C7DF76">
      <w:pPr>
        <w:kinsoku/>
        <w:wordWrap/>
        <w:overflowPunct/>
        <w:topLinePunct w:val="0"/>
        <w:bidi w:val="0"/>
        <w:spacing w:line="360" w:lineRule="auto"/>
        <w:outlineLvl w:val="9"/>
        <w:rPr>
          <w:rFonts w:ascii="宋体" w:hAnsi="宋体" w:cs="宋体"/>
          <w:b/>
          <w:color w:val="auto"/>
          <w:sz w:val="24"/>
          <w:highlight w:val="none"/>
        </w:rPr>
      </w:pPr>
    </w:p>
    <w:p w14:paraId="63DBF4A5">
      <w:pPr>
        <w:kinsoku/>
        <w:wordWrap/>
        <w:overflowPunct/>
        <w:topLinePunct w:val="0"/>
        <w:bidi w:val="0"/>
        <w:spacing w:line="360" w:lineRule="auto"/>
        <w:outlineLvl w:val="9"/>
        <w:rPr>
          <w:rFonts w:ascii="宋体" w:hAnsi="宋体" w:cs="宋体"/>
          <w:b/>
          <w:color w:val="auto"/>
          <w:sz w:val="24"/>
          <w:highlight w:val="none"/>
        </w:rPr>
      </w:pPr>
    </w:p>
    <w:p w14:paraId="3EA1BEBF">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47BBD990">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CF7B1E8">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9779DDD">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964A92A">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1B1FF42">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47B204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E183361">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2F9C9EF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6C80F41">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025B38C">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E99A45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91FB6B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967D5E3">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E6FEC73">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EC2AE1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A730F69">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0894BD7">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88B97F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0280060">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27C98DF">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1F59203E">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2144B04D">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2"/>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5E43170">
      <w:pPr>
        <w:kinsoku/>
        <w:wordWrap/>
        <w:overflowPunct/>
        <w:topLinePunct w:val="0"/>
        <w:bidi w:val="0"/>
        <w:spacing w:line="360" w:lineRule="auto"/>
        <w:jc w:val="center"/>
        <w:outlineLvl w:val="9"/>
        <w:rPr>
          <w:rFonts w:ascii="宋体" w:hAnsi="宋体" w:cs="宋体"/>
          <w:b/>
          <w:color w:val="auto"/>
          <w:sz w:val="24"/>
          <w:highlight w:val="none"/>
        </w:rPr>
      </w:pPr>
    </w:p>
    <w:p w14:paraId="0A9CF8F7">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6CB68F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05FE04A">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D6A828F">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E8DC35">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F1BB88">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4A7A6D9">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B0593AE">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68D80A1">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538EF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1AA345">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C7803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4474E2CC">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5CD9C03A">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FFCB6A">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BB360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B15A8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461BBA32">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8FCCBA3">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CFB21D6">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0E8BC2">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22FDDB6">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BE9DB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81565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6D8148FD">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8A91355">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6AA347">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3415B2EA">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7D969363">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1D1071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3BEA372">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018396">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993D163">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D2A808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594C924C">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1F04FF4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6AD091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BF7E749">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B43F0BC">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7B0CEC5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1151906F">
      <w:pPr>
        <w:kinsoku/>
        <w:wordWrap/>
        <w:overflowPunct/>
        <w:topLinePunct w:val="0"/>
        <w:bidi w:val="0"/>
        <w:spacing w:line="360" w:lineRule="auto"/>
        <w:outlineLvl w:val="9"/>
        <w:rPr>
          <w:rFonts w:ascii="宋体" w:hAnsi="宋体" w:cs="宋体"/>
          <w:b/>
          <w:color w:val="auto"/>
          <w:sz w:val="24"/>
          <w:highlight w:val="none"/>
        </w:rPr>
      </w:pPr>
    </w:p>
    <w:p w14:paraId="34D8D915">
      <w:pPr>
        <w:kinsoku/>
        <w:wordWrap/>
        <w:overflowPunct/>
        <w:topLinePunct w:val="0"/>
        <w:bidi w:val="0"/>
        <w:spacing w:line="360" w:lineRule="auto"/>
        <w:outlineLvl w:val="9"/>
        <w:rPr>
          <w:rFonts w:ascii="宋体" w:hAnsi="宋体" w:cs="宋体"/>
          <w:b/>
          <w:color w:val="auto"/>
          <w:sz w:val="24"/>
          <w:highlight w:val="none"/>
        </w:rPr>
      </w:pPr>
    </w:p>
    <w:p w14:paraId="4B1CD6DA">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590BB18D">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07B7D9D">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B636256">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53C28D1">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C7F07B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9F17B27">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A9BDEC7">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FDD4B76">
      <w:pPr>
        <w:kinsoku/>
        <w:wordWrap/>
        <w:overflowPunct/>
        <w:topLinePunct w:val="0"/>
        <w:bidi w:val="0"/>
        <w:spacing w:line="360" w:lineRule="auto"/>
        <w:outlineLvl w:val="9"/>
        <w:rPr>
          <w:rFonts w:ascii="宋体" w:hAnsi="宋体" w:cs="宋体"/>
          <w:b/>
          <w:color w:val="auto"/>
          <w:sz w:val="24"/>
          <w:highlight w:val="none"/>
        </w:rPr>
      </w:pPr>
    </w:p>
    <w:p w14:paraId="35EE478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CBBF9B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078E943">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2"/>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附件4：业务专用章使用说明函</w:t>
      </w:r>
    </w:p>
    <w:p w14:paraId="060CA89A">
      <w:pPr>
        <w:kinsoku/>
        <w:wordWrap/>
        <w:overflowPunct/>
        <w:topLinePunct w:val="0"/>
        <w:bidi w:val="0"/>
        <w:spacing w:line="360" w:lineRule="auto"/>
        <w:outlineLvl w:val="9"/>
        <w:rPr>
          <w:rFonts w:ascii="宋体" w:hAnsi="宋体" w:cs="宋体"/>
          <w:color w:val="auto"/>
          <w:sz w:val="24"/>
          <w:highlight w:val="none"/>
          <w:u w:val="single"/>
        </w:rPr>
      </w:pPr>
    </w:p>
    <w:p w14:paraId="147807F9">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lang w:eastAsia="zh-CN"/>
        </w:rPr>
        <w:t>宁海县气象局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宁波市盛达工程管理咨询有限公司</w:t>
      </w:r>
      <w:r>
        <w:rPr>
          <w:rFonts w:hint="eastAsia" w:ascii="宋体" w:hAnsi="宋体" w:cs="宋体"/>
          <w:color w:val="auto"/>
          <w:sz w:val="24"/>
          <w:highlight w:val="none"/>
          <w:u w:val="single"/>
        </w:rPr>
        <w:t>：</w:t>
      </w:r>
    </w:p>
    <w:p w14:paraId="287F5D9D">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宁海强对流天气秒预警工程（重招）</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NBSD2025-012-1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40417A7">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284256BE">
      <w:pPr>
        <w:kinsoku/>
        <w:wordWrap/>
        <w:overflowPunct/>
        <w:topLinePunct w:val="0"/>
        <w:bidi w:val="0"/>
        <w:spacing w:line="360" w:lineRule="auto"/>
        <w:ind w:firstLine="494"/>
        <w:outlineLvl w:val="9"/>
        <w:rPr>
          <w:rFonts w:ascii="宋体" w:hAnsi="宋体" w:cs="宋体"/>
          <w:color w:val="auto"/>
          <w:sz w:val="24"/>
          <w:highlight w:val="none"/>
        </w:rPr>
      </w:pPr>
    </w:p>
    <w:p w14:paraId="7369CD34">
      <w:pPr>
        <w:kinsoku/>
        <w:wordWrap/>
        <w:overflowPunct/>
        <w:topLinePunct w:val="0"/>
        <w:bidi w:val="0"/>
        <w:spacing w:line="360" w:lineRule="auto"/>
        <w:ind w:firstLine="494"/>
        <w:outlineLvl w:val="9"/>
        <w:rPr>
          <w:rFonts w:ascii="宋体" w:hAnsi="宋体" w:cs="宋体"/>
          <w:color w:val="auto"/>
          <w:sz w:val="24"/>
          <w:highlight w:val="none"/>
        </w:rPr>
      </w:pPr>
    </w:p>
    <w:p w14:paraId="22AC986B">
      <w:pPr>
        <w:kinsoku/>
        <w:wordWrap/>
        <w:overflowPunct/>
        <w:topLinePunct w:val="0"/>
        <w:bidi w:val="0"/>
        <w:spacing w:line="360" w:lineRule="auto"/>
        <w:ind w:firstLine="494"/>
        <w:outlineLvl w:val="9"/>
        <w:rPr>
          <w:rFonts w:ascii="宋体" w:hAnsi="宋体" w:cs="宋体"/>
          <w:color w:val="auto"/>
          <w:sz w:val="24"/>
          <w:highlight w:val="none"/>
        </w:rPr>
      </w:pPr>
    </w:p>
    <w:p w14:paraId="70C24E43">
      <w:pPr>
        <w:kinsoku/>
        <w:wordWrap/>
        <w:overflowPunct/>
        <w:topLinePunct w:val="0"/>
        <w:bidi w:val="0"/>
        <w:spacing w:line="360" w:lineRule="auto"/>
        <w:ind w:firstLine="494"/>
        <w:outlineLvl w:val="9"/>
        <w:rPr>
          <w:rFonts w:ascii="宋体" w:hAnsi="宋体" w:cs="宋体"/>
          <w:color w:val="auto"/>
          <w:sz w:val="24"/>
          <w:highlight w:val="none"/>
        </w:rPr>
      </w:pPr>
    </w:p>
    <w:p w14:paraId="3FB18722">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2950AF51">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7F168C9">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60842640">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4F9EA8E2">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4F9EA8E2">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FF4E6E1">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FF4E6E1">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1C8ABB2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94D9D3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954515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B70B21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46F793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88C02D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4B7921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C6DE33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3A3000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E3A59E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1D555A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C54EC0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BC3F0C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760640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201F626">
      <w:pPr>
        <w:kinsoku/>
        <w:wordWrap/>
        <w:overflowPunct/>
        <w:topLinePunct w:val="0"/>
        <w:bidi w:val="0"/>
        <w:outlineLvl w:val="9"/>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2F83848">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2"/>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：中小企业声明函</w:t>
      </w:r>
    </w:p>
    <w:p w14:paraId="75E1F68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cs="宋体"/>
          <w:b/>
          <w:color w:val="auto"/>
          <w:sz w:val="21"/>
          <w:szCs w:val="21"/>
          <w:highlight w:val="none"/>
        </w:rPr>
      </w:pPr>
    </w:p>
    <w:p w14:paraId="71C0D9C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中小企业声明函（服务）</w:t>
      </w:r>
    </w:p>
    <w:p w14:paraId="40722AD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cs="宋体"/>
          <w:b/>
          <w:color w:val="auto"/>
          <w:sz w:val="21"/>
          <w:szCs w:val="21"/>
          <w:highlight w:val="none"/>
        </w:rPr>
      </w:pPr>
    </w:p>
    <w:p w14:paraId="48BDAE01">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cs="宋体"/>
          <w:color w:val="auto"/>
          <w:sz w:val="21"/>
          <w:szCs w:val="21"/>
          <w:highlight w:val="none"/>
          <w:u w:val="single"/>
          <w:lang w:eastAsia="zh-CN"/>
        </w:rPr>
        <w:t>宁海县气象局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lang w:eastAsia="zh-CN"/>
        </w:rPr>
        <w:t>宁海强对流天气秒预警工程（重招）</w:t>
      </w:r>
      <w:r>
        <w:rPr>
          <w:rFonts w:hint="eastAsia" w:ascii="宋体"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E0D022B">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1. </w:t>
      </w:r>
      <w:r>
        <w:rPr>
          <w:rFonts w:hint="eastAsia" w:ascii="宋体" w:hAnsi="宋体" w:cs="宋体"/>
          <w:color w:val="auto"/>
          <w:sz w:val="21"/>
          <w:szCs w:val="21"/>
          <w:highlight w:val="none"/>
          <w:u w:val="single"/>
        </w:rPr>
        <w:t>（标的名称</w:t>
      </w:r>
      <w:r>
        <w:rPr>
          <w:rFonts w:hint="eastAsia" w:ascii="宋体" w:hAnsi="宋体" w:cs="宋体"/>
          <w:color w:val="auto"/>
          <w:sz w:val="21"/>
          <w:szCs w:val="21"/>
          <w:highlight w:val="none"/>
          <w:u w:val="single"/>
          <w:lang w:eastAsia="zh-CN"/>
        </w:rPr>
        <w:t>：宁海强对流天气秒预警工程（重招）</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 xml:space="preserve"> （所属行业</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其他未列明行业</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 xml:space="preserve"> ；承建（承接）企业为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31EFBB0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w:t>
      </w:r>
    </w:p>
    <w:p w14:paraId="1997900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4D859FD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0F5E5993">
      <w:pPr>
        <w:keepNext w:val="0"/>
        <w:keepLines w:val="0"/>
        <w:pageBreakBefore w:val="0"/>
        <w:widowControl w:val="0"/>
        <w:kinsoku/>
        <w:wordWrap/>
        <w:overflowPunct/>
        <w:topLinePunct w:val="0"/>
        <w:autoSpaceDE/>
        <w:autoSpaceDN/>
        <w:bidi w:val="0"/>
        <w:adjustRightInd w:val="0"/>
        <w:snapToGrid/>
        <w:spacing w:line="360" w:lineRule="auto"/>
        <w:ind w:right="1760"/>
        <w:jc w:val="righ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投标人名称（电子签名）：</w:t>
      </w:r>
    </w:p>
    <w:p w14:paraId="56F9C609">
      <w:pPr>
        <w:keepNext w:val="0"/>
        <w:keepLines w:val="0"/>
        <w:pageBreakBefore w:val="0"/>
        <w:widowControl w:val="0"/>
        <w:kinsoku/>
        <w:wordWrap/>
        <w:overflowPunct/>
        <w:topLinePunct w:val="0"/>
        <w:autoSpaceDE/>
        <w:autoSpaceDN/>
        <w:bidi w:val="0"/>
        <w:adjustRightInd w:val="0"/>
        <w:snapToGrid/>
        <w:spacing w:line="360" w:lineRule="auto"/>
        <w:ind w:right="1120" w:firstLine="4830" w:firstLineChars="23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日 期：</w:t>
      </w:r>
    </w:p>
    <w:p w14:paraId="17F92B7A">
      <w:pPr>
        <w:keepNext w:val="0"/>
        <w:keepLines w:val="0"/>
        <w:pageBreakBefore w:val="0"/>
        <w:widowControl w:val="0"/>
        <w:kinsoku/>
        <w:wordWrap/>
        <w:overflowPunct/>
        <w:topLinePunct w:val="0"/>
        <w:autoSpaceDE/>
        <w:autoSpaceDN/>
        <w:bidi w:val="0"/>
        <w:adjustRightInd w:val="0"/>
        <w:snapToGrid/>
        <w:spacing w:line="360" w:lineRule="auto"/>
        <w:ind w:right="0" w:firstLine="422" w:firstLineChars="200"/>
        <w:jc w:val="both"/>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从业人员、营业收入、资产总额填报上一年度数据，无上一年度数据的新成立企业可不填报。</w:t>
      </w:r>
    </w:p>
    <w:p w14:paraId="06D53234">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注：</w:t>
      </w:r>
    </w:p>
    <w:p w14:paraId="2D683D77">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FF679E8">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both"/>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5240B8">
      <w:pPr>
        <w:keepNext w:val="0"/>
        <w:keepLines w:val="0"/>
        <w:pageBreakBefore w:val="0"/>
        <w:widowControl w:val="0"/>
        <w:kinsoku/>
        <w:wordWrap/>
        <w:overflowPunct/>
        <w:topLinePunct w:val="0"/>
        <w:autoSpaceDE/>
        <w:autoSpaceDN/>
        <w:bidi w:val="0"/>
        <w:adjustRightInd w:val="0"/>
        <w:snapToGrid/>
        <w:spacing w:line="360" w:lineRule="auto"/>
        <w:ind w:right="0" w:firstLine="422" w:firstLineChars="200"/>
        <w:jc w:val="both"/>
        <w:textAlignment w:val="auto"/>
        <w:outlineLvl w:val="9"/>
        <w:rPr>
          <w:rFonts w:hint="eastAsia" w:ascii="宋体" w:hAnsi="宋体" w:cs="宋体"/>
          <w:b/>
          <w:bCs/>
          <w:color w:val="auto"/>
          <w:sz w:val="21"/>
          <w:szCs w:val="21"/>
          <w:highlight w:val="none"/>
          <w:lang w:val="en-US" w:eastAsia="zh-CN"/>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r>
        <w:rPr>
          <w:rFonts w:hint="eastAsia" w:ascii="宋体" w:hAnsi="宋体" w:cs="宋体"/>
          <w:b/>
          <w:bCs/>
          <w:color w:val="auto"/>
          <w:sz w:val="21"/>
          <w:szCs w:val="21"/>
          <w:highlight w:val="none"/>
          <w:lang w:val="en-US" w:eastAsia="zh-CN"/>
        </w:rPr>
        <w:t>3、本采购文件中明确的所属行业为其他未列明行业：从业人员300人以下的为中小微型企业。其中，从业人员100人及以上的为中型企业；从业人员10人及以上的为小型企业；从业人员10人以下的为微型企业。</w:t>
      </w:r>
    </w:p>
    <w:p w14:paraId="6EC401F0">
      <w:pPr>
        <w:widowControl/>
        <w:spacing w:before="120" w:after="120" w:line="440" w:lineRule="exact"/>
        <w:jc w:val="center"/>
        <w:rPr>
          <w:rFonts w:hint="eastAsia"/>
          <w:color w:val="auto"/>
          <w:sz w:val="24"/>
          <w:highlight w:val="none"/>
          <w:shd w:val="clear" w:color="auto" w:fill="auto"/>
        </w:rPr>
      </w:pPr>
      <w:r>
        <w:rPr>
          <w:rFonts w:hint="eastAsia"/>
          <w:b/>
          <w:bCs/>
          <w:color w:val="auto"/>
          <w:sz w:val="24"/>
          <w:highlight w:val="none"/>
          <w:shd w:val="clear" w:color="auto" w:fill="auto"/>
        </w:rPr>
        <w:t>中小微行业划型标准规定（根据工信部联企业〔2011〕300号制定）</w:t>
      </w:r>
    </w:p>
    <w:tbl>
      <w:tblPr>
        <w:tblStyle w:val="63"/>
        <w:tblW w:w="14562" w:type="dxa"/>
        <w:jc w:val="center"/>
        <w:tblLayout w:type="fixed"/>
        <w:tblCellMar>
          <w:top w:w="0" w:type="dxa"/>
          <w:left w:w="108" w:type="dxa"/>
          <w:bottom w:w="0" w:type="dxa"/>
          <w:right w:w="108" w:type="dxa"/>
        </w:tblCellMar>
      </w:tblPr>
      <w:tblGrid>
        <w:gridCol w:w="2046"/>
        <w:gridCol w:w="1343"/>
        <w:gridCol w:w="1672"/>
        <w:gridCol w:w="1685"/>
        <w:gridCol w:w="1329"/>
        <w:gridCol w:w="1457"/>
        <w:gridCol w:w="1429"/>
        <w:gridCol w:w="1300"/>
        <w:gridCol w:w="1214"/>
        <w:gridCol w:w="1087"/>
      </w:tblGrid>
      <w:tr w14:paraId="16B42CD0">
        <w:tblPrEx>
          <w:tblCellMar>
            <w:top w:w="0" w:type="dxa"/>
            <w:left w:w="108" w:type="dxa"/>
            <w:bottom w:w="0" w:type="dxa"/>
            <w:right w:w="108" w:type="dxa"/>
          </w:tblCellMar>
        </w:tblPrEx>
        <w:trPr>
          <w:trHeight w:val="465" w:hRule="atLeast"/>
          <w:jc w:val="center"/>
        </w:trPr>
        <w:tc>
          <w:tcPr>
            <w:tcW w:w="2046" w:type="dxa"/>
            <w:vMerge w:val="restart"/>
            <w:tcBorders>
              <w:top w:val="single" w:color="auto" w:sz="8" w:space="0"/>
              <w:left w:val="single" w:color="auto" w:sz="8" w:space="0"/>
              <w:bottom w:val="single" w:color="000000" w:sz="4" w:space="0"/>
              <w:right w:val="single" w:color="auto" w:sz="8" w:space="0"/>
            </w:tcBorders>
            <w:noWrap w:val="0"/>
            <w:vAlign w:val="center"/>
          </w:tcPr>
          <w:p w14:paraId="7CB12B77">
            <w:pPr>
              <w:widowControl/>
              <w:jc w:val="center"/>
              <w:rPr>
                <w:rFonts w:hint="eastAsia"/>
                <w:b/>
                <w:bCs/>
                <w:color w:val="auto"/>
                <w:sz w:val="18"/>
                <w:szCs w:val="18"/>
                <w:highlight w:val="none"/>
                <w:shd w:val="clear" w:color="auto" w:fill="auto"/>
              </w:rPr>
            </w:pPr>
            <w:r>
              <w:rPr>
                <w:rFonts w:hint="eastAsia"/>
                <w:b/>
                <w:bCs/>
                <w:color w:val="auto"/>
                <w:sz w:val="18"/>
                <w:szCs w:val="18"/>
                <w:highlight w:val="none"/>
                <w:shd w:val="clear" w:color="auto" w:fill="auto"/>
              </w:rPr>
              <w:t>行业</w:t>
            </w:r>
          </w:p>
        </w:tc>
        <w:tc>
          <w:tcPr>
            <w:tcW w:w="4700" w:type="dxa"/>
            <w:gridSpan w:val="3"/>
            <w:tcBorders>
              <w:top w:val="single" w:color="auto" w:sz="8" w:space="0"/>
              <w:left w:val="nil"/>
              <w:bottom w:val="single" w:color="auto" w:sz="4" w:space="0"/>
              <w:right w:val="single" w:color="000000" w:sz="8" w:space="0"/>
            </w:tcBorders>
            <w:noWrap w:val="0"/>
            <w:vAlign w:val="center"/>
          </w:tcPr>
          <w:p w14:paraId="7CBFC0A3">
            <w:pPr>
              <w:widowControl/>
              <w:jc w:val="center"/>
              <w:rPr>
                <w:rFonts w:hint="eastAsia"/>
                <w:b/>
                <w:bCs/>
                <w:color w:val="auto"/>
                <w:sz w:val="18"/>
                <w:szCs w:val="18"/>
                <w:highlight w:val="none"/>
                <w:shd w:val="clear" w:color="auto" w:fill="auto"/>
              </w:rPr>
            </w:pPr>
            <w:r>
              <w:rPr>
                <w:rFonts w:hint="eastAsia"/>
                <w:b/>
                <w:bCs/>
                <w:color w:val="auto"/>
                <w:sz w:val="18"/>
                <w:szCs w:val="18"/>
                <w:highlight w:val="none"/>
                <w:shd w:val="clear" w:color="auto" w:fill="auto"/>
              </w:rPr>
              <w:t>中型企业</w:t>
            </w:r>
          </w:p>
        </w:tc>
        <w:tc>
          <w:tcPr>
            <w:tcW w:w="4215" w:type="dxa"/>
            <w:gridSpan w:val="3"/>
            <w:tcBorders>
              <w:top w:val="single" w:color="auto" w:sz="8" w:space="0"/>
              <w:left w:val="nil"/>
              <w:bottom w:val="single" w:color="auto" w:sz="4" w:space="0"/>
              <w:right w:val="single" w:color="000000" w:sz="8" w:space="0"/>
            </w:tcBorders>
            <w:noWrap w:val="0"/>
            <w:vAlign w:val="center"/>
          </w:tcPr>
          <w:p w14:paraId="1F2D3B6E">
            <w:pPr>
              <w:widowControl/>
              <w:jc w:val="center"/>
              <w:rPr>
                <w:rFonts w:hint="eastAsia"/>
                <w:b/>
                <w:bCs/>
                <w:color w:val="auto"/>
                <w:sz w:val="18"/>
                <w:szCs w:val="18"/>
                <w:highlight w:val="none"/>
                <w:shd w:val="clear" w:color="auto" w:fill="auto"/>
              </w:rPr>
            </w:pPr>
            <w:r>
              <w:rPr>
                <w:rFonts w:hint="eastAsia"/>
                <w:b/>
                <w:bCs/>
                <w:color w:val="auto"/>
                <w:sz w:val="18"/>
                <w:szCs w:val="18"/>
                <w:highlight w:val="none"/>
                <w:shd w:val="clear" w:color="auto" w:fill="auto"/>
              </w:rPr>
              <w:t>小型企业</w:t>
            </w:r>
          </w:p>
        </w:tc>
        <w:tc>
          <w:tcPr>
            <w:tcW w:w="3601" w:type="dxa"/>
            <w:gridSpan w:val="3"/>
            <w:tcBorders>
              <w:top w:val="single" w:color="auto" w:sz="8" w:space="0"/>
              <w:left w:val="nil"/>
              <w:bottom w:val="single" w:color="auto" w:sz="4" w:space="0"/>
              <w:right w:val="single" w:color="000000" w:sz="8" w:space="0"/>
            </w:tcBorders>
            <w:noWrap w:val="0"/>
            <w:vAlign w:val="center"/>
          </w:tcPr>
          <w:p w14:paraId="0E6FFACC">
            <w:pPr>
              <w:widowControl/>
              <w:jc w:val="center"/>
              <w:rPr>
                <w:rFonts w:hint="eastAsia"/>
                <w:b/>
                <w:bCs/>
                <w:color w:val="auto"/>
                <w:sz w:val="18"/>
                <w:szCs w:val="18"/>
                <w:highlight w:val="none"/>
                <w:shd w:val="clear" w:color="auto" w:fill="auto"/>
              </w:rPr>
            </w:pPr>
            <w:r>
              <w:rPr>
                <w:rFonts w:hint="eastAsia"/>
                <w:b/>
                <w:bCs/>
                <w:color w:val="auto"/>
                <w:sz w:val="18"/>
                <w:szCs w:val="18"/>
                <w:highlight w:val="none"/>
                <w:shd w:val="clear" w:color="auto" w:fill="auto"/>
              </w:rPr>
              <w:t>微型企业</w:t>
            </w:r>
          </w:p>
        </w:tc>
      </w:tr>
      <w:tr w14:paraId="3429C16D">
        <w:tblPrEx>
          <w:tblCellMar>
            <w:top w:w="0" w:type="dxa"/>
            <w:left w:w="108" w:type="dxa"/>
            <w:bottom w:w="0" w:type="dxa"/>
            <w:right w:w="108" w:type="dxa"/>
          </w:tblCellMar>
        </w:tblPrEx>
        <w:trPr>
          <w:trHeight w:val="525" w:hRule="atLeast"/>
          <w:jc w:val="center"/>
        </w:trPr>
        <w:tc>
          <w:tcPr>
            <w:tcW w:w="2046" w:type="dxa"/>
            <w:vMerge w:val="continue"/>
            <w:tcBorders>
              <w:top w:val="single" w:color="auto" w:sz="8" w:space="0"/>
              <w:left w:val="single" w:color="auto" w:sz="8" w:space="0"/>
              <w:bottom w:val="single" w:color="000000" w:sz="4" w:space="0"/>
              <w:right w:val="single" w:color="auto" w:sz="8" w:space="0"/>
            </w:tcBorders>
            <w:noWrap w:val="0"/>
            <w:vAlign w:val="center"/>
          </w:tcPr>
          <w:p w14:paraId="1DFA73A2">
            <w:pPr>
              <w:widowControl/>
              <w:rPr>
                <w:rFonts w:hint="eastAsia"/>
                <w:b/>
                <w:bCs/>
                <w:color w:val="auto"/>
                <w:sz w:val="18"/>
                <w:szCs w:val="18"/>
                <w:highlight w:val="none"/>
                <w:shd w:val="clear" w:color="auto" w:fill="auto"/>
              </w:rPr>
            </w:pPr>
          </w:p>
        </w:tc>
        <w:tc>
          <w:tcPr>
            <w:tcW w:w="1343" w:type="dxa"/>
            <w:tcBorders>
              <w:top w:val="nil"/>
              <w:left w:val="nil"/>
              <w:bottom w:val="single" w:color="auto" w:sz="4" w:space="0"/>
              <w:right w:val="single" w:color="auto" w:sz="4" w:space="0"/>
            </w:tcBorders>
            <w:noWrap w:val="0"/>
            <w:vAlign w:val="center"/>
          </w:tcPr>
          <w:p w14:paraId="3BBA5300">
            <w:pPr>
              <w:widowControl/>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从业人员X（人）</w:t>
            </w:r>
          </w:p>
        </w:tc>
        <w:tc>
          <w:tcPr>
            <w:tcW w:w="1672" w:type="dxa"/>
            <w:tcBorders>
              <w:top w:val="nil"/>
              <w:left w:val="nil"/>
              <w:bottom w:val="single" w:color="auto" w:sz="4" w:space="0"/>
              <w:right w:val="single" w:color="auto" w:sz="4" w:space="0"/>
            </w:tcBorders>
            <w:noWrap w:val="0"/>
            <w:vAlign w:val="center"/>
          </w:tcPr>
          <w:p w14:paraId="7360C40A">
            <w:pPr>
              <w:widowControl/>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营业收入Y</w:t>
            </w:r>
          </w:p>
          <w:p w14:paraId="23BBEC16">
            <w:pPr>
              <w:widowControl/>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（万元）</w:t>
            </w:r>
          </w:p>
        </w:tc>
        <w:tc>
          <w:tcPr>
            <w:tcW w:w="1685" w:type="dxa"/>
            <w:tcBorders>
              <w:top w:val="nil"/>
              <w:left w:val="nil"/>
              <w:bottom w:val="single" w:color="auto" w:sz="4" w:space="0"/>
              <w:right w:val="single" w:color="auto" w:sz="8" w:space="0"/>
            </w:tcBorders>
            <w:noWrap w:val="0"/>
            <w:vAlign w:val="center"/>
          </w:tcPr>
          <w:p w14:paraId="0A95EA18">
            <w:pPr>
              <w:widowControl/>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资产总额Z</w:t>
            </w:r>
          </w:p>
          <w:p w14:paraId="2FB9BB65">
            <w:pPr>
              <w:widowControl/>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（万元）</w:t>
            </w:r>
          </w:p>
        </w:tc>
        <w:tc>
          <w:tcPr>
            <w:tcW w:w="1329" w:type="dxa"/>
            <w:tcBorders>
              <w:top w:val="nil"/>
              <w:left w:val="nil"/>
              <w:bottom w:val="single" w:color="auto" w:sz="4" w:space="0"/>
              <w:right w:val="single" w:color="auto" w:sz="4" w:space="0"/>
            </w:tcBorders>
            <w:noWrap w:val="0"/>
            <w:vAlign w:val="center"/>
          </w:tcPr>
          <w:p w14:paraId="31089B8B">
            <w:pPr>
              <w:widowControl/>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从业人员X（人）</w:t>
            </w:r>
          </w:p>
        </w:tc>
        <w:tc>
          <w:tcPr>
            <w:tcW w:w="1457" w:type="dxa"/>
            <w:tcBorders>
              <w:top w:val="nil"/>
              <w:left w:val="nil"/>
              <w:bottom w:val="single" w:color="auto" w:sz="4" w:space="0"/>
              <w:right w:val="single" w:color="auto" w:sz="4" w:space="0"/>
            </w:tcBorders>
            <w:noWrap w:val="0"/>
            <w:vAlign w:val="center"/>
          </w:tcPr>
          <w:p w14:paraId="541FC4C3">
            <w:pPr>
              <w:widowControl/>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营业收入Y</w:t>
            </w:r>
          </w:p>
          <w:p w14:paraId="3B991E4C">
            <w:pPr>
              <w:widowControl/>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（万元）</w:t>
            </w:r>
          </w:p>
        </w:tc>
        <w:tc>
          <w:tcPr>
            <w:tcW w:w="1429" w:type="dxa"/>
            <w:tcBorders>
              <w:top w:val="nil"/>
              <w:left w:val="nil"/>
              <w:bottom w:val="single" w:color="auto" w:sz="4" w:space="0"/>
              <w:right w:val="single" w:color="auto" w:sz="8" w:space="0"/>
            </w:tcBorders>
            <w:noWrap w:val="0"/>
            <w:vAlign w:val="center"/>
          </w:tcPr>
          <w:p w14:paraId="06F54E1D">
            <w:pPr>
              <w:widowControl/>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资产总额Z</w:t>
            </w:r>
          </w:p>
          <w:p w14:paraId="2E82AF0A">
            <w:pPr>
              <w:widowControl/>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（万元）</w:t>
            </w:r>
          </w:p>
        </w:tc>
        <w:tc>
          <w:tcPr>
            <w:tcW w:w="1300" w:type="dxa"/>
            <w:tcBorders>
              <w:top w:val="nil"/>
              <w:left w:val="nil"/>
              <w:bottom w:val="single" w:color="auto" w:sz="4" w:space="0"/>
              <w:right w:val="single" w:color="auto" w:sz="4" w:space="0"/>
            </w:tcBorders>
            <w:noWrap w:val="0"/>
            <w:vAlign w:val="center"/>
          </w:tcPr>
          <w:p w14:paraId="47205871">
            <w:pPr>
              <w:widowControl/>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从业人员X（人）</w:t>
            </w:r>
          </w:p>
        </w:tc>
        <w:tc>
          <w:tcPr>
            <w:tcW w:w="1214" w:type="dxa"/>
            <w:tcBorders>
              <w:top w:val="nil"/>
              <w:left w:val="nil"/>
              <w:bottom w:val="single" w:color="auto" w:sz="4" w:space="0"/>
              <w:right w:val="single" w:color="auto" w:sz="4" w:space="0"/>
            </w:tcBorders>
            <w:noWrap w:val="0"/>
            <w:vAlign w:val="center"/>
          </w:tcPr>
          <w:p w14:paraId="6B213A14">
            <w:pPr>
              <w:widowControl/>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营业收入Y（万元）</w:t>
            </w:r>
          </w:p>
        </w:tc>
        <w:tc>
          <w:tcPr>
            <w:tcW w:w="1087" w:type="dxa"/>
            <w:tcBorders>
              <w:top w:val="nil"/>
              <w:left w:val="nil"/>
              <w:bottom w:val="single" w:color="auto" w:sz="4" w:space="0"/>
              <w:right w:val="single" w:color="auto" w:sz="8" w:space="0"/>
            </w:tcBorders>
            <w:noWrap w:val="0"/>
            <w:vAlign w:val="center"/>
          </w:tcPr>
          <w:p w14:paraId="5D9942F7">
            <w:pPr>
              <w:widowControl/>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资产总额Z（万元）</w:t>
            </w:r>
          </w:p>
        </w:tc>
      </w:tr>
      <w:tr w14:paraId="557F4220">
        <w:tblPrEx>
          <w:tblCellMar>
            <w:top w:w="0" w:type="dxa"/>
            <w:left w:w="108" w:type="dxa"/>
            <w:bottom w:w="0" w:type="dxa"/>
            <w:right w:w="108" w:type="dxa"/>
          </w:tblCellMar>
        </w:tblPrEx>
        <w:trPr>
          <w:trHeight w:val="360" w:hRule="atLeast"/>
          <w:jc w:val="center"/>
        </w:trPr>
        <w:tc>
          <w:tcPr>
            <w:tcW w:w="2046" w:type="dxa"/>
            <w:tcBorders>
              <w:top w:val="nil"/>
              <w:left w:val="single" w:color="auto" w:sz="8" w:space="0"/>
              <w:bottom w:val="single" w:color="auto" w:sz="4" w:space="0"/>
              <w:right w:val="single" w:color="auto" w:sz="8" w:space="0"/>
            </w:tcBorders>
            <w:noWrap w:val="0"/>
            <w:vAlign w:val="center"/>
          </w:tcPr>
          <w:p w14:paraId="6AC98EB1">
            <w:pPr>
              <w:widowControl/>
              <w:autoSpaceDE/>
              <w:autoSpaceDN/>
              <w:spacing w:line="240" w:lineRule="auto"/>
              <w:jc w:val="left"/>
              <w:rPr>
                <w:rFonts w:hint="eastAsia"/>
                <w:color w:val="auto"/>
                <w:sz w:val="18"/>
                <w:szCs w:val="18"/>
                <w:highlight w:val="none"/>
                <w:shd w:val="clear" w:color="auto" w:fill="auto"/>
              </w:rPr>
            </w:pPr>
            <w:r>
              <w:rPr>
                <w:rFonts w:hint="eastAsia"/>
                <w:color w:val="auto"/>
                <w:sz w:val="18"/>
                <w:szCs w:val="18"/>
                <w:highlight w:val="none"/>
                <w:shd w:val="clear" w:color="auto" w:fill="auto"/>
              </w:rPr>
              <w:t>1、农林牧渔业</w:t>
            </w:r>
          </w:p>
        </w:tc>
        <w:tc>
          <w:tcPr>
            <w:tcW w:w="1343" w:type="dxa"/>
            <w:tcBorders>
              <w:top w:val="nil"/>
              <w:left w:val="nil"/>
              <w:bottom w:val="single" w:color="auto" w:sz="4" w:space="0"/>
              <w:right w:val="single" w:color="auto" w:sz="4" w:space="0"/>
            </w:tcBorders>
            <w:noWrap w:val="0"/>
            <w:vAlign w:val="center"/>
          </w:tcPr>
          <w:p w14:paraId="23DDDAD0">
            <w:pPr>
              <w:widowControl/>
              <w:autoSpaceDE/>
              <w:autoSpaceDN/>
              <w:spacing w:line="240" w:lineRule="auto"/>
              <w:jc w:val="center"/>
              <w:rPr>
                <w:rFonts w:hint="eastAsia"/>
                <w:color w:val="auto"/>
                <w:sz w:val="18"/>
                <w:szCs w:val="18"/>
                <w:highlight w:val="none"/>
                <w:shd w:val="clear" w:color="auto" w:fill="auto"/>
              </w:rPr>
            </w:pPr>
          </w:p>
        </w:tc>
        <w:tc>
          <w:tcPr>
            <w:tcW w:w="1672" w:type="dxa"/>
            <w:tcBorders>
              <w:top w:val="nil"/>
              <w:left w:val="nil"/>
              <w:bottom w:val="single" w:color="auto" w:sz="4" w:space="0"/>
              <w:right w:val="single" w:color="auto" w:sz="4" w:space="0"/>
            </w:tcBorders>
            <w:noWrap w:val="0"/>
            <w:vAlign w:val="center"/>
          </w:tcPr>
          <w:p w14:paraId="169B3B6E">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500≤Y＜20000</w:t>
            </w:r>
          </w:p>
        </w:tc>
        <w:tc>
          <w:tcPr>
            <w:tcW w:w="1685" w:type="dxa"/>
            <w:tcBorders>
              <w:top w:val="nil"/>
              <w:left w:val="nil"/>
              <w:bottom w:val="single" w:color="auto" w:sz="4" w:space="0"/>
              <w:right w:val="single" w:color="auto" w:sz="8" w:space="0"/>
            </w:tcBorders>
            <w:noWrap w:val="0"/>
            <w:vAlign w:val="center"/>
          </w:tcPr>
          <w:p w14:paraId="635F748A">
            <w:pPr>
              <w:widowControl/>
              <w:autoSpaceDE/>
              <w:autoSpaceDN/>
              <w:spacing w:line="240" w:lineRule="auto"/>
              <w:jc w:val="center"/>
              <w:rPr>
                <w:rFonts w:hint="eastAsia"/>
                <w:color w:val="auto"/>
                <w:sz w:val="18"/>
                <w:szCs w:val="18"/>
                <w:highlight w:val="none"/>
                <w:shd w:val="clear" w:color="auto" w:fill="auto"/>
              </w:rPr>
            </w:pPr>
          </w:p>
        </w:tc>
        <w:tc>
          <w:tcPr>
            <w:tcW w:w="1329" w:type="dxa"/>
            <w:tcBorders>
              <w:top w:val="nil"/>
              <w:left w:val="nil"/>
              <w:bottom w:val="single" w:color="auto" w:sz="4" w:space="0"/>
              <w:right w:val="single" w:color="auto" w:sz="4" w:space="0"/>
            </w:tcBorders>
            <w:noWrap w:val="0"/>
            <w:vAlign w:val="center"/>
          </w:tcPr>
          <w:p w14:paraId="696B0910">
            <w:pPr>
              <w:widowControl/>
              <w:autoSpaceDE/>
              <w:autoSpaceDN/>
              <w:spacing w:line="240" w:lineRule="auto"/>
              <w:jc w:val="center"/>
              <w:rPr>
                <w:rFonts w:hint="eastAsia"/>
                <w:color w:val="auto"/>
                <w:sz w:val="18"/>
                <w:szCs w:val="18"/>
                <w:highlight w:val="none"/>
                <w:shd w:val="clear" w:color="auto" w:fill="auto"/>
              </w:rPr>
            </w:pPr>
          </w:p>
        </w:tc>
        <w:tc>
          <w:tcPr>
            <w:tcW w:w="1457" w:type="dxa"/>
            <w:tcBorders>
              <w:top w:val="nil"/>
              <w:left w:val="nil"/>
              <w:bottom w:val="single" w:color="auto" w:sz="4" w:space="0"/>
              <w:right w:val="single" w:color="auto" w:sz="4" w:space="0"/>
            </w:tcBorders>
            <w:noWrap w:val="0"/>
            <w:vAlign w:val="center"/>
          </w:tcPr>
          <w:p w14:paraId="0BEEF485">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50≤Y＜500</w:t>
            </w:r>
          </w:p>
        </w:tc>
        <w:tc>
          <w:tcPr>
            <w:tcW w:w="1429" w:type="dxa"/>
            <w:tcBorders>
              <w:top w:val="nil"/>
              <w:left w:val="nil"/>
              <w:bottom w:val="single" w:color="auto" w:sz="4" w:space="0"/>
              <w:right w:val="single" w:color="auto" w:sz="8" w:space="0"/>
            </w:tcBorders>
            <w:noWrap w:val="0"/>
            <w:vAlign w:val="center"/>
          </w:tcPr>
          <w:p w14:paraId="30FB3A76">
            <w:pPr>
              <w:widowControl/>
              <w:autoSpaceDE/>
              <w:autoSpaceDN/>
              <w:spacing w:line="240" w:lineRule="auto"/>
              <w:jc w:val="center"/>
              <w:rPr>
                <w:rFonts w:hint="eastAsia"/>
                <w:color w:val="auto"/>
                <w:sz w:val="18"/>
                <w:szCs w:val="18"/>
                <w:highlight w:val="none"/>
                <w:shd w:val="clear" w:color="auto" w:fill="auto"/>
              </w:rPr>
            </w:pPr>
          </w:p>
        </w:tc>
        <w:tc>
          <w:tcPr>
            <w:tcW w:w="1300" w:type="dxa"/>
            <w:tcBorders>
              <w:top w:val="nil"/>
              <w:left w:val="nil"/>
              <w:bottom w:val="single" w:color="auto" w:sz="4" w:space="0"/>
              <w:right w:val="single" w:color="auto" w:sz="4" w:space="0"/>
            </w:tcBorders>
            <w:noWrap w:val="0"/>
            <w:vAlign w:val="center"/>
          </w:tcPr>
          <w:p w14:paraId="27BD1BD6">
            <w:pPr>
              <w:widowControl/>
              <w:autoSpaceDE/>
              <w:autoSpaceDN/>
              <w:spacing w:line="240" w:lineRule="auto"/>
              <w:jc w:val="center"/>
              <w:rPr>
                <w:rFonts w:hint="eastAsia"/>
                <w:color w:val="auto"/>
                <w:sz w:val="18"/>
                <w:szCs w:val="18"/>
                <w:highlight w:val="none"/>
                <w:shd w:val="clear" w:color="auto" w:fill="auto"/>
              </w:rPr>
            </w:pPr>
          </w:p>
        </w:tc>
        <w:tc>
          <w:tcPr>
            <w:tcW w:w="1214" w:type="dxa"/>
            <w:tcBorders>
              <w:top w:val="nil"/>
              <w:left w:val="nil"/>
              <w:bottom w:val="single" w:color="auto" w:sz="4" w:space="0"/>
              <w:right w:val="single" w:color="auto" w:sz="4" w:space="0"/>
            </w:tcBorders>
            <w:noWrap w:val="0"/>
            <w:vAlign w:val="center"/>
          </w:tcPr>
          <w:p w14:paraId="78D5406A">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Y＜50</w:t>
            </w:r>
          </w:p>
        </w:tc>
        <w:tc>
          <w:tcPr>
            <w:tcW w:w="1087" w:type="dxa"/>
            <w:tcBorders>
              <w:top w:val="nil"/>
              <w:left w:val="nil"/>
              <w:bottom w:val="single" w:color="auto" w:sz="4" w:space="0"/>
              <w:right w:val="single" w:color="auto" w:sz="8" w:space="0"/>
            </w:tcBorders>
            <w:noWrap w:val="0"/>
            <w:vAlign w:val="center"/>
          </w:tcPr>
          <w:p w14:paraId="1CEF7E3F">
            <w:pPr>
              <w:widowControl/>
              <w:autoSpaceDE/>
              <w:autoSpaceDN/>
              <w:spacing w:line="240" w:lineRule="auto"/>
              <w:jc w:val="center"/>
              <w:rPr>
                <w:rFonts w:hint="eastAsia"/>
                <w:color w:val="auto"/>
                <w:sz w:val="18"/>
                <w:szCs w:val="18"/>
                <w:highlight w:val="none"/>
                <w:shd w:val="clear" w:color="auto" w:fill="auto"/>
              </w:rPr>
            </w:pPr>
          </w:p>
        </w:tc>
      </w:tr>
      <w:tr w14:paraId="6A0DFE87">
        <w:tblPrEx>
          <w:tblCellMar>
            <w:top w:w="0" w:type="dxa"/>
            <w:left w:w="108" w:type="dxa"/>
            <w:bottom w:w="0" w:type="dxa"/>
            <w:right w:w="108" w:type="dxa"/>
          </w:tblCellMar>
        </w:tblPrEx>
        <w:trPr>
          <w:trHeight w:val="360" w:hRule="atLeast"/>
          <w:jc w:val="center"/>
        </w:trPr>
        <w:tc>
          <w:tcPr>
            <w:tcW w:w="2046" w:type="dxa"/>
            <w:tcBorders>
              <w:top w:val="nil"/>
              <w:left w:val="single" w:color="auto" w:sz="8" w:space="0"/>
              <w:bottom w:val="single" w:color="auto" w:sz="4" w:space="0"/>
              <w:right w:val="single" w:color="auto" w:sz="8" w:space="0"/>
            </w:tcBorders>
            <w:noWrap w:val="0"/>
            <w:vAlign w:val="center"/>
          </w:tcPr>
          <w:p w14:paraId="5CF86493">
            <w:pPr>
              <w:widowControl/>
              <w:autoSpaceDE/>
              <w:autoSpaceDN/>
              <w:spacing w:line="240" w:lineRule="auto"/>
              <w:jc w:val="left"/>
              <w:rPr>
                <w:rFonts w:hint="eastAsia"/>
                <w:color w:val="auto"/>
                <w:sz w:val="18"/>
                <w:szCs w:val="18"/>
                <w:highlight w:val="none"/>
                <w:shd w:val="clear" w:color="auto" w:fill="auto"/>
              </w:rPr>
            </w:pPr>
            <w:r>
              <w:rPr>
                <w:rFonts w:hint="eastAsia"/>
                <w:color w:val="auto"/>
                <w:sz w:val="18"/>
                <w:szCs w:val="18"/>
                <w:highlight w:val="none"/>
                <w:shd w:val="clear" w:color="auto" w:fill="auto"/>
              </w:rPr>
              <w:t>2、工业</w:t>
            </w:r>
          </w:p>
        </w:tc>
        <w:tc>
          <w:tcPr>
            <w:tcW w:w="1343" w:type="dxa"/>
            <w:tcBorders>
              <w:top w:val="nil"/>
              <w:left w:val="nil"/>
              <w:bottom w:val="single" w:color="auto" w:sz="4" w:space="0"/>
              <w:right w:val="single" w:color="auto" w:sz="4" w:space="0"/>
            </w:tcBorders>
            <w:noWrap w:val="0"/>
            <w:vAlign w:val="center"/>
          </w:tcPr>
          <w:p w14:paraId="1BCED3C4">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300≤X＜1000</w:t>
            </w:r>
          </w:p>
        </w:tc>
        <w:tc>
          <w:tcPr>
            <w:tcW w:w="1672" w:type="dxa"/>
            <w:tcBorders>
              <w:top w:val="nil"/>
              <w:left w:val="nil"/>
              <w:bottom w:val="single" w:color="auto" w:sz="4" w:space="0"/>
              <w:right w:val="single" w:color="auto" w:sz="4" w:space="0"/>
            </w:tcBorders>
            <w:noWrap w:val="0"/>
            <w:vAlign w:val="center"/>
          </w:tcPr>
          <w:p w14:paraId="1E94203A">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2000≤Y＜40000</w:t>
            </w:r>
          </w:p>
        </w:tc>
        <w:tc>
          <w:tcPr>
            <w:tcW w:w="1685" w:type="dxa"/>
            <w:tcBorders>
              <w:top w:val="nil"/>
              <w:left w:val="nil"/>
              <w:bottom w:val="single" w:color="auto" w:sz="4" w:space="0"/>
              <w:right w:val="single" w:color="auto" w:sz="8" w:space="0"/>
            </w:tcBorders>
            <w:noWrap w:val="0"/>
            <w:vAlign w:val="center"/>
          </w:tcPr>
          <w:p w14:paraId="68274B23">
            <w:pPr>
              <w:widowControl/>
              <w:autoSpaceDE/>
              <w:autoSpaceDN/>
              <w:spacing w:line="240" w:lineRule="auto"/>
              <w:jc w:val="center"/>
              <w:rPr>
                <w:rFonts w:hint="eastAsia"/>
                <w:color w:val="auto"/>
                <w:sz w:val="18"/>
                <w:szCs w:val="18"/>
                <w:highlight w:val="none"/>
                <w:shd w:val="clear" w:color="auto" w:fill="auto"/>
              </w:rPr>
            </w:pPr>
          </w:p>
        </w:tc>
        <w:tc>
          <w:tcPr>
            <w:tcW w:w="1329" w:type="dxa"/>
            <w:tcBorders>
              <w:top w:val="nil"/>
              <w:left w:val="nil"/>
              <w:bottom w:val="single" w:color="auto" w:sz="4" w:space="0"/>
              <w:right w:val="single" w:color="auto" w:sz="4" w:space="0"/>
            </w:tcBorders>
            <w:noWrap w:val="0"/>
            <w:vAlign w:val="center"/>
          </w:tcPr>
          <w:p w14:paraId="01839952">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20≤X＜300</w:t>
            </w:r>
          </w:p>
        </w:tc>
        <w:tc>
          <w:tcPr>
            <w:tcW w:w="1457" w:type="dxa"/>
            <w:tcBorders>
              <w:top w:val="nil"/>
              <w:left w:val="nil"/>
              <w:bottom w:val="single" w:color="auto" w:sz="4" w:space="0"/>
              <w:right w:val="single" w:color="auto" w:sz="4" w:space="0"/>
            </w:tcBorders>
            <w:noWrap w:val="0"/>
            <w:vAlign w:val="center"/>
          </w:tcPr>
          <w:p w14:paraId="49548D1A">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300≤Y＜2000</w:t>
            </w:r>
          </w:p>
        </w:tc>
        <w:tc>
          <w:tcPr>
            <w:tcW w:w="1429" w:type="dxa"/>
            <w:tcBorders>
              <w:top w:val="nil"/>
              <w:left w:val="nil"/>
              <w:bottom w:val="single" w:color="auto" w:sz="4" w:space="0"/>
              <w:right w:val="single" w:color="auto" w:sz="8" w:space="0"/>
            </w:tcBorders>
            <w:noWrap w:val="0"/>
            <w:vAlign w:val="center"/>
          </w:tcPr>
          <w:p w14:paraId="169701CD">
            <w:pPr>
              <w:widowControl/>
              <w:autoSpaceDE/>
              <w:autoSpaceDN/>
              <w:spacing w:line="240" w:lineRule="auto"/>
              <w:jc w:val="center"/>
              <w:rPr>
                <w:rFonts w:hint="eastAsia"/>
                <w:color w:val="auto"/>
                <w:sz w:val="18"/>
                <w:szCs w:val="18"/>
                <w:highlight w:val="none"/>
                <w:shd w:val="clear" w:color="auto" w:fill="auto"/>
              </w:rPr>
            </w:pPr>
          </w:p>
        </w:tc>
        <w:tc>
          <w:tcPr>
            <w:tcW w:w="1300" w:type="dxa"/>
            <w:tcBorders>
              <w:top w:val="nil"/>
              <w:left w:val="nil"/>
              <w:bottom w:val="single" w:color="auto" w:sz="4" w:space="0"/>
              <w:right w:val="single" w:color="auto" w:sz="4" w:space="0"/>
            </w:tcBorders>
            <w:noWrap w:val="0"/>
            <w:vAlign w:val="center"/>
          </w:tcPr>
          <w:p w14:paraId="6B24C637">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X＜20</w:t>
            </w:r>
          </w:p>
        </w:tc>
        <w:tc>
          <w:tcPr>
            <w:tcW w:w="1214" w:type="dxa"/>
            <w:tcBorders>
              <w:top w:val="nil"/>
              <w:left w:val="nil"/>
              <w:bottom w:val="single" w:color="auto" w:sz="4" w:space="0"/>
              <w:right w:val="single" w:color="auto" w:sz="4" w:space="0"/>
            </w:tcBorders>
            <w:noWrap w:val="0"/>
            <w:vAlign w:val="center"/>
          </w:tcPr>
          <w:p w14:paraId="6CE38390">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Y＜300</w:t>
            </w:r>
          </w:p>
        </w:tc>
        <w:tc>
          <w:tcPr>
            <w:tcW w:w="1087" w:type="dxa"/>
            <w:tcBorders>
              <w:top w:val="nil"/>
              <w:left w:val="nil"/>
              <w:bottom w:val="single" w:color="auto" w:sz="4" w:space="0"/>
              <w:right w:val="single" w:color="auto" w:sz="8" w:space="0"/>
            </w:tcBorders>
            <w:noWrap w:val="0"/>
            <w:vAlign w:val="center"/>
          </w:tcPr>
          <w:p w14:paraId="38FFA862">
            <w:pPr>
              <w:widowControl/>
              <w:autoSpaceDE/>
              <w:autoSpaceDN/>
              <w:spacing w:line="240" w:lineRule="auto"/>
              <w:jc w:val="center"/>
              <w:rPr>
                <w:rFonts w:hint="eastAsia"/>
                <w:color w:val="auto"/>
                <w:sz w:val="18"/>
                <w:szCs w:val="18"/>
                <w:highlight w:val="none"/>
                <w:shd w:val="clear" w:color="auto" w:fill="auto"/>
              </w:rPr>
            </w:pPr>
          </w:p>
        </w:tc>
      </w:tr>
      <w:tr w14:paraId="036B9181">
        <w:tblPrEx>
          <w:tblCellMar>
            <w:top w:w="0" w:type="dxa"/>
            <w:left w:w="108" w:type="dxa"/>
            <w:bottom w:w="0" w:type="dxa"/>
            <w:right w:w="108" w:type="dxa"/>
          </w:tblCellMar>
        </w:tblPrEx>
        <w:trPr>
          <w:trHeight w:val="360" w:hRule="atLeast"/>
          <w:jc w:val="center"/>
        </w:trPr>
        <w:tc>
          <w:tcPr>
            <w:tcW w:w="2046" w:type="dxa"/>
            <w:tcBorders>
              <w:top w:val="nil"/>
              <w:left w:val="single" w:color="auto" w:sz="8" w:space="0"/>
              <w:bottom w:val="single" w:color="auto" w:sz="4" w:space="0"/>
              <w:right w:val="single" w:color="auto" w:sz="8" w:space="0"/>
            </w:tcBorders>
            <w:noWrap w:val="0"/>
            <w:vAlign w:val="center"/>
          </w:tcPr>
          <w:p w14:paraId="2146D193">
            <w:pPr>
              <w:widowControl/>
              <w:autoSpaceDE/>
              <w:autoSpaceDN/>
              <w:spacing w:line="240" w:lineRule="auto"/>
              <w:jc w:val="left"/>
              <w:rPr>
                <w:rFonts w:hint="eastAsia"/>
                <w:color w:val="auto"/>
                <w:sz w:val="18"/>
                <w:szCs w:val="18"/>
                <w:highlight w:val="none"/>
                <w:shd w:val="clear" w:color="auto" w:fill="auto"/>
              </w:rPr>
            </w:pPr>
            <w:r>
              <w:rPr>
                <w:rFonts w:hint="eastAsia"/>
                <w:color w:val="auto"/>
                <w:sz w:val="18"/>
                <w:szCs w:val="18"/>
                <w:highlight w:val="none"/>
                <w:shd w:val="clear" w:color="auto" w:fill="auto"/>
              </w:rPr>
              <w:t>3、建筑业</w:t>
            </w:r>
          </w:p>
        </w:tc>
        <w:tc>
          <w:tcPr>
            <w:tcW w:w="1343" w:type="dxa"/>
            <w:tcBorders>
              <w:top w:val="nil"/>
              <w:left w:val="nil"/>
              <w:bottom w:val="single" w:color="auto" w:sz="4" w:space="0"/>
              <w:right w:val="single" w:color="auto" w:sz="4" w:space="0"/>
            </w:tcBorders>
            <w:noWrap w:val="0"/>
            <w:vAlign w:val="center"/>
          </w:tcPr>
          <w:p w14:paraId="2E435F86">
            <w:pPr>
              <w:widowControl/>
              <w:autoSpaceDE/>
              <w:autoSpaceDN/>
              <w:spacing w:line="240" w:lineRule="auto"/>
              <w:jc w:val="center"/>
              <w:rPr>
                <w:rFonts w:hint="eastAsia"/>
                <w:color w:val="auto"/>
                <w:sz w:val="18"/>
                <w:szCs w:val="18"/>
                <w:highlight w:val="none"/>
                <w:shd w:val="clear" w:color="auto" w:fill="auto"/>
              </w:rPr>
            </w:pPr>
          </w:p>
        </w:tc>
        <w:tc>
          <w:tcPr>
            <w:tcW w:w="1672" w:type="dxa"/>
            <w:tcBorders>
              <w:top w:val="nil"/>
              <w:left w:val="nil"/>
              <w:bottom w:val="single" w:color="auto" w:sz="4" w:space="0"/>
              <w:right w:val="single" w:color="auto" w:sz="4" w:space="0"/>
            </w:tcBorders>
            <w:noWrap w:val="0"/>
            <w:vAlign w:val="center"/>
          </w:tcPr>
          <w:p w14:paraId="157C19DD">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6000≤Y＜80000</w:t>
            </w:r>
          </w:p>
        </w:tc>
        <w:tc>
          <w:tcPr>
            <w:tcW w:w="1685" w:type="dxa"/>
            <w:tcBorders>
              <w:top w:val="nil"/>
              <w:left w:val="nil"/>
              <w:bottom w:val="single" w:color="auto" w:sz="4" w:space="0"/>
              <w:right w:val="single" w:color="auto" w:sz="8" w:space="0"/>
            </w:tcBorders>
            <w:noWrap w:val="0"/>
            <w:vAlign w:val="center"/>
          </w:tcPr>
          <w:p w14:paraId="1CEBFE06">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5000≤Z＜80000</w:t>
            </w:r>
          </w:p>
        </w:tc>
        <w:tc>
          <w:tcPr>
            <w:tcW w:w="1329" w:type="dxa"/>
            <w:tcBorders>
              <w:top w:val="nil"/>
              <w:left w:val="nil"/>
              <w:bottom w:val="single" w:color="auto" w:sz="4" w:space="0"/>
              <w:right w:val="single" w:color="auto" w:sz="4" w:space="0"/>
            </w:tcBorders>
            <w:noWrap w:val="0"/>
            <w:vAlign w:val="center"/>
          </w:tcPr>
          <w:p w14:paraId="61B1E219">
            <w:pPr>
              <w:widowControl/>
              <w:autoSpaceDE/>
              <w:autoSpaceDN/>
              <w:spacing w:line="240" w:lineRule="auto"/>
              <w:jc w:val="center"/>
              <w:rPr>
                <w:rFonts w:hint="eastAsia"/>
                <w:color w:val="auto"/>
                <w:sz w:val="18"/>
                <w:szCs w:val="18"/>
                <w:highlight w:val="none"/>
                <w:shd w:val="clear" w:color="auto" w:fill="auto"/>
              </w:rPr>
            </w:pPr>
          </w:p>
        </w:tc>
        <w:tc>
          <w:tcPr>
            <w:tcW w:w="1457" w:type="dxa"/>
            <w:tcBorders>
              <w:top w:val="nil"/>
              <w:left w:val="nil"/>
              <w:bottom w:val="single" w:color="auto" w:sz="4" w:space="0"/>
              <w:right w:val="single" w:color="auto" w:sz="4" w:space="0"/>
            </w:tcBorders>
            <w:noWrap w:val="0"/>
            <w:vAlign w:val="center"/>
          </w:tcPr>
          <w:p w14:paraId="791DF801">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300≤Y＜6000</w:t>
            </w:r>
          </w:p>
        </w:tc>
        <w:tc>
          <w:tcPr>
            <w:tcW w:w="1429" w:type="dxa"/>
            <w:tcBorders>
              <w:top w:val="nil"/>
              <w:left w:val="nil"/>
              <w:bottom w:val="single" w:color="auto" w:sz="4" w:space="0"/>
              <w:right w:val="single" w:color="auto" w:sz="8" w:space="0"/>
            </w:tcBorders>
            <w:noWrap w:val="0"/>
            <w:vAlign w:val="center"/>
          </w:tcPr>
          <w:p w14:paraId="39E68B4F">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300≤Z＜5000</w:t>
            </w:r>
          </w:p>
        </w:tc>
        <w:tc>
          <w:tcPr>
            <w:tcW w:w="1300" w:type="dxa"/>
            <w:tcBorders>
              <w:top w:val="nil"/>
              <w:left w:val="nil"/>
              <w:bottom w:val="single" w:color="auto" w:sz="4" w:space="0"/>
              <w:right w:val="single" w:color="auto" w:sz="4" w:space="0"/>
            </w:tcBorders>
            <w:noWrap w:val="0"/>
            <w:vAlign w:val="center"/>
          </w:tcPr>
          <w:p w14:paraId="1105A5A8">
            <w:pPr>
              <w:widowControl/>
              <w:autoSpaceDE/>
              <w:autoSpaceDN/>
              <w:spacing w:line="240" w:lineRule="auto"/>
              <w:jc w:val="center"/>
              <w:rPr>
                <w:rFonts w:hint="eastAsia"/>
                <w:color w:val="auto"/>
                <w:sz w:val="18"/>
                <w:szCs w:val="18"/>
                <w:highlight w:val="none"/>
                <w:shd w:val="clear" w:color="auto" w:fill="auto"/>
              </w:rPr>
            </w:pPr>
          </w:p>
        </w:tc>
        <w:tc>
          <w:tcPr>
            <w:tcW w:w="1214" w:type="dxa"/>
            <w:tcBorders>
              <w:top w:val="nil"/>
              <w:left w:val="nil"/>
              <w:bottom w:val="single" w:color="auto" w:sz="4" w:space="0"/>
              <w:right w:val="single" w:color="auto" w:sz="4" w:space="0"/>
            </w:tcBorders>
            <w:noWrap w:val="0"/>
            <w:vAlign w:val="center"/>
          </w:tcPr>
          <w:p w14:paraId="7B390D53">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Y＜300</w:t>
            </w:r>
          </w:p>
        </w:tc>
        <w:tc>
          <w:tcPr>
            <w:tcW w:w="1087" w:type="dxa"/>
            <w:tcBorders>
              <w:top w:val="nil"/>
              <w:left w:val="nil"/>
              <w:bottom w:val="single" w:color="auto" w:sz="4" w:space="0"/>
              <w:right w:val="single" w:color="auto" w:sz="8" w:space="0"/>
            </w:tcBorders>
            <w:noWrap w:val="0"/>
            <w:vAlign w:val="center"/>
          </w:tcPr>
          <w:p w14:paraId="50191888">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Z＜300</w:t>
            </w:r>
          </w:p>
        </w:tc>
      </w:tr>
      <w:tr w14:paraId="12D7DB53">
        <w:tblPrEx>
          <w:tblCellMar>
            <w:top w:w="0" w:type="dxa"/>
            <w:left w:w="108" w:type="dxa"/>
            <w:bottom w:w="0" w:type="dxa"/>
            <w:right w:w="108" w:type="dxa"/>
          </w:tblCellMar>
        </w:tblPrEx>
        <w:trPr>
          <w:trHeight w:val="360" w:hRule="atLeast"/>
          <w:jc w:val="center"/>
        </w:trPr>
        <w:tc>
          <w:tcPr>
            <w:tcW w:w="2046" w:type="dxa"/>
            <w:tcBorders>
              <w:top w:val="nil"/>
              <w:left w:val="single" w:color="auto" w:sz="8" w:space="0"/>
              <w:bottom w:val="single" w:color="auto" w:sz="4" w:space="0"/>
              <w:right w:val="single" w:color="auto" w:sz="8" w:space="0"/>
            </w:tcBorders>
            <w:noWrap w:val="0"/>
            <w:vAlign w:val="center"/>
          </w:tcPr>
          <w:p w14:paraId="03AA114B">
            <w:pPr>
              <w:widowControl/>
              <w:autoSpaceDE/>
              <w:autoSpaceDN/>
              <w:spacing w:line="240" w:lineRule="auto"/>
              <w:jc w:val="left"/>
              <w:rPr>
                <w:rFonts w:hint="eastAsia"/>
                <w:color w:val="auto"/>
                <w:sz w:val="18"/>
                <w:szCs w:val="18"/>
                <w:highlight w:val="none"/>
                <w:shd w:val="clear" w:color="auto" w:fill="auto"/>
              </w:rPr>
            </w:pPr>
            <w:r>
              <w:rPr>
                <w:rFonts w:hint="eastAsia"/>
                <w:color w:val="auto"/>
                <w:sz w:val="18"/>
                <w:szCs w:val="18"/>
                <w:highlight w:val="none"/>
                <w:shd w:val="clear" w:color="auto" w:fill="auto"/>
              </w:rPr>
              <w:t>4、批发业</w:t>
            </w:r>
          </w:p>
        </w:tc>
        <w:tc>
          <w:tcPr>
            <w:tcW w:w="1343" w:type="dxa"/>
            <w:tcBorders>
              <w:top w:val="nil"/>
              <w:left w:val="nil"/>
              <w:bottom w:val="single" w:color="auto" w:sz="4" w:space="0"/>
              <w:right w:val="single" w:color="auto" w:sz="4" w:space="0"/>
            </w:tcBorders>
            <w:noWrap w:val="0"/>
            <w:vAlign w:val="center"/>
          </w:tcPr>
          <w:p w14:paraId="6B28DB0B">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20≤X＜200</w:t>
            </w:r>
          </w:p>
        </w:tc>
        <w:tc>
          <w:tcPr>
            <w:tcW w:w="1672" w:type="dxa"/>
            <w:tcBorders>
              <w:top w:val="nil"/>
              <w:left w:val="nil"/>
              <w:bottom w:val="single" w:color="auto" w:sz="4" w:space="0"/>
              <w:right w:val="single" w:color="auto" w:sz="4" w:space="0"/>
            </w:tcBorders>
            <w:noWrap w:val="0"/>
            <w:vAlign w:val="center"/>
          </w:tcPr>
          <w:p w14:paraId="43F6185D">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5000≤Y＜40000</w:t>
            </w:r>
          </w:p>
        </w:tc>
        <w:tc>
          <w:tcPr>
            <w:tcW w:w="1685" w:type="dxa"/>
            <w:tcBorders>
              <w:top w:val="nil"/>
              <w:left w:val="nil"/>
              <w:bottom w:val="single" w:color="auto" w:sz="4" w:space="0"/>
              <w:right w:val="single" w:color="auto" w:sz="8" w:space="0"/>
            </w:tcBorders>
            <w:noWrap w:val="0"/>
            <w:vAlign w:val="center"/>
          </w:tcPr>
          <w:p w14:paraId="333A8AB8">
            <w:pPr>
              <w:widowControl/>
              <w:autoSpaceDE/>
              <w:autoSpaceDN/>
              <w:spacing w:line="240" w:lineRule="auto"/>
              <w:jc w:val="center"/>
              <w:rPr>
                <w:rFonts w:hint="eastAsia"/>
                <w:color w:val="auto"/>
                <w:sz w:val="18"/>
                <w:szCs w:val="18"/>
                <w:highlight w:val="none"/>
                <w:shd w:val="clear" w:color="auto" w:fill="auto"/>
              </w:rPr>
            </w:pPr>
          </w:p>
        </w:tc>
        <w:tc>
          <w:tcPr>
            <w:tcW w:w="1329" w:type="dxa"/>
            <w:tcBorders>
              <w:top w:val="nil"/>
              <w:left w:val="nil"/>
              <w:bottom w:val="single" w:color="auto" w:sz="4" w:space="0"/>
              <w:right w:val="single" w:color="auto" w:sz="4" w:space="0"/>
            </w:tcBorders>
            <w:noWrap w:val="0"/>
            <w:vAlign w:val="center"/>
          </w:tcPr>
          <w:p w14:paraId="64C729F1">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5≤X＜20</w:t>
            </w:r>
          </w:p>
        </w:tc>
        <w:tc>
          <w:tcPr>
            <w:tcW w:w="1457" w:type="dxa"/>
            <w:tcBorders>
              <w:top w:val="nil"/>
              <w:left w:val="nil"/>
              <w:bottom w:val="single" w:color="auto" w:sz="4" w:space="0"/>
              <w:right w:val="single" w:color="auto" w:sz="4" w:space="0"/>
            </w:tcBorders>
            <w:noWrap w:val="0"/>
            <w:vAlign w:val="center"/>
          </w:tcPr>
          <w:p w14:paraId="434E6A08">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1000≤Y＜5000</w:t>
            </w:r>
          </w:p>
        </w:tc>
        <w:tc>
          <w:tcPr>
            <w:tcW w:w="1429" w:type="dxa"/>
            <w:tcBorders>
              <w:top w:val="nil"/>
              <w:left w:val="nil"/>
              <w:bottom w:val="single" w:color="auto" w:sz="4" w:space="0"/>
              <w:right w:val="single" w:color="auto" w:sz="8" w:space="0"/>
            </w:tcBorders>
            <w:noWrap w:val="0"/>
            <w:vAlign w:val="center"/>
          </w:tcPr>
          <w:p w14:paraId="7D39A260">
            <w:pPr>
              <w:widowControl/>
              <w:autoSpaceDE/>
              <w:autoSpaceDN/>
              <w:spacing w:line="240" w:lineRule="auto"/>
              <w:jc w:val="center"/>
              <w:rPr>
                <w:rFonts w:hint="eastAsia"/>
                <w:color w:val="auto"/>
                <w:sz w:val="18"/>
                <w:szCs w:val="18"/>
                <w:highlight w:val="none"/>
                <w:shd w:val="clear" w:color="auto" w:fill="auto"/>
              </w:rPr>
            </w:pPr>
          </w:p>
        </w:tc>
        <w:tc>
          <w:tcPr>
            <w:tcW w:w="1300" w:type="dxa"/>
            <w:tcBorders>
              <w:top w:val="nil"/>
              <w:left w:val="nil"/>
              <w:bottom w:val="single" w:color="auto" w:sz="4" w:space="0"/>
              <w:right w:val="single" w:color="auto" w:sz="4" w:space="0"/>
            </w:tcBorders>
            <w:noWrap w:val="0"/>
            <w:vAlign w:val="center"/>
          </w:tcPr>
          <w:p w14:paraId="66FD4FF8">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X＜5</w:t>
            </w:r>
          </w:p>
        </w:tc>
        <w:tc>
          <w:tcPr>
            <w:tcW w:w="1214" w:type="dxa"/>
            <w:tcBorders>
              <w:top w:val="nil"/>
              <w:left w:val="nil"/>
              <w:bottom w:val="single" w:color="auto" w:sz="4" w:space="0"/>
              <w:right w:val="single" w:color="auto" w:sz="4" w:space="0"/>
            </w:tcBorders>
            <w:noWrap w:val="0"/>
            <w:vAlign w:val="center"/>
          </w:tcPr>
          <w:p w14:paraId="534841D4">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Y＜1000</w:t>
            </w:r>
          </w:p>
        </w:tc>
        <w:tc>
          <w:tcPr>
            <w:tcW w:w="1087" w:type="dxa"/>
            <w:tcBorders>
              <w:top w:val="nil"/>
              <w:left w:val="nil"/>
              <w:bottom w:val="single" w:color="auto" w:sz="4" w:space="0"/>
              <w:right w:val="single" w:color="auto" w:sz="8" w:space="0"/>
            </w:tcBorders>
            <w:noWrap w:val="0"/>
            <w:vAlign w:val="center"/>
          </w:tcPr>
          <w:p w14:paraId="27245E52">
            <w:pPr>
              <w:widowControl/>
              <w:autoSpaceDE/>
              <w:autoSpaceDN/>
              <w:spacing w:line="240" w:lineRule="auto"/>
              <w:jc w:val="center"/>
              <w:rPr>
                <w:rFonts w:hint="eastAsia"/>
                <w:color w:val="auto"/>
                <w:sz w:val="18"/>
                <w:szCs w:val="18"/>
                <w:highlight w:val="none"/>
                <w:shd w:val="clear" w:color="auto" w:fill="auto"/>
              </w:rPr>
            </w:pPr>
          </w:p>
        </w:tc>
      </w:tr>
      <w:tr w14:paraId="43D5D2F4">
        <w:tblPrEx>
          <w:tblCellMar>
            <w:top w:w="0" w:type="dxa"/>
            <w:left w:w="108" w:type="dxa"/>
            <w:bottom w:w="0" w:type="dxa"/>
            <w:right w:w="108" w:type="dxa"/>
          </w:tblCellMar>
        </w:tblPrEx>
        <w:trPr>
          <w:trHeight w:val="360" w:hRule="atLeast"/>
          <w:jc w:val="center"/>
        </w:trPr>
        <w:tc>
          <w:tcPr>
            <w:tcW w:w="2046" w:type="dxa"/>
            <w:tcBorders>
              <w:top w:val="nil"/>
              <w:left w:val="single" w:color="auto" w:sz="8" w:space="0"/>
              <w:bottom w:val="single" w:color="auto" w:sz="4" w:space="0"/>
              <w:right w:val="single" w:color="auto" w:sz="8" w:space="0"/>
            </w:tcBorders>
            <w:noWrap w:val="0"/>
            <w:vAlign w:val="center"/>
          </w:tcPr>
          <w:p w14:paraId="3E15579E">
            <w:pPr>
              <w:widowControl/>
              <w:autoSpaceDE/>
              <w:autoSpaceDN/>
              <w:spacing w:line="240" w:lineRule="auto"/>
              <w:jc w:val="left"/>
              <w:rPr>
                <w:rFonts w:hint="eastAsia"/>
                <w:color w:val="auto"/>
                <w:sz w:val="18"/>
                <w:szCs w:val="18"/>
                <w:highlight w:val="none"/>
                <w:shd w:val="clear" w:color="auto" w:fill="auto"/>
              </w:rPr>
            </w:pPr>
            <w:r>
              <w:rPr>
                <w:rFonts w:hint="eastAsia"/>
                <w:color w:val="auto"/>
                <w:sz w:val="18"/>
                <w:szCs w:val="18"/>
                <w:highlight w:val="none"/>
                <w:shd w:val="clear" w:color="auto" w:fill="auto"/>
              </w:rPr>
              <w:t>5、零售业</w:t>
            </w:r>
          </w:p>
        </w:tc>
        <w:tc>
          <w:tcPr>
            <w:tcW w:w="1343" w:type="dxa"/>
            <w:tcBorders>
              <w:top w:val="nil"/>
              <w:left w:val="nil"/>
              <w:bottom w:val="single" w:color="auto" w:sz="4" w:space="0"/>
              <w:right w:val="single" w:color="auto" w:sz="4" w:space="0"/>
            </w:tcBorders>
            <w:noWrap w:val="0"/>
            <w:vAlign w:val="center"/>
          </w:tcPr>
          <w:p w14:paraId="29809FEB">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50≤X＜300</w:t>
            </w:r>
          </w:p>
        </w:tc>
        <w:tc>
          <w:tcPr>
            <w:tcW w:w="1672" w:type="dxa"/>
            <w:tcBorders>
              <w:top w:val="nil"/>
              <w:left w:val="nil"/>
              <w:bottom w:val="single" w:color="auto" w:sz="4" w:space="0"/>
              <w:right w:val="single" w:color="auto" w:sz="4" w:space="0"/>
            </w:tcBorders>
            <w:noWrap w:val="0"/>
            <w:vAlign w:val="center"/>
          </w:tcPr>
          <w:p w14:paraId="4F326A16">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500≤Y＜20000</w:t>
            </w:r>
          </w:p>
        </w:tc>
        <w:tc>
          <w:tcPr>
            <w:tcW w:w="1685" w:type="dxa"/>
            <w:tcBorders>
              <w:top w:val="nil"/>
              <w:left w:val="nil"/>
              <w:bottom w:val="single" w:color="auto" w:sz="4" w:space="0"/>
              <w:right w:val="single" w:color="auto" w:sz="8" w:space="0"/>
            </w:tcBorders>
            <w:noWrap w:val="0"/>
            <w:vAlign w:val="center"/>
          </w:tcPr>
          <w:p w14:paraId="095B2E04">
            <w:pPr>
              <w:widowControl/>
              <w:autoSpaceDE/>
              <w:autoSpaceDN/>
              <w:spacing w:line="240" w:lineRule="auto"/>
              <w:jc w:val="center"/>
              <w:rPr>
                <w:rFonts w:hint="eastAsia"/>
                <w:color w:val="auto"/>
                <w:sz w:val="18"/>
                <w:szCs w:val="18"/>
                <w:highlight w:val="none"/>
                <w:shd w:val="clear" w:color="auto" w:fill="auto"/>
              </w:rPr>
            </w:pPr>
          </w:p>
        </w:tc>
        <w:tc>
          <w:tcPr>
            <w:tcW w:w="1329" w:type="dxa"/>
            <w:tcBorders>
              <w:top w:val="nil"/>
              <w:left w:val="nil"/>
              <w:bottom w:val="single" w:color="auto" w:sz="4" w:space="0"/>
              <w:right w:val="single" w:color="auto" w:sz="4" w:space="0"/>
            </w:tcBorders>
            <w:noWrap w:val="0"/>
            <w:vAlign w:val="center"/>
          </w:tcPr>
          <w:p w14:paraId="0BD732A0">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10≤X＜50</w:t>
            </w:r>
          </w:p>
        </w:tc>
        <w:tc>
          <w:tcPr>
            <w:tcW w:w="1457" w:type="dxa"/>
            <w:tcBorders>
              <w:top w:val="nil"/>
              <w:left w:val="nil"/>
              <w:bottom w:val="single" w:color="auto" w:sz="4" w:space="0"/>
              <w:right w:val="single" w:color="auto" w:sz="4" w:space="0"/>
            </w:tcBorders>
            <w:noWrap w:val="0"/>
            <w:vAlign w:val="center"/>
          </w:tcPr>
          <w:p w14:paraId="453AAE98">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100≤Y＜500</w:t>
            </w:r>
          </w:p>
        </w:tc>
        <w:tc>
          <w:tcPr>
            <w:tcW w:w="1429" w:type="dxa"/>
            <w:tcBorders>
              <w:top w:val="nil"/>
              <w:left w:val="nil"/>
              <w:bottom w:val="single" w:color="auto" w:sz="4" w:space="0"/>
              <w:right w:val="single" w:color="auto" w:sz="8" w:space="0"/>
            </w:tcBorders>
            <w:noWrap w:val="0"/>
            <w:vAlign w:val="center"/>
          </w:tcPr>
          <w:p w14:paraId="00696607">
            <w:pPr>
              <w:widowControl/>
              <w:autoSpaceDE/>
              <w:autoSpaceDN/>
              <w:spacing w:line="240" w:lineRule="auto"/>
              <w:jc w:val="center"/>
              <w:rPr>
                <w:rFonts w:hint="eastAsia"/>
                <w:color w:val="auto"/>
                <w:sz w:val="18"/>
                <w:szCs w:val="18"/>
                <w:highlight w:val="none"/>
                <w:shd w:val="clear" w:color="auto" w:fill="auto"/>
              </w:rPr>
            </w:pPr>
          </w:p>
        </w:tc>
        <w:tc>
          <w:tcPr>
            <w:tcW w:w="1300" w:type="dxa"/>
            <w:tcBorders>
              <w:top w:val="nil"/>
              <w:left w:val="nil"/>
              <w:bottom w:val="single" w:color="auto" w:sz="4" w:space="0"/>
              <w:right w:val="single" w:color="auto" w:sz="4" w:space="0"/>
            </w:tcBorders>
            <w:noWrap w:val="0"/>
            <w:vAlign w:val="center"/>
          </w:tcPr>
          <w:p w14:paraId="75D87673">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X＜10</w:t>
            </w:r>
          </w:p>
        </w:tc>
        <w:tc>
          <w:tcPr>
            <w:tcW w:w="1214" w:type="dxa"/>
            <w:tcBorders>
              <w:top w:val="nil"/>
              <w:left w:val="nil"/>
              <w:bottom w:val="single" w:color="auto" w:sz="4" w:space="0"/>
              <w:right w:val="single" w:color="auto" w:sz="4" w:space="0"/>
            </w:tcBorders>
            <w:noWrap w:val="0"/>
            <w:vAlign w:val="center"/>
          </w:tcPr>
          <w:p w14:paraId="4A6E498D">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Y＜100</w:t>
            </w:r>
          </w:p>
        </w:tc>
        <w:tc>
          <w:tcPr>
            <w:tcW w:w="1087" w:type="dxa"/>
            <w:tcBorders>
              <w:top w:val="nil"/>
              <w:left w:val="nil"/>
              <w:bottom w:val="single" w:color="auto" w:sz="4" w:space="0"/>
              <w:right w:val="single" w:color="auto" w:sz="8" w:space="0"/>
            </w:tcBorders>
            <w:noWrap w:val="0"/>
            <w:vAlign w:val="center"/>
          </w:tcPr>
          <w:p w14:paraId="3D4D8E03">
            <w:pPr>
              <w:widowControl/>
              <w:autoSpaceDE/>
              <w:autoSpaceDN/>
              <w:spacing w:line="240" w:lineRule="auto"/>
              <w:jc w:val="center"/>
              <w:rPr>
                <w:rFonts w:hint="eastAsia"/>
                <w:color w:val="auto"/>
                <w:sz w:val="18"/>
                <w:szCs w:val="18"/>
                <w:highlight w:val="none"/>
                <w:shd w:val="clear" w:color="auto" w:fill="auto"/>
              </w:rPr>
            </w:pPr>
          </w:p>
        </w:tc>
      </w:tr>
      <w:tr w14:paraId="3786C77E">
        <w:tblPrEx>
          <w:tblCellMar>
            <w:top w:w="0" w:type="dxa"/>
            <w:left w:w="108" w:type="dxa"/>
            <w:bottom w:w="0" w:type="dxa"/>
            <w:right w:w="108" w:type="dxa"/>
          </w:tblCellMar>
        </w:tblPrEx>
        <w:trPr>
          <w:trHeight w:val="360" w:hRule="atLeast"/>
          <w:jc w:val="center"/>
        </w:trPr>
        <w:tc>
          <w:tcPr>
            <w:tcW w:w="2046" w:type="dxa"/>
            <w:tcBorders>
              <w:top w:val="nil"/>
              <w:left w:val="single" w:color="auto" w:sz="8" w:space="0"/>
              <w:bottom w:val="single" w:color="auto" w:sz="4" w:space="0"/>
              <w:right w:val="single" w:color="auto" w:sz="8" w:space="0"/>
            </w:tcBorders>
            <w:noWrap w:val="0"/>
            <w:vAlign w:val="center"/>
          </w:tcPr>
          <w:p w14:paraId="34A2546C">
            <w:pPr>
              <w:widowControl/>
              <w:autoSpaceDE/>
              <w:autoSpaceDN/>
              <w:spacing w:line="240" w:lineRule="auto"/>
              <w:jc w:val="left"/>
              <w:rPr>
                <w:rFonts w:hint="eastAsia"/>
                <w:color w:val="auto"/>
                <w:sz w:val="18"/>
                <w:szCs w:val="18"/>
                <w:highlight w:val="none"/>
                <w:shd w:val="clear" w:color="auto" w:fill="auto"/>
              </w:rPr>
            </w:pPr>
            <w:r>
              <w:rPr>
                <w:rFonts w:hint="eastAsia"/>
                <w:color w:val="auto"/>
                <w:sz w:val="18"/>
                <w:szCs w:val="18"/>
                <w:highlight w:val="none"/>
                <w:shd w:val="clear" w:color="auto" w:fill="auto"/>
              </w:rPr>
              <w:t>6、交通运输业</w:t>
            </w:r>
          </w:p>
        </w:tc>
        <w:tc>
          <w:tcPr>
            <w:tcW w:w="1343" w:type="dxa"/>
            <w:tcBorders>
              <w:top w:val="nil"/>
              <w:left w:val="nil"/>
              <w:bottom w:val="single" w:color="auto" w:sz="4" w:space="0"/>
              <w:right w:val="single" w:color="auto" w:sz="4" w:space="0"/>
            </w:tcBorders>
            <w:noWrap w:val="0"/>
            <w:vAlign w:val="center"/>
          </w:tcPr>
          <w:p w14:paraId="089B681A">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300≤X＜1000</w:t>
            </w:r>
          </w:p>
        </w:tc>
        <w:tc>
          <w:tcPr>
            <w:tcW w:w="1672" w:type="dxa"/>
            <w:tcBorders>
              <w:top w:val="nil"/>
              <w:left w:val="nil"/>
              <w:bottom w:val="single" w:color="auto" w:sz="4" w:space="0"/>
              <w:right w:val="single" w:color="auto" w:sz="4" w:space="0"/>
            </w:tcBorders>
            <w:noWrap w:val="0"/>
            <w:vAlign w:val="center"/>
          </w:tcPr>
          <w:p w14:paraId="14949A1F">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3000≤Y＜30000</w:t>
            </w:r>
          </w:p>
        </w:tc>
        <w:tc>
          <w:tcPr>
            <w:tcW w:w="1685" w:type="dxa"/>
            <w:tcBorders>
              <w:top w:val="nil"/>
              <w:left w:val="nil"/>
              <w:bottom w:val="single" w:color="auto" w:sz="4" w:space="0"/>
              <w:right w:val="single" w:color="auto" w:sz="8" w:space="0"/>
            </w:tcBorders>
            <w:noWrap w:val="0"/>
            <w:vAlign w:val="center"/>
          </w:tcPr>
          <w:p w14:paraId="6BB9BABB">
            <w:pPr>
              <w:widowControl/>
              <w:autoSpaceDE/>
              <w:autoSpaceDN/>
              <w:spacing w:line="240" w:lineRule="auto"/>
              <w:jc w:val="center"/>
              <w:rPr>
                <w:rFonts w:hint="eastAsia"/>
                <w:color w:val="auto"/>
                <w:sz w:val="18"/>
                <w:szCs w:val="18"/>
                <w:highlight w:val="none"/>
                <w:shd w:val="clear" w:color="auto" w:fill="auto"/>
              </w:rPr>
            </w:pPr>
          </w:p>
        </w:tc>
        <w:tc>
          <w:tcPr>
            <w:tcW w:w="1329" w:type="dxa"/>
            <w:tcBorders>
              <w:top w:val="nil"/>
              <w:left w:val="nil"/>
              <w:bottom w:val="single" w:color="auto" w:sz="4" w:space="0"/>
              <w:right w:val="single" w:color="auto" w:sz="4" w:space="0"/>
            </w:tcBorders>
            <w:noWrap w:val="0"/>
            <w:vAlign w:val="center"/>
          </w:tcPr>
          <w:p w14:paraId="1C3553A3">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20≤X＜300</w:t>
            </w:r>
          </w:p>
        </w:tc>
        <w:tc>
          <w:tcPr>
            <w:tcW w:w="1457" w:type="dxa"/>
            <w:tcBorders>
              <w:top w:val="nil"/>
              <w:left w:val="nil"/>
              <w:bottom w:val="single" w:color="auto" w:sz="4" w:space="0"/>
              <w:right w:val="single" w:color="auto" w:sz="4" w:space="0"/>
            </w:tcBorders>
            <w:noWrap w:val="0"/>
            <w:vAlign w:val="center"/>
          </w:tcPr>
          <w:p w14:paraId="5B2D9B7C">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200≤Y＜3000</w:t>
            </w:r>
          </w:p>
        </w:tc>
        <w:tc>
          <w:tcPr>
            <w:tcW w:w="1429" w:type="dxa"/>
            <w:tcBorders>
              <w:top w:val="nil"/>
              <w:left w:val="nil"/>
              <w:bottom w:val="single" w:color="auto" w:sz="4" w:space="0"/>
              <w:right w:val="single" w:color="auto" w:sz="8" w:space="0"/>
            </w:tcBorders>
            <w:noWrap w:val="0"/>
            <w:vAlign w:val="center"/>
          </w:tcPr>
          <w:p w14:paraId="0CE42EA7">
            <w:pPr>
              <w:widowControl/>
              <w:autoSpaceDE/>
              <w:autoSpaceDN/>
              <w:spacing w:line="240" w:lineRule="auto"/>
              <w:jc w:val="center"/>
              <w:rPr>
                <w:rFonts w:hint="eastAsia"/>
                <w:color w:val="auto"/>
                <w:sz w:val="18"/>
                <w:szCs w:val="18"/>
                <w:highlight w:val="none"/>
                <w:shd w:val="clear" w:color="auto" w:fill="auto"/>
              </w:rPr>
            </w:pPr>
          </w:p>
        </w:tc>
        <w:tc>
          <w:tcPr>
            <w:tcW w:w="1300" w:type="dxa"/>
            <w:tcBorders>
              <w:top w:val="nil"/>
              <w:left w:val="nil"/>
              <w:bottom w:val="single" w:color="auto" w:sz="4" w:space="0"/>
              <w:right w:val="single" w:color="auto" w:sz="4" w:space="0"/>
            </w:tcBorders>
            <w:noWrap w:val="0"/>
            <w:vAlign w:val="center"/>
          </w:tcPr>
          <w:p w14:paraId="74DF215A">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X＜20</w:t>
            </w:r>
          </w:p>
        </w:tc>
        <w:tc>
          <w:tcPr>
            <w:tcW w:w="1214" w:type="dxa"/>
            <w:tcBorders>
              <w:top w:val="nil"/>
              <w:left w:val="nil"/>
              <w:bottom w:val="single" w:color="auto" w:sz="4" w:space="0"/>
              <w:right w:val="single" w:color="auto" w:sz="4" w:space="0"/>
            </w:tcBorders>
            <w:noWrap w:val="0"/>
            <w:vAlign w:val="center"/>
          </w:tcPr>
          <w:p w14:paraId="22CB86E9">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V＜200</w:t>
            </w:r>
          </w:p>
        </w:tc>
        <w:tc>
          <w:tcPr>
            <w:tcW w:w="1087" w:type="dxa"/>
            <w:tcBorders>
              <w:top w:val="nil"/>
              <w:left w:val="nil"/>
              <w:bottom w:val="single" w:color="auto" w:sz="4" w:space="0"/>
              <w:right w:val="single" w:color="auto" w:sz="8" w:space="0"/>
            </w:tcBorders>
            <w:noWrap w:val="0"/>
            <w:vAlign w:val="center"/>
          </w:tcPr>
          <w:p w14:paraId="6C6568A2">
            <w:pPr>
              <w:widowControl/>
              <w:autoSpaceDE/>
              <w:autoSpaceDN/>
              <w:spacing w:line="240" w:lineRule="auto"/>
              <w:jc w:val="center"/>
              <w:rPr>
                <w:rFonts w:hint="eastAsia"/>
                <w:color w:val="auto"/>
                <w:sz w:val="18"/>
                <w:szCs w:val="18"/>
                <w:highlight w:val="none"/>
                <w:shd w:val="clear" w:color="auto" w:fill="auto"/>
              </w:rPr>
            </w:pPr>
          </w:p>
        </w:tc>
      </w:tr>
      <w:tr w14:paraId="4A192AFC">
        <w:tblPrEx>
          <w:tblCellMar>
            <w:top w:w="0" w:type="dxa"/>
            <w:left w:w="108" w:type="dxa"/>
            <w:bottom w:w="0" w:type="dxa"/>
            <w:right w:w="108" w:type="dxa"/>
          </w:tblCellMar>
        </w:tblPrEx>
        <w:trPr>
          <w:trHeight w:val="360" w:hRule="atLeast"/>
          <w:jc w:val="center"/>
        </w:trPr>
        <w:tc>
          <w:tcPr>
            <w:tcW w:w="2046" w:type="dxa"/>
            <w:tcBorders>
              <w:top w:val="nil"/>
              <w:left w:val="single" w:color="auto" w:sz="8" w:space="0"/>
              <w:bottom w:val="single" w:color="auto" w:sz="4" w:space="0"/>
              <w:right w:val="single" w:color="auto" w:sz="8" w:space="0"/>
            </w:tcBorders>
            <w:noWrap w:val="0"/>
            <w:vAlign w:val="center"/>
          </w:tcPr>
          <w:p w14:paraId="5B083FE5">
            <w:pPr>
              <w:widowControl/>
              <w:autoSpaceDE/>
              <w:autoSpaceDN/>
              <w:spacing w:line="240" w:lineRule="auto"/>
              <w:jc w:val="left"/>
              <w:rPr>
                <w:rFonts w:hint="eastAsia"/>
                <w:color w:val="auto"/>
                <w:sz w:val="18"/>
                <w:szCs w:val="18"/>
                <w:highlight w:val="none"/>
                <w:shd w:val="clear" w:color="auto" w:fill="auto"/>
              </w:rPr>
            </w:pPr>
            <w:r>
              <w:rPr>
                <w:rFonts w:hint="eastAsia"/>
                <w:color w:val="auto"/>
                <w:sz w:val="18"/>
                <w:szCs w:val="18"/>
                <w:highlight w:val="none"/>
                <w:shd w:val="clear" w:color="auto" w:fill="auto"/>
              </w:rPr>
              <w:t>7、仓储业</w:t>
            </w:r>
          </w:p>
        </w:tc>
        <w:tc>
          <w:tcPr>
            <w:tcW w:w="1343" w:type="dxa"/>
            <w:tcBorders>
              <w:top w:val="nil"/>
              <w:left w:val="nil"/>
              <w:bottom w:val="single" w:color="auto" w:sz="4" w:space="0"/>
              <w:right w:val="single" w:color="auto" w:sz="4" w:space="0"/>
            </w:tcBorders>
            <w:noWrap w:val="0"/>
            <w:vAlign w:val="center"/>
          </w:tcPr>
          <w:p w14:paraId="39AD7D50">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100≤X＜200</w:t>
            </w:r>
          </w:p>
        </w:tc>
        <w:tc>
          <w:tcPr>
            <w:tcW w:w="1672" w:type="dxa"/>
            <w:tcBorders>
              <w:top w:val="nil"/>
              <w:left w:val="nil"/>
              <w:bottom w:val="single" w:color="auto" w:sz="4" w:space="0"/>
              <w:right w:val="single" w:color="auto" w:sz="4" w:space="0"/>
            </w:tcBorders>
            <w:noWrap w:val="0"/>
            <w:vAlign w:val="center"/>
          </w:tcPr>
          <w:p w14:paraId="0BC993C3">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1000≤Y＜30000</w:t>
            </w:r>
          </w:p>
        </w:tc>
        <w:tc>
          <w:tcPr>
            <w:tcW w:w="1685" w:type="dxa"/>
            <w:tcBorders>
              <w:top w:val="nil"/>
              <w:left w:val="nil"/>
              <w:bottom w:val="single" w:color="auto" w:sz="4" w:space="0"/>
              <w:right w:val="single" w:color="auto" w:sz="8" w:space="0"/>
            </w:tcBorders>
            <w:noWrap w:val="0"/>
            <w:vAlign w:val="center"/>
          </w:tcPr>
          <w:p w14:paraId="7BF1124A">
            <w:pPr>
              <w:widowControl/>
              <w:autoSpaceDE/>
              <w:autoSpaceDN/>
              <w:spacing w:line="240" w:lineRule="auto"/>
              <w:jc w:val="center"/>
              <w:rPr>
                <w:rFonts w:hint="eastAsia"/>
                <w:color w:val="auto"/>
                <w:sz w:val="18"/>
                <w:szCs w:val="18"/>
                <w:highlight w:val="none"/>
                <w:shd w:val="clear" w:color="auto" w:fill="auto"/>
              </w:rPr>
            </w:pPr>
          </w:p>
        </w:tc>
        <w:tc>
          <w:tcPr>
            <w:tcW w:w="1329" w:type="dxa"/>
            <w:tcBorders>
              <w:top w:val="nil"/>
              <w:left w:val="nil"/>
              <w:bottom w:val="single" w:color="auto" w:sz="4" w:space="0"/>
              <w:right w:val="single" w:color="auto" w:sz="4" w:space="0"/>
            </w:tcBorders>
            <w:noWrap w:val="0"/>
            <w:vAlign w:val="center"/>
          </w:tcPr>
          <w:p w14:paraId="1B7A3351">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20≤X＜100</w:t>
            </w:r>
          </w:p>
        </w:tc>
        <w:tc>
          <w:tcPr>
            <w:tcW w:w="1457" w:type="dxa"/>
            <w:tcBorders>
              <w:top w:val="nil"/>
              <w:left w:val="nil"/>
              <w:bottom w:val="single" w:color="auto" w:sz="4" w:space="0"/>
              <w:right w:val="single" w:color="auto" w:sz="4" w:space="0"/>
            </w:tcBorders>
            <w:noWrap w:val="0"/>
            <w:vAlign w:val="center"/>
          </w:tcPr>
          <w:p w14:paraId="3B1265F0">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100≤Y＜1000</w:t>
            </w:r>
          </w:p>
        </w:tc>
        <w:tc>
          <w:tcPr>
            <w:tcW w:w="1429" w:type="dxa"/>
            <w:tcBorders>
              <w:top w:val="nil"/>
              <w:left w:val="nil"/>
              <w:bottom w:val="single" w:color="auto" w:sz="4" w:space="0"/>
              <w:right w:val="single" w:color="auto" w:sz="8" w:space="0"/>
            </w:tcBorders>
            <w:noWrap w:val="0"/>
            <w:vAlign w:val="center"/>
          </w:tcPr>
          <w:p w14:paraId="1BA8F39C">
            <w:pPr>
              <w:widowControl/>
              <w:autoSpaceDE/>
              <w:autoSpaceDN/>
              <w:spacing w:line="240" w:lineRule="auto"/>
              <w:jc w:val="center"/>
              <w:rPr>
                <w:rFonts w:hint="eastAsia"/>
                <w:color w:val="auto"/>
                <w:sz w:val="18"/>
                <w:szCs w:val="18"/>
                <w:highlight w:val="none"/>
                <w:shd w:val="clear" w:color="auto" w:fill="auto"/>
              </w:rPr>
            </w:pPr>
          </w:p>
        </w:tc>
        <w:tc>
          <w:tcPr>
            <w:tcW w:w="1300" w:type="dxa"/>
            <w:tcBorders>
              <w:top w:val="nil"/>
              <w:left w:val="nil"/>
              <w:bottom w:val="single" w:color="auto" w:sz="4" w:space="0"/>
              <w:right w:val="single" w:color="auto" w:sz="4" w:space="0"/>
            </w:tcBorders>
            <w:noWrap w:val="0"/>
            <w:vAlign w:val="center"/>
          </w:tcPr>
          <w:p w14:paraId="117438F8">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X＜20</w:t>
            </w:r>
          </w:p>
        </w:tc>
        <w:tc>
          <w:tcPr>
            <w:tcW w:w="1214" w:type="dxa"/>
            <w:tcBorders>
              <w:top w:val="nil"/>
              <w:left w:val="nil"/>
              <w:bottom w:val="single" w:color="auto" w:sz="4" w:space="0"/>
              <w:right w:val="single" w:color="auto" w:sz="4" w:space="0"/>
            </w:tcBorders>
            <w:noWrap w:val="0"/>
            <w:vAlign w:val="center"/>
          </w:tcPr>
          <w:p w14:paraId="4FB5B662">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Y＜100</w:t>
            </w:r>
          </w:p>
        </w:tc>
        <w:tc>
          <w:tcPr>
            <w:tcW w:w="1087" w:type="dxa"/>
            <w:tcBorders>
              <w:top w:val="nil"/>
              <w:left w:val="nil"/>
              <w:bottom w:val="single" w:color="auto" w:sz="4" w:space="0"/>
              <w:right w:val="single" w:color="auto" w:sz="8" w:space="0"/>
            </w:tcBorders>
            <w:noWrap w:val="0"/>
            <w:vAlign w:val="center"/>
          </w:tcPr>
          <w:p w14:paraId="21B88038">
            <w:pPr>
              <w:widowControl/>
              <w:autoSpaceDE/>
              <w:autoSpaceDN/>
              <w:spacing w:line="240" w:lineRule="auto"/>
              <w:jc w:val="center"/>
              <w:rPr>
                <w:rFonts w:hint="eastAsia"/>
                <w:color w:val="auto"/>
                <w:sz w:val="18"/>
                <w:szCs w:val="18"/>
                <w:highlight w:val="none"/>
                <w:shd w:val="clear" w:color="auto" w:fill="auto"/>
              </w:rPr>
            </w:pPr>
          </w:p>
        </w:tc>
      </w:tr>
      <w:tr w14:paraId="4937DAF7">
        <w:tblPrEx>
          <w:tblCellMar>
            <w:top w:w="0" w:type="dxa"/>
            <w:left w:w="108" w:type="dxa"/>
            <w:bottom w:w="0" w:type="dxa"/>
            <w:right w:w="108" w:type="dxa"/>
          </w:tblCellMar>
        </w:tblPrEx>
        <w:trPr>
          <w:trHeight w:val="360" w:hRule="atLeast"/>
          <w:jc w:val="center"/>
        </w:trPr>
        <w:tc>
          <w:tcPr>
            <w:tcW w:w="2046" w:type="dxa"/>
            <w:tcBorders>
              <w:top w:val="nil"/>
              <w:left w:val="single" w:color="auto" w:sz="8" w:space="0"/>
              <w:bottom w:val="single" w:color="auto" w:sz="4" w:space="0"/>
              <w:right w:val="single" w:color="auto" w:sz="8" w:space="0"/>
            </w:tcBorders>
            <w:noWrap w:val="0"/>
            <w:vAlign w:val="center"/>
          </w:tcPr>
          <w:p w14:paraId="53445E90">
            <w:pPr>
              <w:widowControl/>
              <w:autoSpaceDE/>
              <w:autoSpaceDN/>
              <w:spacing w:line="240" w:lineRule="auto"/>
              <w:jc w:val="left"/>
              <w:rPr>
                <w:rFonts w:hint="eastAsia"/>
                <w:color w:val="auto"/>
                <w:sz w:val="18"/>
                <w:szCs w:val="18"/>
                <w:highlight w:val="none"/>
                <w:shd w:val="clear" w:color="auto" w:fill="auto"/>
              </w:rPr>
            </w:pPr>
            <w:r>
              <w:rPr>
                <w:rFonts w:hint="eastAsia"/>
                <w:color w:val="auto"/>
                <w:sz w:val="18"/>
                <w:szCs w:val="18"/>
                <w:highlight w:val="none"/>
                <w:shd w:val="clear" w:color="auto" w:fill="auto"/>
              </w:rPr>
              <w:t>8、邮政业</w:t>
            </w:r>
          </w:p>
        </w:tc>
        <w:tc>
          <w:tcPr>
            <w:tcW w:w="1343" w:type="dxa"/>
            <w:tcBorders>
              <w:top w:val="nil"/>
              <w:left w:val="nil"/>
              <w:bottom w:val="single" w:color="auto" w:sz="4" w:space="0"/>
              <w:right w:val="single" w:color="auto" w:sz="4" w:space="0"/>
            </w:tcBorders>
            <w:noWrap w:val="0"/>
            <w:vAlign w:val="center"/>
          </w:tcPr>
          <w:p w14:paraId="4CF7DE4C">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300≤X＜1000</w:t>
            </w:r>
          </w:p>
        </w:tc>
        <w:tc>
          <w:tcPr>
            <w:tcW w:w="1672" w:type="dxa"/>
            <w:tcBorders>
              <w:top w:val="nil"/>
              <w:left w:val="nil"/>
              <w:bottom w:val="single" w:color="auto" w:sz="4" w:space="0"/>
              <w:right w:val="single" w:color="auto" w:sz="4" w:space="0"/>
            </w:tcBorders>
            <w:noWrap w:val="0"/>
            <w:vAlign w:val="center"/>
          </w:tcPr>
          <w:p w14:paraId="656B1CC0">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2000≤Y＜30000</w:t>
            </w:r>
          </w:p>
        </w:tc>
        <w:tc>
          <w:tcPr>
            <w:tcW w:w="1685" w:type="dxa"/>
            <w:tcBorders>
              <w:top w:val="nil"/>
              <w:left w:val="nil"/>
              <w:bottom w:val="single" w:color="auto" w:sz="4" w:space="0"/>
              <w:right w:val="single" w:color="auto" w:sz="8" w:space="0"/>
            </w:tcBorders>
            <w:noWrap w:val="0"/>
            <w:vAlign w:val="center"/>
          </w:tcPr>
          <w:p w14:paraId="7AF18935">
            <w:pPr>
              <w:widowControl/>
              <w:autoSpaceDE/>
              <w:autoSpaceDN/>
              <w:spacing w:line="240" w:lineRule="auto"/>
              <w:jc w:val="center"/>
              <w:rPr>
                <w:rFonts w:hint="eastAsia"/>
                <w:color w:val="auto"/>
                <w:sz w:val="18"/>
                <w:szCs w:val="18"/>
                <w:highlight w:val="none"/>
                <w:shd w:val="clear" w:color="auto" w:fill="auto"/>
              </w:rPr>
            </w:pPr>
          </w:p>
        </w:tc>
        <w:tc>
          <w:tcPr>
            <w:tcW w:w="1329" w:type="dxa"/>
            <w:tcBorders>
              <w:top w:val="nil"/>
              <w:left w:val="nil"/>
              <w:bottom w:val="single" w:color="auto" w:sz="4" w:space="0"/>
              <w:right w:val="single" w:color="auto" w:sz="4" w:space="0"/>
            </w:tcBorders>
            <w:noWrap w:val="0"/>
            <w:vAlign w:val="center"/>
          </w:tcPr>
          <w:p w14:paraId="3489A216">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20≤X＜300</w:t>
            </w:r>
          </w:p>
        </w:tc>
        <w:tc>
          <w:tcPr>
            <w:tcW w:w="1457" w:type="dxa"/>
            <w:tcBorders>
              <w:top w:val="nil"/>
              <w:left w:val="nil"/>
              <w:bottom w:val="single" w:color="auto" w:sz="4" w:space="0"/>
              <w:right w:val="single" w:color="auto" w:sz="4" w:space="0"/>
            </w:tcBorders>
            <w:noWrap w:val="0"/>
            <w:vAlign w:val="center"/>
          </w:tcPr>
          <w:p w14:paraId="7DCE6494">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100≤Y＜2000</w:t>
            </w:r>
          </w:p>
        </w:tc>
        <w:tc>
          <w:tcPr>
            <w:tcW w:w="1429" w:type="dxa"/>
            <w:tcBorders>
              <w:top w:val="nil"/>
              <w:left w:val="nil"/>
              <w:bottom w:val="single" w:color="auto" w:sz="4" w:space="0"/>
              <w:right w:val="single" w:color="auto" w:sz="8" w:space="0"/>
            </w:tcBorders>
            <w:noWrap w:val="0"/>
            <w:vAlign w:val="center"/>
          </w:tcPr>
          <w:p w14:paraId="7EADE855">
            <w:pPr>
              <w:widowControl/>
              <w:autoSpaceDE/>
              <w:autoSpaceDN/>
              <w:spacing w:line="240" w:lineRule="auto"/>
              <w:jc w:val="center"/>
              <w:rPr>
                <w:rFonts w:hint="eastAsia"/>
                <w:color w:val="auto"/>
                <w:sz w:val="18"/>
                <w:szCs w:val="18"/>
                <w:highlight w:val="none"/>
                <w:shd w:val="clear" w:color="auto" w:fill="auto"/>
              </w:rPr>
            </w:pPr>
          </w:p>
        </w:tc>
        <w:tc>
          <w:tcPr>
            <w:tcW w:w="1300" w:type="dxa"/>
            <w:tcBorders>
              <w:top w:val="nil"/>
              <w:left w:val="nil"/>
              <w:bottom w:val="single" w:color="auto" w:sz="4" w:space="0"/>
              <w:right w:val="single" w:color="auto" w:sz="4" w:space="0"/>
            </w:tcBorders>
            <w:noWrap w:val="0"/>
            <w:vAlign w:val="center"/>
          </w:tcPr>
          <w:p w14:paraId="4C4AED17">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X＜20</w:t>
            </w:r>
          </w:p>
        </w:tc>
        <w:tc>
          <w:tcPr>
            <w:tcW w:w="1214" w:type="dxa"/>
            <w:tcBorders>
              <w:top w:val="nil"/>
              <w:left w:val="nil"/>
              <w:bottom w:val="single" w:color="auto" w:sz="4" w:space="0"/>
              <w:right w:val="single" w:color="auto" w:sz="4" w:space="0"/>
            </w:tcBorders>
            <w:noWrap w:val="0"/>
            <w:vAlign w:val="center"/>
          </w:tcPr>
          <w:p w14:paraId="06EB8D6A">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Y＜100</w:t>
            </w:r>
          </w:p>
        </w:tc>
        <w:tc>
          <w:tcPr>
            <w:tcW w:w="1087" w:type="dxa"/>
            <w:tcBorders>
              <w:top w:val="nil"/>
              <w:left w:val="nil"/>
              <w:bottom w:val="single" w:color="auto" w:sz="4" w:space="0"/>
              <w:right w:val="single" w:color="auto" w:sz="8" w:space="0"/>
            </w:tcBorders>
            <w:noWrap w:val="0"/>
            <w:vAlign w:val="center"/>
          </w:tcPr>
          <w:p w14:paraId="05BB110C">
            <w:pPr>
              <w:widowControl/>
              <w:autoSpaceDE/>
              <w:autoSpaceDN/>
              <w:spacing w:line="240" w:lineRule="auto"/>
              <w:jc w:val="center"/>
              <w:rPr>
                <w:rFonts w:hint="eastAsia"/>
                <w:color w:val="auto"/>
                <w:sz w:val="18"/>
                <w:szCs w:val="18"/>
                <w:highlight w:val="none"/>
                <w:shd w:val="clear" w:color="auto" w:fill="auto"/>
              </w:rPr>
            </w:pPr>
          </w:p>
        </w:tc>
      </w:tr>
      <w:tr w14:paraId="27254D77">
        <w:tblPrEx>
          <w:tblCellMar>
            <w:top w:w="0" w:type="dxa"/>
            <w:left w:w="108" w:type="dxa"/>
            <w:bottom w:w="0" w:type="dxa"/>
            <w:right w:w="108" w:type="dxa"/>
          </w:tblCellMar>
        </w:tblPrEx>
        <w:trPr>
          <w:trHeight w:val="360" w:hRule="atLeast"/>
          <w:jc w:val="center"/>
        </w:trPr>
        <w:tc>
          <w:tcPr>
            <w:tcW w:w="2046" w:type="dxa"/>
            <w:tcBorders>
              <w:top w:val="nil"/>
              <w:left w:val="single" w:color="auto" w:sz="8" w:space="0"/>
              <w:bottom w:val="single" w:color="auto" w:sz="4" w:space="0"/>
              <w:right w:val="single" w:color="auto" w:sz="8" w:space="0"/>
            </w:tcBorders>
            <w:noWrap w:val="0"/>
            <w:vAlign w:val="center"/>
          </w:tcPr>
          <w:p w14:paraId="11A62474">
            <w:pPr>
              <w:widowControl/>
              <w:autoSpaceDE/>
              <w:autoSpaceDN/>
              <w:spacing w:line="240" w:lineRule="auto"/>
              <w:jc w:val="left"/>
              <w:rPr>
                <w:rFonts w:hint="eastAsia"/>
                <w:color w:val="auto"/>
                <w:sz w:val="18"/>
                <w:szCs w:val="18"/>
                <w:highlight w:val="none"/>
                <w:shd w:val="clear" w:color="auto" w:fill="auto"/>
              </w:rPr>
            </w:pPr>
            <w:r>
              <w:rPr>
                <w:rFonts w:hint="eastAsia"/>
                <w:color w:val="auto"/>
                <w:sz w:val="18"/>
                <w:szCs w:val="18"/>
                <w:highlight w:val="none"/>
                <w:shd w:val="clear" w:color="auto" w:fill="auto"/>
              </w:rPr>
              <w:t>9、住宿业</w:t>
            </w:r>
          </w:p>
        </w:tc>
        <w:tc>
          <w:tcPr>
            <w:tcW w:w="1343" w:type="dxa"/>
            <w:tcBorders>
              <w:top w:val="nil"/>
              <w:left w:val="nil"/>
              <w:bottom w:val="single" w:color="auto" w:sz="4" w:space="0"/>
              <w:right w:val="single" w:color="auto" w:sz="4" w:space="0"/>
            </w:tcBorders>
            <w:noWrap w:val="0"/>
            <w:vAlign w:val="center"/>
          </w:tcPr>
          <w:p w14:paraId="2DBA76CA">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100≤X＜300</w:t>
            </w:r>
          </w:p>
        </w:tc>
        <w:tc>
          <w:tcPr>
            <w:tcW w:w="1672" w:type="dxa"/>
            <w:tcBorders>
              <w:top w:val="nil"/>
              <w:left w:val="nil"/>
              <w:bottom w:val="single" w:color="auto" w:sz="4" w:space="0"/>
              <w:right w:val="single" w:color="auto" w:sz="4" w:space="0"/>
            </w:tcBorders>
            <w:noWrap w:val="0"/>
            <w:vAlign w:val="center"/>
          </w:tcPr>
          <w:p w14:paraId="7EBF2052">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2000≤Y＜10000</w:t>
            </w:r>
          </w:p>
        </w:tc>
        <w:tc>
          <w:tcPr>
            <w:tcW w:w="1685" w:type="dxa"/>
            <w:tcBorders>
              <w:top w:val="nil"/>
              <w:left w:val="nil"/>
              <w:bottom w:val="single" w:color="auto" w:sz="4" w:space="0"/>
              <w:right w:val="single" w:color="auto" w:sz="8" w:space="0"/>
            </w:tcBorders>
            <w:noWrap w:val="0"/>
            <w:vAlign w:val="center"/>
          </w:tcPr>
          <w:p w14:paraId="7C8DC902">
            <w:pPr>
              <w:widowControl/>
              <w:autoSpaceDE/>
              <w:autoSpaceDN/>
              <w:spacing w:line="240" w:lineRule="auto"/>
              <w:jc w:val="center"/>
              <w:rPr>
                <w:rFonts w:hint="eastAsia"/>
                <w:color w:val="auto"/>
                <w:sz w:val="18"/>
                <w:szCs w:val="18"/>
                <w:highlight w:val="none"/>
                <w:shd w:val="clear" w:color="auto" w:fill="auto"/>
              </w:rPr>
            </w:pPr>
          </w:p>
        </w:tc>
        <w:tc>
          <w:tcPr>
            <w:tcW w:w="1329" w:type="dxa"/>
            <w:tcBorders>
              <w:top w:val="nil"/>
              <w:left w:val="nil"/>
              <w:bottom w:val="single" w:color="auto" w:sz="4" w:space="0"/>
              <w:right w:val="single" w:color="auto" w:sz="4" w:space="0"/>
            </w:tcBorders>
            <w:noWrap w:val="0"/>
            <w:vAlign w:val="center"/>
          </w:tcPr>
          <w:p w14:paraId="49EB190D">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10≤X＜100</w:t>
            </w:r>
          </w:p>
        </w:tc>
        <w:tc>
          <w:tcPr>
            <w:tcW w:w="1457" w:type="dxa"/>
            <w:tcBorders>
              <w:top w:val="nil"/>
              <w:left w:val="nil"/>
              <w:bottom w:val="single" w:color="auto" w:sz="4" w:space="0"/>
              <w:right w:val="single" w:color="auto" w:sz="4" w:space="0"/>
            </w:tcBorders>
            <w:noWrap w:val="0"/>
            <w:vAlign w:val="center"/>
          </w:tcPr>
          <w:p w14:paraId="0AD1684B">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100≤Y＜2000</w:t>
            </w:r>
          </w:p>
        </w:tc>
        <w:tc>
          <w:tcPr>
            <w:tcW w:w="1429" w:type="dxa"/>
            <w:tcBorders>
              <w:top w:val="nil"/>
              <w:left w:val="nil"/>
              <w:bottom w:val="single" w:color="auto" w:sz="4" w:space="0"/>
              <w:right w:val="single" w:color="auto" w:sz="8" w:space="0"/>
            </w:tcBorders>
            <w:noWrap w:val="0"/>
            <w:vAlign w:val="center"/>
          </w:tcPr>
          <w:p w14:paraId="38D46026">
            <w:pPr>
              <w:widowControl/>
              <w:autoSpaceDE/>
              <w:autoSpaceDN/>
              <w:spacing w:line="240" w:lineRule="auto"/>
              <w:jc w:val="center"/>
              <w:rPr>
                <w:rFonts w:hint="eastAsia"/>
                <w:color w:val="auto"/>
                <w:sz w:val="18"/>
                <w:szCs w:val="18"/>
                <w:highlight w:val="none"/>
                <w:shd w:val="clear" w:color="auto" w:fill="auto"/>
              </w:rPr>
            </w:pPr>
          </w:p>
        </w:tc>
        <w:tc>
          <w:tcPr>
            <w:tcW w:w="1300" w:type="dxa"/>
            <w:tcBorders>
              <w:top w:val="nil"/>
              <w:left w:val="nil"/>
              <w:bottom w:val="single" w:color="auto" w:sz="4" w:space="0"/>
              <w:right w:val="single" w:color="auto" w:sz="4" w:space="0"/>
            </w:tcBorders>
            <w:noWrap w:val="0"/>
            <w:vAlign w:val="center"/>
          </w:tcPr>
          <w:p w14:paraId="558A7777">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X＜10</w:t>
            </w:r>
          </w:p>
        </w:tc>
        <w:tc>
          <w:tcPr>
            <w:tcW w:w="1214" w:type="dxa"/>
            <w:tcBorders>
              <w:top w:val="nil"/>
              <w:left w:val="nil"/>
              <w:bottom w:val="single" w:color="auto" w:sz="4" w:space="0"/>
              <w:right w:val="single" w:color="auto" w:sz="4" w:space="0"/>
            </w:tcBorders>
            <w:noWrap w:val="0"/>
            <w:vAlign w:val="center"/>
          </w:tcPr>
          <w:p w14:paraId="4BCE54D8">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Y＜100</w:t>
            </w:r>
          </w:p>
        </w:tc>
        <w:tc>
          <w:tcPr>
            <w:tcW w:w="1087" w:type="dxa"/>
            <w:tcBorders>
              <w:top w:val="nil"/>
              <w:left w:val="nil"/>
              <w:bottom w:val="single" w:color="auto" w:sz="4" w:space="0"/>
              <w:right w:val="single" w:color="auto" w:sz="8" w:space="0"/>
            </w:tcBorders>
            <w:noWrap w:val="0"/>
            <w:vAlign w:val="center"/>
          </w:tcPr>
          <w:p w14:paraId="38920EB3">
            <w:pPr>
              <w:widowControl/>
              <w:autoSpaceDE/>
              <w:autoSpaceDN/>
              <w:spacing w:line="240" w:lineRule="auto"/>
              <w:jc w:val="center"/>
              <w:rPr>
                <w:rFonts w:hint="eastAsia"/>
                <w:color w:val="auto"/>
                <w:sz w:val="18"/>
                <w:szCs w:val="18"/>
                <w:highlight w:val="none"/>
                <w:shd w:val="clear" w:color="auto" w:fill="auto"/>
              </w:rPr>
            </w:pPr>
          </w:p>
        </w:tc>
      </w:tr>
      <w:tr w14:paraId="73F12050">
        <w:tblPrEx>
          <w:tblCellMar>
            <w:top w:w="0" w:type="dxa"/>
            <w:left w:w="108" w:type="dxa"/>
            <w:bottom w:w="0" w:type="dxa"/>
            <w:right w:w="108" w:type="dxa"/>
          </w:tblCellMar>
        </w:tblPrEx>
        <w:trPr>
          <w:trHeight w:val="360" w:hRule="atLeast"/>
          <w:jc w:val="center"/>
        </w:trPr>
        <w:tc>
          <w:tcPr>
            <w:tcW w:w="2046" w:type="dxa"/>
            <w:tcBorders>
              <w:top w:val="nil"/>
              <w:left w:val="single" w:color="auto" w:sz="8" w:space="0"/>
              <w:bottom w:val="single" w:color="auto" w:sz="4" w:space="0"/>
              <w:right w:val="single" w:color="auto" w:sz="8" w:space="0"/>
            </w:tcBorders>
            <w:noWrap w:val="0"/>
            <w:vAlign w:val="center"/>
          </w:tcPr>
          <w:p w14:paraId="1704B32A">
            <w:pPr>
              <w:widowControl/>
              <w:autoSpaceDE/>
              <w:autoSpaceDN/>
              <w:spacing w:line="240" w:lineRule="auto"/>
              <w:jc w:val="left"/>
              <w:rPr>
                <w:rFonts w:hint="eastAsia"/>
                <w:color w:val="auto"/>
                <w:sz w:val="18"/>
                <w:szCs w:val="18"/>
                <w:highlight w:val="none"/>
                <w:shd w:val="clear" w:color="auto" w:fill="auto"/>
              </w:rPr>
            </w:pPr>
            <w:r>
              <w:rPr>
                <w:rFonts w:hint="eastAsia"/>
                <w:color w:val="auto"/>
                <w:sz w:val="18"/>
                <w:szCs w:val="18"/>
                <w:highlight w:val="none"/>
                <w:shd w:val="clear" w:color="auto" w:fill="auto"/>
              </w:rPr>
              <w:t>10、餐饮业</w:t>
            </w:r>
          </w:p>
        </w:tc>
        <w:tc>
          <w:tcPr>
            <w:tcW w:w="1343" w:type="dxa"/>
            <w:tcBorders>
              <w:top w:val="nil"/>
              <w:left w:val="nil"/>
              <w:bottom w:val="single" w:color="auto" w:sz="4" w:space="0"/>
              <w:right w:val="single" w:color="auto" w:sz="4" w:space="0"/>
            </w:tcBorders>
            <w:noWrap w:val="0"/>
            <w:vAlign w:val="center"/>
          </w:tcPr>
          <w:p w14:paraId="5CAF918A">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100≤X＜300</w:t>
            </w:r>
          </w:p>
        </w:tc>
        <w:tc>
          <w:tcPr>
            <w:tcW w:w="1672" w:type="dxa"/>
            <w:tcBorders>
              <w:top w:val="nil"/>
              <w:left w:val="nil"/>
              <w:bottom w:val="single" w:color="auto" w:sz="4" w:space="0"/>
              <w:right w:val="single" w:color="auto" w:sz="4" w:space="0"/>
            </w:tcBorders>
            <w:noWrap w:val="0"/>
            <w:vAlign w:val="center"/>
          </w:tcPr>
          <w:p w14:paraId="13CFC642">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2000≤Y＜10000</w:t>
            </w:r>
          </w:p>
        </w:tc>
        <w:tc>
          <w:tcPr>
            <w:tcW w:w="1685" w:type="dxa"/>
            <w:tcBorders>
              <w:top w:val="nil"/>
              <w:left w:val="nil"/>
              <w:bottom w:val="single" w:color="auto" w:sz="4" w:space="0"/>
              <w:right w:val="single" w:color="auto" w:sz="8" w:space="0"/>
            </w:tcBorders>
            <w:noWrap w:val="0"/>
            <w:vAlign w:val="center"/>
          </w:tcPr>
          <w:p w14:paraId="14FADBF4">
            <w:pPr>
              <w:widowControl/>
              <w:autoSpaceDE/>
              <w:autoSpaceDN/>
              <w:spacing w:line="240" w:lineRule="auto"/>
              <w:jc w:val="center"/>
              <w:rPr>
                <w:rFonts w:hint="eastAsia"/>
                <w:color w:val="auto"/>
                <w:sz w:val="18"/>
                <w:szCs w:val="18"/>
                <w:highlight w:val="none"/>
                <w:shd w:val="clear" w:color="auto" w:fill="auto"/>
              </w:rPr>
            </w:pPr>
          </w:p>
        </w:tc>
        <w:tc>
          <w:tcPr>
            <w:tcW w:w="1329" w:type="dxa"/>
            <w:tcBorders>
              <w:top w:val="nil"/>
              <w:left w:val="nil"/>
              <w:bottom w:val="single" w:color="auto" w:sz="4" w:space="0"/>
              <w:right w:val="single" w:color="auto" w:sz="4" w:space="0"/>
            </w:tcBorders>
            <w:noWrap w:val="0"/>
            <w:vAlign w:val="center"/>
          </w:tcPr>
          <w:p w14:paraId="79F8E14C">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10≤X＜100</w:t>
            </w:r>
          </w:p>
        </w:tc>
        <w:tc>
          <w:tcPr>
            <w:tcW w:w="1457" w:type="dxa"/>
            <w:tcBorders>
              <w:top w:val="nil"/>
              <w:left w:val="nil"/>
              <w:bottom w:val="single" w:color="auto" w:sz="4" w:space="0"/>
              <w:right w:val="single" w:color="auto" w:sz="4" w:space="0"/>
            </w:tcBorders>
            <w:noWrap w:val="0"/>
            <w:vAlign w:val="center"/>
          </w:tcPr>
          <w:p w14:paraId="44C332D4">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100≤Y＜2000</w:t>
            </w:r>
          </w:p>
        </w:tc>
        <w:tc>
          <w:tcPr>
            <w:tcW w:w="1429" w:type="dxa"/>
            <w:tcBorders>
              <w:top w:val="nil"/>
              <w:left w:val="nil"/>
              <w:bottom w:val="single" w:color="auto" w:sz="4" w:space="0"/>
              <w:right w:val="single" w:color="auto" w:sz="8" w:space="0"/>
            </w:tcBorders>
            <w:noWrap w:val="0"/>
            <w:vAlign w:val="center"/>
          </w:tcPr>
          <w:p w14:paraId="716D4AD6">
            <w:pPr>
              <w:widowControl/>
              <w:autoSpaceDE/>
              <w:autoSpaceDN/>
              <w:spacing w:line="240" w:lineRule="auto"/>
              <w:jc w:val="center"/>
              <w:rPr>
                <w:rFonts w:hint="eastAsia"/>
                <w:color w:val="auto"/>
                <w:sz w:val="18"/>
                <w:szCs w:val="18"/>
                <w:highlight w:val="none"/>
                <w:shd w:val="clear" w:color="auto" w:fill="auto"/>
              </w:rPr>
            </w:pPr>
          </w:p>
        </w:tc>
        <w:tc>
          <w:tcPr>
            <w:tcW w:w="1300" w:type="dxa"/>
            <w:tcBorders>
              <w:top w:val="nil"/>
              <w:left w:val="nil"/>
              <w:bottom w:val="single" w:color="auto" w:sz="4" w:space="0"/>
              <w:right w:val="single" w:color="auto" w:sz="4" w:space="0"/>
            </w:tcBorders>
            <w:noWrap w:val="0"/>
            <w:vAlign w:val="center"/>
          </w:tcPr>
          <w:p w14:paraId="0216C47F">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X＜10</w:t>
            </w:r>
          </w:p>
        </w:tc>
        <w:tc>
          <w:tcPr>
            <w:tcW w:w="1214" w:type="dxa"/>
            <w:tcBorders>
              <w:top w:val="nil"/>
              <w:left w:val="nil"/>
              <w:bottom w:val="single" w:color="auto" w:sz="4" w:space="0"/>
              <w:right w:val="single" w:color="auto" w:sz="4" w:space="0"/>
            </w:tcBorders>
            <w:noWrap w:val="0"/>
            <w:vAlign w:val="center"/>
          </w:tcPr>
          <w:p w14:paraId="58AEAA4B">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V＜100</w:t>
            </w:r>
          </w:p>
        </w:tc>
        <w:tc>
          <w:tcPr>
            <w:tcW w:w="1087" w:type="dxa"/>
            <w:tcBorders>
              <w:top w:val="nil"/>
              <w:left w:val="nil"/>
              <w:bottom w:val="single" w:color="auto" w:sz="4" w:space="0"/>
              <w:right w:val="single" w:color="auto" w:sz="8" w:space="0"/>
            </w:tcBorders>
            <w:noWrap w:val="0"/>
            <w:vAlign w:val="center"/>
          </w:tcPr>
          <w:p w14:paraId="3D77A82C">
            <w:pPr>
              <w:widowControl/>
              <w:autoSpaceDE/>
              <w:autoSpaceDN/>
              <w:spacing w:line="240" w:lineRule="auto"/>
              <w:jc w:val="center"/>
              <w:rPr>
                <w:rFonts w:hint="eastAsia"/>
                <w:color w:val="auto"/>
                <w:sz w:val="18"/>
                <w:szCs w:val="18"/>
                <w:highlight w:val="none"/>
                <w:shd w:val="clear" w:color="auto" w:fill="auto"/>
              </w:rPr>
            </w:pPr>
          </w:p>
        </w:tc>
      </w:tr>
      <w:tr w14:paraId="0ED26DC3">
        <w:tblPrEx>
          <w:tblCellMar>
            <w:top w:w="0" w:type="dxa"/>
            <w:left w:w="108" w:type="dxa"/>
            <w:bottom w:w="0" w:type="dxa"/>
            <w:right w:w="108" w:type="dxa"/>
          </w:tblCellMar>
        </w:tblPrEx>
        <w:trPr>
          <w:trHeight w:val="360" w:hRule="atLeast"/>
          <w:jc w:val="center"/>
        </w:trPr>
        <w:tc>
          <w:tcPr>
            <w:tcW w:w="2046" w:type="dxa"/>
            <w:tcBorders>
              <w:top w:val="nil"/>
              <w:left w:val="single" w:color="auto" w:sz="8" w:space="0"/>
              <w:bottom w:val="single" w:color="auto" w:sz="4" w:space="0"/>
              <w:right w:val="single" w:color="auto" w:sz="8" w:space="0"/>
            </w:tcBorders>
            <w:noWrap w:val="0"/>
            <w:vAlign w:val="center"/>
          </w:tcPr>
          <w:p w14:paraId="4A29A99E">
            <w:pPr>
              <w:widowControl/>
              <w:autoSpaceDE/>
              <w:autoSpaceDN/>
              <w:spacing w:line="240" w:lineRule="auto"/>
              <w:jc w:val="left"/>
              <w:rPr>
                <w:rFonts w:hint="eastAsia"/>
                <w:color w:val="auto"/>
                <w:sz w:val="18"/>
                <w:szCs w:val="18"/>
                <w:highlight w:val="none"/>
                <w:shd w:val="clear" w:color="auto" w:fill="auto"/>
              </w:rPr>
            </w:pPr>
            <w:r>
              <w:rPr>
                <w:rFonts w:hint="eastAsia"/>
                <w:color w:val="auto"/>
                <w:sz w:val="18"/>
                <w:szCs w:val="18"/>
                <w:highlight w:val="none"/>
                <w:shd w:val="clear" w:color="auto" w:fill="auto"/>
              </w:rPr>
              <w:t>11、信息传输业</w:t>
            </w:r>
          </w:p>
        </w:tc>
        <w:tc>
          <w:tcPr>
            <w:tcW w:w="1343" w:type="dxa"/>
            <w:tcBorders>
              <w:top w:val="nil"/>
              <w:left w:val="nil"/>
              <w:bottom w:val="single" w:color="auto" w:sz="4" w:space="0"/>
              <w:right w:val="single" w:color="auto" w:sz="4" w:space="0"/>
            </w:tcBorders>
            <w:noWrap w:val="0"/>
            <w:vAlign w:val="center"/>
          </w:tcPr>
          <w:p w14:paraId="7AEC78D4">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100≤X＜2000</w:t>
            </w:r>
          </w:p>
        </w:tc>
        <w:tc>
          <w:tcPr>
            <w:tcW w:w="1672" w:type="dxa"/>
            <w:tcBorders>
              <w:top w:val="nil"/>
              <w:left w:val="nil"/>
              <w:bottom w:val="single" w:color="auto" w:sz="4" w:space="0"/>
              <w:right w:val="single" w:color="auto" w:sz="4" w:space="0"/>
            </w:tcBorders>
            <w:noWrap w:val="0"/>
            <w:vAlign w:val="center"/>
          </w:tcPr>
          <w:p w14:paraId="4EF2EF96">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1000≤Y＜100000</w:t>
            </w:r>
          </w:p>
        </w:tc>
        <w:tc>
          <w:tcPr>
            <w:tcW w:w="1685" w:type="dxa"/>
            <w:tcBorders>
              <w:top w:val="nil"/>
              <w:left w:val="nil"/>
              <w:bottom w:val="single" w:color="auto" w:sz="4" w:space="0"/>
              <w:right w:val="single" w:color="auto" w:sz="8" w:space="0"/>
            </w:tcBorders>
            <w:noWrap w:val="0"/>
            <w:vAlign w:val="center"/>
          </w:tcPr>
          <w:p w14:paraId="57D4D7AF">
            <w:pPr>
              <w:widowControl/>
              <w:autoSpaceDE/>
              <w:autoSpaceDN/>
              <w:spacing w:line="240" w:lineRule="auto"/>
              <w:jc w:val="center"/>
              <w:rPr>
                <w:rFonts w:hint="eastAsia"/>
                <w:color w:val="auto"/>
                <w:sz w:val="18"/>
                <w:szCs w:val="18"/>
                <w:highlight w:val="none"/>
                <w:shd w:val="clear" w:color="auto" w:fill="auto"/>
              </w:rPr>
            </w:pPr>
          </w:p>
        </w:tc>
        <w:tc>
          <w:tcPr>
            <w:tcW w:w="1329" w:type="dxa"/>
            <w:tcBorders>
              <w:top w:val="nil"/>
              <w:left w:val="nil"/>
              <w:bottom w:val="single" w:color="auto" w:sz="4" w:space="0"/>
              <w:right w:val="single" w:color="auto" w:sz="4" w:space="0"/>
            </w:tcBorders>
            <w:noWrap w:val="0"/>
            <w:vAlign w:val="center"/>
          </w:tcPr>
          <w:p w14:paraId="7BECEC25">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10≤X＜100</w:t>
            </w:r>
          </w:p>
        </w:tc>
        <w:tc>
          <w:tcPr>
            <w:tcW w:w="1457" w:type="dxa"/>
            <w:tcBorders>
              <w:top w:val="nil"/>
              <w:left w:val="nil"/>
              <w:bottom w:val="single" w:color="auto" w:sz="4" w:space="0"/>
              <w:right w:val="single" w:color="auto" w:sz="4" w:space="0"/>
            </w:tcBorders>
            <w:noWrap w:val="0"/>
            <w:vAlign w:val="center"/>
          </w:tcPr>
          <w:p w14:paraId="354D13A8">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100≤Y＜1000</w:t>
            </w:r>
          </w:p>
        </w:tc>
        <w:tc>
          <w:tcPr>
            <w:tcW w:w="1429" w:type="dxa"/>
            <w:tcBorders>
              <w:top w:val="nil"/>
              <w:left w:val="nil"/>
              <w:bottom w:val="single" w:color="auto" w:sz="4" w:space="0"/>
              <w:right w:val="single" w:color="auto" w:sz="8" w:space="0"/>
            </w:tcBorders>
            <w:noWrap w:val="0"/>
            <w:vAlign w:val="center"/>
          </w:tcPr>
          <w:p w14:paraId="18AE2AA1">
            <w:pPr>
              <w:widowControl/>
              <w:autoSpaceDE/>
              <w:autoSpaceDN/>
              <w:spacing w:line="240" w:lineRule="auto"/>
              <w:jc w:val="center"/>
              <w:rPr>
                <w:rFonts w:hint="eastAsia"/>
                <w:color w:val="auto"/>
                <w:sz w:val="18"/>
                <w:szCs w:val="18"/>
                <w:highlight w:val="none"/>
                <w:shd w:val="clear" w:color="auto" w:fill="auto"/>
              </w:rPr>
            </w:pPr>
          </w:p>
        </w:tc>
        <w:tc>
          <w:tcPr>
            <w:tcW w:w="1300" w:type="dxa"/>
            <w:tcBorders>
              <w:top w:val="nil"/>
              <w:left w:val="nil"/>
              <w:bottom w:val="single" w:color="auto" w:sz="4" w:space="0"/>
              <w:right w:val="single" w:color="auto" w:sz="4" w:space="0"/>
            </w:tcBorders>
            <w:noWrap w:val="0"/>
            <w:vAlign w:val="center"/>
          </w:tcPr>
          <w:p w14:paraId="5D48B2DB">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X＜10</w:t>
            </w:r>
          </w:p>
        </w:tc>
        <w:tc>
          <w:tcPr>
            <w:tcW w:w="1214" w:type="dxa"/>
            <w:tcBorders>
              <w:top w:val="nil"/>
              <w:left w:val="nil"/>
              <w:bottom w:val="single" w:color="auto" w:sz="4" w:space="0"/>
              <w:right w:val="single" w:color="auto" w:sz="4" w:space="0"/>
            </w:tcBorders>
            <w:noWrap w:val="0"/>
            <w:vAlign w:val="center"/>
          </w:tcPr>
          <w:p w14:paraId="2FD755D7">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Y＜100</w:t>
            </w:r>
          </w:p>
        </w:tc>
        <w:tc>
          <w:tcPr>
            <w:tcW w:w="1087" w:type="dxa"/>
            <w:tcBorders>
              <w:top w:val="nil"/>
              <w:left w:val="nil"/>
              <w:bottom w:val="single" w:color="auto" w:sz="4" w:space="0"/>
              <w:right w:val="single" w:color="auto" w:sz="8" w:space="0"/>
            </w:tcBorders>
            <w:noWrap w:val="0"/>
            <w:vAlign w:val="center"/>
          </w:tcPr>
          <w:p w14:paraId="3DA973EA">
            <w:pPr>
              <w:widowControl/>
              <w:autoSpaceDE/>
              <w:autoSpaceDN/>
              <w:spacing w:line="240" w:lineRule="auto"/>
              <w:jc w:val="center"/>
              <w:rPr>
                <w:rFonts w:hint="eastAsia"/>
                <w:color w:val="auto"/>
                <w:sz w:val="18"/>
                <w:szCs w:val="18"/>
                <w:highlight w:val="none"/>
                <w:shd w:val="clear" w:color="auto" w:fill="auto"/>
              </w:rPr>
            </w:pPr>
          </w:p>
        </w:tc>
      </w:tr>
      <w:tr w14:paraId="05BC44AC">
        <w:tblPrEx>
          <w:tblCellMar>
            <w:top w:w="0" w:type="dxa"/>
            <w:left w:w="108" w:type="dxa"/>
            <w:bottom w:w="0" w:type="dxa"/>
            <w:right w:w="108" w:type="dxa"/>
          </w:tblCellMar>
        </w:tblPrEx>
        <w:trPr>
          <w:trHeight w:val="360" w:hRule="atLeast"/>
          <w:jc w:val="center"/>
        </w:trPr>
        <w:tc>
          <w:tcPr>
            <w:tcW w:w="2046" w:type="dxa"/>
            <w:tcBorders>
              <w:top w:val="nil"/>
              <w:left w:val="single" w:color="auto" w:sz="8" w:space="0"/>
              <w:bottom w:val="single" w:color="auto" w:sz="4" w:space="0"/>
              <w:right w:val="single" w:color="auto" w:sz="8" w:space="0"/>
            </w:tcBorders>
            <w:noWrap w:val="0"/>
            <w:vAlign w:val="center"/>
          </w:tcPr>
          <w:p w14:paraId="54E03E76">
            <w:pPr>
              <w:widowControl/>
              <w:autoSpaceDE/>
              <w:autoSpaceDN/>
              <w:spacing w:line="240" w:lineRule="auto"/>
              <w:jc w:val="left"/>
              <w:rPr>
                <w:rFonts w:hint="eastAsia"/>
                <w:color w:val="auto"/>
                <w:sz w:val="18"/>
                <w:szCs w:val="18"/>
                <w:highlight w:val="none"/>
                <w:shd w:val="clear" w:color="auto" w:fill="auto"/>
              </w:rPr>
            </w:pPr>
            <w:r>
              <w:rPr>
                <w:rFonts w:hint="eastAsia"/>
                <w:color w:val="auto"/>
                <w:sz w:val="18"/>
                <w:szCs w:val="18"/>
                <w:highlight w:val="none"/>
                <w:shd w:val="clear" w:color="auto" w:fill="auto"/>
              </w:rPr>
              <w:t>12、软件和信息技术服务业</w:t>
            </w:r>
          </w:p>
        </w:tc>
        <w:tc>
          <w:tcPr>
            <w:tcW w:w="1343" w:type="dxa"/>
            <w:tcBorders>
              <w:top w:val="nil"/>
              <w:left w:val="nil"/>
              <w:bottom w:val="single" w:color="auto" w:sz="4" w:space="0"/>
              <w:right w:val="single" w:color="auto" w:sz="4" w:space="0"/>
            </w:tcBorders>
            <w:noWrap w:val="0"/>
            <w:vAlign w:val="center"/>
          </w:tcPr>
          <w:p w14:paraId="2AF7747C">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100≤X＜300</w:t>
            </w:r>
          </w:p>
        </w:tc>
        <w:tc>
          <w:tcPr>
            <w:tcW w:w="1672" w:type="dxa"/>
            <w:tcBorders>
              <w:top w:val="nil"/>
              <w:left w:val="nil"/>
              <w:bottom w:val="single" w:color="auto" w:sz="4" w:space="0"/>
              <w:right w:val="single" w:color="auto" w:sz="4" w:space="0"/>
            </w:tcBorders>
            <w:noWrap w:val="0"/>
            <w:vAlign w:val="center"/>
          </w:tcPr>
          <w:p w14:paraId="2069CC01">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1000≤Y＜10000</w:t>
            </w:r>
          </w:p>
        </w:tc>
        <w:tc>
          <w:tcPr>
            <w:tcW w:w="1685" w:type="dxa"/>
            <w:tcBorders>
              <w:top w:val="nil"/>
              <w:left w:val="nil"/>
              <w:bottom w:val="single" w:color="auto" w:sz="4" w:space="0"/>
              <w:right w:val="single" w:color="auto" w:sz="8" w:space="0"/>
            </w:tcBorders>
            <w:noWrap w:val="0"/>
            <w:vAlign w:val="center"/>
          </w:tcPr>
          <w:p w14:paraId="2862B62F">
            <w:pPr>
              <w:widowControl/>
              <w:autoSpaceDE/>
              <w:autoSpaceDN/>
              <w:spacing w:line="240" w:lineRule="auto"/>
              <w:jc w:val="center"/>
              <w:rPr>
                <w:rFonts w:hint="eastAsia"/>
                <w:color w:val="auto"/>
                <w:sz w:val="18"/>
                <w:szCs w:val="18"/>
                <w:highlight w:val="none"/>
                <w:shd w:val="clear" w:color="auto" w:fill="auto"/>
              </w:rPr>
            </w:pPr>
          </w:p>
        </w:tc>
        <w:tc>
          <w:tcPr>
            <w:tcW w:w="1329" w:type="dxa"/>
            <w:tcBorders>
              <w:top w:val="nil"/>
              <w:left w:val="nil"/>
              <w:bottom w:val="single" w:color="auto" w:sz="4" w:space="0"/>
              <w:right w:val="single" w:color="auto" w:sz="4" w:space="0"/>
            </w:tcBorders>
            <w:noWrap w:val="0"/>
            <w:vAlign w:val="center"/>
          </w:tcPr>
          <w:p w14:paraId="1153CD4B">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10≤X＜100</w:t>
            </w:r>
          </w:p>
        </w:tc>
        <w:tc>
          <w:tcPr>
            <w:tcW w:w="1457" w:type="dxa"/>
            <w:tcBorders>
              <w:top w:val="nil"/>
              <w:left w:val="nil"/>
              <w:bottom w:val="single" w:color="auto" w:sz="4" w:space="0"/>
              <w:right w:val="single" w:color="auto" w:sz="4" w:space="0"/>
            </w:tcBorders>
            <w:noWrap w:val="0"/>
            <w:vAlign w:val="center"/>
          </w:tcPr>
          <w:p w14:paraId="07510960">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50≤Y＜1000</w:t>
            </w:r>
          </w:p>
        </w:tc>
        <w:tc>
          <w:tcPr>
            <w:tcW w:w="1429" w:type="dxa"/>
            <w:tcBorders>
              <w:top w:val="nil"/>
              <w:left w:val="nil"/>
              <w:bottom w:val="single" w:color="auto" w:sz="4" w:space="0"/>
              <w:right w:val="single" w:color="auto" w:sz="8" w:space="0"/>
            </w:tcBorders>
            <w:noWrap w:val="0"/>
            <w:vAlign w:val="center"/>
          </w:tcPr>
          <w:p w14:paraId="7328F3E0">
            <w:pPr>
              <w:widowControl/>
              <w:autoSpaceDE/>
              <w:autoSpaceDN/>
              <w:spacing w:line="240" w:lineRule="auto"/>
              <w:jc w:val="center"/>
              <w:rPr>
                <w:rFonts w:hint="eastAsia"/>
                <w:color w:val="auto"/>
                <w:sz w:val="18"/>
                <w:szCs w:val="18"/>
                <w:highlight w:val="none"/>
                <w:shd w:val="clear" w:color="auto" w:fill="auto"/>
              </w:rPr>
            </w:pPr>
          </w:p>
        </w:tc>
        <w:tc>
          <w:tcPr>
            <w:tcW w:w="1300" w:type="dxa"/>
            <w:tcBorders>
              <w:top w:val="nil"/>
              <w:left w:val="nil"/>
              <w:bottom w:val="single" w:color="auto" w:sz="4" w:space="0"/>
              <w:right w:val="single" w:color="auto" w:sz="4" w:space="0"/>
            </w:tcBorders>
            <w:noWrap w:val="0"/>
            <w:vAlign w:val="center"/>
          </w:tcPr>
          <w:p w14:paraId="44411FE2">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X＜10</w:t>
            </w:r>
          </w:p>
        </w:tc>
        <w:tc>
          <w:tcPr>
            <w:tcW w:w="1214" w:type="dxa"/>
            <w:tcBorders>
              <w:top w:val="nil"/>
              <w:left w:val="nil"/>
              <w:bottom w:val="single" w:color="auto" w:sz="4" w:space="0"/>
              <w:right w:val="single" w:color="auto" w:sz="4" w:space="0"/>
            </w:tcBorders>
            <w:noWrap w:val="0"/>
            <w:vAlign w:val="center"/>
          </w:tcPr>
          <w:p w14:paraId="4895901B">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Y＜50</w:t>
            </w:r>
          </w:p>
        </w:tc>
        <w:tc>
          <w:tcPr>
            <w:tcW w:w="1087" w:type="dxa"/>
            <w:tcBorders>
              <w:top w:val="nil"/>
              <w:left w:val="nil"/>
              <w:bottom w:val="single" w:color="auto" w:sz="4" w:space="0"/>
              <w:right w:val="single" w:color="auto" w:sz="8" w:space="0"/>
            </w:tcBorders>
            <w:noWrap w:val="0"/>
            <w:vAlign w:val="center"/>
          </w:tcPr>
          <w:p w14:paraId="78352D52">
            <w:pPr>
              <w:widowControl/>
              <w:autoSpaceDE/>
              <w:autoSpaceDN/>
              <w:spacing w:line="240" w:lineRule="auto"/>
              <w:jc w:val="center"/>
              <w:rPr>
                <w:rFonts w:hint="eastAsia"/>
                <w:color w:val="auto"/>
                <w:sz w:val="18"/>
                <w:szCs w:val="18"/>
                <w:highlight w:val="none"/>
                <w:shd w:val="clear" w:color="auto" w:fill="auto"/>
              </w:rPr>
            </w:pPr>
          </w:p>
        </w:tc>
      </w:tr>
      <w:tr w14:paraId="34F34AF5">
        <w:tblPrEx>
          <w:tblCellMar>
            <w:top w:w="0" w:type="dxa"/>
            <w:left w:w="108" w:type="dxa"/>
            <w:bottom w:w="0" w:type="dxa"/>
            <w:right w:w="108" w:type="dxa"/>
          </w:tblCellMar>
        </w:tblPrEx>
        <w:trPr>
          <w:trHeight w:val="360" w:hRule="atLeast"/>
          <w:jc w:val="center"/>
        </w:trPr>
        <w:tc>
          <w:tcPr>
            <w:tcW w:w="2046" w:type="dxa"/>
            <w:tcBorders>
              <w:top w:val="nil"/>
              <w:left w:val="single" w:color="auto" w:sz="8" w:space="0"/>
              <w:bottom w:val="single" w:color="auto" w:sz="4" w:space="0"/>
              <w:right w:val="single" w:color="auto" w:sz="8" w:space="0"/>
            </w:tcBorders>
            <w:noWrap w:val="0"/>
            <w:vAlign w:val="center"/>
          </w:tcPr>
          <w:p w14:paraId="7F0981DD">
            <w:pPr>
              <w:widowControl/>
              <w:autoSpaceDE/>
              <w:autoSpaceDN/>
              <w:spacing w:line="240" w:lineRule="auto"/>
              <w:jc w:val="left"/>
              <w:rPr>
                <w:rFonts w:hint="eastAsia"/>
                <w:color w:val="auto"/>
                <w:sz w:val="18"/>
                <w:szCs w:val="18"/>
                <w:highlight w:val="none"/>
                <w:shd w:val="clear" w:color="auto" w:fill="auto"/>
              </w:rPr>
            </w:pPr>
            <w:r>
              <w:rPr>
                <w:rFonts w:hint="eastAsia"/>
                <w:color w:val="auto"/>
                <w:sz w:val="18"/>
                <w:szCs w:val="18"/>
                <w:highlight w:val="none"/>
                <w:shd w:val="clear" w:color="auto" w:fill="auto"/>
              </w:rPr>
              <w:t>13、房地产开发经营</w:t>
            </w:r>
          </w:p>
        </w:tc>
        <w:tc>
          <w:tcPr>
            <w:tcW w:w="1343" w:type="dxa"/>
            <w:tcBorders>
              <w:top w:val="nil"/>
              <w:left w:val="nil"/>
              <w:bottom w:val="single" w:color="auto" w:sz="4" w:space="0"/>
              <w:right w:val="single" w:color="auto" w:sz="4" w:space="0"/>
            </w:tcBorders>
            <w:noWrap w:val="0"/>
            <w:vAlign w:val="center"/>
          </w:tcPr>
          <w:p w14:paraId="6476BD74">
            <w:pPr>
              <w:widowControl/>
              <w:autoSpaceDE/>
              <w:autoSpaceDN/>
              <w:spacing w:line="240" w:lineRule="auto"/>
              <w:jc w:val="center"/>
              <w:rPr>
                <w:rFonts w:hint="eastAsia"/>
                <w:color w:val="auto"/>
                <w:sz w:val="18"/>
                <w:szCs w:val="18"/>
                <w:highlight w:val="none"/>
                <w:shd w:val="clear" w:color="auto" w:fill="auto"/>
              </w:rPr>
            </w:pPr>
          </w:p>
        </w:tc>
        <w:tc>
          <w:tcPr>
            <w:tcW w:w="1672" w:type="dxa"/>
            <w:tcBorders>
              <w:top w:val="nil"/>
              <w:left w:val="nil"/>
              <w:bottom w:val="single" w:color="auto" w:sz="4" w:space="0"/>
              <w:right w:val="single" w:color="auto" w:sz="4" w:space="0"/>
            </w:tcBorders>
            <w:noWrap w:val="0"/>
            <w:vAlign w:val="center"/>
          </w:tcPr>
          <w:p w14:paraId="028A9E01">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1000≤Y＜200000</w:t>
            </w:r>
          </w:p>
        </w:tc>
        <w:tc>
          <w:tcPr>
            <w:tcW w:w="1685" w:type="dxa"/>
            <w:tcBorders>
              <w:top w:val="nil"/>
              <w:left w:val="nil"/>
              <w:bottom w:val="single" w:color="auto" w:sz="4" w:space="0"/>
              <w:right w:val="single" w:color="auto" w:sz="8" w:space="0"/>
            </w:tcBorders>
            <w:noWrap w:val="0"/>
            <w:vAlign w:val="center"/>
          </w:tcPr>
          <w:p w14:paraId="25184FE3">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5000≤Z＜10000</w:t>
            </w:r>
          </w:p>
        </w:tc>
        <w:tc>
          <w:tcPr>
            <w:tcW w:w="1329" w:type="dxa"/>
            <w:tcBorders>
              <w:top w:val="nil"/>
              <w:left w:val="nil"/>
              <w:bottom w:val="single" w:color="auto" w:sz="4" w:space="0"/>
              <w:right w:val="single" w:color="auto" w:sz="4" w:space="0"/>
            </w:tcBorders>
            <w:noWrap w:val="0"/>
            <w:vAlign w:val="center"/>
          </w:tcPr>
          <w:p w14:paraId="225493D6">
            <w:pPr>
              <w:widowControl/>
              <w:autoSpaceDE/>
              <w:autoSpaceDN/>
              <w:spacing w:line="240" w:lineRule="auto"/>
              <w:jc w:val="center"/>
              <w:rPr>
                <w:rFonts w:hint="eastAsia"/>
                <w:color w:val="auto"/>
                <w:sz w:val="18"/>
                <w:szCs w:val="18"/>
                <w:highlight w:val="none"/>
                <w:shd w:val="clear" w:color="auto" w:fill="auto"/>
              </w:rPr>
            </w:pPr>
          </w:p>
        </w:tc>
        <w:tc>
          <w:tcPr>
            <w:tcW w:w="1457" w:type="dxa"/>
            <w:tcBorders>
              <w:top w:val="nil"/>
              <w:left w:val="nil"/>
              <w:bottom w:val="single" w:color="auto" w:sz="4" w:space="0"/>
              <w:right w:val="single" w:color="auto" w:sz="4" w:space="0"/>
            </w:tcBorders>
            <w:noWrap w:val="0"/>
            <w:vAlign w:val="center"/>
          </w:tcPr>
          <w:p w14:paraId="268A3579">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100≤Y＜1000</w:t>
            </w:r>
          </w:p>
        </w:tc>
        <w:tc>
          <w:tcPr>
            <w:tcW w:w="1429" w:type="dxa"/>
            <w:tcBorders>
              <w:top w:val="nil"/>
              <w:left w:val="nil"/>
              <w:bottom w:val="single" w:color="auto" w:sz="4" w:space="0"/>
              <w:right w:val="single" w:color="auto" w:sz="8" w:space="0"/>
            </w:tcBorders>
            <w:noWrap w:val="0"/>
            <w:vAlign w:val="center"/>
          </w:tcPr>
          <w:p w14:paraId="406DDC8B">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2000≤Z＜5000</w:t>
            </w:r>
          </w:p>
        </w:tc>
        <w:tc>
          <w:tcPr>
            <w:tcW w:w="1300" w:type="dxa"/>
            <w:tcBorders>
              <w:top w:val="nil"/>
              <w:left w:val="nil"/>
              <w:bottom w:val="single" w:color="auto" w:sz="4" w:space="0"/>
              <w:right w:val="single" w:color="auto" w:sz="4" w:space="0"/>
            </w:tcBorders>
            <w:noWrap w:val="0"/>
            <w:vAlign w:val="center"/>
          </w:tcPr>
          <w:p w14:paraId="578F7180">
            <w:pPr>
              <w:widowControl/>
              <w:autoSpaceDE/>
              <w:autoSpaceDN/>
              <w:spacing w:line="240" w:lineRule="auto"/>
              <w:jc w:val="center"/>
              <w:rPr>
                <w:rFonts w:hint="eastAsia"/>
                <w:color w:val="auto"/>
                <w:sz w:val="18"/>
                <w:szCs w:val="18"/>
                <w:highlight w:val="none"/>
                <w:shd w:val="clear" w:color="auto" w:fill="auto"/>
              </w:rPr>
            </w:pPr>
          </w:p>
        </w:tc>
        <w:tc>
          <w:tcPr>
            <w:tcW w:w="1214" w:type="dxa"/>
            <w:tcBorders>
              <w:top w:val="nil"/>
              <w:left w:val="nil"/>
              <w:bottom w:val="single" w:color="auto" w:sz="4" w:space="0"/>
              <w:right w:val="single" w:color="auto" w:sz="4" w:space="0"/>
            </w:tcBorders>
            <w:noWrap w:val="0"/>
            <w:vAlign w:val="center"/>
          </w:tcPr>
          <w:p w14:paraId="105128A3">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Y＜100</w:t>
            </w:r>
          </w:p>
        </w:tc>
        <w:tc>
          <w:tcPr>
            <w:tcW w:w="1087" w:type="dxa"/>
            <w:tcBorders>
              <w:top w:val="nil"/>
              <w:left w:val="nil"/>
              <w:bottom w:val="single" w:color="auto" w:sz="4" w:space="0"/>
              <w:right w:val="single" w:color="auto" w:sz="8" w:space="0"/>
            </w:tcBorders>
            <w:noWrap w:val="0"/>
            <w:vAlign w:val="center"/>
          </w:tcPr>
          <w:p w14:paraId="6D4F8BA4">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Z＜2000</w:t>
            </w:r>
          </w:p>
        </w:tc>
      </w:tr>
      <w:tr w14:paraId="5145A192">
        <w:tblPrEx>
          <w:tblCellMar>
            <w:top w:w="0" w:type="dxa"/>
            <w:left w:w="108" w:type="dxa"/>
            <w:bottom w:w="0" w:type="dxa"/>
            <w:right w:w="108" w:type="dxa"/>
          </w:tblCellMar>
        </w:tblPrEx>
        <w:trPr>
          <w:trHeight w:val="360" w:hRule="atLeast"/>
          <w:jc w:val="center"/>
        </w:trPr>
        <w:tc>
          <w:tcPr>
            <w:tcW w:w="2046" w:type="dxa"/>
            <w:tcBorders>
              <w:top w:val="nil"/>
              <w:left w:val="single" w:color="auto" w:sz="8" w:space="0"/>
              <w:bottom w:val="single" w:color="auto" w:sz="4" w:space="0"/>
              <w:right w:val="single" w:color="auto" w:sz="8" w:space="0"/>
            </w:tcBorders>
            <w:noWrap w:val="0"/>
            <w:vAlign w:val="center"/>
          </w:tcPr>
          <w:p w14:paraId="0110D4ED">
            <w:pPr>
              <w:widowControl/>
              <w:autoSpaceDE/>
              <w:autoSpaceDN/>
              <w:spacing w:line="240" w:lineRule="auto"/>
              <w:jc w:val="left"/>
              <w:rPr>
                <w:rFonts w:hint="eastAsia"/>
                <w:color w:val="auto"/>
                <w:sz w:val="18"/>
                <w:szCs w:val="18"/>
                <w:highlight w:val="none"/>
                <w:shd w:val="clear" w:color="auto" w:fill="auto"/>
              </w:rPr>
            </w:pPr>
            <w:r>
              <w:rPr>
                <w:rFonts w:hint="eastAsia"/>
                <w:color w:val="auto"/>
                <w:sz w:val="18"/>
                <w:szCs w:val="18"/>
                <w:highlight w:val="none"/>
                <w:shd w:val="clear" w:color="auto" w:fill="auto"/>
              </w:rPr>
              <w:t>14、物业管理</w:t>
            </w:r>
          </w:p>
        </w:tc>
        <w:tc>
          <w:tcPr>
            <w:tcW w:w="1343" w:type="dxa"/>
            <w:tcBorders>
              <w:top w:val="nil"/>
              <w:left w:val="nil"/>
              <w:bottom w:val="single" w:color="auto" w:sz="4" w:space="0"/>
              <w:right w:val="single" w:color="auto" w:sz="4" w:space="0"/>
            </w:tcBorders>
            <w:noWrap w:val="0"/>
            <w:vAlign w:val="center"/>
          </w:tcPr>
          <w:p w14:paraId="5D4B571E">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300≤X＜1000</w:t>
            </w:r>
          </w:p>
        </w:tc>
        <w:tc>
          <w:tcPr>
            <w:tcW w:w="1672" w:type="dxa"/>
            <w:tcBorders>
              <w:top w:val="nil"/>
              <w:left w:val="nil"/>
              <w:bottom w:val="single" w:color="auto" w:sz="4" w:space="0"/>
              <w:right w:val="single" w:color="auto" w:sz="4" w:space="0"/>
            </w:tcBorders>
            <w:noWrap w:val="0"/>
            <w:vAlign w:val="center"/>
          </w:tcPr>
          <w:p w14:paraId="7BC43652">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1000≤Y＜5000</w:t>
            </w:r>
          </w:p>
        </w:tc>
        <w:tc>
          <w:tcPr>
            <w:tcW w:w="1685" w:type="dxa"/>
            <w:tcBorders>
              <w:top w:val="nil"/>
              <w:left w:val="nil"/>
              <w:bottom w:val="single" w:color="auto" w:sz="4" w:space="0"/>
              <w:right w:val="single" w:color="auto" w:sz="8" w:space="0"/>
            </w:tcBorders>
            <w:noWrap w:val="0"/>
            <w:vAlign w:val="center"/>
          </w:tcPr>
          <w:p w14:paraId="10EB4CD9">
            <w:pPr>
              <w:widowControl/>
              <w:autoSpaceDE/>
              <w:autoSpaceDN/>
              <w:spacing w:line="240" w:lineRule="auto"/>
              <w:jc w:val="center"/>
              <w:rPr>
                <w:rFonts w:hint="eastAsia"/>
                <w:color w:val="auto"/>
                <w:sz w:val="18"/>
                <w:szCs w:val="18"/>
                <w:highlight w:val="none"/>
                <w:shd w:val="clear" w:color="auto" w:fill="auto"/>
              </w:rPr>
            </w:pPr>
          </w:p>
        </w:tc>
        <w:tc>
          <w:tcPr>
            <w:tcW w:w="1329" w:type="dxa"/>
            <w:tcBorders>
              <w:top w:val="nil"/>
              <w:left w:val="nil"/>
              <w:bottom w:val="single" w:color="auto" w:sz="4" w:space="0"/>
              <w:right w:val="single" w:color="auto" w:sz="4" w:space="0"/>
            </w:tcBorders>
            <w:noWrap w:val="0"/>
            <w:vAlign w:val="center"/>
          </w:tcPr>
          <w:p w14:paraId="30597E79">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100≤X＜300</w:t>
            </w:r>
          </w:p>
        </w:tc>
        <w:tc>
          <w:tcPr>
            <w:tcW w:w="1457" w:type="dxa"/>
            <w:tcBorders>
              <w:top w:val="nil"/>
              <w:left w:val="nil"/>
              <w:bottom w:val="single" w:color="auto" w:sz="4" w:space="0"/>
              <w:right w:val="single" w:color="auto" w:sz="4" w:space="0"/>
            </w:tcBorders>
            <w:noWrap w:val="0"/>
            <w:vAlign w:val="center"/>
          </w:tcPr>
          <w:p w14:paraId="6EBEEA23">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500≤Y＜1000</w:t>
            </w:r>
          </w:p>
        </w:tc>
        <w:tc>
          <w:tcPr>
            <w:tcW w:w="1429" w:type="dxa"/>
            <w:tcBorders>
              <w:top w:val="nil"/>
              <w:left w:val="nil"/>
              <w:bottom w:val="single" w:color="auto" w:sz="4" w:space="0"/>
              <w:right w:val="single" w:color="auto" w:sz="8" w:space="0"/>
            </w:tcBorders>
            <w:noWrap w:val="0"/>
            <w:vAlign w:val="center"/>
          </w:tcPr>
          <w:p w14:paraId="7BF8BE2D">
            <w:pPr>
              <w:widowControl/>
              <w:autoSpaceDE/>
              <w:autoSpaceDN/>
              <w:spacing w:line="240" w:lineRule="auto"/>
              <w:jc w:val="center"/>
              <w:rPr>
                <w:rFonts w:hint="eastAsia"/>
                <w:color w:val="auto"/>
                <w:sz w:val="18"/>
                <w:szCs w:val="18"/>
                <w:highlight w:val="none"/>
                <w:shd w:val="clear" w:color="auto" w:fill="auto"/>
              </w:rPr>
            </w:pPr>
          </w:p>
        </w:tc>
        <w:tc>
          <w:tcPr>
            <w:tcW w:w="1300" w:type="dxa"/>
            <w:tcBorders>
              <w:top w:val="nil"/>
              <w:left w:val="nil"/>
              <w:bottom w:val="single" w:color="auto" w:sz="4" w:space="0"/>
              <w:right w:val="single" w:color="auto" w:sz="4" w:space="0"/>
            </w:tcBorders>
            <w:noWrap w:val="0"/>
            <w:vAlign w:val="center"/>
          </w:tcPr>
          <w:p w14:paraId="0F99753A">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X＜100</w:t>
            </w:r>
          </w:p>
        </w:tc>
        <w:tc>
          <w:tcPr>
            <w:tcW w:w="1214" w:type="dxa"/>
            <w:tcBorders>
              <w:top w:val="nil"/>
              <w:left w:val="nil"/>
              <w:bottom w:val="single" w:color="auto" w:sz="4" w:space="0"/>
              <w:right w:val="single" w:color="auto" w:sz="4" w:space="0"/>
            </w:tcBorders>
            <w:noWrap w:val="0"/>
            <w:vAlign w:val="center"/>
          </w:tcPr>
          <w:p w14:paraId="55DC09CF">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Y＜500</w:t>
            </w:r>
          </w:p>
        </w:tc>
        <w:tc>
          <w:tcPr>
            <w:tcW w:w="1087" w:type="dxa"/>
            <w:tcBorders>
              <w:top w:val="nil"/>
              <w:left w:val="nil"/>
              <w:bottom w:val="single" w:color="auto" w:sz="4" w:space="0"/>
              <w:right w:val="single" w:color="auto" w:sz="8" w:space="0"/>
            </w:tcBorders>
            <w:noWrap w:val="0"/>
            <w:vAlign w:val="center"/>
          </w:tcPr>
          <w:p w14:paraId="1543BE22">
            <w:pPr>
              <w:widowControl/>
              <w:autoSpaceDE/>
              <w:autoSpaceDN/>
              <w:spacing w:line="240" w:lineRule="auto"/>
              <w:jc w:val="center"/>
              <w:rPr>
                <w:rFonts w:hint="eastAsia"/>
                <w:color w:val="auto"/>
                <w:sz w:val="18"/>
                <w:szCs w:val="18"/>
                <w:highlight w:val="none"/>
                <w:shd w:val="clear" w:color="auto" w:fill="auto"/>
              </w:rPr>
            </w:pPr>
          </w:p>
        </w:tc>
      </w:tr>
      <w:tr w14:paraId="2A014C21">
        <w:tblPrEx>
          <w:tblCellMar>
            <w:top w:w="0" w:type="dxa"/>
            <w:left w:w="108" w:type="dxa"/>
            <w:bottom w:w="0" w:type="dxa"/>
            <w:right w:w="108" w:type="dxa"/>
          </w:tblCellMar>
        </w:tblPrEx>
        <w:trPr>
          <w:trHeight w:val="360" w:hRule="atLeast"/>
          <w:jc w:val="center"/>
        </w:trPr>
        <w:tc>
          <w:tcPr>
            <w:tcW w:w="2046" w:type="dxa"/>
            <w:tcBorders>
              <w:top w:val="nil"/>
              <w:left w:val="single" w:color="auto" w:sz="8" w:space="0"/>
              <w:bottom w:val="single" w:color="auto" w:sz="4" w:space="0"/>
              <w:right w:val="single" w:color="auto" w:sz="8" w:space="0"/>
            </w:tcBorders>
            <w:noWrap w:val="0"/>
            <w:vAlign w:val="center"/>
          </w:tcPr>
          <w:p w14:paraId="7C05F2D0">
            <w:pPr>
              <w:widowControl/>
              <w:autoSpaceDE/>
              <w:autoSpaceDN/>
              <w:spacing w:line="240" w:lineRule="auto"/>
              <w:jc w:val="left"/>
              <w:rPr>
                <w:rFonts w:hint="eastAsia"/>
                <w:color w:val="auto"/>
                <w:sz w:val="18"/>
                <w:szCs w:val="18"/>
                <w:highlight w:val="none"/>
                <w:shd w:val="clear" w:color="auto" w:fill="auto"/>
              </w:rPr>
            </w:pPr>
            <w:r>
              <w:rPr>
                <w:rFonts w:hint="eastAsia"/>
                <w:color w:val="auto"/>
                <w:sz w:val="18"/>
                <w:szCs w:val="18"/>
                <w:highlight w:val="none"/>
                <w:shd w:val="clear" w:color="auto" w:fill="auto"/>
              </w:rPr>
              <w:t>15、租赁和商务服务业</w:t>
            </w:r>
          </w:p>
        </w:tc>
        <w:tc>
          <w:tcPr>
            <w:tcW w:w="1343" w:type="dxa"/>
            <w:tcBorders>
              <w:top w:val="nil"/>
              <w:left w:val="nil"/>
              <w:bottom w:val="single" w:color="auto" w:sz="4" w:space="0"/>
              <w:right w:val="single" w:color="auto" w:sz="4" w:space="0"/>
            </w:tcBorders>
            <w:noWrap w:val="0"/>
            <w:vAlign w:val="center"/>
          </w:tcPr>
          <w:p w14:paraId="13F1C5D5">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100≤X＜300</w:t>
            </w:r>
          </w:p>
        </w:tc>
        <w:tc>
          <w:tcPr>
            <w:tcW w:w="1672" w:type="dxa"/>
            <w:tcBorders>
              <w:top w:val="nil"/>
              <w:left w:val="nil"/>
              <w:bottom w:val="single" w:color="auto" w:sz="4" w:space="0"/>
              <w:right w:val="single" w:color="auto" w:sz="4" w:space="0"/>
            </w:tcBorders>
            <w:noWrap w:val="0"/>
            <w:vAlign w:val="center"/>
          </w:tcPr>
          <w:p w14:paraId="21092CB1">
            <w:pPr>
              <w:widowControl/>
              <w:autoSpaceDE/>
              <w:autoSpaceDN/>
              <w:spacing w:line="240" w:lineRule="auto"/>
              <w:jc w:val="center"/>
              <w:rPr>
                <w:rFonts w:hint="eastAsia"/>
                <w:color w:val="auto"/>
                <w:sz w:val="18"/>
                <w:szCs w:val="18"/>
                <w:highlight w:val="none"/>
                <w:shd w:val="clear" w:color="auto" w:fill="auto"/>
              </w:rPr>
            </w:pPr>
          </w:p>
        </w:tc>
        <w:tc>
          <w:tcPr>
            <w:tcW w:w="1685" w:type="dxa"/>
            <w:tcBorders>
              <w:top w:val="nil"/>
              <w:left w:val="nil"/>
              <w:bottom w:val="single" w:color="auto" w:sz="4" w:space="0"/>
              <w:right w:val="single" w:color="auto" w:sz="8" w:space="0"/>
            </w:tcBorders>
            <w:noWrap w:val="0"/>
            <w:vAlign w:val="center"/>
          </w:tcPr>
          <w:p w14:paraId="4E33568E">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8000≤Z＜120000</w:t>
            </w:r>
          </w:p>
        </w:tc>
        <w:tc>
          <w:tcPr>
            <w:tcW w:w="1329" w:type="dxa"/>
            <w:tcBorders>
              <w:top w:val="nil"/>
              <w:left w:val="nil"/>
              <w:bottom w:val="single" w:color="auto" w:sz="4" w:space="0"/>
              <w:right w:val="single" w:color="auto" w:sz="4" w:space="0"/>
            </w:tcBorders>
            <w:noWrap w:val="0"/>
            <w:vAlign w:val="center"/>
          </w:tcPr>
          <w:p w14:paraId="19496B30">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10≤X＜100</w:t>
            </w:r>
          </w:p>
        </w:tc>
        <w:tc>
          <w:tcPr>
            <w:tcW w:w="1457" w:type="dxa"/>
            <w:tcBorders>
              <w:top w:val="nil"/>
              <w:left w:val="nil"/>
              <w:bottom w:val="single" w:color="auto" w:sz="4" w:space="0"/>
              <w:right w:val="single" w:color="auto" w:sz="4" w:space="0"/>
            </w:tcBorders>
            <w:noWrap w:val="0"/>
            <w:vAlign w:val="center"/>
          </w:tcPr>
          <w:p w14:paraId="03D60C65">
            <w:pPr>
              <w:widowControl/>
              <w:autoSpaceDE/>
              <w:autoSpaceDN/>
              <w:spacing w:line="240" w:lineRule="auto"/>
              <w:jc w:val="center"/>
              <w:rPr>
                <w:rFonts w:hint="eastAsia"/>
                <w:color w:val="auto"/>
                <w:sz w:val="18"/>
                <w:szCs w:val="18"/>
                <w:highlight w:val="none"/>
                <w:shd w:val="clear" w:color="auto" w:fill="auto"/>
              </w:rPr>
            </w:pPr>
          </w:p>
        </w:tc>
        <w:tc>
          <w:tcPr>
            <w:tcW w:w="1429" w:type="dxa"/>
            <w:tcBorders>
              <w:top w:val="nil"/>
              <w:left w:val="nil"/>
              <w:bottom w:val="single" w:color="auto" w:sz="4" w:space="0"/>
              <w:right w:val="single" w:color="auto" w:sz="8" w:space="0"/>
            </w:tcBorders>
            <w:noWrap w:val="0"/>
            <w:vAlign w:val="center"/>
          </w:tcPr>
          <w:p w14:paraId="19931767">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100≤Z＜8000</w:t>
            </w:r>
          </w:p>
        </w:tc>
        <w:tc>
          <w:tcPr>
            <w:tcW w:w="1300" w:type="dxa"/>
            <w:tcBorders>
              <w:top w:val="nil"/>
              <w:left w:val="nil"/>
              <w:bottom w:val="single" w:color="auto" w:sz="4" w:space="0"/>
              <w:right w:val="single" w:color="auto" w:sz="4" w:space="0"/>
            </w:tcBorders>
            <w:noWrap w:val="0"/>
            <w:vAlign w:val="center"/>
          </w:tcPr>
          <w:p w14:paraId="5FDCFE3D">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X＜10</w:t>
            </w:r>
          </w:p>
        </w:tc>
        <w:tc>
          <w:tcPr>
            <w:tcW w:w="1214" w:type="dxa"/>
            <w:tcBorders>
              <w:top w:val="nil"/>
              <w:left w:val="nil"/>
              <w:bottom w:val="single" w:color="auto" w:sz="4" w:space="0"/>
              <w:right w:val="single" w:color="auto" w:sz="4" w:space="0"/>
            </w:tcBorders>
            <w:noWrap w:val="0"/>
            <w:vAlign w:val="center"/>
          </w:tcPr>
          <w:p w14:paraId="77D90BAC">
            <w:pPr>
              <w:widowControl/>
              <w:autoSpaceDE/>
              <w:autoSpaceDN/>
              <w:spacing w:line="240" w:lineRule="auto"/>
              <w:jc w:val="center"/>
              <w:rPr>
                <w:rFonts w:hint="eastAsia"/>
                <w:color w:val="auto"/>
                <w:sz w:val="18"/>
                <w:szCs w:val="18"/>
                <w:highlight w:val="none"/>
                <w:shd w:val="clear" w:color="auto" w:fill="auto"/>
              </w:rPr>
            </w:pPr>
          </w:p>
        </w:tc>
        <w:tc>
          <w:tcPr>
            <w:tcW w:w="1087" w:type="dxa"/>
            <w:tcBorders>
              <w:top w:val="nil"/>
              <w:left w:val="nil"/>
              <w:bottom w:val="single" w:color="auto" w:sz="4" w:space="0"/>
              <w:right w:val="single" w:color="auto" w:sz="8" w:space="0"/>
            </w:tcBorders>
            <w:noWrap w:val="0"/>
            <w:vAlign w:val="center"/>
          </w:tcPr>
          <w:p w14:paraId="65A78C1F">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Z＜100</w:t>
            </w:r>
          </w:p>
        </w:tc>
      </w:tr>
      <w:tr w14:paraId="606F0C78">
        <w:tblPrEx>
          <w:tblCellMar>
            <w:top w:w="0" w:type="dxa"/>
            <w:left w:w="108" w:type="dxa"/>
            <w:bottom w:w="0" w:type="dxa"/>
            <w:right w:w="108" w:type="dxa"/>
          </w:tblCellMar>
        </w:tblPrEx>
        <w:trPr>
          <w:trHeight w:val="360" w:hRule="atLeast"/>
          <w:jc w:val="center"/>
        </w:trPr>
        <w:tc>
          <w:tcPr>
            <w:tcW w:w="2046" w:type="dxa"/>
            <w:tcBorders>
              <w:top w:val="nil"/>
              <w:left w:val="single" w:color="auto" w:sz="8" w:space="0"/>
              <w:bottom w:val="single" w:color="auto" w:sz="8" w:space="0"/>
              <w:right w:val="single" w:color="auto" w:sz="8" w:space="0"/>
            </w:tcBorders>
            <w:noWrap w:val="0"/>
            <w:vAlign w:val="center"/>
          </w:tcPr>
          <w:p w14:paraId="5C95F76D">
            <w:pPr>
              <w:widowControl/>
              <w:autoSpaceDE/>
              <w:autoSpaceDN/>
              <w:spacing w:line="240" w:lineRule="auto"/>
              <w:jc w:val="left"/>
              <w:rPr>
                <w:rFonts w:hint="eastAsia"/>
                <w:color w:val="auto"/>
                <w:sz w:val="18"/>
                <w:szCs w:val="18"/>
                <w:highlight w:val="none"/>
                <w:shd w:val="clear" w:color="auto" w:fill="auto"/>
              </w:rPr>
            </w:pPr>
            <w:r>
              <w:rPr>
                <w:rFonts w:hint="eastAsia"/>
                <w:color w:val="auto"/>
                <w:sz w:val="18"/>
                <w:szCs w:val="18"/>
                <w:highlight w:val="none"/>
                <w:shd w:val="clear" w:color="auto" w:fill="auto"/>
              </w:rPr>
              <w:t>16、其他未列明行业</w:t>
            </w:r>
          </w:p>
        </w:tc>
        <w:tc>
          <w:tcPr>
            <w:tcW w:w="1343" w:type="dxa"/>
            <w:tcBorders>
              <w:top w:val="nil"/>
              <w:left w:val="nil"/>
              <w:bottom w:val="single" w:color="auto" w:sz="8" w:space="0"/>
              <w:right w:val="single" w:color="auto" w:sz="4" w:space="0"/>
            </w:tcBorders>
            <w:noWrap w:val="0"/>
            <w:vAlign w:val="center"/>
          </w:tcPr>
          <w:p w14:paraId="33A83049">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100≤X＜300</w:t>
            </w:r>
          </w:p>
        </w:tc>
        <w:tc>
          <w:tcPr>
            <w:tcW w:w="1672" w:type="dxa"/>
            <w:tcBorders>
              <w:top w:val="nil"/>
              <w:left w:val="nil"/>
              <w:bottom w:val="single" w:color="auto" w:sz="8" w:space="0"/>
              <w:right w:val="single" w:color="auto" w:sz="4" w:space="0"/>
            </w:tcBorders>
            <w:noWrap w:val="0"/>
            <w:vAlign w:val="center"/>
          </w:tcPr>
          <w:p w14:paraId="22712145">
            <w:pPr>
              <w:widowControl/>
              <w:autoSpaceDE/>
              <w:autoSpaceDN/>
              <w:spacing w:line="240" w:lineRule="auto"/>
              <w:jc w:val="center"/>
              <w:rPr>
                <w:rFonts w:hint="eastAsia"/>
                <w:color w:val="auto"/>
                <w:sz w:val="18"/>
                <w:szCs w:val="18"/>
                <w:highlight w:val="none"/>
                <w:shd w:val="clear" w:color="auto" w:fill="auto"/>
              </w:rPr>
            </w:pPr>
          </w:p>
        </w:tc>
        <w:tc>
          <w:tcPr>
            <w:tcW w:w="1685" w:type="dxa"/>
            <w:tcBorders>
              <w:top w:val="nil"/>
              <w:left w:val="nil"/>
              <w:bottom w:val="single" w:color="auto" w:sz="8" w:space="0"/>
              <w:right w:val="single" w:color="auto" w:sz="8" w:space="0"/>
            </w:tcBorders>
            <w:noWrap w:val="0"/>
            <w:vAlign w:val="center"/>
          </w:tcPr>
          <w:p w14:paraId="38381665">
            <w:pPr>
              <w:widowControl/>
              <w:autoSpaceDE/>
              <w:autoSpaceDN/>
              <w:spacing w:line="240" w:lineRule="auto"/>
              <w:jc w:val="center"/>
              <w:rPr>
                <w:rFonts w:hint="eastAsia"/>
                <w:color w:val="auto"/>
                <w:sz w:val="18"/>
                <w:szCs w:val="18"/>
                <w:highlight w:val="none"/>
                <w:shd w:val="clear" w:color="auto" w:fill="auto"/>
              </w:rPr>
            </w:pPr>
          </w:p>
        </w:tc>
        <w:tc>
          <w:tcPr>
            <w:tcW w:w="1329" w:type="dxa"/>
            <w:tcBorders>
              <w:top w:val="nil"/>
              <w:left w:val="nil"/>
              <w:bottom w:val="single" w:color="auto" w:sz="8" w:space="0"/>
              <w:right w:val="single" w:color="auto" w:sz="4" w:space="0"/>
            </w:tcBorders>
            <w:noWrap w:val="0"/>
            <w:vAlign w:val="center"/>
          </w:tcPr>
          <w:p w14:paraId="18F27BD0">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10≤X＜100</w:t>
            </w:r>
          </w:p>
        </w:tc>
        <w:tc>
          <w:tcPr>
            <w:tcW w:w="1457" w:type="dxa"/>
            <w:tcBorders>
              <w:top w:val="nil"/>
              <w:left w:val="nil"/>
              <w:bottom w:val="single" w:color="auto" w:sz="8" w:space="0"/>
              <w:right w:val="single" w:color="auto" w:sz="4" w:space="0"/>
            </w:tcBorders>
            <w:noWrap w:val="0"/>
            <w:vAlign w:val="center"/>
          </w:tcPr>
          <w:p w14:paraId="7187EB2F">
            <w:pPr>
              <w:widowControl/>
              <w:autoSpaceDE/>
              <w:autoSpaceDN/>
              <w:spacing w:line="240" w:lineRule="auto"/>
              <w:jc w:val="center"/>
              <w:rPr>
                <w:rFonts w:hint="eastAsia"/>
                <w:color w:val="auto"/>
                <w:sz w:val="18"/>
                <w:szCs w:val="18"/>
                <w:highlight w:val="none"/>
                <w:shd w:val="clear" w:color="auto" w:fill="auto"/>
              </w:rPr>
            </w:pPr>
          </w:p>
        </w:tc>
        <w:tc>
          <w:tcPr>
            <w:tcW w:w="1429" w:type="dxa"/>
            <w:tcBorders>
              <w:top w:val="nil"/>
              <w:left w:val="nil"/>
              <w:bottom w:val="single" w:color="auto" w:sz="8" w:space="0"/>
              <w:right w:val="single" w:color="auto" w:sz="8" w:space="0"/>
            </w:tcBorders>
            <w:noWrap w:val="0"/>
            <w:vAlign w:val="center"/>
          </w:tcPr>
          <w:p w14:paraId="5AC099C6">
            <w:pPr>
              <w:widowControl/>
              <w:autoSpaceDE/>
              <w:autoSpaceDN/>
              <w:spacing w:line="240" w:lineRule="auto"/>
              <w:jc w:val="center"/>
              <w:rPr>
                <w:rFonts w:hint="eastAsia"/>
                <w:color w:val="auto"/>
                <w:sz w:val="18"/>
                <w:szCs w:val="18"/>
                <w:highlight w:val="none"/>
                <w:shd w:val="clear" w:color="auto" w:fill="auto"/>
              </w:rPr>
            </w:pPr>
          </w:p>
        </w:tc>
        <w:tc>
          <w:tcPr>
            <w:tcW w:w="1300" w:type="dxa"/>
            <w:tcBorders>
              <w:top w:val="nil"/>
              <w:left w:val="nil"/>
              <w:bottom w:val="single" w:color="auto" w:sz="8" w:space="0"/>
              <w:right w:val="single" w:color="auto" w:sz="4" w:space="0"/>
            </w:tcBorders>
            <w:noWrap w:val="0"/>
            <w:vAlign w:val="center"/>
          </w:tcPr>
          <w:p w14:paraId="1740681A">
            <w:pPr>
              <w:widowControl/>
              <w:autoSpaceDE/>
              <w:autoSpaceDN/>
              <w:spacing w:line="240" w:lineRule="auto"/>
              <w:jc w:val="center"/>
              <w:rPr>
                <w:rFonts w:hint="eastAsia"/>
                <w:color w:val="auto"/>
                <w:sz w:val="18"/>
                <w:szCs w:val="18"/>
                <w:highlight w:val="none"/>
                <w:shd w:val="clear" w:color="auto" w:fill="auto"/>
              </w:rPr>
            </w:pPr>
            <w:r>
              <w:rPr>
                <w:rFonts w:hint="eastAsia"/>
                <w:color w:val="auto"/>
                <w:sz w:val="18"/>
                <w:szCs w:val="18"/>
                <w:highlight w:val="none"/>
                <w:shd w:val="clear" w:color="auto" w:fill="auto"/>
              </w:rPr>
              <w:t>X＜10</w:t>
            </w:r>
          </w:p>
        </w:tc>
        <w:tc>
          <w:tcPr>
            <w:tcW w:w="1214" w:type="dxa"/>
            <w:tcBorders>
              <w:top w:val="nil"/>
              <w:left w:val="nil"/>
              <w:bottom w:val="single" w:color="auto" w:sz="8" w:space="0"/>
              <w:right w:val="single" w:color="auto" w:sz="4" w:space="0"/>
            </w:tcBorders>
            <w:noWrap w:val="0"/>
            <w:vAlign w:val="center"/>
          </w:tcPr>
          <w:p w14:paraId="292F13E3">
            <w:pPr>
              <w:widowControl/>
              <w:autoSpaceDE/>
              <w:autoSpaceDN/>
              <w:spacing w:line="240" w:lineRule="auto"/>
              <w:jc w:val="center"/>
              <w:rPr>
                <w:rFonts w:hint="eastAsia"/>
                <w:color w:val="auto"/>
                <w:sz w:val="18"/>
                <w:szCs w:val="18"/>
                <w:highlight w:val="none"/>
                <w:shd w:val="clear" w:color="auto" w:fill="auto"/>
              </w:rPr>
            </w:pPr>
          </w:p>
        </w:tc>
        <w:tc>
          <w:tcPr>
            <w:tcW w:w="1087" w:type="dxa"/>
            <w:tcBorders>
              <w:top w:val="nil"/>
              <w:left w:val="nil"/>
              <w:bottom w:val="single" w:color="auto" w:sz="8" w:space="0"/>
              <w:right w:val="single" w:color="auto" w:sz="8" w:space="0"/>
            </w:tcBorders>
            <w:noWrap w:val="0"/>
            <w:vAlign w:val="center"/>
          </w:tcPr>
          <w:p w14:paraId="1319F5A9">
            <w:pPr>
              <w:widowControl/>
              <w:autoSpaceDE/>
              <w:autoSpaceDN/>
              <w:spacing w:line="240" w:lineRule="auto"/>
              <w:jc w:val="center"/>
              <w:rPr>
                <w:rFonts w:hint="eastAsia"/>
                <w:color w:val="auto"/>
                <w:sz w:val="18"/>
                <w:szCs w:val="18"/>
                <w:highlight w:val="none"/>
                <w:shd w:val="clear" w:color="auto" w:fill="auto"/>
              </w:rPr>
            </w:pPr>
          </w:p>
        </w:tc>
      </w:tr>
      <w:tr w14:paraId="7F36F804">
        <w:tblPrEx>
          <w:tblCellMar>
            <w:top w:w="0" w:type="dxa"/>
            <w:left w:w="108" w:type="dxa"/>
            <w:bottom w:w="0" w:type="dxa"/>
            <w:right w:w="108" w:type="dxa"/>
          </w:tblCellMar>
        </w:tblPrEx>
        <w:trPr>
          <w:trHeight w:val="285" w:hRule="atLeast"/>
          <w:jc w:val="center"/>
        </w:trPr>
        <w:tc>
          <w:tcPr>
            <w:tcW w:w="14562" w:type="dxa"/>
            <w:gridSpan w:val="10"/>
            <w:tcBorders>
              <w:top w:val="nil"/>
              <w:left w:val="nil"/>
              <w:bottom w:val="nil"/>
              <w:right w:val="nil"/>
            </w:tcBorders>
            <w:noWrap w:val="0"/>
            <w:vAlign w:val="bottom"/>
          </w:tcPr>
          <w:p w14:paraId="5516261C">
            <w:pPr>
              <w:widowControl/>
              <w:rPr>
                <w:rFonts w:hint="eastAsia"/>
                <w:color w:val="auto"/>
                <w:sz w:val="18"/>
                <w:szCs w:val="18"/>
                <w:highlight w:val="none"/>
                <w:shd w:val="clear" w:color="auto" w:fill="auto"/>
              </w:rPr>
            </w:pPr>
            <w:r>
              <w:rPr>
                <w:rFonts w:hint="eastAsia"/>
                <w:color w:val="auto"/>
                <w:sz w:val="18"/>
                <w:szCs w:val="18"/>
                <w:highlight w:val="none"/>
                <w:shd w:val="clear" w:color="auto" w:fill="auto"/>
              </w:rPr>
              <w:t>说明　1、企业类型的划分以统计部门的统计数据为依据。</w:t>
            </w:r>
          </w:p>
          <w:p w14:paraId="3FC86B1E">
            <w:pPr>
              <w:widowControl/>
              <w:ind w:firstLine="540" w:firstLineChars="300"/>
              <w:rPr>
                <w:rFonts w:hint="eastAsia"/>
                <w:color w:val="auto"/>
                <w:sz w:val="18"/>
                <w:szCs w:val="18"/>
                <w:highlight w:val="none"/>
                <w:shd w:val="clear" w:color="auto" w:fill="auto"/>
              </w:rPr>
            </w:pPr>
            <w:r>
              <w:rPr>
                <w:rFonts w:hint="eastAsia"/>
                <w:color w:val="auto"/>
                <w:sz w:val="18"/>
                <w:szCs w:val="18"/>
                <w:highlight w:val="none"/>
                <w:shd w:val="clear" w:color="auto" w:fill="auto"/>
              </w:rPr>
              <w:t>2、个体工商户和本规定以外的行业，参照本规定进行划型。</w:t>
            </w:r>
          </w:p>
          <w:p w14:paraId="1AF59F5F">
            <w:pPr>
              <w:widowControl/>
              <w:ind w:firstLine="540" w:firstLineChars="300"/>
              <w:rPr>
                <w:rFonts w:hint="eastAsia"/>
                <w:color w:val="auto"/>
                <w:sz w:val="18"/>
                <w:szCs w:val="18"/>
                <w:highlight w:val="none"/>
                <w:shd w:val="clear" w:color="auto" w:fill="auto"/>
              </w:rPr>
            </w:pPr>
            <w:r>
              <w:rPr>
                <w:rFonts w:hint="eastAsia"/>
                <w:color w:val="auto"/>
                <w:sz w:val="18"/>
                <w:szCs w:val="18"/>
                <w:highlight w:val="none"/>
                <w:shd w:val="clear" w:color="auto" w:fill="auto"/>
              </w:rPr>
              <w:t>3、本规定的中型企业标准上限即为大型企业标准的下限。</w:t>
            </w:r>
          </w:p>
        </w:tc>
      </w:tr>
    </w:tbl>
    <w:p w14:paraId="31753C99">
      <w:pPr>
        <w:keepNext w:val="0"/>
        <w:keepLines w:val="0"/>
        <w:pageBreakBefore w:val="0"/>
        <w:widowControl w:val="0"/>
        <w:kinsoku/>
        <w:wordWrap/>
        <w:overflowPunct/>
        <w:topLinePunct w:val="0"/>
        <w:autoSpaceDE/>
        <w:autoSpaceDN/>
        <w:bidi w:val="0"/>
        <w:adjustRightInd w:val="0"/>
        <w:snapToGrid/>
        <w:spacing w:line="288" w:lineRule="auto"/>
        <w:ind w:right="420" w:firstLine="723" w:firstLineChars="300"/>
        <w:textAlignment w:val="auto"/>
        <w:outlineLvl w:val="9"/>
        <w:rPr>
          <w:rFonts w:hint="eastAsia" w:ascii="宋体" w:hAnsi="宋体" w:cs="宋体"/>
          <w:b/>
          <w:bCs/>
          <w:color w:val="auto"/>
          <w:sz w:val="24"/>
          <w:highlight w:val="none"/>
          <w:lang w:val="en-US" w:eastAsia="zh-CN"/>
        </w:rPr>
      </w:pPr>
    </w:p>
    <w:sectPr>
      <w:pgSz w:w="16838" w:h="11906" w:orient="landscape"/>
      <w:pgMar w:top="1418" w:right="1276" w:bottom="1418" w:left="124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712FD">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535E6">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FB535E6">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A05B">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A194E">
                          <w:pPr>
                            <w:pStyle w:val="4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D6A194E">
                    <w:pPr>
                      <w:pStyle w:val="4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1049B">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9F33">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DE99F33">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5000">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B10CC1">
                          <w:pPr>
                            <w:pStyle w:val="4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B10CC1">
                    <w:pPr>
                      <w:pStyle w:val="4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E97AD">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7BB74">
                          <w:pPr>
                            <w:pStyle w:val="4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647BB74">
                    <w:pPr>
                      <w:pStyle w:val="4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C602D">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B7B92">
                          <w:pPr>
                            <w:pStyle w:val="4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F6B7B92">
                    <w:pPr>
                      <w:pStyle w:val="4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153A8">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CA0DE">
                          <w:pPr>
                            <w:pStyle w:val="4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0FCA0DE">
                    <w:pPr>
                      <w:pStyle w:val="4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79599">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188D8">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0F188D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F311F">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1B36C">
                          <w:pPr>
                            <w:pStyle w:val="4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431B36C">
                    <w:pPr>
                      <w:pStyle w:val="4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C1D91">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1F649">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E81F649">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C8BBD">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0C642">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3229D">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B7F23">
    <w:pPr>
      <w:pStyle w:val="41"/>
      <w:rPr>
        <w:rFonts w:ascii="仿宋_GB2312" w:eastAsia="仿宋_GB2312"/>
        <w:b/>
        <w:i/>
        <w:u w:val="single"/>
      </w:rPr>
    </w:pPr>
    <w:r>
      <w:t></w:t>
    </w:r>
    <w:r>
      <w:rPr>
        <w:rFonts w:hint="eastAsia"/>
      </w:rPr>
      <w:t xml:space="preserve">                                               </w:t>
    </w:r>
    <w:r>
      <w:rPr>
        <w:rFonts w:hint="eastAsia"/>
        <w:lang w:val="en-US" w:eastAsia="zh-CN"/>
      </w:rPr>
      <w:t xml:space="preserve"> </w:t>
    </w:r>
    <w:r>
      <w:rPr>
        <w:rFonts w:hint="eastAsia"/>
      </w:rPr>
      <w:t xml:space="preserve">   </w:t>
    </w:r>
    <w:r>
      <w:t>政府采购公开招标文件</w:t>
    </w:r>
  </w:p>
  <w:p w14:paraId="0941FB44">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D8DF3">
    <w:pPr>
      <w:pStyle w:val="41"/>
      <w:jc w:val="right"/>
    </w:pPr>
    <w:r>
      <w:t></w:t>
    </w:r>
    <w:r>
      <w:rPr>
        <w:rFonts w:hint="eastAsia"/>
      </w:rPr>
      <w:t xml:space="preserve">                 </w:t>
    </w:r>
    <w:r>
      <w:t xml:space="preserve">                                </w:t>
    </w: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B4636">
    <w:pPr>
      <w:pStyle w:val="41"/>
      <w:jc w:val="right"/>
      <w:rPr>
        <w:rFonts w:hint="eastAsia"/>
      </w:rPr>
    </w:pPr>
    <w:r>
      <w:rPr>
        <w:rFonts w:hint="eastAsia"/>
      </w:rPr>
      <w:t xml:space="preserve">                                  </w:t>
    </w:r>
  </w:p>
  <w:p w14:paraId="1D9FAF06">
    <w:pPr>
      <w:pStyle w:val="41"/>
      <w:jc w:val="right"/>
      <w:rPr>
        <w:rFonts w:ascii="仿宋_GB2312" w:eastAsia="仿宋_GB2312"/>
        <w:b/>
        <w:i/>
        <w:u w:val="single"/>
      </w:rPr>
    </w:pPr>
    <w:r>
      <w:t>政府采购公开招标文件</w:t>
    </w:r>
  </w:p>
  <w:p w14:paraId="2806473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2C677">
    <w:pPr>
      <w:pStyle w:val="41"/>
      <w:jc w:val="right"/>
    </w:pPr>
    <w:r>
      <w:rPr>
        <w:rFonts w:hint="eastAsia"/>
      </w:rPr>
      <w:t xml:space="preserve">                                                                                                        </w:t>
    </w:r>
    <w:r>
      <w:rPr>
        <w:rFonts w:hint="eastAsia"/>
        <w:lang w:val="en-US" w:eastAsia="zh-CN"/>
      </w:rPr>
      <w:t>政</w:t>
    </w:r>
    <w:r>
      <w:t>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2646C">
    <w:pPr>
      <w:pStyle w:val="41"/>
      <w:jc w:val="right"/>
      <w:rPr>
        <w:rFonts w:ascii="仿宋_GB2312" w:eastAsia="仿宋_GB2312"/>
        <w:b/>
        <w:i/>
        <w:iCs/>
        <w:u w:val="single"/>
      </w:rPr>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57601">
    <w:pPr>
      <w:pStyle w:val="41"/>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35D463"/>
    <w:multiLevelType w:val="singleLevel"/>
    <w:tmpl w:val="3F35D463"/>
    <w:lvl w:ilvl="0" w:tentative="0">
      <w:start w:val="4"/>
      <w:numFmt w:val="chineseCounting"/>
      <w:suff w:val="space"/>
      <w:lvlText w:val="第%1部分"/>
      <w:lvlJc w:val="left"/>
      <w:rPr>
        <w:rFonts w:hint="eastAsia"/>
      </w:rPr>
    </w:lvl>
  </w:abstractNum>
  <w:abstractNum w:abstractNumId="1">
    <w:nsid w:val="6582C256"/>
    <w:multiLevelType w:val="singleLevel"/>
    <w:tmpl w:val="6582C256"/>
    <w:lvl w:ilvl="0" w:tentative="0">
      <w:start w:val="1"/>
      <w:numFmt w:val="chineseCounting"/>
      <w:pStyle w:val="968"/>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MWZiOWRlMTk0MzBjYTg0NWY0YjkzOWFjNDAyNmQ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37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0D56D1"/>
    <w:rsid w:val="011F6449"/>
    <w:rsid w:val="01236AFB"/>
    <w:rsid w:val="016D4D19"/>
    <w:rsid w:val="018E0D0D"/>
    <w:rsid w:val="019B53E2"/>
    <w:rsid w:val="019F7441"/>
    <w:rsid w:val="01B37585"/>
    <w:rsid w:val="01BD3BBD"/>
    <w:rsid w:val="01D55165"/>
    <w:rsid w:val="01DF6BF8"/>
    <w:rsid w:val="01EC2C57"/>
    <w:rsid w:val="025F0711"/>
    <w:rsid w:val="026B2E25"/>
    <w:rsid w:val="02703038"/>
    <w:rsid w:val="02824D4D"/>
    <w:rsid w:val="02AC677F"/>
    <w:rsid w:val="02DC4B10"/>
    <w:rsid w:val="02DD76CE"/>
    <w:rsid w:val="02F36323"/>
    <w:rsid w:val="02F5619C"/>
    <w:rsid w:val="02FD2E8D"/>
    <w:rsid w:val="0326446A"/>
    <w:rsid w:val="032D5555"/>
    <w:rsid w:val="036634D2"/>
    <w:rsid w:val="03DD35E4"/>
    <w:rsid w:val="04076900"/>
    <w:rsid w:val="04085328"/>
    <w:rsid w:val="041A5A3B"/>
    <w:rsid w:val="042311BA"/>
    <w:rsid w:val="042B157A"/>
    <w:rsid w:val="046D67FB"/>
    <w:rsid w:val="04753B9C"/>
    <w:rsid w:val="047A6B49"/>
    <w:rsid w:val="048F763B"/>
    <w:rsid w:val="049F330E"/>
    <w:rsid w:val="04AA31F6"/>
    <w:rsid w:val="04AA775C"/>
    <w:rsid w:val="04AF1889"/>
    <w:rsid w:val="04C258ED"/>
    <w:rsid w:val="04F66F48"/>
    <w:rsid w:val="05251E14"/>
    <w:rsid w:val="05A16594"/>
    <w:rsid w:val="05A7762D"/>
    <w:rsid w:val="05EA51C2"/>
    <w:rsid w:val="060E5941"/>
    <w:rsid w:val="06110FAF"/>
    <w:rsid w:val="064918BE"/>
    <w:rsid w:val="06493CA7"/>
    <w:rsid w:val="065A6178"/>
    <w:rsid w:val="066F1CF3"/>
    <w:rsid w:val="06930BB8"/>
    <w:rsid w:val="0721282E"/>
    <w:rsid w:val="07245D42"/>
    <w:rsid w:val="07264C62"/>
    <w:rsid w:val="07310D7F"/>
    <w:rsid w:val="0779354C"/>
    <w:rsid w:val="077C14E1"/>
    <w:rsid w:val="078400DD"/>
    <w:rsid w:val="07C57079"/>
    <w:rsid w:val="08061376"/>
    <w:rsid w:val="0823202C"/>
    <w:rsid w:val="08452D77"/>
    <w:rsid w:val="08604CC0"/>
    <w:rsid w:val="086401F8"/>
    <w:rsid w:val="08751CAA"/>
    <w:rsid w:val="087E4C40"/>
    <w:rsid w:val="08A871D0"/>
    <w:rsid w:val="08C95DA1"/>
    <w:rsid w:val="08D66AD6"/>
    <w:rsid w:val="08DA33A3"/>
    <w:rsid w:val="08E80F13"/>
    <w:rsid w:val="08FF340F"/>
    <w:rsid w:val="09335624"/>
    <w:rsid w:val="0944690F"/>
    <w:rsid w:val="09535675"/>
    <w:rsid w:val="095624FF"/>
    <w:rsid w:val="095F057D"/>
    <w:rsid w:val="09642282"/>
    <w:rsid w:val="09733572"/>
    <w:rsid w:val="09772C16"/>
    <w:rsid w:val="098353B5"/>
    <w:rsid w:val="09A92330"/>
    <w:rsid w:val="09B06B87"/>
    <w:rsid w:val="09C13146"/>
    <w:rsid w:val="09E04166"/>
    <w:rsid w:val="0A0A1722"/>
    <w:rsid w:val="0A1C0718"/>
    <w:rsid w:val="0A3E7710"/>
    <w:rsid w:val="0A5B7E63"/>
    <w:rsid w:val="0AA374A5"/>
    <w:rsid w:val="0AA56AB0"/>
    <w:rsid w:val="0AAB7649"/>
    <w:rsid w:val="0ABC5606"/>
    <w:rsid w:val="0B30404E"/>
    <w:rsid w:val="0B3D575C"/>
    <w:rsid w:val="0B4C6C14"/>
    <w:rsid w:val="0B510CC2"/>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C6E0C"/>
    <w:rsid w:val="0CAF1157"/>
    <w:rsid w:val="0CC007F7"/>
    <w:rsid w:val="0CC617AC"/>
    <w:rsid w:val="0CE618DF"/>
    <w:rsid w:val="0CFE707A"/>
    <w:rsid w:val="0D060A12"/>
    <w:rsid w:val="0D063BDA"/>
    <w:rsid w:val="0D08375F"/>
    <w:rsid w:val="0D184CFB"/>
    <w:rsid w:val="0D3715BC"/>
    <w:rsid w:val="0D4A7419"/>
    <w:rsid w:val="0D4C0A5C"/>
    <w:rsid w:val="0D827401"/>
    <w:rsid w:val="0D84094E"/>
    <w:rsid w:val="0D8A00E9"/>
    <w:rsid w:val="0D8D589E"/>
    <w:rsid w:val="0DA01C73"/>
    <w:rsid w:val="0DD63300"/>
    <w:rsid w:val="0DF50604"/>
    <w:rsid w:val="0DF702FE"/>
    <w:rsid w:val="0DF94527"/>
    <w:rsid w:val="0E060E51"/>
    <w:rsid w:val="0E5604B2"/>
    <w:rsid w:val="0E602003"/>
    <w:rsid w:val="0E6D5D79"/>
    <w:rsid w:val="0E9D0089"/>
    <w:rsid w:val="0EB803EE"/>
    <w:rsid w:val="0EF94D4B"/>
    <w:rsid w:val="0F182497"/>
    <w:rsid w:val="0F4958DC"/>
    <w:rsid w:val="0F515DF7"/>
    <w:rsid w:val="0F596BA8"/>
    <w:rsid w:val="0F6248D2"/>
    <w:rsid w:val="0F693536"/>
    <w:rsid w:val="0F7B0511"/>
    <w:rsid w:val="0F7B76D9"/>
    <w:rsid w:val="0F816ACD"/>
    <w:rsid w:val="0F9832DB"/>
    <w:rsid w:val="0FA934EF"/>
    <w:rsid w:val="0FBF3FD2"/>
    <w:rsid w:val="0FBF7FF3"/>
    <w:rsid w:val="0FFC6856"/>
    <w:rsid w:val="102D02A1"/>
    <w:rsid w:val="10646583"/>
    <w:rsid w:val="107D4B15"/>
    <w:rsid w:val="108A3C80"/>
    <w:rsid w:val="10C26171"/>
    <w:rsid w:val="10F33360"/>
    <w:rsid w:val="10FC16EA"/>
    <w:rsid w:val="110F1D40"/>
    <w:rsid w:val="11152178"/>
    <w:rsid w:val="111B6540"/>
    <w:rsid w:val="11266F33"/>
    <w:rsid w:val="118963A1"/>
    <w:rsid w:val="11C6522A"/>
    <w:rsid w:val="11E104CC"/>
    <w:rsid w:val="11E20309"/>
    <w:rsid w:val="11FA2385"/>
    <w:rsid w:val="12255233"/>
    <w:rsid w:val="12530213"/>
    <w:rsid w:val="127723A9"/>
    <w:rsid w:val="12862074"/>
    <w:rsid w:val="12883966"/>
    <w:rsid w:val="128B6680"/>
    <w:rsid w:val="129E45B4"/>
    <w:rsid w:val="12D81596"/>
    <w:rsid w:val="13072A44"/>
    <w:rsid w:val="135F4BE2"/>
    <w:rsid w:val="139B1A0A"/>
    <w:rsid w:val="139D25C7"/>
    <w:rsid w:val="13BF3CE4"/>
    <w:rsid w:val="141008D8"/>
    <w:rsid w:val="14125FE6"/>
    <w:rsid w:val="143E57C7"/>
    <w:rsid w:val="146D271E"/>
    <w:rsid w:val="14982588"/>
    <w:rsid w:val="149A5AD9"/>
    <w:rsid w:val="14A7619D"/>
    <w:rsid w:val="14B22D17"/>
    <w:rsid w:val="14DB7894"/>
    <w:rsid w:val="150536C3"/>
    <w:rsid w:val="150C1963"/>
    <w:rsid w:val="151447A0"/>
    <w:rsid w:val="154A6454"/>
    <w:rsid w:val="15762120"/>
    <w:rsid w:val="15F416F5"/>
    <w:rsid w:val="15F61834"/>
    <w:rsid w:val="16A8729C"/>
    <w:rsid w:val="16B33777"/>
    <w:rsid w:val="16BC70A7"/>
    <w:rsid w:val="16C6339E"/>
    <w:rsid w:val="16E86EC4"/>
    <w:rsid w:val="17260F0E"/>
    <w:rsid w:val="172F2D79"/>
    <w:rsid w:val="17557BEF"/>
    <w:rsid w:val="17B62FCE"/>
    <w:rsid w:val="17D349C1"/>
    <w:rsid w:val="17DA4A5F"/>
    <w:rsid w:val="17DD2B78"/>
    <w:rsid w:val="17EF786A"/>
    <w:rsid w:val="1830729E"/>
    <w:rsid w:val="1864152A"/>
    <w:rsid w:val="1870062C"/>
    <w:rsid w:val="18817102"/>
    <w:rsid w:val="18830A15"/>
    <w:rsid w:val="18852B28"/>
    <w:rsid w:val="188B5321"/>
    <w:rsid w:val="191001F6"/>
    <w:rsid w:val="193261D5"/>
    <w:rsid w:val="194667FA"/>
    <w:rsid w:val="19932372"/>
    <w:rsid w:val="19A20DD5"/>
    <w:rsid w:val="19AE03F1"/>
    <w:rsid w:val="19BA0C94"/>
    <w:rsid w:val="19E20FAE"/>
    <w:rsid w:val="19EC0A79"/>
    <w:rsid w:val="1A071A03"/>
    <w:rsid w:val="1A1F16AE"/>
    <w:rsid w:val="1A3B5C77"/>
    <w:rsid w:val="1A436AAB"/>
    <w:rsid w:val="1A78230D"/>
    <w:rsid w:val="1A8342DE"/>
    <w:rsid w:val="1A8A3DEE"/>
    <w:rsid w:val="1A984BAD"/>
    <w:rsid w:val="1AB8220E"/>
    <w:rsid w:val="1AE4166C"/>
    <w:rsid w:val="1AF06CFB"/>
    <w:rsid w:val="1AF11B8D"/>
    <w:rsid w:val="1B11359C"/>
    <w:rsid w:val="1B275F35"/>
    <w:rsid w:val="1B2A271F"/>
    <w:rsid w:val="1B530544"/>
    <w:rsid w:val="1B544CE3"/>
    <w:rsid w:val="1B713184"/>
    <w:rsid w:val="1B844BEA"/>
    <w:rsid w:val="1BA209CF"/>
    <w:rsid w:val="1BB4777D"/>
    <w:rsid w:val="1BD75AB8"/>
    <w:rsid w:val="1C0459C2"/>
    <w:rsid w:val="1C1B3B4A"/>
    <w:rsid w:val="1C88086E"/>
    <w:rsid w:val="1CFC1C64"/>
    <w:rsid w:val="1D242378"/>
    <w:rsid w:val="1D266CE1"/>
    <w:rsid w:val="1D3963AF"/>
    <w:rsid w:val="1D646B79"/>
    <w:rsid w:val="1D6A673C"/>
    <w:rsid w:val="1D7F3D64"/>
    <w:rsid w:val="1D9247AE"/>
    <w:rsid w:val="1DA014C7"/>
    <w:rsid w:val="1DB567EC"/>
    <w:rsid w:val="1DBC66D4"/>
    <w:rsid w:val="1DC702CA"/>
    <w:rsid w:val="1DF51A98"/>
    <w:rsid w:val="1E2A1362"/>
    <w:rsid w:val="1E361291"/>
    <w:rsid w:val="1E3D060F"/>
    <w:rsid w:val="1E3F7D2E"/>
    <w:rsid w:val="1E4134E4"/>
    <w:rsid w:val="1E451D0A"/>
    <w:rsid w:val="1E5062B3"/>
    <w:rsid w:val="1E523514"/>
    <w:rsid w:val="1E5C4616"/>
    <w:rsid w:val="1E714A66"/>
    <w:rsid w:val="1E802593"/>
    <w:rsid w:val="1E8B6156"/>
    <w:rsid w:val="1EA402FF"/>
    <w:rsid w:val="1EA703CC"/>
    <w:rsid w:val="1EB7330C"/>
    <w:rsid w:val="1EC43D73"/>
    <w:rsid w:val="1F0A0FF3"/>
    <w:rsid w:val="1F5771FF"/>
    <w:rsid w:val="1FC1466E"/>
    <w:rsid w:val="1FD52DD5"/>
    <w:rsid w:val="1FE868A9"/>
    <w:rsid w:val="20026785"/>
    <w:rsid w:val="20034907"/>
    <w:rsid w:val="20173E4B"/>
    <w:rsid w:val="201E1C07"/>
    <w:rsid w:val="20344555"/>
    <w:rsid w:val="204E48BC"/>
    <w:rsid w:val="208921B3"/>
    <w:rsid w:val="20973DEB"/>
    <w:rsid w:val="20B26522"/>
    <w:rsid w:val="20B44310"/>
    <w:rsid w:val="211116EB"/>
    <w:rsid w:val="212F27D1"/>
    <w:rsid w:val="215B41A3"/>
    <w:rsid w:val="216133FC"/>
    <w:rsid w:val="217F03DA"/>
    <w:rsid w:val="21D56769"/>
    <w:rsid w:val="21E52EF3"/>
    <w:rsid w:val="21FB5D7B"/>
    <w:rsid w:val="22015E94"/>
    <w:rsid w:val="220B1C3D"/>
    <w:rsid w:val="221D1D20"/>
    <w:rsid w:val="22334A87"/>
    <w:rsid w:val="22BE6801"/>
    <w:rsid w:val="23050561"/>
    <w:rsid w:val="233500BF"/>
    <w:rsid w:val="23377FF7"/>
    <w:rsid w:val="236B425F"/>
    <w:rsid w:val="23836192"/>
    <w:rsid w:val="23901F29"/>
    <w:rsid w:val="239C0061"/>
    <w:rsid w:val="23B908A4"/>
    <w:rsid w:val="23E95BEF"/>
    <w:rsid w:val="23FD0064"/>
    <w:rsid w:val="243E1388"/>
    <w:rsid w:val="244119C2"/>
    <w:rsid w:val="244F60E9"/>
    <w:rsid w:val="245375B0"/>
    <w:rsid w:val="24642C0A"/>
    <w:rsid w:val="24A26904"/>
    <w:rsid w:val="24B22173"/>
    <w:rsid w:val="24B95AD9"/>
    <w:rsid w:val="24BE24DA"/>
    <w:rsid w:val="24CF5825"/>
    <w:rsid w:val="24D663E6"/>
    <w:rsid w:val="24D77F2B"/>
    <w:rsid w:val="24E46F1D"/>
    <w:rsid w:val="258B00E2"/>
    <w:rsid w:val="259524B0"/>
    <w:rsid w:val="25A917A6"/>
    <w:rsid w:val="25BE27CC"/>
    <w:rsid w:val="25D30D3F"/>
    <w:rsid w:val="25F74A5C"/>
    <w:rsid w:val="2628662C"/>
    <w:rsid w:val="262D45DE"/>
    <w:rsid w:val="2650413E"/>
    <w:rsid w:val="26871DC8"/>
    <w:rsid w:val="26A53EF9"/>
    <w:rsid w:val="26A94201"/>
    <w:rsid w:val="26AC274F"/>
    <w:rsid w:val="26D11357"/>
    <w:rsid w:val="27044A29"/>
    <w:rsid w:val="271D34C8"/>
    <w:rsid w:val="276142BF"/>
    <w:rsid w:val="27783712"/>
    <w:rsid w:val="27907362"/>
    <w:rsid w:val="28333E1D"/>
    <w:rsid w:val="283F7071"/>
    <w:rsid w:val="28454BD6"/>
    <w:rsid w:val="28455253"/>
    <w:rsid w:val="28551971"/>
    <w:rsid w:val="285B1C53"/>
    <w:rsid w:val="289F7086"/>
    <w:rsid w:val="28B94DA8"/>
    <w:rsid w:val="28C32028"/>
    <w:rsid w:val="28C57FFD"/>
    <w:rsid w:val="28CC490F"/>
    <w:rsid w:val="28DE40AA"/>
    <w:rsid w:val="29332221"/>
    <w:rsid w:val="29345E77"/>
    <w:rsid w:val="294C65AD"/>
    <w:rsid w:val="29806583"/>
    <w:rsid w:val="2985594D"/>
    <w:rsid w:val="298B3C4C"/>
    <w:rsid w:val="29F26D24"/>
    <w:rsid w:val="2A15033F"/>
    <w:rsid w:val="2A1662C1"/>
    <w:rsid w:val="2A1C7367"/>
    <w:rsid w:val="2A2815FA"/>
    <w:rsid w:val="2A680492"/>
    <w:rsid w:val="2A6D6092"/>
    <w:rsid w:val="2A7D76B4"/>
    <w:rsid w:val="2A867443"/>
    <w:rsid w:val="2AD90BA6"/>
    <w:rsid w:val="2AEF599B"/>
    <w:rsid w:val="2B021058"/>
    <w:rsid w:val="2B0C0CF1"/>
    <w:rsid w:val="2B437463"/>
    <w:rsid w:val="2B7807EE"/>
    <w:rsid w:val="2BA1741D"/>
    <w:rsid w:val="2BA50BF7"/>
    <w:rsid w:val="2BBF00EC"/>
    <w:rsid w:val="2BC37CFD"/>
    <w:rsid w:val="2BD5237F"/>
    <w:rsid w:val="2BDA1A1F"/>
    <w:rsid w:val="2BE536CE"/>
    <w:rsid w:val="2BE758D9"/>
    <w:rsid w:val="2C09049E"/>
    <w:rsid w:val="2C0A653C"/>
    <w:rsid w:val="2C191F85"/>
    <w:rsid w:val="2C22136E"/>
    <w:rsid w:val="2CE82D6F"/>
    <w:rsid w:val="2D320A41"/>
    <w:rsid w:val="2D343236"/>
    <w:rsid w:val="2D5C23F2"/>
    <w:rsid w:val="2D9268DA"/>
    <w:rsid w:val="2DD15014"/>
    <w:rsid w:val="2DF72DE4"/>
    <w:rsid w:val="2E0220AF"/>
    <w:rsid w:val="2E4B082A"/>
    <w:rsid w:val="2E5D4E86"/>
    <w:rsid w:val="2E5D790B"/>
    <w:rsid w:val="2E8822E7"/>
    <w:rsid w:val="2E9A3C18"/>
    <w:rsid w:val="2EBB0FEE"/>
    <w:rsid w:val="2EC63002"/>
    <w:rsid w:val="2F0151B3"/>
    <w:rsid w:val="2F0A6B38"/>
    <w:rsid w:val="2F946CCB"/>
    <w:rsid w:val="2FD25781"/>
    <w:rsid w:val="2FDC745C"/>
    <w:rsid w:val="2FE54AD9"/>
    <w:rsid w:val="2FED0547"/>
    <w:rsid w:val="2FFD7934"/>
    <w:rsid w:val="30252E9E"/>
    <w:rsid w:val="306858AF"/>
    <w:rsid w:val="30733ACD"/>
    <w:rsid w:val="308C3862"/>
    <w:rsid w:val="309379D8"/>
    <w:rsid w:val="30A270F7"/>
    <w:rsid w:val="30DF1478"/>
    <w:rsid w:val="30DF4A3C"/>
    <w:rsid w:val="30EC586F"/>
    <w:rsid w:val="313C6C48"/>
    <w:rsid w:val="314550B7"/>
    <w:rsid w:val="31526A10"/>
    <w:rsid w:val="317629D6"/>
    <w:rsid w:val="319C6071"/>
    <w:rsid w:val="31AC537E"/>
    <w:rsid w:val="31D24182"/>
    <w:rsid w:val="31E3679B"/>
    <w:rsid w:val="31E732FD"/>
    <w:rsid w:val="32517576"/>
    <w:rsid w:val="32B0299D"/>
    <w:rsid w:val="32BE5C2C"/>
    <w:rsid w:val="32D878D0"/>
    <w:rsid w:val="32FB6478"/>
    <w:rsid w:val="33173F45"/>
    <w:rsid w:val="33263B3F"/>
    <w:rsid w:val="336963EB"/>
    <w:rsid w:val="33816EEB"/>
    <w:rsid w:val="33C16FE7"/>
    <w:rsid w:val="33E347C2"/>
    <w:rsid w:val="33EB55CD"/>
    <w:rsid w:val="33EC4C02"/>
    <w:rsid w:val="340D2360"/>
    <w:rsid w:val="3410665D"/>
    <w:rsid w:val="34211214"/>
    <w:rsid w:val="342E63AB"/>
    <w:rsid w:val="34950E68"/>
    <w:rsid w:val="34986E94"/>
    <w:rsid w:val="34AF62C9"/>
    <w:rsid w:val="34CB4388"/>
    <w:rsid w:val="34E41256"/>
    <w:rsid w:val="34FA6E12"/>
    <w:rsid w:val="354D7158"/>
    <w:rsid w:val="355470B4"/>
    <w:rsid w:val="358D5588"/>
    <w:rsid w:val="359C4D1F"/>
    <w:rsid w:val="35A02E2C"/>
    <w:rsid w:val="35D92624"/>
    <w:rsid w:val="35F40F8A"/>
    <w:rsid w:val="362F2B67"/>
    <w:rsid w:val="363A3B40"/>
    <w:rsid w:val="36462E68"/>
    <w:rsid w:val="365302AE"/>
    <w:rsid w:val="36607A0A"/>
    <w:rsid w:val="366E227C"/>
    <w:rsid w:val="366F2E0D"/>
    <w:rsid w:val="367B6A5C"/>
    <w:rsid w:val="36A74ADA"/>
    <w:rsid w:val="36AD60D5"/>
    <w:rsid w:val="36B224F9"/>
    <w:rsid w:val="36E83F1F"/>
    <w:rsid w:val="36EC0CC9"/>
    <w:rsid w:val="373F410B"/>
    <w:rsid w:val="37CF0CE0"/>
    <w:rsid w:val="37EE38C1"/>
    <w:rsid w:val="37EE7094"/>
    <w:rsid w:val="38296C89"/>
    <w:rsid w:val="383002EB"/>
    <w:rsid w:val="38547A46"/>
    <w:rsid w:val="38586797"/>
    <w:rsid w:val="38BC0149"/>
    <w:rsid w:val="38D87D1C"/>
    <w:rsid w:val="38EE74F9"/>
    <w:rsid w:val="391115CF"/>
    <w:rsid w:val="39127E98"/>
    <w:rsid w:val="394742FF"/>
    <w:rsid w:val="39636459"/>
    <w:rsid w:val="396B7F6C"/>
    <w:rsid w:val="399D36E6"/>
    <w:rsid w:val="39A104E8"/>
    <w:rsid w:val="39B417A9"/>
    <w:rsid w:val="39F92BEA"/>
    <w:rsid w:val="39FC5695"/>
    <w:rsid w:val="3A006D8E"/>
    <w:rsid w:val="3A053765"/>
    <w:rsid w:val="3A0906C7"/>
    <w:rsid w:val="3A3651E5"/>
    <w:rsid w:val="3A60608F"/>
    <w:rsid w:val="3A744481"/>
    <w:rsid w:val="3A8C7BEF"/>
    <w:rsid w:val="3A906246"/>
    <w:rsid w:val="3AA67A19"/>
    <w:rsid w:val="3AE222E1"/>
    <w:rsid w:val="3B2349B7"/>
    <w:rsid w:val="3B616CFF"/>
    <w:rsid w:val="3B6259F6"/>
    <w:rsid w:val="3B7872F5"/>
    <w:rsid w:val="3B854A7A"/>
    <w:rsid w:val="3B976654"/>
    <w:rsid w:val="3BC01EFC"/>
    <w:rsid w:val="3BCA786A"/>
    <w:rsid w:val="3BD31E2F"/>
    <w:rsid w:val="3BEE647B"/>
    <w:rsid w:val="3BF15831"/>
    <w:rsid w:val="3C105946"/>
    <w:rsid w:val="3C471448"/>
    <w:rsid w:val="3C5D7A5C"/>
    <w:rsid w:val="3C5F759A"/>
    <w:rsid w:val="3C673A53"/>
    <w:rsid w:val="3C6C525A"/>
    <w:rsid w:val="3CA1195A"/>
    <w:rsid w:val="3CCE23CB"/>
    <w:rsid w:val="3CD17D17"/>
    <w:rsid w:val="3D3C7F39"/>
    <w:rsid w:val="3D440F09"/>
    <w:rsid w:val="3D4504A0"/>
    <w:rsid w:val="3D4577DE"/>
    <w:rsid w:val="3D750086"/>
    <w:rsid w:val="3D8734BB"/>
    <w:rsid w:val="3D9A11D4"/>
    <w:rsid w:val="3DA02CE4"/>
    <w:rsid w:val="3DA16D89"/>
    <w:rsid w:val="3DA364BE"/>
    <w:rsid w:val="3DA7225D"/>
    <w:rsid w:val="3DE041CB"/>
    <w:rsid w:val="3E0D48F6"/>
    <w:rsid w:val="3E1868B4"/>
    <w:rsid w:val="3E216694"/>
    <w:rsid w:val="3E377251"/>
    <w:rsid w:val="3E42664B"/>
    <w:rsid w:val="3E5A7334"/>
    <w:rsid w:val="3E7B5D6B"/>
    <w:rsid w:val="3E843E66"/>
    <w:rsid w:val="3E8B1D5F"/>
    <w:rsid w:val="3E8F51FE"/>
    <w:rsid w:val="3E926F87"/>
    <w:rsid w:val="3E9A59DE"/>
    <w:rsid w:val="3EAF4836"/>
    <w:rsid w:val="3EB93AC8"/>
    <w:rsid w:val="3EC33DFA"/>
    <w:rsid w:val="3EF6313A"/>
    <w:rsid w:val="3F060E16"/>
    <w:rsid w:val="3F1D1096"/>
    <w:rsid w:val="3F2F0234"/>
    <w:rsid w:val="3F6363FE"/>
    <w:rsid w:val="3F756B8F"/>
    <w:rsid w:val="3F7F703F"/>
    <w:rsid w:val="3F95482B"/>
    <w:rsid w:val="3FBE6AD4"/>
    <w:rsid w:val="4019356B"/>
    <w:rsid w:val="40592157"/>
    <w:rsid w:val="406E1CAE"/>
    <w:rsid w:val="40A0133A"/>
    <w:rsid w:val="40C31A53"/>
    <w:rsid w:val="40FF545D"/>
    <w:rsid w:val="410067C8"/>
    <w:rsid w:val="41633DED"/>
    <w:rsid w:val="41727207"/>
    <w:rsid w:val="418F0D2A"/>
    <w:rsid w:val="419E3A3A"/>
    <w:rsid w:val="41C17800"/>
    <w:rsid w:val="41D01505"/>
    <w:rsid w:val="41EC0D67"/>
    <w:rsid w:val="41F36599"/>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1537B"/>
    <w:rsid w:val="43977AB6"/>
    <w:rsid w:val="43A3342B"/>
    <w:rsid w:val="43AE09CA"/>
    <w:rsid w:val="43C77C27"/>
    <w:rsid w:val="43DE09EE"/>
    <w:rsid w:val="44002FAD"/>
    <w:rsid w:val="44353859"/>
    <w:rsid w:val="449101DD"/>
    <w:rsid w:val="44DE1391"/>
    <w:rsid w:val="44EB409B"/>
    <w:rsid w:val="451B225C"/>
    <w:rsid w:val="452410C9"/>
    <w:rsid w:val="45317DFB"/>
    <w:rsid w:val="453C3A68"/>
    <w:rsid w:val="456D3CE4"/>
    <w:rsid w:val="4579042C"/>
    <w:rsid w:val="457F0571"/>
    <w:rsid w:val="45851176"/>
    <w:rsid w:val="45961A5A"/>
    <w:rsid w:val="45C63B94"/>
    <w:rsid w:val="45F16B5A"/>
    <w:rsid w:val="460E7DA5"/>
    <w:rsid w:val="462B0339"/>
    <w:rsid w:val="46422483"/>
    <w:rsid w:val="4659254A"/>
    <w:rsid w:val="465B0637"/>
    <w:rsid w:val="465E3F0D"/>
    <w:rsid w:val="466A16E6"/>
    <w:rsid w:val="46893F2B"/>
    <w:rsid w:val="46C4686E"/>
    <w:rsid w:val="46D43502"/>
    <w:rsid w:val="477B778F"/>
    <w:rsid w:val="478203EC"/>
    <w:rsid w:val="47B025FA"/>
    <w:rsid w:val="4809698F"/>
    <w:rsid w:val="4811697D"/>
    <w:rsid w:val="484A273F"/>
    <w:rsid w:val="484D0086"/>
    <w:rsid w:val="487A3E25"/>
    <w:rsid w:val="488B5503"/>
    <w:rsid w:val="48937E21"/>
    <w:rsid w:val="489A0361"/>
    <w:rsid w:val="48A16297"/>
    <w:rsid w:val="48B94FF3"/>
    <w:rsid w:val="48E37AAB"/>
    <w:rsid w:val="48FD4B4C"/>
    <w:rsid w:val="490A68E0"/>
    <w:rsid w:val="491055FE"/>
    <w:rsid w:val="495F5B3E"/>
    <w:rsid w:val="496F77D7"/>
    <w:rsid w:val="497654FD"/>
    <w:rsid w:val="499A721A"/>
    <w:rsid w:val="49B64211"/>
    <w:rsid w:val="49E56AF9"/>
    <w:rsid w:val="49F6167F"/>
    <w:rsid w:val="4A0347A8"/>
    <w:rsid w:val="4A064FA0"/>
    <w:rsid w:val="4A160FCB"/>
    <w:rsid w:val="4A16615C"/>
    <w:rsid w:val="4A4424D7"/>
    <w:rsid w:val="4A7A7564"/>
    <w:rsid w:val="4A9D1E8F"/>
    <w:rsid w:val="4AB82D0F"/>
    <w:rsid w:val="4AEB7664"/>
    <w:rsid w:val="4AFD7C19"/>
    <w:rsid w:val="4B0567D1"/>
    <w:rsid w:val="4B236AAE"/>
    <w:rsid w:val="4B707271"/>
    <w:rsid w:val="4B846B63"/>
    <w:rsid w:val="4B9739F7"/>
    <w:rsid w:val="4BEE2503"/>
    <w:rsid w:val="4C245A30"/>
    <w:rsid w:val="4CB6685F"/>
    <w:rsid w:val="4CC367FE"/>
    <w:rsid w:val="4CD5641A"/>
    <w:rsid w:val="4D077F3C"/>
    <w:rsid w:val="4D123355"/>
    <w:rsid w:val="4D2A3B31"/>
    <w:rsid w:val="4D312C52"/>
    <w:rsid w:val="4D4E12EF"/>
    <w:rsid w:val="4D7A4C4B"/>
    <w:rsid w:val="4D905305"/>
    <w:rsid w:val="4D964A72"/>
    <w:rsid w:val="4D9C1254"/>
    <w:rsid w:val="4DA31E16"/>
    <w:rsid w:val="4E386456"/>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CB7C2C"/>
    <w:rsid w:val="50E97CFC"/>
    <w:rsid w:val="50FA4028"/>
    <w:rsid w:val="510D65B7"/>
    <w:rsid w:val="511157AB"/>
    <w:rsid w:val="5142540C"/>
    <w:rsid w:val="515052C4"/>
    <w:rsid w:val="518832C8"/>
    <w:rsid w:val="519D3C50"/>
    <w:rsid w:val="51A0432A"/>
    <w:rsid w:val="51A86090"/>
    <w:rsid w:val="51B7396D"/>
    <w:rsid w:val="51BF308A"/>
    <w:rsid w:val="52067F7E"/>
    <w:rsid w:val="522E4CC3"/>
    <w:rsid w:val="5244713B"/>
    <w:rsid w:val="52615633"/>
    <w:rsid w:val="526F4DE4"/>
    <w:rsid w:val="52977FD4"/>
    <w:rsid w:val="52A25790"/>
    <w:rsid w:val="52A96B6F"/>
    <w:rsid w:val="52AF3E17"/>
    <w:rsid w:val="52B42286"/>
    <w:rsid w:val="52B45975"/>
    <w:rsid w:val="52D94AA4"/>
    <w:rsid w:val="52E7DBC5"/>
    <w:rsid w:val="52EA3A62"/>
    <w:rsid w:val="52F50BB8"/>
    <w:rsid w:val="52FD042A"/>
    <w:rsid w:val="53097272"/>
    <w:rsid w:val="53544462"/>
    <w:rsid w:val="536D2676"/>
    <w:rsid w:val="5397158E"/>
    <w:rsid w:val="53D03C31"/>
    <w:rsid w:val="53F32983"/>
    <w:rsid w:val="54013861"/>
    <w:rsid w:val="54487265"/>
    <w:rsid w:val="544D6070"/>
    <w:rsid w:val="54605E1E"/>
    <w:rsid w:val="547A3072"/>
    <w:rsid w:val="54B3506A"/>
    <w:rsid w:val="54CA0D16"/>
    <w:rsid w:val="54DD4057"/>
    <w:rsid w:val="54E7490F"/>
    <w:rsid w:val="550764A4"/>
    <w:rsid w:val="550B2BF6"/>
    <w:rsid w:val="55214EB5"/>
    <w:rsid w:val="55364EFD"/>
    <w:rsid w:val="555D4828"/>
    <w:rsid w:val="55602A34"/>
    <w:rsid w:val="557A4C8B"/>
    <w:rsid w:val="55823A64"/>
    <w:rsid w:val="558931E1"/>
    <w:rsid w:val="55923347"/>
    <w:rsid w:val="55925180"/>
    <w:rsid w:val="55983B1B"/>
    <w:rsid w:val="55A8376B"/>
    <w:rsid w:val="55BC7D0E"/>
    <w:rsid w:val="55D1679A"/>
    <w:rsid w:val="55DC29B6"/>
    <w:rsid w:val="55DD4241"/>
    <w:rsid w:val="566A7859"/>
    <w:rsid w:val="566B6D1E"/>
    <w:rsid w:val="56D87386"/>
    <w:rsid w:val="56D952C7"/>
    <w:rsid w:val="56F0366A"/>
    <w:rsid w:val="56F65BBA"/>
    <w:rsid w:val="57032A2C"/>
    <w:rsid w:val="570F5219"/>
    <w:rsid w:val="5719267A"/>
    <w:rsid w:val="575D12B5"/>
    <w:rsid w:val="57610A87"/>
    <w:rsid w:val="577160AA"/>
    <w:rsid w:val="57720150"/>
    <w:rsid w:val="577B1140"/>
    <w:rsid w:val="577B7F21"/>
    <w:rsid w:val="577F181B"/>
    <w:rsid w:val="57921984"/>
    <w:rsid w:val="579737F0"/>
    <w:rsid w:val="57AB7B30"/>
    <w:rsid w:val="57AF5251"/>
    <w:rsid w:val="57B26373"/>
    <w:rsid w:val="57B63F04"/>
    <w:rsid w:val="57CD20C2"/>
    <w:rsid w:val="57D675AB"/>
    <w:rsid w:val="57D95FDD"/>
    <w:rsid w:val="58212BD6"/>
    <w:rsid w:val="58917D2F"/>
    <w:rsid w:val="5894085C"/>
    <w:rsid w:val="58AE4F0C"/>
    <w:rsid w:val="58B85899"/>
    <w:rsid w:val="58BB257A"/>
    <w:rsid w:val="58E363A9"/>
    <w:rsid w:val="58FD3B61"/>
    <w:rsid w:val="59155BB5"/>
    <w:rsid w:val="595E1678"/>
    <w:rsid w:val="596D5BD4"/>
    <w:rsid w:val="59701E26"/>
    <w:rsid w:val="5978041C"/>
    <w:rsid w:val="597E3DD8"/>
    <w:rsid w:val="59F50429"/>
    <w:rsid w:val="59F80043"/>
    <w:rsid w:val="5A09252F"/>
    <w:rsid w:val="5A0B2778"/>
    <w:rsid w:val="5A2A7C7B"/>
    <w:rsid w:val="5A3E2560"/>
    <w:rsid w:val="5A5D3B6E"/>
    <w:rsid w:val="5A5F6122"/>
    <w:rsid w:val="5A637A76"/>
    <w:rsid w:val="5A6D33BA"/>
    <w:rsid w:val="5A792B1F"/>
    <w:rsid w:val="5A874767"/>
    <w:rsid w:val="5AA85BE2"/>
    <w:rsid w:val="5AAD6F28"/>
    <w:rsid w:val="5AD63A24"/>
    <w:rsid w:val="5ADA0928"/>
    <w:rsid w:val="5B2B529F"/>
    <w:rsid w:val="5B2E1A1D"/>
    <w:rsid w:val="5B50392E"/>
    <w:rsid w:val="5B5F0F51"/>
    <w:rsid w:val="5B843A1C"/>
    <w:rsid w:val="5B873E3F"/>
    <w:rsid w:val="5C02690E"/>
    <w:rsid w:val="5C196DA7"/>
    <w:rsid w:val="5C250478"/>
    <w:rsid w:val="5C2A048C"/>
    <w:rsid w:val="5C80234E"/>
    <w:rsid w:val="5C8A680C"/>
    <w:rsid w:val="5D0C4701"/>
    <w:rsid w:val="5D0F0395"/>
    <w:rsid w:val="5D221076"/>
    <w:rsid w:val="5D397964"/>
    <w:rsid w:val="5D5A391C"/>
    <w:rsid w:val="5D5F10C0"/>
    <w:rsid w:val="5D6622EC"/>
    <w:rsid w:val="5D891B7B"/>
    <w:rsid w:val="5DAD38EE"/>
    <w:rsid w:val="5E006862"/>
    <w:rsid w:val="5E0207B9"/>
    <w:rsid w:val="5E1834A1"/>
    <w:rsid w:val="5E261785"/>
    <w:rsid w:val="5E4A7017"/>
    <w:rsid w:val="5E552BBA"/>
    <w:rsid w:val="5E611C10"/>
    <w:rsid w:val="5E7A0F3F"/>
    <w:rsid w:val="5E814D85"/>
    <w:rsid w:val="5EFC7377"/>
    <w:rsid w:val="5F0568A2"/>
    <w:rsid w:val="5F06174D"/>
    <w:rsid w:val="5F3A3602"/>
    <w:rsid w:val="5F45733B"/>
    <w:rsid w:val="5F6277C6"/>
    <w:rsid w:val="5F6D0B1D"/>
    <w:rsid w:val="5F8D0B82"/>
    <w:rsid w:val="5FCC5339"/>
    <w:rsid w:val="5FE34A5B"/>
    <w:rsid w:val="5FFE1E36"/>
    <w:rsid w:val="60232584"/>
    <w:rsid w:val="607330CE"/>
    <w:rsid w:val="60762418"/>
    <w:rsid w:val="607A19E4"/>
    <w:rsid w:val="60825176"/>
    <w:rsid w:val="609F2AC4"/>
    <w:rsid w:val="60FA2EE8"/>
    <w:rsid w:val="61054A27"/>
    <w:rsid w:val="610A52BC"/>
    <w:rsid w:val="611D2366"/>
    <w:rsid w:val="611F03B9"/>
    <w:rsid w:val="61421856"/>
    <w:rsid w:val="615227C4"/>
    <w:rsid w:val="61654E3F"/>
    <w:rsid w:val="6182292A"/>
    <w:rsid w:val="618639A0"/>
    <w:rsid w:val="619F7F92"/>
    <w:rsid w:val="61F94C26"/>
    <w:rsid w:val="62000E56"/>
    <w:rsid w:val="624F3E49"/>
    <w:rsid w:val="62632286"/>
    <w:rsid w:val="62885958"/>
    <w:rsid w:val="62F40B65"/>
    <w:rsid w:val="62FC2CFE"/>
    <w:rsid w:val="63024505"/>
    <w:rsid w:val="63471762"/>
    <w:rsid w:val="635600A5"/>
    <w:rsid w:val="635B1DB5"/>
    <w:rsid w:val="63711FED"/>
    <w:rsid w:val="63880DDC"/>
    <w:rsid w:val="638D750D"/>
    <w:rsid w:val="63910123"/>
    <w:rsid w:val="63AC6CC0"/>
    <w:rsid w:val="63E2067F"/>
    <w:rsid w:val="64055776"/>
    <w:rsid w:val="64240056"/>
    <w:rsid w:val="642C6125"/>
    <w:rsid w:val="643B41CE"/>
    <w:rsid w:val="643E143A"/>
    <w:rsid w:val="64491666"/>
    <w:rsid w:val="648B6EEF"/>
    <w:rsid w:val="64C158BF"/>
    <w:rsid w:val="64CE2EAA"/>
    <w:rsid w:val="64F74C64"/>
    <w:rsid w:val="653429AB"/>
    <w:rsid w:val="65372E18"/>
    <w:rsid w:val="653C3090"/>
    <w:rsid w:val="65854376"/>
    <w:rsid w:val="658767BE"/>
    <w:rsid w:val="65892531"/>
    <w:rsid w:val="65D96211"/>
    <w:rsid w:val="66195831"/>
    <w:rsid w:val="662E75B1"/>
    <w:rsid w:val="66342C2E"/>
    <w:rsid w:val="663E784C"/>
    <w:rsid w:val="667C4500"/>
    <w:rsid w:val="668B6A45"/>
    <w:rsid w:val="66C13CC1"/>
    <w:rsid w:val="66C33328"/>
    <w:rsid w:val="67011F07"/>
    <w:rsid w:val="672C5E52"/>
    <w:rsid w:val="672E0EA7"/>
    <w:rsid w:val="672F3F24"/>
    <w:rsid w:val="673E055F"/>
    <w:rsid w:val="674C7A2E"/>
    <w:rsid w:val="67551CE3"/>
    <w:rsid w:val="679A7662"/>
    <w:rsid w:val="67A22552"/>
    <w:rsid w:val="67B22DCC"/>
    <w:rsid w:val="67BE71AA"/>
    <w:rsid w:val="67D90273"/>
    <w:rsid w:val="67DE5875"/>
    <w:rsid w:val="67E55852"/>
    <w:rsid w:val="67EB1AB4"/>
    <w:rsid w:val="67FA1285"/>
    <w:rsid w:val="680D3662"/>
    <w:rsid w:val="68551F4F"/>
    <w:rsid w:val="686D7B66"/>
    <w:rsid w:val="687C10C9"/>
    <w:rsid w:val="68840C16"/>
    <w:rsid w:val="68872541"/>
    <w:rsid w:val="68876EFB"/>
    <w:rsid w:val="68884654"/>
    <w:rsid w:val="689F444F"/>
    <w:rsid w:val="68B96DBB"/>
    <w:rsid w:val="68CA2805"/>
    <w:rsid w:val="68D51CA5"/>
    <w:rsid w:val="68DD6BF5"/>
    <w:rsid w:val="68E937A3"/>
    <w:rsid w:val="691664E5"/>
    <w:rsid w:val="693E15D3"/>
    <w:rsid w:val="69627681"/>
    <w:rsid w:val="6977531D"/>
    <w:rsid w:val="69CC2BFF"/>
    <w:rsid w:val="69FD55B8"/>
    <w:rsid w:val="6A04125B"/>
    <w:rsid w:val="6A0B1C62"/>
    <w:rsid w:val="6A1004F7"/>
    <w:rsid w:val="6A2406C8"/>
    <w:rsid w:val="6AC50223"/>
    <w:rsid w:val="6ADE0BD1"/>
    <w:rsid w:val="6AE96859"/>
    <w:rsid w:val="6B147746"/>
    <w:rsid w:val="6B24787C"/>
    <w:rsid w:val="6B4F325E"/>
    <w:rsid w:val="6B573233"/>
    <w:rsid w:val="6B5B6274"/>
    <w:rsid w:val="6B935D53"/>
    <w:rsid w:val="6C196F71"/>
    <w:rsid w:val="6C225202"/>
    <w:rsid w:val="6C226FCB"/>
    <w:rsid w:val="6C31226F"/>
    <w:rsid w:val="6C552F0B"/>
    <w:rsid w:val="6C847CB9"/>
    <w:rsid w:val="6C8C67B7"/>
    <w:rsid w:val="6C9B0980"/>
    <w:rsid w:val="6C9D744C"/>
    <w:rsid w:val="6CDA488F"/>
    <w:rsid w:val="6D167928"/>
    <w:rsid w:val="6D26299B"/>
    <w:rsid w:val="6D4772EC"/>
    <w:rsid w:val="6D9078AF"/>
    <w:rsid w:val="6DAA3FEF"/>
    <w:rsid w:val="6DC0172B"/>
    <w:rsid w:val="6DCB690C"/>
    <w:rsid w:val="6DD41A5B"/>
    <w:rsid w:val="6DE35326"/>
    <w:rsid w:val="6DF43C2E"/>
    <w:rsid w:val="6DF51CA3"/>
    <w:rsid w:val="6E243C48"/>
    <w:rsid w:val="6E8335BD"/>
    <w:rsid w:val="6E8E12EF"/>
    <w:rsid w:val="6E972936"/>
    <w:rsid w:val="6EA77C40"/>
    <w:rsid w:val="6ED446C5"/>
    <w:rsid w:val="6F177265"/>
    <w:rsid w:val="6F1928EC"/>
    <w:rsid w:val="6F2A7D94"/>
    <w:rsid w:val="6F700D66"/>
    <w:rsid w:val="6F815400"/>
    <w:rsid w:val="6F8331F1"/>
    <w:rsid w:val="6FAE1A09"/>
    <w:rsid w:val="6FD75BF8"/>
    <w:rsid w:val="707723D0"/>
    <w:rsid w:val="70845F27"/>
    <w:rsid w:val="70F5661B"/>
    <w:rsid w:val="71360107"/>
    <w:rsid w:val="713B688E"/>
    <w:rsid w:val="71D43752"/>
    <w:rsid w:val="71F1796A"/>
    <w:rsid w:val="72132109"/>
    <w:rsid w:val="72154626"/>
    <w:rsid w:val="72262B5D"/>
    <w:rsid w:val="72283FF7"/>
    <w:rsid w:val="722E7212"/>
    <w:rsid w:val="723A0474"/>
    <w:rsid w:val="725533CF"/>
    <w:rsid w:val="725923E4"/>
    <w:rsid w:val="725A5101"/>
    <w:rsid w:val="72864BF7"/>
    <w:rsid w:val="729023FC"/>
    <w:rsid w:val="730147FD"/>
    <w:rsid w:val="732D0B1E"/>
    <w:rsid w:val="73C0646E"/>
    <w:rsid w:val="74212243"/>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03BF8"/>
    <w:rsid w:val="76160274"/>
    <w:rsid w:val="761D08E0"/>
    <w:rsid w:val="76544B51"/>
    <w:rsid w:val="765D347C"/>
    <w:rsid w:val="76826699"/>
    <w:rsid w:val="76C87133"/>
    <w:rsid w:val="76CD08D5"/>
    <w:rsid w:val="76DB4B92"/>
    <w:rsid w:val="76FA0980"/>
    <w:rsid w:val="76FD013A"/>
    <w:rsid w:val="77052AA4"/>
    <w:rsid w:val="77136511"/>
    <w:rsid w:val="77340A39"/>
    <w:rsid w:val="77351FD0"/>
    <w:rsid w:val="77472422"/>
    <w:rsid w:val="77653558"/>
    <w:rsid w:val="776640D4"/>
    <w:rsid w:val="777F31F2"/>
    <w:rsid w:val="778C15CC"/>
    <w:rsid w:val="77B8754F"/>
    <w:rsid w:val="77D1700D"/>
    <w:rsid w:val="77EC04CC"/>
    <w:rsid w:val="78617D97"/>
    <w:rsid w:val="78680440"/>
    <w:rsid w:val="78775729"/>
    <w:rsid w:val="787F7779"/>
    <w:rsid w:val="788B68D1"/>
    <w:rsid w:val="78A42DB0"/>
    <w:rsid w:val="78A656AB"/>
    <w:rsid w:val="78B2245C"/>
    <w:rsid w:val="78B663C1"/>
    <w:rsid w:val="78E172CC"/>
    <w:rsid w:val="78EA1D1F"/>
    <w:rsid w:val="7904172F"/>
    <w:rsid w:val="790F7E27"/>
    <w:rsid w:val="79147BBC"/>
    <w:rsid w:val="792A231A"/>
    <w:rsid w:val="792E03F6"/>
    <w:rsid w:val="79316829"/>
    <w:rsid w:val="7969259A"/>
    <w:rsid w:val="797400FD"/>
    <w:rsid w:val="797E66A9"/>
    <w:rsid w:val="798518A4"/>
    <w:rsid w:val="79A97383"/>
    <w:rsid w:val="79E27E8B"/>
    <w:rsid w:val="79F850CE"/>
    <w:rsid w:val="79FD443C"/>
    <w:rsid w:val="7A1D1975"/>
    <w:rsid w:val="7A3E5150"/>
    <w:rsid w:val="7A4670D6"/>
    <w:rsid w:val="7A496BE4"/>
    <w:rsid w:val="7A534B63"/>
    <w:rsid w:val="7A615382"/>
    <w:rsid w:val="7A67303B"/>
    <w:rsid w:val="7A6A04A0"/>
    <w:rsid w:val="7AAB1D04"/>
    <w:rsid w:val="7ABA4368"/>
    <w:rsid w:val="7AD05746"/>
    <w:rsid w:val="7B257FFD"/>
    <w:rsid w:val="7B273D20"/>
    <w:rsid w:val="7B343476"/>
    <w:rsid w:val="7B5A2978"/>
    <w:rsid w:val="7B5A7E4C"/>
    <w:rsid w:val="7B613689"/>
    <w:rsid w:val="7B667AF9"/>
    <w:rsid w:val="7B7468F8"/>
    <w:rsid w:val="7BEE0103"/>
    <w:rsid w:val="7C0A0FE4"/>
    <w:rsid w:val="7C0B3F04"/>
    <w:rsid w:val="7C254906"/>
    <w:rsid w:val="7C384F6E"/>
    <w:rsid w:val="7C590818"/>
    <w:rsid w:val="7C6D071B"/>
    <w:rsid w:val="7C7C10F6"/>
    <w:rsid w:val="7C853BEA"/>
    <w:rsid w:val="7C881368"/>
    <w:rsid w:val="7CE27788"/>
    <w:rsid w:val="7D0C32F1"/>
    <w:rsid w:val="7D0F408D"/>
    <w:rsid w:val="7D140AD2"/>
    <w:rsid w:val="7D1E37C3"/>
    <w:rsid w:val="7D491C6C"/>
    <w:rsid w:val="7D5429C0"/>
    <w:rsid w:val="7D6E6D43"/>
    <w:rsid w:val="7D916095"/>
    <w:rsid w:val="7DB57A34"/>
    <w:rsid w:val="7DE60973"/>
    <w:rsid w:val="7DEF0916"/>
    <w:rsid w:val="7E1E5218"/>
    <w:rsid w:val="7E4C4E5D"/>
    <w:rsid w:val="7E515990"/>
    <w:rsid w:val="7E931F65"/>
    <w:rsid w:val="7E9A4E1F"/>
    <w:rsid w:val="7EA7723A"/>
    <w:rsid w:val="7EF56FBB"/>
    <w:rsid w:val="7F0768EB"/>
    <w:rsid w:val="7F143BEC"/>
    <w:rsid w:val="7F715AF2"/>
    <w:rsid w:val="7F886E69"/>
    <w:rsid w:val="7FAF2971"/>
    <w:rsid w:val="7FBA3523"/>
    <w:rsid w:val="BB46D08B"/>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969"/>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adjustRightInd w:val="0"/>
      <w:snapToGrid w:val="0"/>
      <w:spacing w:line="360" w:lineRule="auto"/>
      <w:ind w:firstLine="200" w:firstLineChars="200"/>
    </w:pPr>
    <w:rPr>
      <w:rFonts w:ascii="Times New Roman" w:hAnsi="Times New Roman" w:eastAsia="仿宋"/>
      <w:sz w:val="24"/>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2"/>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6"/>
    <w:link w:val="269"/>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1"/>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7"/>
    <w:qFormat/>
    <w:uiPriority w:val="0"/>
    <w:pPr>
      <w:ind w:left="100" w:leftChars="2500"/>
    </w:pPr>
    <w:rPr>
      <w:rFonts w:ascii="宋体"/>
      <w:sz w:val="24"/>
      <w:szCs w:val="21"/>
      <w:lang w:val="zh-CN"/>
    </w:rPr>
  </w:style>
  <w:style w:type="paragraph" w:styleId="37">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4"/>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
    <w:link w:val="314"/>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6"/>
    <w:qFormat/>
    <w:uiPriority w:val="0"/>
    <w:pPr>
      <w:spacing w:after="120" w:line="480" w:lineRule="auto"/>
    </w:pPr>
  </w:style>
  <w:style w:type="paragraph" w:styleId="57">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2"/>
    <w:qFormat/>
    <w:uiPriority w:val="0"/>
    <w:rPr>
      <w:b/>
      <w:bCs/>
    </w:rPr>
  </w:style>
  <w:style w:type="paragraph" w:styleId="61">
    <w:name w:val="Body Text First Indent"/>
    <w:basedOn w:val="24"/>
    <w:next w:val="1"/>
    <w:link w:val="325"/>
    <w:qFormat/>
    <w:uiPriority w:val="0"/>
    <w:pPr>
      <w:ind w:firstLine="420"/>
    </w:pPr>
    <w:rPr>
      <w:rFonts w:hAnsi="Calibri" w:cs="Times New Roman"/>
      <w:snapToGrid/>
      <w:szCs w:val="20"/>
    </w:rPr>
  </w:style>
  <w:style w:type="paragraph" w:styleId="62">
    <w:name w:val="Body Text First Indent 2"/>
    <w:basedOn w:val="25"/>
    <w:next w:val="1"/>
    <w:link w:val="12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标题 1 字符"/>
    <w:qFormat/>
    <w:uiPriority w:val="9"/>
    <w:rPr>
      <w:rFonts w:ascii="Arial" w:hAnsi="Arial" w:eastAsia="黑体" w:cs="Arial"/>
      <w:b/>
      <w:bCs/>
      <w:snapToGrid w:val="0"/>
      <w:kern w:val="44"/>
      <w:sz w:val="44"/>
      <w:szCs w:val="44"/>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paragraph" w:styleId="84">
    <w:name w:val="List Paragraph"/>
    <w:basedOn w:val="1"/>
    <w:qFormat/>
    <w:uiPriority w:val="34"/>
    <w:pPr>
      <w:spacing w:line="360" w:lineRule="auto"/>
      <w:ind w:firstLine="200" w:firstLineChars="200"/>
    </w:pPr>
    <w:rPr>
      <w:rFonts w:eastAsia="楷体_GB2312" w:cs="Lucida Sans"/>
      <w:sz w:val="24"/>
    </w:rPr>
  </w:style>
  <w:style w:type="paragraph" w:customStyle="1" w:styleId="85">
    <w:name w:val="xl53"/>
    <w:basedOn w:val="1"/>
    <w:next w:val="1"/>
    <w:qFormat/>
    <w:uiPriority w:val="0"/>
    <w:pPr>
      <w:spacing w:before="280" w:after="280" w:line="100" w:lineRule="exact"/>
      <w:jc w:val="center"/>
    </w:pPr>
    <w:rPr>
      <w:b/>
      <w:sz w:val="20"/>
    </w:rPr>
  </w:style>
  <w:style w:type="paragraph" w:customStyle="1" w:styleId="86">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87">
    <w:name w:val="样式3"/>
    <w:basedOn w:val="33"/>
    <w:next w:val="1"/>
    <w:qFormat/>
    <w:uiPriority w:val="0"/>
    <w:pPr>
      <w:tabs>
        <w:tab w:val="left" w:pos="2790"/>
        <w:tab w:val="left" w:pos="4230"/>
      </w:tabs>
      <w:spacing w:before="312" w:beforeLines="100"/>
      <w:jc w:val="left"/>
    </w:p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0"/>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2"/>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0"/>
    <w:qFormat/>
    <w:uiPriority w:val="0"/>
    <w:rPr>
      <w:rFonts w:ascii="Arial" w:hAnsi="Arial" w:eastAsia="黑体" w:cs="Arial"/>
      <w:snapToGrid w:val="0"/>
      <w:kern w:val="0"/>
      <w:szCs w:val="21"/>
    </w:rPr>
  </w:style>
  <w:style w:type="character" w:customStyle="1" w:styleId="131">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7"/>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8"/>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4"/>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6"/>
    <w:qFormat/>
    <w:uiPriority w:val="0"/>
    <w:rPr>
      <w:rFonts w:ascii="宋体"/>
      <w:kern w:val="2"/>
      <w:sz w:val="24"/>
      <w:szCs w:val="21"/>
      <w:lang w:val="zh-CN"/>
    </w:rPr>
  </w:style>
  <w:style w:type="character" w:customStyle="1" w:styleId="188">
    <w:name w:val="标题 9 Char"/>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9"/>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0"/>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5"/>
    <w:qFormat/>
    <w:uiPriority w:val="0"/>
    <w:rPr>
      <w:rFonts w:ascii="仿宋_GB2312" w:hAnsi="仿宋" w:eastAsia="仿宋_GB2312" w:cs="仿宋_GB2312"/>
      <w:sz w:val="32"/>
      <w:szCs w:val="30"/>
      <w:lang w:val="zh-CN"/>
    </w:rPr>
  </w:style>
  <w:style w:type="character" w:customStyle="1" w:styleId="224">
    <w:name w:val="HTML 地址 Char"/>
    <w:link w:val="30"/>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6"/>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4"/>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5"/>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59"/>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1"/>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7"/>
    <w:qFormat/>
    <w:uiPriority w:val="0"/>
    <w:rPr>
      <w:rFonts w:ascii="黑体" w:hAnsi="Courier New" w:eastAsia="黑体"/>
    </w:rPr>
  </w:style>
  <w:style w:type="character" w:customStyle="1" w:styleId="306">
    <w:name w:val="正文文本 2 Char1"/>
    <w:link w:val="56"/>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9"/>
    <w:qFormat/>
    <w:uiPriority w:val="0"/>
    <w:rPr>
      <w:b/>
      <w:bCs/>
      <w:kern w:val="2"/>
      <w:sz w:val="24"/>
      <w:szCs w:val="24"/>
    </w:rPr>
  </w:style>
  <w:style w:type="character" w:customStyle="1" w:styleId="312">
    <w:name w:val="正文文本缩进 2 Char"/>
    <w:link w:val="37"/>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0"/>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1"/>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2"/>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qFormat/>
    <w:uiPriority w:val="99"/>
    <w:rPr>
      <w:kern w:val="2"/>
      <w:sz w:val="21"/>
      <w:szCs w:val="24"/>
    </w:rPr>
  </w:style>
  <w:style w:type="character" w:customStyle="1" w:styleId="349">
    <w:name w:val="签名 Char"/>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40"/>
    <w:next w:val="240"/>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40"/>
    <w:next w:val="240"/>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4"/>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84"/>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WPSOffice手动目录 1"/>
    <w:qFormat/>
    <w:uiPriority w:val="0"/>
    <w:pPr>
      <w:ind w:leftChars="0"/>
    </w:pPr>
    <w:rPr>
      <w:rFonts w:ascii="Times New Roman" w:hAnsi="Times New Roman" w:eastAsia="宋体" w:cs="Times New Roman"/>
      <w:sz w:val="20"/>
      <w:szCs w:val="20"/>
    </w:rPr>
  </w:style>
  <w:style w:type="paragraph" w:customStyle="1" w:styleId="967">
    <w:name w:val="国研"/>
    <w:basedOn w:val="1"/>
    <w:qFormat/>
    <w:uiPriority w:val="0"/>
    <w:pPr>
      <w:spacing w:line="360" w:lineRule="auto"/>
      <w:ind w:firstLine="560" w:firstLineChars="200"/>
    </w:pPr>
    <w:rPr>
      <w:rFonts w:ascii="Times New Roman" w:hAnsi="Times New Roman" w:eastAsia="仿宋_GB2312"/>
      <w:sz w:val="28"/>
    </w:rPr>
  </w:style>
  <w:style w:type="paragraph" w:customStyle="1" w:styleId="968">
    <w:name w:val="建设方案标题2"/>
    <w:basedOn w:val="1"/>
    <w:next w:val="1"/>
    <w:qFormat/>
    <w:uiPriority w:val="0"/>
    <w:pPr>
      <w:keepNext/>
      <w:keepLines/>
      <w:numPr>
        <w:ilvl w:val="0"/>
        <w:numId w:val="1"/>
      </w:numPr>
      <w:spacing w:beforeLines="0" w:afterLines="0" w:line="580" w:lineRule="exact"/>
      <w:ind w:firstLine="640" w:firstLineChars="200"/>
      <w:outlineLvl w:val="1"/>
    </w:pPr>
    <w:rPr>
      <w:rFonts w:hint="eastAsia" w:ascii="仿宋_GB2312" w:hAnsi="仿宋_GB2312" w:eastAsia="仿宋_GB2312" w:cs="仿宋_GB2312"/>
      <w:bCs/>
      <w:sz w:val="32"/>
    </w:rPr>
  </w:style>
  <w:style w:type="character" w:customStyle="1" w:styleId="969">
    <w:name w:val="标题 3 Char"/>
    <w:link w:val="5"/>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3.png"/><Relationship Id="rId24" Type="http://schemas.openxmlformats.org/officeDocument/2006/relationships/image" Target="media/image2.jpe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22706</Words>
  <Characters>24054</Characters>
  <Lines>281</Lines>
  <Paragraphs>79</Paragraphs>
  <TotalTime>170</TotalTime>
  <ScaleCrop>false</ScaleCrop>
  <LinksUpToDate>false</LinksUpToDate>
  <CharactersWithSpaces>24232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在下姓需名耐心</cp:lastModifiedBy>
  <cp:lastPrinted>2025-05-07T03:07:45Z</cp:lastPrinted>
  <dcterms:modified xsi:type="dcterms:W3CDTF">2025-05-07T06:16:45Z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36AD84F109B24B669F763CBECFF0BEA6_13</vt:lpwstr>
  </property>
  <property fmtid="{D5CDD505-2E9C-101B-9397-08002B2CF9AE}" pid="5" name="KSOTemplateDocerSaveRecord">
    <vt:lpwstr>eyJoZGlkIjoiYWQ3MDZlMmI5M2Q4N2YxZTcxODI3YTIxODFmOWYyNWMiLCJ1c2VySWQiOiI3MTk0NDMzMjEifQ==</vt:lpwstr>
  </property>
</Properties>
</file>