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sz w:val="24"/>
        </w:rPr>
      </w:pPr>
      <w:r>
        <w:rPr>
          <w:rFonts w:hint="eastAsia" w:ascii="宋体" w:hAnsi="宋体" w:cs="宋体"/>
          <w:sz w:val="24"/>
        </w:rPr>
        <w:drawing>
          <wp:anchor distT="0" distB="0" distL="114300" distR="114300" simplePos="0" relativeHeight="251659264" behindDoc="1" locked="0" layoutInCell="1" allowOverlap="1">
            <wp:simplePos x="0" y="0"/>
            <wp:positionH relativeFrom="column">
              <wp:posOffset>-1066800</wp:posOffset>
            </wp:positionH>
            <wp:positionV relativeFrom="paragraph">
              <wp:posOffset>-908050</wp:posOffset>
            </wp:positionV>
            <wp:extent cx="7544435" cy="10905490"/>
            <wp:effectExtent l="0" t="0" r="12065" b="3810"/>
            <wp:wrapNone/>
            <wp:docPr id="1" name="图片 1" descr="3、2024.5.21招标文件-江北区城区街道消防安全第三方服务项目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024.5.21招标文件-江北区城区街道消防安全第三方服务项目_00"/>
                    <pic:cNvPicPr>
                      <a:picLocks noChangeAspect="1"/>
                    </pic:cNvPicPr>
                  </pic:nvPicPr>
                  <pic:blipFill>
                    <a:blip r:embed="rId8"/>
                    <a:stretch>
                      <a:fillRect/>
                    </a:stretch>
                  </pic:blipFill>
                  <pic:spPr>
                    <a:xfrm>
                      <a:off x="0" y="0"/>
                      <a:ext cx="7544435" cy="10905490"/>
                    </a:xfrm>
                    <a:prstGeom prst="rect">
                      <a:avLst/>
                    </a:prstGeom>
                  </pic:spPr>
                </pic:pic>
              </a:graphicData>
            </a:graphic>
          </wp:anchor>
        </w:drawing>
      </w:r>
      <w:r>
        <w:rPr>
          <w:rFonts w:hint="eastAsia" w:ascii="宋体" w:hAnsi="宋体" w:cs="宋体"/>
          <w:sz w:val="24"/>
        </w:rPr>
        <w:br w:type="page"/>
      </w:r>
    </w:p>
    <w:p>
      <w:pPr>
        <w:spacing w:line="360" w:lineRule="auto"/>
        <w:rPr>
          <w:rFonts w:hint="eastAsia" w:ascii="宋体" w:hAnsi="宋体" w:cs="宋体"/>
          <w:sz w:val="24"/>
        </w:rPr>
      </w:pPr>
      <w:r>
        <w:rPr>
          <w:rFonts w:hint="eastAsia" w:ascii="宋体" w:hAnsi="宋体" w:cs="宋体"/>
          <w:sz w:val="24"/>
        </w:rPr>
        <w:drawing>
          <wp:inline distT="0" distB="0" distL="114300" distR="114300">
            <wp:extent cx="1049020" cy="993140"/>
            <wp:effectExtent l="0" t="0" r="5080" b="10160"/>
            <wp:docPr id="2" name="图片 1" descr="19a9c0e900479c854e488a4f6f1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9a9c0e900479c854e488a4f6f14205"/>
                    <pic:cNvPicPr>
                      <a:picLocks noChangeAspect="1"/>
                    </pic:cNvPicPr>
                  </pic:nvPicPr>
                  <pic:blipFill>
                    <a:blip r:embed="rId9"/>
                    <a:stretch>
                      <a:fillRect/>
                    </a:stretch>
                  </pic:blipFill>
                  <pic:spPr>
                    <a:xfrm>
                      <a:off x="0" y="0"/>
                      <a:ext cx="1049020" cy="993140"/>
                    </a:xfrm>
                    <a:prstGeom prst="rect">
                      <a:avLst/>
                    </a:prstGeom>
                    <a:noFill/>
                    <a:ln>
                      <a:noFill/>
                    </a:ln>
                  </pic:spPr>
                </pic:pic>
              </a:graphicData>
            </a:graphic>
          </wp:inline>
        </w:drawing>
      </w:r>
    </w:p>
    <w:p>
      <w:pPr>
        <w:spacing w:line="360" w:lineRule="auto"/>
        <w:rPr>
          <w:rFonts w:hint="eastAsia" w:ascii="宋体" w:hAnsi="宋体"/>
          <w:b/>
          <w:sz w:val="44"/>
        </w:rPr>
      </w:pPr>
    </w:p>
    <w:p>
      <w:pPr>
        <w:spacing w:line="360" w:lineRule="auto"/>
        <w:jc w:val="center"/>
        <w:rPr>
          <w:rFonts w:ascii="宋体" w:hAnsi="宋体"/>
          <w:b/>
          <w:sz w:val="36"/>
          <w:szCs w:val="36"/>
        </w:rPr>
      </w:pPr>
      <w:r>
        <w:rPr>
          <w:rFonts w:hint="eastAsia" w:ascii="宋体" w:hAnsi="宋体"/>
          <w:b/>
          <w:sz w:val="44"/>
        </w:rPr>
        <w:t xml:space="preserve"> </w:t>
      </w:r>
    </w:p>
    <w:p>
      <w:pPr>
        <w:spacing w:line="360" w:lineRule="auto"/>
        <w:jc w:val="center"/>
        <w:rPr>
          <w:rFonts w:hint="eastAsia" w:ascii="宋体" w:hAnsi="宋体"/>
          <w:b/>
          <w:sz w:val="36"/>
          <w:szCs w:val="36"/>
        </w:rPr>
      </w:pPr>
    </w:p>
    <w:p>
      <w:pPr>
        <w:spacing w:line="360" w:lineRule="auto"/>
        <w:jc w:val="center"/>
        <w:rPr>
          <w:rFonts w:ascii="宋体" w:hAnsi="宋体"/>
          <w:b/>
          <w:color w:val="auto"/>
          <w:sz w:val="72"/>
          <w:highlight w:val="none"/>
        </w:rPr>
      </w:pPr>
      <w:r>
        <w:rPr>
          <w:rFonts w:hint="eastAsia" w:ascii="宋体" w:hAnsi="宋体"/>
          <w:b/>
          <w:color w:val="auto"/>
          <w:sz w:val="72"/>
          <w:highlight w:val="none"/>
        </w:rPr>
        <w:t>公开采购文件</w:t>
      </w:r>
    </w:p>
    <w:p>
      <w:pPr>
        <w:spacing w:line="360" w:lineRule="auto"/>
        <w:jc w:val="center"/>
        <w:rPr>
          <w:rFonts w:ascii="宋体" w:hAnsi="宋体"/>
          <w:b/>
          <w:color w:val="auto"/>
          <w:sz w:val="44"/>
          <w:highlight w:val="none"/>
        </w:rPr>
      </w:pPr>
    </w:p>
    <w:p>
      <w:pPr>
        <w:pStyle w:val="60"/>
        <w:ind w:firstLine="883"/>
        <w:rPr>
          <w:rFonts w:ascii="宋体" w:hAnsi="宋体"/>
          <w:b/>
          <w:color w:val="auto"/>
          <w:sz w:val="44"/>
          <w:highlight w:val="none"/>
        </w:rPr>
      </w:pPr>
    </w:p>
    <w:p>
      <w:pPr>
        <w:pStyle w:val="60"/>
        <w:ind w:firstLine="883"/>
        <w:rPr>
          <w:rFonts w:ascii="宋体" w:hAnsi="宋体"/>
          <w:b/>
          <w:color w:val="auto"/>
          <w:sz w:val="44"/>
          <w:highlight w:val="none"/>
        </w:rPr>
      </w:pPr>
    </w:p>
    <w:p>
      <w:pPr>
        <w:spacing w:line="360" w:lineRule="auto"/>
        <w:rPr>
          <w:rFonts w:ascii="宋体" w:hAnsi="宋体"/>
          <w:b/>
          <w:color w:val="auto"/>
          <w:sz w:val="44"/>
          <w:highlight w:val="none"/>
        </w:rPr>
      </w:pPr>
    </w:p>
    <w:tbl>
      <w:tblPr>
        <w:tblStyle w:val="38"/>
        <w:tblW w:w="8172" w:type="dxa"/>
        <w:jc w:val="center"/>
        <w:tblLayout w:type="fixed"/>
        <w:tblCellMar>
          <w:top w:w="0" w:type="dxa"/>
          <w:left w:w="108" w:type="dxa"/>
          <w:bottom w:w="0" w:type="dxa"/>
          <w:right w:w="108" w:type="dxa"/>
        </w:tblCellMar>
      </w:tblPr>
      <w:tblGrid>
        <w:gridCol w:w="1910"/>
        <w:gridCol w:w="6262"/>
      </w:tblGrid>
      <w:tr>
        <w:tblPrEx>
          <w:tblCellMar>
            <w:top w:w="0" w:type="dxa"/>
            <w:left w:w="108" w:type="dxa"/>
            <w:bottom w:w="0" w:type="dxa"/>
            <w:right w:w="108" w:type="dxa"/>
          </w:tblCellMar>
        </w:tblPrEx>
        <w:trPr>
          <w:trHeight w:val="810" w:hRule="atLeast"/>
          <w:jc w:val="center"/>
        </w:trPr>
        <w:tc>
          <w:tcPr>
            <w:tcW w:w="1910" w:type="dxa"/>
            <w:noWrap w:val="0"/>
            <w:vAlign w:val="center"/>
          </w:tcPr>
          <w:p>
            <w:pPr>
              <w:jc w:val="center"/>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项目编号</w:t>
            </w:r>
            <w:r>
              <w:rPr>
                <w:rFonts w:hint="eastAsia" w:ascii="宋体" w:hAnsi="宋体" w:eastAsia="宋体" w:cs="宋体"/>
                <w:b/>
                <w:color w:val="auto"/>
                <w:sz w:val="30"/>
                <w:szCs w:val="30"/>
                <w:highlight w:val="none"/>
              </w:rPr>
              <w:t>：</w:t>
            </w:r>
          </w:p>
        </w:tc>
        <w:tc>
          <w:tcPr>
            <w:tcW w:w="6262" w:type="dxa"/>
            <w:noWrap w:val="0"/>
            <w:vAlign w:val="center"/>
          </w:tcPr>
          <w:p>
            <w:pPr>
              <w:jc w:val="left"/>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eastAsia="zh-CN"/>
              </w:rPr>
              <w:t>NBSD202</w:t>
            </w:r>
            <w:r>
              <w:rPr>
                <w:rFonts w:hint="eastAsia" w:ascii="宋体" w:hAnsi="宋体" w:cs="宋体"/>
                <w:b/>
                <w:color w:val="auto"/>
                <w:sz w:val="30"/>
                <w:szCs w:val="30"/>
                <w:highlight w:val="none"/>
                <w:lang w:val="en-US" w:eastAsia="zh-CN"/>
              </w:rPr>
              <w:t>4</w:t>
            </w:r>
            <w:r>
              <w:rPr>
                <w:rFonts w:hint="eastAsia" w:ascii="宋体" w:hAnsi="宋体" w:eastAsia="宋体" w:cs="宋体"/>
                <w:b/>
                <w:color w:val="auto"/>
                <w:sz w:val="30"/>
                <w:szCs w:val="30"/>
                <w:highlight w:val="none"/>
                <w:lang w:eastAsia="zh-CN"/>
              </w:rPr>
              <w:t>-</w:t>
            </w:r>
            <w:r>
              <w:rPr>
                <w:rFonts w:hint="eastAsia" w:ascii="宋体" w:hAnsi="宋体" w:cs="宋体"/>
                <w:b/>
                <w:color w:val="auto"/>
                <w:sz w:val="30"/>
                <w:szCs w:val="30"/>
                <w:highlight w:val="none"/>
                <w:lang w:val="en-US" w:eastAsia="zh-CN"/>
              </w:rPr>
              <w:t>046</w:t>
            </w:r>
          </w:p>
        </w:tc>
      </w:tr>
      <w:tr>
        <w:tblPrEx>
          <w:tblCellMar>
            <w:top w:w="0" w:type="dxa"/>
            <w:left w:w="108" w:type="dxa"/>
            <w:bottom w:w="0" w:type="dxa"/>
            <w:right w:w="108" w:type="dxa"/>
          </w:tblCellMar>
        </w:tblPrEx>
        <w:trPr>
          <w:trHeight w:val="810" w:hRule="atLeast"/>
          <w:jc w:val="center"/>
        </w:trPr>
        <w:tc>
          <w:tcPr>
            <w:tcW w:w="1910" w:type="dxa"/>
            <w:noWrap w:val="0"/>
            <w:vAlign w:val="center"/>
          </w:tcPr>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项目名称：</w:t>
            </w:r>
          </w:p>
        </w:tc>
        <w:tc>
          <w:tcPr>
            <w:tcW w:w="6262" w:type="dxa"/>
            <w:noWrap w:val="0"/>
            <w:vAlign w:val="center"/>
          </w:tcPr>
          <w:p>
            <w:pPr>
              <w:jc w:val="left"/>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江北区城区街道消防安全第三方服务项目</w:t>
            </w:r>
          </w:p>
        </w:tc>
      </w:tr>
      <w:tr>
        <w:tblPrEx>
          <w:tblCellMar>
            <w:top w:w="0" w:type="dxa"/>
            <w:left w:w="108" w:type="dxa"/>
            <w:bottom w:w="0" w:type="dxa"/>
            <w:right w:w="108" w:type="dxa"/>
          </w:tblCellMar>
        </w:tblPrEx>
        <w:trPr>
          <w:trHeight w:val="810" w:hRule="atLeast"/>
          <w:jc w:val="center"/>
        </w:trPr>
        <w:tc>
          <w:tcPr>
            <w:tcW w:w="1910" w:type="dxa"/>
            <w:noWrap w:val="0"/>
            <w:vAlign w:val="center"/>
          </w:tcPr>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采购单位：</w:t>
            </w:r>
          </w:p>
        </w:tc>
        <w:tc>
          <w:tcPr>
            <w:tcW w:w="6262" w:type="dxa"/>
            <w:noWrap w:val="0"/>
            <w:vAlign w:val="center"/>
          </w:tcPr>
          <w:p>
            <w:pPr>
              <w:jc w:val="left"/>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宁波市江北区应急管理局</w:t>
            </w:r>
            <w:r>
              <w:rPr>
                <w:rFonts w:hint="eastAsia" w:ascii="宋体" w:hAnsi="宋体" w:eastAsia="宋体" w:cs="宋体"/>
                <w:b/>
                <w:color w:val="auto"/>
                <w:sz w:val="30"/>
                <w:szCs w:val="30"/>
                <w:highlight w:val="none"/>
                <w:lang w:eastAsia="zh-CN"/>
              </w:rPr>
              <w:t>（盖章）</w:t>
            </w:r>
          </w:p>
        </w:tc>
      </w:tr>
      <w:tr>
        <w:tblPrEx>
          <w:tblCellMar>
            <w:top w:w="0" w:type="dxa"/>
            <w:left w:w="108" w:type="dxa"/>
            <w:bottom w:w="0" w:type="dxa"/>
            <w:right w:w="108" w:type="dxa"/>
          </w:tblCellMar>
        </w:tblPrEx>
        <w:trPr>
          <w:trHeight w:val="810" w:hRule="atLeast"/>
          <w:jc w:val="center"/>
        </w:trPr>
        <w:tc>
          <w:tcPr>
            <w:tcW w:w="1910" w:type="dxa"/>
            <w:noWrap w:val="0"/>
            <w:vAlign w:val="center"/>
          </w:tcPr>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代理机构：</w:t>
            </w:r>
          </w:p>
        </w:tc>
        <w:tc>
          <w:tcPr>
            <w:tcW w:w="6262" w:type="dxa"/>
            <w:noWrap w:val="0"/>
            <w:vAlign w:val="center"/>
          </w:tcPr>
          <w:p>
            <w:pPr>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宁波市盛达工程管理咨询有限公司（盖章）</w:t>
            </w:r>
          </w:p>
        </w:tc>
      </w:tr>
      <w:tr>
        <w:tblPrEx>
          <w:tblCellMar>
            <w:top w:w="0" w:type="dxa"/>
            <w:left w:w="108" w:type="dxa"/>
            <w:bottom w:w="0" w:type="dxa"/>
            <w:right w:w="108" w:type="dxa"/>
          </w:tblCellMar>
        </w:tblPrEx>
        <w:trPr>
          <w:trHeight w:val="810" w:hRule="atLeast"/>
          <w:jc w:val="center"/>
        </w:trPr>
        <w:tc>
          <w:tcPr>
            <w:tcW w:w="8172" w:type="dxa"/>
            <w:gridSpan w:val="2"/>
            <w:noWrap w:val="0"/>
            <w:vAlign w:val="center"/>
          </w:tcPr>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202</w:t>
            </w:r>
            <w:r>
              <w:rPr>
                <w:rFonts w:hint="eastAsia" w:ascii="宋体" w:hAnsi="宋体" w:cs="宋体"/>
                <w:b/>
                <w:color w:val="auto"/>
                <w:sz w:val="30"/>
                <w:szCs w:val="30"/>
                <w:highlight w:val="none"/>
                <w:lang w:val="en-US" w:eastAsia="zh-CN"/>
              </w:rPr>
              <w:t>4</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5</w:t>
            </w:r>
            <w:r>
              <w:rPr>
                <w:rFonts w:hint="eastAsia" w:ascii="宋体" w:hAnsi="宋体" w:eastAsia="宋体" w:cs="宋体"/>
                <w:b/>
                <w:color w:val="auto"/>
                <w:sz w:val="30"/>
                <w:szCs w:val="30"/>
                <w:highlight w:val="none"/>
              </w:rPr>
              <w:t>月</w:t>
            </w:r>
          </w:p>
        </w:tc>
      </w:tr>
    </w:tbl>
    <w:p>
      <w:pPr>
        <w:pStyle w:val="19"/>
        <w:spacing w:before="120" w:after="120" w:line="360" w:lineRule="auto"/>
        <w:jc w:val="center"/>
        <w:rPr>
          <w:rFonts w:ascii="Times New Roman" w:hAnsi="Times New Roman"/>
          <w:color w:val="auto"/>
          <w:sz w:val="44"/>
          <w:szCs w:val="44"/>
          <w:highlight w:val="none"/>
        </w:rPr>
        <w:sectPr>
          <w:footerReference r:id="rId3" w:type="default"/>
          <w:footerReference r:id="rId4" w:type="even"/>
          <w:pgSz w:w="11906" w:h="16838"/>
          <w:pgMar w:top="1417" w:right="1701" w:bottom="1247" w:left="1701"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rPr>
          <w:color w:val="auto"/>
          <w:highlight w:val="none"/>
        </w:rPr>
      </w:pPr>
    </w:p>
    <w:p>
      <w:pPr>
        <w:jc w:val="center"/>
        <w:rPr>
          <w:rFonts w:hint="eastAsia" w:ascii="Times New Roman" w:hAnsi="Times New Roman"/>
          <w:b/>
          <w:bCs/>
          <w:color w:val="auto"/>
          <w:sz w:val="44"/>
          <w:szCs w:val="44"/>
          <w:highlight w:val="none"/>
        </w:rPr>
      </w:pPr>
      <w:r>
        <w:rPr>
          <w:rFonts w:hint="eastAsia" w:ascii="Times New Roman" w:hAnsi="Times New Roman"/>
          <w:b/>
          <w:bCs/>
          <w:color w:val="auto"/>
          <w:sz w:val="44"/>
          <w:szCs w:val="44"/>
          <w:highlight w:val="none"/>
        </w:rPr>
        <w:t>目    录</w:t>
      </w:r>
    </w:p>
    <w:p>
      <w:pPr>
        <w:rPr>
          <w:color w:val="auto"/>
          <w:highlight w:val="none"/>
        </w:rPr>
      </w:pPr>
    </w:p>
    <w:p>
      <w:pPr>
        <w:pStyle w:val="11"/>
        <w:rPr>
          <w:color w:val="auto"/>
          <w:highlight w:val="none"/>
        </w:rPr>
      </w:pPr>
    </w:p>
    <w:sdt>
      <w:sdtPr>
        <w:rPr>
          <w:rFonts w:ascii="宋体" w:hAnsi="宋体" w:eastAsia="宋体" w:cs="Times New Roman"/>
          <w:color w:val="auto"/>
          <w:kern w:val="2"/>
          <w:sz w:val="21"/>
          <w:szCs w:val="24"/>
          <w:highlight w:val="none"/>
          <w:lang w:val="en-US" w:eastAsia="zh-CN" w:bidi="ar-SA"/>
        </w:rPr>
        <w:id w:val="147466090"/>
        <w15:color w:val="DBDBDB"/>
        <w:docPartObj>
          <w:docPartGallery w:val="Table of Contents"/>
          <w:docPartUnique/>
        </w:docPartObj>
      </w:sdtPr>
      <w:sdtEndPr>
        <w:rPr>
          <w:rFonts w:hint="eastAsia" w:ascii="宋体" w:hAnsi="宋体" w:eastAsia="宋体" w:cs="宋体"/>
          <w:color w:val="auto"/>
          <w:kern w:val="2"/>
          <w:sz w:val="28"/>
          <w:szCs w:val="28"/>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88"/>
            <w:tabs>
              <w:tab w:val="right" w:leader="dot" w:pos="831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_Toc10621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公开招标采购公告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_Toc10621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8"/>
            <w:tabs>
              <w:tab w:val="right" w:leader="dot" w:pos="831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_Toc31317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_Toc31317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8"/>
            <w:tabs>
              <w:tab w:val="right" w:leader="dot" w:pos="831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_Toc29529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第三章  </w:t>
          </w: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_Toc29529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8"/>
            <w:tabs>
              <w:tab w:val="right" w:leader="dot" w:pos="831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_Toc20759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评标办法及评分标准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_Toc20759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8"/>
            <w:tabs>
              <w:tab w:val="right" w:leader="dot" w:pos="831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_Toc31530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第五章  合同主要条款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_Toc31530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8"/>
            <w:tabs>
              <w:tab w:val="right" w:leader="dot" w:pos="8312"/>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_Toc6651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_Toc6651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sdtContent>
    </w:sdt>
    <w:p>
      <w:pPr>
        <w:pStyle w:val="19"/>
        <w:snapToGrid w:val="0"/>
        <w:spacing w:before="120" w:after="120" w:line="440" w:lineRule="exact"/>
        <w:jc w:val="center"/>
        <w:outlineLvl w:val="0"/>
        <w:rPr>
          <w:rStyle w:val="54"/>
          <w:rFonts w:hint="eastAsia"/>
          <w:color w:val="auto"/>
          <w:highlight w:val="none"/>
        </w:rPr>
        <w:sectPr>
          <w:footerReference r:id="rId5" w:type="default"/>
          <w:pgSz w:w="11906" w:h="16838"/>
          <w:pgMar w:top="1417" w:right="1701" w:bottom="1247" w:left="1701"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0" w:name="_Toc10621"/>
    </w:p>
    <w:p>
      <w:pPr>
        <w:pStyle w:val="19"/>
        <w:snapToGrid w:val="0"/>
        <w:spacing w:before="120" w:after="120" w:line="440" w:lineRule="exact"/>
        <w:jc w:val="center"/>
        <w:outlineLvl w:val="0"/>
        <w:rPr>
          <w:rFonts w:ascii="Times New Roman" w:hAnsi="Times New Roman"/>
          <w:color w:val="auto"/>
          <w:sz w:val="30"/>
          <w:szCs w:val="30"/>
          <w:highlight w:val="none"/>
        </w:rPr>
      </w:pPr>
      <w:r>
        <w:rPr>
          <w:rStyle w:val="54"/>
          <w:rFonts w:hint="eastAsia"/>
          <w:color w:val="auto"/>
          <w:highlight w:val="none"/>
        </w:rPr>
        <w:t>第一章  公开招标采购公告</w:t>
      </w:r>
      <w:bookmarkEnd w:id="0"/>
    </w:p>
    <w:p>
      <w:pPr>
        <w:snapToGrid w:val="0"/>
        <w:spacing w:line="360" w:lineRule="auto"/>
        <w:ind w:firstLine="411" w:firstLineChars="196"/>
        <w:rPr>
          <w:rFonts w:hint="eastAsia" w:ascii="宋体" w:hAnsi="宋体" w:cs="宋体"/>
          <w:color w:val="auto"/>
          <w:szCs w:val="21"/>
          <w:highlight w:val="none"/>
        </w:rPr>
      </w:pPr>
    </w:p>
    <w:tbl>
      <w:tblPr>
        <w:tblStyle w:val="3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0" w:hRule="atLeast"/>
          <w:jc w:val="center"/>
        </w:trPr>
        <w:tc>
          <w:tcPr>
            <w:tcW w:w="9360" w:type="dxa"/>
            <w:noWrap w:val="0"/>
            <w:vAlign w:val="top"/>
          </w:tcPr>
          <w:p>
            <w:pPr>
              <w:pStyle w:val="4"/>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spacing w:line="360" w:lineRule="auto"/>
              <w:ind w:firstLine="420" w:firstLineChars="200"/>
              <w:rPr>
                <w:rFonts w:hint="eastAsia" w:ascii="宋体" w:hAnsi="宋体" w:eastAsia="宋体" w:cs="宋体"/>
                <w:color w:val="auto"/>
                <w:sz w:val="22"/>
                <w:szCs w:val="22"/>
                <w:highlight w:val="none"/>
              </w:rPr>
            </w:pPr>
            <w:r>
              <w:rPr>
                <w:rFonts w:hint="eastAsia" w:ascii="宋体" w:hAnsi="宋体" w:cs="宋体"/>
                <w:color w:val="auto"/>
                <w:kern w:val="0"/>
                <w:sz w:val="21"/>
                <w:szCs w:val="21"/>
                <w:highlight w:val="none"/>
                <w:u w:val="single"/>
                <w:lang w:val="en-US" w:eastAsia="zh-CN"/>
              </w:rPr>
              <w:t>江北区城区街道消防安全第三方服务项目</w:t>
            </w:r>
            <w:r>
              <w:rPr>
                <w:rFonts w:hint="eastAsia" w:ascii="宋体" w:hAnsi="宋体" w:eastAsia="宋体" w:cs="宋体"/>
                <w:color w:val="auto"/>
                <w:kern w:val="0"/>
                <w:sz w:val="21"/>
                <w:szCs w:val="21"/>
                <w:highlight w:val="none"/>
              </w:rPr>
              <w:t>的潜在</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应在政府采购云平台（www.zcygov.cn）获取（下载）招标文件，并于</w:t>
            </w:r>
            <w:r>
              <w:rPr>
                <w:rFonts w:hint="eastAsia" w:ascii="宋体" w:hAnsi="宋体" w:eastAsia="宋体" w:cs="宋体"/>
                <w:color w:val="auto"/>
                <w:kern w:val="0"/>
                <w:sz w:val="21"/>
                <w:szCs w:val="21"/>
                <w:highlight w:val="none"/>
                <w:u w:val="single"/>
              </w:rPr>
              <w:t>202</w:t>
            </w:r>
            <w:r>
              <w:rPr>
                <w:rFonts w:hint="eastAsia" w:ascii="宋体" w:hAnsi="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u w:val="single"/>
                <w:lang w:val="en-US" w:eastAsia="zh-CN"/>
              </w:rPr>
              <w:t xml:space="preserve"> 6 </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u w:val="single"/>
                <w:lang w:val="en-US" w:eastAsia="zh-CN"/>
              </w:rPr>
              <w:t xml:space="preserve"> 21 </w:t>
            </w:r>
            <w:r>
              <w:rPr>
                <w:rFonts w:hint="eastAsia" w:ascii="宋体" w:hAnsi="宋体" w:eastAsia="宋体" w:cs="宋体"/>
                <w:color w:val="auto"/>
                <w:kern w:val="0"/>
                <w:sz w:val="21"/>
                <w:szCs w:val="21"/>
                <w:highlight w:val="none"/>
              </w:rPr>
              <w:t>日</w:t>
            </w:r>
            <w:r>
              <w:rPr>
                <w:rFonts w:hint="eastAsia" w:ascii="宋体" w:hAnsi="宋体" w:cs="宋体"/>
                <w:color w:val="auto"/>
                <w:kern w:val="0"/>
                <w:sz w:val="21"/>
                <w:szCs w:val="21"/>
                <w:highlight w:val="none"/>
                <w:u w:val="single"/>
                <w:lang w:val="en-US" w:eastAsia="zh-CN"/>
              </w:rPr>
              <w:t xml:space="preserve"> 14 </w:t>
            </w:r>
            <w:r>
              <w:rPr>
                <w:rFonts w:hint="eastAsia" w:ascii="宋体" w:hAnsi="宋体" w:eastAsia="宋体" w:cs="宋体"/>
                <w:color w:val="auto"/>
                <w:kern w:val="0"/>
                <w:sz w:val="21"/>
                <w:szCs w:val="21"/>
                <w:highlight w:val="none"/>
                <w:u w:val="none"/>
                <w:lang w:val="en-US" w:eastAsia="zh-CN"/>
              </w:rPr>
              <w:t>时</w:t>
            </w:r>
            <w:r>
              <w:rPr>
                <w:rFonts w:hint="eastAsia" w:ascii="宋体" w:hAnsi="宋体" w:cs="宋体"/>
                <w:color w:val="auto"/>
                <w:kern w:val="0"/>
                <w:sz w:val="21"/>
                <w:szCs w:val="21"/>
                <w:highlight w:val="none"/>
                <w:u w:val="single"/>
                <w:lang w:val="en-US" w:eastAsia="zh-CN"/>
              </w:rPr>
              <w:t xml:space="preserve"> 00 </w:t>
            </w:r>
            <w:r>
              <w:rPr>
                <w:rFonts w:hint="eastAsia" w:ascii="宋体" w:hAnsi="宋体" w:cs="宋体"/>
                <w:color w:val="auto"/>
                <w:kern w:val="0"/>
                <w:sz w:val="21"/>
                <w:szCs w:val="21"/>
                <w:highlight w:val="none"/>
                <w:u w:val="none"/>
                <w:lang w:val="en-US" w:eastAsia="zh-CN"/>
              </w:rPr>
              <w:t>分</w:t>
            </w:r>
            <w:r>
              <w:rPr>
                <w:rFonts w:hint="eastAsia" w:ascii="宋体" w:hAnsi="宋体" w:eastAsia="宋体" w:cs="宋体"/>
                <w:color w:val="auto"/>
                <w:kern w:val="0"/>
                <w:sz w:val="21"/>
                <w:szCs w:val="21"/>
                <w:highlight w:val="none"/>
              </w:rPr>
              <w:t>（北京时间）前递交（上传）投标文件。</w:t>
            </w:r>
          </w:p>
        </w:tc>
      </w:tr>
    </w:tbl>
    <w:p>
      <w:pPr>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2"/>
          <w:szCs w:val="22"/>
          <w:highlight w:val="none"/>
        </w:rPr>
      </w:pPr>
    </w:p>
    <w:p>
      <w:pPr>
        <w:pStyle w:val="4"/>
        <w:pageBreakBefore w:val="0"/>
        <w:kinsoku/>
        <w:overflowPunct/>
        <w:topLinePunct w:val="0"/>
        <w:autoSpaceDE/>
        <w:autoSpaceDN/>
        <w:bidi w:val="0"/>
        <w:adjustRightIn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一、项目基本情况</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NBSD202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046</w:t>
      </w:r>
      <w:r>
        <w:rPr>
          <w:rFonts w:hint="eastAsia" w:ascii="宋体" w:hAnsi="宋体" w:eastAsia="宋体" w:cs="宋体"/>
          <w:color w:val="auto"/>
          <w:sz w:val="21"/>
          <w:szCs w:val="21"/>
          <w:highlight w:val="none"/>
        </w:rPr>
        <w:t>（交易登记号：</w:t>
      </w:r>
      <w:r>
        <w:rPr>
          <w:rFonts w:hint="eastAsia" w:ascii="宋体" w:hAnsi="宋体" w:eastAsia="宋体" w:cs="宋体"/>
          <w:color w:val="auto"/>
          <w:sz w:val="21"/>
          <w:szCs w:val="21"/>
          <w:highlight w:val="none"/>
          <w:u w:val="single"/>
        </w:rPr>
        <w:t>FSCG2024093</w:t>
      </w:r>
      <w:r>
        <w:rPr>
          <w:rFonts w:hint="eastAsia" w:ascii="宋体" w:hAnsi="宋体" w:eastAsia="宋体" w:cs="宋体"/>
          <w:color w:val="auto"/>
          <w:sz w:val="21"/>
          <w:szCs w:val="21"/>
          <w:highlight w:val="none"/>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kern w:val="0"/>
          <w:sz w:val="21"/>
          <w:szCs w:val="21"/>
          <w:highlight w:val="none"/>
          <w:u w:val="single"/>
          <w:lang w:val="en-US" w:eastAsia="zh-CN"/>
        </w:rPr>
        <w:t>江北区城区街道消防安全第三方服务项目</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u w:val="single"/>
          <w:lang w:val="en-US" w:eastAsia="zh-CN"/>
        </w:rPr>
        <w:t>100万元/年</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100万元/年</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lang w:val="en-US" w:eastAsia="zh-CN"/>
        </w:rPr>
      </w:pPr>
      <w:bookmarkStart w:id="1" w:name="_Toc28359080"/>
      <w:bookmarkStart w:id="2" w:name="_Toc35393622"/>
      <w:bookmarkStart w:id="3" w:name="_Toc28359003"/>
      <w:bookmarkStart w:id="4" w:name="_Toc35393791"/>
      <w:r>
        <w:rPr>
          <w:rFonts w:hint="eastAsia" w:ascii="宋体" w:hAnsi="宋体" w:eastAsia="宋体" w:cs="宋体"/>
          <w:color w:val="auto"/>
          <w:sz w:val="21"/>
          <w:szCs w:val="21"/>
          <w:highlight w:val="none"/>
        </w:rPr>
        <w:t>采购需求：</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w:t>
      </w:r>
      <w:r>
        <w:rPr>
          <w:rFonts w:hint="eastAsia" w:ascii="宋体" w:hAnsi="宋体" w:cs="宋体"/>
          <w:color w:val="auto"/>
          <w:kern w:val="0"/>
          <w:sz w:val="21"/>
          <w:szCs w:val="21"/>
          <w:highlight w:val="none"/>
          <w:u w:val="single"/>
          <w:lang w:val="en-US" w:eastAsia="zh-CN"/>
        </w:rPr>
        <w:t>江北区城区街道消防安全第三方服务项目</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1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u w:val="single"/>
          <w:lang w:val="en-US" w:eastAsia="zh-CN"/>
        </w:rPr>
        <w:t>100万元/年</w:t>
      </w:r>
      <w:r>
        <w:rPr>
          <w:rFonts w:hint="eastAsia" w:ascii="宋体" w:hAnsi="宋体" w:eastAsia="宋体" w:cs="宋体"/>
          <w:color w:val="auto"/>
          <w:sz w:val="21"/>
          <w:szCs w:val="21"/>
          <w:highlight w:val="none"/>
          <w:lang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kern w:val="0"/>
          <w:sz w:val="21"/>
          <w:szCs w:val="21"/>
          <w:highlight w:val="none"/>
          <w:u w:val="none"/>
          <w:lang w:val="en-US" w:eastAsia="zh-CN"/>
        </w:rPr>
        <w:t>：</w:t>
      </w:r>
      <w:r>
        <w:rPr>
          <w:rFonts w:hint="eastAsia" w:ascii="宋体" w:hAnsi="宋体" w:eastAsia="宋体" w:cs="宋体"/>
          <w:color w:val="auto"/>
          <w:kern w:val="0"/>
          <w:sz w:val="21"/>
          <w:szCs w:val="21"/>
          <w:highlight w:val="none"/>
          <w:u w:val="single"/>
          <w:lang w:val="en-US" w:eastAsia="zh-CN"/>
        </w:rPr>
        <w:t>为全面掌握江北区城区街道（外滩街道、文教街道、孔浦街道）商贸企业（含沿街店铺）的消防安全状况，采购人通过公开招标的方式选定一家消防安全服务机构协助采购人开展服务区域内商贸企业（含沿街店铺）的消防安全监督</w:t>
      </w:r>
      <w:r>
        <w:rPr>
          <w:rFonts w:hint="eastAsia" w:ascii="宋体" w:hAnsi="宋体" w:cs="宋体"/>
          <w:color w:val="auto"/>
          <w:kern w:val="0"/>
          <w:sz w:val="21"/>
          <w:szCs w:val="21"/>
          <w:highlight w:val="none"/>
          <w:u w:val="single"/>
          <w:lang w:val="en-US" w:eastAsia="zh-CN"/>
        </w:rPr>
        <w:t>检查工作，具体内容详</w:t>
      </w:r>
      <w:r>
        <w:rPr>
          <w:rFonts w:hint="eastAsia" w:ascii="宋体" w:hAnsi="宋体" w:eastAsia="宋体" w:cs="宋体"/>
          <w:color w:val="auto"/>
          <w:kern w:val="0"/>
          <w:sz w:val="21"/>
          <w:szCs w:val="21"/>
          <w:highlight w:val="none"/>
          <w:u w:val="single"/>
          <w:lang w:val="en-US" w:eastAsia="zh-CN"/>
        </w:rPr>
        <w:t>见招标文件第二章《</w:t>
      </w:r>
      <w:r>
        <w:rPr>
          <w:rFonts w:hint="eastAsia" w:ascii="宋体" w:hAnsi="宋体" w:cs="宋体"/>
          <w:color w:val="auto"/>
          <w:kern w:val="0"/>
          <w:sz w:val="21"/>
          <w:szCs w:val="21"/>
          <w:highlight w:val="none"/>
          <w:u w:val="single"/>
          <w:lang w:val="en-US" w:eastAsia="zh-CN"/>
        </w:rPr>
        <w:t>采购</w:t>
      </w:r>
      <w:r>
        <w:rPr>
          <w:rFonts w:hint="eastAsia" w:ascii="宋体" w:hAnsi="宋体" w:eastAsia="宋体" w:cs="宋体"/>
          <w:color w:val="auto"/>
          <w:kern w:val="0"/>
          <w:sz w:val="21"/>
          <w:szCs w:val="21"/>
          <w:highlight w:val="none"/>
          <w:u w:val="single"/>
          <w:lang w:val="en-US" w:eastAsia="zh-CN"/>
        </w:rPr>
        <w:t>需求》</w:t>
      </w:r>
      <w:r>
        <w:rPr>
          <w:rFonts w:hint="eastAsia" w:ascii="宋体" w:hAnsi="宋体" w:eastAsia="宋体" w:cs="宋体"/>
          <w:color w:val="auto"/>
          <w:sz w:val="21"/>
          <w:szCs w:val="21"/>
          <w:highlight w:val="none"/>
          <w:lang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cs="宋体"/>
          <w:color w:val="auto"/>
          <w:sz w:val="21"/>
          <w:szCs w:val="21"/>
          <w:highlight w:val="none"/>
          <w:u w:val="single"/>
          <w:lang w:val="en-US" w:eastAsia="zh-CN"/>
        </w:rPr>
        <w:t xml:space="preserve">  /  </w:t>
      </w:r>
      <w:r>
        <w:rPr>
          <w:rFonts w:hint="eastAsia" w:ascii="宋体" w:hAnsi="宋体" w:cs="宋体"/>
          <w:color w:val="auto"/>
          <w:sz w:val="21"/>
          <w:szCs w:val="21"/>
          <w:highlight w:val="none"/>
          <w:u w:val="none"/>
          <w:lang w:val="en-US"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w:t>
      </w:r>
      <w:r>
        <w:rPr>
          <w:rFonts w:hint="eastAsia" w:ascii="宋体" w:hAnsi="宋体" w:cs="宋体"/>
          <w:color w:val="auto"/>
          <w:szCs w:val="21"/>
          <w:highlight w:val="none"/>
          <w:u w:val="single"/>
          <w:lang w:val="en-US" w:eastAsia="zh-CN"/>
        </w:rPr>
        <w:t>自合同签订之日起三年，合同一年一签，采购人根据中标单位在上一年度合同履约情况、考核验收情况及财政资金审批情况等决定是否续签</w:t>
      </w:r>
      <w:r>
        <w:rPr>
          <w:rFonts w:hint="eastAsia" w:ascii="宋体" w:hAnsi="宋体" w:eastAsia="宋体" w:cs="宋体"/>
          <w:color w:val="auto"/>
          <w:sz w:val="21"/>
          <w:szCs w:val="21"/>
          <w:highlight w:val="none"/>
          <w:lang w:val="en-US"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u w:val="single"/>
          <w:lang w:val="en-US" w:eastAsia="zh-CN"/>
        </w:rPr>
        <w:t>不</w:t>
      </w:r>
      <w:r>
        <w:rPr>
          <w:rFonts w:hint="eastAsia" w:ascii="宋体" w:hAnsi="宋体" w:eastAsia="宋体" w:cs="宋体"/>
          <w:color w:val="auto"/>
          <w:sz w:val="21"/>
          <w:szCs w:val="21"/>
          <w:highlight w:val="none"/>
          <w:u w:val="single"/>
        </w:rPr>
        <w:t>接受</w:t>
      </w:r>
      <w:r>
        <w:rPr>
          <w:rFonts w:hint="eastAsia" w:ascii="宋体" w:hAnsi="宋体" w:eastAsia="宋体" w:cs="宋体"/>
          <w:color w:val="auto"/>
          <w:sz w:val="21"/>
          <w:szCs w:val="21"/>
          <w:highlight w:val="none"/>
        </w:rPr>
        <w:t>联合体投标。</w:t>
      </w:r>
    </w:p>
    <w:p>
      <w:pPr>
        <w:pStyle w:val="4"/>
        <w:pageBreakBefore w:val="0"/>
        <w:kinsoku/>
        <w:overflowPunct/>
        <w:topLinePunct w:val="0"/>
        <w:autoSpaceDE/>
        <w:autoSpaceDN/>
        <w:bidi w:val="0"/>
        <w:adjustRightIn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二、申请人的资格要求</w:t>
      </w:r>
      <w:bookmarkEnd w:id="1"/>
      <w:bookmarkEnd w:id="2"/>
      <w:bookmarkEnd w:id="3"/>
      <w:bookmarkEnd w:id="4"/>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bookmarkStart w:id="5" w:name="_Toc28359085"/>
      <w:bookmarkStart w:id="6" w:name="_Toc35393627"/>
      <w:bookmarkStart w:id="7" w:name="_Toc35393796"/>
      <w:bookmarkStart w:id="8" w:name="_Toc28359008"/>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符合《中华人民共和国政府采购法》第二十二条规定的供应商资格条件：</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u w:val="single"/>
        </w:rPr>
        <w:t>本项目属于专门面向中小企业采购的项目，供应商应为符合《政府采购促进中小企业发展管理办法》（财库﹝2020﹞46 号）规定的中小企业（其中，小微企业包括视同为小型、微型企业的监狱企业、残疾人福利性单位）</w:t>
      </w:r>
      <w:r>
        <w:rPr>
          <w:rFonts w:hint="eastAsia" w:ascii="宋体" w:hAnsi="宋体" w:cs="宋体"/>
          <w:color w:val="auto"/>
          <w:sz w:val="21"/>
          <w:szCs w:val="21"/>
          <w:highlight w:val="none"/>
          <w:u w:val="none"/>
          <w:lang w:eastAsia="zh-CN"/>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b w:val="0"/>
          <w:bCs w:val="0"/>
          <w:color w:val="auto"/>
          <w:sz w:val="21"/>
          <w:szCs w:val="21"/>
          <w:highlight w:val="none"/>
        </w:rPr>
        <w:t>。</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，不得参加同一标项的投标。为本项目提供整体设计、规范编制或者项目管理、监理、检测等服务的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，不得再参加本项目的投标。</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未被列入“信用中国”网站(www.creditchina.gov.cn)中的“失信被执行人或重大税收违法案件当事人名单或政府采购严重违法失信名单”，不处于中国政府采购网(www.ccgp.gov.cn)“政府采购严重违法失信行为记录名单”处罚结果确定为禁止参加政府采购活动期间。（以采购代理机构于投标截止日当天在信用中国网站及中国政府采购网查询结果为准；若在开标当天因不可抗力事件导致无法查询且一时无法恢复查询的，可在中标公告前对中标候选人进行事后查询。中标候选人被列入失信被执行人、重大税收违法案件当事人名单或政府采购严重违法失信名单、政府采购严重违法失信行为记录名单处罚结果确定为禁止参加政府采购活动期间的，采购人将依法取消其中标资格。）</w:t>
      </w:r>
      <w:r>
        <w:rPr>
          <w:rFonts w:hint="eastAsia" w:ascii="宋体" w:hAnsi="宋体" w:cs="宋体"/>
          <w:color w:val="auto"/>
          <w:sz w:val="21"/>
          <w:szCs w:val="21"/>
          <w:highlight w:val="none"/>
          <w:lang w:eastAsia="zh-CN"/>
        </w:rPr>
        <w:t>。</w:t>
      </w:r>
    </w:p>
    <w:p>
      <w:pPr>
        <w:pStyle w:val="4"/>
        <w:pageBreakBefore w:val="0"/>
        <w:kinsoku/>
        <w:overflowPunct/>
        <w:topLinePunct w:val="0"/>
        <w:autoSpaceDE/>
        <w:autoSpaceDN/>
        <w:bidi w:val="0"/>
        <w:adjustRightIn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三、获取（下载）招标文件</w:t>
      </w:r>
    </w:p>
    <w:p>
      <w:pPr>
        <w:keepNext w:val="0"/>
        <w:keepLines w:val="0"/>
        <w:pageBreakBefore w:val="0"/>
        <w:kinsoku/>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lang w:val="en-US"/>
        </w:rPr>
        <w:t xml:space="preserve">  /  </w:t>
      </w:r>
      <w:r>
        <w:rPr>
          <w:rFonts w:hint="eastAsia" w:ascii="宋体" w:hAnsi="宋体" w:eastAsia="宋体" w:cs="宋体"/>
          <w:color w:val="auto"/>
          <w:sz w:val="21"/>
          <w:szCs w:val="21"/>
          <w:highlight w:val="none"/>
        </w:rPr>
        <w:t>至</w:t>
      </w:r>
      <w:r>
        <w:rPr>
          <w:rFonts w:hint="eastAsia" w:ascii="宋体" w:hAnsi="宋体" w:eastAsia="宋体" w:cs="宋体"/>
          <w:color w:val="auto"/>
          <w:kern w:val="0"/>
          <w:sz w:val="21"/>
          <w:szCs w:val="21"/>
          <w:highlight w:val="none"/>
          <w:u w:val="single"/>
        </w:rPr>
        <w:t>202</w:t>
      </w:r>
      <w:r>
        <w:rPr>
          <w:rFonts w:hint="eastAsia" w:ascii="宋体" w:hAnsi="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u w:val="single"/>
          <w:lang w:val="en-US" w:eastAsia="zh-CN"/>
        </w:rPr>
        <w:t xml:space="preserve"> 6 </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u w:val="single"/>
          <w:lang w:val="en-US" w:eastAsia="zh-CN"/>
        </w:rPr>
        <w:t xml:space="preserve"> 21 </w:t>
      </w:r>
      <w:r>
        <w:rPr>
          <w:rFonts w:hint="eastAsia" w:ascii="宋体" w:hAnsi="宋体" w:eastAsia="宋体" w:cs="宋体"/>
          <w:color w:val="auto"/>
          <w:kern w:val="0"/>
          <w:sz w:val="21"/>
          <w:szCs w:val="21"/>
          <w:highlight w:val="none"/>
        </w:rPr>
        <w:t>日</w:t>
      </w:r>
      <w:r>
        <w:rPr>
          <w:rFonts w:hint="eastAsia" w:ascii="宋体" w:hAnsi="宋体" w:eastAsia="宋体" w:cs="宋体"/>
          <w:color w:val="auto"/>
          <w:sz w:val="21"/>
          <w:szCs w:val="21"/>
          <w:highlight w:val="none"/>
        </w:rPr>
        <w:t>，每天上午00:00至12:00，下午12:00至23:59（北京时间，线上获取法定节假日均可，线下获取文件法定节假日除外）</w:t>
      </w:r>
    </w:p>
    <w:p>
      <w:pPr>
        <w:keepNext w:val="0"/>
        <w:keepLines w:val="0"/>
        <w:pageBreakBefore w:val="0"/>
        <w:kinsoku/>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地点：政采云平台（http://zfcg.czt.zj.gov.cn）</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方式：本项目采购文件于“政府采购云平台”在线获取。</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获取采购文件前应先完成“政府采购云平台”的账号注册，</w:t>
      </w:r>
      <w:r>
        <w:rPr>
          <w:rFonts w:hint="eastAsia" w:ascii="宋体" w:hAnsi="宋体" w:eastAsia="宋体" w:cs="宋体"/>
          <w:color w:val="auto"/>
          <w:sz w:val="21"/>
          <w:szCs w:val="21"/>
          <w:highlight w:val="none"/>
          <w:lang w:eastAsia="zh-CN"/>
        </w:rPr>
        <w:t>登录</w:t>
      </w:r>
      <w:r>
        <w:rPr>
          <w:rFonts w:hint="eastAsia" w:ascii="宋体" w:hAnsi="宋体" w:eastAsia="宋体" w:cs="宋体"/>
          <w:color w:val="auto"/>
          <w:sz w:val="21"/>
          <w:szCs w:val="21"/>
          <w:highlight w:val="none"/>
        </w:rPr>
        <w:t>政府采购云平台（www.zcygov.cn）在线申请获取采购文件（政府采购云平台→“政采云用户”登录→【项目采购】→【获取采购文件】），进入“项目采购”应用，在获取采购文件菜单中选择项目，申请获取采购文件，仅浏览采购文件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可点击“游客，浏览采购文件”下载采购文件浏览；招标公告附件内的采购文件仅供阅览，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只有在“政府采购云平台”完成获取采购文件申请并下载了采购文件后方视作依法获取采购文件（法律、法规所指的获取采购文件时间以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完成获取采购文件申请后下载采购文件的时间为准）。注：请</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按上述要求获取采购文件，如未在“政府采购云平台”完成相关流程引起的无效投标，责任自负。</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bidi="ar-SA"/>
        </w:rPr>
        <w:t>招标文件售价：免费。</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四、投标文件提交（上传）截止时间及地点</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提交投标文件截止时间：</w:t>
      </w:r>
      <w:r>
        <w:rPr>
          <w:rFonts w:hint="eastAsia" w:ascii="宋体" w:hAnsi="宋体" w:eastAsia="宋体" w:cs="宋体"/>
          <w:color w:val="auto"/>
          <w:kern w:val="0"/>
          <w:sz w:val="21"/>
          <w:szCs w:val="21"/>
          <w:highlight w:val="none"/>
          <w:u w:val="single"/>
        </w:rPr>
        <w:t>202</w:t>
      </w:r>
      <w:r>
        <w:rPr>
          <w:rFonts w:hint="eastAsia" w:ascii="宋体" w:hAnsi="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u w:val="single"/>
          <w:lang w:val="en-US" w:eastAsia="zh-CN"/>
        </w:rPr>
        <w:t xml:space="preserve"> 6 </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u w:val="single"/>
          <w:lang w:val="en-US" w:eastAsia="zh-CN"/>
        </w:rPr>
        <w:t xml:space="preserve"> 21 </w:t>
      </w:r>
      <w:r>
        <w:rPr>
          <w:rFonts w:hint="eastAsia" w:ascii="宋体" w:hAnsi="宋体" w:eastAsia="宋体" w:cs="宋体"/>
          <w:color w:val="auto"/>
          <w:kern w:val="0"/>
          <w:sz w:val="21"/>
          <w:szCs w:val="21"/>
          <w:highlight w:val="none"/>
        </w:rPr>
        <w:t>日</w:t>
      </w:r>
      <w:r>
        <w:rPr>
          <w:rFonts w:hint="eastAsia" w:ascii="宋体" w:hAnsi="宋体" w:cs="宋体"/>
          <w:color w:val="auto"/>
          <w:kern w:val="0"/>
          <w:sz w:val="21"/>
          <w:szCs w:val="21"/>
          <w:highlight w:val="none"/>
          <w:u w:val="single"/>
          <w:lang w:val="en-US" w:eastAsia="zh-CN"/>
        </w:rPr>
        <w:t xml:space="preserve"> 14 </w:t>
      </w:r>
      <w:r>
        <w:rPr>
          <w:rFonts w:hint="eastAsia" w:ascii="宋体" w:hAnsi="宋体" w:eastAsia="宋体" w:cs="宋体"/>
          <w:color w:val="auto"/>
          <w:kern w:val="0"/>
          <w:sz w:val="21"/>
          <w:szCs w:val="21"/>
          <w:highlight w:val="none"/>
          <w:u w:val="none"/>
          <w:lang w:val="en-US" w:eastAsia="zh-CN"/>
        </w:rPr>
        <w:t>时</w:t>
      </w:r>
      <w:r>
        <w:rPr>
          <w:rFonts w:hint="eastAsia" w:ascii="宋体" w:hAnsi="宋体" w:cs="宋体"/>
          <w:color w:val="auto"/>
          <w:kern w:val="0"/>
          <w:sz w:val="21"/>
          <w:szCs w:val="21"/>
          <w:highlight w:val="none"/>
          <w:u w:val="single"/>
          <w:lang w:val="en-US" w:eastAsia="zh-CN"/>
        </w:rPr>
        <w:t xml:space="preserve"> 00 </w:t>
      </w:r>
      <w:r>
        <w:rPr>
          <w:rFonts w:hint="eastAsia" w:ascii="宋体" w:hAnsi="宋体" w:cs="宋体"/>
          <w:color w:val="auto"/>
          <w:kern w:val="0"/>
          <w:sz w:val="21"/>
          <w:szCs w:val="21"/>
          <w:highlight w:val="none"/>
          <w:u w:val="none"/>
          <w:lang w:val="en-US" w:eastAsia="zh-CN"/>
        </w:rPr>
        <w:t>分</w:t>
      </w:r>
      <w:r>
        <w:rPr>
          <w:rFonts w:hint="eastAsia" w:ascii="宋体" w:hAnsi="宋体" w:eastAsia="宋体" w:cs="宋体"/>
          <w:color w:val="auto"/>
          <w:sz w:val="21"/>
          <w:szCs w:val="21"/>
          <w:highlight w:val="none"/>
        </w:rPr>
        <w:t>（北京时间）</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投标地点（网址）：</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通过“政府采购云平台（www.zcygov.cn）”在线制作、传输递交电子投标文件。 </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kern w:val="0"/>
          <w:sz w:val="21"/>
          <w:szCs w:val="21"/>
          <w:highlight w:val="none"/>
          <w:u w:val="single"/>
        </w:rPr>
        <w:t>202</w:t>
      </w:r>
      <w:r>
        <w:rPr>
          <w:rFonts w:hint="eastAsia" w:ascii="宋体" w:hAnsi="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u w:val="single"/>
          <w:lang w:val="en-US" w:eastAsia="zh-CN"/>
        </w:rPr>
        <w:t xml:space="preserve"> 6 </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u w:val="single"/>
          <w:lang w:val="en-US" w:eastAsia="zh-CN"/>
        </w:rPr>
        <w:t xml:space="preserve"> 21 </w:t>
      </w:r>
      <w:r>
        <w:rPr>
          <w:rFonts w:hint="eastAsia" w:ascii="宋体" w:hAnsi="宋体" w:eastAsia="宋体" w:cs="宋体"/>
          <w:color w:val="auto"/>
          <w:kern w:val="0"/>
          <w:sz w:val="21"/>
          <w:szCs w:val="21"/>
          <w:highlight w:val="none"/>
        </w:rPr>
        <w:t>日</w:t>
      </w:r>
      <w:r>
        <w:rPr>
          <w:rFonts w:hint="eastAsia" w:ascii="宋体" w:hAnsi="宋体" w:cs="宋体"/>
          <w:color w:val="auto"/>
          <w:kern w:val="0"/>
          <w:sz w:val="21"/>
          <w:szCs w:val="21"/>
          <w:highlight w:val="none"/>
          <w:u w:val="single"/>
          <w:lang w:val="en-US" w:eastAsia="zh-CN"/>
        </w:rPr>
        <w:t xml:space="preserve"> 14 </w:t>
      </w:r>
      <w:r>
        <w:rPr>
          <w:rFonts w:hint="eastAsia" w:ascii="宋体" w:hAnsi="宋体" w:eastAsia="宋体" w:cs="宋体"/>
          <w:color w:val="auto"/>
          <w:kern w:val="0"/>
          <w:sz w:val="21"/>
          <w:szCs w:val="21"/>
          <w:highlight w:val="none"/>
          <w:u w:val="none"/>
          <w:lang w:val="en-US" w:eastAsia="zh-CN"/>
        </w:rPr>
        <w:t>时</w:t>
      </w:r>
      <w:r>
        <w:rPr>
          <w:rFonts w:hint="eastAsia" w:ascii="宋体" w:hAnsi="宋体" w:cs="宋体"/>
          <w:color w:val="auto"/>
          <w:kern w:val="0"/>
          <w:sz w:val="21"/>
          <w:szCs w:val="21"/>
          <w:highlight w:val="none"/>
          <w:u w:val="single"/>
          <w:lang w:val="en-US" w:eastAsia="zh-CN"/>
        </w:rPr>
        <w:t xml:space="preserve"> 00 </w:t>
      </w:r>
      <w:r>
        <w:rPr>
          <w:rFonts w:hint="eastAsia" w:ascii="宋体" w:hAnsi="宋体" w:cs="宋体"/>
          <w:color w:val="auto"/>
          <w:kern w:val="0"/>
          <w:sz w:val="21"/>
          <w:szCs w:val="21"/>
          <w:highlight w:val="none"/>
          <w:u w:val="none"/>
          <w:lang w:val="en-US" w:eastAsia="zh-CN"/>
        </w:rPr>
        <w:t>分</w:t>
      </w:r>
      <w:r>
        <w:rPr>
          <w:rFonts w:hint="eastAsia" w:ascii="宋体" w:hAnsi="宋体" w:eastAsia="宋体" w:cs="宋体"/>
          <w:color w:val="auto"/>
          <w:sz w:val="21"/>
          <w:szCs w:val="21"/>
          <w:highlight w:val="none"/>
        </w:rPr>
        <w:t>（北京时间） </w:t>
      </w:r>
    </w:p>
    <w:p>
      <w:pPr>
        <w:keepNext w:val="0"/>
        <w:keepLines w:val="0"/>
        <w:pageBreakBefore w:val="0"/>
        <w:kinsoku/>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开标地点（网址）：宁波市江北区公共资源交易中心开标室（江北区育才路138号北投大厦南楼7楼）。本项目通过“政府采购云平台”实行在线电子投标，</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应在线参加开标。 </w:t>
      </w:r>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五、公告期限</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both"/>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六、其他补充事宜</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2.其他事项：</w:t>
      </w:r>
    </w:p>
    <w:p>
      <w:pPr>
        <w:keepNext w:val="0"/>
        <w:keepLines w:val="0"/>
        <w:pageBreakBefore w:val="0"/>
        <w:kinsoku/>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须在浙江政府采购网进行注册登记。注册具体要求及申请流程详见《浙江省政府采购供应商注册及诚信管理暂行办法》(浙财采监字{2009}28号)和浙江政府采购网“网上办事指南”的“供应商注册申请”，未注册供应商应当注意注册登记所需时间，以免影响投标。</w:t>
      </w:r>
    </w:p>
    <w:p>
      <w:pPr>
        <w:keepNext w:val="0"/>
        <w:keepLines w:val="0"/>
        <w:pageBreakBefore w:val="0"/>
        <w:widowControl/>
        <w:kinsoku/>
        <w:wordWrap w:val="0"/>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本次政府采购活动有关信息在“浙江政府采购网（http://zfcg.czt.zj.gov.cn/）”、“宁波市政府采购网（www.nbzfcg.cn）”、“宁波市公共资源交易管理办公室宁波市公共资源交易电子服务系统（甬易阳光）”网站上公布。</w:t>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关于在线投标与开标注意事项：</w:t>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本项目通过“政府采购云平台（www.zcygov.cn）”实行网上投标，采用电子投标文件。若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参与投标，自行承担投标一切费用。</w:t>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rPr>
        <w:t>标前准备：各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应在开标前确保成为浙江政府采购网正式注册入库供应商，并完成CA数字证书办理，具体请自行前往“浙江政府采购网-下载专区-电子交易客户端-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"http://zfcg.czt.zj.gov.cn/bidClientTemplate/2019-05-27/12945.html" \o "CA驱动和申领流程"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CA驱动和申领流程</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”进行查阅，因未注册入库供应商、未办理CA数字证书等原因造成无法投标或投标失败等后果由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自行承担。（操作指南链接：</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"https://service.zcygov.cn/" \l "/knowledges/cm2eqWwBFdiHxlNd_otq/lwV6GXABiyELHE-oVMj3?keyword=CA）。" </w:instrText>
      </w:r>
      <w:r>
        <w:rPr>
          <w:rFonts w:hint="eastAsia" w:ascii="宋体" w:hAnsi="宋体" w:eastAsia="宋体" w:cs="宋体"/>
          <w:color w:val="auto"/>
          <w:sz w:val="21"/>
          <w:szCs w:val="21"/>
          <w:highlight w:val="none"/>
        </w:rPr>
        <w:fldChar w:fldCharType="separate"/>
      </w:r>
      <w:r>
        <w:rPr>
          <w:rStyle w:val="47"/>
          <w:rFonts w:hint="eastAsia" w:ascii="宋体" w:hAnsi="宋体" w:eastAsia="宋体" w:cs="宋体"/>
          <w:color w:val="auto"/>
          <w:sz w:val="21"/>
          <w:szCs w:val="21"/>
          <w:highlight w:val="none"/>
        </w:rPr>
        <w:t>https://service.zcygov.cn/#/knowledges/cm2eqWwBFdiHxlNd_otq/lwV6GXABiyELHE-oVMj3?keyword=CA）。</w:t>
      </w:r>
      <w:r>
        <w:rPr>
          <w:rFonts w:hint="eastAsia" w:ascii="宋体" w:hAnsi="宋体" w:eastAsia="宋体" w:cs="宋体"/>
          <w:color w:val="auto"/>
          <w:sz w:val="21"/>
          <w:szCs w:val="21"/>
          <w:highlight w:val="none"/>
        </w:rPr>
        <w:fldChar w:fldCharType="end"/>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3.3</w:t>
      </w:r>
      <w:r>
        <w:rPr>
          <w:rFonts w:hint="eastAsia" w:ascii="宋体" w:hAnsi="宋体" w:eastAsia="宋体" w:cs="宋体"/>
          <w:color w:val="auto"/>
          <w:sz w:val="21"/>
          <w:szCs w:val="21"/>
          <w:highlight w:val="none"/>
        </w:rPr>
        <w:t>投标文件制作：</w:t>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3.1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先安装“政采云电子交易客户端”，并按照本项目采购文件和“政府采购云平台”的要求，通过“政采云电子交易客户端”编制并加密投标文件，“政采云电子交易客户端”请自行前往“浙江政府采购网-下载专区-电子交易客户端”进行下载并安装。电子投标文件制作具体流程详见政府采购云平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在使用系统进行投标的过程中遇到涉及平台使用的任何问题，可致电政府采购云平台技术支持热线咨询。</w:t>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3.2为确保采购项目顺利实施，避免因解密失败导致</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投标无效，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可自行选择是否在投标截止时间前将在“政采云电子投标客户端”上最后生成的具备电子签章的备份电子投标文件（以U盘为载体，</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应当确保U盘能够打开运行并正常使用）密封，安排相关人员递交至宁波市江北区公共资源交易中心开标室（江北区育才路138号北投大厦南楼7楼）。</w:t>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3.3采购代理机构将在投标文件规定的时间通过政府采购云平台组织开标、开启投标文件，所有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均应准时在线参加。开标时间后30分钟内，</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可以登录政府采购云平台（www.zcygov.cn），用“项目采购-开标评标”功能进行解密投标文件。</w:t>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3.4</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成功上传电子投标文件，若无法读取或在规定时间内无法解密或解密失败，采购代理机构方可调用以U盘介质存储的数据电文形式的备份电子投标文件（备份电子投标文件损坏、格式不符等致使异常情况处理失败的责任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自行承担），并对“备份电子投标文件”进行解密；若出现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上传的电子投标文件和备份电子投标文件均无法读取的情况，则该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作无效投标处理。</w:t>
      </w:r>
    </w:p>
    <w:p>
      <w:pPr>
        <w:keepNext w:val="0"/>
        <w:keepLines w:val="0"/>
        <w:pageBreakBefore w:val="0"/>
        <w:kinsoku/>
        <w:wordWrap w:val="0"/>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3.5本项目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的备份电子投标文件不予退还。</w:t>
      </w:r>
    </w:p>
    <w:p>
      <w:pPr>
        <w:pStyle w:val="4"/>
        <w:pageBreakBefore w:val="0"/>
        <w:kinsoku/>
        <w:overflowPunct/>
        <w:topLinePunct w:val="0"/>
        <w:autoSpaceDE/>
        <w:autoSpaceDN/>
        <w:bidi w:val="0"/>
        <w:adjustRightIn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bookmarkEnd w:id="5"/>
      <w:bookmarkEnd w:id="6"/>
      <w:bookmarkEnd w:id="7"/>
      <w:bookmarkEnd w:id="8"/>
      <w:r>
        <w:rPr>
          <w:rFonts w:hint="eastAsia" w:ascii="宋体" w:hAnsi="宋体" w:eastAsia="宋体" w:cs="宋体"/>
          <w:color w:val="auto"/>
          <w:sz w:val="21"/>
          <w:szCs w:val="21"/>
          <w:highlight w:val="none"/>
        </w:rPr>
        <w:t>对本次采购提出询问、质疑、投诉，请按以下方式联系</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1、采购人名称：</w:t>
      </w:r>
      <w:r>
        <w:rPr>
          <w:rFonts w:hint="eastAsia" w:ascii="宋体" w:hAnsi="宋体" w:cs="宋体"/>
          <w:color w:val="auto"/>
          <w:kern w:val="0"/>
          <w:sz w:val="21"/>
          <w:szCs w:val="21"/>
          <w:highlight w:val="none"/>
          <w:lang w:val="en-US" w:eastAsia="zh-CN" w:bidi="ar-SA"/>
        </w:rPr>
        <w:t>宁波市江北区应急管理局</w:t>
      </w:r>
      <w:r>
        <w:rPr>
          <w:rFonts w:hint="eastAsia" w:ascii="宋体" w:hAnsi="宋体" w:eastAsia="宋体" w:cs="宋体"/>
          <w:color w:val="auto"/>
          <w:kern w:val="0"/>
          <w:sz w:val="21"/>
          <w:szCs w:val="21"/>
          <w:highlight w:val="none"/>
          <w:lang w:val="en-US" w:eastAsia="zh-CN" w:bidi="ar-SA"/>
        </w:rPr>
        <w:t xml:space="preserve">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项目联系人（询问）</w:t>
      </w:r>
      <w:r>
        <w:rPr>
          <w:rFonts w:hint="eastAsia" w:ascii="宋体" w:hAnsi="宋体" w:cs="宋体"/>
          <w:color w:val="auto"/>
          <w:kern w:val="0"/>
          <w:sz w:val="21"/>
          <w:szCs w:val="21"/>
          <w:highlight w:val="none"/>
          <w:lang w:val="en-US" w:eastAsia="zh-CN" w:bidi="ar-SA"/>
        </w:rPr>
        <w:t>：朱</w:t>
      </w:r>
      <w:r>
        <w:rPr>
          <w:rFonts w:hint="eastAsia" w:ascii="宋体" w:hAnsi="宋体" w:eastAsia="宋体" w:cs="宋体"/>
          <w:color w:val="auto"/>
          <w:kern w:val="0"/>
          <w:sz w:val="21"/>
          <w:szCs w:val="21"/>
          <w:highlight w:val="none"/>
          <w:lang w:val="en-US" w:eastAsia="zh-CN" w:bidi="ar-SA"/>
        </w:rPr>
        <w:t xml:space="preserve">老师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项目联系方式（询问）：0574-89388672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质疑联系人：</w:t>
      </w:r>
      <w:r>
        <w:rPr>
          <w:rFonts w:hint="eastAsia" w:ascii="宋体" w:hAnsi="宋体" w:cs="宋体"/>
          <w:color w:val="auto"/>
          <w:kern w:val="0"/>
          <w:sz w:val="21"/>
          <w:szCs w:val="21"/>
          <w:highlight w:val="none"/>
          <w:lang w:val="en-US" w:eastAsia="zh-CN" w:bidi="ar-SA"/>
        </w:rPr>
        <w:t>朱</w:t>
      </w:r>
      <w:r>
        <w:rPr>
          <w:rFonts w:hint="eastAsia" w:ascii="宋体" w:hAnsi="宋体" w:eastAsia="宋体" w:cs="宋体"/>
          <w:color w:val="auto"/>
          <w:kern w:val="0"/>
          <w:sz w:val="21"/>
          <w:szCs w:val="21"/>
          <w:highlight w:val="none"/>
          <w:lang w:val="en-US" w:eastAsia="zh-CN" w:bidi="ar-SA"/>
        </w:rPr>
        <w:t xml:space="preserve">老师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质疑联系方式：0574-89388672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联系地址：</w:t>
      </w:r>
      <w:r>
        <w:rPr>
          <w:rFonts w:hint="eastAsia" w:ascii="宋体" w:hAnsi="宋体" w:cs="宋体"/>
          <w:color w:val="auto"/>
          <w:kern w:val="0"/>
          <w:sz w:val="21"/>
          <w:szCs w:val="21"/>
          <w:highlight w:val="none"/>
          <w:lang w:val="en-US" w:eastAsia="zh-CN" w:bidi="ar-SA"/>
        </w:rPr>
        <w:t>宁波市江北区新马路183号</w:t>
      </w:r>
      <w:r>
        <w:rPr>
          <w:rFonts w:hint="eastAsia" w:ascii="宋体" w:hAnsi="宋体" w:eastAsia="宋体" w:cs="宋体"/>
          <w:color w:val="auto"/>
          <w:kern w:val="0"/>
          <w:sz w:val="21"/>
          <w:szCs w:val="21"/>
          <w:highlight w:val="none"/>
          <w:lang w:val="en-US" w:eastAsia="zh-CN" w:bidi="ar-SA"/>
        </w:rPr>
        <w:t xml:space="preserve">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2、采购代理机构信息：宁波市盛达工程管理咨询有限公司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地址：宁波市江北区唐虞路319号（创富商业中心） 5楼</w:t>
      </w:r>
    </w:p>
    <w:p>
      <w:pPr>
        <w:pStyle w:val="33"/>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项目联系人（询问）：蔡青青、</w:t>
      </w:r>
      <w:r>
        <w:rPr>
          <w:rFonts w:hint="eastAsia" w:cs="宋体"/>
          <w:color w:val="auto"/>
          <w:kern w:val="0"/>
          <w:sz w:val="21"/>
          <w:szCs w:val="21"/>
          <w:highlight w:val="none"/>
          <w:lang w:val="en-US" w:eastAsia="zh-CN" w:bidi="ar-SA"/>
        </w:rPr>
        <w:t>何周军、</w:t>
      </w:r>
      <w:r>
        <w:rPr>
          <w:rFonts w:hint="eastAsia" w:ascii="宋体" w:hAnsi="宋体" w:eastAsia="宋体" w:cs="宋体"/>
          <w:color w:val="auto"/>
          <w:kern w:val="0"/>
          <w:sz w:val="21"/>
          <w:szCs w:val="21"/>
          <w:highlight w:val="none"/>
          <w:lang w:val="en-US" w:eastAsia="zh-CN" w:bidi="ar-SA"/>
        </w:rPr>
        <w:t xml:space="preserve">郑梅英、吕玲卓、顾静芬、张琳玲           </w:t>
      </w:r>
    </w:p>
    <w:p>
      <w:pPr>
        <w:pStyle w:val="33"/>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项目联系方式（询问）：0574-87636525</w:t>
      </w:r>
    </w:p>
    <w:p>
      <w:pPr>
        <w:pStyle w:val="33"/>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质疑联系人：张琳玲           </w:t>
      </w:r>
    </w:p>
    <w:p>
      <w:pPr>
        <w:pStyle w:val="33"/>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质疑联系方式：0574-87636525</w:t>
      </w:r>
    </w:p>
    <w:p>
      <w:pPr>
        <w:pStyle w:val="33"/>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rPr>
      </w:pPr>
    </w:p>
    <w:p>
      <w:pPr>
        <w:pStyle w:val="33"/>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            </w:t>
      </w:r>
    </w:p>
    <w:p>
      <w:pPr>
        <w:pStyle w:val="33"/>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称：宁波市江北区财政局             </w:t>
      </w:r>
    </w:p>
    <w:p>
      <w:pPr>
        <w:pStyle w:val="33"/>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址：宁波市江北区大庆南路181号             </w:t>
      </w:r>
    </w:p>
    <w:p>
      <w:pPr>
        <w:pStyle w:val="33"/>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pPr>
        <w:pStyle w:val="33"/>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：张老师             </w:t>
      </w:r>
    </w:p>
    <w:p>
      <w:pPr>
        <w:pStyle w:val="33"/>
        <w:pageBreakBefore w:val="0"/>
        <w:kinsoku/>
        <w:overflowPunct/>
        <w:topLinePunct w:val="0"/>
        <w:autoSpaceDE/>
        <w:autoSpaceDN/>
        <w:bidi w:val="0"/>
        <w:adjustRightIn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监督投诉电话：0574-87388098</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       </w:t>
      </w:r>
    </w:p>
    <w:p>
      <w:pPr>
        <w:pageBreakBefore w:val="0"/>
        <w:kinsoku/>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pPr>
        <w:pageBreakBefore w:val="0"/>
        <w:kinsoku/>
        <w:overflowPunct/>
        <w:topLinePunct w:val="0"/>
        <w:autoSpaceDE/>
        <w:autoSpaceDN/>
        <w:bidi w:val="0"/>
        <w:adjustRightInd/>
        <w:textAlignment w:val="auto"/>
        <w:rPr>
          <w:rStyle w:val="54"/>
          <w:rFonts w:hint="eastAsia"/>
          <w:b/>
          <w:bCs/>
          <w:color w:val="auto"/>
          <w:highlight w:val="none"/>
        </w:rPr>
      </w:pPr>
      <w:bookmarkStart w:id="9" w:name="_Toc31317"/>
      <w:r>
        <w:rPr>
          <w:rStyle w:val="54"/>
          <w:rFonts w:hint="eastAsia"/>
          <w:b/>
          <w:bCs/>
          <w:color w:val="auto"/>
          <w:highlight w:val="none"/>
        </w:rPr>
        <w:br w:type="page"/>
      </w:r>
    </w:p>
    <w:p>
      <w:pPr>
        <w:pStyle w:val="19"/>
        <w:snapToGrid w:val="0"/>
        <w:spacing w:before="120" w:after="120" w:line="440" w:lineRule="exact"/>
        <w:jc w:val="center"/>
        <w:outlineLvl w:val="0"/>
        <w:rPr>
          <w:rStyle w:val="54"/>
          <w:rFonts w:hint="eastAsia" w:ascii="Times New Roman" w:hAnsi="Times New Roman" w:cs="Times New Roman"/>
          <w:color w:val="auto"/>
          <w:highlight w:val="none"/>
        </w:rPr>
      </w:pPr>
      <w:r>
        <w:rPr>
          <w:rStyle w:val="54"/>
          <w:rFonts w:hint="eastAsia" w:ascii="Times New Roman" w:hAnsi="Times New Roman" w:cs="Times New Roman"/>
          <w:color w:val="auto"/>
          <w:highlight w:val="none"/>
        </w:rPr>
        <w:t>第二章  采购需求</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jc w:val="both"/>
        <w:textAlignment w:val="auto"/>
        <w:outlineLvl w:val="9"/>
        <w:rPr>
          <w:rFonts w:hint="eastAsia" w:ascii="宋体" w:hAnsi="宋体" w:eastAsia="宋体" w:cs="宋体"/>
          <w:b/>
          <w:bCs/>
          <w:color w:val="auto"/>
          <w:sz w:val="21"/>
          <w:szCs w:val="21"/>
          <w:highlight w:val="none"/>
          <w:lang w:eastAsia="zh-CN"/>
        </w:rPr>
      </w:pPr>
      <w:bookmarkStart w:id="10" w:name="_Toc1110"/>
      <w:bookmarkStart w:id="11" w:name="_Toc2952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jc w:val="both"/>
        <w:textAlignment w:val="auto"/>
        <w:outlineLvl w:val="1"/>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一、</w:t>
      </w:r>
      <w:r>
        <w:rPr>
          <w:rFonts w:hint="eastAsia" w:ascii="宋体" w:hAnsi="宋体" w:cs="宋体"/>
          <w:b/>
          <w:bCs/>
          <w:color w:val="auto"/>
          <w:sz w:val="21"/>
          <w:szCs w:val="21"/>
          <w:highlight w:val="none"/>
          <w:lang w:val="en-US" w:eastAsia="zh-CN"/>
        </w:rPr>
        <w:t>服务需求</w:t>
      </w:r>
    </w:p>
    <w:tbl>
      <w:tblPr>
        <w:tblStyle w:val="38"/>
        <w:tblW w:w="47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2136"/>
        <w:gridCol w:w="421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01" w:type="pct"/>
            <w:shd w:val="clear" w:color="auto" w:fill="E0E0E0"/>
            <w:noWrap w:val="0"/>
            <w:vAlign w:val="center"/>
          </w:tcPr>
          <w:p>
            <w:pPr>
              <w:shd w:val="clear" w:color="auto" w:fill="auto"/>
              <w:wordWrap w:val="0"/>
              <w:spacing w:line="240" w:lineRule="auto"/>
              <w:ind w:left="-105" w:leftChars="-50" w:right="-105" w:rightChars="-50"/>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1278" w:type="pct"/>
            <w:shd w:val="clear" w:color="auto" w:fill="E0E0E0"/>
            <w:noWrap w:val="0"/>
            <w:vAlign w:val="center"/>
          </w:tcPr>
          <w:p>
            <w:pPr>
              <w:shd w:val="clear" w:color="auto" w:fill="auto"/>
              <w:wordWrap w:val="0"/>
              <w:spacing w:line="240" w:lineRule="auto"/>
              <w:ind w:left="-105" w:leftChars="-50" w:right="-105" w:rightChars="-50"/>
              <w:jc w:val="center"/>
              <w:rPr>
                <w:rFonts w:hint="eastAsia" w:ascii="宋体" w:hAnsi="宋体" w:cs="宋体"/>
                <w:b/>
                <w:bCs/>
                <w:color w:val="auto"/>
                <w:highlight w:val="none"/>
              </w:rPr>
            </w:pPr>
            <w:r>
              <w:rPr>
                <w:rFonts w:hint="eastAsia" w:ascii="宋体" w:hAnsi="宋体" w:cs="宋体"/>
                <w:b/>
                <w:bCs/>
                <w:color w:val="auto"/>
                <w:highlight w:val="none"/>
              </w:rPr>
              <w:t>项目内容</w:t>
            </w:r>
          </w:p>
        </w:tc>
        <w:tc>
          <w:tcPr>
            <w:tcW w:w="2520" w:type="pct"/>
            <w:shd w:val="clear" w:color="auto" w:fill="E0E0E0"/>
            <w:noWrap w:val="0"/>
            <w:vAlign w:val="center"/>
          </w:tcPr>
          <w:p>
            <w:pPr>
              <w:shd w:val="clear" w:color="auto" w:fill="auto"/>
              <w:wordWrap w:val="0"/>
              <w:spacing w:line="240" w:lineRule="auto"/>
              <w:jc w:val="center"/>
              <w:rPr>
                <w:rFonts w:hint="eastAsia" w:ascii="宋体" w:hAnsi="宋体" w:cs="宋体"/>
                <w:b/>
                <w:bCs/>
                <w:color w:val="auto"/>
                <w:sz w:val="22"/>
                <w:szCs w:val="22"/>
                <w:highlight w:val="none"/>
                <w:lang w:val="en-US" w:eastAsia="zh-CN" w:bidi="ar-SA"/>
              </w:rPr>
            </w:pPr>
            <w:r>
              <w:rPr>
                <w:rFonts w:hint="eastAsia" w:ascii="宋体" w:hAnsi="宋体" w:cs="宋体"/>
                <w:b/>
                <w:bCs/>
                <w:color w:val="auto"/>
                <w:highlight w:val="none"/>
                <w:lang w:val="en-US" w:eastAsia="zh-CN"/>
              </w:rPr>
              <w:t>服务</w:t>
            </w:r>
            <w:r>
              <w:rPr>
                <w:rFonts w:hint="eastAsia" w:ascii="宋体" w:hAnsi="宋体" w:cs="宋体"/>
                <w:b/>
                <w:bCs/>
                <w:color w:val="auto"/>
                <w:highlight w:val="none"/>
                <w:lang w:eastAsia="zh-CN"/>
              </w:rPr>
              <w:t>期限</w:t>
            </w:r>
          </w:p>
        </w:tc>
        <w:tc>
          <w:tcPr>
            <w:tcW w:w="800" w:type="pct"/>
            <w:shd w:val="clear" w:color="auto" w:fill="E0E0E0"/>
            <w:noWrap w:val="0"/>
            <w:vAlign w:val="center"/>
          </w:tcPr>
          <w:p>
            <w:pPr>
              <w:shd w:val="clear" w:color="auto" w:fill="auto"/>
              <w:wordWrap w:val="0"/>
              <w:spacing w:line="240" w:lineRule="auto"/>
              <w:jc w:val="center"/>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01" w:type="pct"/>
            <w:noWrap w:val="0"/>
            <w:vAlign w:val="center"/>
          </w:tcPr>
          <w:p>
            <w:pPr>
              <w:shd w:val="clear" w:color="auto" w:fill="auto"/>
              <w:wordWrap w:val="0"/>
              <w:spacing w:line="24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1278" w:type="pct"/>
            <w:noWrap w:val="0"/>
            <w:vAlign w:val="center"/>
          </w:tcPr>
          <w:p>
            <w:pPr>
              <w:shd w:val="clear" w:color="auto" w:fill="auto"/>
              <w:wordWrap w:val="0"/>
              <w:spacing w:line="24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江北区城区街道消防安全第三方服务项目</w:t>
            </w:r>
          </w:p>
        </w:tc>
        <w:tc>
          <w:tcPr>
            <w:tcW w:w="2520" w:type="pct"/>
            <w:noWrap w:val="0"/>
            <w:vAlign w:val="center"/>
          </w:tcPr>
          <w:p>
            <w:pPr>
              <w:shd w:val="clear" w:color="auto" w:fill="auto"/>
              <w:wordWrap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b w:val="0"/>
                <w:bCs w:val="0"/>
                <w:color w:val="auto"/>
                <w:sz w:val="21"/>
                <w:szCs w:val="21"/>
                <w:highlight w:val="none"/>
                <w:lang w:val="en-US" w:eastAsia="zh-CN"/>
              </w:rPr>
              <w:t>自合同签订之日起三年，合同一年一签，采购人根据</w:t>
            </w:r>
            <w:r>
              <w:rPr>
                <w:rFonts w:hint="eastAsia" w:ascii="宋体" w:hAnsi="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在</w:t>
            </w:r>
            <w:r>
              <w:rPr>
                <w:rFonts w:hint="eastAsia" w:ascii="宋体" w:hAnsi="宋体" w:cs="宋体"/>
                <w:b w:val="0"/>
                <w:bCs w:val="0"/>
                <w:color w:val="auto"/>
                <w:sz w:val="21"/>
                <w:szCs w:val="21"/>
                <w:highlight w:val="none"/>
                <w:lang w:val="en-US" w:eastAsia="zh-CN"/>
              </w:rPr>
              <w:t>上一年度合同履约情况、考核验收情况及财政</w:t>
            </w:r>
            <w:r>
              <w:rPr>
                <w:rFonts w:hint="eastAsia" w:ascii="宋体" w:hAnsi="宋体" w:eastAsia="宋体" w:cs="宋体"/>
                <w:b w:val="0"/>
                <w:bCs w:val="0"/>
                <w:color w:val="auto"/>
                <w:sz w:val="21"/>
                <w:szCs w:val="21"/>
                <w:highlight w:val="none"/>
                <w:lang w:val="en-US" w:eastAsia="zh-CN"/>
              </w:rPr>
              <w:t>资金审批情况等决定是否续签</w:t>
            </w:r>
            <w:r>
              <w:rPr>
                <w:rFonts w:hint="eastAsia" w:ascii="宋体" w:hAnsi="宋体" w:cs="宋体"/>
                <w:b w:val="0"/>
                <w:bCs w:val="0"/>
                <w:color w:val="auto"/>
                <w:sz w:val="21"/>
                <w:szCs w:val="21"/>
                <w:highlight w:val="none"/>
                <w:lang w:val="en-US" w:eastAsia="zh-CN"/>
              </w:rPr>
              <w:t>。</w:t>
            </w:r>
          </w:p>
        </w:tc>
        <w:tc>
          <w:tcPr>
            <w:tcW w:w="800" w:type="pct"/>
            <w:noWrap w:val="0"/>
            <w:vAlign w:val="center"/>
          </w:tcPr>
          <w:p>
            <w:pPr>
              <w:shd w:val="clear" w:color="auto" w:fill="auto"/>
              <w:wordWrap w:val="0"/>
              <w:spacing w:line="240" w:lineRule="auto"/>
              <w:jc w:val="center"/>
              <w:rPr>
                <w:rFonts w:hint="default" w:ascii="宋体" w:hAnsi="宋体" w:eastAsia="宋体" w:cs="宋体"/>
                <w:color w:val="auto"/>
                <w:highlight w:val="none"/>
                <w:lang w:val="en-US" w:eastAsia="zh-CN"/>
              </w:rPr>
            </w:pPr>
            <w:r>
              <w:rPr>
                <w:rFonts w:hint="eastAsia" w:ascii="Times New Roman" w:hAnsi="Times New Roman" w:cs="Times New Roman"/>
                <w:color w:val="auto"/>
                <w:highlight w:val="none"/>
                <w:lang w:val="en-US" w:eastAsia="zh-CN"/>
              </w:rPr>
              <w:t>100万元/年</w:t>
            </w:r>
          </w:p>
        </w:tc>
      </w:tr>
    </w:tbl>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both"/>
        <w:textAlignment w:val="auto"/>
        <w:rPr>
          <w:rFonts w:hint="default"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（一）辖区概况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本次服务范围为宁波市江北区外滩街道、文教街道、孔浦街道</w:t>
      </w:r>
      <w:r>
        <w:rPr>
          <w:rFonts w:hint="eastAsia" w:ascii="宋体" w:hAnsi="宋体" w:cs="宋体"/>
          <w:color w:val="auto"/>
          <w:kern w:val="2"/>
          <w:sz w:val="21"/>
          <w:szCs w:val="21"/>
          <w:highlight w:val="none"/>
          <w:lang w:val="en-US" w:eastAsia="zh-CN" w:bidi="ar"/>
        </w:rPr>
        <w:t>三个街道辖区，其中：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1.外滩街道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辖区范围：东至定英路，往南至大庆北路向西至人民路，到庆丰桥下；南、东南至</w:t>
      </w:r>
      <w:r>
        <w:rPr>
          <w:rFonts w:hint="eastAsia" w:ascii="宋体" w:hAnsi="宋体" w:eastAsia="宋体" w:cs="宋体"/>
          <w:color w:val="auto"/>
          <w:kern w:val="2"/>
          <w:sz w:val="21"/>
          <w:szCs w:val="21"/>
          <w:highlight w:val="none"/>
          <w:lang w:val="en-US" w:eastAsia="zh-CN" w:bidi="ar"/>
        </w:rPr>
        <w:fldChar w:fldCharType="begin"/>
      </w:r>
      <w:r>
        <w:rPr>
          <w:rFonts w:hint="eastAsia" w:ascii="宋体" w:hAnsi="宋体" w:eastAsia="宋体" w:cs="宋体"/>
          <w:color w:val="auto"/>
          <w:kern w:val="2"/>
          <w:sz w:val="21"/>
          <w:szCs w:val="21"/>
          <w:highlight w:val="none"/>
          <w:lang w:val="en-US" w:eastAsia="zh-CN" w:bidi="ar"/>
        </w:rPr>
        <w:instrText xml:space="preserve"> HYPERLINK "https://baike.baidu.com/item/%E7%94%AC%E6%B1%9F/2975698?fromModule=lemma_inlink" \t "https://baike.baidu.com/item/%E5%A4%96%E6%BB%A9%E8%A1%97%E9%81%93/_blank" </w:instrText>
      </w:r>
      <w:r>
        <w:rPr>
          <w:rFonts w:hint="eastAsia" w:ascii="宋体" w:hAnsi="宋体" w:eastAsia="宋体" w:cs="宋体"/>
          <w:color w:val="auto"/>
          <w:kern w:val="2"/>
          <w:sz w:val="21"/>
          <w:szCs w:val="21"/>
          <w:highlight w:val="none"/>
          <w:lang w:val="en-US" w:eastAsia="zh-CN" w:bidi="ar"/>
        </w:rPr>
        <w:fldChar w:fldCharType="separate"/>
      </w:r>
      <w:r>
        <w:rPr>
          <w:rFonts w:hint="eastAsia" w:ascii="宋体" w:hAnsi="宋体" w:eastAsia="宋体" w:cs="宋体"/>
          <w:color w:val="auto"/>
          <w:kern w:val="2"/>
          <w:sz w:val="21"/>
          <w:szCs w:val="21"/>
          <w:highlight w:val="none"/>
          <w:lang w:val="en-US" w:eastAsia="zh-CN" w:bidi="ar"/>
        </w:rPr>
        <w:t>甬江</w:t>
      </w:r>
      <w:r>
        <w:rPr>
          <w:rFonts w:hint="eastAsia" w:ascii="宋体" w:hAnsi="宋体" w:eastAsia="宋体" w:cs="宋体"/>
          <w:color w:val="auto"/>
          <w:kern w:val="2"/>
          <w:sz w:val="21"/>
          <w:szCs w:val="21"/>
          <w:highlight w:val="none"/>
          <w:lang w:val="en-US" w:eastAsia="zh-CN" w:bidi="ar"/>
        </w:rPr>
        <w:fldChar w:fldCharType="end"/>
      </w:r>
      <w:r>
        <w:rPr>
          <w:rFonts w:hint="eastAsia" w:ascii="宋体" w:hAnsi="宋体" w:eastAsia="宋体" w:cs="宋体"/>
          <w:color w:val="auto"/>
          <w:kern w:val="2"/>
          <w:sz w:val="21"/>
          <w:szCs w:val="21"/>
          <w:highlight w:val="none"/>
          <w:lang w:val="en-US" w:eastAsia="zh-CN" w:bidi="ar"/>
        </w:rPr>
        <w:t>；西南至</w:t>
      </w:r>
      <w:r>
        <w:rPr>
          <w:rFonts w:hint="eastAsia" w:ascii="宋体" w:hAnsi="宋体" w:eastAsia="宋体" w:cs="宋体"/>
          <w:color w:val="auto"/>
          <w:kern w:val="2"/>
          <w:sz w:val="21"/>
          <w:szCs w:val="21"/>
          <w:highlight w:val="none"/>
          <w:lang w:val="en-US" w:eastAsia="zh-CN" w:bidi="ar"/>
        </w:rPr>
        <w:fldChar w:fldCharType="begin"/>
      </w:r>
      <w:r>
        <w:rPr>
          <w:rFonts w:hint="eastAsia" w:ascii="宋体" w:hAnsi="宋体" w:eastAsia="宋体" w:cs="宋体"/>
          <w:color w:val="auto"/>
          <w:kern w:val="2"/>
          <w:sz w:val="21"/>
          <w:szCs w:val="21"/>
          <w:highlight w:val="none"/>
          <w:lang w:val="en-US" w:eastAsia="zh-CN" w:bidi="ar"/>
        </w:rPr>
        <w:instrText xml:space="preserve"> HYPERLINK "https://baike.baidu.com/item/%E5%A7%9A%E6%B1%9F/4865577?fromModule=lemma_inlink" \t "https://baike.baidu.com/item/%E5%A4%96%E6%BB%A9%E8%A1%97%E9%81%93/_blank" </w:instrText>
      </w:r>
      <w:r>
        <w:rPr>
          <w:rFonts w:hint="eastAsia" w:ascii="宋体" w:hAnsi="宋体" w:eastAsia="宋体" w:cs="宋体"/>
          <w:color w:val="auto"/>
          <w:kern w:val="2"/>
          <w:sz w:val="21"/>
          <w:szCs w:val="21"/>
          <w:highlight w:val="none"/>
          <w:lang w:val="en-US" w:eastAsia="zh-CN" w:bidi="ar"/>
        </w:rPr>
        <w:fldChar w:fldCharType="separate"/>
      </w:r>
      <w:r>
        <w:rPr>
          <w:rFonts w:hint="eastAsia" w:ascii="宋体" w:hAnsi="宋体" w:eastAsia="宋体" w:cs="宋体"/>
          <w:color w:val="auto"/>
          <w:kern w:val="2"/>
          <w:sz w:val="21"/>
          <w:szCs w:val="21"/>
          <w:highlight w:val="none"/>
          <w:lang w:val="en-US" w:eastAsia="zh-CN" w:bidi="ar"/>
        </w:rPr>
        <w:t>姚江</w:t>
      </w:r>
      <w:r>
        <w:rPr>
          <w:rFonts w:hint="eastAsia" w:ascii="宋体" w:hAnsi="宋体" w:eastAsia="宋体" w:cs="宋体"/>
          <w:color w:val="auto"/>
          <w:kern w:val="2"/>
          <w:sz w:val="21"/>
          <w:szCs w:val="21"/>
          <w:highlight w:val="none"/>
          <w:lang w:val="en-US" w:eastAsia="zh-CN" w:bidi="ar"/>
        </w:rPr>
        <w:fldChar w:fldCharType="end"/>
      </w:r>
      <w:r>
        <w:rPr>
          <w:rFonts w:hint="eastAsia" w:ascii="宋体" w:hAnsi="宋体" w:eastAsia="宋体" w:cs="宋体"/>
          <w:color w:val="auto"/>
          <w:kern w:val="2"/>
          <w:sz w:val="21"/>
          <w:szCs w:val="21"/>
          <w:highlight w:val="none"/>
          <w:lang w:val="en-US" w:eastAsia="zh-CN" w:bidi="ar"/>
        </w:rPr>
        <w:t>；西北至通途路（新马路段）及清河路；北至环城北路</w:t>
      </w:r>
      <w:r>
        <w:rPr>
          <w:rFonts w:hint="eastAsia" w:ascii="宋体" w:hAnsi="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"https://baike.baidu.com/item/%E8%A1%8C%E6%94%BF%E5%8C%BA%E5%9F%9F/10419956?fromModule=lemma_inlink"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行政区域</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面积</w:t>
      </w:r>
      <w:r>
        <w:rPr>
          <w:rFonts w:hint="eastAsia" w:ascii="宋体" w:hAnsi="宋体" w:cs="宋体"/>
          <w:color w:val="auto"/>
          <w:kern w:val="2"/>
          <w:sz w:val="21"/>
          <w:szCs w:val="21"/>
          <w:highlight w:val="none"/>
          <w:lang w:val="en-US" w:eastAsia="zh-CN" w:bidi="ar"/>
        </w:rPr>
        <w:t>约</w:t>
      </w:r>
      <w:r>
        <w:rPr>
          <w:rFonts w:hint="eastAsia" w:ascii="宋体" w:hAnsi="宋体" w:eastAsia="宋体" w:cs="宋体"/>
          <w:color w:val="auto"/>
          <w:kern w:val="2"/>
          <w:sz w:val="21"/>
          <w:szCs w:val="21"/>
          <w:highlight w:val="none"/>
          <w:lang w:val="en-US" w:eastAsia="zh-CN" w:bidi="ar"/>
        </w:rPr>
        <w:t>3.9平方公里。下辖地区：8个社区，人口数量约3.76万。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2.文教街道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辖区范围：江北区东南部，东与</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"https://baike.baidu.com/item/%E7%99%BD%E6%B2%99%E8%A1%97%E9%81%93/6597992?fromModule=lemma_inlink"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白沙街道</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毗连，东南与</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"https://baike.baidu.com/item/%E4%B8%AD%E9%A9%AC%E8%A1%97%E9%81%93/4071958?fromModule=lemma_inlink"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中马街道</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相邻，西南与海曙区</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"https://baike.baidu.com/item/%E8%A5%BF%E9%97%A8%E8%A1%97%E9%81%93/14863?fromModule=lemma_inlink"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西门街道</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"https://baike.baidu.com/item/%E6%9C%9B%E6%98%A5%E8%A1%97%E9%81%93/7071774?fromModule=lemma_inlink"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望春街道</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毗邻，北、东北与</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"https://baike.baidu.com/item/%E5%BA%84%E6%A1%A5%E8%A1%97%E9%81%93/4072316?fromModule=lemma_inlink"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庄桥街道</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"https://baike.baidu.com/item/%E7%94%AC%E6%B1%9F%E8%A1%97%E9%81%93/4072495?fromModule=lemma_inlink"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甬江街道</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相连</w:t>
      </w:r>
      <w:r>
        <w:rPr>
          <w:rFonts w:hint="eastAsia" w:ascii="宋体" w:hAnsi="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"https://baike.baidu.com/item/%E8%A1%8C%E6%94%BF%E5%8C%BA%E5%9F%9F/10419956?fromModule=lemma_inlink"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行政区域</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面积</w:t>
      </w:r>
      <w:r>
        <w:rPr>
          <w:rFonts w:hint="eastAsia" w:ascii="宋体" w:hAnsi="宋体" w:cs="宋体"/>
          <w:color w:val="auto"/>
          <w:kern w:val="2"/>
          <w:sz w:val="21"/>
          <w:szCs w:val="21"/>
          <w:highlight w:val="none"/>
          <w:lang w:val="en-US" w:eastAsia="zh-CN" w:bidi="ar"/>
        </w:rPr>
        <w:t>约</w:t>
      </w:r>
      <w:r>
        <w:rPr>
          <w:rFonts w:hint="default" w:ascii="宋体" w:hAnsi="宋体" w:eastAsia="宋体" w:cs="宋体"/>
          <w:color w:val="auto"/>
          <w:kern w:val="2"/>
          <w:sz w:val="21"/>
          <w:szCs w:val="21"/>
          <w:highlight w:val="none"/>
          <w:lang w:val="en-US" w:eastAsia="zh-CN" w:bidi="ar"/>
        </w:rPr>
        <w:t>2.8平方公里</w:t>
      </w:r>
      <w:r>
        <w:rPr>
          <w:rFonts w:hint="eastAsia" w:ascii="宋体" w:hAnsi="宋体" w:eastAsia="宋体" w:cs="宋体"/>
          <w:color w:val="auto"/>
          <w:kern w:val="2"/>
          <w:sz w:val="21"/>
          <w:szCs w:val="21"/>
          <w:highlight w:val="none"/>
          <w:lang w:val="en-US" w:eastAsia="zh-CN" w:bidi="ar"/>
        </w:rPr>
        <w:t>。下辖地区：7个社区，人口数量约2.46万。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3.孔浦街道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辖区范围：江北区东南部，东与镇海区</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"https://baike.baidu.com/item/%E5%BA%84%E5%B8%82%E8%A1%97%E9%81%93/6072716?fromModule=lemma_inlink"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庄市街道</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相连，东南临甬江与鄞州区</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"https://baike.baidu.com/item/%E6%A2%85%E5%A2%9F%E8%A1%97%E9%81%93/3581864?fromModule=lemma_inlink"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梅墟街道</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隔江为邻，南与江东区</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"https://baike.baidu.com/item/%E6%96%B0%E6%98%8E%E8%A1%97%E9%81%93/3095565?fromModule=lemma_inlink"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新明街道</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"https://baike.baidu.com/item/%E6%98%8E%E6%A5%BC%E8%A1%97%E9%81%93/7001693?fromModule=lemma_inlink"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明楼街道</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隔甬江相眺，西南与</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"https://baike.baidu.com/item/%E7%99%BD%E6%B2%99%E8%A1%97%E9%81%93/6597992?fromModule=lemma_inlink"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白沙街道</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接壤，西北与</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"https://baike.baidu.com/item/%E7%94%AC%E6%B1%9F%E8%A1%97%E9%81%93/4072495?fromModule=lemma_inlink"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甬江街道</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相邻，东北仍与镇海区</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"https://baike.baidu.com/item/%E5%BA%84%E5%B8%82%E8%A1%97%E9%81%93/6072716?fromModule=lemma_inlink"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庄市街道</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毗连</w:t>
      </w:r>
      <w:r>
        <w:rPr>
          <w:rFonts w:hint="eastAsia" w:ascii="宋体" w:hAnsi="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val="en-US" w:eastAsia="zh-CN" w:bidi="ar"/>
        </w:rPr>
        <w:fldChar w:fldCharType="begin"/>
      </w:r>
      <w:r>
        <w:rPr>
          <w:rFonts w:hint="default" w:ascii="宋体" w:hAnsi="宋体" w:eastAsia="宋体" w:cs="宋体"/>
          <w:color w:val="auto"/>
          <w:kern w:val="2"/>
          <w:sz w:val="21"/>
          <w:szCs w:val="21"/>
          <w:highlight w:val="none"/>
          <w:lang w:val="en-US" w:eastAsia="zh-CN" w:bidi="ar"/>
        </w:rPr>
        <w:instrText xml:space="preserve"> HYPERLINK "https://baike.baidu.com/item/%E8%A1%8C%E6%94%BF%E5%8C%BA%E5%9F%9F/10419956?fromModule=lemma_inlink" \t "https://baike.baidu.com/item/_blank" </w:instrText>
      </w:r>
      <w:r>
        <w:rPr>
          <w:rFonts w:hint="default" w:ascii="宋体" w:hAnsi="宋体" w:eastAsia="宋体" w:cs="宋体"/>
          <w:color w:val="auto"/>
          <w:kern w:val="2"/>
          <w:sz w:val="21"/>
          <w:szCs w:val="21"/>
          <w:highlight w:val="none"/>
          <w:lang w:val="en-US" w:eastAsia="zh-CN" w:bidi="ar"/>
        </w:rPr>
        <w:fldChar w:fldCharType="separate"/>
      </w:r>
      <w:r>
        <w:rPr>
          <w:rFonts w:hint="default" w:ascii="宋体" w:hAnsi="宋体" w:eastAsia="宋体" w:cs="宋体"/>
          <w:color w:val="auto"/>
          <w:kern w:val="2"/>
          <w:sz w:val="21"/>
          <w:szCs w:val="21"/>
          <w:highlight w:val="none"/>
          <w:lang w:val="en-US" w:eastAsia="zh-CN" w:bidi="ar"/>
        </w:rPr>
        <w:t>行政区域</w:t>
      </w:r>
      <w:r>
        <w:rPr>
          <w:rFonts w:hint="default" w:ascii="宋体" w:hAnsi="宋体" w:eastAsia="宋体" w:cs="宋体"/>
          <w:color w:val="auto"/>
          <w:kern w:val="2"/>
          <w:sz w:val="21"/>
          <w:szCs w:val="21"/>
          <w:highlight w:val="none"/>
          <w:lang w:val="en-US" w:eastAsia="zh-CN" w:bidi="ar"/>
        </w:rPr>
        <w:fldChar w:fldCharType="end"/>
      </w:r>
      <w:r>
        <w:rPr>
          <w:rFonts w:hint="default" w:ascii="宋体" w:hAnsi="宋体" w:eastAsia="宋体" w:cs="宋体"/>
          <w:color w:val="auto"/>
          <w:kern w:val="2"/>
          <w:sz w:val="21"/>
          <w:szCs w:val="21"/>
          <w:highlight w:val="none"/>
          <w:lang w:val="en-US" w:eastAsia="zh-CN" w:bidi="ar"/>
        </w:rPr>
        <w:t>面积</w:t>
      </w:r>
      <w:r>
        <w:rPr>
          <w:rFonts w:hint="eastAsia" w:ascii="宋体" w:hAnsi="宋体" w:cs="宋体"/>
          <w:color w:val="auto"/>
          <w:kern w:val="2"/>
          <w:sz w:val="21"/>
          <w:szCs w:val="21"/>
          <w:highlight w:val="none"/>
          <w:lang w:val="en-US" w:eastAsia="zh-CN" w:bidi="ar"/>
        </w:rPr>
        <w:t>约</w:t>
      </w:r>
      <w:r>
        <w:rPr>
          <w:rFonts w:hint="default" w:ascii="宋体" w:hAnsi="宋体" w:eastAsia="宋体" w:cs="宋体"/>
          <w:color w:val="auto"/>
          <w:kern w:val="2"/>
          <w:sz w:val="21"/>
          <w:szCs w:val="21"/>
          <w:highlight w:val="none"/>
          <w:lang w:val="en-US" w:eastAsia="zh-CN" w:bidi="ar"/>
        </w:rPr>
        <w:t>8.7平方公里</w:t>
      </w:r>
      <w:r>
        <w:rPr>
          <w:rFonts w:hint="eastAsia" w:ascii="宋体" w:hAnsi="宋体" w:eastAsia="宋体" w:cs="宋体"/>
          <w:color w:val="auto"/>
          <w:kern w:val="2"/>
          <w:sz w:val="21"/>
          <w:szCs w:val="21"/>
          <w:highlight w:val="none"/>
          <w:lang w:val="en-US" w:eastAsia="zh-CN" w:bidi="ar"/>
        </w:rPr>
        <w:t>。下辖地区：8个社区、1个行政村，人口数量约3.21万。</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2" w:firstLineChars="200"/>
        <w:jc w:val="both"/>
        <w:textAlignment w:val="auto"/>
        <w:rPr>
          <w:rFonts w:hint="default" w:ascii="宋体" w:hAnsi="宋体" w:eastAsia="宋体" w:cs="宋体"/>
          <w:b/>
          <w:bCs/>
          <w:color w:val="auto"/>
          <w:kern w:val="2"/>
          <w:sz w:val="21"/>
          <w:szCs w:val="21"/>
          <w:highlight w:val="none"/>
          <w:lang w:val="en-US" w:eastAsia="zh-CN" w:bidi="ar"/>
        </w:rPr>
      </w:pPr>
      <w:r>
        <w:rPr>
          <w:rFonts w:hint="eastAsia" w:ascii="宋体" w:hAnsi="宋体" w:cs="宋体"/>
          <w:b/>
          <w:bCs/>
          <w:color w:val="auto"/>
          <w:kern w:val="2"/>
          <w:sz w:val="21"/>
          <w:szCs w:val="21"/>
          <w:highlight w:val="none"/>
          <w:lang w:val="en-US" w:eastAsia="zh-CN" w:bidi="ar"/>
        </w:rPr>
        <w:t>（二）服务内容</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目购买服务内容主要包括为采购人提供消防安全相关工作的技术指导和支撑，完成消防安全相关基本工作任务，协助采购人完成应急救援、值班值守及采购人定期安排的其他应急管理工作，有效防范消防安全事故的发生，主要包括：</w:t>
      </w:r>
    </w:p>
    <w:bookmarkEnd w:id="10"/>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200"/>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1.消防安全工作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（1）完成辖区内商贸企业（含沿街店铺）的首次普查及常普常新工作；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2"/>
          <w:sz w:val="21"/>
          <w:szCs w:val="21"/>
          <w:highlight w:val="none"/>
          <w:lang w:val="en-US" w:eastAsia="zh-CN" w:bidi="ar"/>
        </w:rPr>
        <w:t>以</w:t>
      </w:r>
      <w:r>
        <w:rPr>
          <w:rFonts w:hint="eastAsia" w:ascii="宋体" w:hAnsi="宋体" w:cs="宋体"/>
          <w:color w:val="auto"/>
          <w:kern w:val="2"/>
          <w:sz w:val="21"/>
          <w:szCs w:val="21"/>
          <w:highlight w:val="none"/>
          <w:lang w:val="en-US" w:eastAsia="zh-CN" w:bidi="ar"/>
        </w:rPr>
        <w:t>中标单位</w:t>
      </w:r>
      <w:r>
        <w:rPr>
          <w:rFonts w:hint="eastAsia" w:ascii="宋体" w:hAnsi="宋体" w:eastAsia="宋体" w:cs="宋体"/>
          <w:color w:val="auto"/>
          <w:szCs w:val="21"/>
          <w:highlight w:val="none"/>
          <w:lang w:eastAsia="zh-CN"/>
        </w:rPr>
        <w:t>首次普查数据为基础</w:t>
      </w:r>
      <w:r>
        <w:rPr>
          <w:rFonts w:hint="eastAsia" w:ascii="宋体" w:hAnsi="宋体" w:eastAsia="宋体" w:cs="宋体"/>
          <w:color w:val="auto"/>
          <w:kern w:val="2"/>
          <w:sz w:val="21"/>
          <w:szCs w:val="21"/>
          <w:highlight w:val="none"/>
          <w:lang w:val="en-US" w:eastAsia="zh-CN" w:bidi="ar"/>
        </w:rPr>
        <w:t>，协助采购人开展商贸企业（含沿街商铺）消防安全隐患的督查整改和闭环验收</w:t>
      </w:r>
      <w:r>
        <w:rPr>
          <w:rFonts w:hint="eastAsia" w:ascii="宋体" w:hAnsi="宋体" w:cs="宋体"/>
          <w:color w:val="auto"/>
          <w:kern w:val="2"/>
          <w:sz w:val="21"/>
          <w:szCs w:val="21"/>
          <w:highlight w:val="none"/>
          <w:lang w:val="en-US" w:eastAsia="zh-CN" w:bidi="ar"/>
        </w:rPr>
        <w:t>，包括但不限于：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1）排查各经营场所消防器材等设施</w:t>
      </w:r>
      <w:r>
        <w:rPr>
          <w:rFonts w:hint="eastAsia" w:ascii="宋体" w:hAnsi="宋体" w:eastAsia="宋体" w:cs="宋体"/>
          <w:color w:val="auto"/>
          <w:highlight w:val="none"/>
        </w:rPr>
        <w:t>设备</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配置是否符合</w:t>
      </w:r>
      <w:r>
        <w:rPr>
          <w:rFonts w:hint="eastAsia" w:ascii="宋体" w:hAnsi="宋体" w:eastAsia="宋体" w:cs="宋体"/>
          <w:color w:val="auto"/>
          <w:highlight w:val="none"/>
          <w:lang w:val="en-US" w:eastAsia="zh-CN"/>
        </w:rPr>
        <w:t>消防安全</w:t>
      </w:r>
      <w:r>
        <w:rPr>
          <w:rFonts w:hint="eastAsia" w:ascii="宋体" w:hAnsi="宋体" w:eastAsia="宋体" w:cs="宋体"/>
          <w:color w:val="auto"/>
          <w:highlight w:val="none"/>
        </w:rPr>
        <w:t>相关规范要求；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2）排查各经营场所</w:t>
      </w:r>
      <w:r>
        <w:rPr>
          <w:rFonts w:hint="eastAsia" w:ascii="宋体" w:hAnsi="宋体" w:eastAsia="宋体" w:cs="宋体"/>
          <w:color w:val="auto"/>
          <w:highlight w:val="none"/>
        </w:rPr>
        <w:t>用电设备设施及其用电管理是否符合安全用电要求；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3）排查各经营场所</w:t>
      </w:r>
      <w:r>
        <w:rPr>
          <w:rFonts w:hint="eastAsia" w:ascii="宋体" w:hAnsi="宋体" w:eastAsia="宋体" w:cs="宋体"/>
          <w:color w:val="auto"/>
          <w:highlight w:val="none"/>
        </w:rPr>
        <w:t>易燃易爆危险化学品储存使用符合</w:t>
      </w:r>
      <w:r>
        <w:rPr>
          <w:rFonts w:hint="eastAsia" w:ascii="宋体" w:hAnsi="宋体" w:eastAsia="宋体" w:cs="宋体"/>
          <w:color w:val="auto"/>
          <w:highlight w:val="none"/>
          <w:lang w:val="en-US" w:eastAsia="zh-CN"/>
        </w:rPr>
        <w:t>消防安全</w:t>
      </w:r>
      <w:r>
        <w:rPr>
          <w:rFonts w:hint="eastAsia" w:ascii="宋体" w:hAnsi="宋体" w:eastAsia="宋体" w:cs="宋体"/>
          <w:color w:val="auto"/>
          <w:highlight w:val="none"/>
        </w:rPr>
        <w:t>相关规范要求；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4）排查各经营场所</w:t>
      </w:r>
      <w:r>
        <w:rPr>
          <w:rFonts w:hint="eastAsia" w:ascii="宋体" w:hAnsi="宋体" w:eastAsia="宋体" w:cs="宋体"/>
          <w:color w:val="auto"/>
          <w:highlight w:val="none"/>
        </w:rPr>
        <w:t>安全疏散指示、警示标志</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是否准确齐全；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其他存在消防安全隐患问题</w:t>
      </w:r>
      <w:r>
        <w:rPr>
          <w:rFonts w:hint="eastAsia" w:ascii="宋体" w:hAnsi="宋体" w:eastAsia="宋体" w:cs="宋体"/>
          <w:color w:val="auto"/>
          <w:highlight w:val="none"/>
          <w:lang w:eastAsia="zh-CN"/>
        </w:rPr>
        <w:t>的</w:t>
      </w:r>
      <w:r>
        <w:rPr>
          <w:rFonts w:hint="eastAsia" w:ascii="宋体" w:hAnsi="宋体" w:eastAsia="宋体" w:cs="宋体"/>
          <w:color w:val="auto"/>
          <w:highlight w:val="none"/>
          <w:lang w:val="en-US" w:eastAsia="zh-CN"/>
        </w:rPr>
        <w:t>排查；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6）根据排查情况督促各经营场所对隐患问题进行整改收闭环。</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（3）根据需要完成采购人定期安排的专项检查等其他应急管理工作。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200"/>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2.应急救援</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（1）积极参与属地应急处置和救援工作，并服从属地统一指挥协调；</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（2）协助采购人消除突发应急事件的</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"https://baike.baidu.com/item/%E5%8D%B1%E5%AE%B3%E5%90%8E%E6%9E%9C/7906583?fromModule=lemma_inlink" \t "https://baike.baidu.com/item/%E5%BA%94%E6%80%A5%E6%95%91%E6%8F%B4/_blank"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危害后果</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，做好现场恢复工作。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200"/>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3.值班值守</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根据采购人的统一安排，参与采购人的</w:t>
      </w:r>
      <w:r>
        <w:rPr>
          <w:rFonts w:hint="eastAsia" w:ascii="宋体" w:hAnsi="宋体" w:eastAsia="宋体" w:cs="宋体"/>
          <w:color w:val="auto"/>
          <w:szCs w:val="21"/>
          <w:highlight w:val="none"/>
          <w:lang w:eastAsia="zh-CN"/>
        </w:rPr>
        <w:t>应急</w:t>
      </w:r>
      <w:r>
        <w:rPr>
          <w:rFonts w:hint="eastAsia" w:ascii="宋体" w:hAnsi="宋体" w:eastAsia="宋体" w:cs="宋体"/>
          <w:color w:val="auto"/>
          <w:szCs w:val="21"/>
          <w:highlight w:val="none"/>
        </w:rPr>
        <w:t>值班值守工作。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以上具体检查范围最终以采购人确定的范围为准。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200"/>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▲（三）项目服务人员及设施设备配置要求</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en-US" w:eastAsia="zh-CN" w:bidi="ar"/>
        </w:rPr>
        <w:t>为本项目提供的服务人员须确保全面履行本项目的服务事项，提供服务人员近3个月内</w:t>
      </w:r>
      <w:r>
        <w:rPr>
          <w:rFonts w:hint="eastAsia" w:ascii="宋体" w:hAnsi="宋体" w:cs="宋体"/>
          <w:color w:val="auto"/>
          <w:kern w:val="2"/>
          <w:sz w:val="21"/>
          <w:szCs w:val="21"/>
          <w:highlight w:val="none"/>
          <w:lang w:val="en-US" w:eastAsia="zh-CN" w:bidi="ar"/>
        </w:rPr>
        <w:t>任意1个月</w:t>
      </w:r>
      <w:r>
        <w:rPr>
          <w:rFonts w:hint="eastAsia" w:ascii="宋体" w:hAnsi="宋体" w:eastAsia="宋体" w:cs="宋体"/>
          <w:color w:val="auto"/>
          <w:kern w:val="2"/>
          <w:sz w:val="21"/>
          <w:szCs w:val="21"/>
          <w:highlight w:val="none"/>
          <w:lang w:val="en-US" w:eastAsia="zh-CN" w:bidi="ar"/>
        </w:rPr>
        <w:t>的社保缴纳证明（社保缴纳单位应与</w:t>
      </w:r>
      <w:r>
        <w:rPr>
          <w:rFonts w:hint="eastAsia" w:ascii="宋体" w:hAnsi="宋体" w:cs="宋体"/>
          <w:color w:val="auto"/>
          <w:kern w:val="2"/>
          <w:sz w:val="21"/>
          <w:szCs w:val="21"/>
          <w:highlight w:val="none"/>
          <w:lang w:val="en-US" w:eastAsia="zh-CN" w:bidi="ar"/>
        </w:rPr>
        <w:t>供应商名称保持</w:t>
      </w:r>
      <w:r>
        <w:rPr>
          <w:rFonts w:hint="eastAsia" w:ascii="宋体" w:hAnsi="宋体" w:eastAsia="宋体" w:cs="宋体"/>
          <w:color w:val="auto"/>
          <w:kern w:val="2"/>
          <w:sz w:val="21"/>
          <w:szCs w:val="21"/>
          <w:highlight w:val="none"/>
          <w:lang w:val="en-US" w:eastAsia="zh-CN" w:bidi="ar"/>
        </w:rPr>
        <w:t xml:space="preserve">一致），证明资料须为原件复印件加盖单位公章。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（2）所有</w:t>
      </w:r>
      <w:r>
        <w:rPr>
          <w:rFonts w:hint="eastAsia" w:ascii="宋体" w:hAnsi="宋体" w:eastAsia="宋体" w:cs="宋体"/>
          <w:b/>
          <w:bCs/>
          <w:color w:val="auto"/>
          <w:kern w:val="2"/>
          <w:sz w:val="21"/>
          <w:szCs w:val="21"/>
          <w:highlight w:val="none"/>
          <w:lang w:val="en-US" w:eastAsia="zh-CN" w:bidi="ar"/>
        </w:rPr>
        <w:t>专职服务人员</w:t>
      </w:r>
      <w:r>
        <w:rPr>
          <w:rFonts w:hint="eastAsia" w:ascii="宋体" w:hAnsi="宋体" w:eastAsia="宋体" w:cs="宋体"/>
          <w:color w:val="auto"/>
          <w:kern w:val="2"/>
          <w:sz w:val="21"/>
          <w:szCs w:val="21"/>
          <w:highlight w:val="none"/>
          <w:lang w:val="en-US" w:eastAsia="zh-CN" w:bidi="ar"/>
        </w:rPr>
        <w:t>应当具备相应的学历和专业知识，服务人员均为高中及以上学历，其中具备大专及以上学历的不少于50%；提供上述人员的学历证书复印件并加盖单位公章或者中国高等教育学生信息网下载的学历查询报告。</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jc w:val="both"/>
        <w:textAlignment w:val="auto"/>
        <w:rPr>
          <w:rStyle w:val="54"/>
          <w:rFonts w:hint="eastAsia" w:ascii="宋体" w:hAnsi="宋体" w:eastAsia="宋体" w:cs="宋体"/>
          <w:b w:val="0"/>
          <w:bCs w:val="0"/>
          <w:color w:val="auto"/>
          <w:sz w:val="21"/>
          <w:szCs w:val="21"/>
          <w:highlight w:val="none"/>
          <w:lang w:val="en-US" w:eastAsia="zh-CN" w:bidi="ar-SA"/>
        </w:rPr>
      </w:pPr>
      <w:r>
        <w:rPr>
          <w:rStyle w:val="54"/>
          <w:rFonts w:hint="eastAsia" w:ascii="宋体" w:hAnsi="宋体" w:eastAsia="宋体" w:cs="宋体"/>
          <w:b w:val="0"/>
          <w:bCs w:val="0"/>
          <w:color w:val="auto"/>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）在合同履行过程中，中标单位应另行提供1名</w:t>
      </w:r>
      <w:r>
        <w:rPr>
          <w:rFonts w:hint="eastAsia" w:ascii="宋体" w:hAnsi="宋体" w:eastAsia="宋体" w:cs="宋体"/>
          <w:color w:val="auto"/>
          <w:sz w:val="21"/>
          <w:szCs w:val="21"/>
          <w:highlight w:val="none"/>
          <w:lang w:val="en-US" w:eastAsia="zh-CN"/>
        </w:rPr>
        <w:t>注册消防工程师，该人员在整个服务过程中进行检查指导工作和定期培训工作等，且全年参与本项目服务的时间不少于60工作日。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）自行配备能全面满足本项目需求的设施设备</w:t>
      </w:r>
      <w:r>
        <w:rPr>
          <w:rFonts w:hint="eastAsia" w:ascii="宋体" w:hAnsi="宋体" w:cs="宋体"/>
          <w:color w:val="auto"/>
          <w:kern w:val="2"/>
          <w:sz w:val="21"/>
          <w:szCs w:val="21"/>
          <w:highlight w:val="none"/>
          <w:lang w:val="en-US" w:eastAsia="zh-CN" w:bidi="ar"/>
        </w:rPr>
        <w:t>（含交通工具）</w:t>
      </w:r>
      <w:r>
        <w:rPr>
          <w:rFonts w:hint="eastAsia" w:ascii="宋体" w:hAnsi="宋体" w:eastAsia="宋体" w:cs="宋体"/>
          <w:color w:val="auto"/>
          <w:kern w:val="2"/>
          <w:sz w:val="21"/>
          <w:szCs w:val="21"/>
          <w:highlight w:val="none"/>
          <w:lang w:val="en-US" w:eastAsia="zh-CN" w:bidi="ar"/>
        </w:rPr>
        <w:t>，确保为采购人提供优效高质的服务。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200"/>
        <w:textAlignment w:val="auto"/>
        <w:outlineLvl w:val="2"/>
        <w:rPr>
          <w:rFonts w:hint="eastAsia" w:ascii="宋体" w:hAnsi="宋体" w:eastAsia="宋体" w:cs="宋体"/>
          <w:b/>
          <w:bCs/>
          <w:color w:val="auto"/>
          <w:sz w:val="21"/>
          <w:szCs w:val="21"/>
          <w:highlight w:val="none"/>
          <w:lang w:val="en-US" w:eastAsia="zh-CN"/>
        </w:rPr>
      </w:pPr>
      <w:r>
        <w:rPr>
          <w:rFonts w:hint="eastAsia" w:ascii="宋体" w:hAnsi="宋体" w:cs="宋体"/>
          <w:b/>
          <w:bCs/>
          <w:color w:val="auto"/>
          <w:kern w:val="2"/>
          <w:sz w:val="21"/>
          <w:szCs w:val="21"/>
          <w:highlight w:val="none"/>
          <w:lang w:val="en-US" w:eastAsia="zh-CN" w:bidi="ar-SA"/>
        </w:rPr>
        <w:t>（四）</w:t>
      </w:r>
      <w:r>
        <w:rPr>
          <w:rFonts w:hint="eastAsia" w:ascii="宋体" w:hAnsi="宋体" w:eastAsia="宋体" w:cs="宋体"/>
          <w:b/>
          <w:bCs/>
          <w:color w:val="auto"/>
          <w:sz w:val="21"/>
          <w:szCs w:val="21"/>
          <w:highlight w:val="none"/>
          <w:lang w:val="en-US" w:eastAsia="zh-CN"/>
        </w:rPr>
        <w:t>其他要求</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bidi="ar"/>
        </w:rPr>
        <w:t>1.中标单位</w:t>
      </w:r>
      <w:r>
        <w:rPr>
          <w:rFonts w:hint="eastAsia" w:ascii="宋体" w:hAnsi="宋体" w:eastAsia="宋体" w:cs="宋体"/>
          <w:color w:val="auto"/>
          <w:kern w:val="2"/>
          <w:sz w:val="21"/>
          <w:szCs w:val="21"/>
          <w:highlight w:val="none"/>
          <w:lang w:val="en-US" w:eastAsia="zh-CN" w:bidi="ar"/>
        </w:rPr>
        <w:t>或</w:t>
      </w:r>
      <w:r>
        <w:rPr>
          <w:rFonts w:hint="eastAsia" w:ascii="宋体" w:hAnsi="宋体" w:cs="宋体"/>
          <w:color w:val="auto"/>
          <w:kern w:val="2"/>
          <w:sz w:val="21"/>
          <w:szCs w:val="21"/>
          <w:highlight w:val="none"/>
          <w:lang w:val="en-US" w:eastAsia="zh-CN" w:bidi="ar"/>
        </w:rPr>
        <w:t>中标单位</w:t>
      </w:r>
      <w:r>
        <w:rPr>
          <w:rFonts w:hint="eastAsia" w:ascii="宋体" w:hAnsi="宋体" w:eastAsia="宋体" w:cs="宋体"/>
          <w:color w:val="auto"/>
          <w:kern w:val="2"/>
          <w:sz w:val="21"/>
          <w:szCs w:val="21"/>
          <w:highlight w:val="none"/>
          <w:lang w:val="en-US" w:eastAsia="zh-CN" w:bidi="ar"/>
        </w:rPr>
        <w:t>关联公司不得在</w:t>
      </w:r>
      <w:r>
        <w:rPr>
          <w:rFonts w:hint="eastAsia" w:ascii="宋体" w:hAnsi="宋体" w:eastAsia="宋体" w:cs="宋体"/>
          <w:color w:val="auto"/>
          <w:kern w:val="2"/>
          <w:sz w:val="21"/>
          <w:szCs w:val="21"/>
          <w:highlight w:val="none"/>
          <w:u w:val="single"/>
          <w:lang w:val="en-US" w:eastAsia="zh-CN" w:bidi="ar"/>
        </w:rPr>
        <w:t>江北区辖区</w:t>
      </w:r>
      <w:r>
        <w:rPr>
          <w:rFonts w:hint="eastAsia" w:ascii="宋体" w:hAnsi="宋体" w:eastAsia="宋体" w:cs="宋体"/>
          <w:color w:val="auto"/>
          <w:kern w:val="2"/>
          <w:sz w:val="21"/>
          <w:szCs w:val="21"/>
          <w:highlight w:val="none"/>
          <w:lang w:val="en-US" w:eastAsia="zh-CN" w:bidi="ar"/>
        </w:rPr>
        <w:t>内为企业或其他市场经营主体提供消防安全服务，不得为企业或其他市场经营主体推荐、介绍关于消防安全服务</w:t>
      </w:r>
      <w:r>
        <w:rPr>
          <w:rFonts w:hint="eastAsia" w:ascii="宋体" w:hAnsi="宋体" w:cs="宋体"/>
          <w:color w:val="auto"/>
          <w:kern w:val="2"/>
          <w:sz w:val="21"/>
          <w:szCs w:val="21"/>
          <w:highlight w:val="none"/>
          <w:lang w:val="en-US" w:eastAsia="zh-CN" w:bidi="ar"/>
        </w:rPr>
        <w:t>（包括但不限于消防检查、消防安全评估、消防检测等）</w:t>
      </w:r>
      <w:r>
        <w:rPr>
          <w:rFonts w:hint="eastAsia" w:ascii="宋体" w:hAnsi="宋体" w:eastAsia="宋体" w:cs="宋体"/>
          <w:color w:val="auto"/>
          <w:kern w:val="2"/>
          <w:sz w:val="21"/>
          <w:szCs w:val="21"/>
          <w:highlight w:val="none"/>
          <w:lang w:val="en-US" w:eastAsia="zh-CN" w:bidi="ar"/>
        </w:rPr>
        <w:t>；但为其他政府部门、开发区和国有企业提供服务除外。</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临时需要</w:t>
      </w:r>
      <w:r>
        <w:rPr>
          <w:rFonts w:hint="eastAsia" w:ascii="宋体" w:hAnsi="宋体" w:eastAsia="宋体" w:cs="宋体"/>
          <w:color w:val="auto"/>
          <w:sz w:val="21"/>
          <w:szCs w:val="21"/>
          <w:highlight w:val="none"/>
          <w:lang w:val="en-US" w:eastAsia="zh-CN"/>
        </w:rPr>
        <w:t>中标单位</w:t>
      </w:r>
      <w:r>
        <w:rPr>
          <w:rFonts w:hint="eastAsia" w:ascii="宋体" w:hAnsi="宋体" w:eastAsia="宋体" w:cs="宋体"/>
          <w:color w:val="auto"/>
          <w:sz w:val="21"/>
          <w:szCs w:val="21"/>
          <w:highlight w:val="none"/>
        </w:rPr>
        <w:t>提供技术力量协助时，</w:t>
      </w:r>
      <w:r>
        <w:rPr>
          <w:rFonts w:hint="eastAsia" w:ascii="宋体" w:hAnsi="宋体" w:eastAsia="宋体" w:cs="宋体"/>
          <w:color w:val="auto"/>
          <w:sz w:val="21"/>
          <w:szCs w:val="21"/>
          <w:highlight w:val="none"/>
          <w:lang w:val="en-US" w:eastAsia="zh-CN"/>
        </w:rPr>
        <w:t>中标单位</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的具体要求及时向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提供相关专家。</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 w:val="21"/>
          <w:szCs w:val="21"/>
          <w:highlight w:val="none"/>
          <w:lang w:val="en-US" w:eastAsia="zh-CN"/>
        </w:rPr>
        <w:t>3.</w:t>
      </w:r>
      <w:r>
        <w:rPr>
          <w:rFonts w:hint="eastAsia" w:ascii="宋体" w:hAnsi="宋体" w:eastAsia="宋体" w:cs="宋体"/>
          <w:color w:val="auto"/>
          <w:kern w:val="2"/>
          <w:sz w:val="21"/>
          <w:szCs w:val="21"/>
          <w:highlight w:val="none"/>
          <w:lang w:val="en-US" w:eastAsia="zh-CN" w:bidi="ar"/>
        </w:rPr>
        <w:t>采购人有权统筹安排、指导</w:t>
      </w:r>
      <w:r>
        <w:rPr>
          <w:rFonts w:hint="eastAsia" w:ascii="宋体" w:hAnsi="宋体" w:cs="宋体"/>
          <w:color w:val="auto"/>
          <w:kern w:val="2"/>
          <w:sz w:val="21"/>
          <w:szCs w:val="21"/>
          <w:highlight w:val="none"/>
          <w:lang w:val="en-US" w:eastAsia="zh-CN" w:bidi="ar"/>
        </w:rPr>
        <w:t>中标单位</w:t>
      </w:r>
      <w:r>
        <w:rPr>
          <w:rFonts w:hint="eastAsia" w:ascii="宋体" w:hAnsi="宋体" w:eastAsia="宋体" w:cs="宋体"/>
          <w:color w:val="auto"/>
          <w:kern w:val="2"/>
          <w:sz w:val="21"/>
          <w:szCs w:val="21"/>
          <w:highlight w:val="none"/>
          <w:lang w:val="en-US" w:eastAsia="zh-CN" w:bidi="ar"/>
        </w:rPr>
        <w:t>为本合同提供的服务。</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4.中标单位</w:t>
      </w:r>
      <w:r>
        <w:rPr>
          <w:rFonts w:hint="eastAsia" w:ascii="宋体" w:hAnsi="宋体" w:eastAsia="宋体" w:cs="宋体"/>
          <w:color w:val="auto"/>
          <w:kern w:val="2"/>
          <w:sz w:val="21"/>
          <w:szCs w:val="21"/>
          <w:highlight w:val="none"/>
          <w:lang w:val="en-US" w:eastAsia="zh-CN" w:bidi="ar"/>
        </w:rPr>
        <w:t>应对服务工作内容予以记录存档，合同任务完成后提交采购人一份存档。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商务条款</w:t>
      </w:r>
    </w:p>
    <w:tbl>
      <w:tblPr>
        <w:tblStyle w:val="39"/>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575"/>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keepNext w:val="0"/>
              <w:keepLines w:val="0"/>
              <w:pageBreakBefore w:val="0"/>
              <w:widowControl w:val="0"/>
              <w:tabs>
                <w:tab w:val="left" w:pos="1580"/>
                <w:tab w:val="left" w:pos="3436"/>
                <w:tab w:val="left" w:pos="5512"/>
              </w:tabs>
              <w:kinsoku/>
              <w:wordWrap/>
              <w:overflowPunct/>
              <w:topLinePunct w:val="0"/>
              <w:autoSpaceDE/>
              <w:autoSpaceDN w:val="0"/>
              <w:bidi w:val="0"/>
              <w:adjustRightInd/>
              <w:snapToGrid/>
              <w:spacing w:line="240" w:lineRule="auto"/>
              <w:ind w:left="0" w:leftChars="0"/>
              <w:jc w:val="center"/>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szCs w:val="21"/>
                <w:highlight w:val="none"/>
                <w:lang w:bidi="ar"/>
              </w:rPr>
              <w:t>序号</w:t>
            </w:r>
          </w:p>
        </w:tc>
        <w:tc>
          <w:tcPr>
            <w:tcW w:w="1575" w:type="dxa"/>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jc w:val="center"/>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szCs w:val="21"/>
                <w:highlight w:val="none"/>
                <w:lang w:bidi="ar"/>
              </w:rPr>
              <w:t>条款</w:t>
            </w:r>
          </w:p>
        </w:tc>
        <w:tc>
          <w:tcPr>
            <w:tcW w:w="7422" w:type="dxa"/>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jc w:val="center"/>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szCs w:val="21"/>
                <w:highlight w:val="none"/>
                <w:lang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服务地点</w:t>
            </w:r>
          </w:p>
        </w:tc>
        <w:tc>
          <w:tcPr>
            <w:tcW w:w="7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both"/>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位于宁波市江北区内，具体以采购人指定地点为准。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合同履约期限</w:t>
            </w:r>
          </w:p>
        </w:tc>
        <w:tc>
          <w:tcPr>
            <w:tcW w:w="7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jc w:val="both"/>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自合同签订之日起三年，合同一年一签，采购人根据</w:t>
            </w:r>
            <w:r>
              <w:rPr>
                <w:rFonts w:hint="eastAsia" w:ascii="宋体" w:hAnsi="宋体" w:cs="宋体"/>
                <w:b w:val="0"/>
                <w:bCs w:val="0"/>
                <w:color w:val="auto"/>
                <w:sz w:val="21"/>
                <w:szCs w:val="21"/>
                <w:highlight w:val="none"/>
                <w:lang w:val="en-US" w:eastAsia="zh-CN"/>
              </w:rPr>
              <w:t>中标单位</w:t>
            </w:r>
            <w:r>
              <w:rPr>
                <w:rFonts w:hint="eastAsia" w:ascii="宋体" w:hAnsi="宋体" w:eastAsia="宋体" w:cs="宋体"/>
                <w:b w:val="0"/>
                <w:bCs w:val="0"/>
                <w:color w:val="auto"/>
                <w:sz w:val="21"/>
                <w:szCs w:val="21"/>
                <w:highlight w:val="none"/>
                <w:lang w:val="en-US" w:eastAsia="zh-CN"/>
              </w:rPr>
              <w:t>在</w:t>
            </w:r>
            <w:r>
              <w:rPr>
                <w:rFonts w:hint="eastAsia" w:ascii="宋体" w:hAnsi="宋体" w:cs="宋体"/>
                <w:b w:val="0"/>
                <w:bCs w:val="0"/>
                <w:color w:val="auto"/>
                <w:sz w:val="21"/>
                <w:szCs w:val="21"/>
                <w:highlight w:val="none"/>
                <w:lang w:val="en-US" w:eastAsia="zh-CN"/>
              </w:rPr>
              <w:t>上一年度</w:t>
            </w:r>
            <w:r>
              <w:rPr>
                <w:rFonts w:hint="eastAsia" w:ascii="宋体" w:hAnsi="宋体" w:eastAsia="宋体" w:cs="宋体"/>
                <w:b w:val="0"/>
                <w:bCs w:val="0"/>
                <w:color w:val="auto"/>
                <w:sz w:val="21"/>
                <w:szCs w:val="21"/>
                <w:highlight w:val="none"/>
                <w:lang w:val="en-US" w:eastAsia="zh-CN"/>
              </w:rPr>
              <w:t>合同履约情况、</w:t>
            </w:r>
            <w:r>
              <w:rPr>
                <w:rFonts w:hint="eastAsia" w:ascii="宋体" w:hAnsi="宋体" w:cs="宋体"/>
                <w:b w:val="0"/>
                <w:bCs w:val="0"/>
                <w:color w:val="auto"/>
                <w:sz w:val="21"/>
                <w:szCs w:val="21"/>
                <w:highlight w:val="none"/>
                <w:lang w:val="en-US" w:eastAsia="zh-CN"/>
              </w:rPr>
              <w:t>考核验收情况</w:t>
            </w:r>
            <w:r>
              <w:rPr>
                <w:rFonts w:hint="eastAsia" w:ascii="宋体" w:hAnsi="宋体" w:eastAsia="宋体" w:cs="宋体"/>
                <w:b w:val="0"/>
                <w:bCs w:val="0"/>
                <w:color w:val="auto"/>
                <w:sz w:val="21"/>
                <w:szCs w:val="21"/>
                <w:highlight w:val="none"/>
                <w:lang w:val="en-US" w:eastAsia="zh-CN"/>
              </w:rPr>
              <w:t>及财政资金审批情况等决定是否续签。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bidi="ar"/>
              </w:rPr>
              <w:t>履约保证金</w:t>
            </w:r>
          </w:p>
        </w:tc>
        <w:tc>
          <w:tcPr>
            <w:tcW w:w="74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bidi="ar"/>
              </w:rPr>
              <w:t>履约保证金金额：履约保证金为合同价的1%；</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bidi="ar"/>
              </w:rPr>
              <w:t>履约保证金形式：</w:t>
            </w:r>
            <w:r>
              <w:rPr>
                <w:rFonts w:hint="eastAsia" w:ascii="宋体" w:hAnsi="宋体" w:cs="宋体"/>
                <w:b w:val="0"/>
                <w:bCs w:val="0"/>
                <w:color w:val="auto"/>
                <w:sz w:val="21"/>
                <w:szCs w:val="21"/>
                <w:highlight w:val="none"/>
                <w:lang w:val="en-US" w:eastAsia="zh-CN" w:bidi="ar"/>
              </w:rPr>
              <w:t>采用</w:t>
            </w:r>
            <w:r>
              <w:rPr>
                <w:rFonts w:hint="eastAsia" w:ascii="宋体" w:hAnsi="宋体" w:eastAsia="宋体" w:cs="宋体"/>
                <w:b w:val="0"/>
                <w:bCs w:val="0"/>
                <w:color w:val="auto"/>
                <w:sz w:val="21"/>
                <w:szCs w:val="21"/>
                <w:highlight w:val="none"/>
                <w:lang w:bidi="ar"/>
              </w:rPr>
              <w:t>现金、银行汇票（电汇）、银行保函、保险保单或支票（仅限于使用宁波大市区范围内的银行开具的支票）等</w:t>
            </w:r>
            <w:r>
              <w:rPr>
                <w:rFonts w:hint="eastAsia" w:ascii="宋体" w:hAnsi="宋体" w:cs="宋体"/>
                <w:b w:val="0"/>
                <w:bCs w:val="0"/>
                <w:color w:val="auto"/>
                <w:sz w:val="21"/>
                <w:szCs w:val="21"/>
                <w:highlight w:val="none"/>
                <w:lang w:val="en-US" w:eastAsia="zh-CN" w:bidi="ar"/>
              </w:rPr>
              <w:t>采购人认可的</w:t>
            </w:r>
            <w:r>
              <w:rPr>
                <w:rFonts w:hint="eastAsia" w:ascii="宋体" w:hAnsi="宋体" w:eastAsia="宋体" w:cs="宋体"/>
                <w:b w:val="0"/>
                <w:bCs w:val="0"/>
                <w:color w:val="auto"/>
                <w:sz w:val="21"/>
                <w:szCs w:val="21"/>
                <w:highlight w:val="none"/>
                <w:lang w:bidi="ar"/>
              </w:rPr>
              <w:t>形式；</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bidi="ar"/>
              </w:rPr>
              <w:t>履约保证金提交时间：</w:t>
            </w:r>
            <w:r>
              <w:rPr>
                <w:rFonts w:hint="eastAsia" w:ascii="宋体" w:hAnsi="宋体" w:cs="宋体"/>
                <w:b w:val="0"/>
                <w:bCs w:val="0"/>
                <w:color w:val="auto"/>
                <w:sz w:val="21"/>
                <w:szCs w:val="21"/>
                <w:highlight w:val="none"/>
                <w:lang w:eastAsia="zh-CN" w:bidi="ar"/>
              </w:rPr>
              <w:t>中标</w:t>
            </w:r>
            <w:r>
              <w:rPr>
                <w:rFonts w:hint="eastAsia" w:ascii="宋体" w:hAnsi="宋体" w:cs="宋体"/>
                <w:b w:val="0"/>
                <w:bCs w:val="0"/>
                <w:color w:val="auto"/>
                <w:sz w:val="21"/>
                <w:szCs w:val="21"/>
                <w:highlight w:val="none"/>
                <w:lang w:val="en-US" w:eastAsia="zh-CN" w:bidi="ar"/>
              </w:rPr>
              <w:t>单位</w:t>
            </w:r>
            <w:r>
              <w:rPr>
                <w:rFonts w:hint="eastAsia" w:ascii="宋体" w:hAnsi="宋体" w:cs="宋体"/>
                <w:b w:val="0"/>
                <w:bCs w:val="0"/>
                <w:color w:val="auto"/>
                <w:sz w:val="21"/>
                <w:szCs w:val="21"/>
                <w:highlight w:val="none"/>
                <w:lang w:eastAsia="zh-CN" w:bidi="ar"/>
              </w:rPr>
              <w:t>须在合同签订后</w:t>
            </w:r>
            <w:r>
              <w:rPr>
                <w:rFonts w:hint="eastAsia" w:ascii="宋体" w:hAnsi="宋体" w:cs="宋体"/>
                <w:b w:val="0"/>
                <w:bCs w:val="0"/>
                <w:color w:val="auto"/>
                <w:sz w:val="21"/>
                <w:szCs w:val="21"/>
                <w:highlight w:val="none"/>
                <w:lang w:val="en-US" w:eastAsia="zh-CN" w:bidi="ar"/>
              </w:rPr>
              <w:t>15</w:t>
            </w:r>
            <w:r>
              <w:rPr>
                <w:rFonts w:hint="eastAsia" w:ascii="宋体" w:hAnsi="宋体" w:cs="宋体"/>
                <w:b w:val="0"/>
                <w:bCs w:val="0"/>
                <w:color w:val="auto"/>
                <w:sz w:val="21"/>
                <w:szCs w:val="21"/>
                <w:highlight w:val="none"/>
                <w:lang w:eastAsia="zh-CN" w:bidi="ar"/>
              </w:rPr>
              <w:t>个工作日内向采购</w:t>
            </w:r>
            <w:r>
              <w:rPr>
                <w:rFonts w:hint="eastAsia" w:ascii="宋体" w:hAnsi="宋体" w:cs="宋体"/>
                <w:b w:val="0"/>
                <w:bCs w:val="0"/>
                <w:color w:val="auto"/>
                <w:sz w:val="21"/>
                <w:szCs w:val="21"/>
                <w:highlight w:val="none"/>
                <w:lang w:val="en-US" w:eastAsia="zh-CN" w:bidi="ar"/>
              </w:rPr>
              <w:t>人</w:t>
            </w:r>
            <w:r>
              <w:rPr>
                <w:rFonts w:hint="eastAsia" w:ascii="宋体" w:hAnsi="宋体" w:cs="宋体"/>
                <w:b w:val="0"/>
                <w:bCs w:val="0"/>
                <w:color w:val="auto"/>
                <w:sz w:val="21"/>
                <w:szCs w:val="21"/>
                <w:highlight w:val="none"/>
                <w:lang w:eastAsia="zh-CN" w:bidi="ar"/>
              </w:rPr>
              <w:t>交纳履约保证金</w:t>
            </w:r>
            <w:r>
              <w:rPr>
                <w:rFonts w:hint="eastAsia" w:ascii="宋体" w:hAnsi="宋体" w:eastAsia="宋体" w:cs="宋体"/>
                <w:b w:val="0"/>
                <w:bCs w:val="0"/>
                <w:color w:val="auto"/>
                <w:sz w:val="21"/>
                <w:szCs w:val="21"/>
                <w:highlight w:val="none"/>
                <w:lang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jc w:val="both"/>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bidi="ar"/>
              </w:rPr>
              <w:t>履约保证金的退取：</w:t>
            </w:r>
            <w:r>
              <w:rPr>
                <w:rFonts w:hint="eastAsia" w:ascii="宋体" w:hAnsi="宋体" w:cs="宋体"/>
                <w:b w:val="0"/>
                <w:bCs w:val="0"/>
                <w:color w:val="auto"/>
                <w:sz w:val="21"/>
                <w:szCs w:val="21"/>
                <w:highlight w:val="none"/>
                <w:lang w:eastAsia="zh-CN" w:bidi="ar"/>
              </w:rPr>
              <w:t>在中标单位完成合同履约后15个工作日内无息退还（但如中标单位未能履行合同规定的任何义务，采购人有权从履约保证金中得到补偿</w:t>
            </w:r>
            <w:r>
              <w:rPr>
                <w:rFonts w:hint="eastAsia" w:ascii="宋体" w:hAnsi="宋体" w:eastAsia="宋体" w:cs="宋体"/>
                <w:b w:val="0"/>
                <w:bCs w:val="0"/>
                <w:color w:val="auto"/>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bidi="ar"/>
              </w:rPr>
              <w:t>付款</w:t>
            </w:r>
            <w:r>
              <w:rPr>
                <w:rFonts w:hint="eastAsia" w:ascii="宋体" w:hAnsi="宋体" w:eastAsia="宋体" w:cs="宋体"/>
                <w:b w:val="0"/>
                <w:bCs w:val="0"/>
                <w:color w:val="auto"/>
                <w:sz w:val="21"/>
                <w:szCs w:val="21"/>
                <w:highlight w:val="none"/>
                <w:lang w:val="en-US" w:eastAsia="zh-CN" w:bidi="ar"/>
              </w:rPr>
              <w:t>方式</w:t>
            </w:r>
          </w:p>
        </w:tc>
        <w:tc>
          <w:tcPr>
            <w:tcW w:w="7422" w:type="dxa"/>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400" w:lineRule="exact"/>
              <w:ind w:left="0" w:leftChars="0"/>
              <w:jc w:val="both"/>
              <w:textAlignment w:val="auto"/>
              <w:rPr>
                <w:rFonts w:hint="eastAsia" w:ascii="宋体" w:hAnsi="宋体" w:eastAsia="宋体" w:cs="宋体"/>
                <w:b w:val="0"/>
                <w:bCs w:val="0"/>
                <w:color w:val="auto"/>
                <w:szCs w:val="21"/>
                <w:highlight w:val="none"/>
                <w:lang w:eastAsia="zh-CN" w:bidi="ar"/>
              </w:rPr>
            </w:pPr>
            <w:r>
              <w:rPr>
                <w:rFonts w:hint="eastAsia" w:ascii="宋体" w:hAnsi="宋体" w:eastAsia="宋体" w:cs="宋体"/>
                <w:b w:val="0"/>
                <w:bCs w:val="0"/>
                <w:color w:val="auto"/>
                <w:kern w:val="2"/>
                <w:sz w:val="21"/>
                <w:szCs w:val="21"/>
                <w:highlight w:val="none"/>
                <w:lang w:val="en-US" w:eastAsia="zh-CN" w:bidi="ar"/>
              </w:rPr>
              <w:t>（1）</w:t>
            </w:r>
            <w:r>
              <w:rPr>
                <w:rFonts w:hint="eastAsia" w:ascii="宋体" w:hAnsi="宋体" w:eastAsia="宋体" w:cs="宋体"/>
                <w:b w:val="0"/>
                <w:bCs w:val="0"/>
                <w:color w:val="auto"/>
                <w:szCs w:val="21"/>
                <w:highlight w:val="none"/>
                <w:lang w:val="en-US" w:eastAsia="zh-CN" w:bidi="ar"/>
              </w:rPr>
              <w:t>预付款：</w:t>
            </w:r>
            <w:r>
              <w:rPr>
                <w:rFonts w:hint="eastAsia" w:ascii="宋体" w:hAnsi="宋体" w:eastAsia="宋体" w:cs="宋体"/>
                <w:b w:val="0"/>
                <w:bCs w:val="0"/>
                <w:color w:val="auto"/>
                <w:szCs w:val="21"/>
                <w:highlight w:val="none"/>
                <w:lang w:bidi="ar"/>
              </w:rPr>
              <w:t>合同签订生效并具备实施条件后</w:t>
            </w:r>
            <w:r>
              <w:rPr>
                <w:rFonts w:hint="eastAsia" w:ascii="宋体" w:hAnsi="宋体" w:cs="宋体"/>
                <w:b w:val="0"/>
                <w:bCs w:val="0"/>
                <w:color w:val="auto"/>
                <w:szCs w:val="21"/>
                <w:highlight w:val="none"/>
                <w:lang w:val="en-US" w:eastAsia="zh-CN" w:bidi="ar"/>
              </w:rPr>
              <w:t>15</w:t>
            </w:r>
            <w:r>
              <w:rPr>
                <w:rFonts w:hint="eastAsia" w:ascii="宋体" w:hAnsi="宋体" w:eastAsia="宋体" w:cs="宋体"/>
                <w:b w:val="0"/>
                <w:bCs w:val="0"/>
                <w:color w:val="auto"/>
                <w:szCs w:val="21"/>
                <w:highlight w:val="none"/>
                <w:lang w:bidi="ar"/>
              </w:rPr>
              <w:t>个工作日内支付合同</w:t>
            </w:r>
            <w:r>
              <w:rPr>
                <w:rFonts w:hint="eastAsia" w:ascii="宋体" w:hAnsi="宋体" w:eastAsia="宋体" w:cs="宋体"/>
                <w:b w:val="0"/>
                <w:bCs w:val="0"/>
                <w:color w:val="auto"/>
                <w:szCs w:val="21"/>
                <w:highlight w:val="none"/>
                <w:lang w:eastAsia="zh-CN" w:bidi="ar"/>
              </w:rPr>
              <w:t>金额</w:t>
            </w:r>
            <w:r>
              <w:rPr>
                <w:rFonts w:hint="eastAsia" w:ascii="宋体" w:hAnsi="宋体" w:eastAsia="宋体" w:cs="宋体"/>
                <w:b w:val="0"/>
                <w:bCs w:val="0"/>
                <w:color w:val="auto"/>
                <w:szCs w:val="21"/>
                <w:highlight w:val="none"/>
                <w:lang w:bidi="ar"/>
              </w:rPr>
              <w:t>的</w:t>
            </w:r>
            <w:r>
              <w:rPr>
                <w:rFonts w:hint="eastAsia" w:ascii="宋体" w:hAnsi="宋体" w:eastAsia="宋体" w:cs="宋体"/>
                <w:b w:val="0"/>
                <w:bCs w:val="0"/>
                <w:color w:val="auto"/>
                <w:szCs w:val="21"/>
                <w:highlight w:val="none"/>
                <w:lang w:val="en-US" w:eastAsia="zh-CN" w:bidi="ar"/>
              </w:rPr>
              <w:t>20</w:t>
            </w:r>
            <w:r>
              <w:rPr>
                <w:rFonts w:hint="eastAsia" w:ascii="宋体" w:hAnsi="宋体" w:eastAsia="宋体" w:cs="宋体"/>
                <w:b w:val="0"/>
                <w:bCs w:val="0"/>
                <w:color w:val="auto"/>
                <w:szCs w:val="21"/>
                <w:highlight w:val="none"/>
                <w:lang w:bidi="ar"/>
              </w:rPr>
              <w:t>%，作为本</w:t>
            </w:r>
            <w:r>
              <w:rPr>
                <w:rFonts w:hint="eastAsia" w:ascii="宋体" w:hAnsi="宋体" w:eastAsia="宋体" w:cs="宋体"/>
                <w:b w:val="0"/>
                <w:bCs w:val="0"/>
                <w:color w:val="auto"/>
                <w:szCs w:val="21"/>
                <w:highlight w:val="none"/>
                <w:lang w:eastAsia="zh-CN" w:bidi="ar"/>
              </w:rPr>
              <w:t>项目</w:t>
            </w:r>
            <w:r>
              <w:rPr>
                <w:rFonts w:hint="eastAsia" w:ascii="宋体" w:hAnsi="宋体" w:eastAsia="宋体" w:cs="宋体"/>
                <w:b w:val="0"/>
                <w:bCs w:val="0"/>
                <w:color w:val="auto"/>
                <w:szCs w:val="21"/>
                <w:highlight w:val="none"/>
                <w:lang w:bidi="ar"/>
              </w:rPr>
              <w:t>预付款</w:t>
            </w:r>
            <w:r>
              <w:rPr>
                <w:rFonts w:hint="eastAsia" w:ascii="宋体" w:hAnsi="宋体" w:eastAsia="宋体" w:cs="宋体"/>
                <w:b w:val="0"/>
                <w:bCs w:val="0"/>
                <w:color w:val="auto"/>
                <w:szCs w:val="21"/>
                <w:highlight w:val="none"/>
                <w:lang w:eastAsia="zh-CN" w:bidi="ar"/>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400" w:lineRule="exact"/>
              <w:ind w:left="0"/>
              <w:jc w:val="both"/>
              <w:textAlignment w:val="auto"/>
              <w:rPr>
                <w:rFonts w:hint="eastAsia" w:ascii="宋体" w:hAnsi="宋体" w:eastAsia="宋体" w:cs="宋体"/>
                <w:b w:val="0"/>
                <w:bCs w:val="0"/>
                <w:color w:val="auto"/>
                <w:szCs w:val="21"/>
                <w:highlight w:val="none"/>
                <w:lang w:eastAsia="zh-CN" w:bidi="ar"/>
              </w:rPr>
            </w:pPr>
            <w:r>
              <w:rPr>
                <w:rFonts w:hint="eastAsia" w:ascii="宋体" w:hAnsi="宋体" w:eastAsia="宋体" w:cs="宋体"/>
                <w:b w:val="0"/>
                <w:bCs w:val="0"/>
                <w:color w:val="auto"/>
                <w:szCs w:val="21"/>
                <w:highlight w:val="none"/>
                <w:lang w:eastAsia="zh-CN" w:bidi="ar"/>
              </w:rPr>
              <w:t>注：</w:t>
            </w:r>
            <w:r>
              <w:rPr>
                <w:rFonts w:hint="eastAsia" w:ascii="宋体" w:hAnsi="宋体" w:cs="宋体"/>
                <w:b w:val="0"/>
                <w:bCs w:val="0"/>
                <w:color w:val="auto"/>
                <w:szCs w:val="21"/>
                <w:highlight w:val="none"/>
                <w:lang w:eastAsia="zh-CN" w:bidi="ar"/>
              </w:rPr>
              <w:t>中标单位</w:t>
            </w:r>
            <w:r>
              <w:rPr>
                <w:rFonts w:hint="eastAsia" w:ascii="宋体" w:hAnsi="宋体" w:eastAsia="宋体" w:cs="宋体"/>
                <w:b w:val="0"/>
                <w:bCs w:val="0"/>
                <w:color w:val="auto"/>
                <w:szCs w:val="21"/>
                <w:highlight w:val="none"/>
                <w:lang w:bidi="ar"/>
              </w:rPr>
              <w:t>于合同签订前书面承诺放弃预付款或降低预付款支付比例的，可不适用本条款且具体支付方式由双方在合同中自行约定</w:t>
            </w:r>
            <w:r>
              <w:rPr>
                <w:rFonts w:hint="eastAsia" w:ascii="宋体" w:hAnsi="宋体" w:eastAsia="宋体" w:cs="宋体"/>
                <w:b w:val="0"/>
                <w:bCs w:val="0"/>
                <w:color w:val="auto"/>
                <w:szCs w:val="21"/>
                <w:highlight w:val="none"/>
                <w:lang w:eastAsia="zh-CN" w:bidi="ar"/>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400" w:lineRule="exact"/>
              <w:ind w:left="0"/>
              <w:jc w:val="both"/>
              <w:textAlignment w:val="auto"/>
              <w:rPr>
                <w:rFonts w:hint="eastAsia" w:ascii="宋体" w:hAnsi="宋体" w:eastAsia="宋体" w:cs="宋体"/>
                <w:b w:val="0"/>
                <w:bCs w:val="0"/>
                <w:color w:val="auto"/>
                <w:szCs w:val="21"/>
                <w:highlight w:val="none"/>
                <w:lang w:val="en-US" w:eastAsia="zh-CN" w:bidi="ar"/>
              </w:rPr>
            </w:pPr>
            <w:r>
              <w:rPr>
                <w:rFonts w:hint="eastAsia" w:ascii="宋体" w:hAnsi="宋体" w:eastAsia="宋体" w:cs="宋体"/>
                <w:b w:val="0"/>
                <w:bCs w:val="0"/>
                <w:color w:val="auto"/>
                <w:szCs w:val="21"/>
                <w:highlight w:val="none"/>
                <w:lang w:bidi="ar"/>
              </w:rPr>
              <w:t>（2）</w:t>
            </w:r>
            <w:r>
              <w:rPr>
                <w:rFonts w:hint="eastAsia" w:ascii="宋体" w:hAnsi="宋体" w:eastAsia="宋体" w:cs="宋体"/>
                <w:b w:val="0"/>
                <w:bCs w:val="0"/>
                <w:color w:val="auto"/>
                <w:szCs w:val="21"/>
                <w:highlight w:val="none"/>
                <w:lang w:val="en-US" w:eastAsia="zh-CN" w:bidi="ar"/>
              </w:rPr>
              <w:t>进度款：</w:t>
            </w:r>
            <w:r>
              <w:rPr>
                <w:rFonts w:hint="eastAsia" w:ascii="宋体" w:hAnsi="宋体" w:eastAsia="宋体" w:cs="宋体"/>
                <w:b w:val="0"/>
                <w:bCs w:val="0"/>
                <w:color w:val="auto"/>
                <w:szCs w:val="21"/>
                <w:highlight w:val="none"/>
                <w:lang w:bidi="ar"/>
              </w:rPr>
              <w:t>先服务后付费，</w:t>
            </w:r>
            <w:r>
              <w:rPr>
                <w:rFonts w:hint="eastAsia" w:ascii="宋体" w:hAnsi="宋体" w:eastAsia="宋体" w:cs="宋体"/>
                <w:b w:val="0"/>
                <w:bCs w:val="0"/>
                <w:color w:val="auto"/>
                <w:sz w:val="21"/>
                <w:szCs w:val="21"/>
                <w:highlight w:val="none"/>
              </w:rPr>
              <w:t>每三个月支付一次，</w:t>
            </w:r>
            <w:r>
              <w:rPr>
                <w:rFonts w:hint="eastAsia" w:ascii="宋体" w:hAnsi="宋体" w:eastAsia="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于第四个月10日前</w:t>
            </w:r>
            <w:r>
              <w:rPr>
                <w:rFonts w:hint="eastAsia" w:ascii="宋体" w:hAnsi="宋体" w:eastAsia="宋体" w:cs="宋体"/>
                <w:b w:val="0"/>
                <w:bCs w:val="0"/>
                <w:color w:val="auto"/>
                <w:sz w:val="21"/>
                <w:szCs w:val="21"/>
                <w:highlight w:val="none"/>
                <w:lang w:val="en-US" w:eastAsia="zh-CN"/>
              </w:rPr>
              <w:t>支付当年度签约合同服务费总价的15%</w:t>
            </w:r>
            <w:r>
              <w:rPr>
                <w:rFonts w:hint="eastAsia" w:ascii="宋体" w:hAnsi="宋体" w:eastAsia="宋体" w:cs="宋体"/>
                <w:b w:val="0"/>
                <w:bCs w:val="0"/>
                <w:color w:val="auto"/>
                <w:szCs w:val="21"/>
                <w:highlight w:val="none"/>
                <w:lang w:val="en-US" w:eastAsia="zh-CN" w:bidi="ar"/>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400" w:lineRule="exact"/>
              <w:ind w:left="0"/>
              <w:jc w:val="both"/>
              <w:textAlignment w:val="auto"/>
              <w:rPr>
                <w:rFonts w:hint="eastAsia" w:ascii="宋体" w:hAnsi="宋体" w:eastAsia="宋体" w:cs="宋体"/>
                <w:b w:val="0"/>
                <w:bCs w:val="0"/>
                <w:color w:val="auto"/>
                <w:szCs w:val="21"/>
                <w:highlight w:val="none"/>
                <w:lang w:val="en-US" w:eastAsia="zh-CN" w:bidi="ar"/>
              </w:rPr>
            </w:pPr>
            <w:r>
              <w:rPr>
                <w:rFonts w:hint="eastAsia" w:ascii="宋体" w:hAnsi="宋体" w:eastAsia="宋体" w:cs="宋体"/>
                <w:b w:val="0"/>
                <w:bCs w:val="0"/>
                <w:color w:val="auto"/>
                <w:szCs w:val="21"/>
                <w:highlight w:val="none"/>
                <w:lang w:val="en-US" w:eastAsia="zh-CN" w:bidi="ar"/>
              </w:rPr>
              <w:t>（3）验收款：服务期满后，根据验收考核结果，按照合同约定验收考核标准结算最终服务费，</w:t>
            </w:r>
            <w:r>
              <w:rPr>
                <w:rFonts w:hint="eastAsia" w:ascii="宋体" w:hAnsi="宋体" w:eastAsia="宋体" w:cs="宋体"/>
                <w:b w:val="0"/>
                <w:bCs w:val="0"/>
                <w:color w:val="auto"/>
                <w:szCs w:val="21"/>
                <w:highlight w:val="none"/>
                <w:lang w:bidi="ar"/>
              </w:rPr>
              <w:t>采购人</w:t>
            </w:r>
            <w:r>
              <w:rPr>
                <w:rFonts w:hint="eastAsia" w:ascii="宋体" w:hAnsi="宋体" w:eastAsia="宋体" w:cs="宋体"/>
                <w:b w:val="0"/>
                <w:bCs w:val="0"/>
                <w:color w:val="auto"/>
                <w:szCs w:val="21"/>
                <w:highlight w:val="none"/>
                <w:lang w:val="en-US" w:eastAsia="zh-CN" w:bidi="ar"/>
              </w:rPr>
              <w:t>将扣除已经支付服务费和预付款后</w:t>
            </w:r>
            <w:r>
              <w:rPr>
                <w:rFonts w:hint="eastAsia" w:ascii="宋体" w:hAnsi="宋体" w:cs="宋体"/>
                <w:b w:val="0"/>
                <w:bCs w:val="0"/>
                <w:color w:val="auto"/>
                <w:szCs w:val="21"/>
                <w:highlight w:val="none"/>
                <w:lang w:val="en-US" w:eastAsia="zh-CN" w:bidi="ar"/>
              </w:rPr>
              <w:t>的剩余款项，自验收结束日起15日内一次性付清（不计息）。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jc w:val="both"/>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Cs w:val="21"/>
                <w:highlight w:val="none"/>
                <w:lang w:val="en-US" w:eastAsia="zh-CN" w:bidi="ar"/>
              </w:rPr>
              <w:t>备注：</w:t>
            </w:r>
            <w:r>
              <w:rPr>
                <w:rFonts w:hint="eastAsia" w:ascii="宋体" w:hAnsi="宋体" w:eastAsia="宋体" w:cs="宋体"/>
                <w:b w:val="0"/>
                <w:bCs w:val="0"/>
                <w:color w:val="auto"/>
                <w:szCs w:val="21"/>
                <w:highlight w:val="none"/>
                <w:lang w:bidi="ar"/>
              </w:rPr>
              <w:t>以上款项每次付款前中标单位应提供符合采购人要求的相应金额</w:t>
            </w:r>
            <w:r>
              <w:rPr>
                <w:rFonts w:hint="eastAsia" w:ascii="宋体" w:hAnsi="宋体" w:eastAsia="宋体" w:cs="宋体"/>
                <w:b w:val="0"/>
                <w:bCs w:val="0"/>
                <w:color w:val="auto"/>
                <w:szCs w:val="21"/>
                <w:highlight w:val="none"/>
                <w:lang w:val="en-US" w:eastAsia="zh-CN" w:bidi="ar"/>
              </w:rPr>
              <w:t>增值税</w:t>
            </w:r>
            <w:r>
              <w:rPr>
                <w:rFonts w:hint="eastAsia" w:ascii="宋体" w:hAnsi="宋体" w:eastAsia="宋体" w:cs="宋体"/>
                <w:b w:val="0"/>
                <w:bCs w:val="0"/>
                <w:color w:val="auto"/>
                <w:szCs w:val="21"/>
                <w:highlight w:val="none"/>
                <w:lang w:bidi="ar"/>
              </w:rPr>
              <w:t>发票，否则采购人有权拒绝支付；如中标单位迟延提供符合要求的相应金额</w:t>
            </w:r>
            <w:r>
              <w:rPr>
                <w:rFonts w:hint="eastAsia" w:ascii="宋体" w:hAnsi="宋体" w:eastAsia="宋体" w:cs="宋体"/>
                <w:b w:val="0"/>
                <w:bCs w:val="0"/>
                <w:color w:val="auto"/>
                <w:szCs w:val="21"/>
                <w:highlight w:val="none"/>
                <w:lang w:val="en-US" w:eastAsia="zh-CN" w:bidi="ar"/>
              </w:rPr>
              <w:t>增值税</w:t>
            </w:r>
            <w:r>
              <w:rPr>
                <w:rFonts w:hint="eastAsia" w:ascii="宋体" w:hAnsi="宋体" w:eastAsia="宋体" w:cs="宋体"/>
                <w:b w:val="0"/>
                <w:bCs w:val="0"/>
                <w:color w:val="auto"/>
                <w:szCs w:val="21"/>
                <w:highlight w:val="none"/>
                <w:lang w:bidi="ar"/>
              </w:rPr>
              <w:t>发票，采购人付款时间相应顺延。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考核验收</w:t>
            </w:r>
          </w:p>
        </w:tc>
        <w:tc>
          <w:tcPr>
            <w:tcW w:w="7422" w:type="dxa"/>
            <w:vAlign w:val="center"/>
          </w:tcPr>
          <w:p>
            <w:pPr>
              <w:keepNext w:val="0"/>
              <w:keepLines w:val="0"/>
              <w:pageBreakBefore w:val="0"/>
              <w:widowControl w:val="0"/>
              <w:numPr>
                <w:ilvl w:val="0"/>
                <w:numId w:val="0"/>
              </w:numPr>
              <w:kinsoku/>
              <w:wordWrap/>
              <w:overflowPunct/>
              <w:topLinePunct w:val="0"/>
              <w:autoSpaceDE/>
              <w:bidi w:val="0"/>
              <w:adjustRightInd/>
              <w:snapToGrid/>
              <w:spacing w:line="400" w:lineRule="exact"/>
              <w:ind w:left="0" w:leftChars="0"/>
              <w:jc w:val="both"/>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szCs w:val="21"/>
                <w:highlight w:val="none"/>
              </w:rPr>
              <w:t>由采购人</w:t>
            </w:r>
            <w:r>
              <w:rPr>
                <w:rFonts w:hint="eastAsia" w:ascii="Times New Roman" w:hAnsi="Times New Roman" w:eastAsia="宋体" w:cs="Times New Roman"/>
                <w:color w:val="auto"/>
                <w:szCs w:val="21"/>
                <w:highlight w:val="none"/>
                <w:lang w:eastAsia="zh-CN"/>
              </w:rPr>
              <w:t>根据</w:t>
            </w:r>
            <w:r>
              <w:rPr>
                <w:rFonts w:hint="eastAsia" w:cs="Times New Roman"/>
                <w:color w:val="auto"/>
                <w:szCs w:val="21"/>
                <w:highlight w:val="none"/>
                <w:lang w:eastAsia="zh-CN"/>
              </w:rPr>
              <w:t>中标单位</w:t>
            </w:r>
            <w:r>
              <w:rPr>
                <w:rFonts w:hint="eastAsia" w:ascii="Times New Roman" w:hAnsi="Times New Roman" w:eastAsia="宋体" w:cs="Times New Roman"/>
                <w:color w:val="auto"/>
                <w:szCs w:val="21"/>
                <w:highlight w:val="none"/>
              </w:rPr>
              <w:t>提供的</w:t>
            </w:r>
            <w:r>
              <w:rPr>
                <w:rFonts w:hint="eastAsia" w:ascii="Times New Roman" w:hAnsi="Times New Roman" w:eastAsia="宋体" w:cs="Times New Roman"/>
                <w:color w:val="auto"/>
                <w:szCs w:val="21"/>
                <w:highlight w:val="none"/>
                <w:lang w:eastAsia="zh-CN"/>
              </w:rPr>
              <w:t>投标文件</w:t>
            </w:r>
            <w:r>
              <w:rPr>
                <w:rFonts w:hint="eastAsia" w:ascii="Times New Roman" w:hAnsi="Times New Roman" w:eastAsia="宋体" w:cs="Times New Roman"/>
                <w:color w:val="auto"/>
                <w:szCs w:val="21"/>
                <w:highlight w:val="none"/>
              </w:rPr>
              <w:t>、</w:t>
            </w:r>
            <w:r>
              <w:rPr>
                <w:rFonts w:hint="eastAsia" w:cs="Times New Roman"/>
                <w:color w:val="auto"/>
                <w:szCs w:val="21"/>
                <w:highlight w:val="none"/>
                <w:lang w:eastAsia="zh-CN"/>
              </w:rPr>
              <w:t>中标单位</w:t>
            </w:r>
            <w:r>
              <w:rPr>
                <w:rFonts w:hint="eastAsia" w:ascii="Times New Roman" w:hAnsi="Times New Roman" w:eastAsia="宋体" w:cs="Times New Roman"/>
                <w:color w:val="auto"/>
                <w:szCs w:val="21"/>
                <w:highlight w:val="none"/>
              </w:rPr>
              <w:t>和采购人签订的政府采购合同为标准进行</w:t>
            </w:r>
            <w:r>
              <w:rPr>
                <w:rFonts w:hint="eastAsia" w:ascii="Times New Roman" w:hAnsi="Times New Roman" w:eastAsia="宋体" w:cs="Times New Roman"/>
                <w:color w:val="auto"/>
                <w:szCs w:val="21"/>
                <w:highlight w:val="none"/>
                <w:lang w:val="en-US" w:eastAsia="zh-CN"/>
              </w:rPr>
              <w:t>考核</w:t>
            </w:r>
            <w:r>
              <w:rPr>
                <w:rFonts w:hint="eastAsia" w:ascii="Times New Roman" w:hAnsi="Times New Roman" w:eastAsia="宋体" w:cs="Times New Roman"/>
                <w:color w:val="auto"/>
                <w:szCs w:val="21"/>
                <w:highlight w:val="none"/>
              </w:rPr>
              <w:t>验收</w:t>
            </w:r>
            <w:r>
              <w:rPr>
                <w:rFonts w:hint="eastAsia" w:ascii="Times New Roman" w:hAnsi="Times New Roman" w:eastAsia="宋体" w:cs="Times New Roman"/>
                <w:color w:val="auto"/>
                <w:szCs w:val="21"/>
                <w:highlight w:val="none"/>
                <w:lang w:eastAsia="zh-CN"/>
              </w:rPr>
              <w:t>。</w:t>
            </w:r>
          </w:p>
          <w:p>
            <w:pPr>
              <w:keepNext w:val="0"/>
              <w:keepLines w:val="0"/>
              <w:pageBreakBefore w:val="0"/>
              <w:widowControl w:val="0"/>
              <w:numPr>
                <w:ilvl w:val="0"/>
                <w:numId w:val="0"/>
              </w:numPr>
              <w:kinsoku/>
              <w:wordWrap/>
              <w:overflowPunct/>
              <w:topLinePunct w:val="0"/>
              <w:autoSpaceDE/>
              <w:bidi w:val="0"/>
              <w:adjustRightInd/>
              <w:snapToGrid/>
              <w:spacing w:line="400" w:lineRule="exact"/>
              <w:ind w:left="0" w:leftChars="0"/>
              <w:jc w:val="both"/>
              <w:textAlignment w:val="auto"/>
              <w:rPr>
                <w:rFonts w:hint="eastAsia" w:ascii="Times New Roman" w:hAnsi="Times New Roman" w:eastAsia="宋体" w:cs="Times New Roman"/>
                <w:color w:val="auto"/>
                <w:szCs w:val="21"/>
                <w:highlight w:val="none"/>
              </w:rPr>
            </w:pPr>
            <w:r>
              <w:rPr>
                <w:rFonts w:hint="eastAsia" w:ascii="宋体" w:hAnsi="宋体" w:eastAsia="宋体" w:cs="宋体"/>
                <w:b w:val="0"/>
                <w:bCs w:val="0"/>
                <w:color w:val="auto"/>
                <w:kern w:val="2"/>
                <w:sz w:val="21"/>
                <w:szCs w:val="24"/>
                <w:highlight w:val="none"/>
                <w:lang w:val="en-US" w:eastAsia="zh-CN" w:bidi="ar-SA"/>
              </w:rPr>
              <w:t>2.</w:t>
            </w:r>
            <w:r>
              <w:rPr>
                <w:rFonts w:hint="eastAsia" w:ascii="Times New Roman" w:hAnsi="Times New Roman" w:eastAsia="宋体" w:cs="Times New Roman"/>
                <w:color w:val="auto"/>
                <w:szCs w:val="21"/>
                <w:highlight w:val="none"/>
              </w:rPr>
              <w:t>验收时间：</w:t>
            </w:r>
            <w:r>
              <w:rPr>
                <w:rFonts w:hint="eastAsia" w:ascii="Times New Roman" w:hAnsi="Times New Roman" w:eastAsia="宋体" w:cs="Times New Roman"/>
                <w:color w:val="auto"/>
                <w:szCs w:val="21"/>
                <w:highlight w:val="none"/>
                <w:lang w:val="en-US" w:eastAsia="zh-CN"/>
              </w:rPr>
              <w:t>采购人以合同周期年度12个月为单位，每合同周期年度验收一次，并在合同周期年度届满前完成验收工作</w:t>
            </w:r>
            <w:r>
              <w:rPr>
                <w:rFonts w:hint="eastAsia" w:ascii="Times New Roman" w:hAnsi="Times New Roman" w:eastAsia="宋体" w:cs="Times New Roman"/>
                <w:color w:val="auto"/>
                <w:szCs w:val="21"/>
                <w:highlight w:val="none"/>
              </w:rPr>
              <w:t>。</w:t>
            </w:r>
          </w:p>
          <w:p>
            <w:pPr>
              <w:keepNext w:val="0"/>
              <w:keepLines w:val="0"/>
              <w:pageBreakBefore w:val="0"/>
              <w:widowControl w:val="0"/>
              <w:numPr>
                <w:ilvl w:val="0"/>
                <w:numId w:val="0"/>
              </w:numPr>
              <w:kinsoku/>
              <w:wordWrap/>
              <w:overflowPunct/>
              <w:topLinePunct w:val="0"/>
              <w:autoSpaceDE/>
              <w:bidi w:val="0"/>
              <w:adjustRightInd/>
              <w:snapToGrid/>
              <w:spacing w:line="400" w:lineRule="exact"/>
              <w:ind w:left="0" w:leftChars="0"/>
              <w:jc w:val="both"/>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3.考核验收内容：详见本章</w:t>
            </w:r>
            <w:r>
              <w:rPr>
                <w:rFonts w:hint="eastAsia" w:cs="Times New Roman"/>
                <w:color w:val="auto"/>
                <w:szCs w:val="21"/>
                <w:highlight w:val="none"/>
                <w:lang w:val="en-US" w:eastAsia="zh-CN"/>
              </w:rPr>
              <w:t>“附件一：考核验收方案”。</w:t>
            </w:r>
          </w:p>
          <w:p>
            <w:pPr>
              <w:keepNext w:val="0"/>
              <w:keepLines w:val="0"/>
              <w:pageBreakBefore w:val="0"/>
              <w:widowControl w:val="0"/>
              <w:numPr>
                <w:ilvl w:val="0"/>
                <w:numId w:val="0"/>
              </w:numPr>
              <w:kinsoku/>
              <w:wordWrap/>
              <w:overflowPunct/>
              <w:topLinePunct w:val="0"/>
              <w:autoSpaceDE/>
              <w:bidi w:val="0"/>
              <w:adjustRightInd/>
              <w:snapToGrid/>
              <w:spacing w:line="400" w:lineRule="exact"/>
              <w:ind w:left="0" w:left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Times New Roman" w:hAnsi="Times New Roman" w:eastAsia="宋体" w:cs="Times New Roman"/>
                <w:color w:val="auto"/>
                <w:szCs w:val="21"/>
                <w:highlight w:val="none"/>
                <w:lang w:val="en-US" w:eastAsia="zh-CN"/>
              </w:rPr>
              <w:t>4.验收结果运用：</w:t>
            </w:r>
            <w:r>
              <w:rPr>
                <w:rFonts w:hint="eastAsia" w:ascii="宋体" w:hAnsi="宋体" w:eastAsia="宋体" w:cs="宋体"/>
                <w:b w:val="0"/>
                <w:bCs w:val="0"/>
                <w:color w:val="auto"/>
                <w:szCs w:val="21"/>
                <w:highlight w:val="none"/>
              </w:rPr>
              <w:t>考核结果与服务费用相挂钩，相应得分与总体扣分项加减。考核分在90分（含）以上按合同服务总价剩余</w:t>
            </w:r>
            <w:r>
              <w:rPr>
                <w:rFonts w:hint="eastAsia" w:ascii="宋体" w:hAnsi="宋体" w:eastAsia="宋体" w:cs="宋体"/>
                <w:b w:val="0"/>
                <w:bCs w:val="0"/>
                <w:color w:val="auto"/>
                <w:szCs w:val="21"/>
                <w:highlight w:val="none"/>
                <w:lang w:eastAsia="zh-CN"/>
              </w:rPr>
              <w:t>款项</w:t>
            </w:r>
            <w:r>
              <w:rPr>
                <w:rFonts w:hint="eastAsia" w:ascii="宋体" w:hAnsi="宋体" w:eastAsia="宋体" w:cs="宋体"/>
                <w:b w:val="0"/>
                <w:bCs w:val="0"/>
                <w:color w:val="auto"/>
                <w:szCs w:val="21"/>
                <w:highlight w:val="none"/>
              </w:rPr>
              <w:t>的100%支付服务费用；考核分在75分（含）以上，90分（不含）以下的按合同服务总价剩余</w:t>
            </w:r>
            <w:r>
              <w:rPr>
                <w:rFonts w:hint="eastAsia" w:ascii="宋体" w:hAnsi="宋体" w:eastAsia="宋体" w:cs="宋体"/>
                <w:b w:val="0"/>
                <w:bCs w:val="0"/>
                <w:color w:val="auto"/>
                <w:szCs w:val="21"/>
                <w:highlight w:val="none"/>
                <w:lang w:eastAsia="zh-CN"/>
              </w:rPr>
              <w:t>款项</w:t>
            </w:r>
            <w:r>
              <w:rPr>
                <w:rFonts w:hint="eastAsia" w:ascii="宋体" w:hAnsi="宋体" w:eastAsia="宋体" w:cs="宋体"/>
                <w:b w:val="0"/>
                <w:bCs w:val="0"/>
                <w:color w:val="auto"/>
                <w:szCs w:val="21"/>
                <w:highlight w:val="none"/>
              </w:rPr>
              <w:t>的50%支付服务费用；考核分在75分（不含）以下的，采购人有权不支付合同服务总价剩余</w:t>
            </w:r>
            <w:r>
              <w:rPr>
                <w:rFonts w:hint="eastAsia" w:ascii="宋体" w:hAnsi="宋体" w:eastAsia="宋体" w:cs="宋体"/>
                <w:b w:val="0"/>
                <w:bCs w:val="0"/>
                <w:color w:val="auto"/>
                <w:szCs w:val="21"/>
                <w:highlight w:val="none"/>
                <w:lang w:eastAsia="zh-CN"/>
              </w:rPr>
              <w:t>款项</w:t>
            </w:r>
            <w:r>
              <w:rPr>
                <w:rFonts w:hint="eastAsia" w:ascii="宋体" w:hAnsi="宋体" w:eastAsia="宋体" w:cs="宋体"/>
                <w:b w:val="0"/>
                <w:bCs w:val="0"/>
                <w:color w:val="auto"/>
                <w:szCs w:val="21"/>
                <w:highlight w:val="none"/>
              </w:rPr>
              <w:t>的服务费用。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w:t>
            </w: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Cs w:val="21"/>
                <w:highlight w:val="none"/>
              </w:rPr>
              <w:t>履约验收</w:t>
            </w:r>
          </w:p>
        </w:tc>
        <w:tc>
          <w:tcPr>
            <w:tcW w:w="7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both"/>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Cs w:val="21"/>
                <w:highlight w:val="none"/>
              </w:rPr>
              <w:t>根据本项目招标文件、投标文件以及政府采购合同进行验收。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w:t>
            </w: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Cs w:val="21"/>
                <w:highlight w:val="none"/>
              </w:rPr>
              <w:t>服务响应</w:t>
            </w:r>
          </w:p>
        </w:tc>
        <w:tc>
          <w:tcPr>
            <w:tcW w:w="7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jc w:val="both"/>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Cs w:val="21"/>
                <w:highlight w:val="none"/>
                <w:lang w:eastAsia="zh-CN"/>
              </w:rPr>
              <w:t>中标单位</w:t>
            </w:r>
            <w:r>
              <w:rPr>
                <w:rFonts w:hint="eastAsia" w:ascii="宋体" w:hAnsi="宋体" w:eastAsia="宋体" w:cs="宋体"/>
                <w:b w:val="0"/>
                <w:bCs w:val="0"/>
                <w:color w:val="auto"/>
                <w:szCs w:val="21"/>
                <w:highlight w:val="none"/>
              </w:rPr>
              <w:t>接采购人需求通知后30分钟内响应，如有需要2小时到达采购人指定地点并持续提供服务至采购人满意止。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w:t>
            </w: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责任承担</w:t>
            </w:r>
          </w:p>
        </w:tc>
        <w:tc>
          <w:tcPr>
            <w:tcW w:w="7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jc w:val="both"/>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Cs w:val="21"/>
                <w:highlight w:val="none"/>
              </w:rPr>
              <w:t>在采购及合同执行过程中，</w:t>
            </w:r>
            <w:r>
              <w:rPr>
                <w:rFonts w:hint="eastAsia" w:ascii="宋体" w:hAnsi="宋体" w:cs="宋体"/>
                <w:b w:val="0"/>
                <w:bCs w:val="0"/>
                <w:color w:val="auto"/>
                <w:szCs w:val="21"/>
                <w:highlight w:val="none"/>
                <w:lang w:val="en-US" w:eastAsia="zh-CN"/>
              </w:rPr>
              <w:t>供应商</w:t>
            </w:r>
            <w:r>
              <w:rPr>
                <w:rFonts w:hint="eastAsia" w:ascii="宋体" w:hAnsi="宋体" w:eastAsia="宋体" w:cs="宋体"/>
                <w:b w:val="0"/>
                <w:bCs w:val="0"/>
                <w:color w:val="auto"/>
                <w:szCs w:val="21"/>
                <w:highlight w:val="none"/>
              </w:rPr>
              <w:t>应承担由于其行为所造成的人身伤害、财产损失或损坏的责任，无论何种原因所造成，均与采购人无涉。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9</w:t>
            </w: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授予合同</w:t>
            </w:r>
          </w:p>
        </w:tc>
        <w:tc>
          <w:tcPr>
            <w:tcW w:w="7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both"/>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Cs w:val="21"/>
                <w:highlight w:val="none"/>
              </w:rPr>
              <w:t>按照招标文件的规定、</w:t>
            </w:r>
            <w:r>
              <w:rPr>
                <w:rFonts w:hint="eastAsia" w:ascii="宋体" w:hAnsi="宋体" w:cs="宋体"/>
                <w:b w:val="0"/>
                <w:bCs w:val="0"/>
                <w:color w:val="auto"/>
                <w:szCs w:val="21"/>
                <w:highlight w:val="none"/>
                <w:lang w:eastAsia="zh-CN"/>
              </w:rPr>
              <w:t>中标单位</w:t>
            </w:r>
            <w:r>
              <w:rPr>
                <w:rFonts w:hint="eastAsia" w:ascii="宋体" w:hAnsi="宋体" w:eastAsia="宋体" w:cs="宋体"/>
                <w:b w:val="0"/>
                <w:bCs w:val="0"/>
                <w:color w:val="auto"/>
                <w:szCs w:val="21"/>
                <w:highlight w:val="none"/>
              </w:rPr>
              <w:t>的投标响应及中标通知书确定的金额签订合同。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w:t>
            </w:r>
          </w:p>
        </w:tc>
        <w:tc>
          <w:tcPr>
            <w:tcW w:w="15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center"/>
              <w:textAlignment w:val="auto"/>
              <w:outlineLvl w:val="1"/>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合同签订时间</w:t>
            </w:r>
          </w:p>
        </w:tc>
        <w:tc>
          <w:tcPr>
            <w:tcW w:w="74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both"/>
              <w:textAlignment w:val="auto"/>
              <w:outlineLvl w:val="1"/>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Cs w:val="21"/>
                <w:highlight w:val="none"/>
              </w:rPr>
              <w:t>中标通知书发出之日起30天内</w:t>
            </w:r>
            <w:r>
              <w:rPr>
                <w:rFonts w:hint="eastAsia" w:ascii="宋体" w:hAnsi="宋体" w:eastAsia="宋体" w:cs="宋体"/>
                <w:b w:val="0"/>
                <w:bCs w:val="0"/>
                <w:color w:val="auto"/>
                <w:szCs w:val="21"/>
                <w:highlight w:val="none"/>
                <w:lang w:val="en-US" w:eastAsia="zh-CN"/>
              </w:rPr>
              <w:t>完成合同</w:t>
            </w:r>
            <w:r>
              <w:rPr>
                <w:rFonts w:hint="eastAsia" w:ascii="宋体" w:hAnsi="宋体" w:eastAsia="宋体" w:cs="宋体"/>
                <w:b w:val="0"/>
                <w:bCs w:val="0"/>
                <w:color w:val="auto"/>
                <w:szCs w:val="21"/>
                <w:highlight w:val="none"/>
              </w:rPr>
              <w:t>签订</w:t>
            </w:r>
            <w:r>
              <w:rPr>
                <w:rFonts w:hint="eastAsia" w:ascii="宋体" w:hAnsi="宋体" w:eastAsia="宋体" w:cs="宋体"/>
                <w:b w:val="0"/>
                <w:bCs w:val="0"/>
                <w:color w:val="auto"/>
                <w:szCs w:val="21"/>
                <w:highlight w:val="none"/>
                <w:lang w:val="en-US" w:eastAsia="zh-CN"/>
              </w:rPr>
              <w:t>工作</w:t>
            </w:r>
            <w:r>
              <w:rPr>
                <w:rFonts w:hint="eastAsia" w:ascii="宋体" w:hAnsi="宋体" w:eastAsia="宋体" w:cs="宋体"/>
                <w:b w:val="0"/>
                <w:bCs w:val="0"/>
                <w:color w:val="auto"/>
                <w:szCs w:val="21"/>
                <w:highlight w:val="none"/>
                <w:lang w:eastAsia="zh-CN"/>
              </w:rPr>
              <w:t>。</w:t>
            </w:r>
          </w:p>
        </w:tc>
      </w:tr>
    </w:tbl>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附件一：考核验收方案</w:t>
      </w:r>
    </w:p>
    <w:tbl>
      <w:tblPr>
        <w:tblStyle w:val="38"/>
        <w:tblW w:w="54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2620"/>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考核</w:t>
            </w:r>
            <w:r>
              <w:rPr>
                <w:rFonts w:hint="eastAsia" w:ascii="宋体" w:hAnsi="宋体" w:eastAsia="宋体" w:cs="宋体"/>
                <w:b/>
                <w:bCs/>
                <w:color w:val="auto"/>
                <w:sz w:val="21"/>
                <w:szCs w:val="21"/>
                <w:highlight w:val="none"/>
                <w:lang w:val="en-US" w:eastAsia="zh-CN"/>
              </w:rPr>
              <w:t>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服务项目</w:t>
            </w: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w:t>
            </w:r>
          </w:p>
        </w:tc>
        <w:tc>
          <w:tcPr>
            <w:tcW w:w="292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消防安全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w:t>
            </w: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服务范围</w:t>
            </w:r>
            <w:r>
              <w:rPr>
                <w:rFonts w:hint="eastAsia" w:ascii="宋体" w:hAnsi="宋体" w:eastAsia="宋体" w:cs="宋体"/>
                <w:color w:val="auto"/>
                <w:sz w:val="21"/>
                <w:szCs w:val="21"/>
                <w:highlight w:val="none"/>
              </w:rPr>
              <w:t>内</w:t>
            </w:r>
            <w:r>
              <w:rPr>
                <w:rFonts w:hint="eastAsia" w:ascii="宋体" w:hAnsi="宋体" w:eastAsia="宋体" w:cs="宋体"/>
                <w:color w:val="auto"/>
                <w:sz w:val="21"/>
                <w:szCs w:val="21"/>
                <w:highlight w:val="none"/>
                <w:lang w:eastAsia="zh-CN"/>
              </w:rPr>
              <w:t>商贸企业（含沿街店铺）</w:t>
            </w:r>
            <w:r>
              <w:rPr>
                <w:rFonts w:hint="eastAsia" w:ascii="宋体" w:hAnsi="宋体" w:eastAsia="宋体" w:cs="宋体"/>
                <w:color w:val="auto"/>
                <w:sz w:val="21"/>
                <w:szCs w:val="21"/>
                <w:highlight w:val="none"/>
              </w:rPr>
              <w:t>的首次普查及常普常新工作（</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292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未按时完成采购人安排的</w:t>
            </w:r>
            <w:r>
              <w:rPr>
                <w:rFonts w:hint="eastAsia" w:ascii="宋体" w:hAnsi="宋体" w:eastAsia="宋体" w:cs="宋体"/>
                <w:color w:val="auto"/>
                <w:sz w:val="21"/>
                <w:szCs w:val="21"/>
                <w:highlight w:val="none"/>
                <w:lang w:eastAsia="zh-CN"/>
              </w:rPr>
              <w:t>首普工作，</w:t>
            </w:r>
            <w:r>
              <w:rPr>
                <w:rFonts w:hint="eastAsia" w:ascii="宋体" w:hAnsi="宋体" w:cs="宋体"/>
                <w:color w:val="auto"/>
                <w:sz w:val="21"/>
                <w:szCs w:val="21"/>
                <w:highlight w:val="none"/>
                <w:lang w:val="en-US" w:eastAsia="zh-CN"/>
              </w:rPr>
              <w:t>每次</w:t>
            </w:r>
            <w:r>
              <w:rPr>
                <w:rFonts w:hint="eastAsia" w:ascii="宋体" w:hAnsi="宋体" w:eastAsia="宋体" w:cs="宋体"/>
                <w:color w:val="auto"/>
                <w:sz w:val="21"/>
                <w:szCs w:val="21"/>
                <w:highlight w:val="none"/>
                <w:lang w:eastAsia="zh-CN"/>
              </w:rPr>
              <w:t>扣</w:t>
            </w:r>
            <w:r>
              <w:rPr>
                <w:rFonts w:hint="eastAsia" w:ascii="宋体" w:hAnsi="宋体" w:eastAsia="宋体" w:cs="宋体"/>
                <w:color w:val="auto"/>
                <w:sz w:val="21"/>
                <w:szCs w:val="21"/>
                <w:highlight w:val="none"/>
                <w:lang w:val="en-US" w:eastAsia="zh-CN"/>
              </w:rPr>
              <w:t>2分；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未按普查标准完成采购人安排的首普工作的，</w:t>
            </w:r>
            <w:r>
              <w:rPr>
                <w:rFonts w:hint="eastAsia" w:ascii="宋体" w:hAnsi="宋体" w:cs="宋体"/>
                <w:color w:val="auto"/>
                <w:sz w:val="21"/>
                <w:szCs w:val="21"/>
                <w:highlight w:val="none"/>
                <w:lang w:val="en-US" w:eastAsia="zh-CN"/>
              </w:rPr>
              <w:t>每次</w:t>
            </w:r>
            <w:r>
              <w:rPr>
                <w:rFonts w:hint="eastAsia" w:ascii="宋体" w:hAnsi="宋体" w:eastAsia="宋体" w:cs="宋体"/>
                <w:color w:val="auto"/>
                <w:sz w:val="21"/>
                <w:szCs w:val="21"/>
                <w:highlight w:val="none"/>
                <w:lang w:val="en-US" w:eastAsia="zh-CN"/>
              </w:rPr>
              <w:t>扣2分；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在任一统计周期内（每180天一轮）</w:t>
            </w:r>
            <w:r>
              <w:rPr>
                <w:rFonts w:hint="eastAsia" w:ascii="宋体" w:hAnsi="宋体" w:eastAsia="宋体" w:cs="宋体"/>
                <w:color w:val="auto"/>
                <w:sz w:val="21"/>
                <w:szCs w:val="21"/>
                <w:highlight w:val="none"/>
                <w:lang w:val="en-US" w:eastAsia="zh-CN"/>
              </w:rPr>
              <w:t>未达到常普常新100%的，每次扣4分，常普常新质量不达标的，每次扣4分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协助采购人完成</w:t>
            </w:r>
            <w:r>
              <w:rPr>
                <w:rFonts w:hint="eastAsia" w:ascii="宋体" w:hAnsi="宋体" w:eastAsia="宋体" w:cs="宋体"/>
                <w:color w:val="auto"/>
                <w:sz w:val="21"/>
                <w:szCs w:val="21"/>
                <w:highlight w:val="none"/>
                <w:lang w:val="en-US" w:eastAsia="zh-CN"/>
              </w:rPr>
              <w:t>服务范围</w:t>
            </w:r>
            <w:r>
              <w:rPr>
                <w:rFonts w:hint="eastAsia" w:ascii="宋体" w:hAnsi="宋体" w:eastAsia="宋体" w:cs="宋体"/>
                <w:color w:val="auto"/>
                <w:sz w:val="21"/>
                <w:szCs w:val="21"/>
                <w:highlight w:val="none"/>
              </w:rPr>
              <w:t>内</w:t>
            </w:r>
            <w:r>
              <w:rPr>
                <w:rFonts w:hint="eastAsia" w:ascii="宋体" w:hAnsi="宋体" w:eastAsia="宋体" w:cs="宋体"/>
                <w:color w:val="auto"/>
                <w:sz w:val="21"/>
                <w:szCs w:val="21"/>
                <w:highlight w:val="none"/>
                <w:lang w:eastAsia="zh-CN"/>
              </w:rPr>
              <w:t>商贸企业（含沿街店铺）</w:t>
            </w:r>
            <w:r>
              <w:rPr>
                <w:rFonts w:hint="eastAsia" w:ascii="宋体" w:hAnsi="宋体" w:eastAsia="宋体" w:cs="宋体"/>
                <w:color w:val="auto"/>
                <w:sz w:val="21"/>
                <w:szCs w:val="21"/>
                <w:highlight w:val="none"/>
              </w:rPr>
              <w:t>的监督检查全覆盖（每180天一轮）和隐患问题闭环整改验收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40分</w:t>
            </w:r>
            <w:r>
              <w:rPr>
                <w:rFonts w:hint="eastAsia" w:ascii="宋体" w:hAnsi="宋体" w:eastAsia="宋体" w:cs="宋体"/>
                <w:color w:val="auto"/>
                <w:sz w:val="21"/>
                <w:szCs w:val="21"/>
                <w:highlight w:val="none"/>
                <w:lang w:eastAsia="zh-CN"/>
              </w:rPr>
              <w:t>）</w:t>
            </w:r>
          </w:p>
        </w:tc>
        <w:tc>
          <w:tcPr>
            <w:tcW w:w="292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未按要求完成监督检查，在任一统计周期（每180天）内监督检查覆盖率未达到</w:t>
            </w:r>
            <w:r>
              <w:rPr>
                <w:rFonts w:hint="eastAsia" w:ascii="宋体" w:hAnsi="宋体" w:eastAsia="宋体" w:cs="宋体"/>
                <w:color w:val="auto"/>
                <w:sz w:val="21"/>
                <w:szCs w:val="21"/>
                <w:highlight w:val="none"/>
                <w:lang w:val="en-US" w:eastAsia="zh-CN"/>
              </w:rPr>
              <w:t>100%的，每次扣2</w:t>
            </w:r>
            <w:r>
              <w:rPr>
                <w:rFonts w:hint="eastAsia" w:ascii="宋体" w:hAnsi="宋体" w:eastAsia="宋体" w:cs="宋体"/>
                <w:color w:val="auto"/>
                <w:sz w:val="21"/>
                <w:szCs w:val="21"/>
                <w:highlight w:val="none"/>
                <w:lang w:eastAsia="zh-CN"/>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未积极开展消防安全督查检查，每次扣</w:t>
            </w:r>
            <w:r>
              <w:rPr>
                <w:rFonts w:hint="eastAsia" w:ascii="宋体" w:hAnsi="宋体" w:eastAsia="宋体" w:cs="宋体"/>
                <w:color w:val="auto"/>
                <w:sz w:val="21"/>
                <w:szCs w:val="21"/>
                <w:highlight w:val="none"/>
                <w:lang w:val="en-US" w:eastAsia="zh-CN"/>
              </w:rPr>
              <w:t>0.25分。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未按检查标准开展消防安全督查检查的，每次扣0.25分；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对于问题隐患，未在交办期限内开展整改验收的，每起扣</w:t>
            </w:r>
            <w:r>
              <w:rPr>
                <w:rFonts w:hint="eastAsia" w:ascii="宋体" w:hAnsi="宋体" w:eastAsia="宋体" w:cs="宋体"/>
                <w:color w:val="auto"/>
                <w:sz w:val="21"/>
                <w:szCs w:val="21"/>
                <w:highlight w:val="none"/>
                <w:lang w:val="en-US" w:eastAsia="zh-CN"/>
              </w:rPr>
              <w:t>0.25</w:t>
            </w:r>
            <w:r>
              <w:rPr>
                <w:rFonts w:hint="eastAsia" w:ascii="宋体" w:hAnsi="宋体" w:eastAsia="宋体" w:cs="宋体"/>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专项检查</w:t>
            </w:r>
            <w:r>
              <w:rPr>
                <w:rFonts w:hint="eastAsia" w:ascii="宋体" w:hAnsi="宋体" w:eastAsia="宋体" w:cs="宋体"/>
                <w:color w:val="auto"/>
                <w:sz w:val="21"/>
                <w:szCs w:val="21"/>
                <w:highlight w:val="none"/>
                <w:lang w:eastAsia="zh-CN"/>
              </w:rPr>
              <w:t>等其他应急管理工作（</w:t>
            </w:r>
            <w:r>
              <w:rPr>
                <w:rFonts w:hint="eastAsia" w:ascii="宋体" w:hAnsi="宋体" w:eastAsia="宋体" w:cs="宋体"/>
                <w:color w:val="auto"/>
                <w:sz w:val="21"/>
                <w:szCs w:val="21"/>
                <w:highlight w:val="none"/>
                <w:lang w:val="en-US" w:eastAsia="zh-CN"/>
              </w:rPr>
              <w:t>20分</w:t>
            </w:r>
            <w:r>
              <w:rPr>
                <w:rFonts w:hint="eastAsia" w:ascii="宋体" w:hAnsi="宋体" w:eastAsia="宋体" w:cs="宋体"/>
                <w:color w:val="auto"/>
                <w:sz w:val="21"/>
                <w:szCs w:val="21"/>
                <w:highlight w:val="none"/>
                <w:lang w:eastAsia="zh-CN"/>
              </w:rPr>
              <w:t>）</w:t>
            </w:r>
          </w:p>
        </w:tc>
        <w:tc>
          <w:tcPr>
            <w:tcW w:w="292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拒不执行采购人定期安排的专项检查等其他应急管理工作，每次扣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未积极开展采购人定期安排的专项检查等其他应急管理工作，每次扣</w:t>
            </w:r>
            <w:r>
              <w:rPr>
                <w:rFonts w:hint="eastAsia" w:ascii="宋体" w:hAnsi="宋体" w:eastAsia="宋体" w:cs="宋体"/>
                <w:color w:val="auto"/>
                <w:sz w:val="21"/>
                <w:szCs w:val="21"/>
                <w:highlight w:val="none"/>
                <w:lang w:val="en-US" w:eastAsia="zh-CN"/>
              </w:rPr>
              <w:t>0.5分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工作质量（10分）</w:t>
            </w:r>
          </w:p>
        </w:tc>
        <w:tc>
          <w:tcPr>
            <w:tcW w:w="292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对参与监督检查的</w:t>
            </w:r>
            <w:r>
              <w:rPr>
                <w:rFonts w:hint="eastAsia" w:ascii="宋体" w:hAnsi="宋体" w:eastAsia="宋体" w:cs="宋体"/>
                <w:color w:val="auto"/>
                <w:sz w:val="21"/>
                <w:szCs w:val="21"/>
                <w:highlight w:val="none"/>
                <w:lang w:eastAsia="zh-CN"/>
              </w:rPr>
              <w:t>商贸企业（含沿街店铺），</w:t>
            </w:r>
            <w:r>
              <w:rPr>
                <w:rFonts w:hint="eastAsia" w:ascii="宋体" w:hAnsi="宋体" w:eastAsia="宋体" w:cs="宋体"/>
                <w:color w:val="auto"/>
                <w:sz w:val="21"/>
                <w:szCs w:val="21"/>
                <w:highlight w:val="none"/>
              </w:rPr>
              <w:t>检查过程中未发现重大</w:t>
            </w:r>
            <w:r>
              <w:rPr>
                <w:rFonts w:hint="eastAsia" w:ascii="宋体" w:hAnsi="宋体" w:eastAsia="宋体" w:cs="宋体"/>
                <w:color w:val="auto"/>
                <w:sz w:val="21"/>
                <w:szCs w:val="21"/>
                <w:highlight w:val="none"/>
                <w:lang w:eastAsia="zh-CN"/>
              </w:rPr>
              <w:t>消防</w:t>
            </w:r>
            <w:r>
              <w:rPr>
                <w:rFonts w:hint="eastAsia" w:ascii="宋体" w:hAnsi="宋体" w:eastAsia="宋体" w:cs="宋体"/>
                <w:color w:val="auto"/>
                <w:sz w:val="21"/>
                <w:szCs w:val="21"/>
                <w:highlight w:val="none"/>
              </w:rPr>
              <w:t>隐患但被上级检查发现并判定的，每个问题扣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应急救援和值班值守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的统一协调指挥，积极参与突发事件的应急处置和救援，做好日常值班值守工作（20分）</w:t>
            </w:r>
          </w:p>
        </w:tc>
        <w:tc>
          <w:tcPr>
            <w:tcW w:w="292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拒不参与采购人的应急救援工作，每次扣4分（上不封顶）；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在参与应急救援过程中，不服从统一协调指挥，视情扣0.5-1分；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对于采购人根据实际需要提出的力量调配、增援要求拒绝，或人员调配不足的，或拖延执行的，</w:t>
            </w:r>
            <w:r>
              <w:rPr>
                <w:rFonts w:hint="eastAsia" w:ascii="宋体" w:hAnsi="宋体" w:cs="宋体"/>
                <w:color w:val="auto"/>
                <w:sz w:val="21"/>
                <w:szCs w:val="21"/>
                <w:highlight w:val="none"/>
                <w:lang w:val="en-US" w:eastAsia="zh-CN"/>
              </w:rPr>
              <w:t>每次</w:t>
            </w:r>
            <w:r>
              <w:rPr>
                <w:rFonts w:hint="eastAsia" w:ascii="宋体" w:hAnsi="宋体" w:eastAsia="宋体" w:cs="宋体"/>
                <w:color w:val="auto"/>
                <w:sz w:val="21"/>
                <w:szCs w:val="21"/>
                <w:highlight w:val="none"/>
              </w:rPr>
              <w:t>视情扣0.5-1分；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专职服务人员不按要求参与</w:t>
            </w:r>
            <w:r>
              <w:rPr>
                <w:rFonts w:hint="eastAsia" w:ascii="宋体" w:hAnsi="宋体" w:eastAsia="宋体" w:cs="宋体"/>
                <w:color w:val="auto"/>
                <w:sz w:val="21"/>
                <w:szCs w:val="21"/>
                <w:highlight w:val="none"/>
                <w:lang w:eastAsia="zh-CN"/>
              </w:rPr>
              <w:t>应急</w:t>
            </w:r>
            <w:r>
              <w:rPr>
                <w:rFonts w:hint="eastAsia" w:ascii="宋体" w:hAnsi="宋体" w:eastAsia="宋体" w:cs="宋体"/>
                <w:color w:val="auto"/>
                <w:sz w:val="21"/>
                <w:szCs w:val="21"/>
                <w:highlight w:val="none"/>
              </w:rPr>
              <w:t>值班值守的或不遵守招标方值班值守有关规定的，每</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其他扣分项</w:t>
            </w: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廉政建设</w:t>
            </w:r>
          </w:p>
        </w:tc>
        <w:tc>
          <w:tcPr>
            <w:tcW w:w="292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中标单位</w:t>
            </w:r>
            <w:r>
              <w:rPr>
                <w:rFonts w:hint="eastAsia" w:ascii="宋体" w:hAnsi="宋体" w:eastAsia="宋体" w:cs="宋体"/>
                <w:color w:val="auto"/>
                <w:sz w:val="21"/>
                <w:szCs w:val="21"/>
                <w:highlight w:val="none"/>
              </w:rPr>
              <w:t>的服务人员利用协助采购人开展相关工作的机会，或以</w:t>
            </w:r>
            <w:r>
              <w:rPr>
                <w:rFonts w:hint="eastAsia" w:ascii="宋体" w:hAnsi="宋体" w:cs="宋体"/>
                <w:color w:val="auto"/>
                <w:sz w:val="21"/>
                <w:szCs w:val="21"/>
                <w:highlight w:val="none"/>
                <w:lang w:eastAsia="zh-CN"/>
              </w:rPr>
              <w:t>中标单位</w:t>
            </w:r>
            <w:r>
              <w:rPr>
                <w:rFonts w:hint="eastAsia" w:ascii="宋体" w:hAnsi="宋体" w:eastAsia="宋体" w:cs="宋体"/>
                <w:color w:val="auto"/>
                <w:sz w:val="21"/>
                <w:szCs w:val="21"/>
                <w:highlight w:val="none"/>
              </w:rPr>
              <w:t>名义向被监督检查对象介绍业务、推销产品、吃拿卡要等，每发现一起扣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经核实系</w:t>
            </w:r>
            <w:r>
              <w:rPr>
                <w:rFonts w:hint="eastAsia" w:ascii="宋体" w:hAnsi="宋体" w:cs="宋体"/>
                <w:color w:val="auto"/>
                <w:sz w:val="21"/>
                <w:szCs w:val="21"/>
                <w:highlight w:val="none"/>
                <w:lang w:eastAsia="zh-CN"/>
              </w:rPr>
              <w:t>中标单位</w:t>
            </w:r>
            <w:r>
              <w:rPr>
                <w:rFonts w:hint="eastAsia" w:ascii="宋体" w:hAnsi="宋体" w:eastAsia="宋体" w:cs="宋体"/>
                <w:color w:val="auto"/>
                <w:sz w:val="21"/>
                <w:szCs w:val="21"/>
                <w:highlight w:val="none"/>
              </w:rPr>
              <w:t>单位行为的，扣40分；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合同期限内</w:t>
            </w:r>
            <w:r>
              <w:rPr>
                <w:rFonts w:hint="eastAsia" w:ascii="宋体" w:hAnsi="宋体" w:cs="宋体"/>
                <w:color w:val="auto"/>
                <w:sz w:val="21"/>
                <w:szCs w:val="21"/>
                <w:highlight w:val="none"/>
                <w:lang w:eastAsia="zh-CN"/>
              </w:rPr>
              <w:t>中标单位</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中标单位</w:t>
            </w:r>
            <w:r>
              <w:rPr>
                <w:rFonts w:hint="eastAsia" w:ascii="宋体" w:hAnsi="宋体" w:eastAsia="宋体" w:cs="宋体"/>
                <w:color w:val="auto"/>
                <w:sz w:val="21"/>
                <w:szCs w:val="21"/>
                <w:highlight w:val="none"/>
              </w:rPr>
              <w:t>关联公司在</w:t>
            </w:r>
            <w:r>
              <w:rPr>
                <w:rFonts w:hint="eastAsia" w:ascii="宋体" w:hAnsi="宋体" w:eastAsia="宋体" w:cs="宋体"/>
                <w:color w:val="auto"/>
                <w:sz w:val="21"/>
                <w:szCs w:val="21"/>
                <w:highlight w:val="none"/>
                <w:lang w:val="en-US" w:eastAsia="zh-CN"/>
              </w:rPr>
              <w:t>江北区</w:t>
            </w:r>
            <w:r>
              <w:rPr>
                <w:rFonts w:hint="eastAsia" w:ascii="宋体" w:hAnsi="宋体" w:eastAsia="宋体" w:cs="宋体"/>
                <w:color w:val="auto"/>
                <w:sz w:val="21"/>
                <w:szCs w:val="21"/>
                <w:highlight w:val="none"/>
              </w:rPr>
              <w:t>内为企业或其他市场经营主体提供消防安全服务，或者推荐、介绍关于消防安全服务的，扣40分。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加分项</w:t>
            </w:r>
          </w:p>
        </w:tc>
        <w:tc>
          <w:tcPr>
            <w:tcW w:w="137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92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相关人员在工作中（如应急救援等）表现突出，受到县级以上党委政府表彰的，按表彰单位（国家、省、市、县），分别加8分、6分、4分、2分（同项工作只给予一次加分）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p>
        </w:tc>
        <w:tc>
          <w:tcPr>
            <w:tcW w:w="137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p>
        </w:tc>
        <w:tc>
          <w:tcPr>
            <w:tcW w:w="292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商贸企业（含沿街店铺）消防安全</w:t>
            </w:r>
            <w:r>
              <w:rPr>
                <w:rFonts w:hint="eastAsia" w:ascii="宋体" w:hAnsi="宋体" w:eastAsia="宋体" w:cs="宋体"/>
                <w:color w:val="auto"/>
                <w:sz w:val="21"/>
                <w:szCs w:val="21"/>
                <w:highlight w:val="none"/>
              </w:rPr>
              <w:t>事故数（总数比例）比前三年平均数总体下降10%，加5分；下降20%，加10分；下降30%，加15分；下降40%，加20分。（最多加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tc>
      </w:tr>
    </w:tbl>
    <w:p>
      <w:pPr>
        <w:keepNext w:val="0"/>
        <w:keepLines w:val="0"/>
        <w:pageBreakBefore w:val="0"/>
        <w:widowControl w:val="0"/>
        <w:kinsoku/>
        <w:wordWrap/>
        <w:overflowPunct/>
        <w:topLinePunct w:val="0"/>
        <w:autoSpaceDE/>
        <w:autoSpaceDN/>
        <w:bidi w:val="0"/>
        <w:adjustRightInd/>
        <w:snapToGrid/>
        <w:textAlignment w:val="auto"/>
        <w:outlineLvl w:val="9"/>
        <w:rPr>
          <w:rStyle w:val="54"/>
          <w:rFonts w:hint="eastAsia" w:ascii="宋体" w:hAnsi="宋体" w:eastAsia="宋体" w:cs="宋体"/>
          <w:b/>
          <w:bCs/>
          <w:color w:val="auto"/>
          <w:sz w:val="21"/>
          <w:szCs w:val="21"/>
          <w:highlight w:val="none"/>
          <w:lang w:val="en-US" w:eastAsia="zh-CN" w:bidi="ar-SA"/>
        </w:rPr>
      </w:pPr>
    </w:p>
    <w:p>
      <w:pPr>
        <w:rPr>
          <w:rStyle w:val="54"/>
          <w:rFonts w:hint="eastAsia" w:ascii="Times New Roman" w:hAnsi="Times New Roman" w:cs="Times New Roman"/>
          <w:b/>
          <w:bCs/>
          <w:color w:val="auto"/>
          <w:highlight w:val="none"/>
          <w:lang w:val="en-US" w:eastAsia="zh-CN" w:bidi="ar-SA"/>
        </w:rPr>
      </w:pPr>
      <w:r>
        <w:rPr>
          <w:rStyle w:val="54"/>
          <w:rFonts w:hint="eastAsia" w:ascii="Times New Roman" w:hAnsi="Times New Roman" w:cs="Times New Roman"/>
          <w:b/>
          <w:bCs/>
          <w:color w:val="auto"/>
          <w:highlight w:val="none"/>
          <w:lang w:val="en-US" w:eastAsia="zh-CN" w:bidi="ar-SA"/>
        </w:rPr>
        <w:br w:type="page"/>
      </w:r>
    </w:p>
    <w:p>
      <w:pPr>
        <w:pStyle w:val="19"/>
        <w:snapToGrid w:val="0"/>
        <w:spacing w:before="120" w:after="120" w:line="440" w:lineRule="exact"/>
        <w:jc w:val="center"/>
        <w:outlineLvl w:val="0"/>
        <w:rPr>
          <w:rStyle w:val="54"/>
          <w:rFonts w:hint="eastAsia" w:ascii="Times New Roman" w:hAnsi="Times New Roman" w:cs="Times New Roman"/>
          <w:color w:val="auto"/>
          <w:highlight w:val="none"/>
          <w:lang w:val="en-US" w:eastAsia="zh-CN"/>
        </w:rPr>
      </w:pPr>
      <w:r>
        <w:rPr>
          <w:rStyle w:val="54"/>
          <w:rFonts w:hint="eastAsia" w:ascii="Times New Roman" w:hAnsi="Times New Roman" w:cs="Times New Roman"/>
          <w:color w:val="auto"/>
          <w:highlight w:val="none"/>
          <w:lang w:val="en-US" w:eastAsia="zh-CN"/>
        </w:rPr>
        <w:t>第三章  供应商须知</w:t>
      </w:r>
      <w:bookmarkEnd w:id="11"/>
    </w:p>
    <w:p>
      <w:pPr>
        <w:pStyle w:val="4"/>
        <w:keepNext/>
        <w:keepLines/>
        <w:pageBreakBefore w:val="0"/>
        <w:widowControl w:val="0"/>
        <w:kinsoku/>
        <w:wordWrap/>
        <w:overflowPunct/>
        <w:topLinePunct w:val="0"/>
        <w:autoSpaceDE/>
        <w:autoSpaceDN/>
        <w:bidi w:val="0"/>
        <w:adjustRightInd/>
        <w:snapToGrid/>
        <w:textAlignment w:val="auto"/>
        <w:outlineLvl w:val="1"/>
        <w:rPr>
          <w:rFonts w:hint="eastAsia"/>
          <w:color w:val="auto"/>
          <w:highlight w:val="none"/>
        </w:rPr>
      </w:pPr>
      <w:r>
        <w:rPr>
          <w:rFonts w:hint="eastAsia"/>
          <w:color w:val="auto"/>
          <w:highlight w:val="none"/>
        </w:rPr>
        <w:t>前附表</w:t>
      </w:r>
    </w:p>
    <w:tbl>
      <w:tblPr>
        <w:tblStyle w:val="39"/>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798"/>
        <w:gridCol w:w="7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9200" w:type="dxa"/>
            <w:gridSpan w:val="2"/>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条款及内容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rPr>
              <w:t>1</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采购人</w:t>
            </w:r>
          </w:p>
        </w:tc>
        <w:tc>
          <w:tcPr>
            <w:tcW w:w="740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采购人名称：宁波市江北区应急管理局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项目联系人：</w:t>
            </w:r>
            <w:r>
              <w:rPr>
                <w:rFonts w:hint="eastAsia" w:ascii="宋体" w:hAnsi="宋体" w:eastAsia="宋体" w:cs="宋体"/>
                <w:color w:val="auto"/>
                <w:kern w:val="0"/>
                <w:sz w:val="21"/>
                <w:szCs w:val="21"/>
                <w:highlight w:val="none"/>
                <w:lang w:val="en-US" w:eastAsia="zh-CN" w:bidi="ar-SA"/>
              </w:rPr>
              <w:t xml:space="preserve">朱老师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 xml:space="preserve">项目联系方式：0574-89388672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0" w:firstLineChars="0"/>
              <w:jc w:val="both"/>
              <w:textAlignment w:val="auto"/>
              <w:outlineLvl w:val="9"/>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联系地址：宁波市江北区新马路183号 </w:t>
            </w:r>
            <w:r>
              <w:rPr>
                <w:rFonts w:hint="eastAsia" w:ascii="宋体" w:hAnsi="宋体" w:eastAsia="宋体" w:cs="宋体"/>
                <w:color w:val="auto"/>
                <w:kern w:val="0"/>
                <w:sz w:val="21"/>
                <w:szCs w:val="21"/>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rPr>
              <w:t>2</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代理机构</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采购代理机构：宁波市盛达工程管理咨询有限公司</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宁波市江北区唐虞路319号（创富商业中心）</w:t>
            </w:r>
            <w:r>
              <w:rPr>
                <w:rFonts w:hint="eastAsia" w:ascii="宋体" w:hAnsi="宋体" w:eastAsia="宋体" w:cs="宋体"/>
                <w:color w:val="auto"/>
                <w:sz w:val="21"/>
                <w:szCs w:val="21"/>
                <w:highlight w:val="none"/>
                <w:lang w:val="en-US" w:eastAsia="zh-CN"/>
              </w:rPr>
              <w:t>A座</w:t>
            </w:r>
            <w:r>
              <w:rPr>
                <w:rFonts w:hint="eastAsia" w:ascii="宋体" w:hAnsi="宋体" w:eastAsia="宋体" w:cs="宋体"/>
                <w:color w:val="auto"/>
                <w:sz w:val="21"/>
                <w:szCs w:val="21"/>
                <w:highlight w:val="none"/>
                <w:lang w:eastAsia="zh-CN"/>
              </w:rPr>
              <w:t xml:space="preserve"> 5楼</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kern w:val="0"/>
                <w:sz w:val="21"/>
                <w:szCs w:val="21"/>
                <w:highlight w:val="none"/>
                <w:lang w:val="en-US" w:eastAsia="zh-CN" w:bidi="ar-SA"/>
              </w:rPr>
              <w:t>蔡青青、</w:t>
            </w:r>
            <w:r>
              <w:rPr>
                <w:rFonts w:hint="eastAsia" w:ascii="宋体" w:hAnsi="宋体" w:cs="宋体"/>
                <w:color w:val="auto"/>
                <w:kern w:val="0"/>
                <w:sz w:val="21"/>
                <w:szCs w:val="21"/>
                <w:highlight w:val="none"/>
                <w:lang w:val="en-US" w:eastAsia="zh-CN" w:bidi="ar-SA"/>
              </w:rPr>
              <w:t>何周军、</w:t>
            </w:r>
            <w:r>
              <w:rPr>
                <w:rFonts w:hint="eastAsia" w:ascii="宋体" w:hAnsi="宋体" w:eastAsia="宋体" w:cs="宋体"/>
                <w:color w:val="auto"/>
                <w:kern w:val="0"/>
                <w:sz w:val="21"/>
                <w:szCs w:val="21"/>
                <w:highlight w:val="none"/>
                <w:lang w:val="en-US" w:eastAsia="zh-CN" w:bidi="ar-SA"/>
              </w:rPr>
              <w:t xml:space="preserve">郑梅英、吕玲卓、顾静芬、张琳玲 </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574-87636525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rPr>
              <w:t>3</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发布媒体</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 xml:space="preserve">浙江政府采购网                   </w:t>
            </w:r>
            <w:r>
              <w:rPr>
                <w:rFonts w:hint="eastAsia" w:ascii="宋体" w:hAnsi="宋体" w:eastAsia="宋体" w:cs="宋体"/>
                <w:color w:val="auto"/>
                <w:kern w:val="0"/>
                <w:sz w:val="21"/>
                <w:szCs w:val="21"/>
                <w:highlight w:val="none"/>
                <w:lang w:val="en"/>
              </w:rPr>
              <w:fldChar w:fldCharType="begin"/>
            </w:r>
            <w:r>
              <w:rPr>
                <w:rFonts w:hint="eastAsia" w:ascii="宋体" w:hAnsi="宋体" w:eastAsia="宋体" w:cs="宋体"/>
                <w:color w:val="auto"/>
                <w:kern w:val="0"/>
                <w:sz w:val="21"/>
                <w:szCs w:val="21"/>
                <w:highlight w:val="none"/>
                <w:lang w:val="en"/>
              </w:rPr>
              <w:instrText xml:space="preserve"> HYPERLINK "http://zfcg.czt.zj.gov.cn/" </w:instrText>
            </w:r>
            <w:r>
              <w:rPr>
                <w:rFonts w:hint="eastAsia" w:ascii="宋体" w:hAnsi="宋体" w:eastAsia="宋体" w:cs="宋体"/>
                <w:color w:val="auto"/>
                <w:kern w:val="0"/>
                <w:sz w:val="21"/>
                <w:szCs w:val="21"/>
                <w:highlight w:val="none"/>
                <w:lang w:val="en"/>
              </w:rPr>
              <w:fldChar w:fldCharType="separate"/>
            </w:r>
            <w:r>
              <w:rPr>
                <w:rFonts w:hint="eastAsia" w:ascii="宋体" w:hAnsi="宋体" w:eastAsia="宋体" w:cs="宋体"/>
                <w:color w:val="auto"/>
                <w:kern w:val="0"/>
                <w:sz w:val="21"/>
                <w:szCs w:val="21"/>
                <w:highlight w:val="none"/>
                <w:lang w:val="en"/>
              </w:rPr>
              <w:t>http://zfcg.czt.zj.gov.cn/</w:t>
            </w:r>
            <w:r>
              <w:rPr>
                <w:rFonts w:hint="eastAsia" w:ascii="宋体" w:hAnsi="宋体" w:eastAsia="宋体" w:cs="宋体"/>
                <w:color w:val="auto"/>
                <w:kern w:val="0"/>
                <w:sz w:val="21"/>
                <w:szCs w:val="21"/>
                <w:highlight w:val="none"/>
                <w:lang w:val="en"/>
              </w:rPr>
              <w:fldChar w:fldCharType="end"/>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宁波政府采购网                   http://www.nbzfcg.cn/</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rPr>
              <w:t>宁波市公共资源交易电子服务系统</w:t>
            </w:r>
            <w:r>
              <w:rPr>
                <w:rFonts w:hint="eastAsia" w:ascii="宋体" w:hAnsi="宋体" w:eastAsia="宋体" w:cs="宋体"/>
                <w:color w:val="auto"/>
                <w:kern w:val="0"/>
                <w:sz w:val="21"/>
                <w:szCs w:val="21"/>
                <w:highlight w:val="none"/>
                <w:lang w:val="en-US" w:eastAsia="zh-CN"/>
              </w:rPr>
              <w:t xml:space="preserve">   http://jyxt.zwb.ningbo.gov.cn:4011/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108" w:leftChars="0" w:right="-113"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4</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项目名称</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240" w:lineRule="auto"/>
              <w:ind w:left="0" w:firstLine="0" w:firstLineChars="0"/>
              <w:jc w:val="both"/>
              <w:textAlignment w:val="auto"/>
              <w:outlineLvl w:val="9"/>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cs="宋体"/>
                <w:color w:val="auto"/>
                <w:kern w:val="0"/>
                <w:sz w:val="21"/>
                <w:szCs w:val="21"/>
                <w:highlight w:val="none"/>
                <w:u w:val="none"/>
                <w:lang w:val="en-US" w:eastAsia="zh-CN"/>
              </w:rPr>
              <w:t>江北区城区街道消防安全第三方服务项目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108" w:leftChars="0" w:right="-113" w:righ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资金来源</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240" w:lineRule="auto"/>
              <w:ind w:left="0" w:firstLine="0" w:firstLineChars="0"/>
              <w:jc w:val="both"/>
              <w:textAlignment w:val="auto"/>
              <w:outlineLvl w:val="9"/>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区财政</w:t>
            </w:r>
            <w:r>
              <w:rPr>
                <w:rFonts w:hint="eastAsia" w:ascii="宋体" w:hAnsi="宋体" w:cs="宋体"/>
                <w:b w:val="0"/>
                <w:bCs w:val="0"/>
                <w:color w:val="auto"/>
                <w:sz w:val="21"/>
                <w:szCs w:val="21"/>
                <w:highlight w:val="none"/>
                <w:u w:val="none"/>
                <w:lang w:val="en-US" w:eastAsia="zh-CN"/>
              </w:rPr>
              <w:t>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108" w:leftChars="0" w:right="-113" w:righ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lang w:val="en-US" w:eastAsia="zh-CN"/>
              </w:rPr>
              <w:t>6</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▲服务期限</w:t>
            </w:r>
          </w:p>
        </w:tc>
        <w:tc>
          <w:tcPr>
            <w:tcW w:w="740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0" w:firstLineChars="0"/>
              <w:jc w:val="both"/>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szCs w:val="21"/>
                <w:highlight w:val="none"/>
                <w:u w:val="none"/>
                <w:lang w:val="en-US" w:eastAsia="zh-CN"/>
              </w:rPr>
              <w:t>自合同签订之日起三年，合同一年一签，采购人根据中标单位在上一年度合同履约情况、考核验收情况及财政资金审批情况等决定是否续签</w:t>
            </w:r>
            <w:r>
              <w:rPr>
                <w:rFonts w:hint="eastAsia" w:ascii="宋体" w:hAnsi="宋体" w:eastAsia="宋体" w:cs="宋体"/>
                <w:color w:val="auto"/>
                <w:kern w:val="2"/>
                <w:sz w:val="21"/>
                <w:szCs w:val="21"/>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val="0"/>
                <w:bCs w:val="0"/>
                <w:color w:val="auto"/>
                <w:kern w:val="0"/>
                <w:sz w:val="21"/>
                <w:szCs w:val="21"/>
                <w:highlight w:val="none"/>
                <w:vertAlign w:val="baseline"/>
                <w:lang w:val="en-US" w:eastAsia="zh-CN" w:bidi="ar-SA"/>
              </w:rPr>
            </w:pPr>
            <w:r>
              <w:rPr>
                <w:rFonts w:hint="eastAsia" w:ascii="宋体" w:hAnsi="宋体" w:eastAsia="宋体" w:cs="宋体"/>
                <w:b w:val="0"/>
                <w:bCs w:val="0"/>
                <w:color w:val="auto"/>
                <w:kern w:val="0"/>
                <w:sz w:val="21"/>
                <w:szCs w:val="21"/>
                <w:highlight w:val="none"/>
                <w:vertAlign w:val="baseline"/>
                <w:lang w:val="en-US" w:eastAsia="zh-CN" w:bidi="ar-SA"/>
              </w:rPr>
              <w:t>7</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采购方式</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240" w:lineRule="auto"/>
              <w:ind w:left="0" w:firstLine="0" w:firstLineChars="0"/>
              <w:jc w:val="left"/>
              <w:textAlignment w:val="auto"/>
              <w:outlineLvl w:val="9"/>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rPr>
              <w:t>公开采购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val="0"/>
                <w:bCs w:val="0"/>
                <w:color w:val="auto"/>
                <w:kern w:val="0"/>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lang w:val="en-US" w:eastAsia="zh-CN" w:bidi="ar-SA"/>
              </w:rPr>
              <w:t>8</w:t>
            </w:r>
          </w:p>
        </w:tc>
        <w:tc>
          <w:tcPr>
            <w:tcW w:w="179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现场踏勘</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rPr>
              <w:t>本项目不统一组织现场勘察，</w:t>
            </w:r>
            <w:r>
              <w:rPr>
                <w:rFonts w:hint="eastAsia" w:ascii="宋体" w:hAnsi="宋体" w:eastAsia="宋体" w:cs="宋体"/>
                <w:b w:val="0"/>
                <w:bCs w:val="0"/>
                <w:color w:val="auto"/>
                <w:sz w:val="21"/>
                <w:szCs w:val="21"/>
                <w:highlight w:val="none"/>
                <w:u w:val="none"/>
                <w:lang w:val="en-US" w:eastAsia="zh-CN"/>
              </w:rPr>
              <w:t>供应商</w:t>
            </w:r>
            <w:r>
              <w:rPr>
                <w:rFonts w:hint="eastAsia" w:ascii="宋体" w:hAnsi="宋体" w:eastAsia="宋体" w:cs="宋体"/>
                <w:b w:val="0"/>
                <w:bCs w:val="0"/>
                <w:color w:val="auto"/>
                <w:sz w:val="21"/>
                <w:szCs w:val="21"/>
                <w:highlight w:val="none"/>
                <w:u w:val="none"/>
              </w:rPr>
              <w:t>可自行对本项目现场和周围环境进行勘察。勘察现场所发生的费用由</w:t>
            </w:r>
            <w:r>
              <w:rPr>
                <w:rFonts w:hint="eastAsia" w:ascii="宋体" w:hAnsi="宋体" w:eastAsia="宋体" w:cs="宋体"/>
                <w:b w:val="0"/>
                <w:bCs w:val="0"/>
                <w:color w:val="auto"/>
                <w:sz w:val="21"/>
                <w:szCs w:val="21"/>
                <w:highlight w:val="none"/>
                <w:u w:val="none"/>
                <w:lang w:val="en-US" w:eastAsia="zh-CN"/>
              </w:rPr>
              <w:t>供应商</w:t>
            </w:r>
            <w:r>
              <w:rPr>
                <w:rFonts w:hint="eastAsia" w:ascii="宋体" w:hAnsi="宋体" w:eastAsia="宋体" w:cs="宋体"/>
                <w:b w:val="0"/>
                <w:bCs w:val="0"/>
                <w:color w:val="auto"/>
                <w:sz w:val="21"/>
                <w:szCs w:val="21"/>
                <w:highlight w:val="none"/>
                <w:u w:val="none"/>
              </w:rPr>
              <w:t>自己承担。不论何种原因所造成，在勘察过程中，</w:t>
            </w:r>
            <w:r>
              <w:rPr>
                <w:rFonts w:hint="eastAsia" w:ascii="宋体" w:hAnsi="宋体" w:eastAsia="宋体" w:cs="宋体"/>
                <w:b w:val="0"/>
                <w:bCs w:val="0"/>
                <w:color w:val="auto"/>
                <w:sz w:val="21"/>
                <w:szCs w:val="21"/>
                <w:highlight w:val="none"/>
                <w:u w:val="none"/>
                <w:lang w:val="en-US" w:eastAsia="zh-CN"/>
              </w:rPr>
              <w:t>供应商</w:t>
            </w:r>
            <w:r>
              <w:rPr>
                <w:rFonts w:hint="eastAsia" w:ascii="宋体" w:hAnsi="宋体" w:eastAsia="宋体" w:cs="宋体"/>
                <w:b w:val="0"/>
                <w:bCs w:val="0"/>
                <w:color w:val="auto"/>
                <w:sz w:val="21"/>
                <w:szCs w:val="21"/>
                <w:highlight w:val="none"/>
                <w:u w:val="none"/>
              </w:rPr>
              <w:t>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▲投标报价及费用</w:t>
            </w:r>
          </w:p>
        </w:tc>
        <w:tc>
          <w:tcPr>
            <w:tcW w:w="7402" w:type="dxa"/>
            <w:noWrap w:val="0"/>
            <w:vAlign w:val="center"/>
          </w:tcPr>
          <w:p>
            <w:pPr>
              <w:pStyle w:val="3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360" w:lineRule="exact"/>
              <w:ind w:left="0" w:leftChars="0" w:right="0" w:rightChars="0" w:firstLine="0" w:firstLineChars="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本项目</w:t>
            </w:r>
            <w:r>
              <w:rPr>
                <w:rFonts w:hint="eastAsia" w:ascii="宋体" w:hAnsi="宋体" w:cs="宋体"/>
                <w:b/>
                <w:bCs/>
                <w:color w:val="auto"/>
                <w:sz w:val="21"/>
                <w:szCs w:val="21"/>
                <w:highlight w:val="none"/>
                <w:lang w:val="en-US" w:eastAsia="zh-CN"/>
              </w:rPr>
              <w:t>设置</w:t>
            </w:r>
            <w:r>
              <w:rPr>
                <w:rFonts w:hint="eastAsia" w:ascii="宋体" w:hAnsi="宋体" w:eastAsia="宋体" w:cs="宋体"/>
                <w:b/>
                <w:bCs/>
                <w:color w:val="auto"/>
                <w:sz w:val="21"/>
                <w:szCs w:val="21"/>
                <w:highlight w:val="none"/>
                <w:lang w:val="en-US" w:eastAsia="zh-CN"/>
              </w:rPr>
              <w:t>最高限价：</w:t>
            </w:r>
            <w:r>
              <w:rPr>
                <w:rFonts w:hint="eastAsia" w:ascii="宋体" w:hAnsi="宋体" w:cs="宋体"/>
                <w:b/>
                <w:bCs/>
                <w:color w:val="auto"/>
                <w:sz w:val="21"/>
                <w:szCs w:val="21"/>
                <w:highlight w:val="none"/>
                <w:lang w:val="en-US" w:eastAsia="zh-CN"/>
              </w:rPr>
              <w:t>最高限价为</w:t>
            </w:r>
            <w:r>
              <w:rPr>
                <w:rFonts w:hint="eastAsia" w:ascii="宋体" w:hAnsi="宋体" w:cs="宋体"/>
                <w:b/>
                <w:bCs/>
                <w:color w:val="auto"/>
                <w:sz w:val="21"/>
                <w:szCs w:val="21"/>
                <w:highlight w:val="none"/>
                <w:u w:val="none"/>
                <w:lang w:val="en-US" w:eastAsia="zh-CN"/>
              </w:rPr>
              <w:t>人民币100万元/年，</w:t>
            </w:r>
            <w:r>
              <w:rPr>
                <w:rFonts w:hint="eastAsia" w:ascii="宋体" w:hAnsi="宋体" w:eastAsia="宋体" w:cs="宋体"/>
                <w:b/>
                <w:bCs/>
                <w:color w:val="auto"/>
                <w:sz w:val="21"/>
                <w:szCs w:val="21"/>
                <w:highlight w:val="none"/>
                <w:lang w:val="en-US" w:eastAsia="zh-CN"/>
              </w:rPr>
              <w:t>超过最高限价的</w:t>
            </w:r>
            <w:r>
              <w:rPr>
                <w:rFonts w:hint="eastAsia" w:ascii="宋体" w:hAnsi="宋体" w:cs="宋体"/>
                <w:b/>
                <w:bCs/>
                <w:color w:val="auto"/>
                <w:sz w:val="21"/>
                <w:szCs w:val="21"/>
                <w:highlight w:val="none"/>
                <w:lang w:val="en-US" w:eastAsia="zh-CN"/>
              </w:rPr>
              <w:t>投标报价</w:t>
            </w:r>
            <w:r>
              <w:rPr>
                <w:rFonts w:hint="eastAsia" w:ascii="宋体" w:hAnsi="宋体" w:eastAsia="宋体" w:cs="宋体"/>
                <w:b/>
                <w:bCs/>
                <w:color w:val="auto"/>
                <w:sz w:val="21"/>
                <w:szCs w:val="21"/>
                <w:highlight w:val="none"/>
                <w:lang w:val="en-US" w:eastAsia="zh-CN"/>
              </w:rPr>
              <w:t>作无效标处理。</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right="0" w:firstLine="0" w:firstLineChars="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本项目的投标总价</w:t>
            </w:r>
            <w:r>
              <w:rPr>
                <w:rFonts w:hint="eastAsia" w:ascii="宋体" w:hAnsi="宋体" w:cs="宋体"/>
                <w:color w:val="auto"/>
                <w:kern w:val="0"/>
                <w:sz w:val="21"/>
                <w:szCs w:val="21"/>
                <w:highlight w:val="none"/>
                <w:lang w:val="en-US" w:eastAsia="zh-CN" w:bidi="ar-SA"/>
              </w:rPr>
              <w:t>已</w:t>
            </w:r>
            <w:r>
              <w:rPr>
                <w:rFonts w:hint="eastAsia" w:ascii="宋体" w:hAnsi="宋体" w:eastAsia="宋体" w:cs="宋体"/>
                <w:color w:val="auto"/>
                <w:kern w:val="0"/>
                <w:sz w:val="21"/>
                <w:szCs w:val="21"/>
                <w:highlight w:val="none"/>
                <w:lang w:val="en-US" w:eastAsia="zh-CN" w:bidi="ar-SA"/>
              </w:rPr>
              <w:t>包含完成本服务所需的所有费用，</w:t>
            </w:r>
            <w:r>
              <w:rPr>
                <w:rFonts w:hint="eastAsia" w:ascii="宋体" w:hAnsi="宋体" w:cs="宋体"/>
                <w:color w:val="auto"/>
                <w:kern w:val="0"/>
                <w:sz w:val="21"/>
                <w:szCs w:val="21"/>
                <w:highlight w:val="none"/>
                <w:lang w:val="en-US" w:eastAsia="zh-CN" w:bidi="ar-SA"/>
              </w:rPr>
              <w:t>包括但不限于：</w:t>
            </w:r>
            <w:r>
              <w:rPr>
                <w:rFonts w:hint="eastAsia" w:ascii="宋体" w:hAnsi="宋体" w:eastAsia="宋体" w:cs="宋体"/>
                <w:color w:val="auto"/>
                <w:kern w:val="0"/>
                <w:sz w:val="21"/>
                <w:szCs w:val="21"/>
                <w:highlight w:val="none"/>
                <w:lang w:val="en-US" w:eastAsia="zh-CN" w:bidi="ar-SA"/>
              </w:rPr>
              <w:t>人员基本工资、</w:t>
            </w:r>
            <w:r>
              <w:rPr>
                <w:rFonts w:hint="eastAsia" w:ascii="宋体" w:hAnsi="宋体" w:cs="宋体"/>
                <w:color w:val="auto"/>
                <w:kern w:val="0"/>
                <w:sz w:val="21"/>
                <w:szCs w:val="21"/>
                <w:highlight w:val="none"/>
                <w:lang w:val="en-US" w:eastAsia="zh-CN" w:bidi="ar-SA"/>
              </w:rPr>
              <w:t>社保、岗位津贴等</w:t>
            </w:r>
            <w:r>
              <w:rPr>
                <w:rFonts w:hint="eastAsia" w:ascii="宋体" w:hAnsi="宋体" w:eastAsia="宋体" w:cs="宋体"/>
                <w:color w:val="auto"/>
                <w:kern w:val="0"/>
                <w:sz w:val="21"/>
                <w:szCs w:val="21"/>
                <w:highlight w:val="none"/>
                <w:lang w:val="en-US" w:eastAsia="zh-CN" w:bidi="ar-SA"/>
              </w:rPr>
              <w:t>各类福利和补贴（如加班补贴、高温补贴、早餐补贴等）的缴纳，</w:t>
            </w:r>
            <w:r>
              <w:rPr>
                <w:rFonts w:hint="eastAsia" w:ascii="宋体" w:hAnsi="宋体" w:cs="宋体"/>
                <w:color w:val="auto"/>
                <w:kern w:val="0"/>
                <w:sz w:val="21"/>
                <w:szCs w:val="21"/>
                <w:highlight w:val="none"/>
                <w:lang w:val="en-US" w:eastAsia="zh-CN" w:bidi="ar-SA"/>
              </w:rPr>
              <w:t>住宿费</w:t>
            </w:r>
            <w:r>
              <w:rPr>
                <w:rFonts w:hint="eastAsia" w:ascii="宋体" w:hAnsi="宋体" w:eastAsia="宋体" w:cs="宋体"/>
                <w:color w:val="auto"/>
                <w:kern w:val="0"/>
                <w:sz w:val="21"/>
                <w:szCs w:val="21"/>
                <w:highlight w:val="none"/>
                <w:lang w:val="en-US" w:eastAsia="zh-CN" w:bidi="ar-SA"/>
              </w:rPr>
              <w:t>、各种保险及处理一切伤亡事故等</w:t>
            </w:r>
            <w:r>
              <w:rPr>
                <w:rFonts w:hint="eastAsia" w:ascii="宋体" w:hAnsi="宋体" w:cs="宋体"/>
                <w:color w:val="auto"/>
                <w:kern w:val="0"/>
                <w:sz w:val="21"/>
                <w:szCs w:val="21"/>
                <w:highlight w:val="none"/>
                <w:lang w:val="en-US" w:eastAsia="zh-CN" w:bidi="ar-SA"/>
              </w:rPr>
              <w:t>费用</w:t>
            </w:r>
            <w:r>
              <w:rPr>
                <w:rFonts w:hint="eastAsia" w:ascii="宋体" w:hAnsi="宋体" w:eastAsia="宋体" w:cs="宋体"/>
                <w:color w:val="auto"/>
                <w:kern w:val="0"/>
                <w:sz w:val="21"/>
                <w:szCs w:val="21"/>
                <w:highlight w:val="none"/>
                <w:lang w:val="en-US" w:eastAsia="zh-CN" w:bidi="ar-SA"/>
              </w:rPr>
              <w:t>，人员</w:t>
            </w:r>
            <w:r>
              <w:rPr>
                <w:rFonts w:hint="eastAsia" w:ascii="宋体" w:hAnsi="宋体" w:cs="宋体"/>
                <w:color w:val="auto"/>
                <w:kern w:val="0"/>
                <w:sz w:val="21"/>
                <w:szCs w:val="21"/>
                <w:highlight w:val="none"/>
                <w:lang w:val="en-US" w:eastAsia="zh-CN" w:bidi="ar-SA"/>
              </w:rPr>
              <w:t>各季节工作服的</w:t>
            </w:r>
            <w:r>
              <w:rPr>
                <w:rFonts w:hint="eastAsia" w:ascii="宋体" w:hAnsi="宋体" w:eastAsia="宋体" w:cs="宋体"/>
                <w:color w:val="auto"/>
                <w:kern w:val="0"/>
                <w:sz w:val="21"/>
                <w:szCs w:val="21"/>
                <w:highlight w:val="none"/>
                <w:lang w:val="en-US" w:eastAsia="zh-CN" w:bidi="ar-SA"/>
              </w:rPr>
              <w:t>配置，人员所使用作业工具等各类耗材费，设施设备管理维护费用，税金、利润及其他与本次</w:t>
            </w:r>
            <w:r>
              <w:rPr>
                <w:rFonts w:hint="eastAsia" w:ascii="宋体" w:hAnsi="宋体" w:cs="宋体"/>
                <w:color w:val="auto"/>
                <w:kern w:val="0"/>
                <w:sz w:val="21"/>
                <w:szCs w:val="21"/>
                <w:highlight w:val="none"/>
                <w:lang w:val="en-US" w:eastAsia="zh-CN" w:bidi="ar-SA"/>
              </w:rPr>
              <w:t>服务</w:t>
            </w:r>
            <w:r>
              <w:rPr>
                <w:rFonts w:hint="eastAsia" w:ascii="宋体" w:hAnsi="宋体" w:eastAsia="宋体" w:cs="宋体"/>
                <w:color w:val="auto"/>
                <w:kern w:val="0"/>
                <w:sz w:val="21"/>
                <w:szCs w:val="21"/>
                <w:highlight w:val="none"/>
                <w:lang w:val="en-US" w:eastAsia="zh-CN" w:bidi="ar-SA"/>
              </w:rPr>
              <w:t>相关的一切费用</w:t>
            </w:r>
            <w:r>
              <w:rPr>
                <w:rFonts w:hint="eastAsia" w:ascii="宋体" w:hAnsi="宋体" w:cs="宋体"/>
                <w:color w:val="auto"/>
                <w:kern w:val="0"/>
                <w:sz w:val="21"/>
                <w:szCs w:val="21"/>
                <w:highlight w:val="none"/>
                <w:lang w:val="en-US" w:eastAsia="zh-CN" w:bidi="ar-SA"/>
              </w:rPr>
              <w:t>，采购人不再另行支付其他费用</w:t>
            </w:r>
            <w:r>
              <w:rPr>
                <w:rFonts w:hint="eastAsia" w:ascii="宋体" w:hAnsi="宋体" w:eastAsia="宋体" w:cs="宋体"/>
                <w:color w:val="auto"/>
                <w:kern w:val="0"/>
                <w:sz w:val="21"/>
                <w:szCs w:val="21"/>
                <w:highlight w:val="none"/>
                <w:lang w:val="en-US" w:eastAsia="zh-CN" w:bidi="ar-SA"/>
              </w:rPr>
              <w:t>。</w:t>
            </w:r>
          </w:p>
          <w:p>
            <w:pPr>
              <w:pStyle w:val="28"/>
              <w:keepNext w:val="0"/>
              <w:keepLines w:val="0"/>
              <w:pageBreakBefore w:val="0"/>
              <w:widowControl w:val="0"/>
              <w:shd w:val="clear" w:color="auto" w:fill="auto"/>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3、供应商</w:t>
            </w:r>
            <w:r>
              <w:rPr>
                <w:rFonts w:hint="eastAsia" w:ascii="宋体" w:hAnsi="宋体" w:eastAsia="宋体" w:cs="宋体"/>
                <w:color w:val="auto"/>
                <w:kern w:val="2"/>
                <w:sz w:val="21"/>
                <w:szCs w:val="21"/>
                <w:highlight w:val="none"/>
                <w:lang w:val="en-US" w:eastAsia="zh-CN" w:bidi="ar-SA"/>
              </w:rPr>
              <w:t>应考虑投标及服务期间的因市场因素或政策因素等实施过程中可能遇到的各种风险，事后不得以任何理由要求增加合同费用</w:t>
            </w:r>
            <w:r>
              <w:rPr>
                <w:rFonts w:hint="eastAsia" w:ascii="宋体" w:hAnsi="宋体" w:cs="宋体"/>
                <w:color w:val="auto"/>
                <w:kern w:val="2"/>
                <w:sz w:val="21"/>
                <w:szCs w:val="21"/>
                <w:highlight w:val="none"/>
                <w:lang w:val="en-US" w:eastAsia="zh-CN" w:bidi="ar-SA"/>
              </w:rPr>
              <w:t>。</w:t>
            </w:r>
          </w:p>
          <w:p>
            <w:pPr>
              <w:pStyle w:val="92"/>
              <w:keepNext w:val="0"/>
              <w:keepLines w:val="0"/>
              <w:pageBreakBefore w:val="0"/>
              <w:widowControl w:val="0"/>
              <w:shd w:val="clear" w:color="auto" w:fill="auto"/>
              <w:kinsoku/>
              <w:wordWrap/>
              <w:overflowPunct/>
              <w:topLinePunct w:val="0"/>
              <w:autoSpaceDE/>
              <w:autoSpaceDN/>
              <w:bidi w:val="0"/>
              <w:snapToGrid/>
              <w:spacing w:line="360" w:lineRule="exact"/>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4、不论投标结果如何，供应商均应自行承担所有与投标有关的全部费</w:t>
            </w:r>
            <w:r>
              <w:rPr>
                <w:rFonts w:hint="eastAsia" w:ascii="宋体" w:hAnsi="宋体" w:eastAsia="宋体" w:cs="宋体"/>
                <w:color w:val="auto"/>
                <w:sz w:val="21"/>
                <w:szCs w:val="21"/>
                <w:highlight w:val="none"/>
              </w:rPr>
              <w:t>用。</w:t>
            </w:r>
          </w:p>
          <w:p>
            <w:pPr>
              <w:pStyle w:val="92"/>
              <w:keepNext w:val="0"/>
              <w:keepLines w:val="0"/>
              <w:pageBreakBefore w:val="0"/>
              <w:widowControl w:val="0"/>
              <w:shd w:val="clear" w:color="auto" w:fill="auto"/>
              <w:kinsoku/>
              <w:wordWrap/>
              <w:overflowPunct/>
              <w:topLinePunct w:val="0"/>
              <w:autoSpaceDE/>
              <w:autoSpaceDN/>
              <w:bidi w:val="0"/>
              <w:snapToGrid/>
              <w:spacing w:line="360" w:lineRule="exact"/>
              <w:ind w:lef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w:t>
            </w:r>
            <w:r>
              <w:rPr>
                <w:rFonts w:hint="eastAsia" w:ascii="宋体" w:hAnsi="宋体" w:eastAsia="宋体" w:cs="宋体"/>
                <w:color w:val="auto"/>
                <w:sz w:val="21"/>
                <w:szCs w:val="21"/>
                <w:highlight w:val="none"/>
                <w:lang w:val="zh-CN" w:eastAsia="zh-CN" w:bidi="zh-CN"/>
              </w:rPr>
              <w:t>项目投标应以人民币报价</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付款方式</w:t>
            </w:r>
          </w:p>
        </w:tc>
        <w:tc>
          <w:tcPr>
            <w:tcW w:w="7402" w:type="dxa"/>
            <w:noWrap w:val="0"/>
            <w:vAlign w:val="center"/>
          </w:tcPr>
          <w:p>
            <w:pPr>
              <w:pStyle w:val="9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firstLine="0" w:firstLineChars="0"/>
              <w:jc w:val="both"/>
              <w:textAlignment w:val="auto"/>
              <w:outlineLvl w:val="9"/>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详见招标文件第二章《采购需求》“商务条款”。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bCs/>
                <w:color w:val="auto"/>
                <w:sz w:val="21"/>
                <w:szCs w:val="21"/>
                <w:highlight w:val="none"/>
              </w:rPr>
              <w:t>履约保证金</w:t>
            </w:r>
          </w:p>
        </w:tc>
        <w:tc>
          <w:tcPr>
            <w:tcW w:w="7402"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详见招标文件第二章《采购需求》“商务条款”。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▲投标有效期</w:t>
            </w:r>
          </w:p>
        </w:tc>
        <w:tc>
          <w:tcPr>
            <w:tcW w:w="7402"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投标截止日起90天</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投标保证金</w:t>
            </w:r>
          </w:p>
        </w:tc>
        <w:tc>
          <w:tcPr>
            <w:tcW w:w="7402"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本项目不适用</w:t>
            </w:r>
            <w:r>
              <w:rPr>
                <w:rFonts w:hint="eastAsia" w:ascii="宋体" w:hAnsi="宋体" w:eastAsia="宋体" w:cs="宋体"/>
                <w:color w:val="auto"/>
                <w:sz w:val="21"/>
                <w:szCs w:val="21"/>
                <w:highlight w:val="none"/>
              </w:rPr>
              <w:t>（本项目所有涉及保证金内容的条款均不适用）</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投标文件的组成</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1.资格证明文件组成：</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（1）资格条件自查表；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（2）投标声明书；</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）中小企业声明函；</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）残疾人福利性单位声明函（如有）；</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监狱企业声明函</w:t>
            </w:r>
            <w:r>
              <w:rPr>
                <w:rFonts w:hint="eastAsia" w:ascii="宋体" w:hAnsi="宋体" w:eastAsia="宋体" w:cs="宋体"/>
                <w:color w:val="auto"/>
                <w:sz w:val="21"/>
                <w:szCs w:val="21"/>
                <w:highlight w:val="none"/>
                <w:lang w:val="en-US" w:eastAsia="zh-CN"/>
              </w:rPr>
              <w:t>（如有）；</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具备《中华人民共和国政府采购法》第二十二条规定的资格条件的承诺函；</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）提供具有履行合同所必需的设备和专业技术能力的声明；</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）提供参加政府采购活动前3年内在经营活动中没有重大违法记录的声明；</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）投标承诺函；</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认为有必要说明的其他资料。</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2.商务技术文件组成： </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（1）符合性自查表；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法定代表人身份证明或法定代表人授权委托书；</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供应商响应表；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）服务要求、商务要求及合同条款偏离表；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基本情况说明；</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）拟投入本项目服务人员</w:t>
            </w:r>
            <w:r>
              <w:rPr>
                <w:rFonts w:hint="eastAsia" w:ascii="宋体" w:hAnsi="宋体" w:cs="宋体"/>
                <w:color w:val="auto"/>
                <w:sz w:val="21"/>
                <w:szCs w:val="21"/>
                <w:highlight w:val="none"/>
                <w:lang w:val="en-US" w:eastAsia="zh-CN"/>
              </w:rPr>
              <w:t>配置</w:t>
            </w:r>
            <w:r>
              <w:rPr>
                <w:rFonts w:hint="eastAsia" w:ascii="宋体" w:hAnsi="宋体" w:eastAsia="宋体" w:cs="宋体"/>
                <w:color w:val="auto"/>
                <w:sz w:val="21"/>
                <w:szCs w:val="21"/>
                <w:highlight w:val="none"/>
                <w:lang w:val="en-US" w:eastAsia="zh-CN"/>
              </w:rPr>
              <w:t>情况表；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）拟投入本项目主要设施设备（含交通工具）配置情况表</w:t>
            </w:r>
            <w:r>
              <w:rPr>
                <w:rFonts w:hint="eastAsia" w:ascii="宋体" w:hAnsi="宋体" w:cs="宋体"/>
                <w:color w:val="auto"/>
                <w:sz w:val="21"/>
                <w:szCs w:val="21"/>
                <w:highlight w:val="none"/>
                <w:lang w:val="en-US" w:eastAsia="zh-CN"/>
              </w:rPr>
              <w:t>；</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（8）供应商</w:t>
            </w:r>
            <w:r>
              <w:rPr>
                <w:rFonts w:hint="eastAsia" w:ascii="宋体" w:hAnsi="宋体" w:eastAsia="宋体" w:cs="宋体"/>
                <w:color w:val="auto"/>
                <w:sz w:val="21"/>
                <w:szCs w:val="21"/>
                <w:highlight w:val="none"/>
                <w:lang w:val="en-US" w:eastAsia="zh-CN"/>
              </w:rPr>
              <w:t>业绩表（如有）；</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）针对本项目第四章《评标办法及评标标准》中的条款拟定各种方案；</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 xml:space="preserve">）第四章《评标办法及评标标准》中需提供的其他相关证书及合同等复印件加盖公章（如有）； </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）供应商认为有必要提供的或评分标准要求提供的或本</w:t>
            </w:r>
            <w:r>
              <w:rPr>
                <w:rFonts w:hint="eastAsia" w:ascii="宋体" w:hAnsi="宋体" w:cs="宋体"/>
                <w:color w:val="auto"/>
                <w:sz w:val="21"/>
                <w:szCs w:val="21"/>
                <w:highlight w:val="none"/>
                <w:lang w:val="en-US" w:eastAsia="zh-CN"/>
              </w:rPr>
              <w:t>招标需求</w:t>
            </w:r>
            <w:r>
              <w:rPr>
                <w:rFonts w:hint="eastAsia" w:ascii="宋体" w:hAnsi="宋体" w:eastAsia="宋体" w:cs="宋体"/>
                <w:color w:val="auto"/>
                <w:sz w:val="21"/>
                <w:szCs w:val="21"/>
                <w:highlight w:val="none"/>
                <w:lang w:val="en-US" w:eastAsia="zh-CN"/>
              </w:rPr>
              <w:t>中要求提供的其他技术资料及说明。</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▲注：资格证明文件、技术商务文件中不能出现报价。</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3.投标报价文件组成：</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（1）投标函；</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（2）开标一览表；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投标报价</w:t>
            </w:r>
            <w:r>
              <w:rPr>
                <w:rFonts w:hint="eastAsia" w:ascii="宋体" w:hAnsi="宋体" w:eastAsia="宋体" w:cs="宋体"/>
                <w:color w:val="auto"/>
                <w:sz w:val="21"/>
                <w:szCs w:val="21"/>
                <w:highlight w:val="none"/>
                <w:lang w:val="en-US" w:eastAsia="zh-CN"/>
              </w:rPr>
              <w:t>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（4）政府采购统计基础信息表；</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（5）供应商认为有必要提供的其他资料及说明</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以上格式详见第六章《投标文见格式》，若未提供格式的由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要求</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本项目实行网上投标，供应商应准备以下投标文件：</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▲（1）上传到政府采购云平台的电子投标文件（含资格文件、商务和技术文件、报价文件）1份。</w:t>
            </w:r>
          </w:p>
          <w:p>
            <w:pPr>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（2）以U盘存储的电子备份投标文件（含资格文件、商务和技术文件、报价文件）1份（电子备份投标文件不作实质性要求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是否提交由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自行决定，用于异常情况处理）。</w:t>
            </w:r>
          </w:p>
          <w:p>
            <w:pPr>
              <w:pStyle w:val="15"/>
              <w:keepNext w:val="0"/>
              <w:keepLines w:val="0"/>
              <w:pageBreakBefore w:val="0"/>
              <w:widowControl w:val="0"/>
              <w:shd w:val="clear" w:color="auto" w:fill="auto"/>
              <w:kinsoku/>
              <w:wordWrap/>
              <w:overflowPunct/>
              <w:topLinePunct w:val="0"/>
              <w:bidi w:val="0"/>
              <w:adjustRightInd/>
              <w:snapToGrid/>
              <w:spacing w:line="36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（3）纸质备份文件：</w:t>
            </w:r>
            <w:r>
              <w:rPr>
                <w:rFonts w:hint="eastAsia" w:ascii="宋体" w:hAnsi="宋体" w:cs="宋体"/>
                <w:color w:val="auto"/>
                <w:sz w:val="21"/>
                <w:szCs w:val="21"/>
                <w:highlight w:val="none"/>
                <w:lang w:eastAsia="zh-CN"/>
              </w:rPr>
              <w:t>中标单位</w:t>
            </w:r>
            <w:r>
              <w:rPr>
                <w:rFonts w:hint="eastAsia" w:ascii="宋体" w:hAnsi="宋体" w:eastAsia="宋体" w:cs="宋体"/>
                <w:color w:val="auto"/>
                <w:sz w:val="21"/>
                <w:szCs w:val="21"/>
                <w:highlight w:val="none"/>
              </w:rPr>
              <w:t>须在中标后3个工作日内提供资格文件、商务和技术文件、报价文件正副本各1份，纸质投标文件需与电子投标文件一致。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投标截止时间及地点</w:t>
            </w:r>
          </w:p>
        </w:tc>
        <w:tc>
          <w:tcPr>
            <w:tcW w:w="7402"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详见招标文件</w:t>
            </w:r>
            <w:r>
              <w:rPr>
                <w:rFonts w:hint="eastAsia" w:ascii="宋体" w:hAnsi="宋体" w:cs="宋体"/>
                <w:color w:val="auto"/>
                <w:kern w:val="2"/>
                <w:sz w:val="21"/>
                <w:szCs w:val="21"/>
                <w:highlight w:val="none"/>
                <w:lang w:val="en-US" w:eastAsia="zh-CN" w:bidi="ar-SA"/>
              </w:rPr>
              <w:t>第一章《公开招标采购公告》</w:t>
            </w: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开标时间及地点</w:t>
            </w:r>
          </w:p>
        </w:tc>
        <w:tc>
          <w:tcPr>
            <w:tcW w:w="7402"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详见招标文件</w:t>
            </w:r>
            <w:r>
              <w:rPr>
                <w:rFonts w:hint="eastAsia" w:ascii="宋体" w:hAnsi="宋体" w:cs="宋体"/>
                <w:color w:val="auto"/>
                <w:kern w:val="2"/>
                <w:sz w:val="21"/>
                <w:szCs w:val="21"/>
                <w:highlight w:val="none"/>
                <w:lang w:val="en-US" w:eastAsia="zh-CN" w:bidi="ar-SA"/>
              </w:rPr>
              <w:t>第一章《公开招标采购公告》</w:t>
            </w:r>
            <w:r>
              <w:rPr>
                <w:rFonts w:hint="eastAsia" w:ascii="宋体" w:hAnsi="宋体" w:eastAsia="宋体" w:cs="宋体"/>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18</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评标办法及评分标准</w:t>
            </w:r>
          </w:p>
        </w:tc>
        <w:tc>
          <w:tcPr>
            <w:tcW w:w="7402"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招标文件</w:t>
            </w:r>
            <w:r>
              <w:rPr>
                <w:rFonts w:hint="eastAsia" w:ascii="宋体" w:hAnsi="宋体" w:cs="宋体"/>
                <w:color w:val="auto"/>
                <w:sz w:val="21"/>
                <w:szCs w:val="21"/>
                <w:highlight w:val="none"/>
                <w:lang w:eastAsia="zh-CN"/>
              </w:rPr>
              <w:t xml:space="preserve">第四章《评标办法及评分标准》 </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签订合同时间</w:t>
            </w:r>
          </w:p>
        </w:tc>
        <w:tc>
          <w:tcPr>
            <w:tcW w:w="7402"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中标服务费</w:t>
            </w:r>
          </w:p>
        </w:tc>
        <w:tc>
          <w:tcPr>
            <w:tcW w:w="7402" w:type="dxa"/>
            <w:noWrap w:val="0"/>
            <w:vAlign w:val="center"/>
          </w:tcPr>
          <w:p>
            <w:pPr>
              <w:keepNext w:val="0"/>
              <w:keepLines w:val="0"/>
              <w:pageBreakBefore w:val="0"/>
              <w:widowControl w:val="0"/>
              <w:shd w:val="clear" w:color="auto" w:fill="auto"/>
              <w:kinsoku/>
              <w:wordWrap/>
              <w:overflowPunct/>
              <w:topLinePunct w:val="0"/>
              <w:bidi w:val="0"/>
              <w:adjustRightInd/>
              <w:snapToGrid/>
              <w:spacing w:line="360" w:lineRule="auto"/>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“宁波市网上中介超市”中选价格12800元一次性包干，由</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en-US" w:eastAsia="zh-CN"/>
              </w:rPr>
              <w:t>单位</w:t>
            </w:r>
            <w:r>
              <w:rPr>
                <w:rFonts w:hint="eastAsia" w:ascii="宋体" w:hAnsi="宋体" w:eastAsia="宋体" w:cs="宋体"/>
                <w:color w:val="auto"/>
                <w:szCs w:val="21"/>
                <w:highlight w:val="none"/>
              </w:rPr>
              <w:t>在中标通知书</w:t>
            </w:r>
            <w:r>
              <w:rPr>
                <w:rFonts w:hint="eastAsia" w:ascii="宋体" w:hAnsi="宋体" w:eastAsia="宋体" w:cs="宋体"/>
                <w:color w:val="auto"/>
                <w:szCs w:val="21"/>
                <w:highlight w:val="none"/>
                <w:lang w:val="en-US" w:eastAsia="zh-CN"/>
              </w:rPr>
              <w:t>发布</w:t>
            </w:r>
            <w:r>
              <w:rPr>
                <w:rFonts w:hint="eastAsia" w:ascii="宋体" w:hAnsi="宋体" w:eastAsia="宋体" w:cs="宋体"/>
                <w:color w:val="auto"/>
                <w:szCs w:val="21"/>
                <w:highlight w:val="none"/>
              </w:rPr>
              <w:t>前向招标代理机构</w:t>
            </w:r>
            <w:r>
              <w:rPr>
                <w:rFonts w:hint="eastAsia" w:ascii="宋体" w:hAnsi="宋体" w:eastAsia="宋体" w:cs="宋体"/>
                <w:color w:val="auto"/>
                <w:szCs w:val="21"/>
                <w:highlight w:val="none"/>
                <w:lang w:val="en-US" w:eastAsia="zh-CN"/>
              </w:rPr>
              <w:t>一次性</w:t>
            </w:r>
            <w:r>
              <w:rPr>
                <w:rFonts w:hint="eastAsia" w:ascii="宋体" w:hAnsi="宋体" w:eastAsia="宋体" w:cs="宋体"/>
                <w:color w:val="auto"/>
                <w:szCs w:val="21"/>
                <w:highlight w:val="none"/>
              </w:rPr>
              <w:t>支付</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中小企业划分标准</w:t>
            </w:r>
          </w:p>
        </w:tc>
        <w:tc>
          <w:tcPr>
            <w:tcW w:w="740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both"/>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本项目对应的中小企业划分标准所属行业：</w:t>
            </w:r>
            <w:r>
              <w:rPr>
                <w:rFonts w:hint="eastAsia" w:ascii="宋体" w:hAnsi="宋体" w:eastAsia="宋体" w:cs="宋体"/>
                <w:b/>
                <w:bCs/>
                <w:color w:val="auto"/>
                <w:kern w:val="2"/>
                <w:sz w:val="21"/>
                <w:szCs w:val="21"/>
                <w:highlight w:val="none"/>
                <w:u w:val="single"/>
                <w:lang w:val="en-US" w:eastAsia="zh-CN" w:bidi="ar-SA"/>
              </w:rPr>
              <w:t>租赁和商务服务业</w:t>
            </w:r>
            <w:r>
              <w:rPr>
                <w:rFonts w:hint="eastAsia" w:ascii="宋体" w:hAnsi="宋体" w:eastAsia="宋体" w:cs="宋体"/>
                <w:b w:val="0"/>
                <w:bCs w:val="0"/>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▲合同履约期限</w:t>
            </w:r>
          </w:p>
        </w:tc>
        <w:tc>
          <w:tcPr>
            <w:tcW w:w="7402" w:type="dxa"/>
            <w:noWrap w:val="0"/>
            <w:vAlign w:val="center"/>
          </w:tcPr>
          <w:p>
            <w:pPr>
              <w:pStyle w:val="15"/>
              <w:keepNext w:val="0"/>
              <w:keepLines w:val="0"/>
              <w:pageBreakBefore w:val="0"/>
              <w:widowControl w:val="0"/>
              <w:shd w:val="clear" w:color="auto" w:fill="auto"/>
              <w:kinsoku/>
              <w:wordWrap/>
              <w:overflowPunct/>
              <w:topLinePunct w:val="0"/>
              <w:bidi w:val="0"/>
              <w:adjustRightInd/>
              <w:snapToGrid/>
              <w:spacing w:after="0" w:line="240" w:lineRule="auto"/>
              <w:ind w:left="0" w:firstLine="0" w:firstLineChars="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自合同签订生效之日至双方合同义务完全履行完毕后止</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解释</w:t>
            </w:r>
          </w:p>
        </w:tc>
        <w:tc>
          <w:tcPr>
            <w:tcW w:w="7402" w:type="dxa"/>
            <w:noWrap w:val="0"/>
            <w:vAlign w:val="center"/>
          </w:tcPr>
          <w:p>
            <w:pPr>
              <w:pStyle w:val="36"/>
              <w:keepNext w:val="0"/>
              <w:keepLines w:val="0"/>
              <w:pageBreakBefore w:val="0"/>
              <w:widowControl w:val="0"/>
              <w:shd w:val="clear" w:color="auto" w:fill="auto"/>
              <w:kinsoku/>
              <w:wordWrap/>
              <w:overflowPunct/>
              <w:topLinePunct w:val="0"/>
              <w:bidi w:val="0"/>
              <w:adjustRightInd/>
              <w:snapToGrid/>
              <w:spacing w:after="0" w:line="240" w:lineRule="auto"/>
              <w:ind w:left="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本招标文件的解释权属于招标采购单位</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w:t>
            </w:r>
          </w:p>
        </w:tc>
        <w:tc>
          <w:tcPr>
            <w:tcW w:w="1798" w:type="dxa"/>
            <w:noWrap w:val="0"/>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w:t>
            </w:r>
          </w:p>
        </w:tc>
        <w:tc>
          <w:tcPr>
            <w:tcW w:w="7402" w:type="dxa"/>
            <w:noWrap w:val="0"/>
            <w:vAlign w:val="center"/>
          </w:tcPr>
          <w:p>
            <w:pPr>
              <w:pStyle w:val="36"/>
              <w:keepNext w:val="0"/>
              <w:keepLines w:val="0"/>
              <w:pageBreakBefore w:val="0"/>
              <w:widowControl w:val="0"/>
              <w:shd w:val="clear" w:color="auto" w:fill="auto"/>
              <w:kinsoku/>
              <w:wordWrap/>
              <w:overflowPunct/>
              <w:topLinePunct w:val="0"/>
              <w:bidi w:val="0"/>
              <w:adjustRightInd/>
              <w:snapToGrid/>
              <w:spacing w:after="0" w:line="360" w:lineRule="auto"/>
              <w:ind w:left="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须知前附表”是</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须知正文内容的补充和细化，如本前附表与正文内容表述不一致的，以“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须知前附表”为准。</w:t>
            </w:r>
          </w:p>
        </w:tc>
      </w:tr>
    </w:tbl>
    <w:p>
      <w:pPr>
        <w:rPr>
          <w:rFonts w:hint="eastAsia"/>
          <w:color w:val="auto"/>
          <w:highlight w:val="none"/>
        </w:rPr>
      </w:pPr>
    </w:p>
    <w:p>
      <w:pPr>
        <w:pStyle w:val="11"/>
        <w:rPr>
          <w:rFonts w:hint="eastAsia"/>
          <w:color w:val="auto"/>
          <w:highlight w:val="none"/>
        </w:rPr>
      </w:pPr>
    </w:p>
    <w:p>
      <w:pPr>
        <w:rPr>
          <w:rFonts w:hint="eastAsia" w:ascii="宋体" w:hAnsi="宋体" w:eastAsia="宋体" w:cs="宋体"/>
          <w:b/>
          <w:bCs/>
          <w:color w:val="auto"/>
          <w:kern w:val="2"/>
          <w:sz w:val="21"/>
          <w:szCs w:val="21"/>
          <w:highlight w:val="none"/>
          <w:lang w:val="en-US" w:eastAsia="zh-CN" w:bidi="ar-SA"/>
        </w:rPr>
      </w:pPr>
      <w:bookmarkStart w:id="12" w:name="_Toc485712536"/>
      <w:r>
        <w:rPr>
          <w:rFonts w:hint="eastAsia" w:ascii="宋体" w:hAnsi="宋体" w:eastAsia="宋体" w:cs="宋体"/>
          <w:b/>
          <w:bCs/>
          <w:color w:val="auto"/>
          <w:kern w:val="2"/>
          <w:sz w:val="21"/>
          <w:szCs w:val="21"/>
          <w:highlight w:val="none"/>
          <w:lang w:val="en-US" w:eastAsia="zh-CN" w:bidi="ar-SA"/>
        </w:rPr>
        <w:br w:type="page"/>
      </w:r>
    </w:p>
    <w:p>
      <w:pPr>
        <w:pStyle w:val="19"/>
        <w:keepNext w:val="0"/>
        <w:keepLines w:val="0"/>
        <w:pageBreakBefore w:val="0"/>
        <w:widowControl w:val="0"/>
        <w:shd w:val="clear" w:color="auto" w:fill="auto"/>
        <w:kinsoku/>
        <w:wordWrap/>
        <w:overflowPunct/>
        <w:topLinePunct w:val="0"/>
        <w:autoSpaceDE w:val="0"/>
        <w:autoSpaceDN w:val="0"/>
        <w:bidi w:val="0"/>
        <w:adjustRightInd/>
        <w:snapToGrid/>
        <w:spacing w:before="0" w:beforeLines="0" w:after="0" w:afterLines="0"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一、总则</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color w:val="auto"/>
          <w:sz w:val="21"/>
          <w:szCs w:val="21"/>
          <w:highlight w:val="none"/>
        </w:rPr>
      </w:pPr>
      <w:bookmarkStart w:id="13" w:name="_Toc485712529"/>
      <w:r>
        <w:rPr>
          <w:rFonts w:hint="eastAsia" w:ascii="宋体" w:hAnsi="宋体" w:eastAsia="宋体" w:cs="宋体"/>
          <w:b/>
          <w:color w:val="auto"/>
          <w:sz w:val="21"/>
          <w:szCs w:val="21"/>
          <w:highlight w:val="none"/>
        </w:rPr>
        <w:t>（一） 适用范围</w:t>
      </w:r>
      <w:bookmarkEnd w:id="13"/>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的招标、投标、评标、定标、验收、合同履约、付款等行为（法律、法规另有规定的，从其规定）。</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bookmarkStart w:id="14" w:name="_Toc485712530"/>
      <w:r>
        <w:rPr>
          <w:rFonts w:hint="eastAsia" w:ascii="宋体" w:hAnsi="宋体" w:eastAsia="宋体" w:cs="宋体"/>
          <w:b/>
          <w:color w:val="auto"/>
          <w:sz w:val="21"/>
          <w:szCs w:val="21"/>
          <w:highlight w:val="none"/>
        </w:rPr>
        <w:t>（二）定义</w:t>
      </w:r>
      <w:bookmarkEnd w:id="14"/>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招标采购单位系指组织本次招标的代理机构和采购单位。</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”系指向采购人提交投标文件的单位或个人。</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“产品”系指供方按招标文件规定，须向采购单位提供的一切设备、保险、税金、备品备件、工具、手册及其它有关技术资料和材料。</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“服务”系指招标文件规定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须承担的安装、调试、技术协助、校准、培训、技术指导以及其他类似的义务。</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5</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“项目”系指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按招标文件规定向采购单位提供的产品和服务。</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6</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“书面形式”包括信函、传真、电报等。</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lang w:val="en-US"/>
        </w:rPr>
      </w:pPr>
      <w:r>
        <w:rPr>
          <w:rFonts w:hint="default" w:ascii="宋体" w:hAnsi="宋体" w:eastAsia="宋体" w:cs="宋体"/>
          <w:color w:val="auto"/>
          <w:kern w:val="2"/>
          <w:sz w:val="21"/>
          <w:szCs w:val="21"/>
          <w:highlight w:val="none"/>
          <w:lang w:val="en-US" w:eastAsia="zh-CN" w:bidi="ar-SA"/>
        </w:rPr>
        <w:t>7</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“▲”系指实质性要求条款。</w:t>
      </w:r>
      <w:bookmarkStart w:id="15" w:name="_Toc485712531"/>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lang w:val="en-US"/>
        </w:rPr>
      </w:pPr>
      <w:r>
        <w:rPr>
          <w:rFonts w:hint="default" w:ascii="宋体" w:hAnsi="宋体" w:eastAsia="宋体" w:cs="宋体"/>
          <w:color w:val="auto"/>
          <w:kern w:val="2"/>
          <w:sz w:val="21"/>
          <w:szCs w:val="21"/>
          <w:highlight w:val="none"/>
          <w:lang w:val="en-US" w:eastAsia="zh-CN" w:bidi="ar-SA"/>
        </w:rPr>
        <w:t>8</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核心产品：核心产品指：“</w:t>
      </w:r>
      <w:r>
        <w:rPr>
          <w:rFonts w:hint="eastAsia" w:ascii="宋体" w:hAnsi="宋体" w:eastAsia="宋体" w:cs="宋体"/>
          <w:b/>
          <w:bCs/>
          <w:color w:val="auto"/>
          <w:sz w:val="21"/>
          <w:szCs w:val="21"/>
          <w:highlight w:val="none"/>
          <w:u w:val="single"/>
          <w:lang w:val="en-US"/>
        </w:rPr>
        <w:t xml:space="preserve">   /   </w:t>
      </w:r>
      <w:r>
        <w:rPr>
          <w:rFonts w:hint="eastAsia" w:ascii="宋体" w:hAnsi="宋体" w:eastAsia="宋体" w:cs="宋体"/>
          <w:color w:val="auto"/>
          <w:sz w:val="21"/>
          <w:szCs w:val="21"/>
          <w:highlight w:val="none"/>
        </w:rPr>
        <w:t>”，作为判断同品牌产品的依据。</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（三）采购人式</w:t>
      </w:r>
      <w:bookmarkEnd w:id="15"/>
    </w:p>
    <w:p>
      <w:pPr>
        <w:pageBreakBefore w:val="0"/>
        <w:shd w:val="clear" w:color="auto" w:fill="auto"/>
        <w:kinsoku/>
        <w:wordWrap/>
        <w:overflowPunct/>
        <w:topLinePunct w:val="0"/>
        <w:bidi w:val="0"/>
        <w:adjustRightInd/>
        <w:spacing w:line="360" w:lineRule="auto"/>
        <w:ind w:left="0" w:leftChars="0" w:right="0" w:rightChars="0" w:firstLine="411" w:firstLineChars="19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本次招标采用公开采购人式进行。</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bookmarkStart w:id="16" w:name="_Toc485712532"/>
      <w:r>
        <w:rPr>
          <w:rFonts w:hint="eastAsia" w:ascii="宋体" w:hAnsi="宋体" w:eastAsia="宋体" w:cs="宋体"/>
          <w:b/>
          <w:color w:val="auto"/>
          <w:sz w:val="21"/>
          <w:szCs w:val="21"/>
          <w:highlight w:val="none"/>
        </w:rPr>
        <w:t>（四）投标委托</w:t>
      </w:r>
      <w:bookmarkEnd w:id="16"/>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bookmarkStart w:id="17" w:name="_Toc485712533"/>
      <w:r>
        <w:rPr>
          <w:rFonts w:hint="default"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投标文件的签署人应当为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的法定代表人或其授权的代表。投标文件的签署人为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的法定代表人时，投标文件中必须提供法定代表人身份证复印件；投标文件的签署人非</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的法定代表人时，投标文件中必须提供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的法定代表人出具的授权委托书及法定代表人授权代表的身份证复印件。</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根据政府采购相关法律、法规、规章、文件规定并满足招标文件规定资格条件的区域性分支机构、个体工商户、个人独资企业、合伙企业参加本项目投标并由单位负责人签署的相关投标资料与招标文件规定由法定代表人签署的文件材料具有同等效力。</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（五）投标费用</w:t>
      </w:r>
      <w:bookmarkEnd w:id="17"/>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均应自行承担所有与投标有关的全部费用（</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文件有相反规定除外）。</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（六）联合体投标</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u w:val="single"/>
        </w:rPr>
        <w:t>不接受</w:t>
      </w:r>
      <w:r>
        <w:rPr>
          <w:rFonts w:hint="eastAsia" w:ascii="宋体" w:hAnsi="宋体" w:eastAsia="宋体" w:cs="宋体"/>
          <w:color w:val="auto"/>
          <w:sz w:val="21"/>
          <w:szCs w:val="21"/>
          <w:highlight w:val="none"/>
        </w:rPr>
        <w:t>联合体投标。</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（七）转包与分包</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本项目不允许转包。</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Cs w:val="21"/>
          <w:highlight w:val="none"/>
        </w:rPr>
        <w:t>若</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需要分包的须经</w:t>
      </w:r>
      <w:r>
        <w:rPr>
          <w:rFonts w:hint="eastAsia" w:ascii="宋体" w:hAnsi="宋体" w:eastAsia="宋体" w:cs="宋体"/>
          <w:color w:val="auto"/>
          <w:szCs w:val="21"/>
          <w:highlight w:val="none"/>
          <w:lang w:val="en-US" w:eastAsia="zh-CN"/>
        </w:rPr>
        <w:t>采购人书面</w:t>
      </w:r>
      <w:r>
        <w:rPr>
          <w:rFonts w:hint="eastAsia" w:ascii="宋体" w:hAnsi="宋体" w:eastAsia="宋体" w:cs="宋体"/>
          <w:color w:val="auto"/>
          <w:szCs w:val="21"/>
          <w:highlight w:val="none"/>
        </w:rPr>
        <w:t>同意，同时</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应确保分包人具有相应服务能力。分包不减轻或免除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的责任和义务，</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和分包人就分包工程向</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承担连带责任</w:t>
      </w:r>
      <w:r>
        <w:rPr>
          <w:rFonts w:hint="eastAsia" w:ascii="宋体" w:hAnsi="宋体" w:eastAsia="宋体" w:cs="宋体"/>
          <w:color w:val="auto"/>
          <w:sz w:val="21"/>
          <w:szCs w:val="21"/>
          <w:highlight w:val="none"/>
        </w:rPr>
        <w:t>。</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bookmarkStart w:id="18" w:name="_Toc485712534"/>
      <w:r>
        <w:rPr>
          <w:rFonts w:hint="eastAsia" w:ascii="宋体" w:hAnsi="宋体" w:eastAsia="宋体" w:cs="宋体"/>
          <w:b/>
          <w:color w:val="auto"/>
          <w:sz w:val="21"/>
          <w:szCs w:val="21"/>
          <w:highlight w:val="none"/>
        </w:rPr>
        <w:t>（八）特别说明</w:t>
      </w:r>
      <w:bookmarkEnd w:id="18"/>
      <w:r>
        <w:rPr>
          <w:rFonts w:hint="eastAsia" w:ascii="宋体" w:hAnsi="宋体" w:eastAsia="宋体" w:cs="宋体"/>
          <w:b/>
          <w:color w:val="auto"/>
          <w:sz w:val="21"/>
          <w:szCs w:val="21"/>
          <w:highlight w:val="none"/>
        </w:rPr>
        <w:t>：</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使用综合评分法的采购项目，提供相同品牌产品且通过资格审查、符合性审查的不同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参加同一合同项下投标的，按一家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计算，评审后得分最高的同品牌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获得</w:t>
      </w:r>
      <w:r>
        <w:rPr>
          <w:rFonts w:hint="eastAsia" w:ascii="宋体" w:hAnsi="宋体" w:eastAsia="宋体" w:cs="宋体"/>
          <w:color w:val="auto"/>
          <w:sz w:val="21"/>
          <w:szCs w:val="21"/>
          <w:highlight w:val="none"/>
          <w:lang w:eastAsia="zh-CN"/>
        </w:rPr>
        <w:t>中标单位</w:t>
      </w:r>
      <w:r>
        <w:rPr>
          <w:rFonts w:hint="eastAsia" w:ascii="宋体" w:hAnsi="宋体" w:eastAsia="宋体" w:cs="宋体"/>
          <w:color w:val="auto"/>
          <w:sz w:val="21"/>
          <w:szCs w:val="21"/>
          <w:highlight w:val="none"/>
        </w:rPr>
        <w:t>推荐资格；评审得分相同的，由采购人或者采购人委托评标委员会按照招标文件规定的方式确定一个</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获得</w:t>
      </w:r>
      <w:r>
        <w:rPr>
          <w:rFonts w:hint="eastAsia" w:ascii="宋体" w:hAnsi="宋体" w:eastAsia="宋体" w:cs="宋体"/>
          <w:color w:val="auto"/>
          <w:sz w:val="21"/>
          <w:szCs w:val="21"/>
          <w:highlight w:val="none"/>
          <w:lang w:eastAsia="zh-CN"/>
        </w:rPr>
        <w:t>中标单位</w:t>
      </w:r>
      <w:r>
        <w:rPr>
          <w:rFonts w:hint="eastAsia" w:ascii="宋体" w:hAnsi="宋体" w:eastAsia="宋体" w:cs="宋体"/>
          <w:color w:val="auto"/>
          <w:sz w:val="21"/>
          <w:szCs w:val="21"/>
          <w:highlight w:val="none"/>
        </w:rPr>
        <w:t>推荐资格，招标文件未规定的采取随机抽取方式确定，其他同品牌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不作为中标候选人。</w:t>
      </w:r>
    </w:p>
    <w:p>
      <w:pPr>
        <w:pageBreakBefore w:val="0"/>
        <w:widowControl/>
        <w:shd w:val="clear" w:color="auto" w:fill="auto"/>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非单一产品采购项目，多家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提供的核心产品品牌相同的，按前款处理。</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应仔细阅读招标文件的所有内容，按照招标文件的要求提交投标文件，并对所提供的全部资料的真实性承担法律责任。</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在投标活动中提供任何虚假材料,其投标无效，并报监管部门查处。</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bookmarkStart w:id="19" w:name="_Toc485712535"/>
      <w:r>
        <w:rPr>
          <w:rFonts w:hint="eastAsia" w:ascii="宋体" w:hAnsi="宋体" w:eastAsia="宋体" w:cs="宋体"/>
          <w:b/>
          <w:color w:val="auto"/>
          <w:sz w:val="21"/>
          <w:szCs w:val="21"/>
          <w:highlight w:val="none"/>
        </w:rPr>
        <w:t>（九）质疑和投诉</w:t>
      </w:r>
      <w:bookmarkEnd w:id="19"/>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认为招标过程或中标结果使自己的合法权益受到损害的，应当在知道或者应知其权益受到损害之日起七个工作日内，以书面形式向采购单位、采购代理机构提出质疑。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对招标采购单位的质疑答复不满意或者招标采购单位未在规定时间内作出答复的，可以在答复期满后十五个工作日内向同级采购监管部门投诉。</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提出质疑的供应商应当是参与所质疑项目采购活动的供应商。</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4．</w:t>
      </w:r>
      <w:r>
        <w:rPr>
          <w:rFonts w:hint="eastAsia" w:ascii="宋体" w:hAnsi="宋体" w:eastAsia="宋体" w:cs="宋体"/>
          <w:bCs/>
          <w:color w:val="auto"/>
          <w:sz w:val="21"/>
          <w:szCs w:val="21"/>
          <w:highlight w:val="none"/>
        </w:rPr>
        <w:t>根据中国人民共和国财政部令第94号——政府采购质疑和投诉办法第二章第十条规定，</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在法定质疑期内针对同一采购程序环节的质疑只能一次性提出。</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（十）关于知识产权</w:t>
      </w:r>
    </w:p>
    <w:p>
      <w:pPr>
        <w:pageBreakBefore w:val="0"/>
        <w:numPr>
          <w:ilvl w:val="0"/>
          <w:numId w:val="0"/>
        </w:numPr>
        <w:shd w:val="clear" w:color="auto" w:fill="auto"/>
        <w:kinsoku/>
        <w:wordWrap/>
        <w:overflowPunct/>
        <w:topLinePunct w:val="0"/>
        <w:bidi w:val="0"/>
        <w:adjustRightInd/>
        <w:snapToGrid w:val="0"/>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1</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必须保证，采购人在中华人民共和国境内使用投标、资料、技术、服务或其任何一部分时，享有不受限制的无偿使用权，如有第三方向采购人提出侵犯其专利权、商标权或其它知识产权的主张，该责任应由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承担。</w:t>
      </w:r>
    </w:p>
    <w:p>
      <w:pPr>
        <w:pageBreakBefore w:val="0"/>
        <w:numPr>
          <w:ilvl w:val="0"/>
          <w:numId w:val="0"/>
        </w:numPr>
        <w:shd w:val="clear" w:color="auto" w:fill="auto"/>
        <w:kinsoku/>
        <w:wordWrap/>
        <w:overflowPunct/>
        <w:topLinePunct w:val="0"/>
        <w:bidi w:val="0"/>
        <w:adjustRightInd/>
        <w:snapToGrid w:val="0"/>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2</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投标报价应包含所有应向所有权人支付的专利权、商标权或其它知识产权的一切相关费用。</w:t>
      </w:r>
    </w:p>
    <w:p>
      <w:pPr>
        <w:pageBreakBefore w:val="0"/>
        <w:numPr>
          <w:ilvl w:val="0"/>
          <w:numId w:val="0"/>
        </w:numPr>
        <w:shd w:val="clear" w:color="auto" w:fill="auto"/>
        <w:kinsoku/>
        <w:wordWrap/>
        <w:overflowPunct/>
        <w:topLinePunct w:val="0"/>
        <w:bidi w:val="0"/>
        <w:adjustRightInd/>
        <w:snapToGrid w:val="0"/>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3</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系统软件、通用软件必须是具有在中国境内的合法使用权或版权的正版软件，涉及到第三方提出侵权或知识产权的起诉及支付版税等费用由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承担所有责任及费用。</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  招标文件</w:t>
      </w:r>
      <w:bookmarkEnd w:id="12"/>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（一）招标文件的构成。本招标文件由以下部</w:t>
      </w:r>
      <w:r>
        <w:rPr>
          <w:rFonts w:hint="eastAsia" w:ascii="宋体" w:hAnsi="宋体" w:eastAsia="宋体" w:cs="宋体"/>
          <w:b/>
          <w:color w:val="auto"/>
          <w:sz w:val="21"/>
          <w:szCs w:val="21"/>
          <w:highlight w:val="none"/>
          <w:lang w:val="en-US"/>
        </w:rPr>
        <w:t>分</w:t>
      </w:r>
      <w:r>
        <w:rPr>
          <w:rFonts w:hint="eastAsia" w:ascii="宋体" w:hAnsi="宋体" w:eastAsia="宋体" w:cs="宋体"/>
          <w:b/>
          <w:color w:val="auto"/>
          <w:sz w:val="21"/>
          <w:szCs w:val="21"/>
          <w:highlight w:val="none"/>
        </w:rPr>
        <w:t>组成：</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招标公告</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招标需求</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评标办法及标准</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5</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合同主要条款</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6</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投标文件格式</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7</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本项目招标文件的澄清、答复、修改、补充的内容</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的风险</w:t>
      </w:r>
    </w:p>
    <w:p>
      <w:pPr>
        <w:pStyle w:val="29"/>
        <w:pageBreakBefore w:val="0"/>
        <w:shd w:val="clear" w:color="auto" w:fill="auto"/>
        <w:kinsoku/>
        <w:wordWrap/>
        <w:overflowPunct/>
        <w:topLinePunct w:val="0"/>
        <w:bidi w:val="0"/>
        <w:adjustRightInd/>
        <w:snapToGrid/>
        <w:spacing w:line="360" w:lineRule="auto"/>
        <w:ind w:left="0" w:leftChars="0" w:right="0" w:rightChars="0" w:firstLine="42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没有按照招标文件要求提供全部资料，或者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没有对招标文件在各方面作出实质性响应是</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的风险，并可能导致其投标被拒绝。</w:t>
      </w:r>
    </w:p>
    <w:p>
      <w:pPr>
        <w:pStyle w:val="9"/>
        <w:pageBreakBefore w:val="0"/>
        <w:numPr>
          <w:ilvl w:val="0"/>
          <w:numId w:val="0"/>
        </w:numPr>
        <w:shd w:val="clear" w:color="auto" w:fill="auto"/>
        <w:tabs>
          <w:tab w:val="left" w:pos="900"/>
        </w:tabs>
        <w:kinsoku/>
        <w:wordWrap/>
        <w:overflowPunct/>
        <w:topLinePunct w:val="0"/>
        <w:bidi w:val="0"/>
        <w:adjustRightInd/>
        <w:spacing w:after="0" w:afterLines="0"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（三）招标文件的澄清与修改 </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bookmarkStart w:id="20" w:name="_Toc485712539"/>
      <w:r>
        <w:rPr>
          <w:rFonts w:hint="default" w:ascii="宋体" w:hAnsi="宋体" w:eastAsia="宋体" w:cs="宋体"/>
          <w:color w:val="auto"/>
          <w:kern w:val="2"/>
          <w:sz w:val="21"/>
          <w:szCs w:val="21"/>
          <w:highlight w:val="none"/>
          <w:lang w:val="en-US" w:eastAsia="zh-CN" w:bidi="ar-SA"/>
        </w:rPr>
        <w:t>1</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澄清或者修改的内容可能影响投标文件编制的，采购人或者采购代理机构应当在投标截止时间至少15日前，以书面形式通知所有获取招标文件的潜在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；不足15日的，采购人或者采购代理机构应当顺延提交投标文件的截止时间。</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招标文件澄清、答复、修改、补充的内容为招标文件的组成部分。当招标文件与招标文件的答复、澄清、修改、补充通知就同一内容的表述不一致时，以最后发出的书面文件为准</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4</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澄清或者修改的内容可能影响资格预审申请文件编制的，采购人或者采购代理机构应当在提交资格预审申请文件截止时间至少3日前，以书面形式通知所有获取资格预审文件的潜在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；不足3日的，采购人或者采购代理机构应当顺延提交资格预审申请文件的截止时间。</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（四）对招标文件的异议</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11" w:firstLineChars="19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认为招标过程或中标结果使自己的合法权益受到损害的，应当在知道或者应知其权益受到损害之日起七个工作日内，以书面形式向采购单位、采购代理机构提出质疑。</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三、投标文件的编制</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11" w:firstLineChars="196"/>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重要提示：投标文件的形式和效力</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1</w:t>
      </w:r>
      <w:r>
        <w:rPr>
          <w:rFonts w:hint="eastAsia"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投标文件分为电子投标文件以及备份投标文件，备份文件为以</w:t>
      </w:r>
      <w:r>
        <w:rPr>
          <w:rFonts w:hint="eastAsia" w:ascii="宋体" w:hAnsi="宋体" w:eastAsia="宋体" w:cs="宋体"/>
          <w:bCs/>
          <w:color w:val="auto"/>
          <w:sz w:val="21"/>
          <w:szCs w:val="21"/>
          <w:highlight w:val="none"/>
          <w:lang w:val="en-US"/>
        </w:rPr>
        <w:t>U盘或光盘</w:t>
      </w:r>
      <w:r>
        <w:rPr>
          <w:rFonts w:hint="eastAsia" w:ascii="宋体" w:hAnsi="宋体" w:eastAsia="宋体" w:cs="宋体"/>
          <w:bCs/>
          <w:color w:val="auto"/>
          <w:sz w:val="21"/>
          <w:szCs w:val="21"/>
          <w:highlight w:val="none"/>
        </w:rPr>
        <w:t>存储的数据电文形式的备份投标文件</w:t>
      </w:r>
      <w:r>
        <w:rPr>
          <w:rFonts w:hint="eastAsia" w:ascii="宋体" w:hAnsi="宋体" w:eastAsia="宋体" w:cs="宋体"/>
          <w:bCs/>
          <w:color w:val="auto"/>
          <w:sz w:val="21"/>
          <w:szCs w:val="21"/>
          <w:highlight w:val="none"/>
          <w:lang w:eastAsia="zh-CN"/>
        </w:rPr>
        <w:t>。</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2</w:t>
      </w:r>
      <w:r>
        <w:rPr>
          <w:rFonts w:hint="eastAsia"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电子投标文件，按“政采云供应商项目采购-电子招投标操作指南”及本采购文件要求制作、加密并递交。</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3</w:t>
      </w:r>
      <w:r>
        <w:rPr>
          <w:rFonts w:hint="eastAsia"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以U盘或光盘存储的数据电文形式的备份投标文件，即电子投标文件按“政采云供应商项目采购-电子招投标操作指南”制作的备份文件。</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eastAsia" w:hAnsi="宋体" w:cs="宋体"/>
          <w:bCs/>
          <w:color w:val="auto"/>
          <w:kern w:val="2"/>
          <w:sz w:val="21"/>
          <w:szCs w:val="21"/>
          <w:highlight w:val="none"/>
          <w:lang w:val="en-US" w:eastAsia="zh-CN" w:bidi="ar-SA"/>
        </w:rPr>
        <w:t>4.</w:t>
      </w:r>
      <w:r>
        <w:rPr>
          <w:rFonts w:hint="eastAsia" w:ascii="宋体" w:hAnsi="宋体" w:eastAsia="宋体" w:cs="宋体"/>
          <w:bCs/>
          <w:color w:val="auto"/>
          <w:sz w:val="21"/>
          <w:szCs w:val="21"/>
          <w:highlight w:val="none"/>
        </w:rPr>
        <w:t>投标文件的效力</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11" w:firstLineChars="196"/>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投标文件的启用，按先后顺位分别为电子投标文件、以</w:t>
      </w:r>
      <w:r>
        <w:rPr>
          <w:rFonts w:hint="eastAsia" w:ascii="宋体" w:hAnsi="宋体" w:eastAsia="宋体" w:cs="宋体"/>
          <w:bCs/>
          <w:color w:val="auto"/>
          <w:sz w:val="21"/>
          <w:szCs w:val="21"/>
          <w:highlight w:val="none"/>
          <w:lang w:val="en-US"/>
        </w:rPr>
        <w:t>U盘或光盘</w:t>
      </w:r>
      <w:r>
        <w:rPr>
          <w:rFonts w:hint="eastAsia" w:ascii="宋体" w:hAnsi="宋体" w:eastAsia="宋体" w:cs="宋体"/>
          <w:bCs/>
          <w:color w:val="auto"/>
          <w:sz w:val="21"/>
          <w:szCs w:val="21"/>
          <w:highlight w:val="none"/>
        </w:rPr>
        <w:t>存储的数据电文形式的备份投标文件。在下一顺位的投标文件启用时，前一顺位的投标文件自动失效。</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11"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投标、响应文件未按时解密，供应商提供了备份投标、响应文件的，以备份投标、响应文件作为依据，否则视为投标、响应文件撤回。投标、响应文件已按时解密的，备份投标、响应文件自动失效。</w:t>
      </w:r>
    </w:p>
    <w:p>
      <w:pPr>
        <w:pageBreakBefore w:val="0"/>
        <w:shd w:val="clear" w:color="auto" w:fill="auto"/>
        <w:tabs>
          <w:tab w:val="left" w:pos="440"/>
        </w:tabs>
        <w:kinsoku/>
        <w:wordWrap/>
        <w:overflowPunct/>
        <w:topLinePunct w:val="0"/>
        <w:bidi w:val="0"/>
        <w:adjustRightInd/>
        <w:snapToGrid w:val="0"/>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（一）投标文件的组成</w:t>
      </w:r>
    </w:p>
    <w:p>
      <w:pPr>
        <w:pageBreakBefore w:val="0"/>
        <w:shd w:val="clear" w:color="auto" w:fill="auto"/>
        <w:tabs>
          <w:tab w:val="left" w:pos="440"/>
        </w:tabs>
        <w:kinsoku/>
        <w:wordWrap/>
        <w:overflowPunct/>
        <w:topLinePunct w:val="0"/>
        <w:bidi w:val="0"/>
        <w:adjustRightInd/>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投标文件由资格审查文件、技术商务文件、报价文件组成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w:t>
      </w:r>
      <w:r>
        <w:rPr>
          <w:rFonts w:hint="eastAsia" w:ascii="宋体" w:hAnsi="宋体" w:eastAsia="宋体" w:cs="宋体"/>
          <w:color w:val="auto"/>
          <w:sz w:val="21"/>
          <w:szCs w:val="21"/>
          <w:highlight w:val="none"/>
          <w:u w:val="single"/>
          <w:lang w:val="en-US" w:eastAsia="zh-CN"/>
        </w:rPr>
        <w:t>详见供应商须知前附表</w:t>
      </w:r>
      <w:r>
        <w:rPr>
          <w:rFonts w:hint="eastAsia" w:ascii="宋体" w:hAnsi="宋体" w:eastAsia="宋体" w:cs="宋体"/>
          <w:color w:val="auto"/>
          <w:sz w:val="21"/>
          <w:szCs w:val="21"/>
          <w:highlight w:val="none"/>
        </w:rPr>
        <w:t>。</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（二）投标文件的语言及计量</w:t>
      </w:r>
      <w:bookmarkEnd w:id="20"/>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投标文件以及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与采购人就有关投标事宜的所有来往函电，均应以中文汉语书写。除签名、盖章、专用名称等特殊情形外，以中文汉语以外的文字表述的投标文件视同未提供。</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投标计量单位，招标文件已有明确规定的，使用招标文件规定的计量单位；招标文件没有规定的，应采用中华人民共和国法定计量单位（货币单位：人民币元），否则视同未响应。</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bookmarkStart w:id="21" w:name="_Toc485712540"/>
      <w:r>
        <w:rPr>
          <w:rFonts w:hint="eastAsia" w:ascii="宋体" w:hAnsi="宋体" w:eastAsia="宋体" w:cs="宋体"/>
          <w:b/>
          <w:color w:val="auto"/>
          <w:sz w:val="21"/>
          <w:szCs w:val="21"/>
          <w:highlight w:val="none"/>
        </w:rPr>
        <w:t>（三）投标报价</w:t>
      </w:r>
      <w:bookmarkEnd w:id="21"/>
    </w:p>
    <w:p>
      <w:pPr>
        <w:pStyle w:val="9"/>
        <w:pageBreakBefore w:val="0"/>
        <w:numPr>
          <w:ilvl w:val="0"/>
          <w:numId w:val="0"/>
        </w:numPr>
        <w:shd w:val="clear" w:color="auto" w:fill="auto"/>
        <w:tabs>
          <w:tab w:val="left" w:pos="900"/>
        </w:tabs>
        <w:kinsoku/>
        <w:wordWrap/>
        <w:overflowPunct/>
        <w:topLinePunct w:val="0"/>
        <w:bidi w:val="0"/>
        <w:adjustRightInd/>
        <w:spacing w:after="0" w:afterLines="0" w:line="360" w:lineRule="auto"/>
        <w:ind w:left="0" w:leftChars="0" w:right="0" w:rightChars="0" w:firstLine="621" w:firstLineChars="29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1.投标报价应按招标文件中相关附表格式填写。</w:t>
      </w:r>
    </w:p>
    <w:p>
      <w:pPr>
        <w:pStyle w:val="9"/>
        <w:pageBreakBefore w:val="0"/>
        <w:numPr>
          <w:ilvl w:val="0"/>
          <w:numId w:val="0"/>
        </w:numPr>
        <w:shd w:val="clear" w:color="auto" w:fill="auto"/>
        <w:tabs>
          <w:tab w:val="left" w:pos="900"/>
        </w:tabs>
        <w:kinsoku/>
        <w:wordWrap/>
        <w:overflowPunct/>
        <w:topLinePunct w:val="0"/>
        <w:bidi w:val="0"/>
        <w:adjustRightInd/>
        <w:spacing w:after="0" w:afterLines="0" w:line="360" w:lineRule="auto"/>
        <w:ind w:left="0" w:leftChars="0" w:right="0" w:rightChars="0" w:firstLine="411" w:firstLineChars="19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▲2.报价要求：详见招标文第三章《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▲3.投标文件只允许有一个报价，有选择的或有条件的报价将不予接受。</w:t>
      </w:r>
    </w:p>
    <w:p>
      <w:pPr>
        <w:pStyle w:val="9"/>
        <w:pageBreakBefore w:val="0"/>
        <w:numPr>
          <w:ilvl w:val="0"/>
          <w:numId w:val="0"/>
        </w:numPr>
        <w:shd w:val="clear" w:color="auto" w:fill="auto"/>
        <w:tabs>
          <w:tab w:val="left" w:pos="900"/>
        </w:tabs>
        <w:kinsoku/>
        <w:wordWrap/>
        <w:overflowPunct/>
        <w:topLinePunct w:val="0"/>
        <w:bidi w:val="0"/>
        <w:adjustRightInd/>
        <w:spacing w:after="0" w:afterLines="0"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（四）投标文件的有效期</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自投标截止日起</w:t>
      </w:r>
      <w:r>
        <w:rPr>
          <w:rFonts w:hint="eastAsia" w:ascii="宋体" w:hAnsi="宋体" w:eastAsia="宋体" w:cs="宋体"/>
          <w:color w:val="auto"/>
          <w:sz w:val="21"/>
          <w:szCs w:val="21"/>
          <w:highlight w:val="none"/>
          <w:u w:val="single"/>
        </w:rPr>
        <w:t xml:space="preserve"> 90 </w:t>
      </w:r>
      <w:r>
        <w:rPr>
          <w:rFonts w:hint="eastAsia" w:ascii="宋体" w:hAnsi="宋体" w:eastAsia="宋体" w:cs="宋体"/>
          <w:color w:val="auto"/>
          <w:sz w:val="21"/>
          <w:szCs w:val="21"/>
          <w:highlight w:val="none"/>
        </w:rPr>
        <w:t>天投标文件应保持有效。有效期不足的投标文件将被拒绝。</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630" w:firstLineChars="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在特殊情况下，采购人可与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协商延长投标书的有效期，这种要求和答复均以书面形式进行。</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630" w:firstLineChars="300"/>
        <w:jc w:val="both"/>
        <w:textAlignment w:val="auto"/>
        <w:rPr>
          <w:rFonts w:hint="eastAsia" w:ascii="宋体" w:hAnsi="宋体" w:eastAsia="宋体" w:cs="宋体"/>
          <w:color w:val="auto"/>
          <w:sz w:val="21"/>
          <w:szCs w:val="21"/>
          <w:highlight w:val="none"/>
        </w:rPr>
      </w:pPr>
      <w:bookmarkStart w:id="22" w:name="_Toc485712541"/>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可拒绝接受延期要求而不会导致投标保证金被没收。同意延长有效期的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需要相应延长投标保证金的有效期，但不能修改投标文件。</w:t>
      </w:r>
      <w:bookmarkEnd w:id="22"/>
      <w:r>
        <w:rPr>
          <w:rFonts w:hint="eastAsia" w:ascii="宋体" w:hAnsi="宋体" w:eastAsia="宋体" w:cs="宋体"/>
          <w:color w:val="auto"/>
          <w:sz w:val="21"/>
          <w:szCs w:val="21"/>
          <w:highlight w:val="none"/>
        </w:rPr>
        <w:t xml:space="preserve"> </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lang w:eastAsia="zh-CN"/>
        </w:rPr>
      </w:pPr>
      <w:bookmarkStart w:id="23" w:name="_Toc485712543"/>
      <w:r>
        <w:rPr>
          <w:rFonts w:hint="eastAsia" w:ascii="宋体" w:hAnsi="宋体" w:eastAsia="宋体" w:cs="宋体"/>
          <w:b/>
          <w:color w:val="auto"/>
          <w:sz w:val="21"/>
          <w:szCs w:val="21"/>
          <w:highlight w:val="none"/>
        </w:rPr>
        <w:t>（五）投标保证金</w:t>
      </w:r>
      <w:bookmarkEnd w:id="23"/>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lang w:val="en-US"/>
        </w:rPr>
        <w:t>本项目无投标保证金</w:t>
      </w:r>
      <w:r>
        <w:rPr>
          <w:rFonts w:hint="eastAsia" w:ascii="宋体" w:hAnsi="宋体" w:eastAsia="宋体" w:cs="宋体"/>
          <w:b/>
          <w:color w:val="auto"/>
          <w:sz w:val="21"/>
          <w:szCs w:val="21"/>
          <w:highlight w:val="none"/>
          <w:u w:val="none"/>
          <w:lang w:val="en-US" w:eastAsia="zh-CN"/>
        </w:rPr>
        <w:t>。</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bookmarkStart w:id="24" w:name="_Toc485712544"/>
      <w:r>
        <w:rPr>
          <w:rFonts w:hint="eastAsia" w:ascii="宋体" w:hAnsi="宋体" w:eastAsia="宋体" w:cs="宋体"/>
          <w:b/>
          <w:color w:val="auto"/>
          <w:sz w:val="21"/>
          <w:szCs w:val="21"/>
          <w:highlight w:val="none"/>
        </w:rPr>
        <w:t>（六）投标文件的签署和份数</w:t>
      </w:r>
      <w:bookmarkEnd w:id="24"/>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本项目实行网上投标，供应商应准备以下投标文件：</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A、电子投标文件</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电子投标文件按政采云平台供应商电子招投标操作指南及本招标文件规定的格式和顺序编制电子投标文件并进行关联定位，并在投标截止时间前将电子投标文件上传“政采云”平台。以U盘</w:t>
      </w:r>
      <w:r>
        <w:rPr>
          <w:rFonts w:hint="eastAsia" w:ascii="宋体" w:hAnsi="宋体" w:eastAsia="宋体" w:cs="宋体"/>
          <w:color w:val="auto"/>
          <w:sz w:val="21"/>
          <w:szCs w:val="21"/>
          <w:highlight w:val="none"/>
          <w:lang w:val="en-US"/>
        </w:rPr>
        <w:t>或光盘</w:t>
      </w:r>
      <w:r>
        <w:rPr>
          <w:rFonts w:hint="eastAsia" w:ascii="宋体" w:hAnsi="宋体" w:eastAsia="宋体" w:cs="宋体"/>
          <w:color w:val="auto"/>
          <w:sz w:val="21"/>
          <w:szCs w:val="21"/>
          <w:highlight w:val="none"/>
        </w:rPr>
        <w:t>等U盘或光盘存储的数据电文形式提供的备份电子投标文件数量1份。</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（七）投标文件的包装、递交、修改和撤回</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以U盘</w:t>
      </w:r>
      <w:r>
        <w:rPr>
          <w:rFonts w:hint="eastAsia" w:ascii="宋体" w:hAnsi="宋体" w:eastAsia="宋体" w:cs="宋体"/>
          <w:color w:val="auto"/>
          <w:sz w:val="21"/>
          <w:szCs w:val="21"/>
          <w:highlight w:val="none"/>
          <w:lang w:val="en-US"/>
        </w:rPr>
        <w:t>或光盘</w:t>
      </w:r>
      <w:r>
        <w:rPr>
          <w:rFonts w:hint="eastAsia" w:ascii="宋体" w:hAnsi="宋体" w:eastAsia="宋体" w:cs="宋体"/>
          <w:color w:val="auto"/>
          <w:sz w:val="21"/>
          <w:szCs w:val="21"/>
          <w:highlight w:val="none"/>
        </w:rPr>
        <w:t>存储的电子备份投标文件用封袋密封后递交。</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投标文件的包装封面上应注明供应商名称、供应商地址、电子备份投标文件投标文件名称(</w:t>
      </w:r>
      <w:r>
        <w:rPr>
          <w:rFonts w:hint="eastAsia" w:ascii="宋体" w:hAnsi="宋体" w:eastAsia="宋体" w:cs="宋体"/>
          <w:color w:val="auto"/>
          <w:sz w:val="21"/>
          <w:szCs w:val="21"/>
          <w:highlight w:val="none"/>
          <w:lang w:val="en-US" w:bidi="ar-SA"/>
        </w:rPr>
        <w:t>资格文件审查/报价文件/技术商务文件</w:t>
      </w:r>
      <w:r>
        <w:rPr>
          <w:rFonts w:hint="eastAsia" w:ascii="宋体" w:hAnsi="宋体" w:eastAsia="宋体" w:cs="宋体"/>
          <w:color w:val="auto"/>
          <w:sz w:val="21"/>
          <w:szCs w:val="21"/>
          <w:highlight w:val="none"/>
        </w:rPr>
        <w:t>)、投标项目名称、项目编号、子包号，并加盖供应商公章。</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未按规定密封或标记的投标文件将被拒绝，由此造成投标文件被误投或提前拆封的风险由供应商承担。</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在投标截止时间之前，可以对已提交的电子备份投标文件进行修改或撤回，并书面通知招标采购单位；投标截止时间后，供应商不得撤回、修改投标文件。修改后重新递交的电子备份投标文件应当按本采购文件的要求签署、盖章和密封。</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5</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四、开标</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（一）开标准备</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采购代理机构将在规定的时间和地点进行开标，</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的法定代表人或其授权代表应参加开标会并接受核验、签到，无关人员不得进入开标现场。</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的法定代表人或其授权代表未按时核验、签到的，视同放弃开标监督权利、认可开标结果。</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（二）开标程序</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1</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电子招投标开标程序：</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第一阶段：</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（1）投标截止时间后，供应商登录政府采购云平台，用“项目采购-开标评标”功能对电子投标文件进行在线解密，在线解密电子投标文件时间为开标时间后30分钟内。</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（2）在政府采购云平台开启已解密供应商的“技术商务文件”，并做开标记录；</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第二阶段：</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（1）在政府采购云平台宣告第一阶段评审无效供应商名单及理由；</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（2）公布经第一阶段评审符合采购文件要求的供应商的技术商务得分情况；</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（3）在政府采购云平台开启除第一阶段无效标外的供应商的“报价文件”，并做开标记录；</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（4）在政府采购云平台公布评审结果。</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（5）开标会议结束。</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2</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线下开标程序：</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第一阶段：</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（1）开标会由采购代理机构主持，主持人宣布开标会议开始；</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（2）主持人介绍参加开标会的人员名单； </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（3）主持人宣布评标期间的有关事项，告知应当回避的情形,提请有关人员回避；</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（4）由供应商或其当场推荐的代表检查</w:t>
      </w:r>
      <w:r>
        <w:rPr>
          <w:rFonts w:hint="eastAsia" w:ascii="宋体" w:hAnsi="宋体" w:eastAsia="宋体" w:cs="宋体"/>
          <w:color w:val="auto"/>
          <w:sz w:val="21"/>
          <w:szCs w:val="21"/>
          <w:highlight w:val="none"/>
          <w:lang w:val="en-US" w:bidi="ar-SA"/>
        </w:rPr>
        <w:t>资格审查文件、报价文件、技术商务文件</w:t>
      </w:r>
      <w:r>
        <w:rPr>
          <w:rFonts w:hint="eastAsia" w:ascii="宋体" w:hAnsi="宋体" w:eastAsia="宋体" w:cs="宋体"/>
          <w:bCs/>
          <w:color w:val="auto"/>
          <w:sz w:val="21"/>
          <w:szCs w:val="21"/>
          <w:highlight w:val="none"/>
        </w:rPr>
        <w:t>密封的完整性；</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（5）开启供应商的</w:t>
      </w:r>
      <w:r>
        <w:rPr>
          <w:rFonts w:hint="eastAsia" w:ascii="宋体" w:hAnsi="宋体" w:eastAsia="宋体" w:cs="宋体"/>
          <w:color w:val="auto"/>
          <w:sz w:val="21"/>
          <w:szCs w:val="21"/>
          <w:highlight w:val="none"/>
          <w:lang w:val="en-US" w:bidi="ar-SA"/>
        </w:rPr>
        <w:t>资格审查文件、技术商务文件</w:t>
      </w:r>
      <w:r>
        <w:rPr>
          <w:rFonts w:hint="eastAsia" w:ascii="宋体" w:hAnsi="宋体" w:eastAsia="宋体" w:cs="宋体"/>
          <w:bCs/>
          <w:color w:val="auto"/>
          <w:sz w:val="21"/>
          <w:szCs w:val="21"/>
          <w:highlight w:val="none"/>
        </w:rPr>
        <w:t>外包装，清点投标文件正本、副本数量，并做开标记录；</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第二阶段：</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（1）由主持人公布第一阶段评审无效供应商名单及理由；</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（2）公布经第一阶段评审符合采购文件要求的供应商的技术商务得分情况；</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（3）再开启报价文件，由主持人宣读《开标一览表》中的供应商名称及在其投标文件中承诺的投标报价、交货期（服务期限）等投标内容，以及采购代理机构认为有必要宣读的其他内容；</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（4）采购代理机构做开标记录, 同时由记录人、监督人当场签字确认；</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（5）主持人公布评审结果。</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（6）开标会议结束。</w:t>
      </w:r>
    </w:p>
    <w:p>
      <w:pPr>
        <w:pageBreakBefore w:val="0"/>
        <w:shd w:val="clear" w:color="auto" w:fill="auto"/>
        <w:kinsoku/>
        <w:wordWrap/>
        <w:overflowPunct/>
        <w:topLinePunct w:val="0"/>
        <w:bidi w:val="0"/>
        <w:adjustRightInd/>
        <w:snapToGrid w:val="0"/>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（三）特别说明</w:t>
      </w:r>
    </w:p>
    <w:p>
      <w:pPr>
        <w:pStyle w:val="19"/>
        <w:pageBreakBefore w:val="0"/>
        <w:numPr>
          <w:ilvl w:val="0"/>
          <w:numId w:val="0"/>
        </w:numPr>
        <w:shd w:val="clear" w:color="auto" w:fill="auto"/>
        <w:kinsoku/>
        <w:wordWrap/>
        <w:overflowPunct/>
        <w:topLinePunct w:val="0"/>
        <w:bidi w:val="0"/>
        <w:adjustRightInd/>
        <w:snapToGrid w:val="0"/>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1</w:t>
      </w:r>
      <w:r>
        <w:rPr>
          <w:rFonts w:hint="eastAsia"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本项目原则上采用政采云电子招投标开标及评审程序，但有下情形之一的，按以下情况处理：</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（1）若</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在规定时间内无法解密或解密失败，采购组织机构开启所有</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递交的以U盘或光盘存储的数据电文形式的备份投标文件，上传至政采云平台项目采购模块，以完成开标，电子投标文件自动失效。</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rPr>
        <w:t>2</w:t>
      </w:r>
      <w:r>
        <w:rPr>
          <w:rFonts w:hint="eastAsia" w:ascii="宋体" w:hAnsi="宋体" w:eastAsia="宋体" w:cs="宋体"/>
          <w:bCs/>
          <w:color w:val="auto"/>
          <w:sz w:val="21"/>
          <w:szCs w:val="21"/>
          <w:highlight w:val="none"/>
        </w:rPr>
        <w:t>）采购过程中出现以下情形，导致电子交易平台无法正常运行，或者无法保证电子交易的公平、公正和安全时，采购组织机构可中止电子交易活动：</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a.电子交易平台发生故障而无法登录访问的； </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b.电子交易平台应用或数据库出现错误，不能进行正常操作的；</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c.电子交易平台发现严重安全漏洞，有潜在泄密危险的；</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d.病毒发作导致不能进行正常操作的； </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e.其他无法保证电子交易的公平、公正和安全的情况。</w:t>
      </w:r>
    </w:p>
    <w:p>
      <w:pPr>
        <w:pStyle w:val="19"/>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出现前款规定情形，不影响采购公平、公正性的，采购组织机构可以待上述情形消除后继续组织电子交易活动。</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五、评标</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（一）组建评标委员会</w:t>
      </w:r>
    </w:p>
    <w:p>
      <w:pPr>
        <w:pStyle w:val="19"/>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采购人依据《中华人民共和国政府采购法》、《政府采购货物和服务招标投标管理办法》等有关规定组建评标委员会。评标委员会由采购人代表和评审专家组成</w:t>
      </w:r>
      <w:r>
        <w:rPr>
          <w:rFonts w:hint="eastAsia" w:ascii="宋体" w:hAnsi="宋体" w:eastAsia="宋体" w:cs="宋体"/>
          <w:color w:val="auto"/>
          <w:sz w:val="21"/>
          <w:szCs w:val="21"/>
          <w:highlight w:val="none"/>
        </w:rPr>
        <w:t>或全部由评审专家组成</w:t>
      </w:r>
      <w:r>
        <w:rPr>
          <w:rFonts w:hint="eastAsia" w:ascii="宋体" w:hAnsi="宋体" w:eastAsia="宋体" w:cs="宋体"/>
          <w:bCs/>
          <w:color w:val="auto"/>
          <w:sz w:val="21"/>
          <w:szCs w:val="21"/>
          <w:highlight w:val="none"/>
        </w:rPr>
        <w:t>，负责本项目的评标工作。</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（二）评标的方式</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本项目采用不公开方式评标，评标的依据为招标文件和投标文件。</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（三）组织评标程序</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采购代理机构将按照招标文件规定的时间、地点和程序组织评标，各评审专家及相关人员应参加评审活动并接受核验、签到，无关人员不得进入评审现场。</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1</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核验出席评审活动现场的评审小组各成员和相关监督人员身份，并要求其分别登记、签到，按规定统一收缴、保存其通讯工具，无关人员一律拒绝其进入评审现场。</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2</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介绍评审现场的人员情况，宣布评审工作纪律，告知评审人员应当回避情形；组织推选评审小组组长。</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3</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宣读提交投标文件的供应商名单，组织评审小组各位成员签订《政府采购评审人员廉洁自律承诺书》。</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4</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5</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评审小组组长组织评审人员独立评审。评审小组对拟认定为投标文件无效、供应商资格不符合的，应组织相关供应商代表进行陈述、澄清或申辩；采购代理机构可协助评审小组组长对打分结果进行校对、核对并汇总统计；对明显畸高、畸低的评分，评审小组组长应提醒相关评审人员进行复核或书面说明理由，评审人员拒绝说明的，由现场监督员据实记录；评审人员的评审、修改记录应保留原件，随项目其他资料一并存档。</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6</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做好评审现场相关记录，协助评审小组组长做好评审报告起草、有关内容电脑文字录入等工作，并要求评审小组各成员签字确认。</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7</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评审结束后，采购代理机构应对评审小组各成员的专业水平、职业道德、遵纪守法等情况进行评价；同时按规定向评审专家发放评审费，并交还评审人员及其他现场相关人员的通讯工具。</w:t>
      </w:r>
    </w:p>
    <w:p>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（四）评标委员评审程序</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1</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在评审专家中推选评审小组组长。</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2</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3</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评审人员对各供应商投标文件的有效性、完整性和响应程度进行审查，确定是否对招标文件作出实质性响应。</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4</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评审人员按招标文件规定的评审方法和评审标准，依法独立对供应商投标文件进行评估、比较，并给予评价或打分，不受任何单位和个人的干预。</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5</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评审人员对各供应商投标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6</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评审人员需对采购代理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7．</w:t>
      </w:r>
      <w:r>
        <w:rPr>
          <w:rFonts w:hint="eastAsia" w:ascii="宋体" w:hAnsi="宋体" w:eastAsia="宋体" w:cs="宋体"/>
          <w:bCs/>
          <w:color w:val="auto"/>
          <w:sz w:val="21"/>
          <w:szCs w:val="21"/>
          <w:highlight w:val="none"/>
        </w:rPr>
        <w:t>评审小组根据评审汇总情况和招标文件规定确定中标候选供应商排序名单。 采购单位、经其书面授权的采购单位代表或经其书面授权的评审小组按中标候选供应商排名顺序对供应商逐一进行资格审查，直至依法产生合格的</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8</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起草评审报告，所有评审人员须在评审报告上签字确认。</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（五）错误修正</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投标文件如果出现计算或表达上的错误，修正错误的原则如下：</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1</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投标文件中开标一览表（报价表）内容与投标文件中相应内容不一致的，以开标一览表（报价表）为准；</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2</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投标文件的大写金额和小写金额不一致的，以大写金额为准；</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3</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总价金额与按单价汇总金额不一致的，以单价金额计算结果为准；</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4</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对不同文字文本投标文件的解释发生异议的，以中文文本为准。</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按上述修正错误的原则及方法调整或修正投标文件的投标报价，</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同意并签字确认后，调整后的投标报价对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具有约束作用。如果</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不接受修正后的报价，则其投标将作为无效投标处理。</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（六）评标原则和评标办法</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1</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评标委员会必须公平、公正、客观，不带任何倾向性和启发性；不得向外界透露任何与评标有关的内容；任何单位和个人不得干扰、影响评标的正常进行；评标委员会及有关工作人员不得私下与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接触。</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2</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3</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单位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4</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评标办法。本项目评标办法是</w:t>
      </w:r>
      <w:r>
        <w:rPr>
          <w:rFonts w:hint="eastAsia" w:ascii="宋体" w:hAnsi="宋体" w:eastAsia="宋体" w:cs="宋体"/>
          <w:b/>
          <w:bCs w:val="0"/>
          <w:color w:val="auto"/>
          <w:sz w:val="21"/>
          <w:szCs w:val="21"/>
          <w:highlight w:val="none"/>
          <w:u w:val="single"/>
        </w:rPr>
        <w:t xml:space="preserve"> 综合评分法 </w:t>
      </w:r>
      <w:r>
        <w:rPr>
          <w:rFonts w:hint="eastAsia" w:ascii="宋体" w:hAnsi="宋体" w:eastAsia="宋体" w:cs="宋体"/>
          <w:bCs/>
          <w:color w:val="auto"/>
          <w:sz w:val="21"/>
          <w:szCs w:val="21"/>
          <w:highlight w:val="none"/>
        </w:rPr>
        <w:t>，具体评标内容及评分标准等详见《第四章：评标办法及评分标准》。</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（七）评标过程的监控</w:t>
      </w:r>
    </w:p>
    <w:p>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本项目评标过程实行全程录音、录像监控，</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在评标过程中所进行的试图影响评标结果的不公正活动，可能导致其投标被拒绝。</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六、定标</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1</w:t>
      </w:r>
      <w:r>
        <w:rPr>
          <w:rFonts w:hint="eastAsia"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采购代理机构应当在评标结束后2个工作日内将评标报告送采购人。</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2</w:t>
      </w:r>
      <w:r>
        <w:rPr>
          <w:rFonts w:hint="eastAsia"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采购人应当自收到评标报告之日起</w:t>
      </w:r>
      <w:r>
        <w:rPr>
          <w:rFonts w:hint="eastAsia" w:ascii="宋体" w:hAnsi="宋体" w:eastAsia="宋体" w:cs="宋体"/>
          <w:bCs/>
          <w:color w:val="auto"/>
          <w:sz w:val="21"/>
          <w:szCs w:val="21"/>
          <w:highlight w:val="none"/>
          <w:lang w:val="en-US"/>
        </w:rPr>
        <w:t>5</w:t>
      </w:r>
      <w:r>
        <w:rPr>
          <w:rFonts w:hint="eastAsia" w:ascii="宋体" w:hAnsi="宋体" w:eastAsia="宋体" w:cs="宋体"/>
          <w:bCs/>
          <w:color w:val="auto"/>
          <w:sz w:val="21"/>
          <w:szCs w:val="21"/>
          <w:highlight w:val="none"/>
        </w:rPr>
        <w:t>个工作日内，在评标报告确定的中标候选人名单中按顺序确定</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。中标候选人并列的，由采购人或者采购人委托评标委员会按照招标文件规定的方式确定</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；招标文件未规定的，采取随机抽取的方式确定。</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3</w:t>
      </w:r>
      <w:r>
        <w:rPr>
          <w:rFonts w:hint="eastAsia"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采购人自行组织招标的，应当在评标结束后5个工作日内确定</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4</w:t>
      </w:r>
      <w:r>
        <w:rPr>
          <w:rFonts w:hint="eastAsia"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采购人在收到评标报告5个工作日内未按评标报告推荐的中标候选人顺序确定</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，又不能说明合法理由的，视同按评标报告推荐的顺序确定排名第一的中标候选人为</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5</w:t>
      </w:r>
      <w:r>
        <w:rPr>
          <w:rFonts w:hint="eastAsia"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采购人或者采购代理机构应当自</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确定之日起2个工作日内，在省级以上财政部门指定的媒体上公告中标结果，招标文件应当随中标结果同时公告。</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6</w:t>
      </w:r>
      <w:r>
        <w:rPr>
          <w:rFonts w:hint="eastAsia"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中标结果公告内容应当包括采购人及其委托的采购代理机构的名称、地址、联系方式，项目名称和项目编号，</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名称、地址和中标金额，主要中标标的的名称、规格型号、数量、单价、服务要求，中标公告期限以及评审专家名单。</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7</w:t>
      </w:r>
      <w:r>
        <w:rPr>
          <w:rFonts w:hint="eastAsia"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中标公告期限为1个工作日。</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8</w:t>
      </w:r>
      <w:r>
        <w:rPr>
          <w:rFonts w:hint="eastAsia"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在公告中标结果的同时，采购人或者采购代理机构应当向</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发出中标通知书；对未通过资格审查的</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，应当告知其未通过的原因；采用综合评分法评审的，还应当告知未</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本人的评审得分与排序。</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9</w:t>
      </w:r>
      <w:r>
        <w:rPr>
          <w:rFonts w:hint="eastAsia"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中标通知书发出后，采购人不得违法改变中标结果，</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无正当理由不得放弃中标。</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10</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中标单位</w:t>
      </w:r>
      <w:r>
        <w:rPr>
          <w:rFonts w:hint="eastAsia" w:ascii="宋体" w:hAnsi="宋体" w:eastAsia="宋体" w:cs="宋体"/>
          <w:color w:val="auto"/>
          <w:sz w:val="21"/>
          <w:szCs w:val="21"/>
          <w:highlight w:val="none"/>
        </w:rPr>
        <w:t>被投诉有效以及其他原因导致中标无效，或者拒不签订合同的，采购人将在评标委员会推荐的中标候选人中确定排名其次的中标候选人为本项目的</w:t>
      </w:r>
      <w:r>
        <w:rPr>
          <w:rFonts w:hint="eastAsia" w:ascii="宋体" w:hAnsi="宋体" w:eastAsia="宋体" w:cs="宋体"/>
          <w:color w:val="auto"/>
          <w:sz w:val="21"/>
          <w:szCs w:val="21"/>
          <w:highlight w:val="none"/>
          <w:lang w:eastAsia="zh-CN"/>
        </w:rPr>
        <w:t>中标单位</w:t>
      </w:r>
      <w:r>
        <w:rPr>
          <w:rFonts w:hint="eastAsia" w:ascii="宋体" w:hAnsi="宋体" w:eastAsia="宋体" w:cs="宋体"/>
          <w:color w:val="auto"/>
          <w:sz w:val="21"/>
          <w:szCs w:val="21"/>
          <w:highlight w:val="none"/>
        </w:rPr>
        <w:t>或重新招标。</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七、合同授予</w:t>
      </w:r>
    </w:p>
    <w:p>
      <w:pPr>
        <w:pageBreakBefore w:val="0"/>
        <w:shd w:val="clear" w:color="auto" w:fill="auto"/>
        <w:kinsoku/>
        <w:wordWrap/>
        <w:overflowPunct/>
        <w:topLinePunct w:val="0"/>
        <w:bidi w:val="0"/>
        <w:adjustRightInd/>
        <w:spacing w:line="360" w:lineRule="auto"/>
        <w:ind w:left="0" w:leftChars="0" w:right="0" w:rightChars="0" w:firstLine="413" w:firstLineChars="196"/>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1</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采购人应当自中标通知书发出之日起30日内，按照招标文件和</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投标文件的规定，与</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签订书面合同。所签订的合同不得对招标文件确定的事项和</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投标文件作实质性修改。</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2</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采购人不得向</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提出任何不合理的要求作为签订合同的条件。</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3</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采购人与</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应当根据合同的约定依法履行合同义务。</w:t>
      </w:r>
    </w:p>
    <w:p>
      <w:pPr>
        <w:pStyle w:val="19"/>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4</w:t>
      </w:r>
      <w:r>
        <w:rPr>
          <w:rFonts w:hint="eastAsia"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政府采购合同的履行、违约责任和解决争议的方法等适用《中华人民共和国</w:t>
      </w:r>
      <w:r>
        <w:rPr>
          <w:rFonts w:hint="eastAsia" w:ascii="宋体" w:hAnsi="宋体" w:eastAsia="宋体" w:cs="宋体"/>
          <w:bCs/>
          <w:color w:val="auto"/>
          <w:sz w:val="21"/>
          <w:szCs w:val="21"/>
          <w:highlight w:val="none"/>
          <w:lang w:val="en-US"/>
        </w:rPr>
        <w:t>民法典</w:t>
      </w:r>
      <w:r>
        <w:rPr>
          <w:rFonts w:hint="eastAsia" w:ascii="宋体" w:hAnsi="宋体" w:eastAsia="宋体" w:cs="宋体"/>
          <w:bCs/>
          <w:color w:val="auto"/>
          <w:sz w:val="21"/>
          <w:szCs w:val="21"/>
          <w:highlight w:val="none"/>
        </w:rPr>
        <w:t>》。</w:t>
      </w:r>
    </w:p>
    <w:p>
      <w:pPr>
        <w:pStyle w:val="19"/>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beforeLines="0" w:after="0" w:afterLines="0"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履约保证金</w:t>
      </w:r>
    </w:p>
    <w:p>
      <w:pPr>
        <w:pStyle w:val="19"/>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beforeLines="0" w:after="0" w:afterLines="0" w:line="360" w:lineRule="auto"/>
        <w:ind w:left="0" w:leftChars="0" w:right="0" w:rightChars="0" w:firstLine="630" w:firstLineChars="300"/>
        <w:jc w:val="both"/>
        <w:textAlignment w:val="auto"/>
        <w:rPr>
          <w:rFonts w:hint="eastAsia" w:ascii="宋体" w:hAnsi="宋体" w:eastAsia="宋体" w:cs="宋体"/>
          <w:bCs/>
          <w:color w:val="auto"/>
          <w:sz w:val="21"/>
          <w:szCs w:val="21"/>
          <w:highlight w:val="none"/>
          <w:lang w:val="en-US" w:eastAsia="zh-CN" w:bidi="zh-CN"/>
        </w:rPr>
      </w:pPr>
      <w:r>
        <w:rPr>
          <w:rFonts w:hint="eastAsia" w:ascii="宋体" w:hAnsi="宋体" w:eastAsia="宋体" w:cs="宋体"/>
          <w:bCs/>
          <w:color w:val="auto"/>
          <w:sz w:val="21"/>
          <w:szCs w:val="21"/>
          <w:highlight w:val="none"/>
          <w:lang w:val="en-US" w:eastAsia="zh-CN" w:bidi="zh-CN"/>
        </w:rPr>
        <w:t>详见第三章《供应商须知》前附表。</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八、特别说明</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1</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采购单位与</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应当在《中标通知书》发出之日起30日内签订政府采购合同。</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2</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本文件未及事项，在签订合同时供需及使用方友好商定。</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3</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本采购文件解释权归采购单位。</w:t>
      </w:r>
    </w:p>
    <w:p>
      <w:pPr>
        <w:pageBreakBefore w:val="0"/>
        <w:numPr>
          <w:ilvl w:val="0"/>
          <w:numId w:val="0"/>
        </w:numPr>
        <w:shd w:val="clear" w:color="auto" w:fill="auto"/>
        <w:kinsoku/>
        <w:wordWrap/>
        <w:overflowPunct/>
        <w:topLinePunct w:val="0"/>
        <w:bidi w:val="0"/>
        <w:adjustRightInd/>
        <w:spacing w:line="360" w:lineRule="auto"/>
        <w:ind w:left="0" w:leftChars="0" w:right="0" w:rightChars="0" w:firstLine="400" w:firstLineChars="0"/>
        <w:jc w:val="both"/>
        <w:textAlignment w:val="auto"/>
        <w:rPr>
          <w:rFonts w:hint="eastAsia" w:ascii="宋体" w:hAnsi="宋体" w:eastAsia="宋体" w:cs="宋体"/>
          <w:bCs/>
          <w:color w:val="auto"/>
          <w:sz w:val="21"/>
          <w:szCs w:val="21"/>
          <w:highlight w:val="none"/>
        </w:rPr>
      </w:pPr>
      <w:r>
        <w:rPr>
          <w:rFonts w:hint="default" w:ascii="宋体" w:hAnsi="宋体" w:eastAsia="宋体" w:cs="宋体"/>
          <w:bCs/>
          <w:color w:val="auto"/>
          <w:kern w:val="2"/>
          <w:sz w:val="21"/>
          <w:szCs w:val="21"/>
          <w:highlight w:val="none"/>
          <w:lang w:val="en-US" w:eastAsia="zh-CN" w:bidi="ar-SA"/>
        </w:rPr>
        <w:t>4</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sz w:val="21"/>
          <w:szCs w:val="21"/>
          <w:highlight w:val="none"/>
        </w:rPr>
        <w:t>本次招标的招标代理服务费由</w:t>
      </w:r>
      <w:r>
        <w:rPr>
          <w:rFonts w:hint="eastAsia" w:ascii="宋体" w:hAnsi="宋体" w:eastAsia="宋体" w:cs="宋体"/>
          <w:bCs/>
          <w:color w:val="auto"/>
          <w:sz w:val="21"/>
          <w:szCs w:val="21"/>
          <w:highlight w:val="none"/>
          <w:lang w:eastAsia="zh-CN"/>
        </w:rPr>
        <w:t>中标单位</w:t>
      </w:r>
      <w:r>
        <w:rPr>
          <w:rFonts w:hint="eastAsia" w:ascii="宋体" w:hAnsi="宋体" w:eastAsia="宋体" w:cs="宋体"/>
          <w:bCs/>
          <w:color w:val="auto"/>
          <w:sz w:val="21"/>
          <w:szCs w:val="21"/>
          <w:highlight w:val="none"/>
        </w:rPr>
        <w:t>支付。</w:t>
      </w:r>
    </w:p>
    <w:p>
      <w:pPr>
        <w:keepNext/>
        <w:keepLines/>
        <w:pageBreakBefore w:val="0"/>
        <w:widowControl w:val="0"/>
        <w:shd w:val="clear" w:color="auto" w:fill="auto"/>
        <w:kinsoku/>
        <w:wordWrap/>
        <w:overflowPunct/>
        <w:topLinePunct w:val="0"/>
        <w:bidi w:val="0"/>
        <w:adjustRightInd/>
        <w:spacing w:line="360" w:lineRule="auto"/>
        <w:ind w:left="0" w:leftChars="0" w:right="0" w:rightChars="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九、落实政府采购政策的特别说明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1.本项目</w:t>
      </w:r>
      <w:r>
        <w:rPr>
          <w:rFonts w:hint="eastAsia" w:ascii="宋体" w:hAnsi="宋体" w:eastAsia="宋体" w:cs="宋体"/>
          <w:color w:val="auto"/>
          <w:sz w:val="21"/>
          <w:szCs w:val="21"/>
          <w:highlight w:val="none"/>
        </w:rPr>
        <w:t>执行财政部、工业和信息化部《政府采购促进中小企业发展管理办法》（财库〔2020〕46号）</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政府采购活动中有关中小企业的相关规定如下：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中小企业，是指在中华人民共和国境内依法设立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pPr>
        <w:pStyle w:val="55"/>
        <w:pageBreakBefore w:val="0"/>
        <w:kinsoku/>
        <w:wordWrap/>
        <w:overflowPunct/>
        <w:topLinePunct w:val="0"/>
        <w:bidi w:val="0"/>
        <w:adjustRightInd/>
        <w:spacing w:line="360" w:lineRule="auto"/>
        <w:ind w:left="0" w:leftChars="0" w:right="0" w:right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本项目对应的中小企业划分标准所属行业：</w:t>
      </w:r>
      <w:r>
        <w:rPr>
          <w:rFonts w:hint="eastAsia" w:ascii="宋体" w:hAnsi="宋体" w:eastAsia="宋体" w:cs="宋体"/>
          <w:b/>
          <w:bCs/>
          <w:color w:val="auto"/>
          <w:sz w:val="21"/>
          <w:szCs w:val="21"/>
          <w:highlight w:val="none"/>
          <w:u w:val="single"/>
          <w:lang w:val="en-US" w:eastAsia="zh-CN"/>
        </w:rPr>
        <w:t>详见第三章《供应商须知》前附表</w:t>
      </w:r>
      <w:r>
        <w:rPr>
          <w:rFonts w:hint="eastAsia" w:ascii="宋体" w:hAnsi="宋体" w:eastAsia="宋体" w:cs="宋体"/>
          <w:b/>
          <w:bCs/>
          <w:color w:val="auto"/>
          <w:sz w:val="21"/>
          <w:szCs w:val="21"/>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在政府采购活动中，供应商提供的货物、工程或者服务符合下列情形的，享受《政府采购促进中小企业发展管理办法》规定的中小企业扶持政策：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（3）在服务采购项目中，服务由中小企业承接，即提供服务的人员为中小企业依照《中华人民共和国劳动合同法》订立劳动合同的从业人员。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在货物采购项目中，供应商提供的货物既有中小企业制造货物，也有大型企业制造货物的，不享受《政府采购促进中小企业发展管理办法》规定的中小企业扶持政策。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中小企业参加政府采购活动，应当出具《政府采购促进中小企业发展管理办法》规定的《中小企业声明函》（格式见本招标文件</w:t>
      </w:r>
      <w:r>
        <w:rPr>
          <w:rFonts w:hint="eastAsia" w:ascii="宋体" w:hAnsi="宋体" w:cs="宋体"/>
          <w:color w:val="auto"/>
          <w:sz w:val="21"/>
          <w:szCs w:val="21"/>
          <w:highlight w:val="none"/>
          <w:lang w:val="en-US" w:eastAsia="zh-CN"/>
        </w:rPr>
        <w:t>第六章“投标文件格式”</w:t>
      </w:r>
      <w:r>
        <w:rPr>
          <w:rFonts w:hint="eastAsia" w:ascii="宋体" w:hAnsi="宋体" w:eastAsia="宋体" w:cs="宋体"/>
          <w:color w:val="auto"/>
          <w:sz w:val="21"/>
          <w:szCs w:val="21"/>
          <w:highlight w:val="none"/>
        </w:rPr>
        <w:t>），否则不得享受相关中小企业扶持政策。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适用招标投标法的政府采购工程建设项目，供应商提供声明函内容不实的，属于弄虚作假骗取中标，依照《中华人民共和国招标投标法》等国家有关规定追究相应责任。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7.《中小企业声明函》由参加投标的供应商提交，如供应商为代理商，须自行采集制造商的中小企业划分类型信息填入相应栏目并对其真实性负责。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符合《关于政府采购支持监狱企业发展有关问题的通知》（财库[2014]68号）的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符合《关于促进残疾人就业政府采购政策的通知》（财库〔2017〕141号）规定的残疾人福利性单位视同小型、微型企业，享受评审中价格扣除等政府采购促进中小企业发展的政府采购政策，残疾人福利性单位参加政府采购活动时，应当提供《残疾人福利性单位声明函》（格式见本招标文件</w:t>
      </w:r>
      <w:r>
        <w:rPr>
          <w:rFonts w:hint="eastAsia" w:ascii="宋体" w:hAnsi="宋体" w:cs="宋体"/>
          <w:color w:val="auto"/>
          <w:sz w:val="21"/>
          <w:szCs w:val="21"/>
          <w:highlight w:val="none"/>
          <w:lang w:val="en-US" w:eastAsia="zh-CN"/>
        </w:rPr>
        <w:t>第六章“投标文件格式”</w:t>
      </w:r>
      <w:r>
        <w:rPr>
          <w:rFonts w:hint="eastAsia" w:ascii="宋体" w:hAnsi="宋体" w:eastAsia="宋体" w:cs="宋体"/>
          <w:color w:val="auto"/>
          <w:sz w:val="21"/>
          <w:szCs w:val="21"/>
          <w:highlight w:val="none"/>
          <w:lang w:val="en-US" w:eastAsia="zh-CN"/>
        </w:rPr>
        <w:t>），并对声明的真实性负责，未能提供的不予认可。</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10.中小企业享受扶持政策获得政府采购合同的，小微企业不得将合同分包给大中型企业，中型企业不得将合同分包给大型企业。</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ascii="宋体" w:hAnsi="宋体" w:cs="宋体"/>
          <w:color w:val="auto"/>
          <w:sz w:val="28"/>
          <w:szCs w:val="28"/>
          <w:highlight w:val="none"/>
        </w:rPr>
      </w:pPr>
      <w:r>
        <w:rPr>
          <w:color w:val="auto"/>
          <w:sz w:val="30"/>
          <w:szCs w:val="30"/>
          <w:highlight w:val="none"/>
        </w:rPr>
        <w:br w:type="page"/>
      </w:r>
      <w:bookmarkStart w:id="25" w:name="_Toc20759"/>
      <w:r>
        <w:rPr>
          <w:rStyle w:val="54"/>
          <w:rFonts w:hint="eastAsia" w:ascii="Times New Roman" w:hAnsi="Times New Roman" w:cs="Times New Roman"/>
          <w:color w:val="auto"/>
          <w:highlight w:val="none"/>
          <w:lang w:val="en-US" w:eastAsia="zh-CN" w:bidi="ar-SA"/>
        </w:rPr>
        <w:t>第四章  评标办法及评分标准</w:t>
      </w:r>
      <w:bookmarkEnd w:id="25"/>
    </w:p>
    <w:p>
      <w:pPr>
        <w:shd w:val="clear" w:color="auto" w:fill="auto"/>
        <w:adjustRightInd w:val="0"/>
        <w:snapToGrid w:val="0"/>
        <w:spacing w:line="360" w:lineRule="auto"/>
        <w:ind w:firstLine="420" w:firstLineChars="200"/>
        <w:jc w:val="center"/>
        <w:rPr>
          <w:rFonts w:hint="eastAsia"/>
          <w:color w:val="auto"/>
          <w:sz w:val="21"/>
          <w:szCs w:val="21"/>
          <w:highlight w:val="none"/>
        </w:rPr>
      </w:pPr>
      <w:r>
        <w:rPr>
          <w:rFonts w:hint="eastAsia"/>
          <w:color w:val="auto"/>
          <w:sz w:val="21"/>
          <w:szCs w:val="21"/>
          <w:highlight w:val="none"/>
        </w:rPr>
        <w:t>（综合评分法）</w:t>
      </w:r>
    </w:p>
    <w:p>
      <w:pPr>
        <w:keepNext/>
        <w:keepLines/>
        <w:widowControl w:val="0"/>
        <w:shd w:val="clear" w:color="auto" w:fill="auto"/>
        <w:bidi w:val="0"/>
        <w:spacing w:line="360" w:lineRule="auto"/>
        <w:jc w:val="left"/>
        <w:outlineLvl w:val="2"/>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一、总则</w:t>
      </w:r>
    </w:p>
    <w:p>
      <w:pPr>
        <w:keepNext w:val="0"/>
        <w:keepLines w:val="0"/>
        <w:pageBreakBefore w:val="0"/>
        <w:widowControl/>
        <w:shd w:val="clear" w:color="auto" w:fill="auto"/>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招标活动遵循公平、公正、科学、择优的原则依法进行，招标活动及当事人接受依法实施的监督。</w:t>
      </w:r>
    </w:p>
    <w:p>
      <w:pPr>
        <w:keepNext w:val="0"/>
        <w:keepLines w:val="0"/>
        <w:pageBreakBefore w:val="0"/>
        <w:widowControl/>
        <w:shd w:val="clear" w:color="auto" w:fill="auto"/>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综合评分法，采用百分制，总分100分。供应商的综合得分为技术商务得分与报价得分之和。按综合得分由高到低的排序，推荐</w:t>
      </w:r>
      <w:r>
        <w:rPr>
          <w:rFonts w:hint="eastAsia" w:ascii="宋体" w:hAnsi="宋体" w:cs="宋体"/>
          <w:color w:val="auto"/>
          <w:sz w:val="21"/>
          <w:szCs w:val="21"/>
          <w:highlight w:val="none"/>
          <w:lang w:val="en-US" w:eastAsia="zh-CN"/>
        </w:rPr>
        <w:t>排序第一的为</w:t>
      </w:r>
      <w:r>
        <w:rPr>
          <w:rFonts w:hint="eastAsia" w:ascii="宋体" w:hAnsi="宋体" w:eastAsia="宋体" w:cs="宋体"/>
          <w:color w:val="auto"/>
          <w:sz w:val="21"/>
          <w:szCs w:val="21"/>
          <w:highlight w:val="none"/>
        </w:rPr>
        <w:t>中标候选人。若供应商的综合得分相等，则投标报价低者列前；若投标报价也相同时，采取随机抽签的方式确定排序。</w:t>
      </w:r>
    </w:p>
    <w:p>
      <w:pPr>
        <w:keepNext/>
        <w:keepLines/>
        <w:widowControl w:val="0"/>
        <w:shd w:val="clear" w:color="auto" w:fill="auto"/>
        <w:bidi w:val="0"/>
        <w:spacing w:line="360" w:lineRule="auto"/>
        <w:jc w:val="left"/>
        <w:outlineLvl w:val="2"/>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二、评标过程</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spacing w:line="360" w:lineRule="auto"/>
        <w:ind w:leftChars="0"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资格条件审查</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由采购人或采购代理机构对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的资格进行审查。对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单位负责人是否为同一人或者存在直接控股、管理</w:t>
      </w:r>
      <w:r>
        <w:rPr>
          <w:rFonts w:hint="eastAsia" w:ascii="宋体" w:hAnsi="宋体" w:cs="宋体"/>
          <w:color w:val="auto"/>
          <w:sz w:val="21"/>
          <w:szCs w:val="21"/>
          <w:highlight w:val="none"/>
          <w:lang w:val="en-US" w:eastAsia="zh-CN"/>
        </w:rPr>
        <w:t>等其他关联</w:t>
      </w:r>
      <w:r>
        <w:rPr>
          <w:rFonts w:hint="eastAsia" w:ascii="宋体" w:hAnsi="宋体" w:eastAsia="宋体" w:cs="宋体"/>
          <w:color w:val="auto"/>
          <w:sz w:val="21"/>
          <w:szCs w:val="21"/>
          <w:highlight w:val="none"/>
        </w:rPr>
        <w:t>关系的，采购代理机构将使用天眼查、企查查等相关工具进行查询核实，如存在不符合采购文件要求的情形的，将否决其投标。</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评标委员会负责对采购代理机构提交的关联性审查复核。</w:t>
      </w:r>
    </w:p>
    <w:tbl>
      <w:tblPr>
        <w:tblStyle w:val="38"/>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8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2" w:type="dxa"/>
            <w:noWrap w:val="0"/>
            <w:vAlign w:val="center"/>
          </w:tcPr>
          <w:p>
            <w:pPr>
              <w:shd w:val="clear" w:color="auto" w:fill="auto"/>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审查类别</w:t>
            </w:r>
          </w:p>
        </w:tc>
        <w:tc>
          <w:tcPr>
            <w:tcW w:w="8057" w:type="dxa"/>
            <w:noWrap w:val="0"/>
            <w:vAlign w:val="center"/>
          </w:tcPr>
          <w:p>
            <w:pPr>
              <w:shd w:val="clear" w:color="auto" w:fill="auto"/>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2" w:type="dxa"/>
            <w:vMerge w:val="restart"/>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资格条件审查</w:t>
            </w:r>
          </w:p>
        </w:tc>
        <w:tc>
          <w:tcPr>
            <w:tcW w:w="8057"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2"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805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u w:val="single"/>
              </w:rPr>
              <w:t>本项目属于专门面向中小企业采购的项目，供应商应为符合《政府采购促进中小企业发展管理办法》（财库﹝2020﹞46 号）规定的中小企业（其中，小微企业包括视同为小型、微型企业的监狱企业、残疾人福利性单位）</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2" w:type="dxa"/>
            <w:vMerge w:val="continue"/>
            <w:noWrap w:val="0"/>
            <w:vAlign w:val="center"/>
          </w:tcPr>
          <w:p>
            <w:pPr>
              <w:shd w:val="clear" w:color="auto" w:fill="auto"/>
              <w:spacing w:line="360" w:lineRule="auto"/>
              <w:rPr>
                <w:rFonts w:hint="eastAsia" w:ascii="宋体" w:hAnsi="宋体" w:eastAsia="宋体" w:cs="宋体"/>
                <w:color w:val="auto"/>
                <w:sz w:val="21"/>
                <w:szCs w:val="21"/>
                <w:highlight w:val="none"/>
              </w:rPr>
            </w:pPr>
          </w:p>
        </w:tc>
        <w:tc>
          <w:tcPr>
            <w:tcW w:w="8057"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 xml:space="preserve"> 无 </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2" w:type="dxa"/>
            <w:vMerge w:val="continue"/>
            <w:noWrap w:val="0"/>
            <w:vAlign w:val="center"/>
          </w:tcPr>
          <w:p>
            <w:pPr>
              <w:shd w:val="clear" w:color="auto" w:fill="auto"/>
              <w:spacing w:line="360" w:lineRule="auto"/>
              <w:rPr>
                <w:rFonts w:hint="eastAsia" w:ascii="宋体" w:hAnsi="宋体" w:eastAsia="宋体" w:cs="宋体"/>
                <w:color w:val="auto"/>
                <w:sz w:val="21"/>
                <w:szCs w:val="21"/>
                <w:highlight w:val="none"/>
              </w:rPr>
            </w:pPr>
          </w:p>
        </w:tc>
        <w:tc>
          <w:tcPr>
            <w:tcW w:w="8057"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是否接受</w:t>
            </w:r>
            <w:r>
              <w:rPr>
                <w:rFonts w:hint="eastAsia" w:ascii="宋体" w:hAnsi="宋体" w:eastAsia="宋体" w:cs="宋体"/>
                <w:color w:val="auto"/>
                <w:sz w:val="21"/>
                <w:szCs w:val="21"/>
                <w:highlight w:val="none"/>
              </w:rPr>
              <w:t>联合体投标：</w:t>
            </w:r>
            <w:r>
              <w:rPr>
                <w:rFonts w:hint="eastAsia" w:ascii="宋体" w:hAnsi="宋体" w:cs="宋体"/>
                <w:color w:val="auto"/>
                <w:sz w:val="21"/>
                <w:szCs w:val="21"/>
                <w:highlight w:val="none"/>
                <w:u w:val="single"/>
                <w:lang w:val="en-US" w:eastAsia="zh-CN"/>
              </w:rPr>
              <w:t xml:space="preserve"> 不</w:t>
            </w:r>
            <w:r>
              <w:rPr>
                <w:rFonts w:hint="eastAsia" w:ascii="宋体" w:hAnsi="宋体" w:eastAsia="宋体" w:cs="宋体"/>
                <w:color w:val="auto"/>
                <w:sz w:val="21"/>
                <w:szCs w:val="21"/>
                <w:highlight w:val="none"/>
                <w:u w:val="single"/>
              </w:rPr>
              <w:t>接受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2" w:type="dxa"/>
            <w:vMerge w:val="continue"/>
            <w:noWrap w:val="0"/>
            <w:vAlign w:val="center"/>
          </w:tcPr>
          <w:p>
            <w:pPr>
              <w:shd w:val="clear" w:color="auto" w:fill="auto"/>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8057" w:type="dxa"/>
            <w:noWrap w:val="0"/>
            <w:vAlign w:val="center"/>
          </w:tcPr>
          <w:p>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符合《中华人民共和国政府采购法》第二十二条规定的供应商资格条件；且必须为未被列入信用中国网站(www.creditchina.gov.cn)、中国政府采购网(www.ccgp.gov.cn)渠道信用记录失信被执行人、重大税收违法案件当事人名单、政府采购严重违法失信行为信息记录名单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（以代理机构于投标截止日当天在“信用中国”网站（www.creditchina.gov.cn）及中国政府采购网查询结果为准，如相关失信记录已失效，供应商需提供相关证明资料）。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102" w:type="dxa"/>
            <w:vMerge w:val="continue"/>
            <w:noWrap w:val="0"/>
            <w:vAlign w:val="center"/>
          </w:tcPr>
          <w:p>
            <w:pPr>
              <w:shd w:val="clear" w:color="auto" w:fill="auto"/>
              <w:spacing w:line="360" w:lineRule="auto"/>
              <w:rPr>
                <w:rFonts w:hint="eastAsia" w:ascii="宋体" w:hAnsi="宋体" w:eastAsia="宋体" w:cs="宋体"/>
                <w:color w:val="auto"/>
                <w:sz w:val="21"/>
                <w:szCs w:val="21"/>
                <w:highlight w:val="none"/>
              </w:rPr>
            </w:pPr>
          </w:p>
        </w:tc>
        <w:tc>
          <w:tcPr>
            <w:tcW w:w="8057" w:type="dxa"/>
            <w:noWrap w:val="0"/>
            <w:vAlign w:val="center"/>
          </w:tcPr>
          <w:p>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，不得参加同一合同项下的政府采购活动。为采购项目提供整体设计、规范编制或者项目管理、监理、检测等服务的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，不得再参加该采购项目的其他采购活动。</w:t>
            </w:r>
          </w:p>
        </w:tc>
      </w:tr>
    </w:tbl>
    <w:p>
      <w:pPr>
        <w:widowControl/>
        <w:shd w:val="clear" w:color="auto" w:fill="auto"/>
        <w:spacing w:line="360" w:lineRule="auto"/>
        <w:ind w:firstLine="422" w:firstLineChars="200"/>
        <w:rPr>
          <w:rFonts w:hint="eastAsia" w:ascii="宋体" w:hAnsi="宋体" w:eastAsia="宋体" w:cs="宋体"/>
          <w:b/>
          <w:bCs/>
          <w:color w:val="auto"/>
          <w:sz w:val="21"/>
          <w:szCs w:val="21"/>
          <w:highlight w:val="none"/>
        </w:rPr>
      </w:pP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（二）符合性审查</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的投标文件进行符合性审查，以确定其是否满足采购文件的实质性要求。</w:t>
      </w:r>
    </w:p>
    <w:tbl>
      <w:tblPr>
        <w:tblStyle w:val="3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noWrap w:val="0"/>
            <w:vAlign w:val="center"/>
          </w:tcPr>
          <w:p>
            <w:pPr>
              <w:shd w:val="clear" w:color="auto" w:fill="auto"/>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审查类别</w:t>
            </w:r>
          </w:p>
        </w:tc>
        <w:tc>
          <w:tcPr>
            <w:tcW w:w="7762" w:type="dxa"/>
            <w:noWrap w:val="0"/>
            <w:vAlign w:val="center"/>
          </w:tcPr>
          <w:p>
            <w:pPr>
              <w:shd w:val="clear" w:color="auto" w:fill="auto"/>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restart"/>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符合性审查（技术商务文件）</w:t>
            </w: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具备招标文件中规定的资格要求；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投标文件有法定代表人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签署本人姓名（或印盖本人姓名章），或签署人提供有效的法定代表人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tabs>
                <w:tab w:val="left" w:pos="612"/>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技术商务文件不存在采购文件所规定的其它无效投标条款要求。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restart"/>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符合性审查（报价文件）</w:t>
            </w: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不存在评标委员会认为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投标文件（报价文件）内容与投标文件（技术商务文件）内容不存在重大差异的；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Merge w:val="continue"/>
            <w:noWrap w:val="0"/>
            <w:vAlign w:val="center"/>
          </w:tcPr>
          <w:p>
            <w:pPr>
              <w:shd w:val="clear" w:color="auto" w:fill="auto"/>
              <w:spacing w:line="360" w:lineRule="auto"/>
              <w:ind w:firstLine="210" w:firstLineChars="100"/>
              <w:rPr>
                <w:rFonts w:hint="eastAsia" w:ascii="宋体" w:hAnsi="宋体" w:eastAsia="宋体" w:cs="宋体"/>
                <w:color w:val="auto"/>
                <w:sz w:val="21"/>
                <w:szCs w:val="21"/>
                <w:highlight w:val="none"/>
              </w:rPr>
            </w:pPr>
          </w:p>
        </w:tc>
        <w:tc>
          <w:tcPr>
            <w:tcW w:w="7762" w:type="dxa"/>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报价文件不存在采购文件所规定的其它无效投标条款要求。</w:t>
            </w:r>
          </w:p>
        </w:tc>
      </w:tr>
    </w:tbl>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（三）投标无效的情形</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实质上没有响应招标文件要求的投标将被视为无效投标。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不得通过修正或撤消不合要求的偏离或保留从而使其投标成为实质上响应的投标，但经评标委员会认定属于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疏忽、笔误所造成的差错，应当允许其在评标结束之前进行修改或者补正。修改或者补正投标文件必须以书面形式进行，限期内不补正或经补正后仍不符合招标文件要求的，应认定其投标无效。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修改、补正投标文件后，不影响评标委员会对其投标文件所作的评价和评分结果。</w:t>
      </w:r>
    </w:p>
    <w:p>
      <w:pPr>
        <w:keepNext w:val="0"/>
        <w:keepLines w:val="0"/>
        <w:pageBreakBefore w:val="0"/>
        <w:shd w:val="clear" w:color="auto" w:fill="auto"/>
        <w:kinsoku/>
        <w:wordWrap/>
        <w:overflowPunct/>
        <w:topLinePunct w:val="0"/>
        <w:autoSpaceDE/>
        <w:autoSpaceDN/>
        <w:bidi w:val="0"/>
        <w:adjustRightInd/>
        <w:snapToGrid/>
        <w:spacing w:line="360" w:lineRule="auto"/>
        <w:ind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A、在符合性审查（技术商务文件）时，如发现下列情形之一的，将被视为无效投标文件：</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1、资格证明文件不全的或者不符合采购文件标明的资格要求的；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2、未按照采购文件规定要求签署或盖章；</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3、投标文件无法定代表人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签署本人姓名（或印盖本人姓名章），或签署人未提供有效的法定代表人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授权委托书或授权委托书填写项目不齐全的；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4、投标文件项目不齐全；</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5、投标文件标明的响应或偏离与事实不符或虚假投标的；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6、投标文件的实质性内容未使用中文表述、意思表述不明确、前后矛盾或者使用计量单位不符合采购文件要求的（经评标委员会认定并允许其当场更正的笔误除外）；</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7、带“▲”的条款不能满足采购文件要求、未实质性响应采购文件要求或者投标文件有采购人不能接受的附加条件的；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8、投标技术方案不明确，存在一个或一个以上备选（替代）投标方案的；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9、技术商务文件中出现报价或单价的；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10、法律、法规和采购文件规定的其他无效情形；</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11、投标文件的有效期不满足采购文件要求；</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12、技术商务文件存在采购文件所规定的其它无效投标条款要求。</w:t>
      </w:r>
    </w:p>
    <w:p>
      <w:pPr>
        <w:keepNext w:val="0"/>
        <w:keepLines w:val="0"/>
        <w:pageBreakBefore w:val="0"/>
        <w:shd w:val="clear" w:color="auto" w:fill="auto"/>
        <w:kinsoku/>
        <w:wordWrap/>
        <w:overflowPunct/>
        <w:topLinePunct w:val="0"/>
        <w:autoSpaceDE/>
        <w:autoSpaceDN/>
        <w:bidi w:val="0"/>
        <w:adjustRightInd/>
        <w:snapToGrid/>
        <w:spacing w:line="360" w:lineRule="auto"/>
        <w:ind w:firstLine="422" w:firstLineChars="200"/>
        <w:contextualSpacing/>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B、在符合性审查（报价文件）时，如发现下列情形之一的，将被视为无效投标文件：</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1、未按照采购文件规定要求签署或盖章；</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2、投标文件项目不齐全；</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3、未采用人民币报价或者未按照采购文件标明的币种报价的；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4、报价超出最高限价，或者超出采购预算金额，采购人不能支付的；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5、投标报价具有选择性的；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6、投标报价中出现重大缺项、漏项；</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7、评标委员会认为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的报价，有可能影响产品质量或者不能诚信履约的，且不能在评标现场合理时间内提供相关证明材料说明其报价的合理性的；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8、投标文件（报价文件）内容与投标文件（技术商务文件）内容有重大差异的；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9、法律、法规和采购文件规定的其他无效情形；</w:t>
      </w:r>
    </w:p>
    <w:p>
      <w:pPr>
        <w:keepNext w:val="0"/>
        <w:keepLines w:val="0"/>
        <w:pageBreakBefore w:val="0"/>
        <w:shd w:val="clear" w:color="auto" w:fill="auto"/>
        <w:tabs>
          <w:tab w:val="left" w:pos="0"/>
          <w:tab w:val="left" w:pos="723"/>
        </w:tabs>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10、报价文件存在采购文件所规定的其它无效投标条款要求。</w:t>
      </w:r>
    </w:p>
    <w:p>
      <w:pPr>
        <w:keepNext w:val="0"/>
        <w:keepLines w:val="0"/>
        <w:pageBreakBefore w:val="0"/>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C、评审时如发现下列情形之一的，视为</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串通投标，其投标无效：</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的投标文件由同一单位或者个人编制；</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委托同一单位或者个人办理投标事宜；</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的投标文件载明的项目管理成员或者联系人员为同一人；</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的投标文件异常一致或者投标报价呈规律性差异；</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的投标文件相互混装；</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（四）澄清问题</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作出必要的澄清、说明或者纠正。</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的澄清、说明或者补正应当采用书面形式，由其授权的代表签字，并不得超出投标文件的范围或者改变投标文件的实质性内容。</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（五）详细评审</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评标委员会对初步评审合格的投标文件，依照本办法对投标文件作进一步评审、比较。评标委员会成员经过阅标、审标和询标，对各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进行打分。</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评委打分参照：评分标准。评委打分采用记名方式进行独立打分，汇总所有评委会成员评分取算术平均值（小数点后保留二位数）为该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的商务技术得分。报价文件经评标委员会评审后按评分标准表进行统一计算（小数点后保留二位小数）。最终汇总商务技术得分和报价得分（小数点后保留二位小数）。</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（六）推荐中标候选人原则</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的综合得分由高到低的排序，推荐中标候选人。若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的综合得分相等，则投标报价低者列前；若投标报价也相同时，采取随机抽签的方式确定排序。</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（七）中标结果</w:t>
      </w:r>
    </w:p>
    <w:p>
      <w:pPr>
        <w:pStyle w:val="21"/>
        <w:keepNext w:val="0"/>
        <w:keepLines w:val="0"/>
        <w:pageBreakBefore w:val="0"/>
        <w:widowControl/>
        <w:shd w:val="clear" w:color="auto" w:fill="auto"/>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评标委员会按综合得分由高到低的排序，向采购人推荐</w:t>
      </w:r>
      <w:r>
        <w:rPr>
          <w:rFonts w:hint="eastAsia" w:ascii="宋体" w:cs="宋体"/>
          <w:b w:val="0"/>
          <w:bCs w:val="0"/>
          <w:color w:val="auto"/>
          <w:kern w:val="2"/>
          <w:sz w:val="21"/>
          <w:szCs w:val="21"/>
          <w:highlight w:val="none"/>
          <w:lang w:val="en-US" w:eastAsia="zh-CN" w:bidi="ar-SA"/>
        </w:rPr>
        <w:t>排序第一的为</w:t>
      </w:r>
      <w:r>
        <w:rPr>
          <w:rFonts w:hint="eastAsia" w:ascii="宋体" w:hAnsi="宋体" w:eastAsia="宋体" w:cs="宋体"/>
          <w:b w:val="0"/>
          <w:bCs w:val="0"/>
          <w:color w:val="auto"/>
          <w:kern w:val="2"/>
          <w:sz w:val="21"/>
          <w:szCs w:val="21"/>
          <w:highlight w:val="none"/>
          <w:lang w:val="en-US" w:eastAsia="zh-CN" w:bidi="ar-SA"/>
        </w:rPr>
        <w:t>中标候选人。代理机构应当自评审结束之日起2个工作日内将评审报告送交采购人。采购人应当自收到评审报告之日起5个工作日内在评审报告推荐的中标候选人中按顺序确定1名中标候选人。中标候选人因不可抗力或者自身原因不能履行政府采购合同的，采购人可以按照评审报告推荐的下一中标候选人为中标候选人或重新招标。</w:t>
      </w:r>
    </w:p>
    <w:p>
      <w:pPr>
        <w:keepNext w:val="0"/>
        <w:keepLines w:val="0"/>
        <w:pageBreakBefore w:val="0"/>
        <w:widowControl/>
        <w:numPr>
          <w:ilvl w:val="0"/>
          <w:numId w:val="0"/>
        </w:numPr>
        <w:shd w:val="clear" w:color="auto" w:fill="auto"/>
        <w:kinsoku/>
        <w:wordWrap/>
        <w:overflowPunct/>
        <w:topLinePunct w:val="0"/>
        <w:autoSpaceDE w:val="0"/>
        <w:autoSpaceDN w:val="0"/>
        <w:bidi w:val="0"/>
        <w:adjustRightInd/>
        <w:snapToGrid w:val="0"/>
        <w:spacing w:line="360" w:lineRule="auto"/>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rPr>
        <w:br w:type="page"/>
      </w:r>
      <w:r>
        <w:rPr>
          <w:rFonts w:hint="eastAsia"/>
          <w:b/>
          <w:bCs/>
          <w:color w:val="auto"/>
          <w:sz w:val="21"/>
          <w:szCs w:val="21"/>
          <w:highlight w:val="none"/>
          <w:lang w:val="en-US" w:eastAsia="zh-CN"/>
        </w:rPr>
        <w:t>三、</w:t>
      </w:r>
      <w:r>
        <w:rPr>
          <w:rFonts w:hint="eastAsia" w:ascii="宋体" w:hAnsi="宋体" w:eastAsia="宋体" w:cs="宋体"/>
          <w:b/>
          <w:bCs/>
          <w:color w:val="auto"/>
          <w:kern w:val="2"/>
          <w:sz w:val="21"/>
          <w:szCs w:val="21"/>
          <w:highlight w:val="none"/>
          <w:lang w:val="en-US" w:eastAsia="zh-CN" w:bidi="ar-SA"/>
        </w:rPr>
        <w:t>评分细则</w:t>
      </w:r>
      <w:bookmarkStart w:id="26" w:name="_Toc31530"/>
    </w:p>
    <w:tbl>
      <w:tblPr>
        <w:tblStyle w:val="38"/>
        <w:tblW w:w="5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187"/>
        <w:gridCol w:w="699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评分项目</w:t>
            </w:r>
          </w:p>
        </w:tc>
        <w:tc>
          <w:tcPr>
            <w:tcW w:w="4120" w:type="pct"/>
            <w:gridSpan w:val="2"/>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评标要点及说明</w:t>
            </w:r>
          </w:p>
        </w:tc>
        <w:tc>
          <w:tcPr>
            <w:tcW w:w="330"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w:t>
            </w:r>
          </w:p>
          <w:p>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（20分）</w:t>
            </w:r>
          </w:p>
        </w:tc>
        <w:tc>
          <w:tcPr>
            <w:tcW w:w="4120" w:type="pct"/>
            <w:gridSpan w:val="2"/>
            <w:shd w:val="clear" w:color="auto" w:fill="auto"/>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参与评审的价格=投标报价。</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满足招标要求的有效投标报价（初步评审合格且技术商务、报价部分评审合格）且参与评审的价格最低的为评标基准价，其价格分得20分；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投标报价得分=（评标基准价/参与评审的价格）×20%×100。</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注：投标价得分四舍五入保留两位小数。</w:t>
            </w:r>
          </w:p>
        </w:tc>
        <w:tc>
          <w:tcPr>
            <w:tcW w:w="33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r>
              <w:rPr>
                <w:rFonts w:hint="eastAsia" w:ascii="Times New Roman" w:hAnsi="Times New Roman" w:eastAsia="宋体" w:cs="仿宋"/>
                <w:color w:val="auto"/>
                <w:szCs w:val="21"/>
                <w:highlight w:val="none"/>
              </w:rPr>
              <w:t>技术商务分</w:t>
            </w:r>
            <w:r>
              <w:rPr>
                <w:rFonts w:hint="eastAsia" w:ascii="Times New Roman" w:hAnsi="Times New Roman" w:eastAsia="宋体" w:cs="仿宋"/>
                <w:color w:val="auto"/>
                <w:szCs w:val="21"/>
                <w:highlight w:val="none"/>
                <w:lang w:val="en-US" w:eastAsia="zh-CN"/>
              </w:rPr>
              <w:t>80</w:t>
            </w:r>
            <w:r>
              <w:rPr>
                <w:rFonts w:hint="eastAsia" w:ascii="Times New Roman" w:hAnsi="Times New Roman" w:eastAsia="宋体" w:cs="仿宋"/>
                <w:color w:val="auto"/>
                <w:szCs w:val="21"/>
                <w:highlight w:val="none"/>
              </w:rPr>
              <w:t>分</w:t>
            </w:r>
          </w:p>
        </w:tc>
        <w:tc>
          <w:tcPr>
            <w:tcW w:w="59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重难点分析及</w:t>
            </w:r>
            <w:r>
              <w:rPr>
                <w:rFonts w:hint="eastAsia" w:ascii="宋体" w:hAnsi="宋体" w:eastAsia="宋体" w:cs="宋体"/>
                <w:color w:val="auto"/>
                <w:szCs w:val="21"/>
                <w:highlight w:val="none"/>
                <w:lang w:val="en-US" w:eastAsia="zh-CN"/>
              </w:rPr>
              <w:t>解决措施</w:t>
            </w:r>
          </w:p>
          <w:p>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c>
          <w:tcPr>
            <w:tcW w:w="3522" w:type="pct"/>
            <w:shd w:val="clear" w:color="auto" w:fill="auto"/>
            <w:vAlign w:val="center"/>
          </w:tcPr>
          <w:p>
            <w:pPr>
              <w:pStyle w:val="37"/>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评标委员会根据供应商针对本项目的特点和难点分析及供应商解决措施，从</w:t>
            </w:r>
            <w:r>
              <w:rPr>
                <w:rFonts w:hint="eastAsia" w:ascii="宋体" w:hAnsi="宋体" w:eastAsia="宋体" w:cs="宋体"/>
                <w:color w:val="auto"/>
                <w:highlight w:val="none"/>
                <w:lang w:eastAsia="zh-CN"/>
              </w:rPr>
              <w:t>重难点分析</w:t>
            </w:r>
            <w:r>
              <w:rPr>
                <w:rFonts w:hint="eastAsia" w:ascii="宋体" w:hAnsi="宋体" w:eastAsia="宋体" w:cs="宋体"/>
                <w:color w:val="auto"/>
                <w:highlight w:val="none"/>
                <w:lang w:val="en-US" w:eastAsia="zh-CN"/>
              </w:rPr>
              <w:t>是否</w:t>
            </w:r>
            <w:r>
              <w:rPr>
                <w:rFonts w:hint="eastAsia" w:ascii="宋体" w:hAnsi="宋体" w:eastAsia="宋体" w:cs="宋体"/>
                <w:color w:val="auto"/>
                <w:highlight w:val="none"/>
                <w:lang w:eastAsia="zh-CN"/>
              </w:rPr>
              <w:t>全面详实，对策</w:t>
            </w:r>
            <w:r>
              <w:rPr>
                <w:rFonts w:hint="eastAsia" w:ascii="宋体" w:hAnsi="宋体" w:eastAsia="宋体" w:cs="宋体"/>
                <w:color w:val="auto"/>
                <w:highlight w:val="none"/>
                <w:lang w:val="en-US" w:eastAsia="zh-CN"/>
              </w:rPr>
              <w:t>是否</w:t>
            </w:r>
            <w:r>
              <w:rPr>
                <w:rFonts w:hint="eastAsia" w:ascii="宋体" w:hAnsi="宋体" w:eastAsia="宋体" w:cs="宋体"/>
                <w:color w:val="auto"/>
                <w:highlight w:val="none"/>
                <w:lang w:eastAsia="zh-CN"/>
              </w:rPr>
              <w:t>科学合理、</w:t>
            </w:r>
            <w:r>
              <w:rPr>
                <w:rFonts w:hint="eastAsia" w:ascii="宋体" w:hAnsi="宋体" w:eastAsia="宋体" w:cs="宋体"/>
                <w:color w:val="auto"/>
                <w:highlight w:val="none"/>
                <w:lang w:val="en-US" w:eastAsia="zh-CN"/>
              </w:rPr>
              <w:t>是否具有</w:t>
            </w:r>
            <w:r>
              <w:rPr>
                <w:rFonts w:hint="eastAsia" w:ascii="宋体" w:hAnsi="宋体" w:eastAsia="宋体" w:cs="宋体"/>
                <w:color w:val="auto"/>
                <w:highlight w:val="none"/>
                <w:lang w:eastAsia="zh-CN"/>
              </w:rPr>
              <w:t>针对性及可行性</w:t>
            </w:r>
            <w:r>
              <w:rPr>
                <w:rFonts w:hint="eastAsia" w:ascii="宋体" w:hAnsi="宋体" w:eastAsia="宋体" w:cs="宋体"/>
                <w:color w:val="auto"/>
                <w:highlight w:val="none"/>
                <w:lang w:val="en-US" w:eastAsia="zh-CN"/>
              </w:rPr>
              <w:t>进行综合评议</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最高</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p>
        </w:tc>
        <w:tc>
          <w:tcPr>
            <w:tcW w:w="330"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59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整体服务方案</w:t>
            </w:r>
          </w:p>
          <w:p>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lang w:val="en-US" w:eastAsia="zh-CN"/>
              </w:rPr>
              <w:t>（22分）</w:t>
            </w:r>
          </w:p>
        </w:tc>
        <w:tc>
          <w:tcPr>
            <w:tcW w:w="3522" w:type="pct"/>
            <w:shd w:val="clear" w:color="auto" w:fill="auto"/>
            <w:vAlign w:val="center"/>
          </w:tcPr>
          <w:p>
            <w:pPr>
              <w:keepNext w:val="0"/>
              <w:keepLines w:val="0"/>
              <w:pageBreakBefore w:val="0"/>
              <w:widowControl w:val="0"/>
              <w:tabs>
                <w:tab w:val="left" w:pos="57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评标委员会根据供应商提供的针对本项目的整体服务工作计划、管理计划、工作流程（程序）方面，是否全面完整、是否切合本项目的实际，是否有针对性、突出重点进行综合评议。</w:t>
            </w:r>
          </w:p>
          <w:p>
            <w:pPr>
              <w:keepNext w:val="0"/>
              <w:keepLines w:val="0"/>
              <w:pageBreakBefore w:val="0"/>
              <w:widowControl w:val="0"/>
              <w:tabs>
                <w:tab w:val="left" w:pos="57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（1）方案全面完整、符合本项目实际，具有针对性并突出重点的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8分；</w:t>
            </w:r>
          </w:p>
          <w:p>
            <w:pPr>
              <w:keepNext w:val="0"/>
              <w:keepLines w:val="0"/>
              <w:pageBreakBefore w:val="0"/>
              <w:widowControl w:val="0"/>
              <w:tabs>
                <w:tab w:val="left" w:pos="57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（2）方案较为全面完整，与本项目实际较为符合，方案针对性和突出重点一般的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（3）方案一般，与本项目实际略有不符，方案针对性较差未能突出重点的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2分；</w:t>
            </w:r>
          </w:p>
        </w:tc>
        <w:tc>
          <w:tcPr>
            <w:tcW w:w="330"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59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outlineLvl w:val="9"/>
              <w:rPr>
                <w:rFonts w:hint="eastAsia" w:ascii="宋体" w:hAnsi="宋体" w:eastAsia="宋体" w:cs="宋体"/>
                <w:color w:val="auto"/>
                <w:szCs w:val="21"/>
                <w:highlight w:val="none"/>
                <w:lang w:val="en-US" w:eastAsia="zh-CN"/>
              </w:rPr>
            </w:pPr>
          </w:p>
        </w:tc>
        <w:tc>
          <w:tcPr>
            <w:tcW w:w="352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评标委员会根据供应商针对本项目</w:t>
            </w:r>
            <w:r>
              <w:rPr>
                <w:rFonts w:hint="eastAsia" w:ascii="宋体" w:hAnsi="宋体" w:eastAsia="宋体" w:cs="宋体"/>
                <w:color w:val="auto"/>
                <w:szCs w:val="21"/>
                <w:highlight w:val="none"/>
              </w:rPr>
              <w:t>常普常新工作服务方案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完善</w:t>
            </w:r>
            <w:r>
              <w:rPr>
                <w:rFonts w:hint="eastAsia" w:ascii="宋体" w:hAnsi="宋体" w:eastAsia="宋体" w:cs="宋体"/>
                <w:color w:val="auto"/>
                <w:szCs w:val="21"/>
                <w:highlight w:val="none"/>
                <w:lang w:val="en-US" w:eastAsia="zh-CN"/>
              </w:rPr>
              <w:t>性</w:t>
            </w:r>
            <w:r>
              <w:rPr>
                <w:rFonts w:hint="eastAsia" w:ascii="宋体" w:hAnsi="宋体" w:eastAsia="宋体" w:cs="宋体"/>
                <w:color w:val="auto"/>
                <w:szCs w:val="21"/>
                <w:highlight w:val="none"/>
              </w:rPr>
              <w:t>、可行</w:t>
            </w:r>
            <w:r>
              <w:rPr>
                <w:rFonts w:hint="eastAsia" w:ascii="宋体" w:hAnsi="宋体" w:eastAsia="宋体" w:cs="宋体"/>
                <w:color w:val="auto"/>
                <w:szCs w:val="21"/>
                <w:highlight w:val="none"/>
                <w:lang w:val="en-US" w:eastAsia="zh-CN"/>
              </w:rPr>
              <w:t>性</w:t>
            </w:r>
            <w:r>
              <w:rPr>
                <w:rFonts w:hint="eastAsia" w:ascii="宋体" w:hAnsi="宋体" w:eastAsia="宋体" w:cs="宋体"/>
                <w:color w:val="auto"/>
                <w:szCs w:val="21"/>
                <w:highlight w:val="none"/>
              </w:rPr>
              <w:t>，各项工作程序、标准、频率合理，各项措施得力，</w:t>
            </w:r>
            <w:r>
              <w:rPr>
                <w:rFonts w:hint="eastAsia" w:ascii="宋体" w:hAnsi="宋体" w:eastAsia="宋体" w:cs="宋体"/>
                <w:color w:val="auto"/>
                <w:szCs w:val="21"/>
                <w:highlight w:val="none"/>
                <w:lang w:val="en-US" w:eastAsia="zh-CN"/>
              </w:rPr>
              <w:t>是否</w:t>
            </w:r>
            <w:r>
              <w:rPr>
                <w:rFonts w:hint="eastAsia" w:ascii="宋体" w:hAnsi="宋体" w:eastAsia="宋体" w:cs="宋体"/>
                <w:color w:val="auto"/>
                <w:szCs w:val="21"/>
                <w:highlight w:val="none"/>
              </w:rPr>
              <w:t>具有较好的统筹协调能力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执行力等</w:t>
            </w:r>
            <w:r>
              <w:rPr>
                <w:rFonts w:hint="eastAsia" w:ascii="宋体" w:hAnsi="宋体" w:eastAsia="宋体" w:cs="宋体"/>
                <w:color w:val="auto"/>
                <w:szCs w:val="21"/>
                <w:highlight w:val="none"/>
              </w:rPr>
              <w:t>进行综合评议</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服务方案完善可行，各项工作程序、标准、频率合理，各项措施得力，统筹协调能力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执行力强</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lang w:val="en-US" w:eastAsia="zh-CN"/>
              </w:rPr>
              <w:t>最高得6分；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服务方案</w:t>
            </w:r>
            <w:r>
              <w:rPr>
                <w:rFonts w:hint="eastAsia" w:ascii="宋体" w:hAnsi="宋体" w:eastAsia="宋体" w:cs="宋体"/>
                <w:color w:val="auto"/>
                <w:szCs w:val="21"/>
                <w:highlight w:val="none"/>
                <w:lang w:eastAsia="zh-CN"/>
              </w:rPr>
              <w:t>基本完善可行</w:t>
            </w:r>
            <w:r>
              <w:rPr>
                <w:rFonts w:hint="eastAsia" w:ascii="宋体" w:hAnsi="宋体" w:eastAsia="宋体" w:cs="宋体"/>
                <w:color w:val="auto"/>
                <w:szCs w:val="21"/>
                <w:highlight w:val="none"/>
              </w:rPr>
              <w:t>，各项工作程序、标准、频率</w:t>
            </w:r>
            <w:r>
              <w:rPr>
                <w:rFonts w:hint="eastAsia" w:ascii="宋体" w:hAnsi="宋体" w:eastAsia="宋体" w:cs="宋体"/>
                <w:color w:val="auto"/>
                <w:szCs w:val="21"/>
                <w:highlight w:val="none"/>
                <w:lang w:eastAsia="zh-CN"/>
              </w:rPr>
              <w:t>较为</w:t>
            </w:r>
            <w:r>
              <w:rPr>
                <w:rFonts w:hint="eastAsia" w:ascii="宋体" w:hAnsi="宋体" w:eastAsia="宋体" w:cs="宋体"/>
                <w:color w:val="auto"/>
                <w:szCs w:val="21"/>
                <w:highlight w:val="none"/>
              </w:rPr>
              <w:t>合理，各项措施</w:t>
            </w:r>
            <w:r>
              <w:rPr>
                <w:rFonts w:hint="eastAsia" w:ascii="宋体" w:hAnsi="宋体" w:eastAsia="宋体" w:cs="宋体"/>
                <w:color w:val="auto"/>
                <w:szCs w:val="21"/>
                <w:highlight w:val="none"/>
                <w:lang w:eastAsia="zh-CN"/>
              </w:rPr>
              <w:t>基本合理</w:t>
            </w:r>
            <w:r>
              <w:rPr>
                <w:rFonts w:hint="eastAsia" w:ascii="宋体" w:hAnsi="宋体" w:eastAsia="宋体" w:cs="宋体"/>
                <w:color w:val="auto"/>
                <w:szCs w:val="21"/>
                <w:highlight w:val="none"/>
              </w:rPr>
              <w:t>，统筹协调能力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执行力</w:t>
            </w:r>
            <w:r>
              <w:rPr>
                <w:rFonts w:hint="eastAsia" w:ascii="宋体" w:hAnsi="宋体" w:eastAsia="宋体" w:cs="宋体"/>
                <w:color w:val="auto"/>
                <w:szCs w:val="21"/>
                <w:highlight w:val="none"/>
                <w:lang w:eastAsia="zh-CN"/>
              </w:rPr>
              <w:t>较强，</w:t>
            </w:r>
            <w:r>
              <w:rPr>
                <w:rFonts w:hint="eastAsia" w:ascii="宋体" w:hAnsi="宋体" w:eastAsia="宋体" w:cs="宋体"/>
                <w:color w:val="auto"/>
                <w:szCs w:val="21"/>
                <w:highlight w:val="none"/>
                <w:lang w:val="en-US" w:eastAsia="zh-CN"/>
              </w:rPr>
              <w:t>最高得3分；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服务方案</w:t>
            </w:r>
            <w:r>
              <w:rPr>
                <w:rFonts w:hint="eastAsia" w:ascii="宋体" w:hAnsi="宋体" w:eastAsia="宋体" w:cs="宋体"/>
                <w:color w:val="auto"/>
                <w:szCs w:val="21"/>
                <w:highlight w:val="none"/>
                <w:lang w:eastAsia="zh-CN"/>
              </w:rPr>
              <w:t>简单</w:t>
            </w:r>
            <w:r>
              <w:rPr>
                <w:rFonts w:hint="eastAsia" w:ascii="宋体" w:hAnsi="宋体" w:eastAsia="宋体" w:cs="宋体"/>
                <w:color w:val="auto"/>
                <w:szCs w:val="21"/>
                <w:highlight w:val="none"/>
              </w:rPr>
              <w:t>，各项工作程序、标准、频率</w:t>
            </w:r>
            <w:r>
              <w:rPr>
                <w:rFonts w:hint="eastAsia" w:ascii="宋体" w:hAnsi="宋体" w:eastAsia="宋体" w:cs="宋体"/>
                <w:color w:val="auto"/>
                <w:szCs w:val="21"/>
                <w:highlight w:val="none"/>
                <w:lang w:eastAsia="zh-CN"/>
              </w:rPr>
              <w:t>不</w:t>
            </w:r>
            <w:r>
              <w:rPr>
                <w:rFonts w:hint="eastAsia" w:ascii="宋体" w:hAnsi="宋体" w:eastAsia="宋体" w:cs="宋体"/>
                <w:color w:val="auto"/>
                <w:szCs w:val="21"/>
                <w:highlight w:val="none"/>
              </w:rPr>
              <w:t>合理，各项措施</w:t>
            </w:r>
            <w:r>
              <w:rPr>
                <w:rFonts w:hint="eastAsia" w:ascii="宋体" w:hAnsi="宋体" w:eastAsia="宋体" w:cs="宋体"/>
                <w:color w:val="auto"/>
                <w:szCs w:val="21"/>
                <w:highlight w:val="none"/>
                <w:lang w:eastAsia="zh-CN"/>
              </w:rPr>
              <w:t>一般</w:t>
            </w:r>
            <w:r>
              <w:rPr>
                <w:rFonts w:hint="eastAsia" w:ascii="宋体" w:hAnsi="宋体" w:eastAsia="宋体" w:cs="宋体"/>
                <w:color w:val="auto"/>
                <w:szCs w:val="21"/>
                <w:highlight w:val="none"/>
              </w:rPr>
              <w:t>，统筹协调能力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执行力</w:t>
            </w:r>
            <w:r>
              <w:rPr>
                <w:rFonts w:hint="eastAsia" w:ascii="宋体" w:hAnsi="宋体" w:eastAsia="宋体" w:cs="宋体"/>
                <w:color w:val="auto"/>
                <w:szCs w:val="21"/>
                <w:highlight w:val="none"/>
                <w:lang w:eastAsia="zh-CN"/>
              </w:rPr>
              <w:t>一般，</w:t>
            </w:r>
            <w:r>
              <w:rPr>
                <w:rFonts w:hint="eastAsia" w:ascii="宋体" w:hAnsi="宋体" w:eastAsia="宋体" w:cs="宋体"/>
                <w:color w:val="auto"/>
                <w:szCs w:val="21"/>
                <w:highlight w:val="none"/>
                <w:lang w:val="en-US" w:eastAsia="zh-CN"/>
              </w:rPr>
              <w:t>最高得1分</w:t>
            </w:r>
            <w:r>
              <w:rPr>
                <w:rFonts w:hint="eastAsia" w:ascii="宋体" w:hAnsi="宋体" w:eastAsia="宋体" w:cs="宋体"/>
                <w:color w:val="auto"/>
                <w:highlight w:val="none"/>
                <w:lang w:eastAsia="zh-CN"/>
              </w:rPr>
              <w:t>。</w:t>
            </w:r>
          </w:p>
        </w:tc>
        <w:tc>
          <w:tcPr>
            <w:tcW w:w="330"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59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outlineLvl w:val="9"/>
              <w:rPr>
                <w:rFonts w:hint="eastAsia" w:ascii="宋体" w:hAnsi="宋体" w:eastAsia="宋体" w:cs="宋体"/>
                <w:color w:val="auto"/>
                <w:szCs w:val="21"/>
                <w:highlight w:val="none"/>
                <w:lang w:val="en-US" w:eastAsia="zh-CN"/>
              </w:rPr>
            </w:pPr>
          </w:p>
        </w:tc>
        <w:tc>
          <w:tcPr>
            <w:tcW w:w="352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评标委员会根据供应商针对本项目</w:t>
            </w:r>
            <w:r>
              <w:rPr>
                <w:rFonts w:hint="eastAsia" w:ascii="宋体" w:hAnsi="宋体" w:eastAsia="宋体" w:cs="宋体"/>
                <w:color w:val="auto"/>
                <w:szCs w:val="21"/>
                <w:highlight w:val="none"/>
              </w:rPr>
              <w:t>督促</w:t>
            </w:r>
            <w:r>
              <w:rPr>
                <w:rFonts w:hint="eastAsia" w:ascii="宋体" w:hAnsi="宋体" w:eastAsia="宋体" w:cs="宋体"/>
                <w:color w:val="auto"/>
                <w:szCs w:val="21"/>
                <w:highlight w:val="none"/>
                <w:lang w:eastAsia="zh-CN"/>
              </w:rPr>
              <w:t>商贸企业</w:t>
            </w:r>
            <w:r>
              <w:rPr>
                <w:rFonts w:hint="eastAsia" w:ascii="宋体" w:hAnsi="宋体" w:eastAsia="宋体" w:cs="宋体"/>
                <w:color w:val="auto"/>
                <w:szCs w:val="21"/>
                <w:highlight w:val="none"/>
              </w:rPr>
              <w:t>完成自查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监督检查全覆盖和隐患问题闭环整改验收服务方案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完善</w:t>
            </w:r>
            <w:r>
              <w:rPr>
                <w:rFonts w:hint="eastAsia" w:ascii="宋体" w:hAnsi="宋体" w:eastAsia="宋体" w:cs="宋体"/>
                <w:color w:val="auto"/>
                <w:szCs w:val="21"/>
                <w:highlight w:val="none"/>
                <w:lang w:val="en-US" w:eastAsia="zh-CN"/>
              </w:rPr>
              <w:t>性</w:t>
            </w:r>
            <w:r>
              <w:rPr>
                <w:rFonts w:hint="eastAsia" w:ascii="宋体" w:hAnsi="宋体" w:eastAsia="宋体" w:cs="宋体"/>
                <w:color w:val="auto"/>
                <w:szCs w:val="21"/>
                <w:highlight w:val="none"/>
              </w:rPr>
              <w:t>、可行</w:t>
            </w:r>
            <w:r>
              <w:rPr>
                <w:rFonts w:hint="eastAsia" w:ascii="宋体" w:hAnsi="宋体" w:eastAsia="宋体" w:cs="宋体"/>
                <w:color w:val="auto"/>
                <w:szCs w:val="21"/>
                <w:highlight w:val="none"/>
                <w:lang w:val="en-US" w:eastAsia="zh-CN"/>
              </w:rPr>
              <w:t>性</w:t>
            </w:r>
            <w:r>
              <w:rPr>
                <w:rFonts w:hint="eastAsia" w:ascii="宋体" w:hAnsi="宋体" w:eastAsia="宋体" w:cs="宋体"/>
                <w:color w:val="auto"/>
                <w:szCs w:val="21"/>
                <w:highlight w:val="none"/>
              </w:rPr>
              <w:t>，各项工作程序、标准、频率合理，各项措施得力，</w:t>
            </w:r>
            <w:r>
              <w:rPr>
                <w:rFonts w:hint="eastAsia" w:ascii="宋体" w:hAnsi="宋体" w:eastAsia="宋体" w:cs="宋体"/>
                <w:color w:val="auto"/>
                <w:szCs w:val="21"/>
                <w:highlight w:val="none"/>
                <w:lang w:val="en-US" w:eastAsia="zh-CN"/>
              </w:rPr>
              <w:t>是否</w:t>
            </w:r>
            <w:r>
              <w:rPr>
                <w:rFonts w:hint="eastAsia" w:ascii="宋体" w:hAnsi="宋体" w:eastAsia="宋体" w:cs="宋体"/>
                <w:color w:val="auto"/>
                <w:szCs w:val="21"/>
                <w:highlight w:val="none"/>
              </w:rPr>
              <w:t>具有较好的统筹协调能力</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执行力</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进行综合评议</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服务方案完善、可行，各项工作程序、标准、频率合理，各项措施得力，统筹协调能力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执行力强</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8分；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服务方案</w:t>
            </w:r>
            <w:r>
              <w:rPr>
                <w:rFonts w:hint="eastAsia" w:ascii="宋体" w:hAnsi="宋体" w:eastAsia="宋体" w:cs="宋体"/>
                <w:color w:val="auto"/>
                <w:szCs w:val="21"/>
                <w:highlight w:val="none"/>
                <w:lang w:eastAsia="zh-CN"/>
              </w:rPr>
              <w:t>基本完善可行</w:t>
            </w:r>
            <w:r>
              <w:rPr>
                <w:rFonts w:hint="eastAsia" w:ascii="宋体" w:hAnsi="宋体" w:eastAsia="宋体" w:cs="宋体"/>
                <w:color w:val="auto"/>
                <w:szCs w:val="21"/>
                <w:highlight w:val="none"/>
              </w:rPr>
              <w:t>，各项工作程序、标准、频率</w:t>
            </w:r>
            <w:r>
              <w:rPr>
                <w:rFonts w:hint="eastAsia" w:ascii="宋体" w:hAnsi="宋体" w:eastAsia="宋体" w:cs="宋体"/>
                <w:color w:val="auto"/>
                <w:szCs w:val="21"/>
                <w:highlight w:val="none"/>
                <w:lang w:eastAsia="zh-CN"/>
              </w:rPr>
              <w:t>较为</w:t>
            </w:r>
            <w:r>
              <w:rPr>
                <w:rFonts w:hint="eastAsia" w:ascii="宋体" w:hAnsi="宋体" w:eastAsia="宋体" w:cs="宋体"/>
                <w:color w:val="auto"/>
                <w:szCs w:val="21"/>
                <w:highlight w:val="none"/>
              </w:rPr>
              <w:t>合理，各项措施</w:t>
            </w:r>
            <w:r>
              <w:rPr>
                <w:rFonts w:hint="eastAsia" w:ascii="宋体" w:hAnsi="宋体" w:eastAsia="宋体" w:cs="宋体"/>
                <w:color w:val="auto"/>
                <w:szCs w:val="21"/>
                <w:highlight w:val="none"/>
                <w:lang w:eastAsia="zh-CN"/>
              </w:rPr>
              <w:t>基本合理</w:t>
            </w:r>
            <w:r>
              <w:rPr>
                <w:rFonts w:hint="eastAsia" w:ascii="宋体" w:hAnsi="宋体" w:eastAsia="宋体" w:cs="宋体"/>
                <w:color w:val="auto"/>
                <w:szCs w:val="21"/>
                <w:highlight w:val="none"/>
              </w:rPr>
              <w:t>，统筹协调能力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执行力</w:t>
            </w:r>
            <w:r>
              <w:rPr>
                <w:rFonts w:hint="eastAsia" w:ascii="宋体" w:hAnsi="宋体" w:eastAsia="宋体" w:cs="宋体"/>
                <w:color w:val="auto"/>
                <w:szCs w:val="21"/>
                <w:highlight w:val="none"/>
                <w:lang w:eastAsia="zh-CN"/>
              </w:rPr>
              <w:t>较强的，</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服务方案</w:t>
            </w:r>
            <w:r>
              <w:rPr>
                <w:rFonts w:hint="eastAsia" w:ascii="宋体" w:hAnsi="宋体" w:eastAsia="宋体" w:cs="宋体"/>
                <w:color w:val="auto"/>
                <w:szCs w:val="21"/>
                <w:highlight w:val="none"/>
                <w:lang w:eastAsia="zh-CN"/>
              </w:rPr>
              <w:t>简单</w:t>
            </w:r>
            <w:r>
              <w:rPr>
                <w:rFonts w:hint="eastAsia" w:ascii="宋体" w:hAnsi="宋体" w:eastAsia="宋体" w:cs="宋体"/>
                <w:color w:val="auto"/>
                <w:szCs w:val="21"/>
                <w:highlight w:val="none"/>
              </w:rPr>
              <w:t>，各项工作程序、标准、频率</w:t>
            </w:r>
            <w:r>
              <w:rPr>
                <w:rFonts w:hint="eastAsia" w:ascii="宋体" w:hAnsi="宋体" w:eastAsia="宋体" w:cs="宋体"/>
                <w:color w:val="auto"/>
                <w:szCs w:val="21"/>
                <w:highlight w:val="none"/>
                <w:lang w:eastAsia="zh-CN"/>
              </w:rPr>
              <w:t>不</w:t>
            </w:r>
            <w:r>
              <w:rPr>
                <w:rFonts w:hint="eastAsia" w:ascii="宋体" w:hAnsi="宋体" w:eastAsia="宋体" w:cs="宋体"/>
                <w:color w:val="auto"/>
                <w:szCs w:val="21"/>
                <w:highlight w:val="none"/>
              </w:rPr>
              <w:t>合理，各项措施</w:t>
            </w:r>
            <w:r>
              <w:rPr>
                <w:rFonts w:hint="eastAsia" w:ascii="宋体" w:hAnsi="宋体" w:eastAsia="宋体" w:cs="宋体"/>
                <w:color w:val="auto"/>
                <w:szCs w:val="21"/>
                <w:highlight w:val="none"/>
                <w:lang w:eastAsia="zh-CN"/>
              </w:rPr>
              <w:t>一般</w:t>
            </w:r>
            <w:r>
              <w:rPr>
                <w:rFonts w:hint="eastAsia" w:ascii="宋体" w:hAnsi="宋体" w:eastAsia="宋体" w:cs="宋体"/>
                <w:color w:val="auto"/>
                <w:szCs w:val="21"/>
                <w:highlight w:val="none"/>
              </w:rPr>
              <w:t>，统筹协调能力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执行力</w:t>
            </w:r>
            <w:r>
              <w:rPr>
                <w:rFonts w:hint="eastAsia" w:ascii="宋体" w:hAnsi="宋体" w:eastAsia="宋体" w:cs="宋体"/>
                <w:color w:val="auto"/>
                <w:szCs w:val="21"/>
                <w:highlight w:val="none"/>
                <w:lang w:eastAsia="zh-CN"/>
              </w:rPr>
              <w:t>一般的，</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2分。</w:t>
            </w:r>
          </w:p>
        </w:tc>
        <w:tc>
          <w:tcPr>
            <w:tcW w:w="330"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59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应急救援和值班值守工作服务方案</w:t>
            </w:r>
          </w:p>
          <w:p>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tc>
        <w:tc>
          <w:tcPr>
            <w:tcW w:w="352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评标委员会根据供应商针对</w:t>
            </w:r>
            <w:r>
              <w:rPr>
                <w:rFonts w:hint="eastAsia" w:ascii="宋体" w:hAnsi="宋体" w:eastAsia="宋体" w:cs="宋体"/>
                <w:color w:val="auto"/>
                <w:szCs w:val="21"/>
                <w:highlight w:val="none"/>
              </w:rPr>
              <w:t>服从</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的统一协调指挥，积极参与突发事件的应急处置和救援，做好日常值班值守工作服务方案方案</w:t>
            </w:r>
            <w:r>
              <w:rPr>
                <w:rFonts w:hint="eastAsia" w:ascii="宋体" w:hAnsi="宋体" w:eastAsia="宋体" w:cs="宋体"/>
                <w:color w:val="auto"/>
                <w:szCs w:val="21"/>
                <w:highlight w:val="none"/>
                <w:lang w:val="en-US" w:eastAsia="zh-CN"/>
              </w:rPr>
              <w:t>是否</w:t>
            </w:r>
            <w:r>
              <w:rPr>
                <w:rFonts w:hint="eastAsia" w:ascii="宋体" w:hAnsi="宋体" w:eastAsia="宋体" w:cs="宋体"/>
                <w:color w:val="auto"/>
                <w:szCs w:val="21"/>
                <w:highlight w:val="none"/>
              </w:rPr>
              <w:t>完善、周密、可行，</w:t>
            </w:r>
            <w:r>
              <w:rPr>
                <w:rFonts w:hint="eastAsia" w:ascii="宋体" w:hAnsi="宋体" w:eastAsia="宋体" w:cs="宋体"/>
                <w:color w:val="auto"/>
                <w:szCs w:val="21"/>
                <w:highlight w:val="none"/>
                <w:lang w:val="en-US" w:eastAsia="zh-CN"/>
              </w:rPr>
              <w:t>是否</w:t>
            </w:r>
            <w:r>
              <w:rPr>
                <w:rFonts w:hint="eastAsia" w:ascii="宋体" w:hAnsi="宋体" w:eastAsia="宋体" w:cs="宋体"/>
                <w:color w:val="auto"/>
                <w:szCs w:val="21"/>
                <w:highlight w:val="none"/>
              </w:rPr>
              <w:t>具备迅速服务响应能力及快速服务支持能力，人员职责到位情况进行综合评议</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服务方案完善、周密、可行，服务响应能力及快速服务支持能力</w:t>
            </w:r>
            <w:r>
              <w:rPr>
                <w:rFonts w:hint="eastAsia" w:ascii="宋体" w:hAnsi="宋体" w:eastAsia="宋体" w:cs="宋体"/>
                <w:color w:val="auto"/>
                <w:szCs w:val="21"/>
                <w:highlight w:val="none"/>
                <w:lang w:eastAsia="zh-CN"/>
              </w:rPr>
              <w:t>强</w:t>
            </w:r>
            <w:r>
              <w:rPr>
                <w:rFonts w:hint="eastAsia" w:ascii="宋体" w:hAnsi="宋体" w:eastAsia="宋体" w:cs="宋体"/>
                <w:color w:val="auto"/>
                <w:szCs w:val="21"/>
                <w:highlight w:val="none"/>
              </w:rPr>
              <w:t>，人员职责到位情况</w:t>
            </w:r>
            <w:r>
              <w:rPr>
                <w:rFonts w:hint="eastAsia" w:ascii="宋体" w:hAnsi="宋体" w:eastAsia="宋体" w:cs="宋体"/>
                <w:color w:val="auto"/>
                <w:szCs w:val="21"/>
                <w:highlight w:val="none"/>
                <w:lang w:eastAsia="zh-CN"/>
              </w:rPr>
              <w:t>满足采购人需求的，</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8分。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服务方案</w:t>
            </w:r>
            <w:r>
              <w:rPr>
                <w:rFonts w:hint="eastAsia" w:ascii="宋体" w:hAnsi="宋体" w:eastAsia="宋体" w:cs="宋体"/>
                <w:color w:val="auto"/>
                <w:szCs w:val="21"/>
                <w:highlight w:val="none"/>
                <w:lang w:eastAsia="zh-CN"/>
              </w:rPr>
              <w:t>基本</w:t>
            </w:r>
            <w:r>
              <w:rPr>
                <w:rFonts w:hint="eastAsia" w:ascii="宋体" w:hAnsi="宋体" w:eastAsia="宋体" w:cs="宋体"/>
                <w:color w:val="auto"/>
                <w:szCs w:val="21"/>
                <w:highlight w:val="none"/>
              </w:rPr>
              <w:t>完善、可行，服务响应能力及快速服务支持能力</w:t>
            </w:r>
            <w:r>
              <w:rPr>
                <w:rFonts w:hint="eastAsia" w:ascii="宋体" w:hAnsi="宋体" w:eastAsia="宋体" w:cs="宋体"/>
                <w:color w:val="auto"/>
                <w:szCs w:val="21"/>
                <w:highlight w:val="none"/>
                <w:lang w:eastAsia="zh-CN"/>
              </w:rPr>
              <w:t>较强</w:t>
            </w:r>
            <w:r>
              <w:rPr>
                <w:rFonts w:hint="eastAsia" w:ascii="宋体" w:hAnsi="宋体" w:eastAsia="宋体" w:cs="宋体"/>
                <w:color w:val="auto"/>
                <w:szCs w:val="21"/>
                <w:highlight w:val="none"/>
              </w:rPr>
              <w:t>，人员职责到位情况</w:t>
            </w:r>
            <w:r>
              <w:rPr>
                <w:rFonts w:hint="eastAsia" w:ascii="宋体" w:hAnsi="宋体" w:eastAsia="宋体" w:cs="宋体"/>
                <w:color w:val="auto"/>
                <w:szCs w:val="21"/>
                <w:highlight w:val="none"/>
                <w:lang w:eastAsia="zh-CN"/>
              </w:rPr>
              <w:t>基本满足采购人需求的，</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服务方案</w:t>
            </w:r>
            <w:r>
              <w:rPr>
                <w:rFonts w:hint="eastAsia" w:ascii="宋体" w:hAnsi="宋体" w:eastAsia="宋体" w:cs="宋体"/>
                <w:color w:val="auto"/>
                <w:szCs w:val="21"/>
                <w:highlight w:val="none"/>
                <w:lang w:eastAsia="zh-CN"/>
              </w:rPr>
              <w:t>简单</w:t>
            </w:r>
            <w:r>
              <w:rPr>
                <w:rFonts w:hint="eastAsia" w:ascii="宋体" w:hAnsi="宋体" w:eastAsia="宋体" w:cs="宋体"/>
                <w:color w:val="auto"/>
                <w:szCs w:val="21"/>
                <w:highlight w:val="none"/>
              </w:rPr>
              <w:t>，服务响应能力及快速服务支持能力</w:t>
            </w:r>
            <w:r>
              <w:rPr>
                <w:rFonts w:hint="eastAsia" w:ascii="宋体" w:hAnsi="宋体" w:eastAsia="宋体" w:cs="宋体"/>
                <w:color w:val="auto"/>
                <w:szCs w:val="21"/>
                <w:highlight w:val="none"/>
                <w:lang w:eastAsia="zh-CN"/>
              </w:rPr>
              <w:t>一般</w:t>
            </w:r>
            <w:r>
              <w:rPr>
                <w:rFonts w:hint="eastAsia" w:ascii="宋体" w:hAnsi="宋体" w:eastAsia="宋体" w:cs="宋体"/>
                <w:color w:val="auto"/>
                <w:szCs w:val="21"/>
                <w:highlight w:val="none"/>
              </w:rPr>
              <w:t>，人员职责到位情况</w:t>
            </w:r>
            <w:r>
              <w:rPr>
                <w:rFonts w:hint="eastAsia" w:ascii="宋体" w:hAnsi="宋体" w:eastAsia="宋体" w:cs="宋体"/>
                <w:color w:val="auto"/>
                <w:szCs w:val="21"/>
                <w:highlight w:val="none"/>
                <w:lang w:eastAsia="zh-CN"/>
              </w:rPr>
              <w:t>难以满足采购人需求的，</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2分。</w:t>
            </w:r>
          </w:p>
        </w:tc>
        <w:tc>
          <w:tcPr>
            <w:tcW w:w="33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59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内部管理制度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352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评标委员会根据供应商</w:t>
            </w:r>
            <w:r>
              <w:rPr>
                <w:rFonts w:hint="eastAsia" w:ascii="宋体" w:hAnsi="宋体" w:eastAsia="宋体" w:cs="宋体"/>
                <w:color w:val="auto"/>
                <w:szCs w:val="21"/>
                <w:highlight w:val="none"/>
                <w:lang w:val="en-US" w:eastAsia="zh-CN"/>
              </w:rPr>
              <w:t>针对本项目提出的内部管理制度，以及公司管理方面的优势情况，是否</w:t>
            </w:r>
            <w:r>
              <w:rPr>
                <w:rFonts w:hint="eastAsia" w:ascii="宋体" w:hAnsi="宋体" w:eastAsia="宋体" w:cs="宋体"/>
                <w:color w:val="auto"/>
                <w:kern w:val="0"/>
                <w:sz w:val="21"/>
                <w:szCs w:val="21"/>
                <w:highlight w:val="none"/>
              </w:rPr>
              <w:t>确保项目的服务质量</w:t>
            </w:r>
            <w:r>
              <w:rPr>
                <w:rFonts w:hint="eastAsia" w:ascii="宋体" w:hAnsi="宋体" w:eastAsia="宋体" w:cs="宋体"/>
                <w:color w:val="auto"/>
                <w:kern w:val="0"/>
                <w:sz w:val="21"/>
                <w:szCs w:val="21"/>
                <w:highlight w:val="none"/>
                <w:lang w:val="en-US" w:eastAsia="zh-CN"/>
              </w:rPr>
              <w:t>等进行综合评议酌情打分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制度内容</w:t>
            </w:r>
            <w:r>
              <w:rPr>
                <w:rFonts w:hint="eastAsia" w:ascii="宋体" w:hAnsi="宋体" w:eastAsia="宋体" w:cs="宋体"/>
                <w:color w:val="auto"/>
                <w:szCs w:val="21"/>
                <w:highlight w:val="none"/>
                <w:lang w:eastAsia="zh-CN"/>
              </w:rPr>
              <w:t>详细完善，科学合理的，</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6分；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制度内容</w:t>
            </w:r>
            <w:r>
              <w:rPr>
                <w:rFonts w:hint="eastAsia" w:ascii="宋体" w:hAnsi="宋体" w:eastAsia="宋体" w:cs="宋体"/>
                <w:color w:val="auto"/>
                <w:szCs w:val="21"/>
                <w:highlight w:val="none"/>
                <w:lang w:eastAsia="zh-CN"/>
              </w:rPr>
              <w:t>较为完善，较为科学合理的，</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制度内容</w:t>
            </w:r>
            <w:r>
              <w:rPr>
                <w:rFonts w:hint="eastAsia" w:ascii="宋体" w:hAnsi="宋体" w:eastAsia="宋体" w:cs="宋体"/>
                <w:color w:val="auto"/>
                <w:szCs w:val="21"/>
                <w:highlight w:val="none"/>
                <w:lang w:eastAsia="zh-CN"/>
              </w:rPr>
              <w:t>不完善，不合理的，</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1分</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）未提供的</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r>
              <w:rPr>
                <w:rFonts w:hint="eastAsia" w:ascii="宋体" w:hAnsi="宋体" w:cs="宋体"/>
                <w:color w:val="auto"/>
                <w:highlight w:val="none"/>
                <w:lang w:eastAsia="zh-CN"/>
              </w:rPr>
              <w:t>。</w:t>
            </w:r>
          </w:p>
        </w:tc>
        <w:tc>
          <w:tcPr>
            <w:tcW w:w="33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59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质量保证措施</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c>
          <w:tcPr>
            <w:tcW w:w="352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评标委员会根据供应商</w:t>
            </w:r>
            <w:r>
              <w:rPr>
                <w:rFonts w:hint="eastAsia" w:ascii="宋体" w:hAnsi="宋体" w:eastAsia="宋体" w:cs="宋体"/>
                <w:color w:val="auto"/>
                <w:szCs w:val="21"/>
                <w:highlight w:val="none"/>
                <w:lang w:val="en-US" w:eastAsia="zh-CN"/>
              </w:rPr>
              <w:t>针对本项目提出的</w:t>
            </w:r>
            <w:r>
              <w:rPr>
                <w:rFonts w:hint="eastAsia" w:ascii="宋体" w:hAnsi="宋体" w:eastAsia="宋体" w:cs="宋体"/>
                <w:color w:val="auto"/>
                <w:szCs w:val="21"/>
                <w:highlight w:val="none"/>
              </w:rPr>
              <w:t>质量保证措施制定的</w:t>
            </w:r>
            <w:r>
              <w:rPr>
                <w:rFonts w:hint="eastAsia" w:ascii="宋体" w:hAnsi="宋体" w:eastAsia="宋体" w:cs="宋体"/>
                <w:color w:val="auto"/>
                <w:szCs w:val="21"/>
                <w:highlight w:val="none"/>
                <w:lang w:val="en-US" w:eastAsia="zh-CN"/>
              </w:rPr>
              <w:t>合理性、</w:t>
            </w:r>
            <w:r>
              <w:rPr>
                <w:rFonts w:hint="eastAsia" w:ascii="宋体" w:hAnsi="宋体" w:eastAsia="宋体" w:cs="宋体"/>
                <w:color w:val="auto"/>
                <w:szCs w:val="21"/>
                <w:highlight w:val="none"/>
              </w:rPr>
              <w:t>科学性、完善性等，进行综合评议酌情打分。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）保证措施详细完善，科学合理的，</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6分；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）保证措施较为完善，较为科学合理的，</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）保证措施不完善，不合理的，</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1分</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）未提供的</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r>
              <w:rPr>
                <w:rFonts w:hint="eastAsia" w:ascii="宋体" w:hAnsi="宋体" w:cs="宋体"/>
                <w:color w:val="auto"/>
                <w:highlight w:val="none"/>
                <w:lang w:eastAsia="zh-CN"/>
              </w:rPr>
              <w:t>。</w:t>
            </w:r>
          </w:p>
        </w:tc>
        <w:tc>
          <w:tcPr>
            <w:tcW w:w="33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59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培训方案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5.5分</w:t>
            </w:r>
            <w:r>
              <w:rPr>
                <w:rFonts w:hint="eastAsia" w:ascii="宋体" w:hAnsi="宋体" w:eastAsia="宋体" w:cs="宋体"/>
                <w:color w:val="auto"/>
                <w:kern w:val="0"/>
                <w:sz w:val="21"/>
                <w:szCs w:val="21"/>
                <w:highlight w:val="none"/>
                <w:lang w:eastAsia="zh-CN"/>
              </w:rPr>
              <w:t>）</w:t>
            </w:r>
          </w:p>
        </w:tc>
        <w:tc>
          <w:tcPr>
            <w:tcW w:w="3522" w:type="pct"/>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在服务开始前应对工作人员进行岗前培训，可从培训对应的工作要点、需要达到的质量目标着手；日常工作过程中应不定时的对工作人员进行培训，可从技能培训、体能训练、救援技能训练、安全文明培训方面着手，</w:t>
            </w:r>
            <w:r>
              <w:rPr>
                <w:rFonts w:hint="eastAsia" w:ascii="宋体" w:hAnsi="宋体" w:eastAsia="宋体" w:cs="宋体"/>
                <w:color w:val="auto"/>
                <w:kern w:val="0"/>
                <w:sz w:val="21"/>
                <w:szCs w:val="21"/>
                <w:highlight w:val="none"/>
                <w:lang w:eastAsia="zh-CN"/>
              </w:rPr>
              <w:t>评标委员会</w:t>
            </w:r>
            <w:r>
              <w:rPr>
                <w:rFonts w:hint="eastAsia" w:ascii="宋体" w:hAnsi="宋体" w:eastAsia="宋体" w:cs="宋体"/>
                <w:color w:val="auto"/>
                <w:kern w:val="0"/>
                <w:sz w:val="21"/>
                <w:szCs w:val="21"/>
                <w:highlight w:val="none"/>
              </w:rPr>
              <w:t>进行评分。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）方案内容详细完善，科学合理的，</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5.5分；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）方案内容较为完善，较为科学合理的，</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）方案内容不完善，不合理的得，</w:t>
            </w:r>
            <w:r>
              <w:rPr>
                <w:rFonts w:hint="eastAsia" w:ascii="宋体" w:hAnsi="宋体" w:eastAsia="宋体" w:cs="宋体"/>
                <w:color w:val="auto"/>
                <w:highlight w:val="none"/>
                <w:lang w:val="en-US" w:eastAsia="zh-CN"/>
              </w:rPr>
              <w:t>最高</w:t>
            </w:r>
            <w:r>
              <w:rPr>
                <w:rFonts w:hint="eastAsia" w:ascii="宋体" w:hAnsi="宋体" w:eastAsia="宋体" w:cs="宋体"/>
                <w:color w:val="auto"/>
                <w:highlight w:val="none"/>
              </w:rPr>
              <w:t>得</w:t>
            </w:r>
            <w:r>
              <w:rPr>
                <w:rFonts w:hint="eastAsia" w:ascii="宋体" w:hAnsi="宋体" w:eastAsia="宋体" w:cs="宋体"/>
                <w:color w:val="auto"/>
                <w:szCs w:val="21"/>
                <w:highlight w:val="none"/>
                <w:lang w:val="en-US" w:eastAsia="zh-CN"/>
              </w:rPr>
              <w:t>1分</w:t>
            </w:r>
            <w:r>
              <w:rPr>
                <w:rFonts w:hint="eastAsia" w:ascii="宋体" w:hAnsi="宋体" w:eastAsia="宋体" w:cs="宋体"/>
                <w:color w:val="auto"/>
                <w:highlight w:val="none"/>
                <w:lang w:eastAsia="zh-CN"/>
              </w:rPr>
              <w:t>。</w:t>
            </w:r>
          </w:p>
        </w:tc>
        <w:tc>
          <w:tcPr>
            <w:tcW w:w="33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59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保密措施</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tc>
        <w:tc>
          <w:tcPr>
            <w:tcW w:w="3522"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评标委员会根据供应商</w:t>
            </w:r>
            <w:r>
              <w:rPr>
                <w:rFonts w:hint="eastAsia" w:ascii="宋体" w:hAnsi="宋体" w:eastAsia="宋体" w:cs="宋体"/>
                <w:color w:val="auto"/>
                <w:szCs w:val="21"/>
                <w:highlight w:val="none"/>
                <w:lang w:val="en-US" w:eastAsia="zh-CN"/>
              </w:rPr>
              <w:t>针对本项目提出的</w:t>
            </w:r>
            <w:r>
              <w:rPr>
                <w:rFonts w:hint="eastAsia" w:ascii="宋体" w:hAnsi="宋体" w:eastAsia="宋体" w:cs="宋体"/>
                <w:color w:val="auto"/>
                <w:szCs w:val="21"/>
                <w:highlight w:val="none"/>
              </w:rPr>
              <w:t>针对检查企业所涉及的商业机密保密措施健全性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完整性</w:t>
            </w:r>
            <w:r>
              <w:rPr>
                <w:rFonts w:hint="eastAsia" w:ascii="宋体" w:hAnsi="宋体" w:eastAsia="宋体" w:cs="宋体"/>
                <w:color w:val="auto"/>
                <w:szCs w:val="21"/>
                <w:highlight w:val="none"/>
              </w:rPr>
              <w:t>进行综合评议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最高得3分。</w:t>
            </w:r>
          </w:p>
        </w:tc>
        <w:tc>
          <w:tcPr>
            <w:tcW w:w="33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597" w:type="pct"/>
            <w:vMerge w:val="restart"/>
            <w:shd w:val="clear" w:color="auto" w:fill="auto"/>
            <w:vAlign w:val="center"/>
          </w:tcPr>
          <w:p>
            <w:pPr>
              <w:pStyle w:val="8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办公、检查设备</w:t>
            </w:r>
            <w:r>
              <w:rPr>
                <w:rFonts w:hint="eastAsia" w:ascii="宋体" w:hAnsi="宋体" w:eastAsia="宋体" w:cs="宋体"/>
                <w:b w:val="0"/>
                <w:bCs w:val="0"/>
                <w:color w:val="auto"/>
                <w:sz w:val="21"/>
                <w:szCs w:val="21"/>
                <w:highlight w:val="none"/>
              </w:rPr>
              <w:t>配置</w:t>
            </w:r>
            <w:r>
              <w:rPr>
                <w:rFonts w:hint="eastAsia" w:ascii="宋体" w:hAnsi="宋体" w:eastAsia="宋体" w:cs="宋体"/>
                <w:b w:val="0"/>
                <w:bCs w:val="0"/>
                <w:color w:val="auto"/>
                <w:sz w:val="21"/>
                <w:szCs w:val="21"/>
                <w:highlight w:val="none"/>
                <w:lang w:val="en-US" w:eastAsia="zh-CN"/>
              </w:rPr>
              <w:t>情况</w:t>
            </w:r>
          </w:p>
          <w:p>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（8分）</w:t>
            </w:r>
          </w:p>
        </w:tc>
        <w:tc>
          <w:tcPr>
            <w:tcW w:w="352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评标委员会根据供应商拟投入本项目的设施设备清单（包括但不限于应急救援装备、设备等），是否全面完整、是否切合本项目的实际、是否满足项目需求进行综合评议，本项最高得4分。</w:t>
            </w:r>
          </w:p>
        </w:tc>
        <w:tc>
          <w:tcPr>
            <w:tcW w:w="330"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59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outlineLvl w:val="9"/>
              <w:rPr>
                <w:rFonts w:hint="eastAsia" w:ascii="宋体" w:hAnsi="宋体" w:eastAsia="宋体" w:cs="宋体"/>
                <w:b w:val="0"/>
                <w:bCs w:val="0"/>
                <w:color w:val="auto"/>
                <w:sz w:val="21"/>
                <w:szCs w:val="21"/>
                <w:highlight w:val="none"/>
                <w:lang w:val="en-US" w:eastAsia="zh-CN"/>
              </w:rPr>
            </w:pPr>
          </w:p>
        </w:tc>
        <w:tc>
          <w:tcPr>
            <w:tcW w:w="352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评委根据</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拟投入本项目的</w:t>
            </w:r>
            <w:r>
              <w:rPr>
                <w:rFonts w:hint="eastAsia" w:ascii="宋体" w:hAnsi="宋体" w:cs="宋体"/>
                <w:color w:val="auto"/>
                <w:kern w:val="2"/>
                <w:sz w:val="21"/>
                <w:szCs w:val="21"/>
                <w:highlight w:val="none"/>
                <w:lang w:val="en-US" w:eastAsia="zh-CN" w:bidi="ar-SA"/>
              </w:rPr>
              <w:t>交通工具</w:t>
            </w:r>
            <w:r>
              <w:rPr>
                <w:rFonts w:hint="eastAsia" w:ascii="宋体" w:hAnsi="宋体" w:eastAsia="宋体" w:cs="宋体"/>
                <w:color w:val="auto"/>
                <w:kern w:val="2"/>
                <w:sz w:val="21"/>
                <w:szCs w:val="21"/>
                <w:highlight w:val="none"/>
                <w:lang w:val="en-US" w:eastAsia="zh-CN" w:bidi="ar-SA"/>
              </w:rPr>
              <w:t>情况进行综合评议，本项最高得4分。</w:t>
            </w:r>
          </w:p>
        </w:tc>
        <w:tc>
          <w:tcPr>
            <w:tcW w:w="330"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597" w:type="pct"/>
            <w:shd w:val="clear" w:color="auto" w:fill="auto"/>
            <w:vAlign w:val="center"/>
          </w:tcPr>
          <w:p>
            <w:pPr>
              <w:keepNext w:val="0"/>
              <w:keepLines w:val="0"/>
              <w:pageBreakBefore w:val="0"/>
              <w:widowControl w:val="0"/>
              <w:tabs>
                <w:tab w:val="left" w:pos="57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服务响应方案</w:t>
            </w:r>
          </w:p>
          <w:p>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（3分）</w:t>
            </w:r>
          </w:p>
        </w:tc>
        <w:tc>
          <w:tcPr>
            <w:tcW w:w="3522" w:type="pct"/>
            <w:shd w:val="clear" w:color="auto" w:fill="auto"/>
            <w:vAlign w:val="center"/>
          </w:tcPr>
          <w:p>
            <w:pPr>
              <w:keepNext w:val="0"/>
              <w:keepLines w:val="0"/>
              <w:pageBreakBefore w:val="0"/>
              <w:widowControl w:val="0"/>
              <w:tabs>
                <w:tab w:val="left" w:pos="57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评标委员会根据供应商针对本项目提出的服务响应方案，包括服务响应时间、响应程度、解决问题的能力、技术指导方式、应急服务能力、培训方案等进行综合评议，</w:t>
            </w:r>
            <w:r>
              <w:rPr>
                <w:rFonts w:hint="eastAsia" w:ascii="宋体" w:hAnsi="宋体" w:eastAsia="宋体" w:cs="宋体"/>
                <w:color w:val="auto"/>
                <w:highlight w:val="none"/>
                <w:lang w:val="en-US" w:eastAsia="zh-CN"/>
              </w:rPr>
              <w:t>最高</w:t>
            </w:r>
            <w:r>
              <w:rPr>
                <w:rFonts w:hint="eastAsia" w:ascii="宋体" w:hAnsi="宋体" w:eastAsia="宋体" w:cs="宋体"/>
                <w:color w:val="auto"/>
                <w:highlight w:val="none"/>
              </w:rPr>
              <w:t>得</w:t>
            </w:r>
            <w:bookmarkStart w:id="33" w:name="_GoBack"/>
            <w:bookmarkEnd w:id="33"/>
            <w:r>
              <w:rPr>
                <w:rFonts w:hint="eastAsia" w:ascii="宋体" w:hAnsi="宋体" w:eastAsia="宋体" w:cs="宋体"/>
                <w:color w:val="auto"/>
                <w:sz w:val="21"/>
                <w:szCs w:val="21"/>
                <w:highlight w:val="none"/>
                <w:lang w:val="en-US" w:eastAsia="zh-CN"/>
              </w:rPr>
              <w:t>3分</w:t>
            </w:r>
          </w:p>
        </w:tc>
        <w:tc>
          <w:tcPr>
            <w:tcW w:w="330"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7" w:hRule="atLeast"/>
          <w:jc w:val="center"/>
        </w:trPr>
        <w:tc>
          <w:tcPr>
            <w:tcW w:w="548"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597" w:type="pct"/>
            <w:shd w:val="clear" w:color="auto" w:fill="auto"/>
            <w:vAlign w:val="center"/>
          </w:tcPr>
          <w:p>
            <w:pPr>
              <w:pStyle w:val="8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人员配置情况</w:t>
            </w:r>
          </w:p>
          <w:p>
            <w:pPr>
              <w:pStyle w:val="8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12分</w:t>
            </w:r>
            <w:r>
              <w:rPr>
                <w:rFonts w:hint="eastAsia" w:ascii="宋体" w:hAnsi="宋体" w:eastAsia="宋体" w:cs="宋体"/>
                <w:b w:val="0"/>
                <w:bCs w:val="0"/>
                <w:color w:val="auto"/>
                <w:sz w:val="21"/>
                <w:szCs w:val="21"/>
                <w:highlight w:val="none"/>
                <w:lang w:eastAsia="zh-CN"/>
              </w:rPr>
              <w:t>）</w:t>
            </w:r>
          </w:p>
        </w:tc>
        <w:tc>
          <w:tcPr>
            <w:tcW w:w="3522" w:type="pct"/>
            <w:shd w:val="clear" w:color="auto" w:fill="auto"/>
            <w:vAlign w:val="center"/>
          </w:tcPr>
          <w:p>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评标委员会根据</w:t>
            </w:r>
            <w:r>
              <w:rPr>
                <w:rFonts w:hint="eastAsia" w:ascii="宋体" w:hAnsi="宋体" w:eastAsia="宋体" w:cs="宋体"/>
                <w:color w:val="auto"/>
                <w:sz w:val="21"/>
                <w:szCs w:val="21"/>
                <w:highlight w:val="none"/>
                <w:lang w:val="en-US" w:eastAsia="zh-CN"/>
              </w:rPr>
              <w:t>供应商结合招标文件第二章《</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lang w:val="en-US"/>
              </w:rPr>
              <w:t>拟投入本项目实施团队</w:t>
            </w:r>
            <w:r>
              <w:rPr>
                <w:rFonts w:hint="eastAsia" w:ascii="宋体" w:hAnsi="宋体" w:eastAsia="宋体" w:cs="宋体"/>
                <w:color w:val="auto"/>
                <w:sz w:val="21"/>
                <w:szCs w:val="21"/>
                <w:highlight w:val="none"/>
                <w:lang w:val="en-US" w:eastAsia="zh-CN"/>
              </w:rPr>
              <w:t>在满足的同时</w:t>
            </w:r>
            <w:r>
              <w:rPr>
                <w:rFonts w:hint="eastAsia" w:ascii="宋体" w:hAnsi="宋体" w:eastAsia="宋体" w:cs="宋体"/>
                <w:color w:val="auto"/>
                <w:sz w:val="21"/>
                <w:szCs w:val="21"/>
                <w:highlight w:val="none"/>
                <w:lang w:val="en-US"/>
              </w:rPr>
              <w:t>人员配备合理性、岗位分工、专业技能水平、类似项目经验能力案例</w:t>
            </w:r>
            <w:r>
              <w:rPr>
                <w:rFonts w:hint="eastAsia" w:ascii="宋体" w:hAnsi="宋体" w:eastAsia="宋体" w:cs="宋体"/>
                <w:color w:val="auto"/>
                <w:sz w:val="21"/>
                <w:szCs w:val="21"/>
                <w:highlight w:val="none"/>
                <w:lang w:val="en-US" w:eastAsia="zh-CN"/>
              </w:rPr>
              <w:t>、人员资质、消防工程师职称、数量</w:t>
            </w:r>
            <w:r>
              <w:rPr>
                <w:rFonts w:hint="eastAsia" w:ascii="宋体" w:hAnsi="宋体" w:eastAsia="宋体" w:cs="宋体"/>
                <w:color w:val="auto"/>
                <w:sz w:val="21"/>
                <w:szCs w:val="21"/>
                <w:highlight w:val="none"/>
                <w:lang w:val="en-US"/>
              </w:rPr>
              <w:t>等</w:t>
            </w:r>
            <w:r>
              <w:rPr>
                <w:rFonts w:hint="eastAsia" w:ascii="宋体" w:hAnsi="宋体" w:eastAsia="宋体" w:cs="宋体"/>
                <w:color w:val="auto"/>
                <w:sz w:val="21"/>
                <w:szCs w:val="21"/>
                <w:highlight w:val="none"/>
                <w:lang w:val="en-US" w:eastAsia="zh-CN"/>
              </w:rPr>
              <w:t>方面</w:t>
            </w:r>
            <w:r>
              <w:rPr>
                <w:rFonts w:hint="eastAsia" w:ascii="宋体" w:hAnsi="宋体" w:eastAsia="宋体" w:cs="宋体"/>
                <w:color w:val="auto"/>
                <w:sz w:val="21"/>
                <w:szCs w:val="21"/>
                <w:highlight w:val="none"/>
                <w:lang w:val="en-US"/>
              </w:rPr>
              <w:t>进行综合评议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最高12分。</w:t>
            </w:r>
          </w:p>
          <w:p>
            <w:pPr>
              <w:pStyle w:val="85"/>
              <w:keepNext w:val="0"/>
              <w:keepLines w:val="0"/>
              <w:pageBreakBefore w:val="0"/>
              <w:widowControl w:val="0"/>
              <w:tabs>
                <w:tab w:val="left" w:pos="840"/>
              </w:tabs>
              <w:kinsoku/>
              <w:wordWrap/>
              <w:overflowPunct/>
              <w:topLinePunct w:val="0"/>
              <w:autoSpaceDE/>
              <w:autoSpaceDN/>
              <w:bidi w:val="0"/>
              <w:adjustRightInd/>
              <w:snapToGrid/>
              <w:spacing w:line="400" w:lineRule="exact"/>
              <w:ind w:left="0" w:leftChars="0" w:firstLine="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人员资质、职称、技能水平、数量、岗位设置完全满足采购人需求的，并且科学合理的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最高得12</w:t>
            </w:r>
            <w:r>
              <w:rPr>
                <w:rFonts w:hint="eastAsia" w:ascii="宋体" w:hAnsi="宋体" w:eastAsia="宋体" w:cs="宋体"/>
                <w:color w:val="auto"/>
                <w:sz w:val="21"/>
                <w:szCs w:val="21"/>
                <w:highlight w:val="none"/>
              </w:rPr>
              <w:t>分；</w:t>
            </w:r>
          </w:p>
          <w:p>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人员资质、职称、技能水平、数量、岗位设置较好的满足采购人需求的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最高得8</w:t>
            </w:r>
            <w:r>
              <w:rPr>
                <w:rFonts w:hint="eastAsia" w:ascii="宋体" w:hAnsi="宋体" w:eastAsia="宋体" w:cs="宋体"/>
                <w:color w:val="auto"/>
                <w:sz w:val="21"/>
                <w:szCs w:val="21"/>
                <w:highlight w:val="none"/>
              </w:rPr>
              <w:t>分；</w:t>
            </w:r>
          </w:p>
          <w:p>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人员资质、职称、技能水平、数量、岗位设置基本满足采购人需求的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最高得3</w:t>
            </w:r>
            <w:r>
              <w:rPr>
                <w:rFonts w:hint="eastAsia" w:ascii="宋体" w:hAnsi="宋体" w:eastAsia="宋体" w:cs="宋体"/>
                <w:color w:val="auto"/>
                <w:sz w:val="21"/>
                <w:szCs w:val="21"/>
                <w:highlight w:val="none"/>
              </w:rPr>
              <w:t>分；</w:t>
            </w:r>
          </w:p>
          <w:p>
            <w:pPr>
              <w:pStyle w:val="8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1"/>
                <w:szCs w:val="21"/>
                <w:highlight w:val="none"/>
              </w:rPr>
              <w:t>投标文件中提供实施团队人员一览表</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2"/>
                <w:sz w:val="21"/>
                <w:szCs w:val="21"/>
                <w:highlight w:val="none"/>
                <w:lang w:val="en-US" w:eastAsia="zh-CN" w:bidi="ar"/>
              </w:rPr>
              <w:t>学历证书</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或者中国高等教育学生信息网下载的学历查询报告</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0"/>
                <w:sz w:val="21"/>
                <w:szCs w:val="21"/>
                <w:highlight w:val="none"/>
                <w:lang w:val="en-US" w:eastAsia="zh-CN"/>
              </w:rPr>
              <w:t>相关</w:t>
            </w:r>
            <w:r>
              <w:rPr>
                <w:rFonts w:hint="eastAsia" w:ascii="宋体" w:hAnsi="宋体" w:cs="宋体"/>
                <w:color w:val="auto"/>
                <w:kern w:val="0"/>
                <w:sz w:val="21"/>
                <w:szCs w:val="21"/>
                <w:highlight w:val="none"/>
                <w:lang w:val="en-US" w:eastAsia="zh-CN"/>
              </w:rPr>
              <w:t>职称</w:t>
            </w:r>
            <w:r>
              <w:rPr>
                <w:rFonts w:hint="eastAsia" w:ascii="宋体" w:hAnsi="宋体" w:eastAsia="宋体" w:cs="宋体"/>
                <w:color w:val="auto"/>
                <w:kern w:val="0"/>
                <w:sz w:val="21"/>
                <w:szCs w:val="21"/>
                <w:highlight w:val="none"/>
              </w:rPr>
              <w:t>证书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等证明资料的</w:t>
            </w:r>
            <w:r>
              <w:rPr>
                <w:rFonts w:hint="eastAsia" w:ascii="宋体" w:hAnsi="宋体" w:eastAsia="宋体" w:cs="宋体"/>
                <w:color w:val="auto"/>
                <w:kern w:val="0"/>
                <w:sz w:val="21"/>
                <w:szCs w:val="21"/>
                <w:highlight w:val="none"/>
              </w:rPr>
              <w:t>复印件加盖公章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 w:val="21"/>
                <w:szCs w:val="21"/>
                <w:highlight w:val="none"/>
              </w:rPr>
              <w:t>提供由社保部门出具的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为相关人员缴纳的</w:t>
            </w:r>
            <w:r>
              <w:rPr>
                <w:rFonts w:hint="eastAsia" w:ascii="宋体" w:hAnsi="宋体" w:eastAsia="宋体" w:cs="宋体"/>
                <w:color w:val="auto"/>
                <w:sz w:val="21"/>
                <w:szCs w:val="21"/>
                <w:highlight w:val="none"/>
                <w:lang w:val="en-US" w:eastAsia="zh-CN"/>
              </w:rPr>
              <w:t>近</w:t>
            </w:r>
            <w:r>
              <w:rPr>
                <w:rFonts w:hint="eastAsia" w:ascii="宋体" w:hAnsi="宋体" w:eastAsia="宋体" w:cs="宋体"/>
                <w:color w:val="auto"/>
                <w:sz w:val="21"/>
                <w:szCs w:val="21"/>
                <w:highlight w:val="none"/>
              </w:rPr>
              <w:t>三个月</w:t>
            </w:r>
            <w:r>
              <w:rPr>
                <w:rFonts w:hint="eastAsia" w:ascii="宋体" w:hAnsi="宋体" w:eastAsia="宋体" w:cs="宋体"/>
                <w:color w:val="auto"/>
                <w:sz w:val="21"/>
                <w:szCs w:val="21"/>
                <w:highlight w:val="none"/>
                <w:lang w:val="en-US" w:eastAsia="zh-CN"/>
              </w:rPr>
              <w:t>内任意一个月</w:t>
            </w:r>
            <w:r>
              <w:rPr>
                <w:rFonts w:hint="eastAsia" w:ascii="宋体" w:hAnsi="宋体" w:eastAsia="宋体" w:cs="宋体"/>
                <w:color w:val="auto"/>
                <w:sz w:val="21"/>
                <w:szCs w:val="21"/>
                <w:highlight w:val="none"/>
              </w:rPr>
              <w:t>的参保证明</w:t>
            </w:r>
            <w:r>
              <w:rPr>
                <w:rFonts w:hint="eastAsia" w:ascii="宋体" w:hAnsi="宋体" w:eastAsia="宋体" w:cs="宋体"/>
                <w:color w:val="auto"/>
                <w:kern w:val="2"/>
                <w:sz w:val="21"/>
                <w:szCs w:val="21"/>
                <w:highlight w:val="none"/>
                <w:lang w:val="en-US" w:eastAsia="zh-CN" w:bidi="ar"/>
              </w:rPr>
              <w:t>（社保缴纳单位应与</w:t>
            </w:r>
            <w:r>
              <w:rPr>
                <w:rFonts w:hint="eastAsia" w:ascii="宋体" w:hAnsi="宋体" w:cs="宋体"/>
                <w:color w:val="auto"/>
                <w:kern w:val="2"/>
                <w:sz w:val="21"/>
                <w:szCs w:val="21"/>
                <w:highlight w:val="none"/>
                <w:lang w:val="en-US" w:eastAsia="zh-CN" w:bidi="ar"/>
              </w:rPr>
              <w:t>供应商名称保持</w:t>
            </w:r>
            <w:r>
              <w:rPr>
                <w:rFonts w:hint="eastAsia" w:ascii="宋体" w:hAnsi="宋体" w:eastAsia="宋体" w:cs="宋体"/>
                <w:color w:val="auto"/>
                <w:kern w:val="2"/>
                <w:sz w:val="21"/>
                <w:szCs w:val="21"/>
                <w:highlight w:val="none"/>
                <w:lang w:val="en-US" w:eastAsia="zh-CN" w:bidi="ar"/>
              </w:rPr>
              <w:t>一致）</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kern w:val="0"/>
                <w:sz w:val="21"/>
                <w:szCs w:val="21"/>
                <w:highlight w:val="none"/>
              </w:rPr>
              <w:t>加盖公章。</w:t>
            </w:r>
          </w:p>
        </w:tc>
        <w:tc>
          <w:tcPr>
            <w:tcW w:w="330"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59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企业履约能力</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1.5分</w:t>
            </w:r>
            <w:r>
              <w:rPr>
                <w:rFonts w:hint="eastAsia" w:ascii="宋体" w:hAnsi="宋体" w:cs="宋体"/>
                <w:color w:val="auto"/>
                <w:kern w:val="0"/>
                <w:sz w:val="21"/>
                <w:szCs w:val="21"/>
                <w:highlight w:val="none"/>
                <w:lang w:eastAsia="zh-CN"/>
              </w:rPr>
              <w:t>）</w:t>
            </w:r>
          </w:p>
        </w:tc>
        <w:tc>
          <w:tcPr>
            <w:tcW w:w="352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公司技术力量情况（</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供应商具有有效的</w:t>
            </w:r>
            <w:r>
              <w:rPr>
                <w:rFonts w:hint="eastAsia" w:ascii="宋体" w:hAnsi="宋体" w:eastAsia="宋体" w:cs="宋体"/>
                <w:color w:val="auto"/>
                <w:sz w:val="21"/>
                <w:szCs w:val="20"/>
                <w:highlight w:val="none"/>
                <w:lang w:val="en-US"/>
              </w:rPr>
              <w:t>ISO9001质量管理体系</w:t>
            </w:r>
            <w:r>
              <w:rPr>
                <w:rFonts w:hint="eastAsia" w:ascii="宋体" w:hAnsi="宋体" w:eastAsia="宋体" w:cs="宋体"/>
                <w:color w:val="auto"/>
                <w:sz w:val="21"/>
                <w:szCs w:val="20"/>
                <w:highlight w:val="none"/>
              </w:rPr>
              <w:t>认证</w:t>
            </w:r>
            <w:r>
              <w:rPr>
                <w:rFonts w:hint="eastAsia" w:ascii="宋体" w:hAnsi="宋体" w:eastAsia="宋体" w:cs="宋体"/>
                <w:color w:val="auto"/>
                <w:sz w:val="21"/>
                <w:szCs w:val="20"/>
                <w:highlight w:val="none"/>
                <w:lang w:val="en-US"/>
              </w:rPr>
              <w:t>证书的，</w:t>
            </w:r>
            <w:r>
              <w:rPr>
                <w:rFonts w:hint="eastAsia" w:ascii="宋体" w:hAnsi="宋体" w:eastAsia="宋体" w:cs="宋体"/>
                <w:color w:val="auto"/>
                <w:sz w:val="21"/>
                <w:szCs w:val="20"/>
                <w:highlight w:val="none"/>
              </w:rPr>
              <w:t>得</w:t>
            </w:r>
            <w:r>
              <w:rPr>
                <w:rFonts w:hint="eastAsia" w:ascii="宋体" w:hAnsi="宋体" w:eastAsia="宋体" w:cs="宋体"/>
                <w:color w:val="auto"/>
                <w:sz w:val="21"/>
                <w:szCs w:val="20"/>
                <w:highlight w:val="none"/>
                <w:lang w:val="en-US" w:eastAsia="zh-CN"/>
              </w:rPr>
              <w:t>0.5</w:t>
            </w:r>
            <w:r>
              <w:rPr>
                <w:rFonts w:hint="eastAsia" w:ascii="宋体" w:hAnsi="宋体" w:eastAsia="宋体" w:cs="宋体"/>
                <w:color w:val="auto"/>
                <w:sz w:val="21"/>
                <w:szCs w:val="20"/>
                <w:highlight w:val="none"/>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供应商具有有效的</w:t>
            </w:r>
            <w:r>
              <w:rPr>
                <w:rFonts w:hint="eastAsia" w:ascii="宋体" w:hAnsi="宋体" w:eastAsia="宋体" w:cs="宋体"/>
                <w:color w:val="auto"/>
                <w:sz w:val="21"/>
                <w:szCs w:val="20"/>
                <w:highlight w:val="none"/>
                <w:lang w:val="en-US"/>
              </w:rPr>
              <w:t>ISO45001职业健康安全管理体系认证证书的，</w:t>
            </w:r>
            <w:r>
              <w:rPr>
                <w:rFonts w:hint="eastAsia" w:ascii="宋体" w:hAnsi="宋体" w:eastAsia="宋体" w:cs="宋体"/>
                <w:color w:val="auto"/>
                <w:sz w:val="21"/>
                <w:szCs w:val="20"/>
                <w:highlight w:val="none"/>
              </w:rPr>
              <w:t>得</w:t>
            </w:r>
            <w:r>
              <w:rPr>
                <w:rFonts w:hint="eastAsia" w:ascii="宋体" w:hAnsi="宋体" w:eastAsia="宋体" w:cs="宋体"/>
                <w:color w:val="auto"/>
                <w:sz w:val="21"/>
                <w:szCs w:val="20"/>
                <w:highlight w:val="none"/>
                <w:lang w:val="en-US" w:eastAsia="zh-CN"/>
              </w:rPr>
              <w:t>0.5</w:t>
            </w:r>
            <w:r>
              <w:rPr>
                <w:rFonts w:hint="eastAsia" w:ascii="宋体" w:hAnsi="宋体" w:eastAsia="宋体" w:cs="宋体"/>
                <w:color w:val="auto"/>
                <w:sz w:val="21"/>
                <w:szCs w:val="20"/>
                <w:highlight w:val="none"/>
              </w:rPr>
              <w:t>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olor w:val="auto"/>
                <w:szCs w:val="21"/>
                <w:highlight w:val="none"/>
              </w:rPr>
            </w:pPr>
            <w:r>
              <w:rPr>
                <w:rFonts w:hint="eastAsia" w:ascii="宋体" w:hAnsi="宋体" w:eastAsia="宋体" w:cs="宋体"/>
                <w:color w:val="auto"/>
                <w:sz w:val="21"/>
                <w:szCs w:val="20"/>
                <w:highlight w:val="none"/>
              </w:rPr>
              <w:t>供应商</w:t>
            </w:r>
            <w:r>
              <w:rPr>
                <w:rFonts w:hint="eastAsia" w:ascii="宋体" w:hAnsi="宋体"/>
                <w:color w:val="auto"/>
                <w:szCs w:val="21"/>
                <w:highlight w:val="none"/>
              </w:rPr>
              <w:t>具有</w:t>
            </w:r>
            <w:r>
              <w:rPr>
                <w:rFonts w:hint="eastAsia" w:ascii="宋体" w:hAnsi="宋体" w:eastAsia="宋体" w:cs="宋体"/>
                <w:color w:val="auto"/>
                <w:sz w:val="21"/>
                <w:szCs w:val="20"/>
                <w:highlight w:val="none"/>
              </w:rPr>
              <w:t>有效的</w:t>
            </w:r>
            <w:r>
              <w:rPr>
                <w:rFonts w:hint="eastAsia" w:ascii="宋体" w:hAnsi="宋体"/>
                <w:color w:val="auto"/>
                <w:szCs w:val="21"/>
                <w:highlight w:val="none"/>
              </w:rPr>
              <w:t>ISO14001环境管理体系认证</w:t>
            </w:r>
            <w:r>
              <w:rPr>
                <w:rFonts w:hint="eastAsia" w:ascii="宋体" w:hAnsi="宋体" w:eastAsia="宋体" w:cs="宋体"/>
                <w:color w:val="auto"/>
                <w:sz w:val="21"/>
                <w:szCs w:val="20"/>
                <w:highlight w:val="none"/>
                <w:lang w:val="en-US"/>
              </w:rPr>
              <w:t>证书的，</w:t>
            </w:r>
            <w:r>
              <w:rPr>
                <w:rFonts w:hint="eastAsia" w:ascii="宋体" w:hAnsi="宋体" w:eastAsia="宋体" w:cs="宋体"/>
                <w:color w:val="auto"/>
                <w:sz w:val="21"/>
                <w:szCs w:val="20"/>
                <w:highlight w:val="none"/>
              </w:rPr>
              <w:t>得</w:t>
            </w:r>
            <w:r>
              <w:rPr>
                <w:rFonts w:hint="eastAsia" w:ascii="宋体" w:hAnsi="宋体" w:eastAsia="宋体" w:cs="宋体"/>
                <w:color w:val="auto"/>
                <w:sz w:val="21"/>
                <w:szCs w:val="20"/>
                <w:highlight w:val="none"/>
                <w:lang w:val="en-US" w:eastAsia="zh-CN"/>
              </w:rPr>
              <w:t>0.5</w:t>
            </w:r>
            <w:r>
              <w:rPr>
                <w:rFonts w:hint="eastAsia" w:ascii="宋体" w:hAnsi="宋体" w:eastAsia="宋体" w:cs="宋体"/>
                <w:color w:val="auto"/>
                <w:sz w:val="21"/>
                <w:szCs w:val="20"/>
                <w:highlight w:val="none"/>
              </w:rPr>
              <w:t>分</w:t>
            </w:r>
            <w:r>
              <w:rPr>
                <w:rFonts w:hint="eastAsia" w:ascii="宋体" w:hAnsi="宋体" w:eastAsia="宋体" w:cs="宋体"/>
                <w:color w:val="auto"/>
                <w:sz w:val="21"/>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备注：投标文件中提供</w:t>
            </w:r>
            <w:r>
              <w:rPr>
                <w:rFonts w:hint="eastAsia" w:ascii="宋体" w:hAnsi="宋体" w:eastAsia="宋体" w:cs="宋体"/>
                <w:color w:val="auto"/>
                <w:kern w:val="0"/>
                <w:sz w:val="21"/>
                <w:szCs w:val="21"/>
                <w:highlight w:val="none"/>
                <w:lang w:val="en-US" w:eastAsia="zh-CN"/>
              </w:rPr>
              <w:t>有效</w:t>
            </w:r>
            <w:r>
              <w:rPr>
                <w:rFonts w:hint="eastAsia" w:ascii="宋体" w:hAnsi="宋体" w:eastAsia="宋体" w:cs="宋体"/>
                <w:color w:val="auto"/>
                <w:kern w:val="0"/>
                <w:sz w:val="21"/>
                <w:szCs w:val="21"/>
                <w:highlight w:val="none"/>
              </w:rPr>
              <w:t>证书复印件并加盖公章，未提供或提供的证书未在有效期内的不得分。</w:t>
            </w:r>
          </w:p>
        </w:tc>
        <w:tc>
          <w:tcPr>
            <w:tcW w:w="330" w:type="pct"/>
            <w:shd w:val="clear" w:color="auto" w:fill="auto"/>
            <w:vAlign w:val="center"/>
          </w:tcPr>
          <w:p>
            <w:pPr>
              <w:tabs>
                <w:tab w:val="left" w:pos="570"/>
              </w:tabs>
              <w:spacing w:line="240" w:lineRule="auto"/>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8"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rPr>
            </w:pPr>
          </w:p>
        </w:tc>
        <w:tc>
          <w:tcPr>
            <w:tcW w:w="597" w:type="pct"/>
            <w:shd w:val="clear" w:color="auto" w:fill="auto"/>
            <w:vAlign w:val="center"/>
          </w:tcPr>
          <w:p>
            <w:pPr>
              <w:keepNext w:val="0"/>
              <w:keepLines w:val="0"/>
              <w:pageBreakBefore w:val="0"/>
              <w:widowControl w:val="0"/>
              <w:tabs>
                <w:tab w:val="left" w:pos="57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类似项目经验</w:t>
            </w:r>
          </w:p>
          <w:p>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（2分）</w:t>
            </w:r>
          </w:p>
        </w:tc>
        <w:tc>
          <w:tcPr>
            <w:tcW w:w="3522" w:type="pct"/>
            <w:shd w:val="clear" w:color="auto" w:fill="auto"/>
            <w:vAlign w:val="center"/>
          </w:tcPr>
          <w:p>
            <w:pPr>
              <w:keepNext w:val="0"/>
              <w:keepLines w:val="0"/>
              <w:pageBreakBefore w:val="0"/>
              <w:widowControl w:val="0"/>
              <w:tabs>
                <w:tab w:val="left" w:pos="57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自202</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月1日至今，</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承接过同类</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业绩的，每提供一个得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highlight w:val="none"/>
                <w:lang w:val="en-US" w:eastAsia="zh-CN"/>
              </w:rPr>
              <w:t>最高</w:t>
            </w:r>
            <w:r>
              <w:rPr>
                <w:rFonts w:hint="eastAsia" w:ascii="宋体" w:hAnsi="宋体" w:eastAsia="宋体" w:cs="宋体"/>
                <w:color w:val="auto"/>
                <w:highlight w:val="none"/>
              </w:rPr>
              <w:t>得</w:t>
            </w:r>
            <w:r>
              <w:rPr>
                <w:rFonts w:hint="eastAsia" w:ascii="宋体" w:hAnsi="宋体" w:eastAsia="宋体" w:cs="宋体"/>
                <w:color w:val="auto"/>
                <w:kern w:val="0"/>
                <w:sz w:val="21"/>
                <w:szCs w:val="21"/>
                <w:highlight w:val="none"/>
              </w:rPr>
              <w:t>2分【时间以合同签订日为准，投标文件中须提供合同</w:t>
            </w:r>
            <w:r>
              <w:rPr>
                <w:rFonts w:hint="eastAsia" w:ascii="宋体" w:hAnsi="宋体" w:cs="宋体"/>
                <w:color w:val="auto"/>
                <w:kern w:val="0"/>
                <w:sz w:val="21"/>
                <w:szCs w:val="21"/>
                <w:highlight w:val="none"/>
                <w:lang w:val="en-US" w:eastAsia="zh-CN"/>
              </w:rPr>
              <w:t>复印件</w:t>
            </w:r>
            <w:r>
              <w:rPr>
                <w:rFonts w:hint="eastAsia" w:ascii="宋体" w:hAnsi="宋体" w:eastAsia="宋体" w:cs="宋体"/>
                <w:color w:val="auto"/>
                <w:kern w:val="0"/>
                <w:sz w:val="21"/>
                <w:szCs w:val="21"/>
                <w:highlight w:val="none"/>
              </w:rPr>
              <w:t>加盖单位公章，未提供</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本项不得分】</w:t>
            </w:r>
            <w:r>
              <w:rPr>
                <w:rFonts w:hint="eastAsia" w:ascii="宋体" w:hAnsi="宋体" w:eastAsia="宋体" w:cs="宋体"/>
                <w:color w:val="auto"/>
                <w:kern w:val="0"/>
                <w:sz w:val="21"/>
                <w:szCs w:val="21"/>
                <w:highlight w:val="none"/>
                <w:lang w:val="en-US" w:eastAsia="zh-CN"/>
              </w:rPr>
              <w:t>。</w:t>
            </w:r>
          </w:p>
        </w:tc>
        <w:tc>
          <w:tcPr>
            <w:tcW w:w="330" w:type="pct"/>
            <w:shd w:val="clear" w:color="auto" w:fill="auto"/>
            <w:vAlign w:val="center"/>
          </w:tcPr>
          <w:p>
            <w:pPr>
              <w:keepNext w:val="0"/>
              <w:keepLines w:val="0"/>
              <w:pageBreakBefore w:val="0"/>
              <w:tabs>
                <w:tab w:val="left" w:pos="57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2</w:t>
            </w:r>
          </w:p>
        </w:tc>
      </w:tr>
    </w:tbl>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注：评委在上表设定的分值范围内打分(四舍五入保留一位小数)，平均分值计算四舍五入保留两位小数点。投标文件有缺项的，该项得分为最低分。</w:t>
      </w:r>
    </w:p>
    <w:p>
      <w:pPr>
        <w:rPr>
          <w:rStyle w:val="54"/>
          <w:rFonts w:hint="eastAsia"/>
          <w:color w:val="auto"/>
          <w:highlight w:val="none"/>
        </w:rPr>
      </w:pPr>
    </w:p>
    <w:p>
      <w:pPr>
        <w:rPr>
          <w:rStyle w:val="54"/>
          <w:rFonts w:hint="eastAsia"/>
          <w:color w:val="auto"/>
          <w:highlight w:val="none"/>
        </w:rPr>
      </w:pPr>
      <w:r>
        <w:rPr>
          <w:rStyle w:val="54"/>
          <w:rFonts w:hint="eastAsia"/>
          <w:color w:val="auto"/>
          <w:highlight w:val="none"/>
        </w:rPr>
        <w:br w:type="page"/>
      </w:r>
    </w:p>
    <w:p>
      <w:pPr>
        <w:pStyle w:val="19"/>
        <w:snapToGrid w:val="0"/>
        <w:spacing w:before="120" w:after="120" w:line="440" w:lineRule="exact"/>
        <w:jc w:val="center"/>
        <w:outlineLvl w:val="0"/>
        <w:rPr>
          <w:rStyle w:val="54"/>
          <w:rFonts w:hint="eastAsia" w:ascii="Times New Roman" w:hAnsi="Times New Roman" w:cs="Times New Roman"/>
          <w:color w:val="auto"/>
          <w:highlight w:val="none"/>
        </w:rPr>
      </w:pPr>
      <w:r>
        <w:rPr>
          <w:rStyle w:val="54"/>
          <w:rFonts w:hint="eastAsia" w:ascii="Times New Roman" w:hAnsi="Times New Roman" w:cs="Times New Roman"/>
          <w:color w:val="auto"/>
          <w:highlight w:val="none"/>
        </w:rPr>
        <w:t>第五章  合同主要条款</w:t>
      </w:r>
      <w:bookmarkEnd w:id="26"/>
    </w:p>
    <w:p>
      <w:pPr>
        <w:adjustRightInd w:val="0"/>
        <w:snapToGrid w:val="0"/>
        <w:spacing w:line="440" w:lineRule="exact"/>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浙江省政府采购合同指引（仅供参考）</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overflowPunct/>
        <w:topLinePunct w:val="0"/>
        <w:bidi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按照《中华人民共和国民法典》《中华人民共和国政府采购法》《中华人民共和国政府采购法实施条例》《政府采购货物和服务招标投标管理办法》《政府购买服务管理办法》等相关法律及政策的规定，根据</w:t>
      </w:r>
      <w:r>
        <w:rPr>
          <w:rFonts w:hint="eastAsia" w:ascii="宋体" w:hAnsi="宋体" w:eastAsia="宋体" w:cs="宋体"/>
          <w:color w:val="auto"/>
          <w:kern w:val="0"/>
          <w:sz w:val="21"/>
          <w:szCs w:val="21"/>
          <w:highlight w:val="none"/>
          <w:u w:val="single"/>
          <w:lang w:val="en-US" w:eastAsia="zh-CN"/>
        </w:rPr>
        <w:t>江北区城区街道消防安全第三方服务项目</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NBSD202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046</w:t>
      </w:r>
      <w:r>
        <w:rPr>
          <w:rFonts w:hint="eastAsia" w:ascii="宋体" w:hAnsi="宋体" w:eastAsia="宋体" w:cs="宋体"/>
          <w:color w:val="auto"/>
          <w:sz w:val="21"/>
          <w:szCs w:val="21"/>
          <w:highlight w:val="none"/>
        </w:rPr>
        <w:t>）的采购结果，签订本合同，以兹甲乙双方共同遵守。</w:t>
      </w:r>
    </w:p>
    <w:p>
      <w:pPr>
        <w:keepNext w:val="0"/>
        <w:keepLines w:val="0"/>
        <w:pageBreakBefore w:val="0"/>
        <w:widowControl w:val="0"/>
        <w:kinsoku/>
        <w:wordWrap/>
        <w:overflowPunct/>
        <w:topLinePunct w:val="0"/>
        <w:autoSpaceDE w:val="0"/>
        <w:autoSpaceDN w:val="0"/>
        <w:bidi w:val="0"/>
        <w:snapToGrid/>
        <w:spacing w:line="360" w:lineRule="auto"/>
        <w:ind w:firstLine="0" w:firstLineChars="0"/>
        <w:jc w:val="both"/>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一、项目名称</w:t>
      </w:r>
    </w:p>
    <w:p>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江北区城区街道消防安全第三方服务项目</w:t>
      </w:r>
    </w:p>
    <w:p>
      <w:pPr>
        <w:keepNext w:val="0"/>
        <w:keepLines w:val="0"/>
        <w:pageBreakBefore w:val="0"/>
        <w:widowControl w:val="0"/>
        <w:kinsoku/>
        <w:wordWrap/>
        <w:overflowPunct/>
        <w:topLinePunct w:val="0"/>
        <w:autoSpaceDE w:val="0"/>
        <w:autoSpaceDN w:val="0"/>
        <w:bidi w:val="0"/>
        <w:snapToGrid/>
        <w:spacing w:line="360" w:lineRule="auto"/>
        <w:ind w:firstLine="0" w:firstLineChars="0"/>
        <w:jc w:val="both"/>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二、服务对象</w:t>
      </w:r>
    </w:p>
    <w:p>
      <w:pPr>
        <w:pStyle w:val="7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甲方辖区内</w:t>
      </w:r>
      <w:r>
        <w:rPr>
          <w:rFonts w:hint="eastAsia" w:ascii="宋体" w:hAnsi="宋体" w:eastAsia="宋体" w:cs="宋体"/>
          <w:color w:val="auto"/>
          <w:sz w:val="21"/>
          <w:szCs w:val="21"/>
          <w:highlight w:val="none"/>
          <w:lang w:eastAsia="zh-CN"/>
        </w:rPr>
        <w:t>商贸企业（含沿街店铺）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具体数量以首次普查为</w:t>
      </w:r>
      <w:r>
        <w:rPr>
          <w:rFonts w:hint="eastAsia" w:ascii="宋体" w:hAnsi="宋体" w:eastAsia="宋体" w:cs="宋体"/>
          <w:color w:val="auto"/>
          <w:sz w:val="21"/>
          <w:szCs w:val="21"/>
          <w:highlight w:val="none"/>
          <w:lang w:val="en-US" w:eastAsia="zh-CN"/>
        </w:rPr>
        <w:t>基础，具体以甲方实际需求为准</w:t>
      </w:r>
      <w:r>
        <w:rPr>
          <w:rFonts w:hint="eastAsia" w:ascii="宋体" w:hAnsi="宋体" w:eastAsia="宋体" w:cs="宋体"/>
          <w:color w:val="auto"/>
          <w:sz w:val="21"/>
          <w:szCs w:val="21"/>
          <w:highlight w:val="none"/>
        </w:rPr>
        <w:t>。</w:t>
      </w:r>
    </w:p>
    <w:p>
      <w:pPr>
        <w:pStyle w:val="77"/>
        <w:keepNext w:val="0"/>
        <w:keepLines w:val="0"/>
        <w:pageBreakBefore w:val="0"/>
        <w:widowControl w:val="0"/>
        <w:numPr>
          <w:ilvl w:val="0"/>
          <w:numId w:val="0"/>
        </w:numPr>
        <w:kinsoku/>
        <w:wordWrap/>
        <w:overflowPunct/>
        <w:topLinePunct w:val="0"/>
        <w:autoSpaceDE w:val="0"/>
        <w:autoSpaceDN w:val="0"/>
        <w:bidi w:val="0"/>
        <w:snapToGrid/>
        <w:spacing w:line="360" w:lineRule="auto"/>
        <w:ind w:firstLine="0" w:firstLineChars="0"/>
        <w:jc w:val="both"/>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bidi="ar-SA"/>
        </w:rPr>
        <w:t>三、</w:t>
      </w:r>
      <w:r>
        <w:rPr>
          <w:rFonts w:hint="eastAsia" w:ascii="宋体" w:hAnsi="宋体" w:eastAsia="宋体" w:cs="宋体"/>
          <w:b/>
          <w:bCs/>
          <w:color w:val="auto"/>
          <w:sz w:val="21"/>
          <w:szCs w:val="21"/>
          <w:highlight w:val="none"/>
        </w:rPr>
        <w:t>服务期限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期限：</w:t>
      </w:r>
      <w:r>
        <w:rPr>
          <w:rFonts w:hint="eastAsia" w:ascii="宋体" w:hAnsi="宋体" w:eastAsia="宋体" w:cs="宋体"/>
          <w:color w:val="auto"/>
          <w:sz w:val="21"/>
          <w:szCs w:val="21"/>
          <w:highlight w:val="none"/>
          <w:u w:val="none"/>
          <w:lang w:val="en-US" w:eastAsia="zh-CN"/>
        </w:rPr>
        <w:t>自合同签订之日起三年（自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第一阶段合同期限：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b w:val="0"/>
          <w:bCs w:val="0"/>
          <w:color w:val="auto"/>
          <w:sz w:val="21"/>
          <w:szCs w:val="21"/>
          <w:highlight w:val="none"/>
          <w:lang w:val="en-US" w:eastAsia="zh-CN"/>
        </w:rPr>
        <w:t>自合同签订之日起三年，合同一年一签，甲方根据乙方在</w:t>
      </w:r>
      <w:r>
        <w:rPr>
          <w:rFonts w:hint="eastAsia" w:ascii="宋体" w:hAnsi="宋体" w:cs="宋体"/>
          <w:b w:val="0"/>
          <w:bCs w:val="0"/>
          <w:color w:val="auto"/>
          <w:sz w:val="21"/>
          <w:szCs w:val="21"/>
          <w:highlight w:val="none"/>
          <w:lang w:val="en-US" w:eastAsia="zh-CN"/>
        </w:rPr>
        <w:t>上一年度</w:t>
      </w:r>
      <w:r>
        <w:rPr>
          <w:rFonts w:hint="eastAsia" w:ascii="宋体" w:hAnsi="宋体" w:eastAsia="宋体" w:cs="宋体"/>
          <w:b w:val="0"/>
          <w:bCs w:val="0"/>
          <w:color w:val="auto"/>
          <w:sz w:val="21"/>
          <w:szCs w:val="21"/>
          <w:highlight w:val="none"/>
          <w:lang w:val="en-US" w:eastAsia="zh-CN"/>
        </w:rPr>
        <w:t>合同履约情况、</w:t>
      </w:r>
      <w:r>
        <w:rPr>
          <w:rFonts w:hint="eastAsia" w:ascii="宋体" w:hAnsi="宋体" w:cs="宋体"/>
          <w:b w:val="0"/>
          <w:bCs w:val="0"/>
          <w:color w:val="auto"/>
          <w:sz w:val="21"/>
          <w:szCs w:val="21"/>
          <w:highlight w:val="none"/>
          <w:lang w:val="en-US" w:eastAsia="zh-CN"/>
        </w:rPr>
        <w:t>考核验收情况</w:t>
      </w:r>
      <w:r>
        <w:rPr>
          <w:rFonts w:hint="eastAsia" w:ascii="宋体" w:hAnsi="宋体" w:eastAsia="宋体" w:cs="宋体"/>
          <w:b w:val="0"/>
          <w:bCs w:val="0"/>
          <w:color w:val="auto"/>
          <w:sz w:val="21"/>
          <w:szCs w:val="21"/>
          <w:highlight w:val="none"/>
          <w:lang w:val="en-US" w:eastAsia="zh-CN"/>
        </w:rPr>
        <w:t>及财政资金审批情况等决定是否续签</w:t>
      </w:r>
      <w:r>
        <w:rPr>
          <w:rFonts w:hint="eastAsia" w:ascii="宋体" w:hAnsi="宋体" w:eastAsia="宋体" w:cs="宋体"/>
          <w:bCs/>
          <w:color w:val="auto"/>
          <w:sz w:val="21"/>
          <w:szCs w:val="21"/>
          <w:highlight w:val="none"/>
        </w:rPr>
        <w:t>。</w:t>
      </w:r>
    </w:p>
    <w:p>
      <w:pPr>
        <w:pStyle w:val="77"/>
        <w:keepNext w:val="0"/>
        <w:keepLines w:val="0"/>
        <w:pageBreakBefore w:val="0"/>
        <w:widowControl w:val="0"/>
        <w:kinsoku/>
        <w:wordWrap/>
        <w:overflowPunct/>
        <w:topLinePunct w:val="0"/>
        <w:autoSpaceDE w:val="0"/>
        <w:autoSpaceDN w:val="0"/>
        <w:bidi w:val="0"/>
        <w:snapToGrid/>
        <w:spacing w:line="360" w:lineRule="auto"/>
        <w:ind w:firstLine="0" w:firstLineChars="0"/>
        <w:jc w:val="both"/>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四、服务费及支付</w:t>
      </w:r>
      <w:r>
        <w:rPr>
          <w:rFonts w:hint="eastAsia" w:ascii="宋体" w:hAnsi="宋体" w:eastAsia="宋体" w:cs="宋体"/>
          <w:b/>
          <w:bCs/>
          <w:color w:val="auto"/>
          <w:sz w:val="21"/>
          <w:szCs w:val="21"/>
          <w:highlight w:val="none"/>
          <w:lang w:val="en-US" w:eastAsia="zh-CN"/>
        </w:rPr>
        <w:t>方式</w:t>
      </w:r>
    </w:p>
    <w:p>
      <w:pPr>
        <w:pStyle w:val="92"/>
        <w:keepNext w:val="0"/>
        <w:keepLines w:val="0"/>
        <w:pageBreakBefore w:val="0"/>
        <w:widowControl w:val="0"/>
        <w:shd w:val="clear" w:color="auto" w:fill="auto"/>
        <w:kinsoku/>
        <w:wordWrap/>
        <w:overflowPunct/>
        <w:topLinePunct w:val="0"/>
        <w:autoSpaceDE/>
        <w:autoSpaceDN/>
        <w:bidi w:val="0"/>
        <w:spacing w:line="360" w:lineRule="auto"/>
        <w:ind w:left="0" w:leftChars="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1.合同服务费</w:t>
      </w:r>
    </w:p>
    <w:p>
      <w:pPr>
        <w:pStyle w:val="92"/>
        <w:keepNext w:val="0"/>
        <w:keepLines w:val="0"/>
        <w:pageBreakBefore w:val="0"/>
        <w:widowControl w:val="0"/>
        <w:shd w:val="clear" w:color="auto" w:fill="auto"/>
        <w:kinsoku/>
        <w:wordWrap/>
        <w:overflowPunct/>
        <w:topLinePunct w:val="0"/>
        <w:autoSpaceDE/>
        <w:autoSpaceDN/>
        <w:bidi w:val="0"/>
        <w:spacing w:line="360" w:lineRule="auto"/>
        <w:ind w:left="0" w:leftChars="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（1）本合同采用固定总价，合同金额为（大写）：人民币</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元/年）。</w:t>
      </w:r>
    </w:p>
    <w:p>
      <w:pPr>
        <w:pStyle w:val="92"/>
        <w:keepNext w:val="0"/>
        <w:keepLines w:val="0"/>
        <w:pageBreakBefore w:val="0"/>
        <w:widowControl w:val="0"/>
        <w:shd w:val="clear" w:color="auto" w:fill="auto"/>
        <w:kinsoku/>
        <w:wordWrap/>
        <w:overflowPunct/>
        <w:topLinePunct w:val="0"/>
        <w:autoSpaceDE/>
        <w:autoSpaceDN/>
        <w:bidi w:val="0"/>
        <w:spacing w:line="360" w:lineRule="auto"/>
        <w:ind w:left="0" w:leftChars="0"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项目合同价款已包含完成本服务所需的所有费用，包括但不限于：人员基本工资、社保、岗位津贴等各类福利和补贴（如加班补贴、高温补贴、早餐补贴等）的缴纳，住宿费、各种保险及处理一切伤亡事故等费用，人员各季节工作服的配置，人员所使用作业工具等各类耗材费，设施设备管理维护费用，税金、利润及其他与本次服务相关的一切费用，甲方不再另行支付其他费用</w:t>
      </w:r>
    </w:p>
    <w:p>
      <w:pPr>
        <w:pStyle w:val="92"/>
        <w:keepNext w:val="0"/>
        <w:keepLines w:val="0"/>
        <w:pageBreakBefore w:val="0"/>
        <w:widowControl w:val="0"/>
        <w:shd w:val="clear" w:color="auto" w:fill="auto"/>
        <w:kinsoku/>
        <w:wordWrap/>
        <w:overflowPunct/>
        <w:topLinePunct w:val="0"/>
        <w:autoSpaceDE/>
        <w:autoSpaceDN/>
        <w:bidi w:val="0"/>
        <w:spacing w:line="360" w:lineRule="auto"/>
        <w:ind w:left="0" w:leftChars="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（3）乙方</w:t>
      </w:r>
      <w:r>
        <w:rPr>
          <w:rFonts w:hint="eastAsia" w:ascii="宋体" w:hAnsi="宋体" w:eastAsia="宋体" w:cs="宋体"/>
          <w:color w:val="auto"/>
          <w:kern w:val="2"/>
          <w:sz w:val="21"/>
          <w:szCs w:val="21"/>
          <w:highlight w:val="none"/>
          <w:lang w:val="en-US" w:eastAsia="zh-CN" w:bidi="ar-SA"/>
        </w:rPr>
        <w:t>应考虑服务期间的因市场因素或政策因素等实施过程中可能遇到的各种风险，事后不得以任何理由要求增加合同费用。</w:t>
      </w:r>
    </w:p>
    <w:p>
      <w:pPr>
        <w:pStyle w:val="77"/>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本合同服务费的</w:t>
      </w:r>
      <w:r>
        <w:rPr>
          <w:rFonts w:hint="eastAsia" w:ascii="宋体" w:hAnsi="宋体" w:eastAsia="宋体" w:cs="宋体"/>
          <w:color w:val="auto"/>
          <w:sz w:val="21"/>
          <w:szCs w:val="21"/>
          <w:highlight w:val="none"/>
        </w:rPr>
        <w:t>支付时间及方式：</w:t>
      </w:r>
    </w:p>
    <w:p>
      <w:pPr>
        <w:keepNext w:val="0"/>
        <w:keepLines w:val="0"/>
        <w:pageBreakBefore w:val="0"/>
        <w:widowControl w:val="0"/>
        <w:numPr>
          <w:ilvl w:val="0"/>
          <w:numId w:val="0"/>
        </w:numPr>
        <w:kinsoku/>
        <w:wordWrap/>
        <w:overflowPunct/>
        <w:topLinePunct w:val="0"/>
        <w:autoSpaceDE/>
        <w:autoSpaceDN w:val="0"/>
        <w:bidi w:val="0"/>
        <w:adjustRightInd/>
        <w:snapToGrid/>
        <w:spacing w:line="360" w:lineRule="auto"/>
        <w:ind w:left="0" w:leftChars="0" w:firstLine="420" w:firstLineChars="200"/>
        <w:jc w:val="both"/>
        <w:textAlignment w:val="auto"/>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val="en-US" w:eastAsia="zh-CN" w:bidi="ar"/>
        </w:rPr>
        <w:t>（1）预付款：</w:t>
      </w:r>
      <w:r>
        <w:rPr>
          <w:rFonts w:hint="eastAsia" w:ascii="宋体" w:hAnsi="宋体" w:eastAsia="宋体" w:cs="宋体"/>
          <w:b w:val="0"/>
          <w:bCs w:val="0"/>
          <w:color w:val="auto"/>
          <w:sz w:val="21"/>
          <w:szCs w:val="21"/>
          <w:highlight w:val="none"/>
          <w:lang w:bidi="ar"/>
        </w:rPr>
        <w:t>合同签订生效并具备实施条件后</w:t>
      </w:r>
      <w:r>
        <w:rPr>
          <w:rFonts w:hint="eastAsia" w:ascii="宋体" w:hAnsi="宋体" w:eastAsia="宋体" w:cs="宋体"/>
          <w:b w:val="0"/>
          <w:bCs w:val="0"/>
          <w:color w:val="auto"/>
          <w:sz w:val="21"/>
          <w:szCs w:val="21"/>
          <w:highlight w:val="none"/>
          <w:lang w:val="en-US" w:eastAsia="zh-CN" w:bidi="ar"/>
        </w:rPr>
        <w:t>1</w:t>
      </w:r>
      <w:r>
        <w:rPr>
          <w:rFonts w:hint="eastAsia" w:ascii="宋体" w:hAnsi="宋体" w:cs="宋体"/>
          <w:b w:val="0"/>
          <w:bCs w:val="0"/>
          <w:color w:val="auto"/>
          <w:sz w:val="21"/>
          <w:szCs w:val="21"/>
          <w:highlight w:val="none"/>
          <w:lang w:val="en-US" w:eastAsia="zh-CN" w:bidi="ar"/>
        </w:rPr>
        <w:t>5</w:t>
      </w:r>
      <w:r>
        <w:rPr>
          <w:rFonts w:hint="eastAsia" w:ascii="宋体" w:hAnsi="宋体" w:eastAsia="宋体" w:cs="宋体"/>
          <w:b w:val="0"/>
          <w:bCs w:val="0"/>
          <w:color w:val="auto"/>
          <w:sz w:val="21"/>
          <w:szCs w:val="21"/>
          <w:highlight w:val="none"/>
          <w:lang w:bidi="ar"/>
        </w:rPr>
        <w:t>个工作日内支付合同</w:t>
      </w:r>
      <w:r>
        <w:rPr>
          <w:rFonts w:hint="eastAsia" w:ascii="宋体" w:hAnsi="宋体" w:eastAsia="宋体" w:cs="宋体"/>
          <w:b w:val="0"/>
          <w:bCs w:val="0"/>
          <w:color w:val="auto"/>
          <w:sz w:val="21"/>
          <w:szCs w:val="21"/>
          <w:highlight w:val="none"/>
          <w:lang w:eastAsia="zh-CN" w:bidi="ar"/>
        </w:rPr>
        <w:t>金额</w:t>
      </w:r>
      <w:r>
        <w:rPr>
          <w:rFonts w:hint="eastAsia" w:ascii="宋体" w:hAnsi="宋体" w:eastAsia="宋体" w:cs="宋体"/>
          <w:b w:val="0"/>
          <w:bCs w:val="0"/>
          <w:color w:val="auto"/>
          <w:sz w:val="21"/>
          <w:szCs w:val="21"/>
          <w:highlight w:val="none"/>
          <w:lang w:bidi="ar"/>
        </w:rPr>
        <w:t>的</w:t>
      </w:r>
      <w:r>
        <w:rPr>
          <w:rFonts w:hint="eastAsia" w:ascii="宋体" w:hAnsi="宋体" w:eastAsia="宋体" w:cs="宋体"/>
          <w:b w:val="0"/>
          <w:bCs w:val="0"/>
          <w:color w:val="auto"/>
          <w:sz w:val="21"/>
          <w:szCs w:val="21"/>
          <w:highlight w:val="none"/>
          <w:lang w:val="en-US" w:eastAsia="zh-CN" w:bidi="ar"/>
        </w:rPr>
        <w:t>20</w:t>
      </w:r>
      <w:r>
        <w:rPr>
          <w:rFonts w:hint="eastAsia" w:ascii="宋体" w:hAnsi="宋体" w:eastAsia="宋体" w:cs="宋体"/>
          <w:b w:val="0"/>
          <w:bCs w:val="0"/>
          <w:color w:val="auto"/>
          <w:sz w:val="21"/>
          <w:szCs w:val="21"/>
          <w:highlight w:val="none"/>
          <w:lang w:bidi="ar"/>
        </w:rPr>
        <w:t>%，作为本</w:t>
      </w:r>
      <w:r>
        <w:rPr>
          <w:rFonts w:hint="eastAsia" w:ascii="宋体" w:hAnsi="宋体" w:eastAsia="宋体" w:cs="宋体"/>
          <w:b w:val="0"/>
          <w:bCs w:val="0"/>
          <w:color w:val="auto"/>
          <w:sz w:val="21"/>
          <w:szCs w:val="21"/>
          <w:highlight w:val="none"/>
          <w:lang w:eastAsia="zh-CN" w:bidi="ar"/>
        </w:rPr>
        <w:t>项目</w:t>
      </w:r>
      <w:r>
        <w:rPr>
          <w:rFonts w:hint="eastAsia" w:ascii="宋体" w:hAnsi="宋体" w:eastAsia="宋体" w:cs="宋体"/>
          <w:b w:val="0"/>
          <w:bCs w:val="0"/>
          <w:color w:val="auto"/>
          <w:sz w:val="21"/>
          <w:szCs w:val="21"/>
          <w:highlight w:val="none"/>
          <w:lang w:bidi="ar"/>
        </w:rPr>
        <w:t>预付款</w:t>
      </w:r>
      <w:r>
        <w:rPr>
          <w:rFonts w:hint="eastAsia" w:ascii="宋体" w:hAnsi="宋体" w:eastAsia="宋体" w:cs="宋体"/>
          <w:b w:val="0"/>
          <w:bCs w:val="0"/>
          <w:color w:val="auto"/>
          <w:sz w:val="21"/>
          <w:szCs w:val="21"/>
          <w:highlight w:val="none"/>
          <w:lang w:eastAsia="zh-CN" w:bidi="ar"/>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360" w:lineRule="auto"/>
        <w:ind w:left="0" w:firstLine="420" w:firstLineChars="200"/>
        <w:jc w:val="both"/>
        <w:textAlignment w:val="auto"/>
        <w:rPr>
          <w:rFonts w:hint="eastAsia" w:ascii="宋体" w:hAnsi="宋体" w:eastAsia="宋体" w:cs="宋体"/>
          <w:b w:val="0"/>
          <w:bCs w:val="0"/>
          <w:color w:val="auto"/>
          <w:sz w:val="21"/>
          <w:szCs w:val="21"/>
          <w:highlight w:val="none"/>
          <w:lang w:eastAsia="zh-CN" w:bidi="ar"/>
        </w:rPr>
      </w:pPr>
      <w:r>
        <w:rPr>
          <w:rFonts w:hint="eastAsia" w:ascii="宋体" w:hAnsi="宋体" w:eastAsia="宋体" w:cs="宋体"/>
          <w:b w:val="0"/>
          <w:bCs w:val="0"/>
          <w:color w:val="auto"/>
          <w:sz w:val="21"/>
          <w:szCs w:val="21"/>
          <w:highlight w:val="none"/>
          <w:lang w:eastAsia="zh-CN" w:bidi="ar"/>
        </w:rPr>
        <w:t>注：乙方</w:t>
      </w:r>
      <w:r>
        <w:rPr>
          <w:rFonts w:hint="eastAsia" w:ascii="宋体" w:hAnsi="宋体" w:eastAsia="宋体" w:cs="宋体"/>
          <w:b w:val="0"/>
          <w:bCs w:val="0"/>
          <w:color w:val="auto"/>
          <w:sz w:val="21"/>
          <w:szCs w:val="21"/>
          <w:highlight w:val="none"/>
          <w:lang w:bidi="ar"/>
        </w:rPr>
        <w:t>于合同签订前书面承诺放弃预付款或降低预付款支付比例的，可不适用本条款且具体支付方式由双方在合同中自行约定</w:t>
      </w:r>
      <w:r>
        <w:rPr>
          <w:rFonts w:hint="eastAsia" w:ascii="宋体" w:hAnsi="宋体" w:eastAsia="宋体" w:cs="宋体"/>
          <w:b w:val="0"/>
          <w:bCs w:val="0"/>
          <w:color w:val="auto"/>
          <w:sz w:val="21"/>
          <w:szCs w:val="21"/>
          <w:highlight w:val="none"/>
          <w:lang w:eastAsia="zh-CN" w:bidi="ar"/>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360" w:lineRule="auto"/>
        <w:ind w:left="0" w:firstLine="420" w:firstLineChars="200"/>
        <w:jc w:val="both"/>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（2）进度款：</w:t>
      </w:r>
      <w:r>
        <w:rPr>
          <w:rFonts w:hint="eastAsia" w:ascii="宋体" w:hAnsi="宋体" w:eastAsia="宋体" w:cs="宋体"/>
          <w:b w:val="0"/>
          <w:bCs w:val="0"/>
          <w:color w:val="auto"/>
          <w:sz w:val="21"/>
          <w:szCs w:val="21"/>
          <w:highlight w:val="none"/>
          <w:lang w:bidi="ar"/>
        </w:rPr>
        <w:t>先服务后付费，</w:t>
      </w:r>
      <w:r>
        <w:rPr>
          <w:rFonts w:hint="eastAsia" w:ascii="宋体" w:hAnsi="宋体" w:eastAsia="宋体" w:cs="宋体"/>
          <w:b w:val="0"/>
          <w:bCs w:val="0"/>
          <w:color w:val="auto"/>
          <w:sz w:val="21"/>
          <w:szCs w:val="21"/>
          <w:highlight w:val="none"/>
        </w:rPr>
        <w:t>每三个月支付一次，</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于第四个月10日前</w:t>
      </w:r>
      <w:r>
        <w:rPr>
          <w:rFonts w:hint="eastAsia" w:ascii="宋体" w:hAnsi="宋体" w:eastAsia="宋体" w:cs="宋体"/>
          <w:b w:val="0"/>
          <w:bCs w:val="0"/>
          <w:color w:val="auto"/>
          <w:sz w:val="21"/>
          <w:szCs w:val="21"/>
          <w:highlight w:val="none"/>
          <w:lang w:val="en-US" w:eastAsia="zh-CN"/>
        </w:rPr>
        <w:t>支付当年度签约合同服务费总价的15%</w:t>
      </w:r>
      <w:r>
        <w:rPr>
          <w:rFonts w:hint="eastAsia" w:ascii="宋体" w:hAnsi="宋体" w:eastAsia="宋体" w:cs="宋体"/>
          <w:b w:val="0"/>
          <w:bCs w:val="0"/>
          <w:color w:val="auto"/>
          <w:sz w:val="21"/>
          <w:szCs w:val="21"/>
          <w:highlight w:val="none"/>
          <w:lang w:val="en-US" w:eastAsia="zh-CN" w:bidi="ar"/>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400" w:lineRule="exact"/>
        <w:ind w:left="0" w:firstLine="420" w:firstLineChars="200"/>
        <w:jc w:val="both"/>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（3）验收款：服务期满后，根据验收考核结果，按照合同约定验收考核标准结算最终服务费，</w:t>
      </w:r>
      <w:r>
        <w:rPr>
          <w:rFonts w:hint="eastAsia" w:ascii="宋体" w:hAnsi="宋体" w:eastAsia="宋体" w:cs="宋体"/>
          <w:b w:val="0"/>
          <w:bCs w:val="0"/>
          <w:color w:val="auto"/>
          <w:sz w:val="21"/>
          <w:szCs w:val="21"/>
          <w:highlight w:val="none"/>
          <w:lang w:eastAsia="zh-CN" w:bidi="ar"/>
        </w:rPr>
        <w:t>甲方</w:t>
      </w:r>
      <w:r>
        <w:rPr>
          <w:rFonts w:hint="eastAsia" w:ascii="宋体" w:hAnsi="宋体" w:eastAsia="宋体" w:cs="宋体"/>
          <w:b w:val="0"/>
          <w:bCs w:val="0"/>
          <w:color w:val="auto"/>
          <w:sz w:val="21"/>
          <w:szCs w:val="21"/>
          <w:highlight w:val="none"/>
          <w:lang w:val="en-US" w:eastAsia="zh-CN" w:bidi="ar"/>
        </w:rPr>
        <w:t>将扣除已经支付服务费和预付款后的剩余款项，自验收结束日起15日内一次性付清（不计息）。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bidi="ar"/>
        </w:rPr>
        <w:t>（4）</w:t>
      </w:r>
      <w:r>
        <w:rPr>
          <w:rFonts w:hint="eastAsia" w:ascii="宋体" w:hAnsi="宋体" w:eastAsia="宋体" w:cs="宋体"/>
          <w:b w:val="0"/>
          <w:bCs w:val="0"/>
          <w:color w:val="auto"/>
          <w:sz w:val="21"/>
          <w:szCs w:val="21"/>
          <w:highlight w:val="none"/>
          <w:lang w:bidi="ar"/>
        </w:rPr>
        <w:t>以上款项每次付款前</w:t>
      </w:r>
      <w:r>
        <w:rPr>
          <w:rFonts w:hint="eastAsia" w:ascii="宋体" w:hAnsi="宋体" w:eastAsia="宋体" w:cs="宋体"/>
          <w:b w:val="0"/>
          <w:bCs w:val="0"/>
          <w:color w:val="auto"/>
          <w:sz w:val="21"/>
          <w:szCs w:val="21"/>
          <w:highlight w:val="none"/>
          <w:lang w:eastAsia="zh-CN" w:bidi="ar"/>
        </w:rPr>
        <w:t>乙方</w:t>
      </w:r>
      <w:r>
        <w:rPr>
          <w:rFonts w:hint="eastAsia" w:ascii="宋体" w:hAnsi="宋体" w:eastAsia="宋体" w:cs="宋体"/>
          <w:b w:val="0"/>
          <w:bCs w:val="0"/>
          <w:color w:val="auto"/>
          <w:sz w:val="21"/>
          <w:szCs w:val="21"/>
          <w:highlight w:val="none"/>
          <w:lang w:bidi="ar"/>
        </w:rPr>
        <w:t>应提供符合</w:t>
      </w:r>
      <w:r>
        <w:rPr>
          <w:rFonts w:hint="eastAsia" w:ascii="宋体" w:hAnsi="宋体" w:eastAsia="宋体" w:cs="宋体"/>
          <w:b w:val="0"/>
          <w:bCs w:val="0"/>
          <w:color w:val="auto"/>
          <w:sz w:val="21"/>
          <w:szCs w:val="21"/>
          <w:highlight w:val="none"/>
          <w:lang w:eastAsia="zh-CN" w:bidi="ar"/>
        </w:rPr>
        <w:t>甲方</w:t>
      </w:r>
      <w:r>
        <w:rPr>
          <w:rFonts w:hint="eastAsia" w:ascii="宋体" w:hAnsi="宋体" w:eastAsia="宋体" w:cs="宋体"/>
          <w:b w:val="0"/>
          <w:bCs w:val="0"/>
          <w:color w:val="auto"/>
          <w:sz w:val="21"/>
          <w:szCs w:val="21"/>
          <w:highlight w:val="none"/>
          <w:lang w:bidi="ar"/>
        </w:rPr>
        <w:t>要求的相应金额</w:t>
      </w:r>
      <w:r>
        <w:rPr>
          <w:rFonts w:hint="eastAsia" w:ascii="宋体" w:hAnsi="宋体" w:eastAsia="宋体" w:cs="宋体"/>
          <w:b w:val="0"/>
          <w:bCs w:val="0"/>
          <w:color w:val="auto"/>
          <w:sz w:val="21"/>
          <w:szCs w:val="21"/>
          <w:highlight w:val="none"/>
          <w:lang w:val="en-US" w:eastAsia="zh-CN" w:bidi="ar"/>
        </w:rPr>
        <w:t>增值税</w:t>
      </w:r>
      <w:r>
        <w:rPr>
          <w:rFonts w:hint="eastAsia" w:ascii="宋体" w:hAnsi="宋体" w:eastAsia="宋体" w:cs="宋体"/>
          <w:b w:val="0"/>
          <w:bCs w:val="0"/>
          <w:color w:val="auto"/>
          <w:sz w:val="21"/>
          <w:szCs w:val="21"/>
          <w:highlight w:val="none"/>
          <w:lang w:bidi="ar"/>
        </w:rPr>
        <w:t>发票，否则</w:t>
      </w:r>
      <w:r>
        <w:rPr>
          <w:rFonts w:hint="eastAsia" w:ascii="宋体" w:hAnsi="宋体" w:eastAsia="宋体" w:cs="宋体"/>
          <w:b w:val="0"/>
          <w:bCs w:val="0"/>
          <w:color w:val="auto"/>
          <w:sz w:val="21"/>
          <w:szCs w:val="21"/>
          <w:highlight w:val="none"/>
          <w:lang w:eastAsia="zh-CN" w:bidi="ar"/>
        </w:rPr>
        <w:t>甲方</w:t>
      </w:r>
      <w:r>
        <w:rPr>
          <w:rFonts w:hint="eastAsia" w:ascii="宋体" w:hAnsi="宋体" w:eastAsia="宋体" w:cs="宋体"/>
          <w:b w:val="0"/>
          <w:bCs w:val="0"/>
          <w:color w:val="auto"/>
          <w:sz w:val="21"/>
          <w:szCs w:val="21"/>
          <w:highlight w:val="none"/>
          <w:lang w:bidi="ar"/>
        </w:rPr>
        <w:t>有权拒绝支付；如</w:t>
      </w:r>
      <w:r>
        <w:rPr>
          <w:rFonts w:hint="eastAsia" w:ascii="宋体" w:hAnsi="宋体" w:eastAsia="宋体" w:cs="宋体"/>
          <w:b w:val="0"/>
          <w:bCs w:val="0"/>
          <w:color w:val="auto"/>
          <w:sz w:val="21"/>
          <w:szCs w:val="21"/>
          <w:highlight w:val="none"/>
          <w:lang w:eastAsia="zh-CN" w:bidi="ar"/>
        </w:rPr>
        <w:t>乙方</w:t>
      </w:r>
      <w:r>
        <w:rPr>
          <w:rFonts w:hint="eastAsia" w:ascii="宋体" w:hAnsi="宋体" w:eastAsia="宋体" w:cs="宋体"/>
          <w:b w:val="0"/>
          <w:bCs w:val="0"/>
          <w:color w:val="auto"/>
          <w:sz w:val="21"/>
          <w:szCs w:val="21"/>
          <w:highlight w:val="none"/>
          <w:lang w:bidi="ar"/>
        </w:rPr>
        <w:t>迟延提供符合要求的相应金额</w:t>
      </w:r>
      <w:r>
        <w:rPr>
          <w:rFonts w:hint="eastAsia" w:ascii="宋体" w:hAnsi="宋体" w:eastAsia="宋体" w:cs="宋体"/>
          <w:b w:val="0"/>
          <w:bCs w:val="0"/>
          <w:color w:val="auto"/>
          <w:sz w:val="21"/>
          <w:szCs w:val="21"/>
          <w:highlight w:val="none"/>
          <w:lang w:val="en-US" w:eastAsia="zh-CN" w:bidi="ar"/>
        </w:rPr>
        <w:t>增值税</w:t>
      </w:r>
      <w:r>
        <w:rPr>
          <w:rFonts w:hint="eastAsia" w:ascii="宋体" w:hAnsi="宋体" w:eastAsia="宋体" w:cs="宋体"/>
          <w:b w:val="0"/>
          <w:bCs w:val="0"/>
          <w:color w:val="auto"/>
          <w:sz w:val="21"/>
          <w:szCs w:val="21"/>
          <w:highlight w:val="none"/>
          <w:lang w:bidi="ar"/>
        </w:rPr>
        <w:t>发票，</w:t>
      </w:r>
      <w:r>
        <w:rPr>
          <w:rFonts w:hint="eastAsia" w:ascii="宋体" w:hAnsi="宋体" w:eastAsia="宋体" w:cs="宋体"/>
          <w:b w:val="0"/>
          <w:bCs w:val="0"/>
          <w:color w:val="auto"/>
          <w:sz w:val="21"/>
          <w:szCs w:val="21"/>
          <w:highlight w:val="none"/>
          <w:lang w:eastAsia="zh-CN" w:bidi="ar"/>
        </w:rPr>
        <w:t>甲方</w:t>
      </w:r>
      <w:r>
        <w:rPr>
          <w:rFonts w:hint="eastAsia" w:ascii="宋体" w:hAnsi="宋体" w:eastAsia="宋体" w:cs="宋体"/>
          <w:b w:val="0"/>
          <w:bCs w:val="0"/>
          <w:color w:val="auto"/>
          <w:sz w:val="21"/>
          <w:szCs w:val="21"/>
          <w:highlight w:val="none"/>
          <w:lang w:bidi="ar"/>
        </w:rPr>
        <w:t>付款时间相应顺延。</w:t>
      </w:r>
    </w:p>
    <w:p>
      <w:pPr>
        <w:pStyle w:val="77"/>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乙方指定收款账户</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户名：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p>
    <w:p>
      <w:pPr>
        <w:pStyle w:val="77"/>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77"/>
        <w:keepNext w:val="0"/>
        <w:keepLines w:val="0"/>
        <w:pageBreakBefore w:val="0"/>
        <w:widowControl w:val="0"/>
        <w:kinsoku/>
        <w:wordWrap/>
        <w:overflowPunct/>
        <w:topLinePunct w:val="0"/>
        <w:autoSpaceDE w:val="0"/>
        <w:autoSpaceDN w:val="0"/>
        <w:bidi w:val="0"/>
        <w:snapToGrid/>
        <w:spacing w:line="400" w:lineRule="exact"/>
        <w:ind w:firstLine="0" w:firstLineChars="0"/>
        <w:jc w:val="both"/>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五、履约保证金</w:t>
      </w:r>
    </w:p>
    <w:p>
      <w:pPr>
        <w:pStyle w:val="77"/>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1.履约保证金金额：合同总价的1%</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b w:val="0"/>
          <w:bCs w:val="0"/>
          <w:color w:val="auto"/>
          <w:sz w:val="21"/>
          <w:szCs w:val="21"/>
          <w:highlight w:val="none"/>
          <w:lang w:val="en-US" w:eastAsia="zh-CN" w:bidi="ar"/>
        </w:rPr>
        <w:t>即人民币</w:t>
      </w:r>
      <w:r>
        <w:rPr>
          <w:rFonts w:hint="eastAsia" w:ascii="宋体" w:hAnsi="宋体" w:eastAsia="宋体" w:cs="宋体"/>
          <w:b w:val="0"/>
          <w:bCs w:val="0"/>
          <w:color w:val="auto"/>
          <w:sz w:val="21"/>
          <w:szCs w:val="21"/>
          <w:highlight w:val="none"/>
          <w:u w:val="single"/>
          <w:lang w:val="en-US" w:eastAsia="zh-CN" w:bidi="ar"/>
        </w:rPr>
        <w:t xml:space="preserve">   </w:t>
      </w:r>
      <w:r>
        <w:rPr>
          <w:rFonts w:hint="eastAsia" w:ascii="宋体" w:hAnsi="宋体" w:eastAsia="宋体" w:cs="宋体"/>
          <w:b w:val="0"/>
          <w:bCs w:val="0"/>
          <w:color w:val="auto"/>
          <w:sz w:val="21"/>
          <w:szCs w:val="21"/>
          <w:highlight w:val="none"/>
          <w:u w:val="none"/>
          <w:lang w:val="en-US" w:eastAsia="zh-CN" w:bidi="ar"/>
        </w:rPr>
        <w:t>元</w:t>
      </w:r>
      <w:r>
        <w:rPr>
          <w:rFonts w:hint="eastAsia" w:ascii="宋体" w:hAnsi="宋体" w:eastAsia="宋体" w:cs="宋体"/>
          <w:b w:val="0"/>
          <w:bCs w:val="0"/>
          <w:color w:val="auto"/>
          <w:sz w:val="21"/>
          <w:szCs w:val="21"/>
          <w:highlight w:val="none"/>
          <w:lang w:eastAsia="zh-CN" w:bidi="ar"/>
        </w:rPr>
        <w:t>）</w:t>
      </w:r>
      <w:r>
        <w:rPr>
          <w:rFonts w:hint="eastAsia" w:ascii="宋体" w:hAnsi="宋体" w:eastAsia="宋体" w:cs="宋体"/>
          <w:color w:val="auto"/>
          <w:sz w:val="21"/>
          <w:szCs w:val="21"/>
          <w:highlight w:val="none"/>
        </w:rPr>
        <w:t>；</w:t>
      </w:r>
    </w:p>
    <w:p>
      <w:pPr>
        <w:pStyle w:val="77"/>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2.履约保证金形式：</w:t>
      </w:r>
      <w:r>
        <w:rPr>
          <w:rFonts w:hint="eastAsia" w:ascii="宋体" w:hAnsi="宋体" w:eastAsia="宋体" w:cs="宋体"/>
          <w:b w:val="0"/>
          <w:bCs w:val="0"/>
          <w:color w:val="auto"/>
          <w:sz w:val="21"/>
          <w:szCs w:val="21"/>
          <w:highlight w:val="none"/>
          <w:lang w:bidi="ar"/>
        </w:rPr>
        <w:t>：</w:t>
      </w:r>
      <w:r>
        <w:rPr>
          <w:rFonts w:hint="eastAsia" w:ascii="宋体" w:hAnsi="宋体" w:eastAsia="宋体" w:cs="宋体"/>
          <w:b w:val="0"/>
          <w:bCs w:val="0"/>
          <w:color w:val="auto"/>
          <w:sz w:val="21"/>
          <w:szCs w:val="21"/>
          <w:highlight w:val="none"/>
          <w:u w:val="single"/>
          <w:lang w:val="en-US" w:eastAsia="zh-CN" w:bidi="ar"/>
        </w:rPr>
        <w:t xml:space="preserve">  </w:t>
      </w:r>
      <w:r>
        <w:rPr>
          <w:rFonts w:hint="eastAsia" w:hAnsi="宋体" w:cs="宋体"/>
          <w:b w:val="0"/>
          <w:bCs w:val="0"/>
          <w:color w:val="auto"/>
          <w:sz w:val="21"/>
          <w:szCs w:val="21"/>
          <w:highlight w:val="none"/>
          <w:u w:val="single"/>
          <w:lang w:val="en-US" w:eastAsia="zh-CN" w:bidi="ar"/>
        </w:rPr>
        <w:t xml:space="preserve">  </w:t>
      </w:r>
      <w:r>
        <w:rPr>
          <w:rFonts w:hint="eastAsia" w:ascii="宋体" w:hAnsi="宋体" w:eastAsia="宋体" w:cs="宋体"/>
          <w:b w:val="0"/>
          <w:bCs w:val="0"/>
          <w:color w:val="auto"/>
          <w:sz w:val="21"/>
          <w:szCs w:val="21"/>
          <w:highlight w:val="none"/>
          <w:u w:val="single"/>
          <w:lang w:val="en-US" w:eastAsia="zh-CN" w:bidi="ar"/>
        </w:rPr>
        <w:t xml:space="preserve"> </w:t>
      </w:r>
      <w:r>
        <w:rPr>
          <w:rFonts w:hint="eastAsia" w:ascii="宋体" w:hAnsi="宋体" w:eastAsia="宋体" w:cs="宋体"/>
          <w:b w:val="0"/>
          <w:bCs w:val="0"/>
          <w:color w:val="auto"/>
          <w:sz w:val="21"/>
          <w:szCs w:val="21"/>
          <w:highlight w:val="none"/>
          <w:u w:val="none"/>
          <w:lang w:val="en-US" w:eastAsia="zh-CN" w:bidi="ar"/>
        </w:rPr>
        <w:t>【选用</w:t>
      </w:r>
      <w:r>
        <w:rPr>
          <w:rFonts w:hint="eastAsia" w:ascii="宋体" w:hAnsi="宋体" w:eastAsia="宋体" w:cs="宋体"/>
          <w:b w:val="0"/>
          <w:bCs w:val="0"/>
          <w:color w:val="auto"/>
          <w:sz w:val="21"/>
          <w:szCs w:val="21"/>
          <w:highlight w:val="none"/>
          <w:u w:val="none"/>
          <w:lang w:bidi="ar"/>
        </w:rPr>
        <w:t>现金、银行汇票（电汇）、银行保函、保险保单或支票（仅限于使用宁波大市区范围内的银行开具的支票）等形式</w:t>
      </w:r>
      <w:r>
        <w:rPr>
          <w:rFonts w:hint="eastAsia" w:ascii="宋体" w:hAnsi="宋体" w:eastAsia="宋体" w:cs="宋体"/>
          <w:b w:val="0"/>
          <w:bCs w:val="0"/>
          <w:color w:val="auto"/>
          <w:sz w:val="21"/>
          <w:szCs w:val="21"/>
          <w:highlight w:val="none"/>
          <w:u w:val="none"/>
          <w:lang w:val="en-US" w:eastAsia="zh-CN" w:bidi="ar"/>
        </w:rPr>
        <w:t>】</w:t>
      </w:r>
      <w:r>
        <w:rPr>
          <w:rFonts w:hint="eastAsia" w:ascii="宋体" w:hAnsi="宋体" w:eastAsia="宋体" w:cs="宋体"/>
          <w:color w:val="auto"/>
          <w:sz w:val="21"/>
          <w:szCs w:val="21"/>
          <w:highlight w:val="none"/>
        </w:rPr>
        <w:t>；</w:t>
      </w:r>
    </w:p>
    <w:p>
      <w:pPr>
        <w:pStyle w:val="77"/>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3.履约保证金收件人：甲方；</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户名：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p>
    <w:p>
      <w:pPr>
        <w:pStyle w:val="77"/>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p>
    <w:p>
      <w:pPr>
        <w:pStyle w:val="77"/>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4.履约保证金的递交</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须在合同签订后15个工作日内向</w:t>
      </w:r>
      <w:r>
        <w:rPr>
          <w:rFonts w:hint="eastAsia" w:ascii="宋体" w:hAnsi="宋体" w:eastAsia="宋体" w:cs="宋体"/>
          <w:color w:val="auto"/>
          <w:sz w:val="21"/>
          <w:szCs w:val="21"/>
          <w:highlight w:val="none"/>
          <w:lang w:val="en-US" w:eastAsia="zh-CN"/>
        </w:rPr>
        <w:t>甲方递交</w:t>
      </w:r>
      <w:r>
        <w:rPr>
          <w:rFonts w:hint="eastAsia" w:ascii="宋体" w:hAnsi="宋体" w:eastAsia="宋体" w:cs="宋体"/>
          <w:color w:val="auto"/>
          <w:sz w:val="21"/>
          <w:szCs w:val="21"/>
          <w:highlight w:val="none"/>
        </w:rPr>
        <w:t>。</w:t>
      </w:r>
    </w:p>
    <w:p>
      <w:pPr>
        <w:pStyle w:val="77"/>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5.履约保证金的退还：</w:t>
      </w:r>
      <w:r>
        <w:rPr>
          <w:rFonts w:hint="eastAsia" w:ascii="宋体" w:hAnsi="宋体" w:eastAsia="宋体" w:cs="宋体"/>
          <w:b w:val="0"/>
          <w:bCs w:val="0"/>
          <w:color w:val="auto"/>
          <w:sz w:val="21"/>
          <w:szCs w:val="21"/>
          <w:highlight w:val="none"/>
          <w:lang w:eastAsia="zh-CN" w:bidi="ar"/>
        </w:rPr>
        <w:t>在</w:t>
      </w:r>
      <w:r>
        <w:rPr>
          <w:rFonts w:hint="eastAsia" w:ascii="宋体" w:hAnsi="宋体" w:eastAsia="宋体" w:cs="宋体"/>
          <w:b w:val="0"/>
          <w:bCs w:val="0"/>
          <w:color w:val="auto"/>
          <w:sz w:val="21"/>
          <w:szCs w:val="21"/>
          <w:highlight w:val="none"/>
          <w:lang w:val="en-US" w:eastAsia="zh-CN" w:bidi="ar"/>
        </w:rPr>
        <w:t>乙方</w:t>
      </w:r>
      <w:r>
        <w:rPr>
          <w:rFonts w:hint="eastAsia" w:ascii="宋体" w:hAnsi="宋体" w:eastAsia="宋体" w:cs="宋体"/>
          <w:b w:val="0"/>
          <w:bCs w:val="0"/>
          <w:color w:val="auto"/>
          <w:sz w:val="21"/>
          <w:szCs w:val="21"/>
          <w:highlight w:val="none"/>
          <w:lang w:eastAsia="zh-CN" w:bidi="ar"/>
        </w:rPr>
        <w:t>完成合同履约后15个工作日内无息退还（但如乙方未能履行合同规定的任何义务，乙方有权从履约保证金中得到补偿</w:t>
      </w:r>
      <w:r>
        <w:rPr>
          <w:rFonts w:hint="eastAsia" w:ascii="宋体" w:hAnsi="宋体" w:eastAsia="宋体" w:cs="宋体"/>
          <w:b w:val="0"/>
          <w:bCs w:val="0"/>
          <w:color w:val="auto"/>
          <w:sz w:val="21"/>
          <w:szCs w:val="21"/>
          <w:highlight w:val="none"/>
          <w:lang w:bidi="ar"/>
        </w:rPr>
        <w:t>）</w:t>
      </w:r>
      <w:r>
        <w:rPr>
          <w:rFonts w:hint="eastAsia" w:ascii="宋体" w:hAnsi="宋体" w:eastAsia="宋体" w:cs="宋体"/>
          <w:color w:val="auto"/>
          <w:sz w:val="21"/>
          <w:szCs w:val="21"/>
          <w:highlight w:val="none"/>
        </w:rPr>
        <w:t>。</w:t>
      </w:r>
    </w:p>
    <w:p>
      <w:pPr>
        <w:pStyle w:val="77"/>
        <w:keepNext w:val="0"/>
        <w:keepLines w:val="0"/>
        <w:pageBreakBefore w:val="0"/>
        <w:widowControl w:val="0"/>
        <w:kinsoku/>
        <w:wordWrap/>
        <w:overflowPunct/>
        <w:topLinePunct w:val="0"/>
        <w:autoSpaceDE w:val="0"/>
        <w:autoSpaceDN w:val="0"/>
        <w:bidi w:val="0"/>
        <w:snapToGrid/>
        <w:spacing w:line="360" w:lineRule="auto"/>
        <w:ind w:firstLine="0" w:firstLineChars="0"/>
        <w:jc w:val="both"/>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六、服务内容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乙方的服务内容主要包括为</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kern w:val="2"/>
          <w:sz w:val="21"/>
          <w:szCs w:val="21"/>
          <w:highlight w:val="none"/>
          <w:lang w:val="en-US" w:eastAsia="zh-CN" w:bidi="ar"/>
        </w:rPr>
        <w:t>提供消防安全相关工作的技术指导和支撑，完成消防安全相关基本工作任务，协助乙方完成</w:t>
      </w:r>
      <w:r>
        <w:rPr>
          <w:rFonts w:hint="eastAsia" w:ascii="宋体" w:hAnsi="宋体" w:eastAsia="宋体" w:cs="宋体"/>
          <w:color w:val="auto"/>
          <w:sz w:val="21"/>
          <w:szCs w:val="21"/>
          <w:highlight w:val="none"/>
        </w:rPr>
        <w:t>应急救援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值班值守</w:t>
      </w:r>
      <w:r>
        <w:rPr>
          <w:rFonts w:hint="eastAsia" w:ascii="宋体" w:hAnsi="宋体" w:eastAsia="宋体" w:cs="宋体"/>
          <w:color w:val="auto"/>
          <w:sz w:val="21"/>
          <w:szCs w:val="21"/>
          <w:highlight w:val="none"/>
          <w:lang w:eastAsia="zh-CN"/>
        </w:rPr>
        <w:t>及乙方定期安排的其他应急管理工作</w:t>
      </w:r>
      <w:r>
        <w:rPr>
          <w:rFonts w:hint="eastAsia" w:ascii="宋体" w:hAnsi="宋体" w:eastAsia="宋体" w:cs="宋体"/>
          <w:color w:val="auto"/>
          <w:kern w:val="2"/>
          <w:sz w:val="21"/>
          <w:szCs w:val="21"/>
          <w:highlight w:val="none"/>
          <w:lang w:val="en-US" w:eastAsia="zh-CN" w:bidi="ar"/>
        </w:rPr>
        <w:t>，有效防范消防安全事故的发生，主要包括</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20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1.消防安全工作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（1）完成辖区内商贸企业（含沿街店铺）的首次普查及常普常新工作；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2"/>
          <w:sz w:val="21"/>
          <w:szCs w:val="21"/>
          <w:highlight w:val="none"/>
          <w:lang w:val="en-US" w:eastAsia="zh-CN" w:bidi="ar"/>
        </w:rPr>
        <w:t>以</w:t>
      </w:r>
      <w:r>
        <w:rPr>
          <w:rFonts w:hint="eastAsia" w:ascii="宋体" w:hAnsi="宋体" w:cs="宋体"/>
          <w:color w:val="auto"/>
          <w:kern w:val="2"/>
          <w:sz w:val="21"/>
          <w:szCs w:val="21"/>
          <w:highlight w:val="none"/>
          <w:lang w:val="en-US" w:eastAsia="zh-CN" w:bidi="ar"/>
        </w:rPr>
        <w:t>乙方</w:t>
      </w:r>
      <w:r>
        <w:rPr>
          <w:rFonts w:hint="eastAsia" w:ascii="宋体" w:hAnsi="宋体" w:eastAsia="宋体" w:cs="宋体"/>
          <w:color w:val="auto"/>
          <w:szCs w:val="21"/>
          <w:highlight w:val="none"/>
          <w:lang w:eastAsia="zh-CN"/>
        </w:rPr>
        <w:t>首次普查数据为基础</w:t>
      </w:r>
      <w:r>
        <w:rPr>
          <w:rFonts w:hint="eastAsia" w:ascii="宋体" w:hAnsi="宋体" w:eastAsia="宋体" w:cs="宋体"/>
          <w:color w:val="auto"/>
          <w:kern w:val="2"/>
          <w:sz w:val="21"/>
          <w:szCs w:val="21"/>
          <w:highlight w:val="none"/>
          <w:lang w:val="en-US" w:eastAsia="zh-CN" w:bidi="ar"/>
        </w:rPr>
        <w:t>，协助</w:t>
      </w:r>
      <w:r>
        <w:rPr>
          <w:rFonts w:hint="eastAsia" w:ascii="宋体" w:hAnsi="宋体" w:cs="宋体"/>
          <w:color w:val="auto"/>
          <w:kern w:val="2"/>
          <w:sz w:val="21"/>
          <w:szCs w:val="21"/>
          <w:highlight w:val="none"/>
          <w:lang w:val="en-US" w:eastAsia="zh-CN" w:bidi="ar"/>
        </w:rPr>
        <w:t>甲方</w:t>
      </w:r>
      <w:r>
        <w:rPr>
          <w:rFonts w:hint="eastAsia" w:ascii="宋体" w:hAnsi="宋体" w:eastAsia="宋体" w:cs="宋体"/>
          <w:color w:val="auto"/>
          <w:kern w:val="2"/>
          <w:sz w:val="21"/>
          <w:szCs w:val="21"/>
          <w:highlight w:val="none"/>
          <w:lang w:val="en-US" w:eastAsia="zh-CN" w:bidi="ar"/>
        </w:rPr>
        <w:t>开展商贸企业（含沿街商铺）消防安全隐患的督查整改和闭环验收</w:t>
      </w:r>
      <w:r>
        <w:rPr>
          <w:rFonts w:hint="eastAsia" w:ascii="宋体" w:hAnsi="宋体" w:cs="宋体"/>
          <w:color w:val="auto"/>
          <w:kern w:val="2"/>
          <w:sz w:val="21"/>
          <w:szCs w:val="21"/>
          <w:highlight w:val="none"/>
          <w:lang w:val="en-US" w:eastAsia="zh-CN" w:bidi="ar"/>
        </w:rPr>
        <w:t>，包括但不限于：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1）排查各经营场所消防器材等设施</w:t>
      </w:r>
      <w:r>
        <w:rPr>
          <w:rFonts w:hint="eastAsia" w:ascii="宋体" w:hAnsi="宋体" w:eastAsia="宋体" w:cs="宋体"/>
          <w:color w:val="auto"/>
          <w:highlight w:val="none"/>
        </w:rPr>
        <w:t>设备</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配置是否符合</w:t>
      </w:r>
      <w:r>
        <w:rPr>
          <w:rFonts w:hint="eastAsia" w:ascii="宋体" w:hAnsi="宋体" w:eastAsia="宋体" w:cs="宋体"/>
          <w:color w:val="auto"/>
          <w:highlight w:val="none"/>
          <w:lang w:val="en-US" w:eastAsia="zh-CN"/>
        </w:rPr>
        <w:t>消防安全</w:t>
      </w:r>
      <w:r>
        <w:rPr>
          <w:rFonts w:hint="eastAsia" w:ascii="宋体" w:hAnsi="宋体" w:eastAsia="宋体" w:cs="宋体"/>
          <w:color w:val="auto"/>
          <w:highlight w:val="none"/>
        </w:rPr>
        <w:t>相关规范要求；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2）排查各经营场所</w:t>
      </w:r>
      <w:r>
        <w:rPr>
          <w:rFonts w:hint="eastAsia" w:ascii="宋体" w:hAnsi="宋体" w:eastAsia="宋体" w:cs="宋体"/>
          <w:color w:val="auto"/>
          <w:highlight w:val="none"/>
        </w:rPr>
        <w:t>用电设备设施及其用电管理是否符合安全用电要求；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3）排查各经营场所</w:t>
      </w:r>
      <w:r>
        <w:rPr>
          <w:rFonts w:hint="eastAsia" w:ascii="宋体" w:hAnsi="宋体" w:eastAsia="宋体" w:cs="宋体"/>
          <w:color w:val="auto"/>
          <w:highlight w:val="none"/>
        </w:rPr>
        <w:t>易燃易爆危险化学品储存使用符合</w:t>
      </w:r>
      <w:r>
        <w:rPr>
          <w:rFonts w:hint="eastAsia" w:ascii="宋体" w:hAnsi="宋体" w:eastAsia="宋体" w:cs="宋体"/>
          <w:color w:val="auto"/>
          <w:highlight w:val="none"/>
          <w:lang w:val="en-US" w:eastAsia="zh-CN"/>
        </w:rPr>
        <w:t>消防安全</w:t>
      </w:r>
      <w:r>
        <w:rPr>
          <w:rFonts w:hint="eastAsia" w:ascii="宋体" w:hAnsi="宋体" w:eastAsia="宋体" w:cs="宋体"/>
          <w:color w:val="auto"/>
          <w:highlight w:val="none"/>
        </w:rPr>
        <w:t>相关规范要求；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4）排查各经营场所</w:t>
      </w:r>
      <w:r>
        <w:rPr>
          <w:rFonts w:hint="eastAsia" w:ascii="宋体" w:hAnsi="宋体" w:eastAsia="宋体" w:cs="宋体"/>
          <w:color w:val="auto"/>
          <w:highlight w:val="none"/>
        </w:rPr>
        <w:t>安全疏散指示、警示标志</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是否准确齐全；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其他存在消防安全隐患问题</w:t>
      </w:r>
      <w:r>
        <w:rPr>
          <w:rFonts w:hint="eastAsia" w:ascii="宋体" w:hAnsi="宋体" w:eastAsia="宋体" w:cs="宋体"/>
          <w:color w:val="auto"/>
          <w:highlight w:val="none"/>
          <w:lang w:eastAsia="zh-CN"/>
        </w:rPr>
        <w:t>的</w:t>
      </w:r>
      <w:r>
        <w:rPr>
          <w:rFonts w:hint="eastAsia" w:ascii="宋体" w:hAnsi="宋体" w:eastAsia="宋体" w:cs="宋体"/>
          <w:color w:val="auto"/>
          <w:highlight w:val="none"/>
          <w:lang w:val="en-US" w:eastAsia="zh-CN"/>
        </w:rPr>
        <w:t>排查；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6）根据排查情况督促各经营场所对隐患问题进行整改收闭环。</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（3）根据需要完成采购人定期安排的专项检查等其他应急管理工作。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20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2.应急救援</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（1）积极参与属地应急处置和救援工作，并服从属地统一指挥协调；</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（2）协助乙方消除突发应急事件的</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"https://baike.baidu.com/item/%E5%8D%B1%E5%AE%B3%E5%90%8E%E6%9E%9C/7906583?fromModule=lemma_inlink" \t "https://baike.baidu.com/item/%E5%BA%94%E6%80%A5%E6%95%91%E6%8F%B4/_blank"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危害后果</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，做好现场恢复工作。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2" w:firstLineChars="200"/>
        <w:jc w:val="both"/>
        <w:textAlignment w:val="auto"/>
        <w:outlineLvl w:val="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3.值班值守</w:t>
      </w:r>
    </w:p>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的统一安排，参与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应急</w:t>
      </w:r>
      <w:r>
        <w:rPr>
          <w:rFonts w:hint="eastAsia" w:ascii="宋体" w:hAnsi="宋体" w:eastAsia="宋体" w:cs="宋体"/>
          <w:color w:val="auto"/>
          <w:sz w:val="21"/>
          <w:szCs w:val="21"/>
          <w:highlight w:val="none"/>
        </w:rPr>
        <w:t>值班值守工作。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以上具体检查范围最终以乙方确定的范围为准。</w:t>
      </w:r>
    </w:p>
    <w:p>
      <w:pPr>
        <w:keepNext w:val="0"/>
        <w:keepLines w:val="0"/>
        <w:pageBreakBefore w:val="0"/>
        <w:widowControl w:val="0"/>
        <w:kinsoku/>
        <w:wordWrap/>
        <w:overflowPunct/>
        <w:topLinePunct w:val="0"/>
        <w:autoSpaceDE w:val="0"/>
        <w:autoSpaceDN w:val="0"/>
        <w:bidi w:val="0"/>
        <w:snapToGrid/>
        <w:spacing w:line="400" w:lineRule="exact"/>
        <w:ind w:firstLine="0" w:firstLineChars="0"/>
        <w:jc w:val="both"/>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七、服务质量</w:t>
      </w:r>
    </w:p>
    <w:p>
      <w:pPr>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1.服务期间乙方不得随意更换项目负责人，如有特殊情况需要更换，须经甲方同意确认。</w:t>
      </w:r>
    </w:p>
    <w:p>
      <w:pPr>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2.服务期间乙方须按投标文件要求配备足够的专职服务人员和设备。</w:t>
      </w:r>
    </w:p>
    <w:p>
      <w:pPr>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3.合同履行过程中，乙方如有任何弄虚作假行为，甲方有权单方面解除合同，没收履约保证金，由此引起的所有损失由乙方承担。</w:t>
      </w:r>
    </w:p>
    <w:p>
      <w:pPr>
        <w:keepNext w:val="0"/>
        <w:keepLines w:val="0"/>
        <w:pageBreakBefore w:val="0"/>
        <w:widowControl w:val="0"/>
        <w:kinsoku/>
        <w:wordWrap/>
        <w:overflowPunct/>
        <w:topLinePunct w:val="0"/>
        <w:autoSpaceDE w:val="0"/>
        <w:autoSpaceDN w:val="0"/>
        <w:bidi w:val="0"/>
        <w:snapToGrid/>
        <w:spacing w:line="400" w:lineRule="exact"/>
        <w:ind w:firstLine="0" w:firstLineChars="0"/>
        <w:jc w:val="both"/>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八、双方的权利和义务</w:t>
      </w:r>
    </w:p>
    <w:p>
      <w:pPr>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1.甲方有权按照本合同约定的</w:t>
      </w:r>
      <w:r>
        <w:rPr>
          <w:rFonts w:hint="eastAsia" w:ascii="宋体" w:hAnsi="宋体" w:eastAsia="宋体" w:cs="宋体"/>
          <w:color w:val="auto"/>
          <w:sz w:val="21"/>
          <w:szCs w:val="21"/>
          <w:highlight w:val="none"/>
          <w:lang w:val="en-US" w:eastAsia="zh-CN"/>
        </w:rPr>
        <w:t>考核</w:t>
      </w:r>
      <w:r>
        <w:rPr>
          <w:rFonts w:hint="eastAsia" w:ascii="宋体" w:hAnsi="宋体" w:eastAsia="宋体" w:cs="宋体"/>
          <w:color w:val="auto"/>
          <w:sz w:val="21"/>
          <w:szCs w:val="21"/>
          <w:highlight w:val="none"/>
        </w:rPr>
        <w:t>标准，对乙方年度服务成果进行全面</w:t>
      </w:r>
      <w:r>
        <w:rPr>
          <w:rFonts w:hint="eastAsia" w:ascii="宋体" w:hAnsi="宋体" w:eastAsia="宋体" w:cs="宋体"/>
          <w:color w:val="auto"/>
          <w:sz w:val="21"/>
          <w:szCs w:val="21"/>
          <w:highlight w:val="none"/>
          <w:lang w:val="en-US" w:eastAsia="zh-CN"/>
        </w:rPr>
        <w:t>考核</w:t>
      </w:r>
      <w:r>
        <w:rPr>
          <w:rFonts w:hint="eastAsia" w:ascii="宋体" w:hAnsi="宋体" w:eastAsia="宋体" w:cs="宋体"/>
          <w:color w:val="auto"/>
          <w:sz w:val="21"/>
          <w:szCs w:val="21"/>
          <w:highlight w:val="none"/>
        </w:rPr>
        <w:t>，并告知乙方</w:t>
      </w:r>
      <w:r>
        <w:rPr>
          <w:rFonts w:hint="eastAsia" w:ascii="宋体" w:hAnsi="宋体" w:eastAsia="宋体" w:cs="宋体"/>
          <w:color w:val="auto"/>
          <w:sz w:val="21"/>
          <w:szCs w:val="21"/>
          <w:highlight w:val="none"/>
          <w:lang w:val="en-US" w:eastAsia="zh-CN"/>
        </w:rPr>
        <w:t>考核</w:t>
      </w:r>
      <w:r>
        <w:rPr>
          <w:rFonts w:hint="eastAsia" w:ascii="宋体" w:hAnsi="宋体" w:eastAsia="宋体" w:cs="宋体"/>
          <w:color w:val="auto"/>
          <w:sz w:val="21"/>
          <w:szCs w:val="21"/>
          <w:highlight w:val="none"/>
        </w:rPr>
        <w:t>结果。</w:t>
      </w:r>
    </w:p>
    <w:p>
      <w:pPr>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2.甲方有权对乙方专职服务人员在提供服务中出现的违法、违规、违章行为进行及时阻止，并告知乙方项目负责人。</w:t>
      </w:r>
    </w:p>
    <w:p>
      <w:pPr>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3.乙方应于本合同签订后7日内制定规范、专业</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具有实效性的服务方案，服务方案能够满足项目需要，并能实现合同目的。</w:t>
      </w:r>
    </w:p>
    <w:p>
      <w:pPr>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4.乙方应遵守国家法律法规、监管机构的规定和行业自律规范及市场规则，确保服务水平符合相关要求，不得损害甲方的合法权益。</w:t>
      </w:r>
    </w:p>
    <w:p>
      <w:pPr>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5.乙方投入本项目的专职服务人员数量和技术人员和设施设备不得低于各类人员、设施设备的最低配置数量、要求（以乙方投标文件为准），确保全面履行本合同服务义务。</w:t>
      </w:r>
    </w:p>
    <w:p>
      <w:pPr>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6.乙方对服务范围内的安全隐患</w:t>
      </w:r>
      <w:r>
        <w:rPr>
          <w:rFonts w:hint="eastAsia" w:ascii="宋体" w:hAnsi="宋体" w:eastAsia="宋体" w:cs="宋体"/>
          <w:color w:val="auto"/>
          <w:sz w:val="21"/>
          <w:szCs w:val="21"/>
          <w:highlight w:val="none"/>
          <w:lang w:val="en-US" w:eastAsia="zh-CN"/>
        </w:rPr>
        <w:t>应及时上报给甲方，并</w:t>
      </w:r>
      <w:r>
        <w:rPr>
          <w:rFonts w:hint="eastAsia" w:ascii="宋体" w:hAnsi="宋体" w:eastAsia="宋体" w:cs="宋体"/>
          <w:color w:val="auto"/>
          <w:sz w:val="21"/>
          <w:szCs w:val="21"/>
          <w:highlight w:val="none"/>
        </w:rPr>
        <w:t>以书面形式及时向甲方提出改进意见和建议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因乙方原因未及时将安全隐患上报给甲方的，造成的损失由乙方承担。</w:t>
      </w:r>
    </w:p>
    <w:p>
      <w:pPr>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7.乙方的专职服务人员具备任职岗位职业资格，遵守消防安全、应急管理等操作规程。</w:t>
      </w:r>
    </w:p>
    <w:p>
      <w:pPr>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8.未取得甲方书面同意，乙方不得将服务过程中获取的消防安全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应急管理</w:t>
      </w:r>
      <w:r>
        <w:rPr>
          <w:rFonts w:hint="eastAsia" w:ascii="宋体" w:hAnsi="宋体" w:eastAsia="宋体" w:cs="宋体"/>
          <w:color w:val="auto"/>
          <w:sz w:val="21"/>
          <w:szCs w:val="21"/>
          <w:highlight w:val="none"/>
        </w:rPr>
        <w:t>等相关文件、资料或单位信息泄漏给任何单位或者个人。</w:t>
      </w:r>
    </w:p>
    <w:p>
      <w:pPr>
        <w:pStyle w:val="77"/>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9.乙方在履行合同过程中造成第三方的人身损害或者财物损失的，均由乙方自行承担赔偿责任</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snapToGrid/>
        <w:spacing w:line="400" w:lineRule="exact"/>
        <w:ind w:firstLine="0" w:firstLineChars="0"/>
        <w:jc w:val="both"/>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九、转包或分包</w:t>
      </w:r>
    </w:p>
    <w:p>
      <w:pPr>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1.本合同范围的服务，应由乙方直接提供，不得转让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他人</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2.除非得到甲方的书面同意，乙方不得</w:t>
      </w:r>
      <w:r>
        <w:rPr>
          <w:rFonts w:hint="eastAsia" w:ascii="宋体" w:hAnsi="宋体" w:eastAsia="宋体" w:cs="宋体"/>
          <w:color w:val="auto"/>
          <w:sz w:val="21"/>
          <w:szCs w:val="21"/>
          <w:highlight w:val="none"/>
          <w:lang w:val="en-US" w:eastAsia="zh-CN"/>
        </w:rPr>
        <w:t>本项目的</w:t>
      </w: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分包给他人。</w:t>
      </w:r>
    </w:p>
    <w:p>
      <w:pPr>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3.如有转让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和未经甲方同意的分包行为，转让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和分包无效。</w:t>
      </w:r>
    </w:p>
    <w:p>
      <w:pPr>
        <w:pStyle w:val="77"/>
        <w:keepNext w:val="0"/>
        <w:keepLines w:val="0"/>
        <w:pageBreakBefore w:val="0"/>
        <w:widowControl w:val="0"/>
        <w:kinsoku/>
        <w:wordWrap/>
        <w:overflowPunct/>
        <w:topLinePunct w:val="0"/>
        <w:autoSpaceDE w:val="0"/>
        <w:autoSpaceDN w:val="0"/>
        <w:bidi w:val="0"/>
        <w:snapToGrid/>
        <w:spacing w:line="400" w:lineRule="exact"/>
        <w:ind w:firstLine="0" w:firstLineChars="0"/>
        <w:jc w:val="both"/>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十、考核</w:t>
      </w:r>
      <w:r>
        <w:rPr>
          <w:rFonts w:hint="eastAsia" w:ascii="宋体" w:hAnsi="宋体" w:eastAsia="宋体" w:cs="宋体"/>
          <w:b/>
          <w:bCs/>
          <w:color w:val="auto"/>
          <w:sz w:val="21"/>
          <w:szCs w:val="21"/>
          <w:highlight w:val="none"/>
          <w:lang w:val="en-US" w:eastAsia="zh-CN"/>
        </w:rPr>
        <w:t>验收</w:t>
      </w:r>
      <w:r>
        <w:rPr>
          <w:rFonts w:hint="eastAsia" w:ascii="宋体" w:hAnsi="宋体" w:eastAsia="宋体" w:cs="宋体"/>
          <w:b/>
          <w:bCs/>
          <w:color w:val="auto"/>
          <w:sz w:val="21"/>
          <w:szCs w:val="21"/>
          <w:highlight w:val="none"/>
        </w:rPr>
        <w:t>细则及标准</w:t>
      </w:r>
    </w:p>
    <w:p>
      <w:pPr>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甲方有权</w:t>
      </w:r>
      <w:r>
        <w:rPr>
          <w:rFonts w:hint="eastAsia" w:ascii="宋体" w:hAnsi="宋体" w:eastAsia="宋体" w:cs="宋体"/>
          <w:color w:val="auto"/>
          <w:sz w:val="21"/>
          <w:szCs w:val="21"/>
          <w:highlight w:val="none"/>
        </w:rPr>
        <w:t>根据服务内容细化制定考核</w:t>
      </w:r>
      <w:r>
        <w:rPr>
          <w:rFonts w:hint="eastAsia" w:ascii="宋体" w:hAnsi="宋体" w:eastAsia="宋体" w:cs="宋体"/>
          <w:color w:val="auto"/>
          <w:sz w:val="21"/>
          <w:szCs w:val="21"/>
          <w:highlight w:val="none"/>
          <w:lang w:val="en-US" w:eastAsia="zh-CN"/>
        </w:rPr>
        <w:t>验收方案</w:t>
      </w:r>
      <w:r>
        <w:rPr>
          <w:rFonts w:hint="eastAsia" w:ascii="宋体" w:hAnsi="宋体" w:eastAsia="宋体" w:cs="宋体"/>
          <w:color w:val="auto"/>
          <w:sz w:val="21"/>
          <w:szCs w:val="21"/>
          <w:highlight w:val="none"/>
        </w:rPr>
        <w:t>，并实行考核结果与合同服务费用支付相挂钩。</w:t>
      </w: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eastAsia="zh-CN"/>
        </w:rPr>
        <w:t>考核</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lang w:eastAsia="zh-CN"/>
        </w:rPr>
        <w:t>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w:t>
      </w:r>
      <w:r>
        <w:rPr>
          <w:rFonts w:hint="eastAsia" w:ascii="宋体" w:hAnsi="宋体" w:eastAsia="宋体" w:cs="宋体"/>
          <w:color w:val="auto"/>
          <w:sz w:val="21"/>
          <w:szCs w:val="21"/>
          <w:highlight w:val="none"/>
          <w:lang w:eastAsia="zh-CN"/>
        </w:rPr>
        <w:t>终以乙方与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签订的合同约定为准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p>
    <w:tbl>
      <w:tblPr>
        <w:tblStyle w:val="38"/>
        <w:tblW w:w="54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2628"/>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考核验收方案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服务项目</w:t>
            </w:r>
          </w:p>
        </w:tc>
        <w:tc>
          <w:tcPr>
            <w:tcW w:w="13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w:t>
            </w:r>
          </w:p>
        </w:tc>
        <w:tc>
          <w:tcPr>
            <w:tcW w:w="29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消防安全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w:t>
            </w:r>
          </w:p>
        </w:tc>
        <w:tc>
          <w:tcPr>
            <w:tcW w:w="137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服务范围</w:t>
            </w:r>
            <w:r>
              <w:rPr>
                <w:rFonts w:hint="eastAsia" w:ascii="宋体" w:hAnsi="宋体" w:eastAsia="宋体" w:cs="宋体"/>
                <w:color w:val="auto"/>
                <w:sz w:val="21"/>
                <w:szCs w:val="21"/>
                <w:highlight w:val="none"/>
              </w:rPr>
              <w:t>内</w:t>
            </w:r>
            <w:r>
              <w:rPr>
                <w:rFonts w:hint="eastAsia" w:ascii="宋体" w:hAnsi="宋体" w:eastAsia="宋体" w:cs="宋体"/>
                <w:color w:val="auto"/>
                <w:sz w:val="21"/>
                <w:szCs w:val="21"/>
                <w:highlight w:val="none"/>
                <w:lang w:eastAsia="zh-CN"/>
              </w:rPr>
              <w:t>商贸企业（含沿街店铺）</w:t>
            </w:r>
            <w:r>
              <w:rPr>
                <w:rFonts w:hint="eastAsia" w:ascii="宋体" w:hAnsi="宋体" w:eastAsia="宋体" w:cs="宋体"/>
                <w:color w:val="auto"/>
                <w:sz w:val="21"/>
                <w:szCs w:val="21"/>
                <w:highlight w:val="none"/>
              </w:rPr>
              <w:t>的首次普查及常普常新工作（</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292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未按时完成</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安排的</w:t>
            </w:r>
            <w:r>
              <w:rPr>
                <w:rFonts w:hint="eastAsia" w:ascii="宋体" w:hAnsi="宋体" w:eastAsia="宋体" w:cs="宋体"/>
                <w:color w:val="auto"/>
                <w:sz w:val="21"/>
                <w:szCs w:val="21"/>
                <w:highlight w:val="none"/>
                <w:lang w:eastAsia="zh-CN"/>
              </w:rPr>
              <w:t>首普工作，</w:t>
            </w:r>
            <w:r>
              <w:rPr>
                <w:rFonts w:hint="eastAsia" w:ascii="宋体" w:hAnsi="宋体" w:cs="宋体"/>
                <w:color w:val="auto"/>
                <w:sz w:val="21"/>
                <w:szCs w:val="21"/>
                <w:highlight w:val="none"/>
                <w:lang w:val="en-US" w:eastAsia="zh-CN"/>
              </w:rPr>
              <w:t>每次</w:t>
            </w:r>
            <w:r>
              <w:rPr>
                <w:rFonts w:hint="eastAsia" w:ascii="宋体" w:hAnsi="宋体" w:eastAsia="宋体" w:cs="宋体"/>
                <w:color w:val="auto"/>
                <w:sz w:val="21"/>
                <w:szCs w:val="21"/>
                <w:highlight w:val="none"/>
                <w:lang w:eastAsia="zh-CN"/>
              </w:rPr>
              <w:t>扣</w:t>
            </w:r>
            <w:r>
              <w:rPr>
                <w:rFonts w:hint="eastAsia" w:ascii="宋体" w:hAnsi="宋体" w:eastAsia="宋体" w:cs="宋体"/>
                <w:color w:val="auto"/>
                <w:sz w:val="21"/>
                <w:szCs w:val="21"/>
                <w:highlight w:val="none"/>
                <w:lang w:val="en-US" w:eastAsia="zh-CN"/>
              </w:rPr>
              <w:t>2分；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未按普查标准完成</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安排的首普工作的，</w:t>
            </w:r>
            <w:r>
              <w:rPr>
                <w:rFonts w:hint="eastAsia" w:ascii="宋体" w:hAnsi="宋体" w:cs="宋体"/>
                <w:color w:val="auto"/>
                <w:sz w:val="21"/>
                <w:szCs w:val="21"/>
                <w:highlight w:val="none"/>
                <w:lang w:val="en-US" w:eastAsia="zh-CN"/>
              </w:rPr>
              <w:t>每次</w:t>
            </w:r>
            <w:r>
              <w:rPr>
                <w:rFonts w:hint="eastAsia" w:ascii="宋体" w:hAnsi="宋体" w:eastAsia="宋体" w:cs="宋体"/>
                <w:color w:val="auto"/>
                <w:sz w:val="21"/>
                <w:szCs w:val="21"/>
                <w:highlight w:val="none"/>
                <w:lang w:val="en-US" w:eastAsia="zh-CN"/>
              </w:rPr>
              <w:t>扣2分；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在任一统计周期内（每180天一轮）</w:t>
            </w:r>
            <w:r>
              <w:rPr>
                <w:rFonts w:hint="eastAsia" w:ascii="宋体" w:hAnsi="宋体" w:eastAsia="宋体" w:cs="宋体"/>
                <w:color w:val="auto"/>
                <w:sz w:val="21"/>
                <w:szCs w:val="21"/>
                <w:highlight w:val="none"/>
                <w:lang w:val="en-US" w:eastAsia="zh-CN"/>
              </w:rPr>
              <w:t>未达到常普常新100%的，每次扣4分，常普常新质量不达标的，每次扣4分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p>
        </w:tc>
        <w:tc>
          <w:tcPr>
            <w:tcW w:w="137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协助</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服务范围</w:t>
            </w:r>
            <w:r>
              <w:rPr>
                <w:rFonts w:hint="eastAsia" w:ascii="宋体" w:hAnsi="宋体" w:eastAsia="宋体" w:cs="宋体"/>
                <w:color w:val="auto"/>
                <w:sz w:val="21"/>
                <w:szCs w:val="21"/>
                <w:highlight w:val="none"/>
              </w:rPr>
              <w:t>内</w:t>
            </w:r>
            <w:r>
              <w:rPr>
                <w:rFonts w:hint="eastAsia" w:ascii="宋体" w:hAnsi="宋体" w:eastAsia="宋体" w:cs="宋体"/>
                <w:color w:val="auto"/>
                <w:sz w:val="21"/>
                <w:szCs w:val="21"/>
                <w:highlight w:val="none"/>
                <w:lang w:eastAsia="zh-CN"/>
              </w:rPr>
              <w:t>商贸企业（含沿街店铺）</w:t>
            </w:r>
            <w:r>
              <w:rPr>
                <w:rFonts w:hint="eastAsia" w:ascii="宋体" w:hAnsi="宋体" w:eastAsia="宋体" w:cs="宋体"/>
                <w:color w:val="auto"/>
                <w:sz w:val="21"/>
                <w:szCs w:val="21"/>
                <w:highlight w:val="none"/>
              </w:rPr>
              <w:t>的监督检查全覆盖（每180天一轮）和隐患问题闭环整改验收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40分</w:t>
            </w:r>
            <w:r>
              <w:rPr>
                <w:rFonts w:hint="eastAsia" w:ascii="宋体" w:hAnsi="宋体" w:eastAsia="宋体" w:cs="宋体"/>
                <w:color w:val="auto"/>
                <w:sz w:val="21"/>
                <w:szCs w:val="21"/>
                <w:highlight w:val="none"/>
                <w:lang w:eastAsia="zh-CN"/>
              </w:rPr>
              <w:t>）</w:t>
            </w:r>
          </w:p>
        </w:tc>
        <w:tc>
          <w:tcPr>
            <w:tcW w:w="292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未按要求完成监督检查，在任一统计周期（每180天）内监督检查覆盖率未达到</w:t>
            </w:r>
            <w:r>
              <w:rPr>
                <w:rFonts w:hint="eastAsia" w:ascii="宋体" w:hAnsi="宋体" w:eastAsia="宋体" w:cs="宋体"/>
                <w:color w:val="auto"/>
                <w:sz w:val="21"/>
                <w:szCs w:val="21"/>
                <w:highlight w:val="none"/>
                <w:lang w:val="en-US" w:eastAsia="zh-CN"/>
              </w:rPr>
              <w:t>100%的，每次扣2</w:t>
            </w:r>
            <w:r>
              <w:rPr>
                <w:rFonts w:hint="eastAsia" w:ascii="宋体" w:hAnsi="宋体" w:eastAsia="宋体" w:cs="宋体"/>
                <w:color w:val="auto"/>
                <w:sz w:val="21"/>
                <w:szCs w:val="21"/>
                <w:highlight w:val="none"/>
                <w:lang w:eastAsia="zh-CN"/>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未积极开展消防安全督查检查，每次扣</w:t>
            </w:r>
            <w:r>
              <w:rPr>
                <w:rFonts w:hint="eastAsia" w:ascii="宋体" w:hAnsi="宋体" w:eastAsia="宋体" w:cs="宋体"/>
                <w:color w:val="auto"/>
                <w:sz w:val="21"/>
                <w:szCs w:val="21"/>
                <w:highlight w:val="none"/>
                <w:lang w:val="en-US" w:eastAsia="zh-CN"/>
              </w:rPr>
              <w:t>0.25分。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未按检查标准开展消防安全督查检查的，每次扣0.25分；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对于问题隐患，未在交办期限内开展整改验收的，每起扣</w:t>
            </w:r>
            <w:r>
              <w:rPr>
                <w:rFonts w:hint="eastAsia" w:ascii="宋体" w:hAnsi="宋体" w:eastAsia="宋体" w:cs="宋体"/>
                <w:color w:val="auto"/>
                <w:sz w:val="21"/>
                <w:szCs w:val="21"/>
                <w:highlight w:val="none"/>
                <w:lang w:val="en-US" w:eastAsia="zh-CN"/>
              </w:rPr>
              <w:t>0.25</w:t>
            </w:r>
            <w:r>
              <w:rPr>
                <w:rFonts w:hint="eastAsia" w:ascii="宋体" w:hAnsi="宋体" w:eastAsia="宋体" w:cs="宋体"/>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p>
        </w:tc>
        <w:tc>
          <w:tcPr>
            <w:tcW w:w="137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专项检查</w:t>
            </w:r>
            <w:r>
              <w:rPr>
                <w:rFonts w:hint="eastAsia" w:ascii="宋体" w:hAnsi="宋体" w:eastAsia="宋体" w:cs="宋体"/>
                <w:color w:val="auto"/>
                <w:sz w:val="21"/>
                <w:szCs w:val="21"/>
                <w:highlight w:val="none"/>
                <w:lang w:eastAsia="zh-CN"/>
              </w:rPr>
              <w:t>等其他应急管理工作（</w:t>
            </w:r>
            <w:r>
              <w:rPr>
                <w:rFonts w:hint="eastAsia" w:ascii="宋体" w:hAnsi="宋体" w:eastAsia="宋体" w:cs="宋体"/>
                <w:color w:val="auto"/>
                <w:sz w:val="21"/>
                <w:szCs w:val="21"/>
                <w:highlight w:val="none"/>
                <w:lang w:val="en-US" w:eastAsia="zh-CN"/>
              </w:rPr>
              <w:t>20分</w:t>
            </w:r>
            <w:r>
              <w:rPr>
                <w:rFonts w:hint="eastAsia" w:ascii="宋体" w:hAnsi="宋体" w:eastAsia="宋体" w:cs="宋体"/>
                <w:color w:val="auto"/>
                <w:sz w:val="21"/>
                <w:szCs w:val="21"/>
                <w:highlight w:val="none"/>
                <w:lang w:eastAsia="zh-CN"/>
              </w:rPr>
              <w:t>）</w:t>
            </w:r>
          </w:p>
        </w:tc>
        <w:tc>
          <w:tcPr>
            <w:tcW w:w="292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拒不执行</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lang w:eastAsia="zh-CN"/>
              </w:rPr>
              <w:t>定期安排的专项检查等其他应急管理工作，每次扣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未积极开展</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lang w:eastAsia="zh-CN"/>
              </w:rPr>
              <w:t>定期安排的专项检查等其他应急管理工作，每次扣</w:t>
            </w:r>
            <w:r>
              <w:rPr>
                <w:rFonts w:hint="eastAsia" w:ascii="宋体" w:hAnsi="宋体" w:eastAsia="宋体" w:cs="宋体"/>
                <w:color w:val="auto"/>
                <w:sz w:val="21"/>
                <w:szCs w:val="21"/>
                <w:highlight w:val="none"/>
                <w:lang w:val="en-US" w:eastAsia="zh-CN"/>
              </w:rPr>
              <w:t>0.5分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p>
        </w:tc>
        <w:tc>
          <w:tcPr>
            <w:tcW w:w="137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工作质量（10分）</w:t>
            </w:r>
          </w:p>
        </w:tc>
        <w:tc>
          <w:tcPr>
            <w:tcW w:w="292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对参与监督检查的</w:t>
            </w:r>
            <w:r>
              <w:rPr>
                <w:rFonts w:hint="eastAsia" w:ascii="宋体" w:hAnsi="宋体" w:eastAsia="宋体" w:cs="宋体"/>
                <w:color w:val="auto"/>
                <w:sz w:val="21"/>
                <w:szCs w:val="21"/>
                <w:highlight w:val="none"/>
                <w:lang w:eastAsia="zh-CN"/>
              </w:rPr>
              <w:t>商贸企业（含沿街店铺），</w:t>
            </w:r>
            <w:r>
              <w:rPr>
                <w:rFonts w:hint="eastAsia" w:ascii="宋体" w:hAnsi="宋体" w:eastAsia="宋体" w:cs="宋体"/>
                <w:color w:val="auto"/>
                <w:sz w:val="21"/>
                <w:szCs w:val="21"/>
                <w:highlight w:val="none"/>
              </w:rPr>
              <w:t>检查过程中未发现重大</w:t>
            </w:r>
            <w:r>
              <w:rPr>
                <w:rFonts w:hint="eastAsia" w:ascii="宋体" w:hAnsi="宋体" w:eastAsia="宋体" w:cs="宋体"/>
                <w:color w:val="auto"/>
                <w:sz w:val="21"/>
                <w:szCs w:val="21"/>
                <w:highlight w:val="none"/>
                <w:lang w:eastAsia="zh-CN"/>
              </w:rPr>
              <w:t>消防</w:t>
            </w:r>
            <w:r>
              <w:rPr>
                <w:rFonts w:hint="eastAsia" w:ascii="宋体" w:hAnsi="宋体" w:eastAsia="宋体" w:cs="宋体"/>
                <w:color w:val="auto"/>
                <w:sz w:val="21"/>
                <w:szCs w:val="21"/>
                <w:highlight w:val="none"/>
              </w:rPr>
              <w:t>隐患但被上级检查发现并判定的，每个问题扣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应急救援和值班值守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137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服从</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的统一协调指挥，积极参与突发事件的应急处置和救援，做好日常值班值守工作（20分）</w:t>
            </w:r>
          </w:p>
        </w:tc>
        <w:tc>
          <w:tcPr>
            <w:tcW w:w="292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拒不参与</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的应急救援工作，每次扣4分（上不封顶）；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在参与应急救援过程中，不服从统一协调指挥，视情扣0.5-1分；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根据实际需要提出的力量调配、增援要求拒绝，或人员调配不足的，或拖延执行的，</w:t>
            </w:r>
            <w:r>
              <w:rPr>
                <w:rFonts w:hint="eastAsia" w:ascii="宋体" w:hAnsi="宋体" w:cs="宋体"/>
                <w:color w:val="auto"/>
                <w:sz w:val="21"/>
                <w:szCs w:val="21"/>
                <w:highlight w:val="none"/>
                <w:lang w:val="en-US" w:eastAsia="zh-CN"/>
              </w:rPr>
              <w:t>每次</w:t>
            </w:r>
            <w:r>
              <w:rPr>
                <w:rFonts w:hint="eastAsia" w:ascii="宋体" w:hAnsi="宋体" w:eastAsia="宋体" w:cs="宋体"/>
                <w:color w:val="auto"/>
                <w:sz w:val="21"/>
                <w:szCs w:val="21"/>
                <w:highlight w:val="none"/>
              </w:rPr>
              <w:t>视情扣0.5-1分；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专职服务人员不按要求参与</w:t>
            </w:r>
            <w:r>
              <w:rPr>
                <w:rFonts w:hint="eastAsia" w:ascii="宋体" w:hAnsi="宋体" w:eastAsia="宋体" w:cs="宋体"/>
                <w:color w:val="auto"/>
                <w:sz w:val="21"/>
                <w:szCs w:val="21"/>
                <w:highlight w:val="none"/>
                <w:lang w:eastAsia="zh-CN"/>
              </w:rPr>
              <w:t>应急</w:t>
            </w:r>
            <w:r>
              <w:rPr>
                <w:rFonts w:hint="eastAsia" w:ascii="宋体" w:hAnsi="宋体" w:eastAsia="宋体" w:cs="宋体"/>
                <w:color w:val="auto"/>
                <w:sz w:val="21"/>
                <w:szCs w:val="21"/>
                <w:highlight w:val="none"/>
              </w:rPr>
              <w:t>值班值守的或不遵守招标方值班值守有关规定的，每</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扣0.25分。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其他扣分项</w:t>
            </w:r>
          </w:p>
        </w:tc>
        <w:tc>
          <w:tcPr>
            <w:tcW w:w="137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廉政建设</w:t>
            </w:r>
          </w:p>
        </w:tc>
        <w:tc>
          <w:tcPr>
            <w:tcW w:w="292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的服务人员利用协助</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开展相关工作的机会，或以</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名义向被监督检查对象介绍业务、推销产品、吃拿卡要等，每发现一起扣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经核实系</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单位行为的，扣40分；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合同期限内</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关联公司在</w:t>
            </w:r>
            <w:r>
              <w:rPr>
                <w:rFonts w:hint="eastAsia" w:ascii="宋体" w:hAnsi="宋体" w:eastAsia="宋体" w:cs="宋体"/>
                <w:color w:val="auto"/>
                <w:sz w:val="21"/>
                <w:szCs w:val="21"/>
                <w:highlight w:val="none"/>
                <w:lang w:val="en-US" w:eastAsia="zh-CN"/>
              </w:rPr>
              <w:t>江北区</w:t>
            </w:r>
            <w:r>
              <w:rPr>
                <w:rFonts w:hint="eastAsia" w:ascii="宋体" w:hAnsi="宋体" w:eastAsia="宋体" w:cs="宋体"/>
                <w:color w:val="auto"/>
                <w:sz w:val="21"/>
                <w:szCs w:val="21"/>
                <w:highlight w:val="none"/>
              </w:rPr>
              <w:t>内为企业或其他市场经营主体提供消防安全服务，或者推荐、介绍关于消防安全服务的，扣40分。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加分项</w:t>
            </w:r>
          </w:p>
        </w:tc>
        <w:tc>
          <w:tcPr>
            <w:tcW w:w="137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92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相关人员在工作中（如应急救援等）表现突出，受到县级以上党委政府表彰的，按表彰单位（国家、省、市、县），分别加8分、6分、4分、2分（同项工作只给予一次加分）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p>
        </w:tc>
        <w:tc>
          <w:tcPr>
            <w:tcW w:w="137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p>
        </w:tc>
        <w:tc>
          <w:tcPr>
            <w:tcW w:w="292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商贸企业（含沿街店铺）消防安全</w:t>
            </w:r>
            <w:r>
              <w:rPr>
                <w:rFonts w:hint="eastAsia" w:ascii="宋体" w:hAnsi="宋体" w:eastAsia="宋体" w:cs="宋体"/>
                <w:color w:val="auto"/>
                <w:sz w:val="21"/>
                <w:szCs w:val="21"/>
                <w:highlight w:val="none"/>
              </w:rPr>
              <w:t>事故数（总数比例）比前三年平均数总体下降10%，加5分；下降20%，加10分；下降30%，加15分；下降40%，加20分。（最多加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tc>
      </w:tr>
    </w:tbl>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考核结果运用</w:t>
      </w: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签订的政府采购合同为标准进行</w:t>
      </w:r>
      <w:r>
        <w:rPr>
          <w:rFonts w:hint="eastAsia" w:ascii="宋体" w:hAnsi="宋体" w:eastAsia="宋体" w:cs="宋体"/>
          <w:color w:val="auto"/>
          <w:sz w:val="21"/>
          <w:szCs w:val="21"/>
          <w:highlight w:val="none"/>
          <w:lang w:val="en-US" w:eastAsia="zh-CN"/>
        </w:rPr>
        <w:t>独立考核</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考核</w:t>
      </w:r>
      <w:r>
        <w:rPr>
          <w:rFonts w:hint="eastAsia" w:ascii="宋体" w:hAnsi="宋体" w:eastAsia="宋体" w:cs="宋体"/>
          <w:color w:val="auto"/>
          <w:sz w:val="21"/>
          <w:szCs w:val="21"/>
          <w:highlight w:val="none"/>
          <w:lang w:val="en-US" w:eastAsia="zh-CN"/>
        </w:rPr>
        <w:t>以合同周期年度12个月为单位，每合同周期年度验收一次，并在合同周期年度届满前完成验收工作</w:t>
      </w:r>
      <w:r>
        <w:rPr>
          <w:rFonts w:hint="eastAsia" w:ascii="宋体" w:hAnsi="宋体" w:eastAsia="宋体" w:cs="宋体"/>
          <w:color w:val="auto"/>
          <w:sz w:val="21"/>
          <w:szCs w:val="21"/>
          <w:highlight w:val="none"/>
        </w:rPr>
        <w:t>。</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考核结果与服务费用相挂钩，相应得分与总体扣分项加减。考核分在90分（含）以上按合同服务总价剩余</w:t>
      </w:r>
      <w:r>
        <w:rPr>
          <w:rFonts w:hint="eastAsia" w:ascii="宋体" w:hAnsi="宋体" w:eastAsia="宋体" w:cs="宋体"/>
          <w:b w:val="0"/>
          <w:bCs w:val="0"/>
          <w:color w:val="auto"/>
          <w:sz w:val="21"/>
          <w:szCs w:val="21"/>
          <w:highlight w:val="none"/>
          <w:lang w:eastAsia="zh-CN"/>
        </w:rPr>
        <w:t>款项</w:t>
      </w:r>
      <w:r>
        <w:rPr>
          <w:rFonts w:hint="eastAsia" w:ascii="宋体" w:hAnsi="宋体" w:eastAsia="宋体" w:cs="宋体"/>
          <w:b w:val="0"/>
          <w:bCs w:val="0"/>
          <w:color w:val="auto"/>
          <w:sz w:val="21"/>
          <w:szCs w:val="21"/>
          <w:highlight w:val="none"/>
        </w:rPr>
        <w:t>的100%支付服务费用；考核分在75分（含）以上，90分（不含）以下的按合同服务总价剩余</w:t>
      </w:r>
      <w:r>
        <w:rPr>
          <w:rFonts w:hint="eastAsia" w:ascii="宋体" w:hAnsi="宋体" w:eastAsia="宋体" w:cs="宋体"/>
          <w:b w:val="0"/>
          <w:bCs w:val="0"/>
          <w:color w:val="auto"/>
          <w:sz w:val="21"/>
          <w:szCs w:val="21"/>
          <w:highlight w:val="none"/>
          <w:lang w:eastAsia="zh-CN"/>
        </w:rPr>
        <w:t>款项</w:t>
      </w:r>
      <w:r>
        <w:rPr>
          <w:rFonts w:hint="eastAsia" w:ascii="宋体" w:hAnsi="宋体" w:eastAsia="宋体" w:cs="宋体"/>
          <w:b w:val="0"/>
          <w:bCs w:val="0"/>
          <w:color w:val="auto"/>
          <w:sz w:val="21"/>
          <w:szCs w:val="21"/>
          <w:highlight w:val="none"/>
        </w:rPr>
        <w:t>的50%支付服务费用；考核分在75分（不含）以下的，</w:t>
      </w:r>
      <w:r>
        <w:rPr>
          <w:rFonts w:hint="eastAsia" w:ascii="宋体" w:hAnsi="宋体" w:eastAsia="宋体"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有权不支付合同服务总价剩余</w:t>
      </w:r>
      <w:r>
        <w:rPr>
          <w:rFonts w:hint="eastAsia" w:ascii="宋体" w:hAnsi="宋体" w:eastAsia="宋体" w:cs="宋体"/>
          <w:b w:val="0"/>
          <w:bCs w:val="0"/>
          <w:color w:val="auto"/>
          <w:sz w:val="21"/>
          <w:szCs w:val="21"/>
          <w:highlight w:val="none"/>
          <w:lang w:eastAsia="zh-CN"/>
        </w:rPr>
        <w:t>款项</w:t>
      </w:r>
      <w:r>
        <w:rPr>
          <w:rFonts w:hint="eastAsia" w:ascii="宋体" w:hAnsi="宋体" w:eastAsia="宋体" w:cs="宋体"/>
          <w:b w:val="0"/>
          <w:bCs w:val="0"/>
          <w:color w:val="auto"/>
          <w:sz w:val="21"/>
          <w:szCs w:val="21"/>
          <w:highlight w:val="none"/>
        </w:rPr>
        <w:t>的服务费用。</w:t>
      </w:r>
    </w:p>
    <w:p>
      <w:pPr>
        <w:pStyle w:val="77"/>
        <w:keepNext w:val="0"/>
        <w:keepLines w:val="0"/>
        <w:pageBreakBefore w:val="0"/>
        <w:widowControl w:val="0"/>
        <w:kinsoku/>
        <w:wordWrap/>
        <w:overflowPunct/>
        <w:topLinePunct w:val="0"/>
        <w:autoSpaceDE w:val="0"/>
        <w:autoSpaceDN w:val="0"/>
        <w:bidi w:val="0"/>
        <w:snapToGrid/>
        <w:spacing w:line="400" w:lineRule="exact"/>
        <w:ind w:firstLine="0" w:firstLineChars="0"/>
        <w:jc w:val="both"/>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、合同的解除</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1.甲方需解除本合同的，应提前30天通知乙方，自第31日起本合同解除；甲方须按乙方实际履行期限结合甲方</w:t>
      </w:r>
      <w:r>
        <w:rPr>
          <w:rFonts w:hint="eastAsia" w:ascii="宋体" w:hAnsi="宋体" w:eastAsia="宋体" w:cs="宋体"/>
          <w:color w:val="auto"/>
          <w:sz w:val="21"/>
          <w:szCs w:val="21"/>
          <w:highlight w:val="none"/>
          <w:lang w:eastAsia="zh-CN"/>
        </w:rPr>
        <w:t>考核</w:t>
      </w:r>
      <w:r>
        <w:rPr>
          <w:rFonts w:hint="eastAsia" w:ascii="宋体" w:hAnsi="宋体" w:eastAsia="宋体" w:cs="宋体"/>
          <w:color w:val="auto"/>
          <w:sz w:val="21"/>
          <w:szCs w:val="21"/>
          <w:highlight w:val="none"/>
        </w:rPr>
        <w:t>结果支付本合同服务费给乙方，退还乙方履约保证金，另甲方须按一个月服务费（</w:t>
      </w:r>
      <w:r>
        <w:rPr>
          <w:rFonts w:hint="eastAsia" w:ascii="宋体" w:hAnsi="宋体" w:eastAsia="宋体" w:cs="宋体"/>
          <w:color w:val="auto"/>
          <w:sz w:val="21"/>
          <w:szCs w:val="21"/>
          <w:highlight w:val="none"/>
          <w:lang w:val="en-US" w:eastAsia="zh-CN"/>
        </w:rPr>
        <w:t>本合同服务费</w:t>
      </w:r>
      <w:r>
        <w:rPr>
          <w:rFonts w:hint="eastAsia" w:ascii="宋体" w:hAnsi="宋体" w:eastAsia="宋体" w:cs="宋体"/>
          <w:color w:val="auto"/>
          <w:sz w:val="21"/>
          <w:szCs w:val="21"/>
          <w:highlight w:val="none"/>
        </w:rPr>
        <w:t>/12个月，下同）支付违约金给乙方。</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服务期限内，乙方未发生任何违约行为，但乙方因自身情况不履行下一年度服务的，应于本合同服务期限届满前30日通知甲方，经甲方同意后甲乙双方不再续签剩余年度服务合同，但乙方须同时承担以下违约责任：</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（1）履约保证金不予退还；</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（2）按一个月服务费向甲方支付违约金；</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（3）继续提供服务至甲方与第三方签订服务合同，乙方需完成与第三方交接手续，该期间服务费用按实结算（</w:t>
      </w:r>
      <w:r>
        <w:rPr>
          <w:rFonts w:hint="eastAsia" w:ascii="宋体" w:hAnsi="宋体" w:eastAsia="宋体" w:cs="宋体"/>
          <w:color w:val="auto"/>
          <w:sz w:val="21"/>
          <w:szCs w:val="21"/>
          <w:highlight w:val="none"/>
          <w:lang w:eastAsia="zh-CN"/>
        </w:rPr>
        <w:t>本合同服务费</w:t>
      </w:r>
      <w:r>
        <w:rPr>
          <w:rFonts w:hint="eastAsia" w:ascii="宋体" w:hAnsi="宋体" w:eastAsia="宋体" w:cs="宋体"/>
          <w:color w:val="auto"/>
          <w:sz w:val="21"/>
          <w:szCs w:val="21"/>
          <w:highlight w:val="none"/>
        </w:rPr>
        <w:t>/365天×服务天数）。</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3.乙方服务成果</w:t>
      </w:r>
      <w:r>
        <w:rPr>
          <w:rFonts w:hint="eastAsia" w:ascii="宋体" w:hAnsi="宋体" w:eastAsia="宋体" w:cs="宋体"/>
          <w:color w:val="auto"/>
          <w:sz w:val="21"/>
          <w:szCs w:val="21"/>
          <w:highlight w:val="none"/>
          <w:lang w:eastAsia="zh-CN"/>
        </w:rPr>
        <w:t>考核</w:t>
      </w:r>
      <w:r>
        <w:rPr>
          <w:rFonts w:hint="eastAsia" w:ascii="宋体" w:hAnsi="宋体" w:eastAsia="宋体" w:cs="宋体"/>
          <w:color w:val="auto"/>
          <w:sz w:val="21"/>
          <w:szCs w:val="21"/>
          <w:highlight w:val="none"/>
        </w:rPr>
        <w:t>不合格的，甲方不再与乙方续签剩余年度合同，没收乙方履约保证金，另乙方按照一个月服务费向甲方支付违约金，履约保证金不足以赔偿甲方损失的，继续承担赔偿责任。</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履行内，发生归责于甲方属地的商贸企业（含沿街店铺）较大及以上消防安全事故的，或者合同期内乙方存在自身、控股公司、关联公司等在甲方辖区为其他市场经营主体提供第三方服务的，甲方有权单方面解除合同，并没收乙方履约保证金，且乙方须</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rPr>
        <w:t>本合同服务费的20%支付违约金，违约金不足以赔偿甲方损失的，继续承担赔偿责任。</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5.本合同期内，乙方出现考核细则内累计扣分达40分（含）情形的，甲方有权立即解除合同，</w:t>
      </w:r>
      <w:r>
        <w:rPr>
          <w:rFonts w:hint="eastAsia" w:ascii="宋体" w:hAnsi="宋体" w:eastAsia="宋体" w:cs="宋体"/>
          <w:color w:val="auto"/>
          <w:sz w:val="21"/>
          <w:szCs w:val="21"/>
          <w:highlight w:val="none"/>
        </w:rPr>
        <w:t>并没收乙方履约保证金，且乙方须</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rPr>
        <w:t>本合同服务费的20%支付违约金，违约金不足以赔偿甲方损失的，继续承担赔偿责任。</w:t>
      </w:r>
    </w:p>
    <w:p>
      <w:pPr>
        <w:pStyle w:val="77"/>
        <w:keepNext w:val="0"/>
        <w:keepLines w:val="0"/>
        <w:pageBreakBefore w:val="0"/>
        <w:widowControl w:val="0"/>
        <w:numPr>
          <w:ilvl w:val="0"/>
          <w:numId w:val="0"/>
        </w:numPr>
        <w:kinsoku/>
        <w:wordWrap/>
        <w:overflowPunct/>
        <w:topLinePunct w:val="0"/>
        <w:autoSpaceDE w:val="0"/>
        <w:autoSpaceDN w:val="0"/>
        <w:bidi w:val="0"/>
        <w:snapToGrid/>
        <w:spacing w:line="400" w:lineRule="exact"/>
        <w:ind w:leftChars="0" w:firstLine="0" w:firstLineChars="0"/>
        <w:jc w:val="both"/>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、违约责任</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1.甲方未按本合同约定支付合同服务费的，每逾期1日，以应付未付款项为基数，按照全国银行间同业拆借中心授权公布的1年期市场贷款率的2倍支付违约金给乙方。</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服务期内，乙方未按照约定提供服务方案，或者未按照服务方案全面履行，在甲方通知整改后仍未按约完成整改的，甲方有权解除合同，并没收乙方缴纳的履约保证金，违约金不足以赔偿甲方损失的，乙方继续承担赔偿责任。</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本合同服务期限内，乙方违反本合同第八条第4—</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项中任何一项约定的，违约次数累计在5次（含）以下的，乙方须在甲方限定期限内完成整改，且按照5000元/次向甲方违约金；违约次数累计达6次（含）以上的，甲方有权解除合同，乙方须按照10000元/次向甲方支付违约金，且甲方有权没收乙方缴纳的履约保证金，违约金不足以赔偿甲方损失的，乙方继续承担赔偿责任。</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.乙方违反本合同第九条约定的，甲方有权解除合同，没收乙方缴纳的履约保证金，另外乙方须按本合同服务费的20%支付违约金给甲方，违约金不足以赔偿甲方损失的，乙方继续承担赔偿责任。</w:t>
      </w:r>
    </w:p>
    <w:p>
      <w:pPr>
        <w:pStyle w:val="77"/>
        <w:keepNext w:val="0"/>
        <w:keepLines w:val="0"/>
        <w:pageBreakBefore w:val="0"/>
        <w:widowControl w:val="0"/>
        <w:kinsoku/>
        <w:wordWrap/>
        <w:overflowPunct/>
        <w:topLinePunct w:val="0"/>
        <w:autoSpaceDE w:val="0"/>
        <w:autoSpaceDN w:val="0"/>
        <w:bidi w:val="0"/>
        <w:snapToGrid/>
        <w:spacing w:line="400" w:lineRule="exact"/>
        <w:ind w:firstLine="0" w:firstLineChars="0"/>
        <w:jc w:val="both"/>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十三、不可抗力事件处理</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3.不可抗力事件延续120天以上，双方应通过友好协商，确定是否继续履行合同。</w:t>
      </w:r>
    </w:p>
    <w:p>
      <w:pPr>
        <w:pStyle w:val="77"/>
        <w:keepNext w:val="0"/>
        <w:keepLines w:val="0"/>
        <w:pageBreakBefore w:val="0"/>
        <w:widowControl w:val="0"/>
        <w:kinsoku/>
        <w:wordWrap/>
        <w:overflowPunct/>
        <w:topLinePunct w:val="0"/>
        <w:autoSpaceDE w:val="0"/>
        <w:autoSpaceDN w:val="0"/>
        <w:bidi w:val="0"/>
        <w:snapToGrid/>
        <w:spacing w:line="400" w:lineRule="exact"/>
        <w:ind w:firstLine="0" w:firstLineChars="0"/>
        <w:jc w:val="both"/>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十四、争议的解决</w:t>
      </w:r>
    </w:p>
    <w:p>
      <w:pPr>
        <w:pStyle w:val="77"/>
        <w:keepNext w:val="0"/>
        <w:keepLines w:val="0"/>
        <w:pageBreakBefore w:val="0"/>
        <w:widowControl w:val="0"/>
        <w:kinsoku/>
        <w:wordWrap/>
        <w:overflowPunct/>
        <w:topLinePunct w:val="0"/>
        <w:bidi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本合同履行过程中发生争议的，甲乙双方可协商解决，任何一方也可直接向</w:t>
      </w:r>
      <w:r>
        <w:rPr>
          <w:rFonts w:hint="eastAsia" w:ascii="宋体" w:hAnsi="宋体" w:eastAsia="宋体" w:cs="宋体"/>
          <w:color w:val="auto"/>
          <w:sz w:val="21"/>
          <w:szCs w:val="21"/>
          <w:highlight w:val="none"/>
          <w:lang w:val="en-US" w:eastAsia="zh-CN"/>
        </w:rPr>
        <w:t>江北区</w:t>
      </w:r>
      <w:r>
        <w:rPr>
          <w:rFonts w:hint="eastAsia" w:ascii="宋体" w:hAnsi="宋体" w:eastAsia="宋体" w:cs="宋体"/>
          <w:color w:val="auto"/>
          <w:sz w:val="21"/>
          <w:szCs w:val="21"/>
          <w:highlight w:val="none"/>
        </w:rPr>
        <w:t>人民法院提起诉讼。</w:t>
      </w:r>
    </w:p>
    <w:p>
      <w:pPr>
        <w:pStyle w:val="77"/>
        <w:keepNext w:val="0"/>
        <w:keepLines w:val="0"/>
        <w:pageBreakBefore w:val="0"/>
        <w:widowControl w:val="0"/>
        <w:kinsoku/>
        <w:wordWrap/>
        <w:overflowPunct/>
        <w:topLinePunct w:val="0"/>
        <w:autoSpaceDE w:val="0"/>
        <w:autoSpaceDN w:val="0"/>
        <w:bidi w:val="0"/>
        <w:snapToGrid/>
        <w:spacing w:line="400" w:lineRule="exact"/>
        <w:ind w:firstLine="0" w:firstLineChars="0"/>
        <w:jc w:val="both"/>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十五、其他约定</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1.本合同履行过程中，甲方确需增加服务内容，须符合《中华人民共和国政府采购法》等相关法律法规规定的范围内，与乙方协商确定后签订补充协议。</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2.本合同经双方法定代表人或授权委托代理人签名盖章后生效。</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3.本合同执行中涉及采购资金和采购内容修改或补充的，须经相关部门审批，并签订书面补充协议报相关监督管理部门备案，方可作为主合同不可分割的一部分。</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份备案。</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通知与送达：</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甲方指定联系人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，邮箱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，送达地址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乙方指定联系人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，邮箱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，送达地址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77"/>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一方发出通知、指示、要求、决定等，或人民法院、仲裁机关寄送法律文书的，送到上述地址、指定联系人的电话（短信）、微信、钉钉、邮箱等均即为送达。任何一方变更其送达地址的，应提前3个工作日书面通知对方，变更通知送达前按原地址送达的视为送达。</w:t>
      </w:r>
    </w:p>
    <w:p>
      <w:pPr>
        <w:pStyle w:val="77"/>
        <w:keepNext w:val="0"/>
        <w:keepLines w:val="0"/>
        <w:pageBreakBefore w:val="0"/>
        <w:widowControl w:val="0"/>
        <w:kinsoku/>
        <w:wordWrap/>
        <w:overflowPunct/>
        <w:topLinePunct w:val="0"/>
        <w:bidi w:val="0"/>
        <w:spacing w:line="40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（以下无正文）</w:t>
      </w:r>
      <w:r>
        <w:rPr>
          <w:rFonts w:hint="eastAsia" w:ascii="宋体" w:hAnsi="宋体" w:eastAsia="宋体" w:cs="宋体"/>
          <w:color w:val="auto"/>
          <w:sz w:val="22"/>
          <w:szCs w:val="22"/>
          <w:highlight w:val="none"/>
        </w:rPr>
        <w:t xml:space="preserve">                              </w:t>
      </w:r>
    </w:p>
    <w:tbl>
      <w:tblPr>
        <w:tblStyle w:val="38"/>
        <w:tblW w:w="8759" w:type="dxa"/>
        <w:tblInd w:w="105" w:type="dxa"/>
        <w:tblLayout w:type="fixed"/>
        <w:tblCellMar>
          <w:top w:w="0" w:type="dxa"/>
          <w:left w:w="108" w:type="dxa"/>
          <w:bottom w:w="0" w:type="dxa"/>
          <w:right w:w="108" w:type="dxa"/>
        </w:tblCellMar>
      </w:tblPr>
      <w:tblGrid>
        <w:gridCol w:w="4384"/>
        <w:gridCol w:w="4375"/>
      </w:tblGrid>
      <w:tr>
        <w:tblPrEx>
          <w:tblCellMar>
            <w:top w:w="0" w:type="dxa"/>
            <w:left w:w="108" w:type="dxa"/>
            <w:bottom w:w="0" w:type="dxa"/>
            <w:right w:w="108" w:type="dxa"/>
          </w:tblCellMar>
        </w:tblPrEx>
        <w:trPr>
          <w:trHeight w:val="521" w:hRule="atLeast"/>
        </w:trPr>
        <w:tc>
          <w:tcPr>
            <w:tcW w:w="4384" w:type="dxa"/>
            <w:vAlign w:val="center"/>
          </w:tcPr>
          <w:p>
            <w:pPr>
              <w:pStyle w:val="19"/>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auto"/>
                <w:sz w:val="21"/>
                <w:szCs w:val="21"/>
                <w:highlight w:val="none"/>
              </w:rPr>
            </w:pPr>
            <w:bookmarkStart w:id="27" w:name="_Toc6651"/>
            <w:r>
              <w:rPr>
                <w:rFonts w:hint="eastAsia" w:ascii="宋体" w:hAnsi="宋体" w:eastAsia="宋体" w:cs="宋体"/>
                <w:color w:val="auto"/>
                <w:sz w:val="21"/>
                <w:szCs w:val="21"/>
                <w:highlight w:val="none"/>
              </w:rPr>
              <w:t>甲方：</w:t>
            </w:r>
          </w:p>
        </w:tc>
        <w:tc>
          <w:tcPr>
            <w:tcW w:w="4375" w:type="dxa"/>
            <w:vAlign w:val="center"/>
          </w:tcPr>
          <w:p>
            <w:pPr>
              <w:pStyle w:val="19"/>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tc>
      </w:tr>
      <w:tr>
        <w:tblPrEx>
          <w:tblCellMar>
            <w:top w:w="0" w:type="dxa"/>
            <w:left w:w="108" w:type="dxa"/>
            <w:bottom w:w="0" w:type="dxa"/>
            <w:right w:w="108" w:type="dxa"/>
          </w:tblCellMar>
        </w:tblPrEx>
        <w:trPr>
          <w:trHeight w:val="521" w:hRule="atLeast"/>
        </w:trPr>
        <w:tc>
          <w:tcPr>
            <w:tcW w:w="4384" w:type="dxa"/>
            <w:vAlign w:val="center"/>
          </w:tcPr>
          <w:p>
            <w:pPr>
              <w:pStyle w:val="19"/>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375" w:type="dxa"/>
            <w:vAlign w:val="center"/>
          </w:tcPr>
          <w:p>
            <w:pPr>
              <w:pStyle w:val="19"/>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tblPrEx>
          <w:tblCellMar>
            <w:top w:w="0" w:type="dxa"/>
            <w:left w:w="108" w:type="dxa"/>
            <w:bottom w:w="0" w:type="dxa"/>
            <w:right w:w="108" w:type="dxa"/>
          </w:tblCellMar>
        </w:tblPrEx>
        <w:trPr>
          <w:trHeight w:val="521" w:hRule="atLeast"/>
        </w:trPr>
        <w:tc>
          <w:tcPr>
            <w:tcW w:w="4384" w:type="dxa"/>
            <w:vAlign w:val="center"/>
          </w:tcPr>
          <w:p>
            <w:pPr>
              <w:pStyle w:val="19"/>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w:t>
            </w:r>
          </w:p>
        </w:tc>
        <w:tc>
          <w:tcPr>
            <w:tcW w:w="4375" w:type="dxa"/>
            <w:vAlign w:val="center"/>
          </w:tcPr>
          <w:p>
            <w:pPr>
              <w:pStyle w:val="19"/>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w:t>
            </w:r>
          </w:p>
        </w:tc>
      </w:tr>
      <w:tr>
        <w:tblPrEx>
          <w:tblCellMar>
            <w:top w:w="0" w:type="dxa"/>
            <w:left w:w="108" w:type="dxa"/>
            <w:bottom w:w="0" w:type="dxa"/>
            <w:right w:w="108" w:type="dxa"/>
          </w:tblCellMar>
        </w:tblPrEx>
        <w:trPr>
          <w:trHeight w:val="521" w:hRule="atLeast"/>
        </w:trPr>
        <w:tc>
          <w:tcPr>
            <w:tcW w:w="4384" w:type="dxa"/>
            <w:vAlign w:val="center"/>
          </w:tcPr>
          <w:p>
            <w:pPr>
              <w:pStyle w:val="19"/>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w:t>
            </w:r>
          </w:p>
        </w:tc>
        <w:tc>
          <w:tcPr>
            <w:tcW w:w="4375" w:type="dxa"/>
            <w:vAlign w:val="center"/>
          </w:tcPr>
          <w:p>
            <w:pPr>
              <w:pStyle w:val="19"/>
              <w:keepNext w:val="0"/>
              <w:keepLines w:val="0"/>
              <w:pageBreakBefore w:val="0"/>
              <w:widowControl/>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w:t>
            </w:r>
          </w:p>
        </w:tc>
      </w:tr>
    </w:tbl>
    <w:p>
      <w:pPr>
        <w:rPr>
          <w:rStyle w:val="54"/>
          <w:rFonts w:hint="eastAsia" w:ascii="Times New Roman" w:hAnsi="Times New Roman" w:cs="Times New Roman"/>
          <w:color w:val="auto"/>
          <w:highlight w:val="none"/>
        </w:rPr>
      </w:pPr>
      <w:r>
        <w:rPr>
          <w:rStyle w:val="54"/>
          <w:rFonts w:hint="eastAsia" w:ascii="Times New Roman" w:hAnsi="Times New Roman" w:cs="Times New Roman"/>
          <w:color w:val="auto"/>
          <w:highlight w:val="none"/>
        </w:rPr>
        <w:br w:type="page"/>
      </w:r>
    </w:p>
    <w:p>
      <w:pPr>
        <w:pStyle w:val="19"/>
        <w:snapToGrid w:val="0"/>
        <w:spacing w:before="120" w:after="120" w:line="440" w:lineRule="exact"/>
        <w:jc w:val="center"/>
        <w:outlineLvl w:val="0"/>
        <w:rPr>
          <w:rStyle w:val="54"/>
          <w:rFonts w:hint="eastAsia" w:ascii="Times New Roman" w:hAnsi="Times New Roman" w:cs="Times New Roman"/>
          <w:color w:val="auto"/>
          <w:highlight w:val="none"/>
        </w:rPr>
      </w:pPr>
      <w:r>
        <w:rPr>
          <w:rStyle w:val="54"/>
          <w:rFonts w:hint="eastAsia" w:ascii="Times New Roman" w:hAnsi="Times New Roman" w:cs="Times New Roman"/>
          <w:color w:val="auto"/>
          <w:highlight w:val="none"/>
        </w:rPr>
        <w:t>第六章　投标文件格式</w:t>
      </w:r>
      <w:bookmarkEnd w:id="27"/>
    </w:p>
    <w:p>
      <w:pPr>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1"/>
          <w:szCs w:val="21"/>
          <w:highlight w:val="none"/>
          <w:lang w:val="en-US" w:eastAsia="zh-CN"/>
        </w:rPr>
      </w:pPr>
    </w:p>
    <w:p>
      <w:pPr>
        <w:pStyle w:val="4"/>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一、投标文件</w:t>
      </w:r>
      <w:r>
        <w:rPr>
          <w:rFonts w:hint="eastAsia" w:ascii="宋体" w:hAnsi="宋体" w:eastAsia="宋体" w:cs="宋体"/>
          <w:color w:val="auto"/>
          <w:sz w:val="21"/>
          <w:szCs w:val="21"/>
          <w:highlight w:val="none"/>
        </w:rPr>
        <w:t>封面格式</w:t>
      </w:r>
    </w:p>
    <w:p>
      <w:pPr>
        <w:snapToGrid w:val="0"/>
        <w:spacing w:beforeLines="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(所有投标文件的外包装可</w:t>
      </w:r>
      <w:r>
        <w:rPr>
          <w:rFonts w:hint="eastAsia" w:ascii="宋体" w:hAnsi="宋体" w:eastAsia="宋体" w:cs="宋体"/>
          <w:color w:val="auto"/>
          <w:sz w:val="21"/>
          <w:szCs w:val="21"/>
          <w:highlight w:val="none"/>
          <w:lang w:val="en-US" w:eastAsia="zh-CN"/>
        </w:rPr>
        <w:t>自行</w:t>
      </w:r>
      <w:r>
        <w:rPr>
          <w:rFonts w:hint="eastAsia" w:ascii="宋体" w:hAnsi="宋体" w:eastAsia="宋体" w:cs="宋体"/>
          <w:color w:val="auto"/>
          <w:sz w:val="21"/>
          <w:szCs w:val="21"/>
          <w:highlight w:val="none"/>
        </w:rPr>
        <w:t>选用)</w:t>
      </w:r>
    </w:p>
    <w:p>
      <w:pPr>
        <w:snapToGrid w:val="0"/>
        <w:spacing w:beforeLines="50" w:after="50"/>
        <w:jc w:val="center"/>
        <w:rPr>
          <w:rFonts w:hint="eastAsia" w:ascii="宋体" w:hAnsi="宋体" w:eastAsia="宋体" w:cs="宋体"/>
          <w:bCs/>
          <w:color w:val="auto"/>
          <w:sz w:val="21"/>
          <w:szCs w:val="21"/>
          <w:highlight w:val="none"/>
        </w:rPr>
      </w:pPr>
    </w:p>
    <w:p>
      <w:pPr>
        <w:snapToGrid w:val="0"/>
        <w:spacing w:beforeLines="50" w:after="5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 标 文 件</w:t>
      </w:r>
    </w:p>
    <w:p>
      <w:pPr>
        <w:snapToGrid w:val="0"/>
        <w:spacing w:beforeLines="50" w:after="50"/>
        <w:rPr>
          <w:rFonts w:hint="eastAsia" w:ascii="宋体" w:hAnsi="宋体" w:eastAsia="宋体" w:cs="宋体"/>
          <w:bCs/>
          <w:color w:val="auto"/>
          <w:sz w:val="21"/>
          <w:szCs w:val="21"/>
          <w:highlight w:val="none"/>
        </w:rPr>
      </w:pPr>
    </w:p>
    <w:p>
      <w:pPr>
        <w:snapToGrid w:val="0"/>
        <w:spacing w:beforeLines="50" w:after="50"/>
        <w:rPr>
          <w:rFonts w:hint="eastAsia" w:ascii="宋体" w:hAnsi="宋体" w:eastAsia="宋体" w:cs="宋体"/>
          <w:bCs/>
          <w:color w:val="auto"/>
          <w:sz w:val="21"/>
          <w:szCs w:val="21"/>
          <w:highlight w:val="none"/>
        </w:rPr>
      </w:pPr>
    </w:p>
    <w:p>
      <w:pPr>
        <w:spacing w:line="360" w:lineRule="auto"/>
        <w:ind w:firstLine="1785" w:firstLineChars="8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p>
      <w:pPr>
        <w:spacing w:line="360" w:lineRule="auto"/>
        <w:ind w:firstLine="1785" w:firstLineChars="8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项目编号： </w:t>
      </w:r>
    </w:p>
    <w:p>
      <w:pPr>
        <w:spacing w:line="360" w:lineRule="auto"/>
        <w:ind w:firstLine="1785" w:firstLineChars="8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投标文件名称：资格文件/</w:t>
      </w:r>
      <w:r>
        <w:rPr>
          <w:rFonts w:hint="eastAsia" w:ascii="宋体" w:hAnsi="宋体" w:eastAsia="宋体" w:cs="宋体"/>
          <w:bCs/>
          <w:color w:val="auto"/>
          <w:sz w:val="21"/>
          <w:szCs w:val="21"/>
          <w:highlight w:val="none"/>
          <w:lang w:eastAsia="zh-CN"/>
        </w:rPr>
        <w:t>技术商务</w:t>
      </w:r>
      <w:r>
        <w:rPr>
          <w:rFonts w:hint="eastAsia" w:ascii="宋体" w:hAnsi="宋体" w:eastAsia="宋体" w:cs="宋体"/>
          <w:bCs/>
          <w:color w:val="auto"/>
          <w:sz w:val="21"/>
          <w:szCs w:val="21"/>
          <w:highlight w:val="none"/>
        </w:rPr>
        <w:t>文件/报价文件</w:t>
      </w:r>
    </w:p>
    <w:p>
      <w:pPr>
        <w:spacing w:line="360" w:lineRule="auto"/>
        <w:ind w:firstLine="1785" w:firstLineChars="8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供应商名称：</w:t>
      </w:r>
    </w:p>
    <w:p>
      <w:pPr>
        <w:spacing w:line="360" w:lineRule="auto"/>
        <w:ind w:firstLine="1785" w:firstLineChars="8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供应商地址：</w:t>
      </w:r>
    </w:p>
    <w:p>
      <w:pPr>
        <w:pStyle w:val="10"/>
        <w:snapToGrid w:val="0"/>
        <w:spacing w:line="400" w:lineRule="exact"/>
        <w:ind w:firstLine="1785" w:firstLineChars="85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                  开标时启封</w:t>
      </w:r>
    </w:p>
    <w:p>
      <w:pPr>
        <w:snapToGrid w:val="0"/>
        <w:spacing w:beforeLines="50" w:after="50"/>
        <w:ind w:firstLine="3570" w:firstLineChars="1700"/>
        <w:rPr>
          <w:rFonts w:hint="eastAsia" w:ascii="宋体" w:hAnsi="宋体" w:eastAsia="宋体" w:cs="宋体"/>
          <w:bCs/>
          <w:color w:val="auto"/>
          <w:sz w:val="21"/>
          <w:szCs w:val="21"/>
          <w:highlight w:val="none"/>
        </w:rPr>
      </w:pPr>
    </w:p>
    <w:p>
      <w:pPr>
        <w:snapToGrid w:val="0"/>
        <w:spacing w:beforeLines="50" w:after="50"/>
        <w:ind w:firstLine="645"/>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年  月  日</w:t>
      </w:r>
    </w:p>
    <w:p>
      <w:pPr>
        <w:snapToGrid w:val="0"/>
        <w:spacing w:beforeLines="50" w:after="50"/>
        <w:rPr>
          <w:rFonts w:hint="eastAsia" w:ascii="宋体" w:hAnsi="宋体" w:eastAsia="宋体" w:cs="宋体"/>
          <w:color w:val="auto"/>
          <w:sz w:val="21"/>
          <w:szCs w:val="21"/>
          <w:highlight w:val="none"/>
        </w:rPr>
      </w:pPr>
    </w:p>
    <w:p>
      <w:pPr>
        <w:snapToGrid w:val="0"/>
        <w:spacing w:beforeLines="50" w:after="50"/>
        <w:jc w:val="center"/>
        <w:rPr>
          <w:rFonts w:hint="eastAsia" w:ascii="宋体" w:hAnsi="宋体" w:eastAsia="宋体" w:cs="宋体"/>
          <w:color w:val="auto"/>
          <w:sz w:val="21"/>
          <w:szCs w:val="21"/>
          <w:highlight w:val="none"/>
        </w:rPr>
      </w:pPr>
    </w:p>
    <w:p>
      <w:pPr>
        <w:snapToGrid w:val="0"/>
        <w:spacing w:beforeLines="50" w:after="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2.封面格式： </w:t>
      </w:r>
    </w:p>
    <w:p>
      <w:pPr>
        <w:snapToGrid w:val="0"/>
        <w:spacing w:beforeLines="50" w:after="5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正本/或副本</w:t>
      </w:r>
    </w:p>
    <w:p>
      <w:pPr>
        <w:snapToGrid w:val="0"/>
        <w:spacing w:beforeLines="50" w:after="50"/>
        <w:rPr>
          <w:rFonts w:hint="eastAsia" w:ascii="宋体" w:hAnsi="宋体" w:eastAsia="宋体" w:cs="宋体"/>
          <w:bCs/>
          <w:color w:val="auto"/>
          <w:sz w:val="21"/>
          <w:szCs w:val="21"/>
          <w:highlight w:val="none"/>
        </w:rPr>
      </w:pPr>
    </w:p>
    <w:p>
      <w:pPr>
        <w:snapToGrid w:val="0"/>
        <w:spacing w:beforeLines="50" w:after="5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w:t>
      </w:r>
    </w:p>
    <w:p>
      <w:pPr>
        <w:snapToGrid w:val="0"/>
        <w:spacing w:beforeLines="50" w:after="50"/>
        <w:rPr>
          <w:rFonts w:hint="eastAsia" w:ascii="宋体" w:hAnsi="宋体" w:eastAsia="宋体" w:cs="宋体"/>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Chars="100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p>
      <w:pPr>
        <w:keepNext w:val="0"/>
        <w:keepLines w:val="0"/>
        <w:pageBreakBefore w:val="0"/>
        <w:widowControl w:val="0"/>
        <w:kinsoku/>
        <w:wordWrap/>
        <w:overflowPunct/>
        <w:topLinePunct w:val="0"/>
        <w:autoSpaceDE/>
        <w:autoSpaceDN/>
        <w:bidi w:val="0"/>
        <w:adjustRightInd/>
        <w:snapToGrid w:val="0"/>
        <w:spacing w:line="360" w:lineRule="auto"/>
        <w:ind w:leftChars="100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pPr>
        <w:keepNext w:val="0"/>
        <w:keepLines w:val="0"/>
        <w:pageBreakBefore w:val="0"/>
        <w:widowControl w:val="0"/>
        <w:kinsoku/>
        <w:wordWrap/>
        <w:overflowPunct/>
        <w:topLinePunct w:val="0"/>
        <w:autoSpaceDE/>
        <w:autoSpaceDN/>
        <w:bidi w:val="0"/>
        <w:adjustRightInd/>
        <w:snapToGrid w:val="0"/>
        <w:spacing w:line="360" w:lineRule="auto"/>
        <w:ind w:leftChars="100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投标文件名称：资格文件/</w:t>
      </w:r>
      <w:r>
        <w:rPr>
          <w:rFonts w:hint="eastAsia" w:ascii="宋体" w:hAnsi="宋体" w:eastAsia="宋体" w:cs="宋体"/>
          <w:bCs/>
          <w:color w:val="auto"/>
          <w:sz w:val="21"/>
          <w:szCs w:val="21"/>
          <w:highlight w:val="none"/>
          <w:lang w:eastAsia="zh-CN"/>
        </w:rPr>
        <w:t>技术商务</w:t>
      </w:r>
      <w:r>
        <w:rPr>
          <w:rFonts w:hint="eastAsia" w:ascii="宋体" w:hAnsi="宋体" w:eastAsia="宋体" w:cs="宋体"/>
          <w:bCs/>
          <w:color w:val="auto"/>
          <w:sz w:val="21"/>
          <w:szCs w:val="21"/>
          <w:highlight w:val="none"/>
        </w:rPr>
        <w:t>文件/报价文件</w:t>
      </w:r>
    </w:p>
    <w:p>
      <w:pPr>
        <w:pStyle w:val="10"/>
        <w:keepNext w:val="0"/>
        <w:keepLines w:val="0"/>
        <w:pageBreakBefore w:val="0"/>
        <w:widowControl w:val="0"/>
        <w:kinsoku/>
        <w:wordWrap/>
        <w:overflowPunct/>
        <w:topLinePunct w:val="0"/>
        <w:autoSpaceDE/>
        <w:autoSpaceDN/>
        <w:bidi w:val="0"/>
        <w:adjustRightInd/>
        <w:snapToGrid w:val="0"/>
        <w:spacing w:line="360" w:lineRule="auto"/>
        <w:ind w:leftChars="100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供应商名称：</w:t>
      </w:r>
    </w:p>
    <w:p>
      <w:pPr>
        <w:pStyle w:val="10"/>
        <w:keepNext w:val="0"/>
        <w:keepLines w:val="0"/>
        <w:pageBreakBefore w:val="0"/>
        <w:widowControl w:val="0"/>
        <w:kinsoku/>
        <w:wordWrap/>
        <w:overflowPunct/>
        <w:topLinePunct w:val="0"/>
        <w:autoSpaceDE/>
        <w:autoSpaceDN/>
        <w:bidi w:val="0"/>
        <w:adjustRightInd/>
        <w:snapToGrid w:val="0"/>
        <w:spacing w:line="360" w:lineRule="auto"/>
        <w:ind w:leftChars="100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供应商地址：</w:t>
      </w:r>
    </w:p>
    <w:p>
      <w:pPr>
        <w:snapToGrid w:val="0"/>
        <w:spacing w:beforeLines="50" w:after="50"/>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授权代表签章：</w:t>
      </w:r>
    </w:p>
    <w:p>
      <w:pPr>
        <w:snapToGrid w:val="0"/>
        <w:spacing w:beforeLines="50" w:after="50"/>
        <w:ind w:firstLine="6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br w:type="page"/>
      </w:r>
    </w:p>
    <w:p>
      <w:pPr>
        <w:keepNext w:val="0"/>
        <w:keepLines w:val="0"/>
        <w:pageBreakBefore w:val="0"/>
        <w:widowControl w:val="0"/>
        <w:kinsoku/>
        <w:wordWrap/>
        <w:overflowPunct/>
        <w:topLinePunct w:val="0"/>
        <w:autoSpaceDE/>
        <w:autoSpaceDN/>
        <w:bidi w:val="0"/>
        <w:adjustRightInd w:val="0"/>
        <w:snapToGrid w:val="0"/>
        <w:jc w:val="center"/>
        <w:textAlignment w:val="auto"/>
        <w:outlineLvl w:val="2"/>
        <w:rPr>
          <w:rFonts w:ascii="宋体" w:hAnsi="宋体" w:cs="宋体"/>
          <w:b/>
          <w:color w:val="auto"/>
          <w:sz w:val="24"/>
          <w:highlight w:val="none"/>
        </w:rPr>
      </w:pPr>
      <w:r>
        <w:rPr>
          <w:rStyle w:val="87"/>
          <w:rFonts w:hint="eastAsia"/>
          <w:color w:val="auto"/>
          <w:highlight w:val="none"/>
          <w:lang w:val="en-US" w:eastAsia="zh-CN"/>
        </w:rPr>
        <w:t>资格条件自查表</w:t>
      </w:r>
    </w:p>
    <w:tbl>
      <w:tblPr>
        <w:tblStyle w:val="38"/>
        <w:tblW w:w="9519"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1"/>
        <w:gridCol w:w="4902"/>
        <w:gridCol w:w="1328"/>
        <w:gridCol w:w="2358"/>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tcBorders>
              <w:top w:val="single" w:color="auto" w:sz="12" w:space="0"/>
              <w:left w:val="single" w:color="auto" w:sz="12" w:space="0"/>
              <w:bottom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Style w:val="41"/>
                <w:rFonts w:hint="eastAsia" w:ascii="宋体" w:hAnsi="宋体" w:eastAsia="宋体" w:cs="宋体"/>
                <w:color w:val="auto"/>
                <w:sz w:val="21"/>
                <w:szCs w:val="21"/>
                <w:highlight w:val="none"/>
              </w:rPr>
              <w:t>评审内容</w:t>
            </w:r>
          </w:p>
        </w:tc>
        <w:tc>
          <w:tcPr>
            <w:tcW w:w="4902" w:type="dxa"/>
            <w:tcBorders>
              <w:top w:val="single" w:color="auto" w:sz="12" w:space="0"/>
              <w:left w:val="outset" w:color="111111" w:sz="6" w:space="0"/>
              <w:bottom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Style w:val="41"/>
                <w:rFonts w:hint="eastAsia" w:ascii="宋体" w:hAnsi="宋体" w:eastAsia="宋体" w:cs="宋体"/>
                <w:color w:val="auto"/>
                <w:sz w:val="21"/>
                <w:szCs w:val="21"/>
                <w:highlight w:val="none"/>
              </w:rPr>
              <w:t>采购文件要求</w:t>
            </w:r>
          </w:p>
        </w:tc>
        <w:tc>
          <w:tcPr>
            <w:tcW w:w="1328" w:type="dxa"/>
            <w:tcBorders>
              <w:top w:val="single" w:color="auto" w:sz="12" w:space="0"/>
              <w:left w:val="outset" w:color="111111" w:sz="6" w:space="0"/>
              <w:bottom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Style w:val="41"/>
                <w:rFonts w:hint="eastAsia" w:ascii="宋体" w:hAnsi="宋体" w:eastAsia="宋体" w:cs="宋体"/>
                <w:color w:val="auto"/>
                <w:sz w:val="21"/>
                <w:szCs w:val="21"/>
                <w:highlight w:val="none"/>
              </w:rPr>
              <w:t>自查结论</w:t>
            </w:r>
          </w:p>
        </w:tc>
        <w:tc>
          <w:tcPr>
            <w:tcW w:w="2358" w:type="dxa"/>
            <w:tcBorders>
              <w:top w:val="single" w:color="auto" w:sz="12" w:space="0"/>
              <w:left w:val="outset" w:color="111111" w:sz="6" w:space="0"/>
              <w:bottom w:val="outset" w:color="111111" w:sz="6"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Style w:val="41"/>
                <w:rFonts w:hint="eastAsia" w:ascii="宋体" w:hAnsi="宋体" w:eastAsia="宋体" w:cs="宋体"/>
                <w:color w:val="auto"/>
                <w:sz w:val="21"/>
                <w:szCs w:val="21"/>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restart"/>
            <w:tcBorders>
              <w:top w:val="outset" w:color="111111" w:sz="6" w:space="0"/>
              <w:left w:val="single" w:color="auto" w:sz="12" w:space="0"/>
              <w:right w:val="outset" w:color="111111" w:sz="6" w:space="0"/>
            </w:tcBorders>
            <w:vAlign w:val="center"/>
          </w:tcPr>
          <w:p>
            <w:pPr>
              <w:pStyle w:val="82"/>
              <w:keepNext w:val="0"/>
              <w:keepLines w:val="0"/>
              <w:pageBreakBefore w:val="0"/>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w:t>
            </w:r>
          </w:p>
          <w:p>
            <w:pPr>
              <w:pStyle w:val="82"/>
              <w:keepNext w:val="0"/>
              <w:keepLines w:val="0"/>
              <w:pageBreakBefore w:val="0"/>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格</w:t>
            </w:r>
          </w:p>
          <w:p>
            <w:pPr>
              <w:pStyle w:val="82"/>
              <w:keepNext w:val="0"/>
              <w:keepLines w:val="0"/>
              <w:pageBreakBefore w:val="0"/>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性</w:t>
            </w:r>
          </w:p>
          <w:p>
            <w:pPr>
              <w:pStyle w:val="82"/>
              <w:keepNext w:val="0"/>
              <w:keepLines w:val="0"/>
              <w:pageBreakBefore w:val="0"/>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w:t>
            </w:r>
          </w:p>
          <w:p>
            <w:pPr>
              <w:pStyle w:val="82"/>
              <w:keepNext w:val="0"/>
              <w:keepLines w:val="0"/>
              <w:pageBreakBefore w:val="0"/>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查</w:t>
            </w:r>
          </w:p>
        </w:tc>
        <w:tc>
          <w:tcPr>
            <w:tcW w:w="4902" w:type="dxa"/>
            <w:tcBorders>
              <w:top w:val="outset" w:color="111111" w:sz="6" w:space="0"/>
              <w:left w:val="outset" w:color="111111" w:sz="6" w:space="0"/>
              <w:bottom w:val="single" w:color="auto" w:sz="4"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投标声明书</w:t>
            </w:r>
          </w:p>
        </w:tc>
        <w:tc>
          <w:tcPr>
            <w:tcW w:w="1328" w:type="dxa"/>
            <w:vMerge w:val="restart"/>
            <w:tcBorders>
              <w:top w:val="outset" w:color="111111" w:sz="6" w:space="0"/>
              <w:left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58" w:type="dxa"/>
            <w:tcBorders>
              <w:top w:val="outset" w:color="111111" w:sz="6" w:space="0"/>
              <w:left w:val="outset" w:color="111111" w:sz="6"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top w:val="outset" w:color="111111" w:sz="6" w:space="0"/>
              <w:left w:val="single" w:color="auto" w:sz="12" w:space="0"/>
              <w:right w:val="outset" w:color="111111" w:sz="6" w:space="0"/>
            </w:tcBorders>
            <w:vAlign w:val="center"/>
          </w:tcPr>
          <w:p>
            <w:pPr>
              <w:pStyle w:val="82"/>
              <w:keepNext w:val="0"/>
              <w:keepLines w:val="0"/>
              <w:pageBreakBefore w:val="0"/>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b/>
                <w:color w:val="auto"/>
                <w:sz w:val="21"/>
                <w:szCs w:val="21"/>
                <w:highlight w:val="none"/>
              </w:rPr>
            </w:pPr>
          </w:p>
        </w:tc>
        <w:tc>
          <w:tcPr>
            <w:tcW w:w="4902" w:type="dxa"/>
            <w:tcBorders>
              <w:top w:val="outset" w:color="111111" w:sz="6" w:space="0"/>
              <w:left w:val="outset" w:color="111111" w:sz="6" w:space="0"/>
              <w:bottom w:val="single" w:color="auto" w:sz="4"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具备《政府采购法》第二十二条所规定的条件：</w:t>
            </w:r>
          </w:p>
        </w:tc>
        <w:tc>
          <w:tcPr>
            <w:tcW w:w="1328" w:type="dxa"/>
            <w:vMerge w:val="continue"/>
            <w:tcBorders>
              <w:top w:val="outset" w:color="111111" w:sz="6" w:space="0"/>
              <w:left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p>
        </w:tc>
        <w:tc>
          <w:tcPr>
            <w:tcW w:w="2358" w:type="dxa"/>
            <w:tcBorders>
              <w:top w:val="outset" w:color="111111" w:sz="6" w:space="0"/>
              <w:left w:val="outset" w:color="111111" w:sz="6"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left w:val="single" w:color="auto" w:sz="12" w:space="0"/>
              <w:right w:val="outset" w:color="111111" w:sz="6" w:space="0"/>
            </w:tcBorders>
            <w:vAlign w:val="center"/>
          </w:tcPr>
          <w:p>
            <w:pPr>
              <w:pStyle w:val="82"/>
              <w:keepNext w:val="0"/>
              <w:keepLines w:val="0"/>
              <w:pageBreakBefore w:val="0"/>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b/>
                <w:color w:val="auto"/>
                <w:sz w:val="21"/>
                <w:szCs w:val="21"/>
                <w:highlight w:val="none"/>
              </w:rPr>
            </w:pPr>
          </w:p>
        </w:tc>
        <w:tc>
          <w:tcPr>
            <w:tcW w:w="4902" w:type="dxa"/>
            <w:tcBorders>
              <w:top w:val="outset" w:color="111111" w:sz="6" w:space="0"/>
              <w:left w:val="outset" w:color="111111" w:sz="6" w:space="0"/>
              <w:bottom w:val="single" w:color="auto" w:sz="4" w:space="0"/>
              <w:right w:val="outset" w:color="111111" w:sz="6" w:space="0"/>
            </w:tcBorders>
            <w:vAlign w:val="center"/>
          </w:tcPr>
          <w:p>
            <w:pPr>
              <w:keepNext w:val="0"/>
              <w:keepLines w:val="0"/>
              <w:pageBreakBefore w:val="0"/>
              <w:numPr>
                <w:ilvl w:val="0"/>
                <w:numId w:val="5"/>
              </w:numPr>
              <w:kinsoku/>
              <w:wordWrap/>
              <w:overflowPunct/>
              <w:topLinePunct w:val="0"/>
              <w:autoSpaceDE/>
              <w:autoSpaceDN/>
              <w:bidi w:val="0"/>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有效的企业法人营业执照（或事业法人登记证）、其他组织的营业执照或者民办非企业单位登记证书</w:t>
            </w:r>
            <w:r>
              <w:rPr>
                <w:rFonts w:hint="eastAsia" w:ascii="宋体" w:hAnsi="宋体" w:cs="宋体"/>
                <w:color w:val="auto"/>
                <w:sz w:val="21"/>
                <w:szCs w:val="21"/>
                <w:highlight w:val="none"/>
                <w:lang w:eastAsia="zh-CN"/>
              </w:rPr>
              <w:t>。</w:t>
            </w:r>
          </w:p>
        </w:tc>
        <w:tc>
          <w:tcPr>
            <w:tcW w:w="1328" w:type="dxa"/>
            <w:vMerge w:val="continue"/>
            <w:tcBorders>
              <w:top w:val="outset" w:color="111111" w:sz="6" w:space="0"/>
              <w:left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p>
        </w:tc>
        <w:tc>
          <w:tcPr>
            <w:tcW w:w="2358" w:type="dxa"/>
            <w:tcBorders>
              <w:top w:val="outset" w:color="111111" w:sz="6" w:space="0"/>
              <w:left w:val="outset" w:color="111111" w:sz="6"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left w:val="single" w:color="auto" w:sz="12" w:space="0"/>
              <w:right w:val="outset" w:color="111111" w:sz="6" w:space="0"/>
            </w:tcBorders>
            <w:vAlign w:val="center"/>
          </w:tcPr>
          <w:p>
            <w:pPr>
              <w:pStyle w:val="82"/>
              <w:keepNext w:val="0"/>
              <w:keepLines w:val="0"/>
              <w:pageBreakBefore w:val="0"/>
              <w:kinsoku/>
              <w:wordWrap/>
              <w:overflowPunct/>
              <w:topLinePunct w:val="0"/>
              <w:autoSpaceDE/>
              <w:autoSpaceDN/>
              <w:bidi w:val="0"/>
              <w:adjustRightInd w:val="0"/>
              <w:snapToGrid w:val="0"/>
              <w:spacing w:before="0" w:beforeAutospacing="0" w:after="0" w:afterAutospacing="0"/>
              <w:jc w:val="center"/>
              <w:textAlignment w:val="auto"/>
              <w:rPr>
                <w:rFonts w:hint="eastAsia" w:ascii="宋体" w:hAnsi="宋体" w:eastAsia="宋体" w:cs="宋体"/>
                <w:b/>
                <w:color w:val="auto"/>
                <w:sz w:val="21"/>
                <w:szCs w:val="21"/>
                <w:highlight w:val="none"/>
              </w:rPr>
            </w:pPr>
          </w:p>
        </w:tc>
        <w:tc>
          <w:tcPr>
            <w:tcW w:w="4902" w:type="dxa"/>
            <w:tcBorders>
              <w:top w:val="outset" w:color="111111" w:sz="6" w:space="0"/>
              <w:left w:val="outset" w:color="111111" w:sz="6" w:space="0"/>
              <w:bottom w:val="single" w:color="auto" w:sz="4"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具备《中华人民共和国政府采购法》第二十二条规定的资格条件的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投标声明函</w:t>
            </w:r>
            <w:r>
              <w:rPr>
                <w:rFonts w:hint="eastAsia" w:ascii="宋体" w:hAnsi="宋体" w:cs="宋体"/>
                <w:color w:val="auto"/>
                <w:sz w:val="21"/>
                <w:szCs w:val="21"/>
                <w:highlight w:val="none"/>
                <w:lang w:eastAsia="zh-CN"/>
              </w:rPr>
              <w:t>”；</w:t>
            </w:r>
          </w:p>
        </w:tc>
        <w:tc>
          <w:tcPr>
            <w:tcW w:w="1328" w:type="dxa"/>
            <w:vMerge w:val="continue"/>
            <w:tcBorders>
              <w:top w:val="outset" w:color="111111" w:sz="6" w:space="0"/>
              <w:left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p>
        </w:tc>
        <w:tc>
          <w:tcPr>
            <w:tcW w:w="2358" w:type="dxa"/>
            <w:tcBorders>
              <w:top w:val="outset" w:color="111111" w:sz="6" w:space="0"/>
              <w:left w:val="outset" w:color="111111" w:sz="6"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left w:val="single" w:color="auto" w:sz="12"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bCs/>
                <w:color w:val="auto"/>
                <w:sz w:val="21"/>
                <w:szCs w:val="21"/>
                <w:highlight w:val="none"/>
              </w:rPr>
              <w:t>为采购项目提供整体设计、规范编制或者项目管理、监理、检测等服务的</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及其附属机构，不得再参加本项目投标。</w:t>
            </w:r>
          </w:p>
        </w:tc>
        <w:tc>
          <w:tcPr>
            <w:tcW w:w="1328"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58" w:type="dxa"/>
            <w:tcBorders>
              <w:top w:val="outset" w:color="111111" w:sz="6" w:space="0"/>
              <w:left w:val="outset" w:color="111111" w:sz="6" w:space="0"/>
              <w:bottom w:val="outset" w:color="111111" w:sz="6"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left w:val="single" w:color="auto" w:sz="12"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numPr>
                <w:ilvl w:val="0"/>
                <w:numId w:val="6"/>
              </w:numPr>
              <w:kinsoku/>
              <w:wordWrap/>
              <w:overflowPunct/>
              <w:topLinePunct w:val="0"/>
              <w:autoSpaceDE/>
              <w:autoSpaceDN/>
              <w:bidi w:val="0"/>
              <w:adjustRightInd w:val="0"/>
              <w:snapToGrid w:val="0"/>
              <w:textAlignment w:val="auto"/>
              <w:rPr>
                <w:rFonts w:hint="eastAsia"/>
                <w:highlight w:val="none"/>
                <w:lang w:val="en-US" w:eastAsia="zh-CN"/>
              </w:rPr>
            </w:pPr>
            <w:r>
              <w:rPr>
                <w:rFonts w:hint="eastAsia" w:ascii="宋体" w:hAnsi="宋体" w:eastAsia="宋体" w:cs="宋体"/>
                <w:color w:val="auto"/>
                <w:sz w:val="21"/>
                <w:szCs w:val="21"/>
                <w:highlight w:val="none"/>
              </w:rPr>
              <w:t>落实政府采购政策需满足的资格要求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本项目属于专门面向中小企业采购的项目，供应商应为符合《政府采购促进中小企业发展管理办法》（财库﹝2020﹞46 号）规定的中小企业（其中，小微企业包括视同为小型、微型企业的监狱企业、残疾人福利性单位）</w:t>
            </w:r>
            <w:r>
              <w:rPr>
                <w:rFonts w:hint="eastAsia" w:ascii="宋体" w:hAnsi="宋体" w:cs="宋体"/>
                <w:color w:val="auto"/>
                <w:sz w:val="21"/>
                <w:szCs w:val="21"/>
                <w:highlight w:val="none"/>
                <w:u w:val="none"/>
                <w:lang w:eastAsia="zh-CN"/>
              </w:rPr>
              <w:t>。</w:t>
            </w:r>
          </w:p>
          <w:p>
            <w:pPr>
              <w:pStyle w:val="55"/>
              <w:ind w:left="0" w:leftChars="0" w:firstLine="0" w:firstLineChars="0"/>
              <w:rPr>
                <w:rFonts w:hint="default"/>
                <w:highlight w:val="none"/>
                <w:lang w:val="en-US" w:eastAsia="zh-CN"/>
              </w:rPr>
            </w:pPr>
            <w:r>
              <w:rPr>
                <w:rFonts w:hint="eastAsia" w:ascii="宋体" w:hAnsi="宋体" w:eastAsia="宋体" w:cs="宋体"/>
                <w:color w:val="auto"/>
                <w:kern w:val="2"/>
                <w:sz w:val="21"/>
                <w:szCs w:val="21"/>
                <w:highlight w:val="none"/>
                <w:lang w:val="en-US" w:eastAsia="zh-CN" w:bidi="ar-SA"/>
              </w:rPr>
              <w:t>备注：提供“中小企业声明函”或“残疾人福利性单位声明函”</w:t>
            </w:r>
            <w:r>
              <w:rPr>
                <w:rFonts w:hint="eastAsia" w:ascii="宋体" w:hAnsi="宋体" w:cs="宋体"/>
                <w:color w:val="auto"/>
                <w:kern w:val="2"/>
                <w:sz w:val="21"/>
                <w:szCs w:val="21"/>
                <w:highlight w:val="none"/>
                <w:lang w:val="en-US" w:eastAsia="zh-CN" w:bidi="ar-SA"/>
              </w:rPr>
              <w:t>或“监狱企业声明函”。</w:t>
            </w:r>
          </w:p>
        </w:tc>
        <w:tc>
          <w:tcPr>
            <w:tcW w:w="1328"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□不通过</w:t>
            </w:r>
          </w:p>
        </w:tc>
        <w:tc>
          <w:tcPr>
            <w:tcW w:w="2358" w:type="dxa"/>
            <w:tcBorders>
              <w:top w:val="outset" w:color="111111" w:sz="6" w:space="0"/>
              <w:left w:val="outset" w:color="111111" w:sz="6" w:space="0"/>
              <w:bottom w:val="outset" w:color="111111" w:sz="6"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left w:val="single" w:color="auto" w:sz="12"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、定资格要求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p>
        </w:tc>
        <w:tc>
          <w:tcPr>
            <w:tcW w:w="1328"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□不通过</w:t>
            </w:r>
          </w:p>
        </w:tc>
        <w:tc>
          <w:tcPr>
            <w:tcW w:w="2358" w:type="dxa"/>
            <w:tcBorders>
              <w:top w:val="outset" w:color="111111" w:sz="6" w:space="0"/>
              <w:left w:val="outset" w:color="111111" w:sz="6" w:space="0"/>
              <w:bottom w:val="outset" w:color="111111" w:sz="6"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left w:val="single" w:color="auto" w:sz="12"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u w:val="single"/>
              </w:rPr>
              <w:t>不接受</w:t>
            </w:r>
            <w:r>
              <w:rPr>
                <w:rFonts w:hint="eastAsia" w:ascii="宋体" w:hAnsi="宋体" w:eastAsia="宋体" w:cs="宋体"/>
                <w:color w:val="auto"/>
                <w:sz w:val="21"/>
                <w:szCs w:val="21"/>
                <w:highlight w:val="none"/>
              </w:rPr>
              <w:t>联合体投标。</w:t>
            </w:r>
          </w:p>
        </w:tc>
        <w:tc>
          <w:tcPr>
            <w:tcW w:w="1328"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58" w:type="dxa"/>
            <w:tcBorders>
              <w:top w:val="outset" w:color="111111" w:sz="6" w:space="0"/>
              <w:left w:val="outset" w:color="111111" w:sz="6" w:space="0"/>
              <w:bottom w:val="outset" w:color="111111" w:sz="6"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left w:val="single" w:color="auto" w:sz="12"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pStyle w:val="37"/>
              <w:keepNext w:val="0"/>
              <w:keepLines w:val="0"/>
              <w:pageBreakBefore w:val="0"/>
              <w:widowControl w:val="0"/>
              <w:kinsoku/>
              <w:wordWrap/>
              <w:overflowPunct/>
              <w:topLinePunct w:val="0"/>
              <w:autoSpaceDE/>
              <w:autoSpaceDN/>
              <w:bidi w:val="0"/>
              <w:spacing w:after="0"/>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未被列入信用中国网站(www.creditchina.gov.cn)、中国政府采购网(www.ccgp.gov.cn)渠道信用记录失信被执行人、重大税收违法案件当事人名单、政府采购严重违法失信行为信息记录名单的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（以代理机构于投标截止日当天在“信用中国”网站（www.creditchina.gov.cn）及中国政府采购网查询结果为准，如相关失信记录已失效，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需提供相关证明资料）。</w:t>
            </w:r>
          </w:p>
        </w:tc>
        <w:tc>
          <w:tcPr>
            <w:tcW w:w="1328"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□通过 </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58" w:type="dxa"/>
            <w:tcBorders>
              <w:top w:val="outset" w:color="111111" w:sz="6" w:space="0"/>
              <w:left w:val="outset" w:color="111111" w:sz="6" w:space="0"/>
              <w:bottom w:val="outset" w:color="111111" w:sz="6"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931" w:type="dxa"/>
            <w:vMerge w:val="continue"/>
            <w:tcBorders>
              <w:left w:val="single" w:color="auto" w:sz="12"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p>
        </w:tc>
        <w:tc>
          <w:tcPr>
            <w:tcW w:w="4902"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，不得参加同一合同项下的政府采购活动。为采购项目提供整体设计、规范编制或者项目管理、监理、检测等服务的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，不得再参加该采购项目的其他采购活动。</w:t>
            </w:r>
          </w:p>
        </w:tc>
        <w:tc>
          <w:tcPr>
            <w:tcW w:w="1328" w:type="dxa"/>
            <w:tcBorders>
              <w:top w:val="outset" w:color="111111" w:sz="6" w:space="0"/>
              <w:left w:val="outset" w:color="111111" w:sz="6" w:space="0"/>
              <w:bottom w:val="outset" w:color="111111" w:sz="6" w:space="0"/>
              <w:right w:val="outset" w:color="111111" w:sz="6" w:space="0"/>
            </w:tcBorders>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rPr>
            </w:pPr>
          </w:p>
        </w:tc>
        <w:tc>
          <w:tcPr>
            <w:tcW w:w="2358" w:type="dxa"/>
            <w:tcBorders>
              <w:top w:val="outset" w:color="111111" w:sz="6" w:space="0"/>
              <w:left w:val="outset" w:color="111111" w:sz="6" w:space="0"/>
              <w:bottom w:val="outset" w:color="111111" w:sz="6"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outlineLvl w:val="9"/>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备注：1、表后附供应商有效的企业法人营业执照（或事业法人登记证）、其他组织的营业执照或者民办非企业单位登记证书复印件（或复印件）。</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b/>
          <w:color w:val="auto"/>
          <w:sz w:val="32"/>
          <w:szCs w:val="32"/>
          <w:highlight w:val="none"/>
        </w:rPr>
      </w:pPr>
      <w:r>
        <w:rPr>
          <w:rFonts w:hint="eastAsia" w:ascii="宋体" w:hAnsi="宋体" w:eastAsia="宋体" w:cs="宋体"/>
          <w:b/>
          <w:color w:val="auto"/>
          <w:sz w:val="22"/>
          <w:szCs w:val="22"/>
          <w:highlight w:val="none"/>
        </w:rPr>
        <w:br w:type="page"/>
      </w:r>
      <w:r>
        <w:rPr>
          <w:rStyle w:val="87"/>
          <w:rFonts w:hint="eastAsia"/>
          <w:color w:val="auto"/>
          <w:highlight w:val="none"/>
          <w:lang w:val="en-US" w:eastAsia="zh-CN"/>
        </w:rPr>
        <w:t>投标声明书</w:t>
      </w:r>
    </w:p>
    <w:p>
      <w:pPr>
        <w:rPr>
          <w:rFonts w:ascii="宋体" w:hAnsi="宋体"/>
          <w:b/>
          <w:color w:val="auto"/>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eastAsia="宋体" w:cs="宋体"/>
          <w:b/>
          <w:color w:val="auto"/>
          <w:sz w:val="21"/>
          <w:szCs w:val="21"/>
          <w:highlight w:val="none"/>
          <w:u w:val="single"/>
        </w:rPr>
        <w:t>（采购人）</w:t>
      </w:r>
    </w:p>
    <w:p>
      <w:pPr>
        <w:snapToGrid w:val="0"/>
        <w:spacing w:beforeLines="5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日发布</w:t>
      </w:r>
      <w:r>
        <w:rPr>
          <w:rFonts w:hint="eastAsia" w:ascii="宋体" w:hAnsi="宋体" w:eastAsia="宋体" w:cs="宋体"/>
          <w:color w:val="auto"/>
          <w:sz w:val="21"/>
          <w:szCs w:val="21"/>
          <w:highlight w:val="none"/>
          <w:u w:val="single"/>
        </w:rPr>
        <w:t xml:space="preserve">  </w:t>
      </w:r>
      <w:r>
        <w:rPr>
          <w:rFonts w:hint="eastAsia" w:ascii="宋体" w:hAnsi="宋体" w:cs="宋体"/>
          <w:color w:val="auto"/>
          <w:kern w:val="28"/>
          <w:sz w:val="21"/>
          <w:szCs w:val="21"/>
          <w:highlight w:val="none"/>
          <w:u w:val="single"/>
          <w:lang w:val="en-US" w:eastAsia="zh-CN"/>
        </w:rPr>
        <w:t xml:space="preserve">  （项目名称）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）的采购公告，本公司（企业）愿意参加投标，并声明：</w:t>
      </w:r>
    </w:p>
    <w:p>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本公司（企业）具备</w:t>
      </w:r>
      <w:r>
        <w:rPr>
          <w:rFonts w:hint="eastAsia" w:ascii="宋体" w:hAnsi="宋体" w:eastAsia="宋体" w:cs="宋体"/>
          <w:bCs/>
          <w:color w:val="auto"/>
          <w:sz w:val="21"/>
          <w:szCs w:val="21"/>
          <w:highlight w:val="none"/>
        </w:rPr>
        <w:t>《中华人民共和国政府采购法》第二十二条资格条件，</w:t>
      </w:r>
      <w:r>
        <w:rPr>
          <w:rFonts w:hint="eastAsia" w:ascii="宋体" w:hAnsi="宋体" w:eastAsia="宋体" w:cs="宋体"/>
          <w:color w:val="auto"/>
          <w:sz w:val="21"/>
          <w:szCs w:val="21"/>
          <w:highlight w:val="none"/>
        </w:rPr>
        <w:t>并已清楚采购文件的要求及有关文件规定。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本公司（企业）具有履行合同所必需的设备和专业技术能力，且本公司（企业）参加政府采购活动前3年内在经营活动中没有重大违法记录。</w:t>
      </w:r>
      <w:r>
        <w:rPr>
          <w:rFonts w:hint="eastAsia" w:ascii="宋体" w:hAnsi="宋体" w:eastAsia="宋体" w:cs="宋体"/>
          <w:color w:val="auto"/>
          <w:sz w:val="21"/>
          <w:szCs w:val="21"/>
          <w:highlight w:val="none"/>
        </w:rPr>
        <w:t>否则，由此所造成的损失、不良后果及法律责任，一律由我公司（企业）承担。</w:t>
      </w:r>
    </w:p>
    <w:p>
      <w:pPr>
        <w:snapToGrid w:val="0"/>
        <w:spacing w:line="360" w:lineRule="auto"/>
        <w:ind w:firstLine="426" w:firstLineChars="20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本次招标采购活动中，如有违法、违规、弄虚作假行为，所造成的损失、不良后果及法律责任，一律由我公司（企业）承担。</w:t>
      </w:r>
    </w:p>
    <w:p>
      <w:pPr>
        <w:spacing w:line="360" w:lineRule="auto"/>
        <w:ind w:firstLine="4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特此声明！</w:t>
      </w:r>
    </w:p>
    <w:p>
      <w:pPr>
        <w:adjustRightInd w:val="0"/>
        <w:snapToGrid w:val="0"/>
        <w:spacing w:line="360" w:lineRule="auto"/>
        <w:ind w:left="425"/>
        <w:rPr>
          <w:rFonts w:hint="eastAsia" w:ascii="宋体" w:hAnsi="宋体" w:eastAsia="宋体" w:cs="宋体"/>
          <w:color w:val="auto"/>
          <w:spacing w:val="4"/>
          <w:sz w:val="21"/>
          <w:szCs w:val="21"/>
          <w:highlight w:val="non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tabs>
          <w:tab w:val="left" w:pos="7480"/>
        </w:tabs>
        <w:autoSpaceDE w:val="0"/>
        <w:autoSpaceDN w:val="0"/>
        <w:adjustRightInd w:val="0"/>
        <w:spacing w:line="360" w:lineRule="exact"/>
        <w:rPr>
          <w:rFonts w:hint="eastAsia" w:ascii="宋体" w:hAnsi="宋体" w:eastAsia="宋体" w:cs="宋体"/>
          <w:color w:val="auto"/>
          <w:sz w:val="21"/>
          <w:szCs w:val="21"/>
          <w:highlight w:val="none"/>
        </w:rPr>
      </w:pPr>
    </w:p>
    <w:p>
      <w:pPr>
        <w:snapToGrid w:val="0"/>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注：后附信用中国”网站(www.creditchina.gov.cn) 及中国政府采购网(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color w:val="auto"/>
          <w:sz w:val="21"/>
          <w:szCs w:val="21"/>
          <w:highlight w:val="none"/>
          <w:u w:val="single"/>
        </w:rPr>
        <w:t>www.ccgp.gov.cn</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)，网上查询结果打印页。</w:t>
      </w:r>
    </w:p>
    <w:p>
      <w:pPr>
        <w:keepNext w:val="0"/>
        <w:keepLines w:val="0"/>
        <w:pageBreakBefore w:val="0"/>
        <w:widowControl w:val="0"/>
        <w:kinsoku/>
        <w:wordWrap/>
        <w:overflowPunct/>
        <w:topLinePunct w:val="0"/>
        <w:autoSpaceDE/>
        <w:autoSpaceDN/>
        <w:bidi w:val="0"/>
        <w:adjustRightInd/>
        <w:snapToGrid w:val="0"/>
        <w:spacing w:beforeLines="50" w:after="50" w:line="440" w:lineRule="exact"/>
        <w:jc w:val="center"/>
        <w:textAlignment w:val="auto"/>
        <w:outlineLvl w:val="2"/>
        <w:rPr>
          <w:rFonts w:hint="eastAsia" w:ascii="宋体" w:hAnsi="宋体" w:eastAsia="宋体"/>
          <w:b/>
          <w:color w:val="auto"/>
          <w:sz w:val="32"/>
          <w:szCs w:val="32"/>
          <w:highlight w:val="none"/>
          <w:lang w:eastAsia="zh-CN"/>
        </w:rPr>
      </w:pPr>
      <w:r>
        <w:rPr>
          <w:rFonts w:hint="eastAsia" w:ascii="宋体" w:hAnsi="宋体" w:eastAsia="宋体" w:cs="宋体"/>
          <w:b/>
          <w:color w:val="auto"/>
          <w:sz w:val="22"/>
          <w:szCs w:val="22"/>
          <w:highlight w:val="none"/>
        </w:rPr>
        <w:br w:type="page"/>
      </w:r>
      <w:r>
        <w:rPr>
          <w:rStyle w:val="87"/>
          <w:rFonts w:hint="eastAsia"/>
          <w:color w:val="auto"/>
          <w:highlight w:val="none"/>
        </w:rPr>
        <w:t>中小企业声明函</w:t>
      </w:r>
      <w:r>
        <w:rPr>
          <w:rStyle w:val="87"/>
          <w:rFonts w:hint="eastAsia"/>
          <w:color w:val="auto"/>
          <w:highlight w:val="none"/>
          <w:lang w:eastAsia="zh-CN"/>
        </w:rPr>
        <w:t>（</w:t>
      </w:r>
      <w:r>
        <w:rPr>
          <w:rStyle w:val="87"/>
          <w:rFonts w:hint="eastAsia"/>
          <w:color w:val="auto"/>
          <w:highlight w:val="none"/>
          <w:lang w:val="en-US" w:eastAsia="zh-CN"/>
        </w:rPr>
        <w:t>服务类</w:t>
      </w:r>
      <w:r>
        <w:rPr>
          <w:rStyle w:val="87"/>
          <w:rFonts w:hint="eastAsia"/>
          <w:color w:val="auto"/>
          <w:highlight w:val="none"/>
          <w:lang w:eastAsia="zh-CN"/>
        </w:rPr>
        <w:t>）</w:t>
      </w:r>
    </w:p>
    <w:p>
      <w:pPr>
        <w:spacing w:line="400" w:lineRule="exact"/>
        <w:ind w:firstLine="440" w:firstLineChars="200"/>
        <w:rPr>
          <w:color w:val="auto"/>
          <w:kern w:val="0"/>
          <w:sz w:val="22"/>
          <w:szCs w:val="22"/>
          <w:highlight w:val="none"/>
          <w:lang w:bidi="zh-CN"/>
        </w:rPr>
      </w:pPr>
    </w:p>
    <w:p>
      <w:pPr>
        <w:spacing w:line="400" w:lineRule="exact"/>
        <w:ind w:firstLine="440" w:firstLineChars="200"/>
        <w:rPr>
          <w:color w:val="auto"/>
          <w:kern w:val="0"/>
          <w:sz w:val="22"/>
          <w:szCs w:val="22"/>
          <w:highlight w:val="none"/>
          <w:lang w:bidi="zh-CN"/>
        </w:rPr>
      </w:pPr>
    </w:p>
    <w:p>
      <w:pPr>
        <w:widowControl/>
        <w:spacing w:line="360" w:lineRule="auto"/>
        <w:ind w:firstLine="420" w:firstLineChars="200"/>
        <w:contextualSpacing/>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本公司（联合体）郑重声明，根据《政府采购促进中小企业发展管理办法》</w:t>
      </w:r>
      <w:r>
        <w:rPr>
          <w:rFonts w:hint="eastAsia" w:ascii="宋体" w:hAnsi="宋体" w:cs="宋体"/>
          <w:color w:val="auto"/>
          <w:spacing w:val="-6"/>
          <w:sz w:val="21"/>
          <w:szCs w:val="21"/>
          <w:highlight w:val="none"/>
        </w:rPr>
        <w:t>（财库﹝2020﹞46</w:t>
      </w:r>
      <w:r>
        <w:rPr>
          <w:rFonts w:hint="eastAsia" w:ascii="宋体" w:hAnsi="宋体" w:cs="宋体"/>
          <w:color w:val="auto"/>
          <w:spacing w:val="-92"/>
          <w:sz w:val="21"/>
          <w:szCs w:val="21"/>
          <w:highlight w:val="none"/>
        </w:rPr>
        <w:t xml:space="preserve"> </w:t>
      </w:r>
      <w:r>
        <w:rPr>
          <w:rFonts w:hint="eastAsia" w:ascii="宋体" w:hAnsi="宋体" w:cs="宋体"/>
          <w:color w:val="auto"/>
          <w:spacing w:val="3"/>
          <w:sz w:val="21"/>
          <w:szCs w:val="21"/>
          <w:highlight w:val="none"/>
        </w:rPr>
        <w:t>号）</w:t>
      </w:r>
      <w:r>
        <w:rPr>
          <w:rFonts w:hint="eastAsia" w:ascii="宋体" w:hAnsi="宋体" w:cs="宋体"/>
          <w:color w:val="auto"/>
          <w:kern w:val="0"/>
          <w:sz w:val="21"/>
          <w:szCs w:val="21"/>
          <w:highlight w:val="none"/>
        </w:rPr>
        <w:t>的规定，本公司（联合体）参加</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i/>
          <w:iCs/>
          <w:color w:val="auto"/>
          <w:w w:val="95"/>
          <w:sz w:val="21"/>
          <w:szCs w:val="21"/>
          <w:highlight w:val="none"/>
          <w:u w:val="single"/>
        </w:rPr>
        <w:t>（</w:t>
      </w:r>
      <w:r>
        <w:rPr>
          <w:rFonts w:hint="eastAsia" w:ascii="宋体" w:hAnsi="宋体" w:cs="宋体"/>
          <w:i/>
          <w:iCs/>
          <w:color w:val="auto"/>
          <w:w w:val="95"/>
          <w:sz w:val="21"/>
          <w:szCs w:val="21"/>
          <w:highlight w:val="none"/>
          <w:u w:val="single"/>
          <w:lang w:val="en-US" w:eastAsia="zh-CN"/>
        </w:rPr>
        <w:t>采购人</w:t>
      </w:r>
      <w:r>
        <w:rPr>
          <w:rFonts w:hint="eastAsia" w:ascii="宋体" w:hAnsi="宋体" w:cs="宋体"/>
          <w:i/>
          <w:iCs/>
          <w:color w:val="auto"/>
          <w:w w:val="95"/>
          <w:sz w:val="21"/>
          <w:szCs w:val="21"/>
          <w:highlight w:val="none"/>
          <w:u w:val="single"/>
        </w:rPr>
        <w:t>名称）</w:t>
      </w:r>
      <w:r>
        <w:rPr>
          <w:rFonts w:hint="eastAsia" w:ascii="宋体" w:hAnsi="宋体" w:cs="宋体"/>
          <w:color w:val="auto"/>
          <w:w w:val="95"/>
          <w:sz w:val="21"/>
          <w:szCs w:val="21"/>
          <w:highlight w:val="none"/>
          <w:u w:val="single"/>
        </w:rPr>
        <w:t>的</w:t>
      </w:r>
      <w:r>
        <w:rPr>
          <w:rFonts w:hint="eastAsia" w:ascii="宋体" w:hAnsi="宋体" w:cs="宋体"/>
          <w:i/>
          <w:iCs/>
          <w:color w:val="auto"/>
          <w:w w:val="95"/>
          <w:sz w:val="21"/>
          <w:szCs w:val="21"/>
          <w:highlight w:val="none"/>
          <w:u w:val="single"/>
        </w:rPr>
        <w:t>（项目名称）</w:t>
      </w:r>
      <w:r>
        <w:rPr>
          <w:rFonts w:hint="eastAsia" w:ascii="宋体" w:hAnsi="宋体" w:cs="宋体"/>
          <w:i/>
          <w:iCs/>
          <w:color w:val="auto"/>
          <w:w w:val="95"/>
          <w:sz w:val="21"/>
          <w:szCs w:val="21"/>
          <w:highlight w:val="none"/>
          <w:u w:val="single"/>
          <w:lang w:val="en-US" w:eastAsia="zh-CN"/>
        </w:rPr>
        <w:t xml:space="preserve">  </w:t>
      </w:r>
      <w:r>
        <w:rPr>
          <w:rFonts w:hint="eastAsia" w:ascii="宋体" w:hAnsi="宋体" w:cs="宋体"/>
          <w:color w:val="auto"/>
          <w:kern w:val="0"/>
          <w:sz w:val="21"/>
          <w:szCs w:val="21"/>
          <w:highlight w:val="none"/>
        </w:rPr>
        <w:t>的采购活动，服务全部由符合政策要求的中小企业承接。相关企业（含联合体中的中小企业、签订分包意向协议的中小企业）的具体情况如下：</w:t>
      </w:r>
    </w:p>
    <w:p>
      <w:pPr>
        <w:widowControl/>
        <w:spacing w:line="360" w:lineRule="auto"/>
        <w:ind w:firstLine="420" w:firstLineChars="200"/>
        <w:contextualSpacing/>
        <w:jc w:val="left"/>
        <w:rPr>
          <w:rFonts w:ascii="宋体" w:hAnsi="宋体" w:cs="宋体"/>
          <w:color w:val="auto"/>
          <w:kern w:val="0"/>
          <w:sz w:val="21"/>
          <w:szCs w:val="21"/>
          <w:highlight w:val="none"/>
        </w:rPr>
      </w:pPr>
      <w:r>
        <w:rPr>
          <w:rFonts w:hint="eastAsia" w:ascii="宋体" w:hAnsi="宋体"/>
          <w:color w:val="auto"/>
          <w:sz w:val="21"/>
          <w:szCs w:val="21"/>
          <w:highlight w:val="none"/>
        </w:rPr>
        <w:t>1.</w:t>
      </w:r>
      <w:r>
        <w:rPr>
          <w:rFonts w:hint="eastAsia" w:ascii="宋体" w:hAnsi="宋体" w:cs="宋体"/>
          <w:color w:val="auto"/>
          <w:kern w:val="0"/>
          <w:sz w:val="21"/>
          <w:szCs w:val="21"/>
          <w:highlight w:val="none"/>
          <w:u w:val="single"/>
        </w:rPr>
        <w:t xml:space="preserve">     （标的名称）</w:t>
      </w:r>
      <w:r>
        <w:rPr>
          <w:rFonts w:hint="eastAsia" w:ascii="宋体" w:hAnsi="宋体" w:cs="宋体"/>
          <w:color w:val="auto"/>
          <w:kern w:val="0"/>
          <w:sz w:val="21"/>
          <w:szCs w:val="21"/>
          <w:highlight w:val="none"/>
        </w:rPr>
        <w:t>，属于</w:t>
      </w:r>
      <w:r>
        <w:rPr>
          <w:rFonts w:hint="eastAsia" w:cs="宋体"/>
          <w:i/>
          <w:iCs/>
          <w:color w:val="auto"/>
          <w:sz w:val="21"/>
          <w:szCs w:val="21"/>
          <w:highlight w:val="none"/>
          <w:u w:val="single"/>
          <w:lang w:val="en-US" w:eastAsia="zh-CN"/>
        </w:rPr>
        <w:t xml:space="preserve"> </w:t>
      </w:r>
      <w:r>
        <w:rPr>
          <w:rFonts w:hint="eastAsia" w:ascii="宋体" w:hAnsi="宋体" w:eastAsia="宋体" w:cs="宋体"/>
          <w:b/>
          <w:bCs/>
          <w:i/>
          <w:iCs/>
          <w:color w:val="auto"/>
          <w:sz w:val="21"/>
          <w:szCs w:val="21"/>
          <w:highlight w:val="none"/>
          <w:u w:val="single"/>
        </w:rPr>
        <w:t>（采购文件中明确的所属行业）</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承建（</w:t>
      </w:r>
      <w:r>
        <w:rPr>
          <w:rFonts w:hint="eastAsia" w:ascii="宋体" w:hAnsi="宋体" w:cs="宋体"/>
          <w:color w:val="auto"/>
          <w:kern w:val="0"/>
          <w:sz w:val="21"/>
          <w:szCs w:val="21"/>
          <w:highlight w:val="none"/>
        </w:rPr>
        <w:t>承接</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rPr>
        <w:t>企业为</w:t>
      </w:r>
      <w:r>
        <w:rPr>
          <w:rFonts w:hint="eastAsia" w:ascii="宋体" w:hAnsi="宋体" w:cs="宋体"/>
          <w:color w:val="auto"/>
          <w:kern w:val="0"/>
          <w:sz w:val="21"/>
          <w:szCs w:val="21"/>
          <w:highlight w:val="none"/>
          <w:u w:val="single"/>
        </w:rPr>
        <w:t xml:space="preserve">   （企业名称）   </w:t>
      </w:r>
      <w:r>
        <w:rPr>
          <w:rFonts w:hint="eastAsia" w:ascii="宋体" w:hAnsi="宋体" w:cs="宋体"/>
          <w:color w:val="auto"/>
          <w:kern w:val="0"/>
          <w:sz w:val="21"/>
          <w:szCs w:val="21"/>
          <w:highlight w:val="none"/>
        </w:rPr>
        <w:t>，从业人员人，营业收入为万元，资产总额为万元，属于</w:t>
      </w:r>
      <w:r>
        <w:rPr>
          <w:rFonts w:hint="eastAsia" w:ascii="宋体" w:hAnsi="宋体" w:cs="宋体"/>
          <w:color w:val="auto"/>
          <w:kern w:val="0"/>
          <w:sz w:val="21"/>
          <w:szCs w:val="21"/>
          <w:highlight w:val="none"/>
          <w:u w:val="single"/>
        </w:rPr>
        <w:t xml:space="preserve">     （中型企业、小型企业、微型企业）</w:t>
      </w:r>
      <w:r>
        <w:rPr>
          <w:rFonts w:hint="eastAsia" w:ascii="宋体" w:hAnsi="宋体" w:cs="宋体"/>
          <w:color w:val="auto"/>
          <w:kern w:val="0"/>
          <w:sz w:val="21"/>
          <w:szCs w:val="21"/>
          <w:highlight w:val="none"/>
        </w:rPr>
        <w:t>；</w:t>
      </w:r>
    </w:p>
    <w:p>
      <w:pPr>
        <w:widowControl/>
        <w:spacing w:line="360" w:lineRule="auto"/>
        <w:ind w:firstLine="420" w:firstLineChars="200"/>
        <w:contextualSpacing/>
        <w:jc w:val="left"/>
        <w:rPr>
          <w:rFonts w:ascii="宋体" w:hAnsi="宋体" w:cs="宋体"/>
          <w:color w:val="auto"/>
          <w:kern w:val="0"/>
          <w:sz w:val="21"/>
          <w:szCs w:val="21"/>
          <w:highlight w:val="none"/>
        </w:rPr>
      </w:pPr>
      <w:r>
        <w:rPr>
          <w:rFonts w:hint="eastAsia" w:ascii="宋体" w:hAnsi="宋体"/>
          <w:color w:val="auto"/>
          <w:sz w:val="21"/>
          <w:szCs w:val="21"/>
          <w:highlight w:val="none"/>
        </w:rPr>
        <w:t>2.</w:t>
      </w:r>
      <w:r>
        <w:rPr>
          <w:rFonts w:hint="eastAsia" w:ascii="宋体" w:hAnsi="宋体" w:cs="宋体"/>
          <w:color w:val="auto"/>
          <w:kern w:val="0"/>
          <w:sz w:val="21"/>
          <w:szCs w:val="21"/>
          <w:highlight w:val="none"/>
          <w:u w:val="single"/>
        </w:rPr>
        <w:t xml:space="preserve">     （标的名称）</w:t>
      </w:r>
      <w:r>
        <w:rPr>
          <w:rFonts w:hint="eastAsia" w:ascii="宋体" w:hAnsi="宋体" w:cs="宋体"/>
          <w:color w:val="auto"/>
          <w:kern w:val="0"/>
          <w:sz w:val="21"/>
          <w:szCs w:val="21"/>
          <w:highlight w:val="none"/>
        </w:rPr>
        <w:t>，属于；承接企业为</w:t>
      </w:r>
      <w:r>
        <w:rPr>
          <w:rFonts w:hint="eastAsia" w:ascii="宋体" w:hAnsi="宋体" w:cs="宋体"/>
          <w:color w:val="auto"/>
          <w:kern w:val="0"/>
          <w:sz w:val="21"/>
          <w:szCs w:val="21"/>
          <w:highlight w:val="none"/>
          <w:u w:val="single"/>
        </w:rPr>
        <w:t xml:space="preserve">   （企业名称）   </w:t>
      </w:r>
      <w:r>
        <w:rPr>
          <w:rFonts w:hint="eastAsia" w:ascii="宋体" w:hAnsi="宋体" w:cs="宋体"/>
          <w:color w:val="auto"/>
          <w:kern w:val="0"/>
          <w:sz w:val="21"/>
          <w:szCs w:val="21"/>
          <w:highlight w:val="none"/>
        </w:rPr>
        <w:t>，从业人员人，营业收入为万元，资产总额为万元，属于</w:t>
      </w:r>
      <w:r>
        <w:rPr>
          <w:rFonts w:hint="eastAsia" w:ascii="宋体" w:hAnsi="宋体" w:cs="宋体"/>
          <w:color w:val="auto"/>
          <w:kern w:val="0"/>
          <w:sz w:val="21"/>
          <w:szCs w:val="21"/>
          <w:highlight w:val="none"/>
          <w:u w:val="single"/>
        </w:rPr>
        <w:t xml:space="preserve">     （中型企业、小型企业、微型企业）</w:t>
      </w:r>
      <w:r>
        <w:rPr>
          <w:rFonts w:hint="eastAsia" w:ascii="宋体" w:hAnsi="宋体" w:cs="宋体"/>
          <w:color w:val="auto"/>
          <w:kern w:val="0"/>
          <w:sz w:val="21"/>
          <w:szCs w:val="21"/>
          <w:highlight w:val="none"/>
        </w:rPr>
        <w:t>；</w:t>
      </w:r>
    </w:p>
    <w:p>
      <w:pPr>
        <w:widowControl/>
        <w:spacing w:line="360" w:lineRule="auto"/>
        <w:ind w:firstLine="420" w:firstLineChars="200"/>
        <w:contextualSpacing/>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p>
      <w:pPr>
        <w:pStyle w:val="36"/>
        <w:spacing w:line="360" w:lineRule="auto"/>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pPr>
        <w:pStyle w:val="36"/>
        <w:spacing w:line="360" w:lineRule="auto"/>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pPr>
        <w:widowControl/>
        <w:spacing w:before="120" w:after="120" w:line="440" w:lineRule="exact"/>
        <w:ind w:left="5250" w:leftChars="2500"/>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 xml:space="preserve">企业名称（公章）： </w:t>
      </w:r>
    </w:p>
    <w:p>
      <w:pPr>
        <w:widowControl/>
        <w:spacing w:before="120" w:after="120" w:line="440" w:lineRule="exact"/>
        <w:ind w:left="5250" w:leftChars="2500"/>
        <w:jc w:val="left"/>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 xml:space="preserve">日  期：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填写说明：</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1、本声明函为财库[2011]181号文附件的标准格式，必须按该格式填写；本声明函由供应商填写，请认真阅读相关政策文件；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2、如供应商提供本企业制造的货物或者由本企业承担工程、提供服务的，请在相应文字处后面打钩，如“提供本企业制造的货物（√）” “由本企业承担工程（√）、提供服务（√）”。如供应商是代理商，提供其他企业制造的货物，请如实填写其他企业的划分类型并对其真实性负责；</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bidi="zh-CN"/>
        </w:rPr>
        <w:t>3、小型、微型企业提供中型企业制造的货物时视同中型企业，因此，只有小微企业提供自己的货物或者小微企业提供其他小微企业的货物时，供应商才算小微企业，才能享受评标标准里的价格扣除优惠。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bidi="zh-CN"/>
        </w:rPr>
        <w:t>4、</w:t>
      </w:r>
      <w:r>
        <w:rPr>
          <w:rFonts w:hint="eastAsia" w:ascii="宋体" w:hAnsi="宋体" w:eastAsia="宋体" w:cs="宋体"/>
          <w:color w:val="auto"/>
          <w:kern w:val="0"/>
          <w:sz w:val="21"/>
          <w:szCs w:val="21"/>
          <w:highlight w:val="none"/>
          <w:lang w:bidi="zh-CN"/>
        </w:rPr>
        <w:t>如供应商为</w:t>
      </w:r>
      <w:r>
        <w:rPr>
          <w:rFonts w:hint="eastAsia" w:ascii="宋体" w:hAnsi="宋体" w:eastAsia="宋体" w:cs="宋体"/>
          <w:color w:val="auto"/>
          <w:kern w:val="0"/>
          <w:sz w:val="21"/>
          <w:szCs w:val="21"/>
          <w:highlight w:val="none"/>
          <w:lang w:val="en-US" w:bidi="zh-CN"/>
        </w:rPr>
        <w:t>大型企业的，</w:t>
      </w:r>
      <w:r>
        <w:rPr>
          <w:rFonts w:hint="eastAsia" w:ascii="宋体" w:hAnsi="宋体" w:eastAsia="宋体" w:cs="宋体"/>
          <w:color w:val="auto"/>
          <w:kern w:val="0"/>
          <w:sz w:val="21"/>
          <w:szCs w:val="21"/>
          <w:highlight w:val="none"/>
          <w:lang w:bidi="zh-CN"/>
        </w:rPr>
        <w:t>可不提供本声明函。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1"/>
          <w:szCs w:val="21"/>
          <w:highlight w:val="none"/>
          <w:lang w:val="en-US"/>
        </w:rPr>
      </w:pPr>
      <w:r>
        <w:rPr>
          <w:rFonts w:hint="eastAsia" w:ascii="宋体" w:hAnsi="宋体" w:eastAsia="宋体" w:cs="宋体"/>
          <w:color w:val="auto"/>
          <w:kern w:val="0"/>
          <w:sz w:val="21"/>
          <w:szCs w:val="21"/>
          <w:highlight w:val="none"/>
          <w:lang w:val="en-US" w:bidi="zh-CN"/>
        </w:rPr>
        <w:t>5、</w:t>
      </w:r>
      <w:r>
        <w:rPr>
          <w:rFonts w:hint="eastAsia" w:ascii="宋体" w:hAnsi="宋体" w:eastAsia="宋体" w:cs="宋体"/>
          <w:color w:val="auto"/>
          <w:kern w:val="0"/>
          <w:sz w:val="21"/>
          <w:szCs w:val="21"/>
          <w:highlight w:val="none"/>
          <w:lang w:bidi="zh-CN"/>
        </w:rPr>
        <w:t>如未按照要求提供</w:t>
      </w:r>
      <w:r>
        <w:rPr>
          <w:rFonts w:hint="eastAsia" w:ascii="宋体" w:hAnsi="宋体" w:eastAsia="宋体" w:cs="宋体"/>
          <w:color w:val="auto"/>
          <w:kern w:val="0"/>
          <w:sz w:val="21"/>
          <w:szCs w:val="21"/>
          <w:highlight w:val="none"/>
          <w:lang w:val="en-US" w:bidi="zh-CN"/>
        </w:rPr>
        <w:t>本声明函的</w:t>
      </w:r>
      <w:r>
        <w:rPr>
          <w:rFonts w:hint="eastAsia" w:ascii="宋体" w:hAnsi="宋体" w:eastAsia="宋体" w:cs="宋体"/>
          <w:color w:val="auto"/>
          <w:kern w:val="0"/>
          <w:sz w:val="21"/>
          <w:szCs w:val="21"/>
          <w:highlight w:val="none"/>
          <w:lang w:bidi="zh-CN"/>
        </w:rPr>
        <w:t>，将不享受评标标准中注明的针对小微企业的价格扣除优惠。</w:t>
      </w:r>
    </w:p>
    <w:p>
      <w:pPr>
        <w:pStyle w:val="11"/>
        <w:widowControl/>
        <w:spacing w:line="360" w:lineRule="auto"/>
        <w:jc w:val="center"/>
        <w:rPr>
          <w:rFonts w:hint="eastAsia" w:ascii="Arial" w:hAnsi="Arial"/>
          <w:b/>
          <w:color w:val="auto"/>
          <w:sz w:val="24"/>
          <w:highlight w:val="none"/>
        </w:rPr>
      </w:pPr>
    </w:p>
    <w:p>
      <w:pPr>
        <w:rPr>
          <w:rFonts w:hint="eastAsia"/>
          <w:color w:val="auto"/>
          <w:highlight w:val="none"/>
        </w:rPr>
        <w:sectPr>
          <w:footerReference r:id="rId6" w:type="default"/>
          <w:pgSz w:w="11906" w:h="16838"/>
          <w:pgMar w:top="1417" w:right="1701" w:bottom="1247" w:left="1701"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olor w:val="auto"/>
          <w:sz w:val="24"/>
          <w:highlight w:val="none"/>
        </w:rPr>
      </w:pPr>
      <w:r>
        <w:rPr>
          <w:rFonts w:hint="eastAsia"/>
          <w:b/>
          <w:bCs/>
          <w:color w:val="auto"/>
          <w:sz w:val="24"/>
          <w:highlight w:val="none"/>
        </w:rPr>
        <w:t>中小微行业划型标准规定（根据工信部联企业〔2011〕300号制定）</w:t>
      </w:r>
    </w:p>
    <w:tbl>
      <w:tblPr>
        <w:tblStyle w:val="38"/>
        <w:tblW w:w="0" w:type="auto"/>
        <w:jc w:val="center"/>
        <w:tblLayout w:type="fixed"/>
        <w:tblCellMar>
          <w:top w:w="0" w:type="dxa"/>
          <w:left w:w="108" w:type="dxa"/>
          <w:bottom w:w="0" w:type="dxa"/>
          <w:right w:w="108" w:type="dxa"/>
        </w:tblCellMar>
      </w:tblPr>
      <w:tblGrid>
        <w:gridCol w:w="1775"/>
        <w:gridCol w:w="1343"/>
        <w:gridCol w:w="1763"/>
        <w:gridCol w:w="1660"/>
        <w:gridCol w:w="1240"/>
        <w:gridCol w:w="1480"/>
        <w:gridCol w:w="1520"/>
        <w:gridCol w:w="1285"/>
        <w:gridCol w:w="1275"/>
        <w:gridCol w:w="1221"/>
      </w:tblGrid>
      <w:tr>
        <w:tblPrEx>
          <w:tblCellMar>
            <w:top w:w="0" w:type="dxa"/>
            <w:left w:w="108" w:type="dxa"/>
            <w:bottom w:w="0" w:type="dxa"/>
            <w:right w:w="108" w:type="dxa"/>
          </w:tblCellMar>
        </w:tblPrEx>
        <w:trPr>
          <w:trHeight w:val="465" w:hRule="atLeast"/>
          <w:jc w:val="center"/>
        </w:trPr>
        <w:tc>
          <w:tcPr>
            <w:tcW w:w="1775"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行业</w:t>
            </w:r>
          </w:p>
        </w:tc>
        <w:tc>
          <w:tcPr>
            <w:tcW w:w="4766" w:type="dxa"/>
            <w:gridSpan w:val="3"/>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微型企业</w:t>
            </w:r>
          </w:p>
        </w:tc>
      </w:tr>
      <w:tr>
        <w:tblPrEx>
          <w:tblCellMar>
            <w:top w:w="0" w:type="dxa"/>
            <w:left w:w="108" w:type="dxa"/>
            <w:bottom w:w="0" w:type="dxa"/>
            <w:right w:w="108" w:type="dxa"/>
          </w:tblCellMar>
        </w:tblPrEx>
        <w:trPr>
          <w:trHeight w:val="525" w:hRule="atLeast"/>
          <w:jc w:val="center"/>
        </w:trPr>
        <w:tc>
          <w:tcPr>
            <w:tcW w:w="1775"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rPr>
                <w:rFonts w:hint="eastAsia" w:ascii="宋体" w:hAnsi="宋体" w:eastAsia="宋体" w:cs="宋体"/>
                <w:b/>
                <w:bCs/>
                <w:color w:val="auto"/>
                <w:sz w:val="18"/>
                <w:szCs w:val="18"/>
                <w:highlight w:val="none"/>
              </w:rPr>
            </w:pPr>
          </w:p>
        </w:tc>
        <w:tc>
          <w:tcPr>
            <w:tcW w:w="1343"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从业人员X（人）</w:t>
            </w:r>
          </w:p>
        </w:tc>
        <w:tc>
          <w:tcPr>
            <w:tcW w:w="1763"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660" w:type="dxa"/>
            <w:tcBorders>
              <w:top w:val="nil"/>
              <w:left w:val="nil"/>
              <w:bottom w:val="single" w:color="auto" w:sz="4" w:space="0"/>
              <w:right w:val="single" w:color="auto" w:sz="8"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4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从业人员X（人）</w:t>
            </w:r>
          </w:p>
        </w:tc>
        <w:tc>
          <w:tcPr>
            <w:tcW w:w="148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520" w:type="dxa"/>
            <w:tcBorders>
              <w:top w:val="nil"/>
              <w:left w:val="nil"/>
              <w:bottom w:val="single" w:color="auto" w:sz="4" w:space="0"/>
              <w:right w:val="single" w:color="auto" w:sz="8"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285"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从业人员X（人）</w:t>
            </w:r>
          </w:p>
        </w:tc>
        <w:tc>
          <w:tcPr>
            <w:tcW w:w="1275"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营业收入Y（万元）</w:t>
            </w:r>
          </w:p>
        </w:tc>
        <w:tc>
          <w:tcPr>
            <w:tcW w:w="1221" w:type="dxa"/>
            <w:tcBorders>
              <w:top w:val="nil"/>
              <w:left w:val="nil"/>
              <w:bottom w:val="single" w:color="auto" w:sz="4" w:space="0"/>
              <w:right w:val="single" w:color="auto" w:sz="8" w:space="0"/>
            </w:tcBorders>
            <w:noWrap w:val="0"/>
            <w:vAlign w:val="bottom"/>
          </w:tcPr>
          <w:p>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资产总额Z（万元）</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1、农林牧渔业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500≤Y＜20000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50≤Y＜500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2、工业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2000≤Y＜40000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300≤Y＜2000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3、建筑业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6000≤Y＜80000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5000≤Z＜80000</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300≤Y＜6000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300≤Z＜5000</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Z＜300</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4、批发业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20≤X＜200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5000≤Y＜40000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5≤X＜20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1000≤Y＜5000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X＜5</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5、零售业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50≤X＜300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500≤Y＜20000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10≤X＜50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100≤Y＜500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6、交通运输业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3000≤Y＜30000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200≤Y＜3000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V＜200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7、仓储业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1000≤Y＜30000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20≤X＜100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8、邮政业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2000≤Y＜30000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9、住宿业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10、餐饮业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V＜100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11、信息传输业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1000≤Y＜100000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12、软件和信息技术服务业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1000≤Y＜10000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50≤Y＜1000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13、房地产开发经营</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1000≤Y＜200000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5000≤Z＜10000</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2000≤Z＜5000</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Z＜2000</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14、物业管理</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1000≤Y＜5000</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500≤Y＜1000</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Y＜500</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15、租赁和商务服务业</w:t>
            </w:r>
          </w:p>
        </w:tc>
        <w:tc>
          <w:tcPr>
            <w:tcW w:w="134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66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8000≤Z＜120000</w:t>
            </w:r>
          </w:p>
        </w:tc>
        <w:tc>
          <w:tcPr>
            <w:tcW w:w="124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520"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100≤Z＜8000</w:t>
            </w:r>
          </w:p>
        </w:tc>
        <w:tc>
          <w:tcPr>
            <w:tcW w:w="128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21" w:type="dxa"/>
            <w:tcBorders>
              <w:top w:val="nil"/>
              <w:left w:val="nil"/>
              <w:bottom w:val="single" w:color="auto" w:sz="4"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Z＜100</w:t>
            </w:r>
          </w:p>
        </w:tc>
      </w:tr>
      <w:tr>
        <w:tblPrEx>
          <w:tblCellMar>
            <w:top w:w="0" w:type="dxa"/>
            <w:left w:w="108" w:type="dxa"/>
            <w:bottom w:w="0" w:type="dxa"/>
            <w:right w:w="108" w:type="dxa"/>
          </w:tblCellMar>
        </w:tblPrEx>
        <w:trPr>
          <w:trHeight w:val="360" w:hRule="atLeast"/>
          <w:jc w:val="center"/>
        </w:trPr>
        <w:tc>
          <w:tcPr>
            <w:tcW w:w="1775" w:type="dxa"/>
            <w:tcBorders>
              <w:top w:val="nil"/>
              <w:left w:val="single" w:color="auto" w:sz="8" w:space="0"/>
              <w:bottom w:val="single" w:color="auto" w:sz="8"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16、其他未列明行业</w:t>
            </w:r>
          </w:p>
        </w:tc>
        <w:tc>
          <w:tcPr>
            <w:tcW w:w="1343" w:type="dxa"/>
            <w:tcBorders>
              <w:top w:val="nil"/>
              <w:left w:val="nil"/>
              <w:bottom w:val="single" w:color="auto" w:sz="8"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1763" w:type="dxa"/>
            <w:tcBorders>
              <w:top w:val="nil"/>
              <w:left w:val="nil"/>
              <w:bottom w:val="single" w:color="auto" w:sz="8"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660" w:type="dxa"/>
            <w:tcBorders>
              <w:top w:val="nil"/>
              <w:left w:val="nil"/>
              <w:bottom w:val="single" w:color="auto" w:sz="8"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40" w:type="dxa"/>
            <w:tcBorders>
              <w:top w:val="nil"/>
              <w:left w:val="nil"/>
              <w:bottom w:val="single" w:color="auto" w:sz="8"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1480" w:type="dxa"/>
            <w:tcBorders>
              <w:top w:val="nil"/>
              <w:left w:val="nil"/>
              <w:bottom w:val="single" w:color="auto" w:sz="8"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520" w:type="dxa"/>
            <w:tcBorders>
              <w:top w:val="nil"/>
              <w:left w:val="nil"/>
              <w:bottom w:val="single" w:color="auto" w:sz="8"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85" w:type="dxa"/>
            <w:tcBorders>
              <w:top w:val="nil"/>
              <w:left w:val="nil"/>
              <w:bottom w:val="single" w:color="auto" w:sz="8"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c>
          <w:tcPr>
            <w:tcW w:w="1275" w:type="dxa"/>
            <w:tcBorders>
              <w:top w:val="nil"/>
              <w:left w:val="nil"/>
              <w:bottom w:val="single" w:color="auto" w:sz="8" w:space="0"/>
              <w:right w:val="single" w:color="auto" w:sz="4"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1221" w:type="dxa"/>
            <w:tcBorders>
              <w:top w:val="nil"/>
              <w:left w:val="nil"/>
              <w:bottom w:val="single" w:color="auto" w:sz="8" w:space="0"/>
              <w:right w:val="single" w:color="auto" w:sz="8" w:space="0"/>
            </w:tcBorders>
            <w:noWrap w:val="0"/>
            <w:vAlign w:val="bottom"/>
          </w:tcPr>
          <w:p>
            <w:pPr>
              <w:widowControl/>
              <w:autoSpaceDE/>
              <w:autoSpaceDN/>
              <w:spacing w:line="240" w:lineRule="atLeast"/>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tblPrEx>
          <w:tblCellMar>
            <w:top w:w="0" w:type="dxa"/>
            <w:left w:w="108" w:type="dxa"/>
            <w:bottom w:w="0" w:type="dxa"/>
            <w:right w:w="108" w:type="dxa"/>
          </w:tblCellMar>
        </w:tblPrEx>
        <w:trPr>
          <w:trHeight w:val="285" w:hRule="atLeast"/>
          <w:jc w:val="center"/>
        </w:trPr>
        <w:tc>
          <w:tcPr>
            <w:tcW w:w="14562" w:type="dxa"/>
            <w:gridSpan w:val="10"/>
            <w:tcBorders>
              <w:top w:val="nil"/>
              <w:left w:val="nil"/>
              <w:bottom w:val="nil"/>
              <w:right w:val="nil"/>
            </w:tcBorders>
            <w:noWrap w:val="0"/>
            <w:vAlign w:val="bottom"/>
          </w:tcPr>
          <w:p>
            <w:pPr>
              <w:widowControl/>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　1、企业类型的划分以统计部门的统计数据为依据。</w:t>
            </w:r>
          </w:p>
          <w:p>
            <w:pPr>
              <w:widowControl/>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2、个体工商户和本规定以外的行业，参照本规定进行划型。</w:t>
            </w:r>
          </w:p>
          <w:p>
            <w:pPr>
              <w:widowControl/>
              <w:ind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3、本规定的中型企业标准上限即为大型企业标准的下限。</w:t>
            </w:r>
          </w:p>
        </w:tc>
      </w:tr>
    </w:tbl>
    <w:p>
      <w:pPr>
        <w:rPr>
          <w:rStyle w:val="87"/>
          <w:rFonts w:hint="eastAsia" w:ascii="宋体" w:hAnsi="宋体" w:eastAsia="宋体" w:cs="宋体"/>
          <w:color w:val="auto"/>
          <w:highlight w:val="none"/>
        </w:rPr>
        <w:sectPr>
          <w:pgSz w:w="16838" w:h="11905" w:orient="landscape"/>
          <w:pgMar w:top="1701" w:right="1417" w:bottom="1701" w:left="1247" w:header="851" w:footer="850" w:gutter="0"/>
          <w:pgBorders>
            <w:top w:val="none" w:sz="0" w:space="0"/>
            <w:left w:val="none" w:sz="0" w:space="0"/>
            <w:bottom w:val="none" w:sz="0" w:space="0"/>
            <w:right w:val="none" w:sz="0" w:space="0"/>
          </w:pgBorders>
          <w:pgNumType w:fmt="decimal"/>
          <w:cols w:space="0" w:num="1"/>
          <w:rtlGutter w:val="0"/>
          <w:docGrid w:linePitch="312" w:charSpace="0"/>
        </w:sectPr>
      </w:pPr>
      <w:r>
        <w:rPr>
          <w:rStyle w:val="87"/>
          <w:rFonts w:hint="eastAsia" w:ascii="宋体" w:hAnsi="宋体" w:eastAsia="宋体" w:cs="宋体"/>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2"/>
        <w:rPr>
          <w:rStyle w:val="87"/>
          <w:rFonts w:hint="eastAsia" w:ascii="Times New Roman" w:hAnsi="Times New Roman" w:eastAsia="宋体" w:cs="Times New Roman"/>
          <w:color w:val="auto"/>
          <w:highlight w:val="none"/>
        </w:rPr>
      </w:pPr>
      <w:r>
        <w:rPr>
          <w:rStyle w:val="87"/>
          <w:rFonts w:hint="eastAsia" w:ascii="Times New Roman" w:hAnsi="Times New Roman" w:eastAsia="宋体" w:cs="Times New Roman"/>
          <w:color w:val="auto"/>
          <w:highlight w:val="none"/>
        </w:rPr>
        <w:t>残疾人福利性单位声明函</w:t>
      </w:r>
    </w:p>
    <w:p>
      <w:pPr>
        <w:widowControl/>
        <w:spacing w:line="360" w:lineRule="auto"/>
        <w:rPr>
          <w:rFonts w:hint="eastAsia"/>
          <w:color w:val="auto"/>
          <w:highlight w:val="none"/>
          <w:shd w:val="clear" w:color="auto" w:fill="auto"/>
        </w:rPr>
      </w:pPr>
    </w:p>
    <w:p>
      <w:pPr>
        <w:widowControl/>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1.本单位郑重声明，根据《财政部 民政部 中国残疾人联合会关于促进残疾人就业政府采购政策的通知》（财库〔2017〕141号）的规定，本单位_____（填写：为符合或者不符合）条件的残疾人福利性单位，且本单位参加_____单位的_____项目采购活动提供本单位提供服务，或者提供其他残疾人福利性单位制造的货物（不包括使用非残疾人福利性单位注册商标的货物）。</w:t>
      </w:r>
    </w:p>
    <w:p>
      <w:pPr>
        <w:widowControl/>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2.本单位对上述声明的真实性负责。如有虚假，将依法承担相应责任。</w:t>
      </w:r>
    </w:p>
    <w:p>
      <w:pPr>
        <w:pStyle w:val="55"/>
        <w:rPr>
          <w:rFonts w:hint="eastAsia" w:ascii="宋体" w:hAnsi="宋体" w:eastAsia="宋体" w:cs="宋体"/>
          <w:color w:val="auto"/>
          <w:sz w:val="21"/>
          <w:szCs w:val="21"/>
          <w:highlight w:val="none"/>
          <w:shd w:val="clear" w:color="auto" w:fill="auto"/>
        </w:rPr>
      </w:pPr>
    </w:p>
    <w:p>
      <w:pPr>
        <w:pStyle w:val="56"/>
        <w:rPr>
          <w:rFonts w:hint="eastAsia" w:ascii="宋体" w:hAnsi="宋体" w:eastAsia="宋体" w:cs="宋体"/>
          <w:color w:val="auto"/>
          <w:sz w:val="21"/>
          <w:szCs w:val="21"/>
          <w:highlight w:val="none"/>
          <w:shd w:val="clear" w:color="auto" w:fill="auto"/>
        </w:rPr>
      </w:pPr>
    </w:p>
    <w:p>
      <w:pPr>
        <w:rPr>
          <w:rFonts w:hint="eastAsia" w:ascii="宋体" w:hAnsi="宋体" w:eastAsia="宋体" w:cs="宋体"/>
          <w:color w:val="auto"/>
          <w:sz w:val="21"/>
          <w:szCs w:val="21"/>
          <w:highlight w:val="none"/>
          <w:shd w:val="clear" w:color="auto" w:fill="auto"/>
        </w:rPr>
      </w:pPr>
    </w:p>
    <w:p>
      <w:pPr>
        <w:pStyle w:val="55"/>
        <w:rPr>
          <w:rFonts w:hint="eastAsia"/>
          <w:highlight w:val="none"/>
        </w:rPr>
      </w:pPr>
    </w:p>
    <w:p>
      <w:pPr>
        <w:widowControl/>
        <w:tabs>
          <w:tab w:val="left" w:pos="4860"/>
        </w:tabs>
        <w:spacing w:line="360" w:lineRule="auto"/>
        <w:ind w:right="1560" w:firstLine="420" w:firstLineChars="200"/>
        <w:jc w:val="right"/>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r>
        <w:rPr>
          <w:rFonts w:hint="eastAsia" w:ascii="宋体" w:hAnsi="宋体" w:eastAsia="宋体" w:cs="宋体"/>
          <w:color w:val="auto"/>
          <w:spacing w:val="6"/>
          <w:sz w:val="21"/>
          <w:szCs w:val="21"/>
          <w:highlight w:val="none"/>
          <w:shd w:val="clear" w:color="auto" w:fill="auto"/>
        </w:rPr>
        <w:t xml:space="preserve">企业名称（盖章）： </w:t>
      </w:r>
    </w:p>
    <w:p>
      <w:pPr>
        <w:spacing w:line="360" w:lineRule="auto"/>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 xml:space="preserve">                                        </w:t>
      </w:r>
      <w:r>
        <w:rPr>
          <w:rFonts w:hint="eastAsia" w:ascii="宋体" w:hAnsi="宋体" w:eastAsia="宋体" w:cs="宋体"/>
          <w:color w:val="auto"/>
          <w:spacing w:val="6"/>
          <w:sz w:val="21"/>
          <w:szCs w:val="21"/>
          <w:highlight w:val="none"/>
          <w:shd w:val="clear" w:color="auto" w:fill="auto"/>
          <w:lang w:val="en-US"/>
        </w:rPr>
        <w:t xml:space="preserve">  </w:t>
      </w:r>
      <w:r>
        <w:rPr>
          <w:rFonts w:hint="eastAsia" w:ascii="宋体" w:hAnsi="宋体" w:cs="宋体"/>
          <w:color w:val="auto"/>
          <w:spacing w:val="6"/>
          <w:sz w:val="21"/>
          <w:szCs w:val="21"/>
          <w:highlight w:val="none"/>
          <w:shd w:val="clear" w:color="auto" w:fill="auto"/>
          <w:lang w:val="en-US" w:eastAsia="zh-CN"/>
        </w:rPr>
        <w:t xml:space="preserve"> </w:t>
      </w:r>
      <w:r>
        <w:rPr>
          <w:rFonts w:hint="eastAsia" w:ascii="宋体" w:hAnsi="宋体" w:eastAsia="宋体" w:cs="宋体"/>
          <w:color w:val="auto"/>
          <w:spacing w:val="6"/>
          <w:sz w:val="21"/>
          <w:szCs w:val="21"/>
          <w:highlight w:val="none"/>
          <w:shd w:val="clear" w:color="auto" w:fill="auto"/>
        </w:rPr>
        <w:t xml:space="preserve">日 </w:t>
      </w:r>
      <w:r>
        <w:rPr>
          <w:rFonts w:hint="eastAsia" w:ascii="宋体" w:hAnsi="宋体" w:cs="宋体"/>
          <w:color w:val="auto"/>
          <w:spacing w:val="6"/>
          <w:sz w:val="21"/>
          <w:szCs w:val="21"/>
          <w:highlight w:val="none"/>
          <w:shd w:val="clear" w:color="auto" w:fill="auto"/>
          <w:lang w:val="en-US" w:eastAsia="zh-CN"/>
        </w:rPr>
        <w:t xml:space="preserve">  </w:t>
      </w:r>
      <w:r>
        <w:rPr>
          <w:rFonts w:hint="eastAsia" w:ascii="宋体" w:hAnsi="宋体" w:eastAsia="宋体" w:cs="宋体"/>
          <w:color w:val="auto"/>
          <w:spacing w:val="6"/>
          <w:sz w:val="21"/>
          <w:szCs w:val="21"/>
          <w:highlight w:val="none"/>
          <w:shd w:val="clear" w:color="auto" w:fill="auto"/>
        </w:rPr>
        <w:t xml:space="preserve"> 期：</w:t>
      </w:r>
    </w:p>
    <w:p>
      <w:pPr>
        <w:spacing w:line="360" w:lineRule="auto"/>
        <w:rPr>
          <w:rFonts w:hint="eastAsia" w:ascii="宋体" w:hAnsi="宋体" w:eastAsia="宋体" w:cs="宋体"/>
          <w:color w:val="auto"/>
          <w:spacing w:val="6"/>
          <w:sz w:val="21"/>
          <w:szCs w:val="21"/>
          <w:highlight w:val="none"/>
          <w:shd w:val="clear" w:color="auto" w:fill="auto"/>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lang w:eastAsia="zh-CN"/>
        </w:rPr>
        <w:t>供应商</w:t>
      </w:r>
      <w:r>
        <w:rPr>
          <w:rFonts w:hint="eastAsia" w:ascii="宋体" w:hAnsi="宋体" w:eastAsia="宋体" w:cs="宋体"/>
          <w:b/>
          <w:bCs/>
          <w:color w:val="auto"/>
          <w:sz w:val="21"/>
          <w:szCs w:val="21"/>
          <w:highlight w:val="none"/>
          <w:shd w:val="clear" w:color="auto" w:fill="auto"/>
        </w:rPr>
        <w:t>如为非残疾人福利性单位的，可不提供本声明函。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1、如</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为非残疾人福利性单位的可不提供本声明函。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2、享受政府采购支持政策的残疾人福利性单位应当同时满足以下条件：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（一）安置的残疾人占本单位在职职工人数的比例不低于25%（含25%），并且安置的残疾人人数不少于10人（含10人）；</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（二）依法与安置的每位残疾人签订了一年以上（含一年）的劳动合同或服务协议；</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（三）为安置的每位残疾人按月足额缴纳了基本养老保险、基本医疗保险、失业保险、工伤保险和生育保险等社会保险费；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（四）通过银行等金融机构向安置的每位残疾人，按月支付了不低于单位所在区县适用的经省级人民政府批准的月最低工资标准的工资；</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2"/>
        <w:rPr>
          <w:rStyle w:val="87"/>
          <w:rFonts w:hint="eastAsia" w:ascii="Times New Roman" w:hAnsi="Times New Roman" w:eastAsia="宋体" w:cs="Times New Roman"/>
          <w:color w:val="auto"/>
          <w:highlight w:val="none"/>
        </w:rPr>
      </w:pPr>
      <w:r>
        <w:rPr>
          <w:rFonts w:hint="eastAsia" w:ascii="宋体" w:hAnsi="宋体" w:eastAsia="宋体" w:cs="宋体"/>
          <w:color w:val="auto"/>
          <w:sz w:val="22"/>
          <w:szCs w:val="22"/>
          <w:highlight w:val="none"/>
        </w:rPr>
        <w:br w:type="page"/>
      </w:r>
      <w:r>
        <w:rPr>
          <w:rStyle w:val="87"/>
          <w:rFonts w:hint="eastAsia" w:ascii="Times New Roman" w:hAnsi="Times New Roman" w:eastAsia="宋体" w:cs="Times New Roman"/>
          <w:color w:val="auto"/>
          <w:highlight w:val="none"/>
        </w:rPr>
        <w:t>监狱企业声明函</w:t>
      </w:r>
    </w:p>
    <w:p>
      <w:pPr>
        <w:widowControl/>
        <w:spacing w:line="360" w:lineRule="auto"/>
        <w:rPr>
          <w:rFonts w:hint="eastAsia"/>
          <w:color w:val="auto"/>
          <w:highlight w:val="none"/>
          <w:shd w:val="clear" w:color="auto" w:fill="auto"/>
        </w:rPr>
      </w:pPr>
    </w:p>
    <w:p>
      <w:pPr>
        <w:widowControl/>
        <w:numPr>
          <w:ilvl w:val="0"/>
          <w:numId w:val="0"/>
        </w:numPr>
        <w:spacing w:line="360" w:lineRule="auto"/>
        <w:ind w:firstLine="420" w:firstLineChars="200"/>
        <w:rPr>
          <w:rFonts w:hint="eastAsia" w:ascii="宋体" w:hAnsi="宋体" w:cs="宋体"/>
          <w:color w:val="auto"/>
          <w:sz w:val="21"/>
          <w:szCs w:val="21"/>
          <w:highlight w:val="none"/>
          <w:shd w:val="clear" w:color="auto" w:fill="auto"/>
          <w:lang w:val="en-US" w:eastAsia="zh-CN"/>
        </w:rPr>
      </w:pP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本企业郑重声明，根据《关于政府采购支持监狱企业发展有关问题的通知》（财库[2014]68号）的规</w:t>
      </w:r>
      <w:r>
        <w:rPr>
          <w:rFonts w:hint="eastAsia" w:ascii="宋体" w:hAnsi="宋体" w:eastAsia="宋体" w:cs="宋体"/>
          <w:color w:val="auto"/>
          <w:szCs w:val="21"/>
          <w:highlight w:val="none"/>
        </w:rPr>
        <w:t>定，本企业为监狱企业。</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根据上述标准，我企业属于监狱企业的理由为</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本企业为参加（项目名称：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）采购活动提供本企业的</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本企业对上述声明的真实性负责。如有虚假，将依法承担相应责任。</w:t>
      </w:r>
    </w:p>
    <w:p>
      <w:pPr>
        <w:pStyle w:val="55"/>
        <w:rPr>
          <w:rFonts w:hint="eastAsia"/>
          <w:highlight w:val="none"/>
        </w:rPr>
      </w:pPr>
    </w:p>
    <w:p>
      <w:pPr>
        <w:widowControl/>
        <w:tabs>
          <w:tab w:val="left" w:pos="4860"/>
        </w:tabs>
        <w:spacing w:line="360" w:lineRule="auto"/>
        <w:ind w:right="1560" w:firstLine="420" w:firstLineChars="20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p>
      <w:pPr>
        <w:widowControl/>
        <w:tabs>
          <w:tab w:val="left" w:pos="4860"/>
        </w:tabs>
        <w:spacing w:line="360" w:lineRule="auto"/>
        <w:ind w:right="1560" w:firstLine="444" w:firstLineChars="200"/>
        <w:jc w:val="right"/>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 xml:space="preserve">企业名称（盖章）： </w:t>
      </w:r>
    </w:p>
    <w:p>
      <w:pPr>
        <w:spacing w:line="360" w:lineRule="auto"/>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 xml:space="preserve">                                        </w:t>
      </w:r>
      <w:r>
        <w:rPr>
          <w:rFonts w:hint="eastAsia" w:ascii="宋体" w:hAnsi="宋体" w:eastAsia="宋体" w:cs="宋体"/>
          <w:color w:val="auto"/>
          <w:spacing w:val="6"/>
          <w:sz w:val="21"/>
          <w:szCs w:val="21"/>
          <w:highlight w:val="none"/>
          <w:shd w:val="clear" w:color="auto" w:fill="auto"/>
          <w:lang w:val="en-US"/>
        </w:rPr>
        <w:t xml:space="preserve">  </w:t>
      </w:r>
      <w:r>
        <w:rPr>
          <w:rFonts w:hint="eastAsia" w:ascii="宋体" w:hAnsi="宋体" w:cs="宋体"/>
          <w:color w:val="auto"/>
          <w:spacing w:val="6"/>
          <w:sz w:val="21"/>
          <w:szCs w:val="21"/>
          <w:highlight w:val="none"/>
          <w:shd w:val="clear" w:color="auto" w:fill="auto"/>
          <w:lang w:val="en-US" w:eastAsia="zh-CN"/>
        </w:rPr>
        <w:t xml:space="preserve"> </w:t>
      </w:r>
      <w:r>
        <w:rPr>
          <w:rFonts w:hint="eastAsia" w:ascii="宋体" w:hAnsi="宋体" w:eastAsia="宋体" w:cs="宋体"/>
          <w:color w:val="auto"/>
          <w:spacing w:val="6"/>
          <w:sz w:val="21"/>
          <w:szCs w:val="21"/>
          <w:highlight w:val="none"/>
          <w:shd w:val="clear" w:color="auto" w:fill="auto"/>
        </w:rPr>
        <w:t xml:space="preserve">日 </w:t>
      </w:r>
      <w:r>
        <w:rPr>
          <w:rFonts w:hint="eastAsia" w:ascii="宋体" w:hAnsi="宋体" w:cs="宋体"/>
          <w:color w:val="auto"/>
          <w:spacing w:val="6"/>
          <w:sz w:val="21"/>
          <w:szCs w:val="21"/>
          <w:highlight w:val="none"/>
          <w:shd w:val="clear" w:color="auto" w:fill="auto"/>
          <w:lang w:val="en-US" w:eastAsia="zh-CN"/>
        </w:rPr>
        <w:t xml:space="preserve">  </w:t>
      </w:r>
      <w:r>
        <w:rPr>
          <w:rFonts w:hint="eastAsia" w:ascii="宋体" w:hAnsi="宋体" w:eastAsia="宋体" w:cs="宋体"/>
          <w:color w:val="auto"/>
          <w:spacing w:val="6"/>
          <w:sz w:val="21"/>
          <w:szCs w:val="21"/>
          <w:highlight w:val="none"/>
          <w:shd w:val="clear" w:color="auto" w:fill="auto"/>
        </w:rPr>
        <w:t xml:space="preserve"> 期：</w:t>
      </w:r>
    </w:p>
    <w:p>
      <w:pPr>
        <w:spacing w:line="360" w:lineRule="auto"/>
        <w:rPr>
          <w:rFonts w:hint="eastAsia" w:ascii="宋体" w:hAnsi="宋体" w:eastAsia="宋体" w:cs="宋体"/>
          <w:b/>
          <w:bCs/>
          <w:color w:val="auto"/>
          <w:sz w:val="21"/>
          <w:szCs w:val="21"/>
          <w:highlight w:val="none"/>
          <w:shd w:val="clear" w:color="auto" w:fill="auto"/>
        </w:rPr>
      </w:pPr>
    </w:p>
    <w:p>
      <w:pPr>
        <w:spacing w:line="360" w:lineRule="auto"/>
        <w:rPr>
          <w:rFonts w:hint="eastAsia" w:ascii="宋体" w:hAnsi="宋体" w:eastAsia="宋体" w:cs="宋体"/>
          <w:b/>
          <w:bCs/>
          <w:color w:val="auto"/>
          <w:sz w:val="21"/>
          <w:szCs w:val="21"/>
          <w:highlight w:val="none"/>
          <w:shd w:val="clear" w:color="auto" w:fill="auto"/>
        </w:rPr>
      </w:pPr>
    </w:p>
    <w:p>
      <w:pPr>
        <w:spacing w:line="360" w:lineRule="auto"/>
        <w:rPr>
          <w:rFonts w:hint="default" w:ascii="宋体" w:hAnsi="宋体" w:eastAsia="宋体" w:cs="宋体"/>
          <w:b/>
          <w:bCs/>
          <w:color w:val="auto"/>
          <w:sz w:val="21"/>
          <w:szCs w:val="21"/>
          <w:highlight w:val="none"/>
          <w:shd w:val="clear" w:color="auto" w:fill="auto"/>
          <w:lang w:val="en-US" w:eastAsia="zh-CN"/>
        </w:rPr>
      </w:pPr>
      <w:r>
        <w:rPr>
          <w:rFonts w:hint="eastAsia" w:ascii="宋体" w:hAnsi="宋体" w:cs="宋体"/>
          <w:b/>
          <w:bCs/>
          <w:color w:val="auto"/>
          <w:sz w:val="21"/>
          <w:szCs w:val="21"/>
          <w:highlight w:val="none"/>
          <w:shd w:val="clear" w:color="auto" w:fill="auto"/>
          <w:lang w:val="en-US" w:eastAsia="zh-CN"/>
        </w:rPr>
        <w:t>备注：</w:t>
      </w:r>
      <w:r>
        <w:rPr>
          <w:rFonts w:hint="eastAsia" w:ascii="宋体" w:hAnsi="宋体" w:cs="宋体"/>
          <w:b/>
          <w:bCs/>
          <w:color w:val="auto"/>
          <w:sz w:val="21"/>
          <w:szCs w:val="21"/>
          <w:highlight w:val="none"/>
          <w:shd w:val="clear" w:color="auto" w:fill="auto"/>
          <w:lang w:val="en-US" w:eastAsia="zh-CN"/>
        </w:rPr>
        <w:br w:type="textWrapping"/>
      </w:r>
      <w:r>
        <w:rPr>
          <w:rFonts w:hint="eastAsia" w:ascii="宋体" w:hAnsi="宋体" w:eastAsia="宋体" w:cs="宋体"/>
          <w:b/>
          <w:bCs/>
          <w:color w:val="auto"/>
          <w:sz w:val="21"/>
          <w:szCs w:val="21"/>
          <w:highlight w:val="none"/>
          <w:shd w:val="clear" w:color="auto" w:fill="auto"/>
          <w:lang w:val="en-US" w:eastAsia="zh-CN"/>
        </w:rPr>
        <w:t>1.</w:t>
      </w:r>
      <w:r>
        <w:rPr>
          <w:rFonts w:hint="eastAsia" w:ascii="宋体" w:hAnsi="宋体" w:eastAsia="宋体" w:cs="宋体"/>
          <w:b/>
          <w:bCs/>
          <w:color w:val="auto"/>
          <w:sz w:val="21"/>
          <w:szCs w:val="21"/>
          <w:highlight w:val="none"/>
          <w:shd w:val="clear" w:color="auto" w:fill="auto"/>
          <w:lang w:eastAsia="zh-CN"/>
        </w:rPr>
        <w:t>供应商为监狱企业的提供此函；供应商如为非监狱企业的，可不提供本声明函。</w:t>
      </w:r>
      <w:r>
        <w:rPr>
          <w:rFonts w:hint="eastAsia" w:ascii="宋体" w:hAnsi="宋体" w:eastAsia="宋体" w:cs="宋体"/>
          <w:b/>
          <w:bCs/>
          <w:color w:val="auto"/>
          <w:sz w:val="21"/>
          <w:szCs w:val="21"/>
          <w:highlight w:val="none"/>
          <w:shd w:val="clear" w:color="auto" w:fill="auto"/>
          <w:lang w:eastAsia="zh-CN"/>
        </w:rPr>
        <w:br w:type="textWrapping"/>
      </w:r>
      <w:r>
        <w:rPr>
          <w:rFonts w:hint="eastAsia" w:ascii="宋体" w:hAnsi="宋体" w:eastAsia="宋体" w:cs="宋体"/>
          <w:b/>
          <w:bCs/>
          <w:color w:val="auto"/>
          <w:sz w:val="21"/>
          <w:szCs w:val="21"/>
          <w:highlight w:val="none"/>
          <w:shd w:val="clear" w:color="auto" w:fill="auto"/>
          <w:lang w:val="en-US" w:eastAsia="zh-CN"/>
        </w:rPr>
        <w:t>2.如为</w:t>
      </w:r>
      <w:r>
        <w:rPr>
          <w:rFonts w:hint="eastAsia" w:ascii="宋体" w:hAnsi="宋体" w:eastAsia="宋体" w:cs="宋体"/>
          <w:b/>
          <w:bCs/>
          <w:color w:val="auto"/>
          <w:sz w:val="21"/>
          <w:szCs w:val="21"/>
          <w:highlight w:val="none"/>
          <w:shd w:val="clear" w:color="auto" w:fill="auto"/>
          <w:lang w:eastAsia="zh-CN"/>
        </w:rPr>
        <w:t>监狱企业的，</w:t>
      </w:r>
      <w:r>
        <w:rPr>
          <w:rFonts w:hint="eastAsia" w:ascii="宋体" w:hAnsi="宋体" w:eastAsia="宋体" w:cs="宋体"/>
          <w:b/>
          <w:bCs/>
          <w:color w:val="auto"/>
          <w:sz w:val="21"/>
          <w:szCs w:val="21"/>
          <w:highlight w:val="none"/>
          <w:shd w:val="clear" w:color="auto" w:fill="auto"/>
          <w:lang w:val="en-US" w:eastAsia="zh-CN"/>
        </w:rPr>
        <w:t>必须</w:t>
      </w:r>
      <w:r>
        <w:rPr>
          <w:rFonts w:hint="eastAsia" w:ascii="宋体" w:hAnsi="宋体" w:eastAsia="宋体" w:cs="宋体"/>
          <w:b/>
          <w:bCs/>
          <w:color w:val="auto"/>
          <w:sz w:val="21"/>
          <w:szCs w:val="21"/>
          <w:highlight w:val="none"/>
          <w:shd w:val="clear" w:color="auto" w:fill="auto"/>
          <w:lang w:eastAsia="zh-CN"/>
        </w:rPr>
        <w:t>提供由省级以上监狱管理局、戒毒管理局(含新疆生产建设兵团)出具的属于监狱企业的证明文件，</w:t>
      </w:r>
      <w:r>
        <w:rPr>
          <w:rFonts w:hint="eastAsia" w:ascii="宋体" w:hAnsi="宋体" w:eastAsia="宋体" w:cs="宋体"/>
          <w:b/>
          <w:bCs/>
          <w:color w:val="auto"/>
          <w:sz w:val="21"/>
          <w:szCs w:val="21"/>
          <w:highlight w:val="none"/>
          <w:shd w:val="clear" w:color="auto" w:fill="auto"/>
          <w:lang w:val="en-US" w:eastAsia="zh-CN"/>
        </w:rPr>
        <w:t>未提供上述证明文件的不予认可。</w:t>
      </w:r>
    </w:p>
    <w:p>
      <w:pPr>
        <w:rPr>
          <w:rStyle w:val="87"/>
          <w:rFonts w:hint="eastAsia"/>
          <w:color w:val="auto"/>
          <w:highlight w:val="none"/>
        </w:rPr>
      </w:pPr>
      <w:r>
        <w:rPr>
          <w:rStyle w:val="87"/>
          <w:rFonts w:hint="eastAsia"/>
          <w:color w:val="auto"/>
          <w:highlight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2"/>
        <w:rPr>
          <w:rStyle w:val="87"/>
          <w:rFonts w:hint="eastAsia"/>
          <w:color w:val="auto"/>
          <w:highlight w:val="none"/>
        </w:rPr>
      </w:pPr>
      <w:r>
        <w:rPr>
          <w:rStyle w:val="87"/>
          <w:rFonts w:hint="eastAsia"/>
          <w:color w:val="auto"/>
          <w:highlight w:val="none"/>
        </w:rPr>
        <w:t>具备《中华人民共和国政府采购法》第二十二条规定的资格条件的</w:t>
      </w:r>
    </w:p>
    <w:p>
      <w:pPr>
        <w:keepNext w:val="0"/>
        <w:keepLines w:val="0"/>
        <w:pageBreakBefore w:val="0"/>
        <w:widowControl w:val="0"/>
        <w:kinsoku/>
        <w:wordWrap/>
        <w:overflowPunct/>
        <w:topLinePunct w:val="0"/>
        <w:autoSpaceDE/>
        <w:autoSpaceDN/>
        <w:bidi w:val="0"/>
        <w:adjustRightInd/>
        <w:snapToGrid/>
        <w:jc w:val="center"/>
        <w:textAlignment w:val="auto"/>
        <w:outlineLvl w:val="2"/>
        <w:rPr>
          <w:rStyle w:val="87"/>
          <w:color w:val="auto"/>
          <w:highlight w:val="none"/>
        </w:rPr>
      </w:pPr>
      <w:r>
        <w:rPr>
          <w:rStyle w:val="87"/>
          <w:rFonts w:hint="eastAsia"/>
          <w:color w:val="auto"/>
          <w:highlight w:val="none"/>
        </w:rPr>
        <w:t>承诺函</w:t>
      </w:r>
    </w:p>
    <w:p>
      <w:pPr>
        <w:jc w:val="center"/>
        <w:rPr>
          <w:b/>
          <w:color w:val="auto"/>
          <w:highlight w:val="none"/>
        </w:rPr>
      </w:pPr>
    </w:p>
    <w:p>
      <w:pPr>
        <w:spacing w:line="360" w:lineRule="auto"/>
        <w:rPr>
          <w:rFonts w:ascii="宋体" w:hAnsi="宋体"/>
          <w:bCs/>
          <w:color w:val="auto"/>
          <w:sz w:val="24"/>
          <w:highlight w:val="none"/>
        </w:rPr>
      </w:pPr>
    </w:p>
    <w:p>
      <w:pPr>
        <w:spacing w:line="360" w:lineRule="auto"/>
        <w:rPr>
          <w:rFonts w:ascii="宋体" w:hAnsi="宋体"/>
          <w:color w:val="auto"/>
          <w:sz w:val="21"/>
          <w:szCs w:val="21"/>
          <w:highlight w:val="none"/>
        </w:rPr>
      </w:pPr>
      <w:r>
        <w:rPr>
          <w:rFonts w:hint="eastAsia" w:ascii="宋体" w:hAnsi="宋体"/>
          <w:bCs/>
          <w:color w:val="auto"/>
          <w:sz w:val="21"/>
          <w:szCs w:val="21"/>
          <w:highlight w:val="none"/>
        </w:rPr>
        <w:t>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（采购人名称）</w:t>
      </w:r>
    </w:p>
    <w:p>
      <w:pPr>
        <w:spacing w:line="360" w:lineRule="auto"/>
        <w:ind w:firstLine="420" w:firstLineChars="200"/>
        <w:rPr>
          <w:rFonts w:ascii="宋体" w:hAnsi="宋体"/>
          <w:color w:val="auto"/>
          <w:sz w:val="21"/>
          <w:szCs w:val="21"/>
          <w:highlight w:val="none"/>
        </w:rPr>
      </w:pPr>
    </w:p>
    <w:p>
      <w:pPr>
        <w:spacing w:line="48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我单位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（单位名称）承诺，完全具备《中华人民共和国政府采购法》第二十二条规定的资格条件：</w:t>
      </w:r>
    </w:p>
    <w:p>
      <w:pPr>
        <w:spacing w:line="480" w:lineRule="auto"/>
        <w:ind w:firstLine="420" w:firstLineChars="200"/>
        <w:rPr>
          <w:color w:val="auto"/>
          <w:sz w:val="21"/>
          <w:szCs w:val="21"/>
          <w:highlight w:val="none"/>
        </w:rPr>
      </w:pPr>
      <w:r>
        <w:rPr>
          <w:rFonts w:hint="eastAsia"/>
          <w:color w:val="auto"/>
          <w:sz w:val="21"/>
          <w:szCs w:val="21"/>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pacing w:line="480" w:lineRule="auto"/>
        <w:ind w:firstLine="420" w:firstLineChars="200"/>
        <w:rPr>
          <w:color w:val="auto"/>
          <w:sz w:val="21"/>
          <w:szCs w:val="21"/>
          <w:highlight w:val="none"/>
        </w:rPr>
      </w:pPr>
      <w:r>
        <w:rPr>
          <w:rFonts w:hint="eastAsia"/>
          <w:color w:val="auto"/>
          <w:sz w:val="21"/>
          <w:szCs w:val="21"/>
          <w:highlight w:val="none"/>
        </w:rPr>
        <w:t>我单位对上述承诺的真实性负责。本次招标采购活动中，如有违法、违规、弄虚作假行为，所造成的损失、不良后果及法律责任，一律由我单位承担。</w:t>
      </w:r>
    </w:p>
    <w:p>
      <w:pPr>
        <w:spacing w:line="480" w:lineRule="auto"/>
        <w:ind w:firstLine="422" w:firstLineChars="200"/>
        <w:rPr>
          <w:b/>
          <w:bCs/>
          <w:color w:val="auto"/>
          <w:sz w:val="21"/>
          <w:szCs w:val="21"/>
          <w:highlight w:val="none"/>
        </w:rPr>
      </w:pPr>
      <w:r>
        <w:rPr>
          <w:rFonts w:hint="eastAsia"/>
          <w:b/>
          <w:bCs/>
          <w:color w:val="auto"/>
          <w:sz w:val="21"/>
          <w:szCs w:val="21"/>
          <w:highlight w:val="none"/>
        </w:rPr>
        <w:t>特此承诺！</w:t>
      </w:r>
    </w:p>
    <w:p>
      <w:pPr>
        <w:jc w:val="center"/>
        <w:rPr>
          <w:rFonts w:ascii="宋体" w:hAnsi="宋体"/>
          <w:b/>
          <w:color w:val="auto"/>
          <w:sz w:val="21"/>
          <w:szCs w:val="21"/>
          <w:highlight w:val="none"/>
        </w:rPr>
      </w:pPr>
    </w:p>
    <w:p>
      <w:pPr>
        <w:jc w:val="center"/>
        <w:rPr>
          <w:rFonts w:ascii="宋体" w:hAnsi="宋体"/>
          <w:b/>
          <w:color w:val="auto"/>
          <w:sz w:val="21"/>
          <w:szCs w:val="21"/>
          <w:highlight w:val="none"/>
        </w:rPr>
      </w:pPr>
    </w:p>
    <w:p>
      <w:pPr>
        <w:jc w:val="center"/>
        <w:rPr>
          <w:rFonts w:ascii="宋体" w:hAnsi="宋体"/>
          <w:b/>
          <w:color w:val="auto"/>
          <w:sz w:val="21"/>
          <w:szCs w:val="21"/>
          <w:highlight w:val="none"/>
        </w:rPr>
      </w:pPr>
    </w:p>
    <w:p>
      <w:pPr>
        <w:pStyle w:val="11"/>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供应商全称（盖公章）：</w:t>
      </w:r>
    </w:p>
    <w:p>
      <w:pPr>
        <w:pStyle w:val="11"/>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法定代表人或其授权委托人（签名或印章）：</w:t>
      </w:r>
    </w:p>
    <w:p>
      <w:pPr>
        <w:spacing w:line="360" w:lineRule="auto"/>
        <w:ind w:right="180"/>
        <w:jc w:val="right"/>
        <w:rPr>
          <w:rFonts w:ascii="宋体" w:hAnsi="宋体"/>
          <w:color w:val="auto"/>
          <w:sz w:val="21"/>
          <w:szCs w:val="21"/>
          <w:highlight w:val="none"/>
        </w:rPr>
      </w:pPr>
      <w:r>
        <w:rPr>
          <w:rFonts w:hint="eastAsia" w:hAnsi="宋体" w:cs="宋体"/>
          <w:color w:val="auto"/>
          <w:sz w:val="21"/>
          <w:szCs w:val="21"/>
          <w:highlight w:val="none"/>
        </w:rPr>
        <w:t xml:space="preserve">                                      日期：</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jc w:val="center"/>
        <w:textAlignment w:val="auto"/>
        <w:outlineLvl w:val="2"/>
        <w:rPr>
          <w:b/>
          <w:color w:val="auto"/>
          <w:sz w:val="32"/>
          <w:szCs w:val="32"/>
          <w:highlight w:val="none"/>
        </w:rPr>
      </w:pPr>
      <w:r>
        <w:rPr>
          <w:rFonts w:hint="eastAsia" w:ascii="宋体" w:hAnsi="宋体"/>
          <w:b/>
          <w:color w:val="auto"/>
          <w:sz w:val="21"/>
          <w:szCs w:val="21"/>
          <w:highlight w:val="none"/>
        </w:rPr>
        <w:br w:type="page"/>
      </w:r>
      <w:r>
        <w:rPr>
          <w:rStyle w:val="87"/>
          <w:rFonts w:hint="eastAsia"/>
          <w:color w:val="auto"/>
          <w:highlight w:val="none"/>
        </w:rPr>
        <w:t>具备履行合同所需的设备和专业技术能力的声明</w:t>
      </w:r>
    </w:p>
    <w:p>
      <w:pPr>
        <w:rPr>
          <w:color w:val="auto"/>
          <w:highlight w:val="none"/>
        </w:rPr>
      </w:pPr>
    </w:p>
    <w:p>
      <w:pPr>
        <w:spacing w:line="360" w:lineRule="auto"/>
        <w:rPr>
          <w:rFonts w:hint="eastAsia" w:ascii="宋体" w:hAnsi="宋体" w:eastAsia="宋体" w:cs="宋体"/>
          <w:color w:val="auto"/>
          <w:sz w:val="22"/>
          <w:szCs w:val="22"/>
          <w:highlight w:val="none"/>
        </w:rPr>
      </w:pPr>
      <w:r>
        <w:rPr>
          <w:rFonts w:hint="eastAsia"/>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我公司（单位）具备履行合同所需的设备和专业技术能力，具体情况介绍如下：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（内容包括：主要设备、专业技术人员、公司资质（格）等）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特此承诺。</w:t>
      </w:r>
    </w:p>
    <w:p>
      <w:pPr>
        <w:tabs>
          <w:tab w:val="left" w:pos="7480"/>
        </w:tabs>
        <w:autoSpaceDE w:val="0"/>
        <w:autoSpaceDN w:val="0"/>
        <w:adjustRightInd w:val="0"/>
        <w:spacing w:line="360" w:lineRule="exact"/>
        <w:rPr>
          <w:rFonts w:hint="eastAsia" w:ascii="宋体" w:hAnsi="宋体" w:eastAsia="宋体" w:cs="宋体"/>
          <w:color w:val="auto"/>
          <w:sz w:val="21"/>
          <w:szCs w:val="21"/>
          <w:highlight w:val="none"/>
        </w:rPr>
      </w:pPr>
    </w:p>
    <w:p>
      <w:pPr>
        <w:tabs>
          <w:tab w:val="left" w:pos="7480"/>
        </w:tabs>
        <w:autoSpaceDE w:val="0"/>
        <w:autoSpaceDN w:val="0"/>
        <w:adjustRightInd w:val="0"/>
        <w:spacing w:line="360" w:lineRule="exact"/>
        <w:rPr>
          <w:rFonts w:hint="eastAsia" w:ascii="宋体" w:hAnsi="宋体" w:eastAsia="宋体" w:cs="宋体"/>
          <w:color w:val="auto"/>
          <w:sz w:val="21"/>
          <w:szCs w:val="21"/>
          <w:highlight w:val="none"/>
        </w:rPr>
      </w:pPr>
    </w:p>
    <w:p>
      <w:pPr>
        <w:tabs>
          <w:tab w:val="left" w:pos="7480"/>
        </w:tabs>
        <w:autoSpaceDE w:val="0"/>
        <w:autoSpaceDN w:val="0"/>
        <w:adjustRightInd w:val="0"/>
        <w:spacing w:line="360" w:lineRule="exact"/>
        <w:rPr>
          <w:rFonts w:hint="eastAsia" w:ascii="宋体" w:hAnsi="宋体" w:eastAsia="宋体" w:cs="宋体"/>
          <w:color w:val="auto"/>
          <w:sz w:val="21"/>
          <w:szCs w:val="21"/>
          <w:highlight w:val="none"/>
        </w:rPr>
      </w:pPr>
    </w:p>
    <w:p>
      <w:pPr>
        <w:tabs>
          <w:tab w:val="left" w:pos="7480"/>
        </w:tabs>
        <w:autoSpaceDE w:val="0"/>
        <w:autoSpaceDN w:val="0"/>
        <w:adjustRightInd w:val="0"/>
        <w:spacing w:line="360" w:lineRule="exact"/>
        <w:rPr>
          <w:rFonts w:hint="eastAsia" w:ascii="宋体" w:hAnsi="宋体" w:eastAsia="宋体" w:cs="宋体"/>
          <w:color w:val="auto"/>
          <w:sz w:val="21"/>
          <w:szCs w:val="21"/>
          <w:highlight w:val="non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2"/>
          <w:szCs w:val="22"/>
          <w:highlight w:val="none"/>
        </w:rPr>
      </w:pPr>
      <w:r>
        <w:rPr>
          <w:rFonts w:ascii="黑体" w:eastAsia="黑体"/>
          <w:color w:val="auto"/>
          <w:sz w:val="22"/>
          <w:szCs w:val="22"/>
          <w:highlight w:val="none"/>
        </w:rPr>
        <w:drawing>
          <wp:inline distT="0" distB="0" distL="114300" distR="114300">
            <wp:extent cx="5934075" cy="72771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934075" cy="7277100"/>
                    </a:xfrm>
                    <a:prstGeom prst="rect">
                      <a:avLst/>
                    </a:prstGeom>
                    <a:noFill/>
                    <a:ln>
                      <a:noFill/>
                    </a:ln>
                  </pic:spPr>
                </pic:pic>
              </a:graphicData>
            </a:graphic>
          </wp:inline>
        </w:drawing>
      </w: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2"/>
          <w:szCs w:val="22"/>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tabs>
          <w:tab w:val="left" w:pos="7480"/>
        </w:tabs>
        <w:autoSpaceDE w:val="0"/>
        <w:autoSpaceDN w:val="0"/>
        <w:adjustRightInd w:val="0"/>
        <w:spacing w:line="360" w:lineRule="exact"/>
        <w:rPr>
          <w:rFonts w:ascii="黑体" w:eastAsia="黑体"/>
          <w:color w:val="auto"/>
          <w:sz w:val="24"/>
          <w:highlight w:val="none"/>
        </w:rPr>
      </w:pPr>
    </w:p>
    <w:p>
      <w:pPr>
        <w:rPr>
          <w:rFonts w:hint="eastAsia"/>
          <w:b/>
          <w:color w:val="auto"/>
          <w:sz w:val="32"/>
          <w:szCs w:val="32"/>
          <w:highlight w:val="none"/>
        </w:rPr>
      </w:pPr>
      <w:r>
        <w:rPr>
          <w:rFonts w:hint="eastAsia"/>
          <w:b/>
          <w:color w:val="auto"/>
          <w:sz w:val="32"/>
          <w:szCs w:val="32"/>
          <w:highlight w:val="none"/>
        </w:rPr>
        <w:br w:type="page"/>
      </w:r>
    </w:p>
    <w:p>
      <w:pPr>
        <w:pStyle w:val="5"/>
        <w:bidi w:val="0"/>
        <w:jc w:val="center"/>
        <w:rPr>
          <w:color w:val="auto"/>
          <w:highlight w:val="none"/>
        </w:rPr>
      </w:pPr>
      <w:r>
        <w:rPr>
          <w:rFonts w:hint="eastAsia"/>
          <w:color w:val="auto"/>
          <w:highlight w:val="none"/>
        </w:rPr>
        <w:t>近三年在政府采购活动中无重大违法记录的声明</w:t>
      </w:r>
    </w:p>
    <w:p>
      <w:pPr>
        <w:rPr>
          <w:color w:val="auto"/>
          <w:highlight w:val="none"/>
        </w:rPr>
      </w:pPr>
    </w:p>
    <w:p>
      <w:pPr>
        <w:rPr>
          <w:color w:val="auto"/>
          <w:highlight w:val="none"/>
        </w:rPr>
      </w:pPr>
    </w:p>
    <w:p>
      <w:pPr>
        <w:spacing w:line="360" w:lineRule="auto"/>
        <w:rPr>
          <w:color w:val="auto"/>
          <w:sz w:val="21"/>
          <w:szCs w:val="21"/>
          <w:highlight w:val="none"/>
        </w:rPr>
      </w:pPr>
      <w:r>
        <w:rPr>
          <w:rFonts w:hint="eastAsia"/>
          <w:color w:val="auto"/>
          <w:sz w:val="21"/>
          <w:szCs w:val="21"/>
          <w:highlight w:val="none"/>
        </w:rPr>
        <w:t>参加本项目政府采购活动前三年内，在经营活动中没有重大违法记录，特此声明。</w:t>
      </w:r>
    </w:p>
    <w:p>
      <w:pPr>
        <w:spacing w:line="360" w:lineRule="auto"/>
        <w:rPr>
          <w:color w:val="auto"/>
          <w:sz w:val="21"/>
          <w:szCs w:val="21"/>
          <w:highlight w:val="none"/>
        </w:rPr>
      </w:pPr>
    </w:p>
    <w:p>
      <w:pPr>
        <w:tabs>
          <w:tab w:val="left" w:pos="7480"/>
        </w:tabs>
        <w:autoSpaceDE w:val="0"/>
        <w:autoSpaceDN w:val="0"/>
        <w:adjustRightInd w:val="0"/>
        <w:spacing w:line="360" w:lineRule="exact"/>
        <w:rPr>
          <w:rFonts w:ascii="黑体" w:eastAsia="黑体"/>
          <w:color w:val="auto"/>
          <w:sz w:val="21"/>
          <w:szCs w:val="21"/>
          <w:highlight w:val="none"/>
        </w:rPr>
      </w:pPr>
    </w:p>
    <w:p>
      <w:pPr>
        <w:tabs>
          <w:tab w:val="left" w:pos="7480"/>
        </w:tabs>
        <w:autoSpaceDE w:val="0"/>
        <w:autoSpaceDN w:val="0"/>
        <w:adjustRightInd w:val="0"/>
        <w:spacing w:line="360" w:lineRule="exact"/>
        <w:rPr>
          <w:rFonts w:ascii="黑体" w:eastAsia="黑体"/>
          <w:color w:val="auto"/>
          <w:sz w:val="21"/>
          <w:szCs w:val="21"/>
          <w:highlight w:val="none"/>
        </w:rPr>
      </w:pPr>
    </w:p>
    <w:p>
      <w:pPr>
        <w:pStyle w:val="11"/>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供应商全称（盖公章）：</w:t>
      </w:r>
    </w:p>
    <w:p>
      <w:pPr>
        <w:pStyle w:val="11"/>
        <w:widowControl/>
        <w:spacing w:line="360" w:lineRule="auto"/>
        <w:jc w:val="right"/>
        <w:rPr>
          <w:rFonts w:hAnsi="宋体" w:cs="宋体"/>
          <w:color w:val="auto"/>
          <w:sz w:val="21"/>
          <w:szCs w:val="21"/>
          <w:highlight w:val="none"/>
        </w:rPr>
      </w:pPr>
      <w:r>
        <w:rPr>
          <w:rFonts w:hint="eastAsia" w:hAnsi="宋体" w:cs="宋体"/>
          <w:color w:val="auto"/>
          <w:sz w:val="21"/>
          <w:szCs w:val="21"/>
          <w:highlight w:val="none"/>
        </w:rPr>
        <w:t>法定代表人或其授权委托人（签名或印章）：</w:t>
      </w:r>
    </w:p>
    <w:p>
      <w:pPr>
        <w:spacing w:line="360" w:lineRule="auto"/>
        <w:ind w:right="180"/>
        <w:jc w:val="right"/>
        <w:rPr>
          <w:rFonts w:ascii="宋体" w:hAnsi="宋体"/>
          <w:color w:val="auto"/>
          <w:sz w:val="21"/>
          <w:szCs w:val="21"/>
          <w:highlight w:val="none"/>
        </w:rPr>
      </w:pPr>
      <w:r>
        <w:rPr>
          <w:rFonts w:hint="eastAsia" w:hAnsi="宋体" w:cs="宋体"/>
          <w:color w:val="auto"/>
          <w:sz w:val="21"/>
          <w:szCs w:val="21"/>
          <w:highlight w:val="none"/>
        </w:rPr>
        <w:t xml:space="preserve">                                      日期：</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年   月  日</w:t>
      </w:r>
    </w:p>
    <w:p>
      <w:pPr>
        <w:tabs>
          <w:tab w:val="left" w:pos="7480"/>
        </w:tabs>
        <w:autoSpaceDE w:val="0"/>
        <w:autoSpaceDN w:val="0"/>
        <w:adjustRightInd w:val="0"/>
        <w:spacing w:line="360" w:lineRule="exact"/>
        <w:rPr>
          <w:rFonts w:ascii="黑体" w:eastAsia="黑体"/>
          <w:color w:val="auto"/>
          <w:sz w:val="22"/>
          <w:szCs w:val="22"/>
          <w:highlight w:val="none"/>
        </w:rPr>
      </w:pPr>
    </w:p>
    <w:p>
      <w:pPr>
        <w:rPr>
          <w:rStyle w:val="87"/>
          <w:rFonts w:hint="eastAsia"/>
          <w:color w:val="auto"/>
          <w:sz w:val="22"/>
          <w:szCs w:val="22"/>
          <w:highlight w:val="none"/>
          <w:lang w:val="en-US" w:eastAsia="zh-CN"/>
        </w:rPr>
      </w:pPr>
      <w:r>
        <w:rPr>
          <w:rStyle w:val="87"/>
          <w:rFonts w:hint="eastAsia"/>
          <w:color w:val="auto"/>
          <w:sz w:val="22"/>
          <w:szCs w:val="2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ascii="宋体" w:hAnsi="宋体" w:cs="宋体"/>
          <w:b/>
          <w:color w:val="auto"/>
          <w:highlight w:val="none"/>
        </w:rPr>
      </w:pPr>
      <w:r>
        <w:rPr>
          <w:rStyle w:val="87"/>
          <w:rFonts w:hint="eastAsia"/>
          <w:color w:val="auto"/>
          <w:highlight w:val="none"/>
          <w:lang w:val="en-US" w:eastAsia="zh-CN"/>
        </w:rPr>
        <w:t>投标承诺函</w:t>
      </w:r>
    </w:p>
    <w:p>
      <w:pPr>
        <w:pStyle w:val="83"/>
        <w:spacing w:line="336" w:lineRule="auto"/>
        <w:ind w:right="84" w:rightChars="40"/>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（采购单位名称）：</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bookmarkStart w:id="28" w:name="xmmc"/>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w:t>
      </w:r>
      <w:bookmarkEnd w:id="28"/>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）的采购文件，已完全理解采购文件的所有内容。决定投标本项目，据此我方承诺如下：</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1、我方的投标文件在投标截止日后90天（日历天）内保持有效，如中标，有效期将延至本项目执行期满日为止。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2、我方在参与投标前已仔细研究了采购文件和所有相关资料，我方完全明白并认为此采购文件没有倾向性，也没有存在排斥潜在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的内容，我方同意采购文件的相关条款，放弃对采购文件提出误解和质疑的一切权利。</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3、我方声明投标文件及所提供的一切资料均真实无误及有效。由于我方提供资料不实而造成的责任和后果由我方承担。我方同意按照贵方可能提出的要求，提供与投标有关的任何其它数据或信息。</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4、我方如果中标，保证履行投标文件中承诺的全部责任和义务，采购合同中的全部条款。</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5、我方理解贵方不一定接受最低报价的投标。</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6、我方同意如在本项目开标后、投标有效期之内撤销投标文件，或中标后未在规定期限内签订合同并送贵方备案的，贵方将不退还投标保证金（如有）。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ind w:firstLine="6160" w:firstLineChars="280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ascii="宋体" w:hAnsi="宋体" w:cs="宋体"/>
          <w:b/>
          <w:color w:val="auto"/>
          <w:highlight w:val="none"/>
        </w:rPr>
      </w:pPr>
      <w:r>
        <w:rPr>
          <w:rFonts w:hint="eastAsia" w:hAnsi="宋体" w:cs="宋体"/>
          <w:color w:val="auto"/>
          <w:sz w:val="22"/>
          <w:szCs w:val="22"/>
          <w:highlight w:val="none"/>
        </w:rPr>
        <w:br w:type="page"/>
      </w:r>
      <w:r>
        <w:rPr>
          <w:rStyle w:val="87"/>
          <w:rFonts w:hint="eastAsia"/>
          <w:color w:val="auto"/>
          <w:highlight w:val="none"/>
          <w:lang w:val="en-US" w:eastAsia="zh-CN"/>
        </w:rPr>
        <w:t>符合性自查表</w:t>
      </w:r>
    </w:p>
    <w:p>
      <w:pPr>
        <w:jc w:val="center"/>
        <w:rPr>
          <w:rFonts w:ascii="宋体" w:hAnsi="宋体" w:cs="宋体"/>
          <w:b/>
          <w:color w:val="auto"/>
          <w:highlight w:val="none"/>
        </w:rPr>
      </w:pPr>
    </w:p>
    <w:tbl>
      <w:tblPr>
        <w:tblStyle w:val="38"/>
        <w:tblW w:w="87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0" w:type="dxa"/>
          <w:left w:w="150" w:type="dxa"/>
          <w:bottom w:w="150" w:type="dxa"/>
          <w:right w:w="150" w:type="dxa"/>
        </w:tblCellMar>
      </w:tblPr>
      <w:tblGrid>
        <w:gridCol w:w="1220"/>
        <w:gridCol w:w="4800"/>
        <w:gridCol w:w="1427"/>
        <w:gridCol w:w="1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trHeight w:val="547" w:hRule="atLeast"/>
          <w:jc w:val="center"/>
        </w:trPr>
        <w:tc>
          <w:tcPr>
            <w:tcW w:w="1220" w:type="dxa"/>
            <w:tcBorders>
              <w:tl2br w:val="nil"/>
              <w:tr2bl w:val="nil"/>
            </w:tcBorders>
            <w:vAlign w:val="center"/>
          </w:tcPr>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评审内容</w:t>
            </w:r>
          </w:p>
        </w:tc>
        <w:tc>
          <w:tcPr>
            <w:tcW w:w="4800" w:type="dxa"/>
            <w:tcBorders>
              <w:tl2br w:val="nil"/>
              <w:tr2bl w:val="nil"/>
            </w:tcBorders>
            <w:vAlign w:val="center"/>
          </w:tcPr>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采购文件要求</w:t>
            </w:r>
          </w:p>
        </w:tc>
        <w:tc>
          <w:tcPr>
            <w:tcW w:w="1427" w:type="dxa"/>
            <w:tcBorders>
              <w:tl2br w:val="nil"/>
              <w:tr2bl w:val="nil"/>
            </w:tcBorders>
            <w:vAlign w:val="center"/>
          </w:tcPr>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自查结论</w:t>
            </w:r>
          </w:p>
        </w:tc>
        <w:tc>
          <w:tcPr>
            <w:tcW w:w="1306" w:type="dxa"/>
            <w:tcBorders>
              <w:tl2br w:val="nil"/>
              <w:tr2bl w:val="nil"/>
            </w:tcBorders>
            <w:vAlign w:val="center"/>
          </w:tcPr>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证明资料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trHeight w:val="260" w:hRule="atLeast"/>
          <w:jc w:val="center"/>
        </w:trPr>
        <w:tc>
          <w:tcPr>
            <w:tcW w:w="1220" w:type="dxa"/>
            <w:vMerge w:val="restart"/>
            <w:tcBorders>
              <w:tl2br w:val="nil"/>
              <w:tr2bl w:val="nil"/>
            </w:tcBorders>
            <w:vAlign w:val="center"/>
          </w:tcPr>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符</w:t>
            </w:r>
          </w:p>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合</w:t>
            </w:r>
          </w:p>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性</w:t>
            </w:r>
          </w:p>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审</w:t>
            </w:r>
          </w:p>
          <w:p>
            <w:pPr>
              <w:spacing w:line="2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查</w:t>
            </w:r>
          </w:p>
        </w:tc>
        <w:tc>
          <w:tcPr>
            <w:tcW w:w="4800" w:type="dxa"/>
            <w:tcBorders>
              <w:tl2br w:val="nil"/>
              <w:tr2bl w:val="nil"/>
            </w:tcBorders>
            <w:vAlign w:val="center"/>
          </w:tcPr>
          <w:p>
            <w:pPr>
              <w:spacing w:line="2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w:t>
            </w:r>
            <w:r>
              <w:rPr>
                <w:rFonts w:hint="eastAsia" w:ascii="宋体" w:hAnsi="宋体" w:eastAsia="宋体" w:cs="宋体"/>
                <w:color w:val="auto"/>
                <w:sz w:val="21"/>
                <w:szCs w:val="21"/>
                <w:highlight w:val="none"/>
              </w:rPr>
              <w:t>技术商务文件按照采购文件规定要求签署或盖章</w:t>
            </w:r>
            <w:r>
              <w:rPr>
                <w:rFonts w:hint="eastAsia" w:ascii="宋体" w:hAnsi="宋体" w:cs="宋体"/>
                <w:color w:val="auto"/>
                <w:sz w:val="21"/>
                <w:szCs w:val="21"/>
                <w:highlight w:val="none"/>
                <w:lang w:eastAsia="zh-CN"/>
              </w:rPr>
              <w:t>。</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□不通过</w:t>
            </w:r>
          </w:p>
        </w:tc>
        <w:tc>
          <w:tcPr>
            <w:tcW w:w="1306" w:type="dxa"/>
            <w:tcBorders>
              <w:tl2br w:val="nil"/>
              <w:tr2bl w:val="nil"/>
            </w:tcBorders>
            <w:vAlign w:val="center"/>
          </w:tcPr>
          <w:p>
            <w:pPr>
              <w:spacing w:line="240" w:lineRule="exact"/>
              <w:jc w:val="center"/>
              <w:rPr>
                <w:rFonts w:ascii="宋体" w:hAnsi="宋体" w:cs="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trHeight w:val="260" w:hRule="atLeast"/>
          <w:jc w:val="center"/>
        </w:trPr>
        <w:tc>
          <w:tcPr>
            <w:tcW w:w="1220" w:type="dxa"/>
            <w:vMerge w:val="continue"/>
            <w:tcBorders>
              <w:tl2br w:val="nil"/>
              <w:tr2bl w:val="nil"/>
            </w:tcBorders>
            <w:vAlign w:val="center"/>
          </w:tcPr>
          <w:p>
            <w:pPr>
              <w:spacing w:line="240" w:lineRule="exact"/>
              <w:jc w:val="center"/>
              <w:rPr>
                <w:rFonts w:hint="eastAsia" w:ascii="宋体" w:hAnsi="宋体" w:cs="宋体"/>
                <w:color w:val="auto"/>
                <w:sz w:val="21"/>
                <w:szCs w:val="21"/>
                <w:highlight w:val="none"/>
              </w:rPr>
            </w:pPr>
          </w:p>
        </w:tc>
        <w:tc>
          <w:tcPr>
            <w:tcW w:w="4800" w:type="dxa"/>
            <w:tcBorders>
              <w:tl2br w:val="nil"/>
              <w:tr2bl w:val="nil"/>
            </w:tcBorders>
            <w:vAlign w:val="center"/>
          </w:tcPr>
          <w:p>
            <w:pPr>
              <w:spacing w:line="2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按照采购文件规定要求签署或盖章</w:t>
            </w:r>
            <w:r>
              <w:rPr>
                <w:rFonts w:hint="eastAsia" w:ascii="宋体" w:hAnsi="宋体" w:cs="宋体"/>
                <w:color w:val="auto"/>
                <w:sz w:val="21"/>
                <w:szCs w:val="21"/>
                <w:highlight w:val="none"/>
                <w:lang w:eastAsia="zh-CN"/>
              </w:rPr>
              <w:t>。</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□不通过</w:t>
            </w:r>
          </w:p>
        </w:tc>
        <w:tc>
          <w:tcPr>
            <w:tcW w:w="1306" w:type="dxa"/>
            <w:tcBorders>
              <w:tl2br w:val="nil"/>
              <w:tr2bl w:val="nil"/>
            </w:tcBorders>
            <w:vAlign w:val="center"/>
          </w:tcPr>
          <w:p>
            <w:pPr>
              <w:spacing w:line="24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第（ ）页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trHeight w:val="260" w:hRule="atLeast"/>
          <w:jc w:val="center"/>
        </w:trPr>
        <w:tc>
          <w:tcPr>
            <w:tcW w:w="1220" w:type="dxa"/>
            <w:vMerge w:val="continue"/>
            <w:tcBorders>
              <w:tl2br w:val="nil"/>
              <w:tr2bl w:val="nil"/>
            </w:tcBorders>
            <w:vAlign w:val="center"/>
          </w:tcPr>
          <w:p>
            <w:pPr>
              <w:spacing w:line="240" w:lineRule="exact"/>
              <w:jc w:val="center"/>
              <w:rPr>
                <w:rFonts w:hint="eastAsia" w:ascii="宋体" w:hAnsi="宋体" w:cs="宋体"/>
                <w:color w:val="auto"/>
                <w:sz w:val="21"/>
                <w:szCs w:val="21"/>
                <w:highlight w:val="none"/>
              </w:rPr>
            </w:pPr>
          </w:p>
        </w:tc>
        <w:tc>
          <w:tcPr>
            <w:tcW w:w="4800" w:type="dxa"/>
            <w:tcBorders>
              <w:tl2br w:val="nil"/>
              <w:tr2bl w:val="nil"/>
            </w:tcBorders>
            <w:vAlign w:val="center"/>
          </w:tcPr>
          <w:p>
            <w:pPr>
              <w:spacing w:line="2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3、投标文件有法定代表人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签署本人姓名（或印盖本人姓名章），或签署人提供有效的法定代表人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授权委托书且授权委托书填写项目齐全的。</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□不通过</w:t>
            </w:r>
          </w:p>
        </w:tc>
        <w:tc>
          <w:tcPr>
            <w:tcW w:w="1306" w:type="dxa"/>
            <w:tcBorders>
              <w:tl2br w:val="nil"/>
              <w:tr2bl w:val="nil"/>
            </w:tcBorders>
            <w:vAlign w:val="center"/>
          </w:tcPr>
          <w:p>
            <w:pPr>
              <w:spacing w:line="24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第（ ）页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trHeight w:val="260" w:hRule="atLeast"/>
          <w:jc w:val="center"/>
        </w:trPr>
        <w:tc>
          <w:tcPr>
            <w:tcW w:w="1220" w:type="dxa"/>
            <w:vMerge w:val="continue"/>
            <w:tcBorders>
              <w:tl2br w:val="nil"/>
              <w:tr2bl w:val="nil"/>
            </w:tcBorders>
            <w:vAlign w:val="center"/>
          </w:tcPr>
          <w:p>
            <w:pPr>
              <w:spacing w:line="240" w:lineRule="exact"/>
              <w:jc w:val="center"/>
              <w:rPr>
                <w:rFonts w:hint="eastAsia" w:ascii="宋体" w:hAnsi="宋体" w:cs="宋体"/>
                <w:color w:val="auto"/>
                <w:sz w:val="21"/>
                <w:szCs w:val="21"/>
                <w:highlight w:val="none"/>
              </w:rPr>
            </w:pPr>
          </w:p>
        </w:tc>
        <w:tc>
          <w:tcPr>
            <w:tcW w:w="4800" w:type="dxa"/>
            <w:tcBorders>
              <w:tl2br w:val="nil"/>
              <w:tr2bl w:val="nil"/>
            </w:tcBorders>
            <w:vAlign w:val="center"/>
          </w:tcPr>
          <w:p>
            <w:pPr>
              <w:spacing w:line="2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投标文件项目齐全</w:t>
            </w:r>
            <w:r>
              <w:rPr>
                <w:rFonts w:hint="eastAsia" w:ascii="宋体" w:hAnsi="宋体" w:cs="宋体"/>
                <w:color w:val="auto"/>
                <w:sz w:val="21"/>
                <w:szCs w:val="21"/>
                <w:highlight w:val="none"/>
                <w:lang w:eastAsia="zh-CN"/>
              </w:rPr>
              <w:t>。</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□不通过</w:t>
            </w:r>
          </w:p>
        </w:tc>
        <w:tc>
          <w:tcPr>
            <w:tcW w:w="1306" w:type="dxa"/>
            <w:tcBorders>
              <w:tl2br w:val="nil"/>
              <w:tr2bl w:val="nil"/>
            </w:tcBorders>
            <w:vAlign w:val="center"/>
          </w:tcPr>
          <w:p>
            <w:pPr>
              <w:spacing w:line="24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第（ ）页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trHeight w:val="260" w:hRule="atLeast"/>
          <w:jc w:val="center"/>
        </w:trPr>
        <w:tc>
          <w:tcPr>
            <w:tcW w:w="1220" w:type="dxa"/>
            <w:vMerge w:val="continue"/>
            <w:tcBorders>
              <w:tl2br w:val="nil"/>
              <w:tr2bl w:val="nil"/>
            </w:tcBorders>
            <w:vAlign w:val="center"/>
          </w:tcPr>
          <w:p>
            <w:pPr>
              <w:spacing w:line="240" w:lineRule="exact"/>
              <w:jc w:val="center"/>
              <w:rPr>
                <w:rFonts w:hint="eastAsia" w:ascii="宋体" w:hAnsi="宋体" w:cs="宋体"/>
                <w:color w:val="auto"/>
                <w:sz w:val="21"/>
                <w:szCs w:val="21"/>
                <w:highlight w:val="none"/>
              </w:rPr>
            </w:pPr>
          </w:p>
        </w:tc>
        <w:tc>
          <w:tcPr>
            <w:tcW w:w="4800" w:type="dxa"/>
            <w:tcBorders>
              <w:tl2br w:val="nil"/>
              <w:tr2bl w:val="nil"/>
            </w:tcBorders>
            <w:vAlign w:val="center"/>
          </w:tcPr>
          <w:p>
            <w:pPr>
              <w:spacing w:line="2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投标文件标明的响应或偏离与事实相符且无虚假投标的</w:t>
            </w:r>
            <w:r>
              <w:rPr>
                <w:rFonts w:hint="eastAsia" w:ascii="宋体" w:hAnsi="宋体" w:cs="宋体"/>
                <w:color w:val="auto"/>
                <w:sz w:val="21"/>
                <w:szCs w:val="21"/>
                <w:highlight w:val="none"/>
                <w:lang w:eastAsia="zh-CN"/>
              </w:rPr>
              <w:t>。</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□不通过</w:t>
            </w:r>
          </w:p>
        </w:tc>
        <w:tc>
          <w:tcPr>
            <w:tcW w:w="1306" w:type="dxa"/>
            <w:tcBorders>
              <w:tl2br w:val="nil"/>
              <w:tr2bl w:val="nil"/>
            </w:tcBorders>
            <w:vAlign w:val="center"/>
          </w:tcPr>
          <w:p>
            <w:pPr>
              <w:spacing w:line="24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第（ ）页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trHeight w:val="260" w:hRule="atLeast"/>
          <w:jc w:val="center"/>
        </w:trPr>
        <w:tc>
          <w:tcPr>
            <w:tcW w:w="1220" w:type="dxa"/>
            <w:vMerge w:val="continue"/>
            <w:tcBorders>
              <w:tl2br w:val="nil"/>
              <w:tr2bl w:val="nil"/>
            </w:tcBorders>
            <w:vAlign w:val="center"/>
          </w:tcPr>
          <w:p>
            <w:pPr>
              <w:spacing w:line="240" w:lineRule="exact"/>
              <w:jc w:val="center"/>
              <w:rPr>
                <w:rFonts w:hint="eastAsia" w:ascii="宋体" w:hAnsi="宋体" w:cs="宋体"/>
                <w:color w:val="auto"/>
                <w:sz w:val="21"/>
                <w:szCs w:val="21"/>
                <w:highlight w:val="none"/>
              </w:rPr>
            </w:pPr>
          </w:p>
        </w:tc>
        <w:tc>
          <w:tcPr>
            <w:tcW w:w="4800" w:type="dxa"/>
            <w:tcBorders>
              <w:tl2br w:val="nil"/>
              <w:tr2bl w:val="nil"/>
            </w:tcBorders>
            <w:vAlign w:val="center"/>
          </w:tcPr>
          <w:p>
            <w:pPr>
              <w:spacing w:line="2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带“▲”的条款满足采购文件要求、已实质性响应采购文件要求且投标文件无采购人不能接受的附加条件的</w:t>
            </w:r>
            <w:r>
              <w:rPr>
                <w:rFonts w:hint="eastAsia" w:ascii="宋体" w:hAnsi="宋体" w:cs="宋体"/>
                <w:color w:val="auto"/>
                <w:sz w:val="21"/>
                <w:szCs w:val="21"/>
                <w:highlight w:val="none"/>
                <w:lang w:eastAsia="zh-CN"/>
              </w:rPr>
              <w:t>。</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□不通过</w:t>
            </w:r>
          </w:p>
        </w:tc>
        <w:tc>
          <w:tcPr>
            <w:tcW w:w="1306" w:type="dxa"/>
            <w:tcBorders>
              <w:tl2br w:val="nil"/>
              <w:tr2bl w:val="nil"/>
            </w:tcBorders>
            <w:vAlign w:val="center"/>
          </w:tcPr>
          <w:p>
            <w:pPr>
              <w:spacing w:line="24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第（ ）页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trHeight w:val="260" w:hRule="atLeast"/>
          <w:jc w:val="center"/>
        </w:trPr>
        <w:tc>
          <w:tcPr>
            <w:tcW w:w="1220" w:type="dxa"/>
            <w:vMerge w:val="continue"/>
            <w:tcBorders>
              <w:tl2br w:val="nil"/>
              <w:tr2bl w:val="nil"/>
            </w:tcBorders>
            <w:vAlign w:val="center"/>
          </w:tcPr>
          <w:p>
            <w:pPr>
              <w:spacing w:line="240" w:lineRule="exact"/>
              <w:jc w:val="center"/>
              <w:rPr>
                <w:rFonts w:hint="eastAsia" w:ascii="宋体" w:hAnsi="宋体" w:cs="宋体"/>
                <w:color w:val="auto"/>
                <w:sz w:val="21"/>
                <w:szCs w:val="21"/>
                <w:highlight w:val="none"/>
              </w:rPr>
            </w:pPr>
          </w:p>
        </w:tc>
        <w:tc>
          <w:tcPr>
            <w:tcW w:w="4800" w:type="dxa"/>
            <w:tcBorders>
              <w:tl2br w:val="nil"/>
              <w:tr2bl w:val="nil"/>
            </w:tcBorders>
            <w:vAlign w:val="center"/>
          </w:tcPr>
          <w:p>
            <w:pPr>
              <w:spacing w:line="2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技术商务文件中未出现报价或单价的</w:t>
            </w:r>
            <w:r>
              <w:rPr>
                <w:rFonts w:hint="eastAsia" w:ascii="宋体" w:hAnsi="宋体" w:cs="宋体"/>
                <w:color w:val="auto"/>
                <w:sz w:val="21"/>
                <w:szCs w:val="21"/>
                <w:highlight w:val="none"/>
                <w:lang w:eastAsia="zh-CN"/>
              </w:rPr>
              <w:t>。</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□不通过</w:t>
            </w:r>
          </w:p>
        </w:tc>
        <w:tc>
          <w:tcPr>
            <w:tcW w:w="1306" w:type="dxa"/>
            <w:tcBorders>
              <w:tl2br w:val="nil"/>
              <w:tr2bl w:val="nil"/>
            </w:tcBorders>
            <w:vAlign w:val="center"/>
          </w:tcPr>
          <w:p>
            <w:pPr>
              <w:spacing w:line="24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第（ ）页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trHeight w:val="260" w:hRule="atLeast"/>
          <w:jc w:val="center"/>
        </w:trPr>
        <w:tc>
          <w:tcPr>
            <w:tcW w:w="1220" w:type="dxa"/>
            <w:vMerge w:val="continue"/>
            <w:tcBorders>
              <w:tl2br w:val="nil"/>
              <w:tr2bl w:val="nil"/>
            </w:tcBorders>
            <w:vAlign w:val="center"/>
          </w:tcPr>
          <w:p>
            <w:pPr>
              <w:spacing w:line="240" w:lineRule="exact"/>
              <w:jc w:val="center"/>
              <w:rPr>
                <w:rFonts w:hint="eastAsia" w:ascii="宋体" w:hAnsi="宋体" w:cs="宋体"/>
                <w:color w:val="auto"/>
                <w:sz w:val="21"/>
                <w:szCs w:val="21"/>
                <w:highlight w:val="none"/>
              </w:rPr>
            </w:pPr>
          </w:p>
        </w:tc>
        <w:tc>
          <w:tcPr>
            <w:tcW w:w="4800" w:type="dxa"/>
            <w:tcBorders>
              <w:tl2br w:val="nil"/>
              <w:tr2bl w:val="nil"/>
            </w:tcBorders>
            <w:vAlign w:val="center"/>
          </w:tcPr>
          <w:p>
            <w:pPr>
              <w:shd w:val="clear" w:color="auto" w:fill="auto"/>
              <w:tabs>
                <w:tab w:val="left" w:pos="612"/>
              </w:tabs>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不存在法律、法规和采购文件规定的其他无效情形</w:t>
            </w:r>
            <w:r>
              <w:rPr>
                <w:rFonts w:hint="eastAsia" w:ascii="宋体" w:hAnsi="宋体" w:eastAsia="宋体" w:cs="宋体"/>
                <w:color w:val="auto"/>
                <w:sz w:val="21"/>
                <w:szCs w:val="21"/>
                <w:highlight w:val="none"/>
                <w:lang w:eastAsia="zh-CN"/>
              </w:rPr>
              <w:t>。</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□不通过</w:t>
            </w:r>
          </w:p>
        </w:tc>
        <w:tc>
          <w:tcPr>
            <w:tcW w:w="1306" w:type="dxa"/>
            <w:tcBorders>
              <w:tl2br w:val="nil"/>
              <w:tr2bl w:val="nil"/>
            </w:tcBorders>
            <w:vAlign w:val="center"/>
          </w:tcPr>
          <w:p>
            <w:pPr>
              <w:spacing w:line="24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第（ ）页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trHeight w:val="260" w:hRule="atLeast"/>
          <w:jc w:val="center"/>
        </w:trPr>
        <w:tc>
          <w:tcPr>
            <w:tcW w:w="1220" w:type="dxa"/>
            <w:vMerge w:val="continue"/>
            <w:tcBorders>
              <w:tl2br w:val="nil"/>
              <w:tr2bl w:val="nil"/>
            </w:tcBorders>
            <w:vAlign w:val="center"/>
          </w:tcPr>
          <w:p>
            <w:pPr>
              <w:spacing w:line="240" w:lineRule="exact"/>
              <w:jc w:val="center"/>
              <w:rPr>
                <w:rFonts w:hint="eastAsia" w:ascii="宋体" w:hAnsi="宋体" w:cs="宋体"/>
                <w:color w:val="auto"/>
                <w:sz w:val="21"/>
                <w:szCs w:val="21"/>
                <w:highlight w:val="none"/>
              </w:rPr>
            </w:pPr>
          </w:p>
        </w:tc>
        <w:tc>
          <w:tcPr>
            <w:tcW w:w="4800" w:type="dxa"/>
            <w:tcBorders>
              <w:tl2br w:val="nil"/>
              <w:tr2bl w:val="nil"/>
            </w:tcBorders>
            <w:vAlign w:val="center"/>
          </w:tcPr>
          <w:p>
            <w:pPr>
              <w:shd w:val="clear" w:color="auto" w:fill="auto"/>
              <w:tabs>
                <w:tab w:val="left" w:pos="612"/>
              </w:tabs>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不存在投标文件的有效期不满足采购文件要求情形</w:t>
            </w:r>
            <w:r>
              <w:rPr>
                <w:rFonts w:hint="eastAsia" w:ascii="宋体" w:hAnsi="宋体" w:eastAsia="宋体" w:cs="宋体"/>
                <w:color w:val="auto"/>
                <w:sz w:val="21"/>
                <w:szCs w:val="21"/>
                <w:highlight w:val="none"/>
                <w:lang w:eastAsia="zh-CN"/>
              </w:rPr>
              <w:t>。</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□不通过</w:t>
            </w:r>
          </w:p>
        </w:tc>
        <w:tc>
          <w:tcPr>
            <w:tcW w:w="1306" w:type="dxa"/>
            <w:tcBorders>
              <w:tl2br w:val="nil"/>
              <w:tr2bl w:val="nil"/>
            </w:tcBorders>
            <w:vAlign w:val="center"/>
          </w:tcPr>
          <w:p>
            <w:pPr>
              <w:spacing w:line="24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第（ ）页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trHeight w:val="260" w:hRule="atLeast"/>
          <w:jc w:val="center"/>
        </w:trPr>
        <w:tc>
          <w:tcPr>
            <w:tcW w:w="1220" w:type="dxa"/>
            <w:vMerge w:val="continue"/>
            <w:tcBorders>
              <w:tl2br w:val="nil"/>
              <w:tr2bl w:val="nil"/>
            </w:tcBorders>
            <w:vAlign w:val="center"/>
          </w:tcPr>
          <w:p>
            <w:pPr>
              <w:spacing w:line="240" w:lineRule="exact"/>
              <w:jc w:val="center"/>
              <w:rPr>
                <w:rFonts w:hint="eastAsia" w:ascii="宋体" w:hAnsi="宋体" w:cs="宋体"/>
                <w:color w:val="auto"/>
                <w:sz w:val="21"/>
                <w:szCs w:val="21"/>
                <w:highlight w:val="none"/>
              </w:rPr>
            </w:pPr>
          </w:p>
        </w:tc>
        <w:tc>
          <w:tcPr>
            <w:tcW w:w="4800" w:type="dxa"/>
            <w:tcBorders>
              <w:tl2br w:val="nil"/>
              <w:tr2bl w:val="nil"/>
            </w:tcBorders>
            <w:vAlign w:val="center"/>
          </w:tcPr>
          <w:p>
            <w:pPr>
              <w:shd w:val="clear" w:color="auto" w:fill="auto"/>
              <w:spacing w:line="240" w:lineRule="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技术商务文件不存在采购文件所规定的其它无效投标条款要求。</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□不通过</w:t>
            </w:r>
          </w:p>
        </w:tc>
        <w:tc>
          <w:tcPr>
            <w:tcW w:w="1306" w:type="dxa"/>
            <w:tcBorders>
              <w:tl2br w:val="nil"/>
              <w:tr2bl w:val="nil"/>
            </w:tcBorders>
            <w:vAlign w:val="center"/>
          </w:tcPr>
          <w:p>
            <w:pPr>
              <w:spacing w:line="24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第（ ）页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0" w:type="dxa"/>
            <w:left w:w="150" w:type="dxa"/>
            <w:bottom w:w="150" w:type="dxa"/>
            <w:right w:w="150" w:type="dxa"/>
          </w:tblCellMar>
        </w:tblPrEx>
        <w:trPr>
          <w:trHeight w:val="543" w:hRule="atLeast"/>
          <w:jc w:val="center"/>
        </w:trPr>
        <w:tc>
          <w:tcPr>
            <w:tcW w:w="1220" w:type="dxa"/>
            <w:vMerge w:val="continue"/>
            <w:tcBorders>
              <w:tl2br w:val="nil"/>
              <w:tr2bl w:val="nil"/>
            </w:tcBorders>
            <w:vAlign w:val="center"/>
          </w:tcPr>
          <w:p>
            <w:pPr>
              <w:spacing w:line="240" w:lineRule="exact"/>
              <w:rPr>
                <w:rFonts w:ascii="宋体" w:hAnsi="宋体" w:cs="宋体"/>
                <w:color w:val="auto"/>
                <w:sz w:val="21"/>
                <w:szCs w:val="21"/>
                <w:highlight w:val="none"/>
              </w:rPr>
            </w:pPr>
          </w:p>
        </w:tc>
        <w:tc>
          <w:tcPr>
            <w:tcW w:w="4800" w:type="dxa"/>
            <w:tcBorders>
              <w:tl2br w:val="nil"/>
              <w:tr2bl w:val="nil"/>
            </w:tcBorders>
            <w:vAlign w:val="center"/>
          </w:tcPr>
          <w:p>
            <w:pPr>
              <w:spacing w:line="240" w:lineRule="exact"/>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、按有关法律、法规、规章不属于投标无效的。</w:t>
            </w:r>
          </w:p>
        </w:tc>
        <w:tc>
          <w:tcPr>
            <w:tcW w:w="1427" w:type="dxa"/>
            <w:tcBorders>
              <w:tl2br w:val="nil"/>
              <w:tr2bl w:val="nil"/>
            </w:tcBorders>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240" w:lineRule="exact"/>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□不通过</w:t>
            </w:r>
          </w:p>
        </w:tc>
        <w:tc>
          <w:tcPr>
            <w:tcW w:w="1306" w:type="dxa"/>
            <w:tcBorders>
              <w:tl2br w:val="nil"/>
              <w:tr2bl w:val="nil"/>
            </w:tcBorders>
            <w:vAlign w:val="center"/>
          </w:tcPr>
          <w:p>
            <w:pPr>
              <w:spacing w:line="24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第（ ）页</w:t>
            </w:r>
          </w:p>
        </w:tc>
      </w:tr>
    </w:tbl>
    <w:p>
      <w:pPr>
        <w:pStyle w:val="11"/>
        <w:widowControl/>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备注：</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自查表将作为投标</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有效性审查的重要内容之一，投标</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必须严格按照其内容及序列要求在投标文件中对应如实提供，对资格性证明文件的任何缺漏和不符合项将会直接导致投标无效！</w:t>
      </w:r>
    </w:p>
    <w:p>
      <w:pP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cs="宋体"/>
          <w:b/>
          <w:color w:val="auto"/>
          <w:sz w:val="32"/>
          <w:szCs w:val="32"/>
          <w:highlight w:val="none"/>
        </w:rPr>
      </w:pPr>
      <w:r>
        <w:rPr>
          <w:rStyle w:val="87"/>
          <w:rFonts w:hint="eastAsia"/>
          <w:color w:val="auto"/>
          <w:highlight w:val="none"/>
        </w:rPr>
        <w:t>法定代表人身份证明</w:t>
      </w:r>
    </w:p>
    <w:p>
      <w:pPr>
        <w:spacing w:line="360" w:lineRule="auto"/>
        <w:jc w:val="center"/>
        <w:rPr>
          <w:rFonts w:ascii="宋体" w:hAnsi="宋体" w:cs="宋体"/>
          <w:b/>
          <w:color w:val="auto"/>
          <w:sz w:val="21"/>
          <w:szCs w:val="21"/>
          <w:highlight w:val="none"/>
        </w:rPr>
      </w:pPr>
      <w:r>
        <w:rPr>
          <w:rFonts w:hint="eastAsia" w:ascii="宋体" w:hAnsi="宋体" w:cs="宋体"/>
          <w:bCs/>
          <w:color w:val="auto"/>
          <w:sz w:val="21"/>
          <w:szCs w:val="21"/>
          <w:highlight w:val="none"/>
        </w:rPr>
        <w:t>（法定代表人不来投标的，此表不用）</w:t>
      </w:r>
    </w:p>
    <w:p>
      <w:pPr>
        <w:spacing w:line="480" w:lineRule="auto"/>
        <w:ind w:firstLine="420" w:firstLineChars="200"/>
        <w:rPr>
          <w:rFonts w:hint="eastAsia" w:ascii="宋体" w:hAnsi="宋体" w:cs="宋体"/>
          <w:color w:val="auto"/>
          <w:sz w:val="21"/>
          <w:szCs w:val="21"/>
          <w:highlight w:val="none"/>
          <w:lang w:eastAsia="zh-CN"/>
        </w:rPr>
      </w:pPr>
    </w:p>
    <w:p>
      <w:pPr>
        <w:spacing w:line="48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w:t>
      </w:r>
      <w:r>
        <w:rPr>
          <w:rFonts w:hint="eastAsia" w:ascii="宋体" w:hAnsi="宋体" w:cs="宋体"/>
          <w:color w:val="auto"/>
          <w:sz w:val="21"/>
          <w:szCs w:val="21"/>
          <w:highlight w:val="none"/>
          <w:u w:val="single"/>
        </w:rPr>
        <w:t xml:space="preserve">                                      </w:t>
      </w:r>
    </w:p>
    <w:p>
      <w:pPr>
        <w:spacing w:line="48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单位性质：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48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single"/>
        </w:rPr>
        <w:t xml:space="preserve">                                              </w:t>
      </w:r>
    </w:p>
    <w:p>
      <w:pPr>
        <w:spacing w:line="48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成立时间：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w:t>
      </w:r>
    </w:p>
    <w:p>
      <w:pPr>
        <w:spacing w:line="48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经营期限：</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48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性别：</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年龄：</w:t>
      </w:r>
      <w:r>
        <w:rPr>
          <w:rFonts w:hint="eastAsia" w:ascii="宋体" w:hAnsi="宋体" w:cs="宋体"/>
          <w:color w:val="auto"/>
          <w:sz w:val="21"/>
          <w:szCs w:val="21"/>
          <w:highlight w:val="none"/>
          <w:u w:val="single"/>
        </w:rPr>
        <w:t xml:space="preserve">    周岁  </w:t>
      </w:r>
      <w:r>
        <w:rPr>
          <w:rFonts w:hint="eastAsia" w:ascii="宋体" w:hAnsi="宋体" w:cs="宋体"/>
          <w:color w:val="auto"/>
          <w:sz w:val="21"/>
          <w:szCs w:val="21"/>
          <w:highlight w:val="none"/>
        </w:rPr>
        <w:t>职务：</w:t>
      </w:r>
      <w:r>
        <w:rPr>
          <w:rFonts w:hint="eastAsia" w:ascii="宋体" w:hAnsi="宋体" w:cs="宋体"/>
          <w:color w:val="auto"/>
          <w:sz w:val="21"/>
          <w:szCs w:val="21"/>
          <w:highlight w:val="none"/>
          <w:u w:val="single"/>
        </w:rPr>
        <w:t xml:space="preserve">      </w:t>
      </w:r>
    </w:p>
    <w:p>
      <w:pPr>
        <w:spacing w:line="48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身份证号码：</w:t>
      </w:r>
      <w:r>
        <w:rPr>
          <w:rFonts w:hint="eastAsia" w:ascii="宋体" w:hAnsi="宋体" w:cs="宋体"/>
          <w:color w:val="auto"/>
          <w:sz w:val="21"/>
          <w:szCs w:val="21"/>
          <w:highlight w:val="none"/>
          <w:u w:val="single"/>
        </w:rPr>
        <w:t xml:space="preserve">                   </w:t>
      </w:r>
    </w:p>
    <w:p>
      <w:pPr>
        <w:spacing w:line="48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名称）的法定代表人。</w:t>
      </w:r>
    </w:p>
    <w:p>
      <w:pPr>
        <w:spacing w:line="48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特此证明。</w:t>
      </w:r>
    </w:p>
    <w:p>
      <w:pPr>
        <w:spacing w:line="360" w:lineRule="auto"/>
        <w:ind w:firstLine="420" w:firstLineChars="200"/>
        <w:rPr>
          <w:rFonts w:ascii="宋体" w:hAnsi="宋体" w:cs="宋体"/>
          <w:color w:val="auto"/>
          <w:sz w:val="21"/>
          <w:szCs w:val="21"/>
          <w:highlight w:val="none"/>
        </w:rPr>
      </w:pPr>
    </w:p>
    <w:p>
      <w:pPr>
        <w:spacing w:line="360" w:lineRule="auto"/>
        <w:ind w:firstLine="420" w:firstLineChars="200"/>
        <w:rPr>
          <w:rFonts w:ascii="宋体" w:hAnsi="宋体" w:cs="宋体"/>
          <w:color w:val="auto"/>
          <w:sz w:val="21"/>
          <w:szCs w:val="21"/>
          <w:highlight w:val="none"/>
        </w:rPr>
      </w:pPr>
    </w:p>
    <w:p>
      <w:pPr>
        <w:wordWrap w:val="0"/>
        <w:spacing w:line="360" w:lineRule="auto"/>
        <w:jc w:val="right"/>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（盖单位公章）</w:t>
      </w:r>
    </w:p>
    <w:p>
      <w:pPr>
        <w:spacing w:line="360" w:lineRule="auto"/>
        <w:ind w:firstLine="4515" w:firstLineChars="2150"/>
        <w:rPr>
          <w:rFonts w:ascii="宋体" w:hAnsi="宋体" w:cs="宋体"/>
          <w:color w:val="auto"/>
          <w:sz w:val="21"/>
          <w:szCs w:val="21"/>
          <w:highlight w:val="none"/>
          <w:u w:val="single"/>
        </w:rPr>
      </w:pPr>
    </w:p>
    <w:p>
      <w:pPr>
        <w:spacing w:line="360" w:lineRule="auto"/>
        <w:ind w:firstLine="3675" w:firstLineChars="1750"/>
        <w:rPr>
          <w:rFonts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spacing w:line="360" w:lineRule="auto"/>
        <w:rPr>
          <w:rFonts w:ascii="宋体" w:hAnsi="宋体" w:cs="宋体"/>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附法定代表人身份证复印件（正反面）：</w:t>
      </w:r>
    </w:p>
    <w:p>
      <w:pPr>
        <w:rPr>
          <w:rFonts w:ascii="宋体" w:hAnsi="宋体" w:cs="宋体"/>
          <w:color w:val="auto"/>
          <w:sz w:val="22"/>
          <w:szCs w:val="22"/>
          <w:highlight w:val="none"/>
        </w:rPr>
      </w:pPr>
    </w:p>
    <w:p>
      <w:pPr>
        <w:jc w:val="left"/>
        <w:rPr>
          <w:rFonts w:ascii="宋体" w:hAnsi="宋体" w:cs="宋体"/>
          <w:b/>
          <w:color w:val="auto"/>
          <w:sz w:val="22"/>
          <w:szCs w:val="22"/>
          <w:highlight w:val="none"/>
        </w:rPr>
      </w:pPr>
    </w:p>
    <w:p>
      <w:pPr>
        <w:jc w:val="left"/>
        <w:rPr>
          <w:rFonts w:ascii="宋体" w:hAnsi="宋体" w:cs="宋体"/>
          <w:b/>
          <w:color w:val="auto"/>
          <w:sz w:val="22"/>
          <w:szCs w:val="22"/>
          <w:highlight w:val="none"/>
        </w:rPr>
      </w:pPr>
    </w:p>
    <w:p>
      <w:pPr>
        <w:jc w:val="left"/>
        <w:rPr>
          <w:rFonts w:ascii="宋体" w:hAnsi="宋体" w:cs="宋体"/>
          <w:b/>
          <w:color w:val="auto"/>
          <w:sz w:val="22"/>
          <w:szCs w:val="22"/>
          <w:highlight w:val="none"/>
        </w:rPr>
      </w:pPr>
    </w:p>
    <w:p>
      <w:pPr>
        <w:jc w:val="center"/>
        <w:rPr>
          <w:rFonts w:ascii="宋体" w:hAnsi="宋体" w:cs="宋体"/>
          <w:b/>
          <w:color w:val="auto"/>
          <w:sz w:val="32"/>
          <w:szCs w:val="32"/>
          <w:highlight w:val="none"/>
        </w:rPr>
      </w:pPr>
    </w:p>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pPr>
        <w:pStyle w:val="5"/>
        <w:bidi w:val="0"/>
        <w:jc w:val="center"/>
        <w:rPr>
          <w:color w:val="auto"/>
          <w:highlight w:val="none"/>
        </w:rPr>
      </w:pPr>
      <w:r>
        <w:rPr>
          <w:rFonts w:hint="eastAsia"/>
          <w:color w:val="auto"/>
          <w:highlight w:val="none"/>
        </w:rPr>
        <w:t>法定代表人授权委托书</w:t>
      </w:r>
    </w:p>
    <w:p>
      <w:pPr>
        <w:jc w:val="center"/>
        <w:rPr>
          <w:rFonts w:ascii="宋体" w:hAnsi="宋体" w:cs="宋体"/>
          <w:b/>
          <w:color w:val="auto"/>
          <w:sz w:val="21"/>
          <w:szCs w:val="21"/>
          <w:highlight w:val="none"/>
        </w:rPr>
      </w:pPr>
      <w:r>
        <w:rPr>
          <w:rFonts w:hint="eastAsia" w:ascii="宋体" w:hAnsi="宋体" w:cs="宋体"/>
          <w:bCs/>
          <w:color w:val="auto"/>
          <w:sz w:val="21"/>
          <w:szCs w:val="21"/>
          <w:highlight w:val="none"/>
        </w:rPr>
        <w:t>（法定代表人来投标的，此表不用）</w:t>
      </w:r>
    </w:p>
    <w:p>
      <w:pPr>
        <w:snapToGrid w:val="0"/>
        <w:spacing w:line="360" w:lineRule="auto"/>
        <w:rPr>
          <w:rFonts w:ascii="宋体" w:hAnsi="宋体" w:cs="宋体"/>
          <w:bCs/>
          <w:color w:val="auto"/>
          <w:sz w:val="21"/>
          <w:szCs w:val="21"/>
          <w:highlight w:val="none"/>
        </w:rPr>
      </w:pPr>
    </w:p>
    <w:p>
      <w:pPr>
        <w:snapToGrid w:val="0"/>
        <w:spacing w:line="360" w:lineRule="auto"/>
        <w:rPr>
          <w:rFonts w:ascii="宋体" w:hAnsi="宋体" w:cs="宋体"/>
          <w:color w:val="auto"/>
          <w:sz w:val="21"/>
          <w:szCs w:val="21"/>
          <w:highlight w:val="none"/>
        </w:rPr>
      </w:pPr>
      <w:r>
        <w:rPr>
          <w:rFonts w:hint="eastAsia" w:ascii="宋体" w:hAnsi="宋体" w:cs="宋体"/>
          <w:bCs/>
          <w:color w:val="auto"/>
          <w:sz w:val="21"/>
          <w:szCs w:val="21"/>
          <w:highlight w:val="none"/>
        </w:rPr>
        <w:t>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（采购单位名称）</w:t>
      </w:r>
      <w:r>
        <w:rPr>
          <w:rFonts w:hint="eastAsia" w:ascii="宋体" w:hAnsi="宋体" w:cs="宋体"/>
          <w:b/>
          <w:bCs/>
          <w:color w:val="auto"/>
          <w:sz w:val="21"/>
          <w:szCs w:val="21"/>
          <w:highlight w:val="none"/>
        </w:rPr>
        <w:t xml:space="preserve"> </w:t>
      </w:r>
      <w:r>
        <w:rPr>
          <w:rFonts w:hint="eastAsia" w:ascii="宋体" w:hAnsi="宋体" w:cs="宋体"/>
          <w:color w:val="auto"/>
          <w:sz w:val="21"/>
          <w:szCs w:val="21"/>
          <w:highlight w:val="none"/>
        </w:rPr>
        <w:t>：</w:t>
      </w:r>
    </w:p>
    <w:p>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（姓名）系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 xml:space="preserve">名称）的法定代表人，现授权委托本单位在职职工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（姓名）以我方的名义参加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项目名称</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的投标活动，并代表我方全权办理针对上述项目的投标、开标、评标、签约等具体事务和签署相关文件。</w:t>
      </w:r>
    </w:p>
    <w:p>
      <w:pPr>
        <w:snapToGrid w:val="0"/>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我方对被授权人的签名事项负全部责任。</w:t>
      </w:r>
    </w:p>
    <w:p>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被授权人无转委托权，特此委托。</w:t>
      </w:r>
    </w:p>
    <w:p>
      <w:pPr>
        <w:snapToGrid w:val="0"/>
        <w:spacing w:line="360" w:lineRule="auto"/>
        <w:rPr>
          <w:rFonts w:ascii="宋体" w:hAnsi="宋体" w:cs="宋体"/>
          <w:color w:val="auto"/>
          <w:sz w:val="21"/>
          <w:szCs w:val="21"/>
          <w:highlight w:val="none"/>
        </w:rPr>
      </w:pPr>
    </w:p>
    <w:p>
      <w:pPr>
        <w:snapToGrid w:val="0"/>
        <w:spacing w:line="360" w:lineRule="auto"/>
        <w:rPr>
          <w:rFonts w:ascii="宋体" w:hAnsi="宋体" w:cs="宋体"/>
          <w:color w:val="auto"/>
          <w:sz w:val="21"/>
          <w:szCs w:val="21"/>
          <w:highlight w:val="none"/>
        </w:rPr>
      </w:pPr>
    </w:p>
    <w:p>
      <w:pPr>
        <w:snapToGrid w:val="0"/>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被授权人签名：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法定代表人签名：</w:t>
      </w:r>
      <w:r>
        <w:rPr>
          <w:rFonts w:hint="eastAsia" w:ascii="宋体" w:hAnsi="宋体" w:cs="宋体"/>
          <w:color w:val="auto"/>
          <w:sz w:val="21"/>
          <w:szCs w:val="21"/>
          <w:highlight w:val="none"/>
          <w:u w:val="single"/>
        </w:rPr>
        <w:t xml:space="preserve">          </w:t>
      </w:r>
    </w:p>
    <w:p>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职</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务：</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职</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务：</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被授权人身份证号码：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snapToGrid w:val="0"/>
        <w:spacing w:line="360" w:lineRule="auto"/>
        <w:rPr>
          <w:rFonts w:ascii="宋体" w:hAnsi="宋体" w:cs="宋体"/>
          <w:color w:val="auto"/>
          <w:sz w:val="21"/>
          <w:szCs w:val="21"/>
          <w:highlight w:val="none"/>
        </w:rPr>
      </w:pPr>
    </w:p>
    <w:p>
      <w:pPr>
        <w:wordWrap w:val="0"/>
        <w:spacing w:line="360" w:lineRule="auto"/>
        <w:jc w:val="right"/>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（盖单位公章）</w:t>
      </w:r>
    </w:p>
    <w:p>
      <w:pPr>
        <w:snapToGrid w:val="0"/>
        <w:spacing w:line="360" w:lineRule="auto"/>
        <w:jc w:val="center"/>
        <w:rPr>
          <w:rFonts w:hint="eastAsia" w:ascii="宋体" w:hAnsi="宋体" w:cs="宋体"/>
          <w:color w:val="auto"/>
          <w:sz w:val="21"/>
          <w:szCs w:val="21"/>
          <w:highlight w:val="none"/>
        </w:rPr>
      </w:pPr>
    </w:p>
    <w:p>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年    月    日</w:t>
      </w: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p>
    <w:p>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附：法定代表人身份证复印件（正反面）、授权代表身份证复印件（正反面）：</w:t>
      </w:r>
    </w:p>
    <w:p>
      <w:pPr>
        <w:pStyle w:val="5"/>
        <w:bidi w:val="0"/>
        <w:jc w:val="center"/>
        <w:rPr>
          <w:rFonts w:ascii="宋体" w:hAnsi="宋体" w:cs="宋体"/>
          <w:color w:val="auto"/>
          <w:highlight w:val="none"/>
        </w:rPr>
      </w:pPr>
      <w:r>
        <w:rPr>
          <w:rFonts w:hint="eastAsia" w:ascii="宋体" w:hAnsi="宋体"/>
          <w:b/>
          <w:color w:val="auto"/>
          <w:sz w:val="22"/>
          <w:szCs w:val="22"/>
          <w:highlight w:val="none"/>
        </w:rPr>
        <w:br w:type="page"/>
      </w:r>
      <w:r>
        <w:rPr>
          <w:rFonts w:hint="eastAsia"/>
          <w:color w:val="auto"/>
          <w:highlight w:val="none"/>
          <w:lang w:eastAsia="zh-CN"/>
        </w:rPr>
        <w:t>供应商</w:t>
      </w:r>
      <w:r>
        <w:rPr>
          <w:rFonts w:hint="eastAsia"/>
          <w:color w:val="auto"/>
          <w:highlight w:val="none"/>
        </w:rPr>
        <w:t>响应表</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项目编号</w:t>
      </w:r>
      <w:r>
        <w:rPr>
          <w:rFonts w:hint="eastAsia" w:ascii="宋体" w:hAnsi="宋体" w:eastAsia="宋体" w:cs="宋体"/>
          <w:color w:val="auto"/>
          <w:sz w:val="21"/>
          <w:szCs w:val="21"/>
          <w:highlight w:val="none"/>
        </w:rPr>
        <w:t xml:space="preserve">：                                    </w:t>
      </w:r>
    </w:p>
    <w:tbl>
      <w:tblPr>
        <w:tblStyle w:val="38"/>
        <w:tblW w:w="9239" w:type="dxa"/>
        <w:jc w:val="center"/>
        <w:tblLayout w:type="fixed"/>
        <w:tblCellMar>
          <w:top w:w="0" w:type="dxa"/>
          <w:left w:w="108" w:type="dxa"/>
          <w:bottom w:w="0" w:type="dxa"/>
          <w:right w:w="108" w:type="dxa"/>
        </w:tblCellMar>
      </w:tblPr>
      <w:tblGrid>
        <w:gridCol w:w="892"/>
        <w:gridCol w:w="5030"/>
        <w:gridCol w:w="2068"/>
        <w:gridCol w:w="1249"/>
      </w:tblGrid>
      <w:tr>
        <w:tblPrEx>
          <w:tblCellMar>
            <w:top w:w="0" w:type="dxa"/>
            <w:left w:w="108" w:type="dxa"/>
            <w:bottom w:w="0" w:type="dxa"/>
            <w:right w:w="108" w:type="dxa"/>
          </w:tblCellMar>
        </w:tblPrEx>
        <w:trPr>
          <w:trHeight w:val="61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0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证明文件</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自评得分</w:t>
            </w:r>
          </w:p>
        </w:tc>
      </w:tr>
      <w:tr>
        <w:tblPrEx>
          <w:tblCellMar>
            <w:top w:w="0" w:type="dxa"/>
            <w:left w:w="108" w:type="dxa"/>
            <w:bottom w:w="0" w:type="dxa"/>
            <w:right w:w="108" w:type="dxa"/>
          </w:tblCellMar>
        </w:tblPrEx>
        <w:trPr>
          <w:trHeight w:val="607" w:hRule="atLeast"/>
          <w:jc w:val="center"/>
        </w:trPr>
        <w:tc>
          <w:tcPr>
            <w:tcW w:w="892"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28" w:hRule="atLeast"/>
          <w:jc w:val="center"/>
        </w:trPr>
        <w:tc>
          <w:tcPr>
            <w:tcW w:w="892"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34" w:hRule="atLeast"/>
          <w:jc w:val="center"/>
        </w:trPr>
        <w:tc>
          <w:tcPr>
            <w:tcW w:w="892"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45" w:hRule="atLeast"/>
          <w:jc w:val="center"/>
        </w:trPr>
        <w:tc>
          <w:tcPr>
            <w:tcW w:w="892"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21"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23"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76"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50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206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c>
          <w:tcPr>
            <w:tcW w:w="124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bl>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根据评分标准逐条填写。</w:t>
      </w:r>
    </w:p>
    <w:p>
      <w:pPr>
        <w:rPr>
          <w:rFonts w:hint="eastAsia" w:ascii="宋体" w:hAnsi="宋体" w:eastAsia="宋体" w:cs="宋体"/>
          <w:color w:val="auto"/>
          <w:sz w:val="21"/>
          <w:szCs w:val="21"/>
          <w:highlight w:val="non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2"/>
        <w:rPr>
          <w:rFonts w:ascii="宋体" w:hAnsi="宋体" w:eastAsia="宋体" w:cs="Times New Roman"/>
          <w:b/>
          <w:color w:val="auto"/>
          <w:sz w:val="24"/>
          <w:szCs w:val="24"/>
          <w:highlight w:val="none"/>
        </w:rPr>
      </w:pPr>
      <w:r>
        <w:rPr>
          <w:rFonts w:hint="eastAsia" w:hAnsi="宋体" w:cs="宋体"/>
          <w:b/>
          <w:color w:val="auto"/>
          <w:sz w:val="32"/>
          <w:szCs w:val="32"/>
          <w:highlight w:val="none"/>
        </w:rPr>
        <w:br w:type="page"/>
      </w:r>
      <w:r>
        <w:rPr>
          <w:rFonts w:hint="eastAsia" w:ascii="Times New Roman" w:hAnsi="Times New Roman" w:eastAsia="宋体" w:cs="Times New Roman"/>
          <w:b/>
          <w:bCs/>
          <w:color w:val="auto"/>
          <w:kern w:val="2"/>
          <w:sz w:val="28"/>
          <w:szCs w:val="32"/>
          <w:highlight w:val="none"/>
          <w:lang w:val="en-US" w:eastAsia="zh-CN" w:bidi="ar-SA"/>
        </w:rPr>
        <w:t>服务要求、商务要求及合同条款偏离表</w:t>
      </w:r>
    </w:p>
    <w:p>
      <w:pPr>
        <w:spacing w:line="400" w:lineRule="exact"/>
        <w:rPr>
          <w:rFonts w:ascii="宋体" w:hAnsi="宋体" w:eastAsia="宋体" w:cs="Times New Roman"/>
          <w:color w:val="auto"/>
          <w:szCs w:val="21"/>
          <w:highlight w:val="none"/>
        </w:rPr>
      </w:pPr>
    </w:p>
    <w:p>
      <w:pPr>
        <w:spacing w:line="400" w:lineRule="exac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u w:val="single"/>
        </w:rPr>
        <w:t xml:space="preserve">               </w:t>
      </w:r>
    </w:p>
    <w:p>
      <w:pPr>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u w:val="single"/>
        </w:rPr>
        <w:t xml:space="preserve">               </w:t>
      </w:r>
    </w:p>
    <w:tbl>
      <w:tblPr>
        <w:tblStyle w:val="3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179"/>
        <w:gridCol w:w="318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8" w:type="dxa"/>
            <w:tcMar>
              <w:left w:w="0" w:type="dxa"/>
              <w:right w:w="0" w:type="dxa"/>
            </w:tcMar>
            <w:vAlign w:val="center"/>
          </w:tcPr>
          <w:p>
            <w:pPr>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序号</w:t>
            </w:r>
          </w:p>
        </w:tc>
        <w:tc>
          <w:tcPr>
            <w:tcW w:w="3179" w:type="dxa"/>
            <w:tcMar>
              <w:left w:w="0" w:type="dxa"/>
              <w:right w:w="0" w:type="dxa"/>
            </w:tcMar>
            <w:vAlign w:val="center"/>
          </w:tcPr>
          <w:p>
            <w:pPr>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招标文件</w:t>
            </w:r>
            <w:r>
              <w:rPr>
                <w:rFonts w:hint="eastAsia" w:ascii="宋体" w:hAnsi="宋体" w:eastAsia="宋体" w:cs="Times New Roman"/>
                <w:color w:val="auto"/>
                <w:szCs w:val="21"/>
                <w:highlight w:val="none"/>
              </w:rPr>
              <w:t>要求</w:t>
            </w:r>
          </w:p>
        </w:tc>
        <w:tc>
          <w:tcPr>
            <w:tcW w:w="3180" w:type="dxa"/>
            <w:vAlign w:val="center"/>
          </w:tcPr>
          <w:p>
            <w:pPr>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投标文件</w:t>
            </w:r>
            <w:r>
              <w:rPr>
                <w:rFonts w:hint="eastAsia" w:ascii="宋体" w:hAnsi="宋体" w:eastAsia="宋体" w:cs="Times New Roman"/>
                <w:color w:val="auto"/>
                <w:szCs w:val="21"/>
                <w:highlight w:val="none"/>
              </w:rPr>
              <w:t>响应</w:t>
            </w:r>
          </w:p>
        </w:tc>
        <w:tc>
          <w:tcPr>
            <w:tcW w:w="1837" w:type="dxa"/>
            <w:tcMar>
              <w:left w:w="0" w:type="dxa"/>
              <w:right w:w="0" w:type="dxa"/>
            </w:tcMar>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注明正偏离</w:t>
            </w:r>
          </w:p>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pPr>
              <w:jc w:val="center"/>
              <w:rPr>
                <w:rFonts w:ascii="宋体" w:hAnsi="宋体" w:eastAsia="宋体" w:cs="Times New Roman"/>
                <w:color w:val="auto"/>
                <w:szCs w:val="21"/>
                <w:highlight w:val="none"/>
              </w:rPr>
            </w:pPr>
          </w:p>
        </w:tc>
        <w:tc>
          <w:tcPr>
            <w:tcW w:w="3179" w:type="dxa"/>
            <w:tcMar>
              <w:left w:w="0" w:type="dxa"/>
              <w:right w:w="0" w:type="dxa"/>
            </w:tcMar>
            <w:vAlign w:val="center"/>
          </w:tcPr>
          <w:p>
            <w:pPr>
              <w:jc w:val="center"/>
              <w:rPr>
                <w:rFonts w:ascii="宋体" w:hAnsi="宋体" w:eastAsia="宋体" w:cs="Times New Roman"/>
                <w:color w:val="auto"/>
                <w:szCs w:val="21"/>
                <w:highlight w:val="none"/>
              </w:rPr>
            </w:pPr>
          </w:p>
        </w:tc>
        <w:tc>
          <w:tcPr>
            <w:tcW w:w="3180" w:type="dxa"/>
            <w:tcMar>
              <w:left w:w="0" w:type="dxa"/>
              <w:right w:w="0" w:type="dxa"/>
            </w:tcMar>
            <w:vAlign w:val="center"/>
          </w:tcPr>
          <w:p>
            <w:pPr>
              <w:jc w:val="center"/>
              <w:rPr>
                <w:rFonts w:ascii="宋体" w:hAnsi="宋体" w:eastAsia="宋体" w:cs="Times New Roman"/>
                <w:color w:val="auto"/>
                <w:szCs w:val="21"/>
                <w:highlight w:val="none"/>
              </w:rPr>
            </w:pPr>
          </w:p>
        </w:tc>
        <w:tc>
          <w:tcPr>
            <w:tcW w:w="1837" w:type="dxa"/>
            <w:tcMar>
              <w:left w:w="0" w:type="dxa"/>
              <w:right w:w="0" w:type="dxa"/>
            </w:tcMar>
            <w:vAlign w:val="center"/>
          </w:tcPr>
          <w:p>
            <w:pPr>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pPr>
              <w:jc w:val="center"/>
              <w:rPr>
                <w:rFonts w:ascii="宋体" w:hAnsi="宋体" w:eastAsia="宋体" w:cs="Times New Roman"/>
                <w:color w:val="auto"/>
                <w:szCs w:val="21"/>
                <w:highlight w:val="none"/>
              </w:rPr>
            </w:pPr>
          </w:p>
        </w:tc>
        <w:tc>
          <w:tcPr>
            <w:tcW w:w="3179" w:type="dxa"/>
            <w:tcMar>
              <w:left w:w="0" w:type="dxa"/>
              <w:right w:w="0" w:type="dxa"/>
            </w:tcMar>
            <w:vAlign w:val="center"/>
          </w:tcPr>
          <w:p>
            <w:pPr>
              <w:jc w:val="center"/>
              <w:rPr>
                <w:rFonts w:ascii="宋体" w:hAnsi="宋体" w:eastAsia="宋体" w:cs="Times New Roman"/>
                <w:color w:val="auto"/>
                <w:szCs w:val="21"/>
                <w:highlight w:val="none"/>
              </w:rPr>
            </w:pPr>
          </w:p>
        </w:tc>
        <w:tc>
          <w:tcPr>
            <w:tcW w:w="3180" w:type="dxa"/>
            <w:tcMar>
              <w:left w:w="0" w:type="dxa"/>
              <w:right w:w="0" w:type="dxa"/>
            </w:tcMar>
            <w:vAlign w:val="center"/>
          </w:tcPr>
          <w:p>
            <w:pPr>
              <w:jc w:val="center"/>
              <w:rPr>
                <w:rFonts w:ascii="宋体" w:hAnsi="宋体" w:eastAsia="宋体" w:cs="Times New Roman"/>
                <w:color w:val="auto"/>
                <w:szCs w:val="21"/>
                <w:highlight w:val="none"/>
              </w:rPr>
            </w:pPr>
          </w:p>
        </w:tc>
        <w:tc>
          <w:tcPr>
            <w:tcW w:w="1837" w:type="dxa"/>
            <w:tcMar>
              <w:left w:w="0" w:type="dxa"/>
              <w:right w:w="0" w:type="dxa"/>
            </w:tcMar>
            <w:vAlign w:val="center"/>
          </w:tcPr>
          <w:p>
            <w:pPr>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pPr>
              <w:jc w:val="center"/>
              <w:rPr>
                <w:rFonts w:ascii="宋体" w:hAnsi="宋体" w:eastAsia="宋体" w:cs="Times New Roman"/>
                <w:color w:val="auto"/>
                <w:szCs w:val="21"/>
                <w:highlight w:val="none"/>
              </w:rPr>
            </w:pPr>
          </w:p>
        </w:tc>
        <w:tc>
          <w:tcPr>
            <w:tcW w:w="3179" w:type="dxa"/>
            <w:tcMar>
              <w:left w:w="0" w:type="dxa"/>
              <w:right w:w="0" w:type="dxa"/>
            </w:tcMar>
            <w:vAlign w:val="center"/>
          </w:tcPr>
          <w:p>
            <w:pPr>
              <w:jc w:val="center"/>
              <w:rPr>
                <w:rFonts w:ascii="宋体" w:hAnsi="宋体" w:eastAsia="宋体" w:cs="Times New Roman"/>
                <w:color w:val="auto"/>
                <w:szCs w:val="21"/>
                <w:highlight w:val="none"/>
              </w:rPr>
            </w:pPr>
          </w:p>
        </w:tc>
        <w:tc>
          <w:tcPr>
            <w:tcW w:w="3180" w:type="dxa"/>
            <w:tcMar>
              <w:left w:w="0" w:type="dxa"/>
              <w:right w:w="0" w:type="dxa"/>
            </w:tcMar>
            <w:vAlign w:val="center"/>
          </w:tcPr>
          <w:p>
            <w:pPr>
              <w:jc w:val="center"/>
              <w:rPr>
                <w:rFonts w:ascii="宋体" w:hAnsi="宋体" w:eastAsia="宋体" w:cs="Times New Roman"/>
                <w:color w:val="auto"/>
                <w:szCs w:val="21"/>
                <w:highlight w:val="none"/>
              </w:rPr>
            </w:pPr>
          </w:p>
        </w:tc>
        <w:tc>
          <w:tcPr>
            <w:tcW w:w="1837" w:type="dxa"/>
            <w:tcMar>
              <w:left w:w="0" w:type="dxa"/>
              <w:right w:w="0" w:type="dxa"/>
            </w:tcMar>
            <w:vAlign w:val="center"/>
          </w:tcPr>
          <w:p>
            <w:pPr>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pPr>
              <w:jc w:val="center"/>
              <w:rPr>
                <w:rFonts w:ascii="宋体" w:hAnsi="宋体" w:eastAsia="宋体" w:cs="Times New Roman"/>
                <w:color w:val="auto"/>
                <w:szCs w:val="21"/>
                <w:highlight w:val="none"/>
              </w:rPr>
            </w:pPr>
          </w:p>
        </w:tc>
        <w:tc>
          <w:tcPr>
            <w:tcW w:w="3179" w:type="dxa"/>
            <w:tcMar>
              <w:left w:w="0" w:type="dxa"/>
              <w:right w:w="0" w:type="dxa"/>
            </w:tcMar>
            <w:vAlign w:val="center"/>
          </w:tcPr>
          <w:p>
            <w:pPr>
              <w:jc w:val="center"/>
              <w:rPr>
                <w:rFonts w:ascii="宋体" w:hAnsi="宋体" w:eastAsia="宋体" w:cs="Times New Roman"/>
                <w:color w:val="auto"/>
                <w:szCs w:val="21"/>
                <w:highlight w:val="none"/>
              </w:rPr>
            </w:pPr>
          </w:p>
        </w:tc>
        <w:tc>
          <w:tcPr>
            <w:tcW w:w="3180" w:type="dxa"/>
            <w:tcMar>
              <w:left w:w="0" w:type="dxa"/>
              <w:right w:w="0" w:type="dxa"/>
            </w:tcMar>
            <w:vAlign w:val="center"/>
          </w:tcPr>
          <w:p>
            <w:pPr>
              <w:jc w:val="center"/>
              <w:rPr>
                <w:rFonts w:ascii="宋体" w:hAnsi="宋体" w:eastAsia="宋体" w:cs="Times New Roman"/>
                <w:color w:val="auto"/>
                <w:szCs w:val="21"/>
                <w:highlight w:val="none"/>
              </w:rPr>
            </w:pPr>
          </w:p>
        </w:tc>
        <w:tc>
          <w:tcPr>
            <w:tcW w:w="1837" w:type="dxa"/>
            <w:tcMar>
              <w:left w:w="0" w:type="dxa"/>
              <w:right w:w="0" w:type="dxa"/>
            </w:tcMar>
            <w:vAlign w:val="center"/>
          </w:tcPr>
          <w:p>
            <w:pPr>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pPr>
              <w:jc w:val="center"/>
              <w:rPr>
                <w:rFonts w:ascii="宋体" w:hAnsi="宋体" w:eastAsia="宋体" w:cs="Times New Roman"/>
                <w:color w:val="auto"/>
                <w:szCs w:val="21"/>
                <w:highlight w:val="none"/>
              </w:rPr>
            </w:pPr>
          </w:p>
        </w:tc>
        <w:tc>
          <w:tcPr>
            <w:tcW w:w="3179" w:type="dxa"/>
            <w:tcMar>
              <w:left w:w="0" w:type="dxa"/>
              <w:right w:w="0" w:type="dxa"/>
            </w:tcMar>
            <w:vAlign w:val="center"/>
          </w:tcPr>
          <w:p>
            <w:pPr>
              <w:jc w:val="center"/>
              <w:rPr>
                <w:rFonts w:ascii="宋体" w:hAnsi="宋体" w:eastAsia="宋体" w:cs="Times New Roman"/>
                <w:color w:val="auto"/>
                <w:szCs w:val="21"/>
                <w:highlight w:val="none"/>
              </w:rPr>
            </w:pPr>
          </w:p>
        </w:tc>
        <w:tc>
          <w:tcPr>
            <w:tcW w:w="3180" w:type="dxa"/>
            <w:tcMar>
              <w:left w:w="0" w:type="dxa"/>
              <w:right w:w="0" w:type="dxa"/>
            </w:tcMar>
            <w:vAlign w:val="center"/>
          </w:tcPr>
          <w:p>
            <w:pPr>
              <w:jc w:val="center"/>
              <w:rPr>
                <w:rFonts w:ascii="宋体" w:hAnsi="宋体" w:eastAsia="宋体" w:cs="Times New Roman"/>
                <w:color w:val="auto"/>
                <w:szCs w:val="21"/>
                <w:highlight w:val="none"/>
              </w:rPr>
            </w:pPr>
          </w:p>
        </w:tc>
        <w:tc>
          <w:tcPr>
            <w:tcW w:w="1837" w:type="dxa"/>
            <w:tcMar>
              <w:left w:w="0" w:type="dxa"/>
              <w:right w:w="0" w:type="dxa"/>
            </w:tcMar>
            <w:vAlign w:val="center"/>
          </w:tcPr>
          <w:p>
            <w:pPr>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pPr>
              <w:jc w:val="center"/>
              <w:rPr>
                <w:rFonts w:ascii="宋体" w:hAnsi="宋体" w:eastAsia="宋体" w:cs="Times New Roman"/>
                <w:color w:val="auto"/>
                <w:szCs w:val="21"/>
                <w:highlight w:val="none"/>
              </w:rPr>
            </w:pPr>
          </w:p>
        </w:tc>
        <w:tc>
          <w:tcPr>
            <w:tcW w:w="3179" w:type="dxa"/>
            <w:tcMar>
              <w:left w:w="0" w:type="dxa"/>
              <w:right w:w="0" w:type="dxa"/>
            </w:tcMar>
            <w:vAlign w:val="center"/>
          </w:tcPr>
          <w:p>
            <w:pPr>
              <w:jc w:val="center"/>
              <w:rPr>
                <w:rFonts w:ascii="宋体" w:hAnsi="宋体" w:eastAsia="宋体" w:cs="Times New Roman"/>
                <w:color w:val="auto"/>
                <w:szCs w:val="21"/>
                <w:highlight w:val="none"/>
              </w:rPr>
            </w:pPr>
          </w:p>
        </w:tc>
        <w:tc>
          <w:tcPr>
            <w:tcW w:w="3180" w:type="dxa"/>
            <w:tcMar>
              <w:left w:w="0" w:type="dxa"/>
              <w:right w:w="0" w:type="dxa"/>
            </w:tcMar>
            <w:vAlign w:val="center"/>
          </w:tcPr>
          <w:p>
            <w:pPr>
              <w:jc w:val="center"/>
              <w:rPr>
                <w:rFonts w:ascii="宋体" w:hAnsi="宋体" w:eastAsia="宋体" w:cs="Times New Roman"/>
                <w:color w:val="auto"/>
                <w:szCs w:val="21"/>
                <w:highlight w:val="none"/>
              </w:rPr>
            </w:pPr>
          </w:p>
        </w:tc>
        <w:tc>
          <w:tcPr>
            <w:tcW w:w="1837" w:type="dxa"/>
            <w:tcMar>
              <w:left w:w="0" w:type="dxa"/>
              <w:right w:w="0" w:type="dxa"/>
            </w:tcMar>
            <w:vAlign w:val="center"/>
          </w:tcPr>
          <w:p>
            <w:pPr>
              <w:jc w:val="center"/>
              <w:rPr>
                <w:rFonts w:ascii="宋体" w:hAnsi="宋体" w:eastAsia="宋体" w:cs="Times New Roman"/>
                <w:color w:val="auto"/>
                <w:szCs w:val="21"/>
                <w:highlight w:val="none"/>
              </w:rPr>
            </w:pPr>
          </w:p>
        </w:tc>
      </w:tr>
    </w:tbl>
    <w:p>
      <w:pPr>
        <w:spacing w:line="400" w:lineRule="exact"/>
        <w:rPr>
          <w:rFonts w:ascii="宋体" w:hAnsi="宋体" w:eastAsia="宋体" w:cs="Times New Roman"/>
          <w:color w:val="auto"/>
          <w:szCs w:val="21"/>
          <w:highlight w:val="none"/>
        </w:rPr>
      </w:pPr>
      <w:r>
        <w:rPr>
          <w:rFonts w:ascii="宋体" w:hAnsi="宋体" w:eastAsia="宋体" w:cs="Times New Roman"/>
          <w:color w:val="auto"/>
          <w:szCs w:val="21"/>
          <w:highlight w:val="none"/>
        </w:rPr>
        <w:t>注：</w:t>
      </w:r>
      <w:r>
        <w:rPr>
          <w:rFonts w:hint="eastAsia" w:ascii="宋体" w:hAnsi="宋体" w:eastAsia="宋体" w:cs="Times New Roman"/>
          <w:color w:val="auto"/>
          <w:szCs w:val="21"/>
          <w:highlight w:val="none"/>
        </w:rPr>
        <w:t>1.如投标文件对本招标文件中的服务要求、商务要求及合同条款有偏离的，在本表中列明，并注明正偏离或负偏离。</w:t>
      </w:r>
    </w:p>
    <w:p>
      <w:pPr>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2.如</w:t>
      </w:r>
      <w:r>
        <w:rPr>
          <w:rFonts w:hint="eastAsia" w:ascii="宋体" w:hAnsi="宋体" w:cs="Times New Roman"/>
          <w:color w:val="auto"/>
          <w:szCs w:val="21"/>
          <w:highlight w:val="none"/>
          <w:lang w:eastAsia="zh-CN"/>
        </w:rPr>
        <w:t>供应商</w:t>
      </w:r>
      <w:r>
        <w:rPr>
          <w:rFonts w:hint="eastAsia" w:ascii="宋体" w:hAnsi="宋体" w:eastAsia="宋体" w:cs="Times New Roman"/>
          <w:color w:val="auto"/>
          <w:szCs w:val="21"/>
          <w:highlight w:val="none"/>
        </w:rPr>
        <w:t>未在本表中列出偏离说明，即使其在投标文件的其他部分与招标文件要求有所不同或回避不答，亦均视为完全符合招标文件中所要求的最低标准并写入合同。若</w:t>
      </w:r>
      <w:r>
        <w:rPr>
          <w:rFonts w:hint="eastAsia" w:ascii="宋体" w:hAnsi="宋体" w:cs="Times New Roman"/>
          <w:color w:val="auto"/>
          <w:szCs w:val="21"/>
          <w:highlight w:val="none"/>
          <w:lang w:eastAsia="zh-CN"/>
        </w:rPr>
        <w:t>供应商</w:t>
      </w:r>
      <w:r>
        <w:rPr>
          <w:rFonts w:hint="eastAsia" w:ascii="宋体" w:hAnsi="宋体" w:eastAsia="宋体" w:cs="Times New Roman"/>
          <w:color w:val="auto"/>
          <w:szCs w:val="21"/>
          <w:highlight w:val="none"/>
        </w:rPr>
        <w:t>在合同签订前后，以上述事项为借口而不进行合同签订手续或不履行合同，则视作其放弃中标资格。</w:t>
      </w:r>
    </w:p>
    <w:p>
      <w:pPr>
        <w:spacing w:line="400" w:lineRule="exac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3.未在本表中填写的，视为完全响应招标文件中的服务要求、商务要求及合同条款。</w:t>
      </w:r>
    </w:p>
    <w:p>
      <w:pPr>
        <w:spacing w:line="400" w:lineRule="exac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4.本表中如有负偏离的视为没有实质性响应招标文件要求，作无效标处理。</w:t>
      </w:r>
    </w:p>
    <w:p>
      <w:pPr>
        <w:pStyle w:val="77"/>
        <w:rPr>
          <w:rFonts w:hint="eastAsia" w:ascii="宋体" w:hAnsi="宋体" w:eastAsia="宋体" w:cs="宋体"/>
          <w:color w:val="auto"/>
          <w:sz w:val="21"/>
          <w:szCs w:val="21"/>
          <w:highlight w:val="none"/>
        </w:rPr>
      </w:pPr>
    </w:p>
    <w:p>
      <w:pPr>
        <w:snapToGrid w:val="0"/>
        <w:spacing w:before="50"/>
        <w:rPr>
          <w:rFonts w:hint="eastAsia" w:ascii="宋体" w:hAnsi="宋体" w:eastAsia="宋体" w:cs="宋体"/>
          <w:color w:val="auto"/>
          <w:sz w:val="21"/>
          <w:szCs w:val="21"/>
          <w:highlight w:val="non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pStyle w:val="11"/>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2"/>
          <w:szCs w:val="22"/>
          <w:highlight w:val="none"/>
          <w:u w:val="single"/>
        </w:rPr>
      </w:pPr>
    </w:p>
    <w:p>
      <w:pP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br w:type="page"/>
      </w:r>
    </w:p>
    <w:p>
      <w:pPr>
        <w:pStyle w:val="85"/>
        <w:keepNext w:val="0"/>
        <w:keepLines w:val="0"/>
        <w:pageBreakBefore w:val="0"/>
        <w:widowControl w:val="0"/>
        <w:shd w:val="clear" w:color="auto" w:fill="auto"/>
        <w:kinsoku/>
        <w:wordWrap/>
        <w:overflowPunct/>
        <w:topLinePunct w:val="0"/>
        <w:autoSpaceDE/>
        <w:autoSpaceDN/>
        <w:bidi w:val="0"/>
        <w:adjustRightInd/>
        <w:snapToGrid/>
        <w:ind w:left="0" w:leftChars="0" w:firstLine="0" w:firstLineChars="0"/>
        <w:jc w:val="center"/>
        <w:textAlignment w:val="auto"/>
        <w:outlineLvl w:val="2"/>
        <w:rPr>
          <w:rFonts w:hint="eastAsia" w:ascii="宋体" w:hAnsi="宋体" w:eastAsia="宋体" w:cs="宋体"/>
          <w:b/>
          <w:color w:val="auto"/>
          <w:sz w:val="28"/>
          <w:szCs w:val="28"/>
          <w:highlight w:val="none"/>
          <w:lang w:val="zh-CN" w:eastAsia="zh-CN" w:bidi="zh-CN"/>
        </w:rPr>
      </w:pPr>
      <w:r>
        <w:rPr>
          <w:rFonts w:hint="eastAsia" w:ascii="宋体" w:hAnsi="宋体" w:cs="宋体"/>
          <w:b/>
          <w:color w:val="auto"/>
          <w:sz w:val="28"/>
          <w:szCs w:val="28"/>
          <w:highlight w:val="none"/>
          <w:lang w:val="zh-CN" w:eastAsia="zh-CN" w:bidi="zh-CN"/>
        </w:rPr>
        <w:t>供应商</w:t>
      </w:r>
      <w:r>
        <w:rPr>
          <w:rFonts w:hint="eastAsia" w:ascii="宋体" w:hAnsi="宋体" w:eastAsia="宋体" w:cs="宋体"/>
          <w:b/>
          <w:color w:val="auto"/>
          <w:sz w:val="28"/>
          <w:szCs w:val="28"/>
          <w:highlight w:val="none"/>
          <w:lang w:val="zh-CN" w:eastAsia="zh-CN" w:bidi="zh-CN"/>
        </w:rPr>
        <w:t>基本情况说明</w:t>
      </w:r>
    </w:p>
    <w:p>
      <w:pPr>
        <w:pStyle w:val="85"/>
        <w:keepNext w:val="0"/>
        <w:keepLines w:val="0"/>
        <w:pageBreakBefore w:val="0"/>
        <w:widowControl w:val="0"/>
        <w:shd w:val="clear" w:color="auto" w:fill="auto"/>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b/>
          <w:color w:val="auto"/>
          <w:sz w:val="28"/>
          <w:szCs w:val="28"/>
          <w:highlight w:val="none"/>
          <w:lang w:val="zh-CN" w:eastAsia="zh-CN" w:bidi="zh-CN"/>
        </w:rPr>
      </w:pPr>
    </w:p>
    <w:tbl>
      <w:tblPr>
        <w:tblStyle w:val="38"/>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587"/>
        <w:gridCol w:w="992"/>
        <w:gridCol w:w="893"/>
        <w:gridCol w:w="1686"/>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3472" w:type="dxa"/>
            <w:gridSpan w:val="3"/>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472" w:type="dxa"/>
            <w:gridSpan w:val="3"/>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注册登记号</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经营地址</w:t>
            </w:r>
          </w:p>
        </w:tc>
        <w:tc>
          <w:tcPr>
            <w:tcW w:w="3472" w:type="dxa"/>
            <w:gridSpan w:val="3"/>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pacing w:val="30"/>
                <w:sz w:val="21"/>
                <w:szCs w:val="21"/>
                <w:highlight w:val="none"/>
              </w:rPr>
            </w:pPr>
            <w:r>
              <w:rPr>
                <w:rFonts w:hint="eastAsia" w:ascii="宋体" w:hAnsi="宋体" w:eastAsia="宋体" w:cs="宋体"/>
                <w:color w:val="auto"/>
                <w:sz w:val="21"/>
                <w:szCs w:val="21"/>
                <w:highlight w:val="none"/>
              </w:rPr>
              <w:t>税务登记证号</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3472" w:type="dxa"/>
            <w:gridSpan w:val="3"/>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34"/>
                <w:sz w:val="21"/>
                <w:szCs w:val="21"/>
                <w:highlight w:val="none"/>
              </w:rPr>
              <w:t>注册资本</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3472" w:type="dxa"/>
            <w:gridSpan w:val="3"/>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营业期限</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资质情况</w:t>
            </w:r>
          </w:p>
        </w:tc>
        <w:tc>
          <w:tcPr>
            <w:tcW w:w="7269" w:type="dxa"/>
            <w:gridSpan w:val="5"/>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员工数量</w:t>
            </w:r>
          </w:p>
        </w:tc>
        <w:tc>
          <w:tcPr>
            <w:tcW w:w="7269" w:type="dxa"/>
            <w:gridSpan w:val="5"/>
            <w:noWrap w:val="0"/>
            <w:vAlign w:val="center"/>
          </w:tcPr>
          <w:p>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人，其中，高级职称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人，中级职称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3472" w:type="dxa"/>
            <w:gridSpan w:val="3"/>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主要业绩</w:t>
            </w:r>
          </w:p>
        </w:tc>
        <w:tc>
          <w:tcPr>
            <w:tcW w:w="7269" w:type="dxa"/>
            <w:gridSpan w:val="5"/>
            <w:noWrap w:val="0"/>
            <w:vAlign w:val="center"/>
          </w:tcPr>
          <w:p>
            <w:pPr>
              <w:shd w:val="clear" w:color="auto" w:fill="auto"/>
              <w:spacing w:line="240" w:lineRule="auto"/>
              <w:rPr>
                <w:rFonts w:hint="eastAsia" w:ascii="宋体" w:hAnsi="宋体" w:eastAsia="宋体" w:cs="宋体"/>
                <w:color w:val="auto"/>
                <w:sz w:val="21"/>
                <w:szCs w:val="21"/>
                <w:highlight w:val="none"/>
              </w:rPr>
            </w:pPr>
          </w:p>
          <w:p>
            <w:pPr>
              <w:shd w:val="clear" w:color="auto" w:fill="auto"/>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58" w:type="dxa"/>
            <w:gridSpan w:val="6"/>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472" w:type="dxa"/>
            <w:gridSpan w:val="3"/>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587"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992"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893"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p>
        </w:tc>
        <w:tc>
          <w:tcPr>
            <w:tcW w:w="1686" w:type="dxa"/>
            <w:noWrap w:val="0"/>
            <w:vAlign w:val="center"/>
          </w:tcPr>
          <w:p>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    历</w:t>
            </w:r>
          </w:p>
        </w:tc>
        <w:tc>
          <w:tcPr>
            <w:tcW w:w="2111" w:type="dxa"/>
            <w:noWrap w:val="0"/>
            <w:vAlign w:val="center"/>
          </w:tcPr>
          <w:p>
            <w:pPr>
              <w:shd w:val="clear" w:color="auto" w:fill="auto"/>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58" w:type="dxa"/>
            <w:gridSpan w:val="6"/>
            <w:noWrap w:val="0"/>
            <w:vAlign w:val="top"/>
          </w:tcPr>
          <w:p>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bl>
    <w:p>
      <w:pPr>
        <w:shd w:val="clear" w:color="auto" w:fill="auto"/>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1.</w:t>
      </w:r>
      <w:r>
        <w:rPr>
          <w:rFonts w:hint="eastAsia" w:ascii="宋体" w:hAnsi="宋体" w:eastAsia="宋体" w:cs="宋体"/>
          <w:b/>
          <w:color w:val="auto"/>
          <w:sz w:val="21"/>
          <w:szCs w:val="21"/>
          <w:highlight w:val="none"/>
        </w:rPr>
        <w:t>兹证明上述声明是真实、正确的，并提供了全部能提供的资料和数据，我们同意遵照贵方要求出示有关证明文件。</w:t>
      </w:r>
    </w:p>
    <w:p>
      <w:pPr>
        <w:shd w:val="clear" w:color="auto" w:fill="auto"/>
        <w:spacing w:line="360" w:lineRule="auto"/>
        <w:rPr>
          <w:rFonts w:hint="eastAsia" w:ascii="宋体" w:hAnsi="宋体" w:eastAsia="宋体" w:cs="宋体"/>
          <w:b/>
          <w:color w:val="auto"/>
          <w:sz w:val="21"/>
          <w:szCs w:val="21"/>
          <w:highlight w:val="none"/>
        </w:rPr>
      </w:pPr>
    </w:p>
    <w:p>
      <w:pPr>
        <w:shd w:val="clear" w:color="auto" w:fill="auto"/>
        <w:rPr>
          <w:rFonts w:hint="eastAsia" w:ascii="宋体" w:hAnsi="宋体" w:eastAsia="宋体" w:cs="宋体"/>
          <w:color w:val="auto"/>
          <w:sz w:val="21"/>
          <w:szCs w:val="21"/>
          <w:highlight w:val="none"/>
        </w:rPr>
      </w:pPr>
    </w:p>
    <w:p>
      <w:pPr>
        <w:pStyle w:val="11"/>
        <w:widowControl/>
        <w:shd w:val="clear" w:color="auto" w:fill="auto"/>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hd w:val="clear" w:color="auto" w:fill="auto"/>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hd w:val="clear" w:color="auto" w:fill="auto"/>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2"/>
        <w:rPr>
          <w:rFonts w:hint="eastAsia" w:eastAsia="宋体"/>
          <w:b/>
          <w:color w:val="auto"/>
          <w:sz w:val="32"/>
          <w:szCs w:val="32"/>
          <w:highlight w:val="none"/>
          <w:lang w:eastAsia="zh-CN"/>
        </w:rPr>
      </w:pPr>
      <w:r>
        <w:rPr>
          <w:rFonts w:hint="eastAsia" w:hAnsi="宋体" w:cs="宋体"/>
          <w:color w:val="auto"/>
          <w:szCs w:val="21"/>
          <w:highlight w:val="none"/>
        </w:rPr>
        <w:br w:type="page"/>
      </w:r>
      <w:r>
        <w:rPr>
          <w:rStyle w:val="87"/>
          <w:rFonts w:hint="eastAsia"/>
          <w:color w:val="auto"/>
          <w:highlight w:val="none"/>
          <w:lang w:eastAsia="zh-CN"/>
        </w:rPr>
        <w:t>拟投入本项目服务人员配置情况表</w:t>
      </w:r>
    </w:p>
    <w:p>
      <w:pPr>
        <w:adjustRightInd w:val="0"/>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tbl>
      <w:tblPr>
        <w:tblStyle w:val="38"/>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90"/>
        <w:gridCol w:w="801"/>
        <w:gridCol w:w="1178"/>
        <w:gridCol w:w="737"/>
        <w:gridCol w:w="756"/>
        <w:gridCol w:w="893"/>
        <w:gridCol w:w="1286"/>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90"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1"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3564" w:type="dxa"/>
            <w:gridSpan w:val="4"/>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1286"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从业经验</w:t>
            </w:r>
          </w:p>
        </w:tc>
        <w:tc>
          <w:tcPr>
            <w:tcW w:w="1287" w:type="dxa"/>
            <w:vMerge w:val="restart"/>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0"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890"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801"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737"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756"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893" w:type="dxa"/>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286"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1287" w:type="dxa"/>
            <w:vMerge w:val="continue"/>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90" w:type="dxa"/>
            <w:vAlign w:val="center"/>
          </w:tcPr>
          <w:p>
            <w:pPr>
              <w:spacing w:line="360" w:lineRule="auto"/>
              <w:jc w:val="center"/>
              <w:rPr>
                <w:rFonts w:hint="eastAsia" w:ascii="宋体" w:hAnsi="宋体" w:eastAsia="宋体" w:cs="宋体"/>
                <w:color w:val="auto"/>
                <w:sz w:val="21"/>
                <w:szCs w:val="21"/>
                <w:highlight w:val="none"/>
              </w:rPr>
            </w:pPr>
          </w:p>
        </w:tc>
        <w:tc>
          <w:tcPr>
            <w:tcW w:w="801" w:type="dxa"/>
            <w:vAlign w:val="center"/>
          </w:tcPr>
          <w:p>
            <w:pPr>
              <w:spacing w:line="360" w:lineRule="auto"/>
              <w:jc w:val="center"/>
              <w:rPr>
                <w:rFonts w:hint="eastAsia" w:ascii="宋体" w:hAnsi="宋体" w:eastAsia="宋体" w:cs="宋体"/>
                <w:color w:val="auto"/>
                <w:sz w:val="21"/>
                <w:szCs w:val="21"/>
                <w:highlight w:val="none"/>
              </w:rPr>
            </w:pPr>
          </w:p>
        </w:tc>
        <w:tc>
          <w:tcPr>
            <w:tcW w:w="1178" w:type="dxa"/>
            <w:vAlign w:val="center"/>
          </w:tcPr>
          <w:p>
            <w:pPr>
              <w:spacing w:line="360" w:lineRule="auto"/>
              <w:jc w:val="center"/>
              <w:rPr>
                <w:rFonts w:hint="eastAsia" w:ascii="宋体" w:hAnsi="宋体" w:eastAsia="宋体" w:cs="宋体"/>
                <w:color w:val="auto"/>
                <w:sz w:val="21"/>
                <w:szCs w:val="21"/>
                <w:highlight w:val="none"/>
              </w:rPr>
            </w:pPr>
          </w:p>
        </w:tc>
        <w:tc>
          <w:tcPr>
            <w:tcW w:w="737" w:type="dxa"/>
            <w:vAlign w:val="center"/>
          </w:tcPr>
          <w:p>
            <w:pPr>
              <w:spacing w:line="360" w:lineRule="auto"/>
              <w:jc w:val="center"/>
              <w:rPr>
                <w:rFonts w:hint="eastAsia" w:ascii="宋体" w:hAnsi="宋体" w:eastAsia="宋体" w:cs="宋体"/>
                <w:color w:val="auto"/>
                <w:sz w:val="21"/>
                <w:szCs w:val="21"/>
                <w:highlight w:val="none"/>
              </w:rPr>
            </w:pPr>
          </w:p>
        </w:tc>
        <w:tc>
          <w:tcPr>
            <w:tcW w:w="756" w:type="dxa"/>
            <w:vAlign w:val="center"/>
          </w:tcPr>
          <w:p>
            <w:pPr>
              <w:spacing w:line="360" w:lineRule="auto"/>
              <w:jc w:val="center"/>
              <w:rPr>
                <w:rFonts w:hint="eastAsia" w:ascii="宋体" w:hAnsi="宋体" w:eastAsia="宋体" w:cs="宋体"/>
                <w:color w:val="auto"/>
                <w:sz w:val="21"/>
                <w:szCs w:val="21"/>
                <w:highlight w:val="none"/>
              </w:rPr>
            </w:pPr>
          </w:p>
        </w:tc>
        <w:tc>
          <w:tcPr>
            <w:tcW w:w="893" w:type="dxa"/>
            <w:vAlign w:val="center"/>
          </w:tcPr>
          <w:p>
            <w:pPr>
              <w:spacing w:line="360" w:lineRule="auto"/>
              <w:jc w:val="center"/>
              <w:rPr>
                <w:rFonts w:hint="eastAsia" w:ascii="宋体" w:hAnsi="宋体" w:eastAsia="宋体" w:cs="宋体"/>
                <w:color w:val="auto"/>
                <w:sz w:val="21"/>
                <w:szCs w:val="21"/>
                <w:highlight w:val="none"/>
              </w:rPr>
            </w:pPr>
          </w:p>
        </w:tc>
        <w:tc>
          <w:tcPr>
            <w:tcW w:w="1286" w:type="dxa"/>
            <w:vAlign w:val="center"/>
          </w:tcPr>
          <w:p>
            <w:pPr>
              <w:spacing w:line="360" w:lineRule="auto"/>
              <w:jc w:val="center"/>
              <w:rPr>
                <w:rFonts w:hint="eastAsia" w:ascii="宋体" w:hAnsi="宋体" w:eastAsia="宋体" w:cs="宋体"/>
                <w:color w:val="auto"/>
                <w:sz w:val="21"/>
                <w:szCs w:val="21"/>
                <w:highlight w:val="none"/>
              </w:rPr>
            </w:pPr>
          </w:p>
        </w:tc>
        <w:tc>
          <w:tcPr>
            <w:tcW w:w="1287" w:type="dxa"/>
          </w:tcPr>
          <w:p>
            <w:pPr>
              <w:spacing w:line="360" w:lineRule="auto"/>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注：后附相关人员</w:t>
      </w:r>
      <w:r>
        <w:rPr>
          <w:rFonts w:hint="eastAsia" w:ascii="宋体" w:hAnsi="宋体" w:eastAsia="宋体" w:cs="宋体"/>
          <w:color w:val="auto"/>
          <w:kern w:val="2"/>
          <w:sz w:val="21"/>
          <w:szCs w:val="21"/>
          <w:highlight w:val="none"/>
          <w:lang w:val="en-US" w:eastAsia="zh-CN" w:bidi="ar"/>
        </w:rPr>
        <w:t>学历证书</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或者中国高等教育学生信息网下载的学历查询报告</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0"/>
          <w:sz w:val="21"/>
          <w:szCs w:val="21"/>
          <w:highlight w:val="none"/>
          <w:lang w:val="en-US" w:eastAsia="zh-CN"/>
        </w:rPr>
        <w:t>相关</w:t>
      </w:r>
      <w:r>
        <w:rPr>
          <w:rFonts w:hint="eastAsia" w:ascii="宋体" w:hAnsi="宋体" w:cs="宋体"/>
          <w:color w:val="auto"/>
          <w:kern w:val="0"/>
          <w:sz w:val="21"/>
          <w:szCs w:val="21"/>
          <w:highlight w:val="none"/>
          <w:lang w:val="en-US" w:eastAsia="zh-CN"/>
        </w:rPr>
        <w:t>职称</w:t>
      </w:r>
      <w:r>
        <w:rPr>
          <w:rFonts w:hint="eastAsia" w:ascii="宋体" w:hAnsi="宋体" w:eastAsia="宋体" w:cs="宋体"/>
          <w:color w:val="auto"/>
          <w:kern w:val="0"/>
          <w:sz w:val="21"/>
          <w:szCs w:val="21"/>
          <w:highlight w:val="none"/>
        </w:rPr>
        <w:t>证书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复印件、从业</w:t>
      </w:r>
      <w:r>
        <w:rPr>
          <w:rFonts w:hint="eastAsia" w:ascii="宋体" w:hAnsi="宋体" w:eastAsia="宋体" w:cs="宋体"/>
          <w:color w:val="auto"/>
          <w:kern w:val="0"/>
          <w:sz w:val="21"/>
          <w:szCs w:val="21"/>
          <w:highlight w:val="none"/>
        </w:rPr>
        <w:t>经验证明资料复印件等，以便评委酌情打分</w:t>
      </w:r>
      <w:r>
        <w:rPr>
          <w:rFonts w:hint="eastAsia" w:ascii="宋体" w:hAnsi="宋体" w:eastAsia="宋体" w:cs="宋体"/>
          <w:color w:val="auto"/>
          <w:sz w:val="21"/>
          <w:szCs w:val="21"/>
          <w:highlight w:val="none"/>
        </w:rPr>
        <w:t>。</w:t>
      </w:r>
    </w:p>
    <w:p>
      <w:pPr>
        <w:adjustRightInd w:val="0"/>
        <w:snapToGrid w:val="0"/>
        <w:spacing w:line="400" w:lineRule="exact"/>
        <w:rPr>
          <w:rFonts w:hint="eastAsia" w:ascii="宋体" w:hAnsi="宋体" w:eastAsia="宋体" w:cs="宋体"/>
          <w:color w:val="auto"/>
          <w:sz w:val="21"/>
          <w:szCs w:val="21"/>
          <w:highlight w:val="none"/>
          <w:u w:val="singl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rPr>
          <w:rStyle w:val="87"/>
          <w:rFonts w:hint="eastAsia" w:ascii="宋体" w:hAnsi="宋体" w:eastAsia="宋体" w:cs="宋体"/>
          <w:color w:val="auto"/>
          <w:sz w:val="22"/>
          <w:szCs w:val="22"/>
          <w:highlight w:val="none"/>
          <w:lang w:val="en-US" w:eastAsia="zh-CN"/>
        </w:rPr>
      </w:pPr>
      <w:r>
        <w:rPr>
          <w:rStyle w:val="87"/>
          <w:rFonts w:hint="eastAsia" w:ascii="宋体" w:hAnsi="宋体" w:eastAsia="宋体" w:cs="宋体"/>
          <w:color w:val="auto"/>
          <w:sz w:val="22"/>
          <w:szCs w:val="2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Style w:val="87"/>
          <w:rFonts w:hint="eastAsia" w:ascii="Times New Roman" w:hAnsi="Times New Roman" w:eastAsia="宋体" w:cs="Times New Roman"/>
          <w:color w:val="auto"/>
          <w:highlight w:val="none"/>
          <w:lang w:val="en-US" w:eastAsia="zh-CN"/>
        </w:rPr>
      </w:pPr>
      <w:r>
        <w:rPr>
          <w:rStyle w:val="87"/>
          <w:rFonts w:hint="eastAsia" w:ascii="Times New Roman" w:hAnsi="Times New Roman" w:eastAsia="宋体" w:cs="Times New Roman"/>
          <w:color w:val="auto"/>
          <w:highlight w:val="none"/>
          <w:lang w:val="en-US" w:eastAsia="zh-CN"/>
        </w:rPr>
        <w:t>拟投入本项目的主要设施设备（含交通工具）配置情况表</w:t>
      </w:r>
    </w:p>
    <w:p>
      <w:pPr>
        <w:adjustRightInd w:val="0"/>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097"/>
        <w:gridCol w:w="1583"/>
        <w:gridCol w:w="1417"/>
        <w:gridCol w:w="1196"/>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240" w:lineRule="auto"/>
              <w:jc w:val="center"/>
              <w:rPr>
                <w:rFonts w:ascii="宋体" w:hAnsi="Times New Roman"/>
                <w:color w:val="auto"/>
                <w:sz w:val="21"/>
                <w:szCs w:val="21"/>
                <w:highlight w:val="none"/>
              </w:rPr>
            </w:pPr>
            <w:r>
              <w:rPr>
                <w:rFonts w:hint="eastAsia" w:ascii="宋体" w:hAnsi="Times New Roman"/>
                <w:color w:val="auto"/>
                <w:sz w:val="21"/>
                <w:szCs w:val="21"/>
                <w:highlight w:val="none"/>
              </w:rPr>
              <w:t>序号</w:t>
            </w:r>
          </w:p>
        </w:tc>
        <w:tc>
          <w:tcPr>
            <w:tcW w:w="2097" w:type="dxa"/>
            <w:noWrap w:val="0"/>
            <w:vAlign w:val="center"/>
          </w:tcPr>
          <w:p>
            <w:pPr>
              <w:pageBreakBefore w:val="0"/>
              <w:kinsoku/>
              <w:overflowPunct/>
              <w:topLinePunct w:val="0"/>
              <w:bidi w:val="0"/>
              <w:spacing w:line="240" w:lineRule="auto"/>
              <w:jc w:val="center"/>
              <w:rPr>
                <w:rFonts w:ascii="宋体" w:hAnsi="Times New Roman"/>
                <w:color w:val="auto"/>
                <w:sz w:val="21"/>
                <w:szCs w:val="21"/>
                <w:highlight w:val="none"/>
              </w:rPr>
            </w:pPr>
            <w:r>
              <w:rPr>
                <w:rFonts w:hint="eastAsia" w:ascii="宋体" w:hAnsi="Times New Roman"/>
                <w:color w:val="auto"/>
                <w:sz w:val="21"/>
                <w:szCs w:val="21"/>
                <w:highlight w:val="none"/>
                <w:lang w:val="en-US" w:eastAsia="zh-CN"/>
              </w:rPr>
              <w:t>设施设备</w:t>
            </w:r>
            <w:r>
              <w:rPr>
                <w:rFonts w:hint="eastAsia" w:ascii="宋体" w:hAnsi="Times New Roman"/>
                <w:color w:val="auto"/>
                <w:sz w:val="21"/>
                <w:szCs w:val="21"/>
                <w:highlight w:val="none"/>
              </w:rPr>
              <w:t>名称</w:t>
            </w:r>
          </w:p>
        </w:tc>
        <w:tc>
          <w:tcPr>
            <w:tcW w:w="1583" w:type="dxa"/>
            <w:noWrap w:val="0"/>
            <w:vAlign w:val="center"/>
          </w:tcPr>
          <w:p>
            <w:pPr>
              <w:pageBreakBefore w:val="0"/>
              <w:kinsoku/>
              <w:overflowPunct/>
              <w:topLinePunct w:val="0"/>
              <w:bidi w:val="0"/>
              <w:spacing w:line="240" w:lineRule="auto"/>
              <w:jc w:val="center"/>
              <w:rPr>
                <w:rFonts w:ascii="宋体" w:hAnsi="Times New Roman"/>
                <w:color w:val="auto"/>
                <w:sz w:val="21"/>
                <w:szCs w:val="21"/>
                <w:highlight w:val="none"/>
              </w:rPr>
            </w:pPr>
            <w:r>
              <w:rPr>
                <w:rFonts w:hint="eastAsia" w:ascii="宋体" w:hAnsi="Times New Roman"/>
                <w:color w:val="auto"/>
                <w:sz w:val="21"/>
                <w:szCs w:val="21"/>
                <w:highlight w:val="none"/>
              </w:rPr>
              <w:t>规格型号</w:t>
            </w:r>
          </w:p>
        </w:tc>
        <w:tc>
          <w:tcPr>
            <w:tcW w:w="1417" w:type="dxa"/>
            <w:noWrap w:val="0"/>
            <w:vAlign w:val="center"/>
          </w:tcPr>
          <w:p>
            <w:pPr>
              <w:pageBreakBefore w:val="0"/>
              <w:kinsoku/>
              <w:overflowPunct/>
              <w:topLinePunct w:val="0"/>
              <w:bidi w:val="0"/>
              <w:spacing w:line="240" w:lineRule="auto"/>
              <w:jc w:val="center"/>
              <w:rPr>
                <w:rFonts w:ascii="宋体" w:hAnsi="Times New Roman"/>
                <w:color w:val="auto"/>
                <w:sz w:val="21"/>
                <w:szCs w:val="21"/>
                <w:highlight w:val="none"/>
              </w:rPr>
            </w:pPr>
            <w:r>
              <w:rPr>
                <w:rFonts w:hint="eastAsia" w:ascii="宋体" w:hAnsi="Times New Roman"/>
                <w:color w:val="auto"/>
                <w:sz w:val="21"/>
                <w:szCs w:val="21"/>
                <w:highlight w:val="none"/>
              </w:rPr>
              <w:t>数量</w:t>
            </w:r>
          </w:p>
        </w:tc>
        <w:tc>
          <w:tcPr>
            <w:tcW w:w="1196" w:type="dxa"/>
            <w:noWrap w:val="0"/>
            <w:vAlign w:val="center"/>
          </w:tcPr>
          <w:p>
            <w:pPr>
              <w:pageBreakBefore w:val="0"/>
              <w:kinsoku/>
              <w:overflowPunct/>
              <w:topLinePunct w:val="0"/>
              <w:bidi w:val="0"/>
              <w:spacing w:line="240" w:lineRule="auto"/>
              <w:jc w:val="center"/>
              <w:rPr>
                <w:rFonts w:ascii="宋体" w:hAnsi="Times New Roman"/>
                <w:color w:val="auto"/>
                <w:sz w:val="21"/>
                <w:szCs w:val="21"/>
                <w:highlight w:val="none"/>
              </w:rPr>
            </w:pPr>
            <w:r>
              <w:rPr>
                <w:rFonts w:hint="eastAsia" w:ascii="宋体" w:hAnsi="Times New Roman"/>
                <w:color w:val="auto"/>
                <w:sz w:val="21"/>
                <w:szCs w:val="21"/>
                <w:highlight w:val="none"/>
              </w:rPr>
              <w:t>产地</w:t>
            </w:r>
          </w:p>
        </w:tc>
        <w:tc>
          <w:tcPr>
            <w:tcW w:w="1262" w:type="dxa"/>
            <w:noWrap w:val="0"/>
            <w:vAlign w:val="center"/>
          </w:tcPr>
          <w:p>
            <w:pPr>
              <w:pageBreakBefore w:val="0"/>
              <w:kinsoku/>
              <w:overflowPunct/>
              <w:topLinePunct w:val="0"/>
              <w:bidi w:val="0"/>
              <w:spacing w:line="240" w:lineRule="auto"/>
              <w:jc w:val="center"/>
              <w:rPr>
                <w:rFonts w:hint="default" w:ascii="宋体" w:hAnsi="Times New Roman" w:eastAsia="宋体"/>
                <w:color w:val="auto"/>
                <w:sz w:val="21"/>
                <w:szCs w:val="21"/>
                <w:highlight w:val="none"/>
                <w:lang w:val="en-US" w:eastAsia="zh-CN"/>
              </w:rPr>
            </w:pPr>
            <w:r>
              <w:rPr>
                <w:rFonts w:hint="eastAsia" w:ascii="宋体" w:hAnsi="Times New Roman"/>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24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240" w:lineRule="auto"/>
              <w:jc w:val="center"/>
              <w:rPr>
                <w:rFonts w:hint="default" w:ascii="宋体" w:hAnsi="Times New Roman" w:eastAsia="宋体"/>
                <w:color w:val="auto"/>
                <w:sz w:val="21"/>
                <w:szCs w:val="21"/>
                <w:highlight w:val="none"/>
                <w:lang w:val="en-US" w:eastAsia="zh-CN"/>
              </w:rPr>
            </w:pPr>
          </w:p>
        </w:tc>
        <w:tc>
          <w:tcPr>
            <w:tcW w:w="1583" w:type="dxa"/>
            <w:noWrap w:val="0"/>
            <w:vAlign w:val="center"/>
          </w:tcPr>
          <w:p>
            <w:pPr>
              <w:pageBreakBefore w:val="0"/>
              <w:kinsoku/>
              <w:overflowPunct/>
              <w:topLinePunct w:val="0"/>
              <w:bidi w:val="0"/>
              <w:spacing w:line="24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24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24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24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209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583"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417"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196"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c>
          <w:tcPr>
            <w:tcW w:w="1262" w:type="dxa"/>
            <w:noWrap w:val="0"/>
            <w:vAlign w:val="center"/>
          </w:tcPr>
          <w:p>
            <w:pPr>
              <w:pageBreakBefore w:val="0"/>
              <w:kinsoku/>
              <w:overflowPunct/>
              <w:topLinePunct w:val="0"/>
              <w:bidi w:val="0"/>
              <w:spacing w:line="360" w:lineRule="auto"/>
              <w:jc w:val="center"/>
              <w:rPr>
                <w:rFonts w:ascii="宋体" w:hAnsi="Times New Roman"/>
                <w:color w:val="auto"/>
                <w:sz w:val="21"/>
                <w:szCs w:val="21"/>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color w:val="auto"/>
          <w:szCs w:val="21"/>
          <w:highlight w:val="none"/>
        </w:rPr>
        <w:t>注：</w:t>
      </w:r>
      <w:r>
        <w:rPr>
          <w:rFonts w:hint="eastAsia" w:ascii="宋体"/>
          <w:color w:val="auto"/>
          <w:szCs w:val="21"/>
          <w:highlight w:val="none"/>
          <w:lang w:val="en-US" w:eastAsia="zh-CN"/>
        </w:rPr>
        <w:t>供应商</w:t>
      </w:r>
      <w:r>
        <w:rPr>
          <w:rFonts w:hint="eastAsia" w:ascii="宋体"/>
          <w:color w:val="auto"/>
          <w:szCs w:val="21"/>
          <w:highlight w:val="none"/>
        </w:rPr>
        <w:t>根据</w:t>
      </w:r>
      <w:r>
        <w:rPr>
          <w:rFonts w:hint="eastAsia" w:ascii="宋体"/>
          <w:color w:val="auto"/>
          <w:szCs w:val="21"/>
          <w:highlight w:val="none"/>
          <w:lang w:val="en-US" w:eastAsia="zh-CN"/>
        </w:rPr>
        <w:t>项目</w:t>
      </w:r>
      <w:r>
        <w:rPr>
          <w:rFonts w:hint="eastAsia" w:ascii="宋体"/>
          <w:color w:val="auto"/>
          <w:szCs w:val="21"/>
          <w:highlight w:val="none"/>
        </w:rPr>
        <w:t>实际情况</w:t>
      </w:r>
      <w:r>
        <w:rPr>
          <w:rFonts w:hint="eastAsia" w:ascii="宋体"/>
          <w:color w:val="auto"/>
          <w:szCs w:val="21"/>
          <w:highlight w:val="none"/>
          <w:lang w:val="en-US" w:eastAsia="zh-CN"/>
        </w:rPr>
        <w:t>进行</w:t>
      </w:r>
      <w:r>
        <w:rPr>
          <w:rFonts w:hint="eastAsia" w:ascii="宋体"/>
          <w:color w:val="auto"/>
          <w:szCs w:val="21"/>
          <w:highlight w:val="none"/>
        </w:rPr>
        <w:t>配备，</w:t>
      </w:r>
      <w:r>
        <w:rPr>
          <w:rFonts w:hint="eastAsia" w:ascii="宋体"/>
          <w:color w:val="auto"/>
          <w:szCs w:val="21"/>
          <w:highlight w:val="none"/>
          <w:lang w:val="en-US" w:eastAsia="zh-CN"/>
        </w:rPr>
        <w:t>并附相关证明资料，</w:t>
      </w:r>
      <w:r>
        <w:rPr>
          <w:rFonts w:hint="eastAsia" w:ascii="宋体" w:hAnsi="宋体" w:eastAsia="宋体" w:cs="宋体"/>
          <w:color w:val="auto"/>
          <w:kern w:val="0"/>
          <w:sz w:val="21"/>
          <w:szCs w:val="21"/>
          <w:highlight w:val="none"/>
        </w:rPr>
        <w:t>以便评委酌情打分</w:t>
      </w:r>
      <w:r>
        <w:rPr>
          <w:rFonts w:hint="eastAsia" w:ascii="宋体" w:hAnsi="宋体" w:eastAsia="宋体" w:cs="宋体"/>
          <w:color w:val="auto"/>
          <w:sz w:val="21"/>
          <w:szCs w:val="21"/>
          <w:highlight w:val="none"/>
        </w:rPr>
        <w:t>。</w:t>
      </w:r>
    </w:p>
    <w:p>
      <w:pPr>
        <w:adjustRightInd w:val="0"/>
        <w:snapToGrid w:val="0"/>
        <w:spacing w:line="400" w:lineRule="exact"/>
        <w:rPr>
          <w:rFonts w:hint="eastAsia" w:ascii="宋体" w:hAnsi="宋体" w:eastAsia="宋体" w:cs="宋体"/>
          <w:color w:val="auto"/>
          <w:sz w:val="21"/>
          <w:szCs w:val="21"/>
          <w:highlight w:val="none"/>
          <w:u w:val="singl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Style w:val="87"/>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pStyle w:val="56"/>
        <w:rPr>
          <w:color w:val="auto"/>
          <w:highlight w:val="none"/>
        </w:rPr>
      </w:pPr>
    </w:p>
    <w:p>
      <w:pPr>
        <w:rPr>
          <w:rFonts w:hint="eastAsia" w:hAnsi="宋体" w:cs="宋体"/>
          <w:color w:val="auto"/>
          <w:szCs w:val="21"/>
          <w:highlight w:val="none"/>
        </w:rPr>
      </w:pPr>
    </w:p>
    <w:p>
      <w:pPr>
        <w:rPr>
          <w:rStyle w:val="87"/>
          <w:rFonts w:hint="eastAsia"/>
          <w:color w:val="auto"/>
          <w:highlight w:val="none"/>
          <w:lang w:val="en-US" w:eastAsia="zh-CN"/>
        </w:rPr>
      </w:pPr>
      <w:r>
        <w:rPr>
          <w:rStyle w:val="87"/>
          <w:rFonts w:hint="eastAsia"/>
          <w:color w:val="auto"/>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Arial" w:hAnsi="Arial"/>
          <w:b/>
          <w:color w:val="auto"/>
          <w:sz w:val="32"/>
          <w:szCs w:val="32"/>
          <w:highlight w:val="none"/>
        </w:rPr>
      </w:pPr>
      <w:r>
        <w:rPr>
          <w:rStyle w:val="87"/>
          <w:rFonts w:hint="eastAsia"/>
          <w:color w:val="auto"/>
          <w:highlight w:val="none"/>
          <w:lang w:val="en-US" w:eastAsia="zh-CN"/>
        </w:rPr>
        <w:t>供应商</w:t>
      </w:r>
      <w:r>
        <w:rPr>
          <w:rStyle w:val="87"/>
          <w:rFonts w:hint="eastAsia"/>
          <w:color w:val="auto"/>
          <w:highlight w:val="none"/>
        </w:rPr>
        <w:t>业绩表</w:t>
      </w:r>
    </w:p>
    <w:p>
      <w:pPr>
        <w:spacing w:line="360" w:lineRule="auto"/>
        <w:ind w:firstLine="3089"/>
        <w:rPr>
          <w:rFonts w:ascii="Arial" w:hAnsi="Arial"/>
          <w:b/>
          <w:color w:val="auto"/>
          <w:sz w:val="24"/>
          <w:szCs w:val="21"/>
          <w:highlight w:val="none"/>
        </w:rPr>
      </w:pP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tbl>
      <w:tblPr>
        <w:tblStyle w:val="38"/>
        <w:tblW w:w="8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24"/>
        <w:gridCol w:w="1805"/>
        <w:gridCol w:w="1428"/>
        <w:gridCol w:w="2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56"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24"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805"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合同签订时间</w:t>
            </w:r>
          </w:p>
        </w:tc>
        <w:tc>
          <w:tcPr>
            <w:tcW w:w="1428"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金额</w:t>
            </w:r>
          </w:p>
        </w:tc>
        <w:tc>
          <w:tcPr>
            <w:tcW w:w="2785"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项目甲方联系人/联系电话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snapToGrid w:val="0"/>
              <w:rPr>
                <w:rFonts w:hint="eastAsia" w:ascii="宋体" w:hAnsi="宋体" w:eastAsia="宋体" w:cs="宋体"/>
                <w:color w:val="auto"/>
                <w:sz w:val="21"/>
                <w:szCs w:val="21"/>
                <w:highlight w:val="none"/>
              </w:rPr>
            </w:pPr>
          </w:p>
        </w:tc>
        <w:tc>
          <w:tcPr>
            <w:tcW w:w="1428" w:type="dxa"/>
            <w:vAlign w:val="center"/>
          </w:tcPr>
          <w:p>
            <w:pPr>
              <w:snapToGrid w:val="0"/>
              <w:rPr>
                <w:rFonts w:hint="eastAsia" w:ascii="宋体" w:hAnsi="宋体" w:eastAsia="宋体" w:cs="宋体"/>
                <w:color w:val="auto"/>
                <w:sz w:val="21"/>
                <w:szCs w:val="21"/>
                <w:highlight w:val="none"/>
              </w:rPr>
            </w:pPr>
          </w:p>
        </w:tc>
        <w:tc>
          <w:tcPr>
            <w:tcW w:w="2785" w:type="dxa"/>
            <w:vAlign w:val="center"/>
          </w:tcPr>
          <w:p>
            <w:pPr>
              <w:snapToGrid w:val="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w:t>
            </w: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snapToGrid w:val="0"/>
              <w:rPr>
                <w:rFonts w:hint="eastAsia" w:ascii="宋体" w:hAnsi="宋体" w:eastAsia="宋体" w:cs="宋体"/>
                <w:color w:val="auto"/>
                <w:sz w:val="21"/>
                <w:szCs w:val="21"/>
                <w:highlight w:val="none"/>
              </w:rPr>
            </w:pPr>
          </w:p>
        </w:tc>
        <w:tc>
          <w:tcPr>
            <w:tcW w:w="1428" w:type="dxa"/>
            <w:vAlign w:val="center"/>
          </w:tcPr>
          <w:p>
            <w:pPr>
              <w:snapToGrid w:val="0"/>
              <w:rPr>
                <w:rFonts w:hint="eastAsia" w:ascii="宋体" w:hAnsi="宋体" w:eastAsia="宋体" w:cs="宋体"/>
                <w:color w:val="auto"/>
                <w:sz w:val="21"/>
                <w:szCs w:val="21"/>
                <w:highlight w:val="none"/>
              </w:rPr>
            </w:pPr>
          </w:p>
        </w:tc>
        <w:tc>
          <w:tcPr>
            <w:tcW w:w="2785" w:type="dxa"/>
            <w:vAlign w:val="center"/>
          </w:tcPr>
          <w:p>
            <w:pPr>
              <w:snapToGrid w:val="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w:t>
            </w: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jc w:val="center"/>
              <w:rPr>
                <w:rFonts w:hint="eastAsia" w:ascii="宋体" w:hAnsi="宋体" w:eastAsia="宋体" w:cs="宋体"/>
                <w:color w:val="auto"/>
                <w:sz w:val="21"/>
                <w:szCs w:val="21"/>
                <w:highlight w:val="none"/>
              </w:rPr>
            </w:pPr>
          </w:p>
        </w:tc>
        <w:tc>
          <w:tcPr>
            <w:tcW w:w="1428" w:type="dxa"/>
            <w:vAlign w:val="center"/>
          </w:tcPr>
          <w:p>
            <w:pPr>
              <w:jc w:val="center"/>
              <w:rPr>
                <w:rFonts w:hint="eastAsia" w:ascii="宋体" w:hAnsi="宋体" w:eastAsia="宋体" w:cs="宋体"/>
                <w:color w:val="auto"/>
                <w:sz w:val="21"/>
                <w:szCs w:val="21"/>
                <w:highlight w:val="none"/>
              </w:rPr>
            </w:pPr>
          </w:p>
        </w:tc>
        <w:tc>
          <w:tcPr>
            <w:tcW w:w="2785"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w:t>
            </w: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snapToGrid w:val="0"/>
              <w:rPr>
                <w:rFonts w:hint="eastAsia" w:ascii="宋体" w:hAnsi="宋体" w:eastAsia="宋体" w:cs="宋体"/>
                <w:color w:val="auto"/>
                <w:sz w:val="21"/>
                <w:szCs w:val="21"/>
                <w:highlight w:val="none"/>
              </w:rPr>
            </w:pPr>
          </w:p>
        </w:tc>
        <w:tc>
          <w:tcPr>
            <w:tcW w:w="1428" w:type="dxa"/>
            <w:vAlign w:val="center"/>
          </w:tcPr>
          <w:p>
            <w:pPr>
              <w:spacing w:line="300" w:lineRule="exact"/>
              <w:rPr>
                <w:rFonts w:hint="eastAsia" w:ascii="宋体" w:hAnsi="宋体" w:eastAsia="宋体" w:cs="宋体"/>
                <w:color w:val="auto"/>
                <w:sz w:val="21"/>
                <w:szCs w:val="21"/>
                <w:highlight w:val="none"/>
              </w:rPr>
            </w:pPr>
          </w:p>
        </w:tc>
        <w:tc>
          <w:tcPr>
            <w:tcW w:w="2785" w:type="dxa"/>
            <w:vAlign w:val="center"/>
          </w:tcPr>
          <w:p>
            <w:pPr>
              <w:spacing w:line="300" w:lineRule="exact"/>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snapToGrid w:val="0"/>
              <w:rPr>
                <w:rFonts w:hint="eastAsia" w:ascii="宋体" w:hAnsi="宋体" w:eastAsia="宋体" w:cs="宋体"/>
                <w:color w:val="auto"/>
                <w:sz w:val="21"/>
                <w:szCs w:val="21"/>
                <w:highlight w:val="none"/>
              </w:rPr>
            </w:pPr>
          </w:p>
        </w:tc>
        <w:tc>
          <w:tcPr>
            <w:tcW w:w="1428" w:type="dxa"/>
            <w:vAlign w:val="center"/>
          </w:tcPr>
          <w:p>
            <w:pPr>
              <w:spacing w:line="300" w:lineRule="exact"/>
              <w:rPr>
                <w:rFonts w:hint="eastAsia" w:ascii="宋体" w:hAnsi="宋体" w:eastAsia="宋体" w:cs="宋体"/>
                <w:color w:val="auto"/>
                <w:sz w:val="21"/>
                <w:szCs w:val="21"/>
                <w:highlight w:val="none"/>
              </w:rPr>
            </w:pPr>
          </w:p>
        </w:tc>
        <w:tc>
          <w:tcPr>
            <w:tcW w:w="2785" w:type="dxa"/>
            <w:vAlign w:val="center"/>
          </w:tcPr>
          <w:p>
            <w:pPr>
              <w:spacing w:line="300" w:lineRule="exact"/>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snapToGrid w:val="0"/>
              <w:rPr>
                <w:rFonts w:hint="eastAsia" w:ascii="宋体" w:hAnsi="宋体" w:eastAsia="宋体" w:cs="宋体"/>
                <w:color w:val="auto"/>
                <w:sz w:val="21"/>
                <w:szCs w:val="21"/>
                <w:highlight w:val="none"/>
              </w:rPr>
            </w:pPr>
          </w:p>
        </w:tc>
        <w:tc>
          <w:tcPr>
            <w:tcW w:w="1428" w:type="dxa"/>
            <w:vAlign w:val="center"/>
          </w:tcPr>
          <w:p>
            <w:pPr>
              <w:spacing w:line="300" w:lineRule="exact"/>
              <w:rPr>
                <w:rFonts w:hint="eastAsia" w:ascii="宋体" w:hAnsi="宋体" w:eastAsia="宋体" w:cs="宋体"/>
                <w:color w:val="auto"/>
                <w:sz w:val="21"/>
                <w:szCs w:val="21"/>
                <w:highlight w:val="none"/>
              </w:rPr>
            </w:pPr>
          </w:p>
        </w:tc>
        <w:tc>
          <w:tcPr>
            <w:tcW w:w="2785" w:type="dxa"/>
            <w:vAlign w:val="center"/>
          </w:tcPr>
          <w:p>
            <w:pPr>
              <w:spacing w:line="300" w:lineRule="exact"/>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jc w:val="center"/>
              <w:rPr>
                <w:rFonts w:hint="eastAsia" w:ascii="宋体" w:hAnsi="宋体" w:eastAsia="宋体" w:cs="宋体"/>
                <w:color w:val="auto"/>
                <w:sz w:val="21"/>
                <w:szCs w:val="21"/>
                <w:highlight w:val="none"/>
              </w:rPr>
            </w:pPr>
          </w:p>
        </w:tc>
        <w:tc>
          <w:tcPr>
            <w:tcW w:w="1428" w:type="dxa"/>
            <w:vAlign w:val="center"/>
          </w:tcPr>
          <w:p>
            <w:pPr>
              <w:jc w:val="center"/>
              <w:rPr>
                <w:rFonts w:hint="eastAsia" w:ascii="宋体" w:hAnsi="宋体" w:eastAsia="宋体" w:cs="宋体"/>
                <w:color w:val="auto"/>
                <w:sz w:val="21"/>
                <w:szCs w:val="21"/>
                <w:highlight w:val="none"/>
              </w:rPr>
            </w:pPr>
          </w:p>
        </w:tc>
        <w:tc>
          <w:tcPr>
            <w:tcW w:w="2785"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6" w:type="dxa"/>
            <w:vAlign w:val="center"/>
          </w:tcPr>
          <w:p>
            <w:pPr>
              <w:tabs>
                <w:tab w:val="center" w:pos="4410"/>
              </w:tabs>
              <w:spacing w:beforeLines="50" w:line="360" w:lineRule="auto"/>
              <w:jc w:val="center"/>
              <w:rPr>
                <w:rFonts w:hint="eastAsia" w:ascii="宋体" w:hAnsi="宋体" w:eastAsia="宋体" w:cs="宋体"/>
                <w:color w:val="auto"/>
                <w:spacing w:val="-4"/>
                <w:sz w:val="21"/>
                <w:szCs w:val="21"/>
                <w:highlight w:val="none"/>
              </w:rPr>
            </w:pPr>
          </w:p>
        </w:tc>
        <w:tc>
          <w:tcPr>
            <w:tcW w:w="1524" w:type="dxa"/>
            <w:vAlign w:val="center"/>
          </w:tcPr>
          <w:p>
            <w:pPr>
              <w:spacing w:line="300" w:lineRule="exact"/>
              <w:rPr>
                <w:rFonts w:hint="eastAsia" w:ascii="宋体" w:hAnsi="宋体" w:eastAsia="宋体" w:cs="宋体"/>
                <w:color w:val="auto"/>
                <w:sz w:val="21"/>
                <w:szCs w:val="21"/>
                <w:highlight w:val="none"/>
              </w:rPr>
            </w:pPr>
          </w:p>
        </w:tc>
        <w:tc>
          <w:tcPr>
            <w:tcW w:w="1805" w:type="dxa"/>
            <w:vAlign w:val="center"/>
          </w:tcPr>
          <w:p>
            <w:pPr>
              <w:jc w:val="center"/>
              <w:rPr>
                <w:rFonts w:hint="eastAsia" w:ascii="宋体" w:hAnsi="宋体" w:eastAsia="宋体" w:cs="宋体"/>
                <w:color w:val="auto"/>
                <w:sz w:val="21"/>
                <w:szCs w:val="21"/>
                <w:highlight w:val="none"/>
              </w:rPr>
            </w:pPr>
          </w:p>
        </w:tc>
        <w:tc>
          <w:tcPr>
            <w:tcW w:w="1428" w:type="dxa"/>
            <w:vAlign w:val="center"/>
          </w:tcPr>
          <w:p>
            <w:pPr>
              <w:jc w:val="center"/>
              <w:rPr>
                <w:rFonts w:hint="eastAsia" w:ascii="宋体" w:hAnsi="宋体" w:eastAsia="宋体" w:cs="宋体"/>
                <w:color w:val="auto"/>
                <w:sz w:val="21"/>
                <w:szCs w:val="21"/>
                <w:highlight w:val="none"/>
              </w:rPr>
            </w:pPr>
          </w:p>
        </w:tc>
        <w:tc>
          <w:tcPr>
            <w:tcW w:w="2785" w:type="dxa"/>
            <w:vAlign w:val="center"/>
          </w:tcPr>
          <w:p>
            <w:pPr>
              <w:jc w:val="center"/>
              <w:rPr>
                <w:rFonts w:hint="eastAsia" w:ascii="宋体" w:hAnsi="宋体" w:eastAsia="宋体" w:cs="宋体"/>
                <w:color w:val="auto"/>
                <w:sz w:val="21"/>
                <w:szCs w:val="21"/>
                <w:highlight w:val="none"/>
              </w:rPr>
            </w:pPr>
          </w:p>
        </w:tc>
      </w:tr>
    </w:tbl>
    <w:p>
      <w:pPr>
        <w:tabs>
          <w:tab w:val="center" w:pos="4410"/>
        </w:tabs>
        <w:spacing w:beforeLines="50" w:line="36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注：本表后附评标细则</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如有</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要求提供的证明资料。</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pStyle w:val="11"/>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Ansi="宋体" w:cs="宋体"/>
          <w:b/>
          <w:color w:val="auto"/>
          <w:sz w:val="32"/>
          <w:szCs w:val="32"/>
          <w:highlight w:val="none"/>
        </w:rPr>
      </w:pPr>
      <w:r>
        <w:rPr>
          <w:rFonts w:hint="eastAsia" w:hAnsi="宋体" w:cs="宋体"/>
          <w:color w:val="auto"/>
          <w:szCs w:val="21"/>
          <w:highlight w:val="none"/>
        </w:rPr>
        <w:br w:type="page"/>
      </w:r>
      <w:r>
        <w:rPr>
          <w:rStyle w:val="87"/>
          <w:rFonts w:hint="eastAsia"/>
          <w:color w:val="auto"/>
          <w:highlight w:val="none"/>
        </w:rPr>
        <w:t>投标函</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致</w:t>
      </w:r>
      <w:r>
        <w:rPr>
          <w:rFonts w:hint="eastAsia" w:ascii="宋体" w:hAnsi="宋体" w:eastAsia="宋体" w:cs="宋体"/>
          <w:color w:val="auto"/>
          <w:sz w:val="21"/>
          <w:szCs w:val="21"/>
          <w:highlight w:val="none"/>
          <w:u w:val="single"/>
        </w:rPr>
        <w:t xml:space="preserve">（采购人）  </w:t>
      </w:r>
      <w:r>
        <w:rPr>
          <w:rFonts w:hint="eastAsia" w:ascii="宋体" w:hAnsi="宋体" w:eastAsia="宋体" w:cs="宋体"/>
          <w:color w:val="auto"/>
          <w:sz w:val="21"/>
          <w:szCs w:val="21"/>
          <w:highlight w:val="none"/>
        </w:rPr>
        <w:t>：</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（供应商全称）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（全权代表姓名）</w:t>
      </w:r>
      <w:r>
        <w:rPr>
          <w:rFonts w:hint="eastAsia" w:ascii="宋体" w:hAnsi="宋体" w:eastAsia="宋体" w:cs="宋体"/>
          <w:color w:val="auto"/>
          <w:sz w:val="21"/>
          <w:szCs w:val="21"/>
          <w:highlight w:val="none"/>
        </w:rPr>
        <w:t>为本公司（单位）合法代理人，参加贵方组织的</w:t>
      </w:r>
      <w:r>
        <w:rPr>
          <w:rFonts w:hint="eastAsia" w:ascii="宋体" w:hAnsi="宋体" w:eastAsia="宋体" w:cs="宋体"/>
          <w:color w:val="auto"/>
          <w:sz w:val="21"/>
          <w:szCs w:val="21"/>
          <w:highlight w:val="none"/>
          <w:u w:val="single"/>
        </w:rPr>
        <w:t>（</w:t>
      </w:r>
      <w:r>
        <w:rPr>
          <w:rFonts w:hint="eastAsia" w:hAnsi="宋体" w:cs="宋体"/>
          <w:color w:val="auto"/>
          <w:sz w:val="21"/>
          <w:szCs w:val="21"/>
          <w:highlight w:val="none"/>
          <w:u w:val="single"/>
          <w:lang w:eastAsia="zh-CN"/>
        </w:rPr>
        <w:t>项目编号</w:t>
      </w:r>
      <w:r>
        <w:rPr>
          <w:rFonts w:hint="eastAsia" w:ascii="宋体" w:hAnsi="宋体" w:eastAsia="宋体" w:cs="宋体"/>
          <w:color w:val="auto"/>
          <w:sz w:val="21"/>
          <w:szCs w:val="21"/>
          <w:highlight w:val="none"/>
          <w:u w:val="single"/>
        </w:rPr>
        <w:t xml:space="preserve">、项目名称）  </w:t>
      </w:r>
      <w:r>
        <w:rPr>
          <w:rFonts w:hint="eastAsia" w:ascii="宋体" w:hAnsi="宋体" w:eastAsia="宋体" w:cs="宋体"/>
          <w:color w:val="auto"/>
          <w:sz w:val="21"/>
          <w:szCs w:val="21"/>
          <w:highlight w:val="none"/>
        </w:rPr>
        <w:t>招投标活动，代表本公司（单位）处理招投标活动中的一切事宜，为对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进行投标，在此：</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1、提供招标文件中“投标须知”规定的全部投标文件。 </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2、据此函，签字代表宣布并承诺如下：</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hAnsi="宋体" w:cs="宋体"/>
          <w:color w:val="auto"/>
          <w:sz w:val="21"/>
          <w:szCs w:val="21"/>
          <w:highlight w:val="none"/>
          <w:lang w:val="en-US" w:eastAsia="zh-CN"/>
        </w:rPr>
        <w:t>总</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hAnsi="宋体" w:cs="宋体"/>
          <w:color w:val="auto"/>
          <w:sz w:val="21"/>
          <w:szCs w:val="21"/>
          <w:highlight w:val="none"/>
          <w:lang w:val="en-US" w:eastAsia="zh-CN"/>
        </w:rPr>
        <w:t>/年</w:t>
      </w:r>
      <w:r>
        <w:rPr>
          <w:rFonts w:hint="eastAsia" w:ascii="宋体" w:hAnsi="宋体" w:eastAsia="宋体" w:cs="宋体"/>
          <w:color w:val="auto"/>
          <w:sz w:val="21"/>
          <w:szCs w:val="21"/>
          <w:highlight w:val="none"/>
        </w:rPr>
        <w:t>。</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本报价已经包含了所提供服务应纳的税金及招标文件规定的报价方式应包含的其它费用。本报价在投标有效期内固定不变，并在合同有效期内不受市场价变化、不受实际工作量变化及利率波动的影响。</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3、本投标自投标截止之日起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天内有效。</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4、我们已详细审查全部招标文件及有关的澄清/修改文件(若有的话)，我们完全理解并同意放弃对这方面提出任何异议的权利。保证遵守招标文件有关条款规定。</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5、保证遵守招标文件有关条款规定。</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6、保证在中标后忠实地执行与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所签署的合同，并承担合同规定的责任义务。保证在中标后按照招标文件的规定支付中标服务费。</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7、承诺应贵方要求提供任何与该项目投标有关的数据、情况和技术资料。</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8、与本投标有关的一切往来通讯请寄：</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p>
    <w:p>
      <w:pPr>
        <w:pStyle w:val="11"/>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rPr>
          <w:rFonts w:hint="eastAsia" w:ascii="宋体" w:hAnsi="宋体" w:eastAsia="宋体" w:cs="宋体"/>
          <w:color w:val="auto"/>
          <w:sz w:val="21"/>
          <w:szCs w:val="21"/>
          <w:highlight w:val="none"/>
        </w:rPr>
      </w:pPr>
    </w:p>
    <w:p>
      <w:pPr>
        <w:pStyle w:val="11"/>
        <w:keepNext w:val="0"/>
        <w:keepLines w:val="0"/>
        <w:pageBreakBefore w:val="0"/>
        <w:widowControl/>
        <w:kinsoku/>
        <w:wordWrap/>
        <w:overflowPunct/>
        <w:topLinePunct w:val="0"/>
        <w:autoSpaceDE/>
        <w:autoSpaceDN/>
        <w:bidi w:val="0"/>
        <w:adjustRightInd/>
        <w:snapToGrid/>
        <w:spacing w:line="360" w:lineRule="auto"/>
        <w:ind w:left="0" w:leftChars="0"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keepNext w:val="0"/>
        <w:keepLines w:val="0"/>
        <w:pageBreakBefore w:val="0"/>
        <w:widowControl/>
        <w:kinsoku/>
        <w:wordWrap/>
        <w:overflowPunct/>
        <w:topLinePunct w:val="0"/>
        <w:autoSpaceDE/>
        <w:autoSpaceDN/>
        <w:bidi w:val="0"/>
        <w:adjustRightInd/>
        <w:snapToGrid/>
        <w:spacing w:line="360" w:lineRule="auto"/>
        <w:ind w:left="0" w:leftChars="0" w:right="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keepNext w:val="0"/>
        <w:keepLines w:val="0"/>
        <w:pageBreakBefore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pStyle w:val="84"/>
        <w:keepNext w:val="0"/>
        <w:keepLines w:val="0"/>
        <w:pageBreakBefore w:val="0"/>
        <w:widowControl w:val="0"/>
        <w:tabs>
          <w:tab w:val="left" w:pos="420"/>
        </w:tabs>
        <w:kinsoku/>
        <w:wordWrap/>
        <w:overflowPunct/>
        <w:topLinePunct w:val="0"/>
        <w:autoSpaceDE/>
        <w:autoSpaceDN/>
        <w:bidi w:val="0"/>
        <w:adjustRightInd w:val="0"/>
        <w:snapToGrid w:val="0"/>
        <w:textAlignment w:val="auto"/>
        <w:outlineLvl w:val="2"/>
        <w:rPr>
          <w:rFonts w:hint="eastAsia" w:ascii="宋体" w:hAnsi="宋体" w:eastAsia="宋体" w:cs="宋体"/>
          <w:b/>
          <w:color w:val="auto"/>
          <w:sz w:val="30"/>
          <w:szCs w:val="30"/>
          <w:highlight w:val="none"/>
          <w:lang w:val="en-US" w:eastAsia="zh-CN"/>
        </w:rPr>
      </w:pPr>
      <w:r>
        <w:rPr>
          <w:rFonts w:hint="eastAsia" w:ascii="宋体" w:hAnsi="宋体"/>
          <w:b w:val="0"/>
          <w:color w:val="auto"/>
          <w:sz w:val="22"/>
          <w:szCs w:val="22"/>
          <w:highlight w:val="none"/>
        </w:rPr>
        <w:br w:type="page"/>
      </w:r>
      <w:bookmarkStart w:id="29" w:name="_Toc31603"/>
      <w:bookmarkStart w:id="30" w:name="_Toc29085"/>
      <w:r>
        <w:rPr>
          <w:rStyle w:val="87"/>
          <w:rFonts w:hint="eastAsia"/>
          <w:b/>
          <w:color w:val="auto"/>
          <w:highlight w:val="none"/>
          <w:lang w:val="en-US" w:eastAsia="zh-CN"/>
        </w:rPr>
        <w:t>开标一览表</w:t>
      </w:r>
      <w:bookmarkEnd w:id="29"/>
      <w:bookmarkEnd w:id="30"/>
    </w:p>
    <w:p>
      <w:pPr>
        <w:spacing w:beforeLines="10"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致：</w:t>
      </w:r>
      <w:r>
        <w:rPr>
          <w:rFonts w:hint="eastAsia" w:ascii="宋体" w:hAnsi="宋体" w:eastAsia="宋体" w:cs="宋体"/>
          <w:b/>
          <w:color w:val="auto"/>
          <w:sz w:val="21"/>
          <w:szCs w:val="21"/>
          <w:highlight w:val="none"/>
          <w:u w:val="single"/>
        </w:rPr>
        <w:t>（采购人）</w:t>
      </w:r>
    </w:p>
    <w:p>
      <w:pPr>
        <w:spacing w:beforeLines="10" w:line="360" w:lineRule="auto"/>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按你方采购文件要求，我们本投标文件签字方，谨此向你方发出要约如下：如你方接受本投标文件，我方承诺按照如下开标一览表的价格完成【项目名称：</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】实施。</w:t>
      </w:r>
    </w:p>
    <w:tbl>
      <w:tblPr>
        <w:tblStyle w:val="38"/>
        <w:tblW w:w="8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19" w:type="dxa"/>
            <w:tcBorders>
              <w:top w:val="double" w:color="auto" w:sz="4" w:space="0"/>
              <w:left w:val="double" w:color="auto" w:sz="4" w:space="0"/>
              <w:bottom w:val="double" w:color="auto" w:sz="4" w:space="0"/>
            </w:tcBorders>
            <w:noWrap/>
            <w:vAlign w:val="center"/>
          </w:tcPr>
          <w:p>
            <w:pPr>
              <w:pStyle w:val="11"/>
              <w:widowControl/>
              <w:spacing w:line="400" w:lineRule="exact"/>
              <w:ind w:firstLine="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采购内容</w:t>
            </w:r>
          </w:p>
        </w:tc>
        <w:tc>
          <w:tcPr>
            <w:tcW w:w="6588" w:type="dxa"/>
            <w:tcBorders>
              <w:top w:val="double" w:color="auto" w:sz="4" w:space="0"/>
              <w:bottom w:val="double" w:color="auto" w:sz="4" w:space="0"/>
              <w:right w:val="double" w:color="auto" w:sz="4" w:space="0"/>
            </w:tcBorders>
            <w:noWrap/>
            <w:vAlign w:val="center"/>
          </w:tcPr>
          <w:p>
            <w:pPr>
              <w:pStyle w:val="11"/>
              <w:widowControl/>
              <w:spacing w:line="400" w:lineRule="exact"/>
              <w:ind w:firstLine="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投标</w:t>
            </w:r>
            <w:r>
              <w:rPr>
                <w:rFonts w:hint="eastAsia" w:ascii="宋体" w:hAnsi="宋体" w:eastAsia="宋体" w:cs="宋体"/>
                <w:b/>
                <w:bCs/>
                <w:color w:val="auto"/>
                <w:sz w:val="21"/>
                <w:szCs w:val="21"/>
                <w:highlight w:val="none"/>
                <w:lang w:val="en-US" w:eastAsia="zh-CN"/>
              </w:rPr>
              <w:t>总</w:t>
            </w:r>
            <w:r>
              <w:rPr>
                <w:rFonts w:hint="eastAsia" w:ascii="宋体" w:hAnsi="宋体" w:eastAsia="宋体" w:cs="宋体"/>
                <w:b/>
                <w:bCs/>
                <w:color w:val="auto"/>
                <w:sz w:val="21"/>
                <w:szCs w:val="21"/>
                <w:highlight w:val="none"/>
              </w:rPr>
              <w:t>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元</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1819" w:type="dxa"/>
            <w:tcBorders>
              <w:top w:val="double" w:color="auto" w:sz="4" w:space="0"/>
              <w:left w:val="double" w:color="auto" w:sz="4" w:space="0"/>
              <w:bottom w:val="double" w:color="auto" w:sz="4" w:space="0"/>
            </w:tcBorders>
            <w:noWrap/>
            <w:vAlign w:val="center"/>
          </w:tcPr>
          <w:p>
            <w:pPr>
              <w:pStyle w:val="11"/>
              <w:widowControl/>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w:t>
            </w:r>
            <w:r>
              <w:rPr>
                <w:rFonts w:hint="eastAsia" w:ascii="宋体" w:hAnsi="宋体" w:eastAsia="宋体" w:cs="宋体"/>
                <w:b/>
                <w:bCs/>
                <w:color w:val="auto"/>
                <w:sz w:val="21"/>
                <w:szCs w:val="21"/>
                <w:highlight w:val="none"/>
                <w:lang w:val="en-US" w:eastAsia="zh-CN"/>
              </w:rPr>
              <w:t>总</w:t>
            </w:r>
            <w:r>
              <w:rPr>
                <w:rFonts w:hint="eastAsia" w:ascii="宋体" w:hAnsi="宋体" w:eastAsia="宋体" w:cs="宋体"/>
                <w:b/>
                <w:bCs/>
                <w:color w:val="auto"/>
                <w:sz w:val="21"/>
                <w:szCs w:val="21"/>
                <w:highlight w:val="none"/>
              </w:rPr>
              <w:t>报价</w:t>
            </w:r>
          </w:p>
        </w:tc>
        <w:tc>
          <w:tcPr>
            <w:tcW w:w="6588" w:type="dxa"/>
            <w:tcBorders>
              <w:top w:val="double" w:color="auto" w:sz="4" w:space="0"/>
              <w:bottom w:val="double" w:color="auto" w:sz="4" w:space="0"/>
              <w:right w:val="double" w:color="auto" w:sz="4" w:space="0"/>
            </w:tcBorders>
            <w:noWrap/>
            <w:vAlign w:val="center"/>
          </w:tcPr>
          <w:p>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/年</w:t>
            </w:r>
          </w:p>
          <w:p>
            <w:pPr>
              <w:pStyle w:val="11"/>
              <w:widowControl/>
              <w:spacing w:line="40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w:t>
            </w:r>
            <w:r>
              <w:rPr>
                <w:rFonts w:hint="eastAsia" w:ascii="宋体" w:hAnsi="宋体" w:eastAsia="宋体" w:cs="宋体"/>
                <w:color w:val="auto"/>
                <w:sz w:val="21"/>
                <w:szCs w:val="21"/>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819" w:type="dxa"/>
            <w:tcBorders>
              <w:top w:val="double" w:color="auto" w:sz="4" w:space="0"/>
              <w:left w:val="double" w:color="auto" w:sz="4" w:space="0"/>
              <w:bottom w:val="double" w:color="auto" w:sz="4" w:space="0"/>
            </w:tcBorders>
            <w:noWrap/>
            <w:vAlign w:val="center"/>
          </w:tcPr>
          <w:p>
            <w:pPr>
              <w:pStyle w:val="11"/>
              <w:widowControl/>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服务期限</w:t>
            </w:r>
          </w:p>
        </w:tc>
        <w:tc>
          <w:tcPr>
            <w:tcW w:w="6588" w:type="dxa"/>
            <w:tcBorders>
              <w:top w:val="double" w:color="auto" w:sz="4" w:space="0"/>
              <w:bottom w:val="double" w:color="auto" w:sz="4" w:space="0"/>
              <w:right w:val="double" w:color="auto" w:sz="4" w:space="0"/>
            </w:tcBorders>
            <w:noWrap/>
            <w:vAlign w:val="center"/>
          </w:tcPr>
          <w:p>
            <w:pPr>
              <w:pStyle w:val="11"/>
              <w:widowControl/>
              <w:spacing w:line="400" w:lineRule="exact"/>
              <w:ind w:firstLine="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819" w:type="dxa"/>
            <w:tcBorders>
              <w:top w:val="double" w:color="auto" w:sz="4" w:space="0"/>
              <w:left w:val="double" w:color="auto" w:sz="4" w:space="0"/>
            </w:tcBorders>
            <w:noWrap/>
            <w:vAlign w:val="center"/>
          </w:tcPr>
          <w:p>
            <w:pPr>
              <w:pStyle w:val="11"/>
              <w:widowControl/>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投标声明</w:t>
            </w:r>
          </w:p>
        </w:tc>
        <w:tc>
          <w:tcPr>
            <w:tcW w:w="6588" w:type="dxa"/>
            <w:tcBorders>
              <w:top w:val="double" w:color="auto" w:sz="4" w:space="0"/>
              <w:right w:val="double" w:color="auto" w:sz="4" w:space="0"/>
            </w:tcBorders>
            <w:noWrap/>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若无填“/”即可</w:t>
            </w:r>
          </w:p>
        </w:tc>
      </w:tr>
    </w:tbl>
    <w:p>
      <w:pPr>
        <w:pStyle w:val="1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4"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 1、报价一经涂改，应在涂改处加盖单位公章或者由法定代表人或授权代表签名或盖章，否则其投标作无效标处理。</w:t>
      </w:r>
    </w:p>
    <w:p>
      <w:pPr>
        <w:pStyle w:val="1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4"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2、投标报价已已包含完成本服务所需的所有费用，包括但不限于：人员基本工资、社保、岗位津贴等各类福利和补贴（如加班补贴、高温补贴、早餐补贴等）的缴纳，</w:t>
      </w:r>
      <w:r>
        <w:rPr>
          <w:rFonts w:hint="eastAsia" w:hAnsi="宋体" w:cs="宋体"/>
          <w:b w:val="0"/>
          <w:bCs w:val="0"/>
          <w:color w:val="auto"/>
          <w:sz w:val="21"/>
          <w:szCs w:val="21"/>
          <w:highlight w:val="none"/>
          <w:lang w:val="en-US" w:eastAsia="zh-CN"/>
        </w:rPr>
        <w:t>住宿费</w:t>
      </w:r>
      <w:r>
        <w:rPr>
          <w:rFonts w:hint="eastAsia" w:ascii="宋体" w:hAnsi="宋体" w:eastAsia="宋体" w:cs="宋体"/>
          <w:b w:val="0"/>
          <w:bCs w:val="0"/>
          <w:color w:val="auto"/>
          <w:sz w:val="21"/>
          <w:szCs w:val="21"/>
          <w:highlight w:val="none"/>
          <w:lang w:val="en-US" w:eastAsia="zh-CN"/>
        </w:rPr>
        <w:t>、各种保险及处理一切伤亡事故等费用，人员</w:t>
      </w:r>
      <w:r>
        <w:rPr>
          <w:rFonts w:hint="eastAsia" w:hAnsi="宋体" w:cs="宋体"/>
          <w:b w:val="0"/>
          <w:bCs w:val="0"/>
          <w:color w:val="auto"/>
          <w:sz w:val="21"/>
          <w:szCs w:val="21"/>
          <w:highlight w:val="none"/>
          <w:lang w:val="en-US" w:eastAsia="zh-CN"/>
        </w:rPr>
        <w:t>各季节工作服的</w:t>
      </w:r>
      <w:r>
        <w:rPr>
          <w:rFonts w:hint="eastAsia" w:ascii="宋体" w:hAnsi="宋体" w:eastAsia="宋体" w:cs="宋体"/>
          <w:b w:val="0"/>
          <w:bCs w:val="0"/>
          <w:color w:val="auto"/>
          <w:sz w:val="21"/>
          <w:szCs w:val="21"/>
          <w:highlight w:val="none"/>
          <w:lang w:val="en-US" w:eastAsia="zh-CN"/>
        </w:rPr>
        <w:t>配置，人员所使用作业工具等各类耗材费，设施设备管理维护费用，税金、利润及其他与本次服务相关的一切费用，</w:t>
      </w:r>
      <w:r>
        <w:rPr>
          <w:rFonts w:hint="eastAsia"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不再另行支付其他费用。供应商少报或漏报的工作量，采购人将视为已包含在投标总价中，并不予调整。</w:t>
      </w:r>
    </w:p>
    <w:p>
      <w:pPr>
        <w:pStyle w:val="1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4"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3、投标总价建议四舍五入保留至整数位。</w:t>
      </w:r>
    </w:p>
    <w:p>
      <w:pPr>
        <w:pStyle w:val="11"/>
        <w:widowControl/>
        <w:spacing w:line="360" w:lineRule="auto"/>
        <w:ind w:firstLine="4848" w:firstLineChars="2400"/>
        <w:jc w:val="left"/>
        <w:rPr>
          <w:rFonts w:hint="eastAsia" w:ascii="宋体" w:hAnsi="宋体" w:eastAsia="宋体" w:cs="宋体"/>
          <w:color w:val="auto"/>
          <w:sz w:val="21"/>
          <w:szCs w:val="21"/>
          <w:highlight w:val="none"/>
        </w:rPr>
      </w:pPr>
    </w:p>
    <w:p>
      <w:pPr>
        <w:pStyle w:val="11"/>
        <w:widowControl/>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360" w:lineRule="auto"/>
        <w:ind w:right="1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jc w:val="center"/>
        <w:textAlignment w:val="auto"/>
        <w:outlineLvl w:val="2"/>
        <w:rPr>
          <w:rStyle w:val="87"/>
          <w:rFonts w:hint="eastAsia" w:ascii="Times New Roman" w:hAnsi="Times New Roman" w:eastAsia="宋体" w:cs="Times New Roman"/>
          <w:color w:val="auto"/>
          <w:highlight w:val="none"/>
          <w:lang w:eastAsia="zh-CN"/>
        </w:rPr>
      </w:pPr>
      <w:r>
        <w:rPr>
          <w:rFonts w:hint="eastAsia" w:ascii="宋体" w:hAnsi="宋体" w:eastAsia="宋体" w:cs="宋体"/>
          <w:b/>
          <w:color w:val="auto"/>
          <w:sz w:val="22"/>
          <w:szCs w:val="22"/>
          <w:highlight w:val="none"/>
        </w:rPr>
        <w:br w:type="page"/>
      </w:r>
      <w:r>
        <w:rPr>
          <w:rStyle w:val="87"/>
          <w:rFonts w:hint="eastAsia" w:cs="Times New Roman"/>
          <w:color w:val="auto"/>
          <w:highlight w:val="none"/>
          <w:lang w:val="en-US" w:eastAsia="zh-CN"/>
        </w:rPr>
        <w:t>投标</w:t>
      </w:r>
      <w:r>
        <w:rPr>
          <w:rStyle w:val="87"/>
          <w:rFonts w:hint="eastAsia" w:ascii="Times New Roman" w:hAnsi="Times New Roman" w:eastAsia="宋体" w:cs="Times New Roman"/>
          <w:color w:val="auto"/>
          <w:highlight w:val="none"/>
          <w:lang w:eastAsia="zh-CN"/>
        </w:rPr>
        <w:t>报价表</w:t>
      </w:r>
    </w:p>
    <w:p>
      <w:pPr>
        <w:keepNext w:val="0"/>
        <w:keepLines w:val="0"/>
        <w:pageBreakBefore w:val="0"/>
        <w:widowControl w:val="0"/>
        <w:kinsoku/>
        <w:wordWrap/>
        <w:overflowPunct/>
        <w:topLinePunct w:val="0"/>
        <w:autoSpaceDE/>
        <w:autoSpaceDN/>
        <w:bidi w:val="0"/>
        <w:adjustRightInd/>
        <w:snapToGrid/>
        <w:jc w:val="both"/>
        <w:textAlignment w:val="auto"/>
        <w:outlineLvl w:val="9"/>
        <w:rPr>
          <w:rStyle w:val="87"/>
          <w:rFonts w:hint="eastAsia" w:ascii="Times New Roman" w:hAnsi="Times New Roman" w:eastAsia="宋体" w:cs="Times New Roman"/>
          <w:color w:val="auto"/>
          <w:highlight w:val="none"/>
          <w:lang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pPr>
        <w:pStyle w:val="11"/>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p>
    <w:p>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货币单位：人民币元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978"/>
        <w:gridCol w:w="981"/>
        <w:gridCol w:w="112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double" w:color="auto" w:sz="4" w:space="0"/>
              <w:left w:val="double" w:color="auto" w:sz="4" w:space="0"/>
              <w:bottom w:val="double" w:color="auto" w:sz="4" w:space="0"/>
              <w:right w:val="single" w:color="auto" w:sz="4" w:space="0"/>
            </w:tcBorders>
            <w:noWrap w:val="0"/>
            <w:vAlign w:val="center"/>
          </w:tcPr>
          <w:p>
            <w:pPr>
              <w:pStyle w:val="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978" w:type="dxa"/>
            <w:tcBorders>
              <w:top w:val="double" w:color="auto" w:sz="4" w:space="0"/>
              <w:left w:val="single" w:color="auto" w:sz="4" w:space="0"/>
              <w:bottom w:val="doub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981" w:type="dxa"/>
            <w:tcBorders>
              <w:top w:val="double" w:color="auto" w:sz="4" w:space="0"/>
              <w:left w:val="single" w:color="auto" w:sz="4" w:space="0"/>
              <w:bottom w:val="doub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数量</w:t>
            </w:r>
          </w:p>
        </w:tc>
        <w:tc>
          <w:tcPr>
            <w:tcW w:w="1124" w:type="dxa"/>
            <w:tcBorders>
              <w:top w:val="double" w:color="auto" w:sz="4" w:space="0"/>
              <w:left w:val="single" w:color="auto" w:sz="4" w:space="0"/>
              <w:bottom w:val="doub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240" w:type="dxa"/>
            <w:tcBorders>
              <w:top w:val="double" w:color="auto" w:sz="4" w:space="0"/>
              <w:left w:val="single" w:color="auto" w:sz="4" w:space="0"/>
              <w:bottom w:val="double" w:color="auto" w:sz="4" w:space="0"/>
              <w:right w:val="doub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doub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978" w:type="dxa"/>
            <w:tcBorders>
              <w:top w:val="doub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项目负责人费用</w:t>
            </w:r>
          </w:p>
        </w:tc>
        <w:tc>
          <w:tcPr>
            <w:tcW w:w="981" w:type="dxa"/>
            <w:tcBorders>
              <w:top w:val="doub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1124" w:type="dxa"/>
            <w:tcBorders>
              <w:top w:val="doub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240" w:type="dxa"/>
            <w:tcBorders>
              <w:top w:val="doub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人员费用</w:t>
            </w:r>
          </w:p>
        </w:tc>
        <w:tc>
          <w:tcPr>
            <w:tcW w:w="9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240"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pStyle w:val="4"/>
              <w:bidi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lang w:val="zh-CN" w:eastAsia="zh-CN" w:bidi="zh-CN"/>
              </w:rPr>
              <w:t>设备折旧费</w:t>
            </w:r>
          </w:p>
        </w:tc>
        <w:tc>
          <w:tcPr>
            <w:tcW w:w="9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240"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240"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1240"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宋体" w:hAnsi="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1240"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w:t>
            </w:r>
          </w:p>
        </w:tc>
        <w:tc>
          <w:tcPr>
            <w:tcW w:w="608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利润</w:t>
            </w:r>
          </w:p>
        </w:tc>
        <w:tc>
          <w:tcPr>
            <w:tcW w:w="1240"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08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税金</w:t>
            </w:r>
          </w:p>
        </w:tc>
        <w:tc>
          <w:tcPr>
            <w:tcW w:w="1240" w:type="dxa"/>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tcBorders>
              <w:top w:val="single" w:color="auto" w:sz="4" w:space="0"/>
              <w:left w:val="double" w:color="auto" w:sz="4" w:space="0"/>
              <w:bottom w:val="doub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323" w:type="dxa"/>
            <w:gridSpan w:val="4"/>
            <w:tcBorders>
              <w:top w:val="single" w:color="auto" w:sz="4" w:space="0"/>
              <w:left w:val="single" w:color="auto" w:sz="4" w:space="0"/>
              <w:bottom w:val="double" w:color="auto" w:sz="4" w:space="0"/>
              <w:right w:val="doub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               大写：</w:t>
            </w:r>
          </w:p>
        </w:tc>
      </w:tr>
    </w:tbl>
    <w:p>
      <w:pPr>
        <w:tabs>
          <w:tab w:val="left" w:pos="425"/>
          <w:tab w:val="left" w:pos="845"/>
        </w:tabs>
        <w:spacing w:line="400" w:lineRule="exact"/>
        <w:ind w:firstLine="840" w:firstLineChars="400"/>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lang w:val="zh-CN"/>
        </w:rPr>
        <w:t>注：1、</w:t>
      </w: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highlight w:val="none"/>
          <w:lang w:val="en-US" w:eastAsia="zh-CN"/>
        </w:rPr>
        <w:t>最高限价为人民币</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lang w:val="en-US" w:eastAsia="zh-CN"/>
        </w:rPr>
        <w:t>万元/年</w:t>
      </w:r>
      <w:r>
        <w:rPr>
          <w:rFonts w:hint="eastAsia" w:ascii="宋体" w:hAnsi="宋体" w:cs="宋体"/>
          <w:color w:val="auto"/>
          <w:sz w:val="21"/>
          <w:szCs w:val="21"/>
          <w:highlight w:val="none"/>
          <w:lang w:val="en-US" w:eastAsia="zh-CN"/>
        </w:rPr>
        <w:t>。</w:t>
      </w:r>
    </w:p>
    <w:p>
      <w:pPr>
        <w:tabs>
          <w:tab w:val="left" w:pos="425"/>
          <w:tab w:val="left" w:pos="845"/>
        </w:tabs>
        <w:spacing w:line="400" w:lineRule="exact"/>
        <w:ind w:firstLine="1260" w:firstLineChars="6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认为应当说明而本表中无相应栏目的，请在自行增加栏目加以说明。</w:t>
      </w:r>
    </w:p>
    <w:p>
      <w:pPr>
        <w:pStyle w:val="11"/>
        <w:widowControl/>
        <w:spacing w:line="360" w:lineRule="auto"/>
        <w:ind w:left="0" w:leftChars="0" w:firstLine="0" w:firstLineChars="0"/>
        <w:jc w:val="left"/>
        <w:rPr>
          <w:rFonts w:hint="eastAsia" w:ascii="宋体" w:hAnsi="宋体" w:eastAsia="宋体" w:cs="宋体"/>
          <w:color w:val="auto"/>
          <w:sz w:val="21"/>
          <w:szCs w:val="21"/>
          <w:highlight w:val="none"/>
        </w:rPr>
      </w:pPr>
    </w:p>
    <w:p>
      <w:pPr>
        <w:pStyle w:val="11"/>
        <w:widowControl/>
        <w:spacing w:line="48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供应商全称（盖公章）：</w:t>
      </w:r>
    </w:p>
    <w:p>
      <w:pPr>
        <w:pStyle w:val="11"/>
        <w:widowControl/>
        <w:spacing w:line="48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法定代表人或其授权委托人（签名或印章）：</w:t>
      </w:r>
    </w:p>
    <w:p>
      <w:pPr>
        <w:spacing w:line="480" w:lineRule="auto"/>
        <w:ind w:right="1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rPr>
          <w:rStyle w:val="87"/>
          <w:rFonts w:hint="eastAsia"/>
          <w:color w:val="auto"/>
          <w:highlight w:val="none"/>
        </w:rPr>
      </w:pPr>
    </w:p>
    <w:p>
      <w:pPr>
        <w:rPr>
          <w:rStyle w:val="87"/>
          <w:rFonts w:hint="eastAsia"/>
          <w:color w:val="auto"/>
          <w:highlight w:val="none"/>
        </w:rPr>
      </w:pPr>
      <w:bookmarkStart w:id="31" w:name="_Toc18369"/>
      <w:bookmarkStart w:id="32" w:name="_Toc27880"/>
      <w:r>
        <w:rPr>
          <w:rStyle w:val="87"/>
          <w:rFonts w:hint="eastAsia"/>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2"/>
        <w:rPr>
          <w:rFonts w:ascii="宋体" w:hAnsi="宋体" w:cs="宋体"/>
          <w:b/>
          <w:color w:val="auto"/>
          <w:spacing w:val="6"/>
          <w:sz w:val="32"/>
          <w:szCs w:val="32"/>
          <w:highlight w:val="none"/>
        </w:rPr>
      </w:pPr>
      <w:r>
        <w:rPr>
          <w:rStyle w:val="87"/>
          <w:rFonts w:hint="eastAsia"/>
          <w:color w:val="auto"/>
          <w:highlight w:val="none"/>
        </w:rPr>
        <w:t>政府采购统计基础信息表</w:t>
      </w:r>
      <w:bookmarkEnd w:id="31"/>
      <w:bookmarkEnd w:id="32"/>
    </w:p>
    <w:tbl>
      <w:tblPr>
        <w:tblStyle w:val="38"/>
        <w:tblpPr w:leftFromText="180" w:rightFromText="180" w:vertAnchor="text" w:horzAnchor="page" w:tblpXSpec="center" w:tblpY="236"/>
        <w:tblOverlap w:val="never"/>
        <w:tblW w:w="8459" w:type="dxa"/>
        <w:jc w:val="center"/>
        <w:tblLayout w:type="fixed"/>
        <w:tblCellMar>
          <w:top w:w="0" w:type="dxa"/>
          <w:left w:w="108" w:type="dxa"/>
          <w:bottom w:w="0" w:type="dxa"/>
          <w:right w:w="108" w:type="dxa"/>
        </w:tblCellMar>
      </w:tblPr>
      <w:tblGrid>
        <w:gridCol w:w="5127"/>
        <w:gridCol w:w="3332"/>
      </w:tblGrid>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采购人及采购项目名称</w:t>
            </w:r>
          </w:p>
        </w:tc>
        <w:tc>
          <w:tcPr>
            <w:tcW w:w="3332" w:type="dxa"/>
            <w:tcBorders>
              <w:top w:val="single" w:color="000000" w:sz="4" w:space="0"/>
              <w:left w:val="nil"/>
              <w:bottom w:val="single" w:color="000000" w:sz="4" w:space="0"/>
              <w:right w:val="single" w:color="000000" w:sz="4" w:space="0"/>
            </w:tcBorders>
          </w:tcPr>
          <w:p>
            <w:pPr>
              <w:ind w:firstLine="444" w:firstLineChars="200"/>
              <w:rPr>
                <w:rFonts w:ascii="宋体" w:hAnsi="宋体" w:cs="宋体"/>
                <w:color w:val="auto"/>
                <w:spacing w:val="6"/>
                <w:sz w:val="21"/>
                <w:szCs w:val="21"/>
                <w:highlight w:val="none"/>
              </w:rPr>
            </w:pP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投（中）标单位名称</w:t>
            </w:r>
          </w:p>
        </w:tc>
        <w:tc>
          <w:tcPr>
            <w:tcW w:w="3332" w:type="dxa"/>
            <w:tcBorders>
              <w:top w:val="single" w:color="000000" w:sz="4" w:space="0"/>
              <w:left w:val="nil"/>
              <w:bottom w:val="single" w:color="000000" w:sz="4" w:space="0"/>
              <w:right w:val="single" w:color="000000" w:sz="4" w:space="0"/>
            </w:tcBorders>
          </w:tcPr>
          <w:p>
            <w:pPr>
              <w:ind w:firstLine="444" w:firstLineChars="200"/>
              <w:rPr>
                <w:rFonts w:ascii="宋体" w:hAnsi="宋体" w:cs="宋体"/>
                <w:color w:val="auto"/>
                <w:spacing w:val="6"/>
                <w:sz w:val="21"/>
                <w:szCs w:val="21"/>
                <w:highlight w:val="none"/>
              </w:rPr>
            </w:pP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是否国内企业</w:t>
            </w:r>
          </w:p>
        </w:tc>
        <w:tc>
          <w:tcPr>
            <w:tcW w:w="3332" w:type="dxa"/>
            <w:tcBorders>
              <w:top w:val="single" w:color="000000" w:sz="4" w:space="0"/>
              <w:left w:val="nil"/>
              <w:bottom w:val="single" w:color="000000" w:sz="4" w:space="0"/>
              <w:right w:val="single" w:color="000000" w:sz="4" w:space="0"/>
            </w:tcBorders>
          </w:tcPr>
          <w:p>
            <w:pPr>
              <w:ind w:firstLine="444" w:firstLineChars="200"/>
              <w:rPr>
                <w:rFonts w:ascii="宋体" w:hAnsi="宋体" w:cs="宋体"/>
                <w:color w:val="auto"/>
                <w:spacing w:val="6"/>
                <w:sz w:val="21"/>
                <w:szCs w:val="21"/>
                <w:highlight w:val="none"/>
              </w:rPr>
            </w:pP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是否宁波企业</w:t>
            </w:r>
          </w:p>
        </w:tc>
        <w:tc>
          <w:tcPr>
            <w:tcW w:w="3332" w:type="dxa"/>
            <w:tcBorders>
              <w:top w:val="single" w:color="000000" w:sz="4" w:space="0"/>
              <w:left w:val="nil"/>
              <w:bottom w:val="single" w:color="000000" w:sz="4" w:space="0"/>
              <w:right w:val="single" w:color="000000" w:sz="4" w:space="0"/>
            </w:tcBorders>
          </w:tcPr>
          <w:p>
            <w:pPr>
              <w:ind w:firstLine="444" w:firstLineChars="200"/>
              <w:rPr>
                <w:rFonts w:ascii="宋体" w:hAnsi="宋体" w:cs="宋体"/>
                <w:color w:val="auto"/>
                <w:spacing w:val="6"/>
                <w:sz w:val="21"/>
                <w:szCs w:val="21"/>
                <w:highlight w:val="none"/>
              </w:rPr>
            </w:pP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企业划分标准类型（大型、中型、小型、微型）</w:t>
            </w:r>
          </w:p>
        </w:tc>
        <w:tc>
          <w:tcPr>
            <w:tcW w:w="3332" w:type="dxa"/>
            <w:tcBorders>
              <w:top w:val="single" w:color="000000" w:sz="4" w:space="0"/>
              <w:left w:val="nil"/>
              <w:bottom w:val="single" w:color="000000" w:sz="4" w:space="0"/>
              <w:right w:val="single" w:color="000000" w:sz="4" w:space="0"/>
            </w:tcBorders>
          </w:tcPr>
          <w:p>
            <w:pPr>
              <w:ind w:firstLine="444" w:firstLineChars="200"/>
              <w:rPr>
                <w:rFonts w:ascii="宋体" w:hAnsi="宋体" w:cs="宋体"/>
                <w:color w:val="auto"/>
                <w:spacing w:val="6"/>
                <w:sz w:val="21"/>
                <w:szCs w:val="21"/>
                <w:highlight w:val="none"/>
              </w:rPr>
            </w:pP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提供的货物是否本企业制造</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货物原产地是否是中国境内</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货物原产地是否是宁波</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是节能清单产品</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提供的货物是否是环境标志清单产品</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承担的工程或服务是否本企业提供</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本项目预算</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r>
        <w:tblPrEx>
          <w:tblCellMar>
            <w:top w:w="0" w:type="dxa"/>
            <w:left w:w="108" w:type="dxa"/>
            <w:bottom w:w="0" w:type="dxa"/>
            <w:right w:w="108" w:type="dxa"/>
          </w:tblCellMar>
        </w:tblPrEx>
        <w:trPr>
          <w:trHeight w:val="61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本项目是否专门面向中小企业采购</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r>
        <w:tblPrEx>
          <w:tblCellMar>
            <w:top w:w="0" w:type="dxa"/>
            <w:left w:w="108" w:type="dxa"/>
            <w:bottom w:w="0" w:type="dxa"/>
            <w:right w:w="108" w:type="dxa"/>
          </w:tblCellMar>
        </w:tblPrEx>
        <w:trPr>
          <w:trHeight w:val="625" w:hRule="atLeast"/>
          <w:jc w:val="center"/>
        </w:trPr>
        <w:tc>
          <w:tcPr>
            <w:tcW w:w="51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投（中）标金额（万元）</w:t>
            </w:r>
          </w:p>
        </w:tc>
        <w:tc>
          <w:tcPr>
            <w:tcW w:w="33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w:t>
            </w:r>
          </w:p>
        </w:tc>
      </w:tr>
    </w:tbl>
    <w:p>
      <w:pPr>
        <w:pStyle w:val="60"/>
        <w:ind w:firstLine="420"/>
        <w:rPr>
          <w:color w:val="auto"/>
          <w:highlight w:val="none"/>
        </w:rPr>
      </w:pPr>
    </w:p>
    <w:p>
      <w:pPr>
        <w:rPr>
          <w:rFonts w:ascii="宋体" w:hAnsi="宋体"/>
          <w:color w:val="auto"/>
          <w:highlight w:val="none"/>
        </w:rPr>
      </w:pPr>
    </w:p>
    <w:p>
      <w:pPr>
        <w:spacing w:before="340" w:line="440" w:lineRule="exact"/>
        <w:rPr>
          <w:rFonts w:ascii="Calibri" w:hAnsi="宋体"/>
          <w:color w:val="auto"/>
          <w:szCs w:val="21"/>
          <w:highlight w:val="none"/>
        </w:rPr>
      </w:pPr>
    </w:p>
    <w:sectPr>
      <w:pgSz w:w="11905" w:h="16838"/>
      <w:pgMar w:top="1417" w:right="1701" w:bottom="1247" w:left="1701" w:header="851"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42"/>
      </w:rPr>
    </w:pPr>
    <w:r>
      <w:fldChar w:fldCharType="begin"/>
    </w:r>
    <w:r>
      <w:rPr>
        <w:rStyle w:val="42"/>
      </w:rPr>
      <w:instrText xml:space="preserve">PAGE  </w:instrTex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ascii="仿宋" w:hAnsi="仿宋" w:eastAsia="仿宋" w:cs="仿宋"/>
                              <w:sz w:val="21"/>
                              <w:szCs w:val="21"/>
                            </w:rPr>
                          </w:pPr>
                          <w:r>
                            <w:rPr>
                              <w:rFonts w:hint="eastAsia" w:ascii="仿宋" w:hAnsi="仿宋" w:eastAsia="仿宋" w:cs="仿宋"/>
                              <w:sz w:val="21"/>
                              <w:szCs w:val="21"/>
                            </w:rPr>
                            <w:t xml:space="preserve">第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r>
                            <w:rPr>
                              <w:rFonts w:hint="eastAsia" w:ascii="仿宋" w:hAnsi="仿宋" w:eastAsia="仿宋" w:cs="仿宋"/>
                              <w:sz w:val="21"/>
                              <w:szCs w:val="21"/>
                            </w:rPr>
                            <w:t xml:space="preserve"> 页 共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NUMPAGES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62</w:t>
                          </w:r>
                          <w:r>
                            <w:rPr>
                              <w:rFonts w:hint="eastAsia" w:ascii="仿宋" w:hAnsi="仿宋" w:eastAsia="仿宋" w:cs="仿宋"/>
                              <w:sz w:val="21"/>
                              <w:szCs w:val="21"/>
                            </w:rPr>
                            <w:fldChar w:fldCharType="end"/>
                          </w:r>
                          <w:r>
                            <w:rPr>
                              <w:rFonts w:hint="eastAsia" w:ascii="仿宋" w:hAnsi="仿宋" w:eastAsia="仿宋" w:cs="仿宋"/>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3"/>
                      <w:rPr>
                        <w:rFonts w:hint="eastAsia" w:ascii="仿宋" w:hAnsi="仿宋" w:eastAsia="仿宋" w:cs="仿宋"/>
                        <w:sz w:val="21"/>
                        <w:szCs w:val="21"/>
                      </w:rPr>
                    </w:pPr>
                    <w:r>
                      <w:rPr>
                        <w:rFonts w:hint="eastAsia" w:ascii="仿宋" w:hAnsi="仿宋" w:eastAsia="仿宋" w:cs="仿宋"/>
                        <w:sz w:val="21"/>
                        <w:szCs w:val="21"/>
                      </w:rPr>
                      <w:t xml:space="preserve">第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r>
                      <w:rPr>
                        <w:rFonts w:hint="eastAsia" w:ascii="仿宋" w:hAnsi="仿宋" w:eastAsia="仿宋" w:cs="仿宋"/>
                        <w:sz w:val="21"/>
                        <w:szCs w:val="21"/>
                      </w:rPr>
                      <w:t xml:space="preserve"> 页 共 </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NUMPAGES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62</w:t>
                    </w:r>
                    <w:r>
                      <w:rPr>
                        <w:rFonts w:hint="eastAsia" w:ascii="仿宋" w:hAnsi="仿宋" w:eastAsia="仿宋" w:cs="仿宋"/>
                        <w:sz w:val="21"/>
                        <w:szCs w:val="21"/>
                      </w:rPr>
                      <w:fldChar w:fldCharType="end"/>
                    </w:r>
                    <w:r>
                      <w:rPr>
                        <w:rFonts w:hint="eastAsia" w:ascii="仿宋" w:hAnsi="仿宋" w:eastAsia="仿宋" w:cs="仿宋"/>
                        <w:sz w:val="21"/>
                        <w:szCs w:val="21"/>
                      </w:rPr>
                      <w:t xml:space="preserve"> 页</w:t>
                    </w:r>
                  </w:p>
                </w:txbxContent>
              </v:textbox>
            </v:shape>
          </w:pict>
        </mc:Fallback>
      </mc:AlternateContent>
    </w:r>
  </w:p>
  <w:p>
    <w:pPr>
      <w:pStyle w:val="23"/>
      <w:ind w:left="0" w:leftChars="0" w:firstLine="0" w:firstLineChars="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3"/>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p>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DC240"/>
    <w:multiLevelType w:val="multilevel"/>
    <w:tmpl w:val="84CDC240"/>
    <w:lvl w:ilvl="0" w:tentative="0">
      <w:start w:val="2"/>
      <w:numFmt w:val="decimal"/>
      <w:suff w:val="nothing"/>
      <w:lvlText w:val="第%1章 "/>
      <w:lvlJc w:val="left"/>
      <w:pPr>
        <w:tabs>
          <w:tab w:val="left" w:pos="0"/>
        </w:tabs>
        <w:ind w:left="432" w:hanging="432"/>
      </w:pPr>
      <w:rPr>
        <w:rFonts w:hint="default" w:ascii="宋体" w:hAnsi="宋体" w:eastAsia="宋体" w:cs="宋体"/>
        <w:b/>
        <w:sz w:val="36"/>
      </w:rPr>
    </w:lvl>
    <w:lvl w:ilvl="1" w:tentative="0">
      <w:start w:val="1"/>
      <w:numFmt w:val="decimal"/>
      <w:isLgl/>
      <w:lvlText w:val="%1.%2 "/>
      <w:lvlJc w:val="left"/>
      <w:pPr>
        <w:tabs>
          <w:tab w:val="left" w:pos="420"/>
        </w:tabs>
        <w:ind w:left="575" w:hanging="575"/>
      </w:pPr>
      <w:rPr>
        <w:rFonts w:hint="default" w:ascii="宋体" w:hAnsi="宋体" w:eastAsia="宋体" w:cs="宋体"/>
        <w:b/>
        <w:sz w:val="32"/>
      </w:rPr>
    </w:lvl>
    <w:lvl w:ilvl="2" w:tentative="0">
      <w:start w:val="1"/>
      <w:numFmt w:val="decimal"/>
      <w:isLgl/>
      <w:lvlText w:val="%1.%2.%3 "/>
      <w:lvlJc w:val="left"/>
      <w:pPr>
        <w:tabs>
          <w:tab w:val="left" w:pos="420"/>
        </w:tabs>
        <w:ind w:left="720" w:hanging="720"/>
      </w:pPr>
      <w:rPr>
        <w:rFonts w:hint="default" w:ascii="宋体" w:hAnsi="宋体" w:eastAsia="宋体" w:cs="宋体"/>
        <w:b/>
        <w:sz w:val="30"/>
      </w:rPr>
    </w:lvl>
    <w:lvl w:ilvl="3" w:tentative="0">
      <w:start w:val="1"/>
      <w:numFmt w:val="decimal"/>
      <w:isLgl/>
      <w:lvlText w:val="%1.%2.%3.%4 "/>
      <w:lvlJc w:val="left"/>
      <w:pPr>
        <w:ind w:left="864" w:hanging="864"/>
      </w:pPr>
      <w:rPr>
        <w:rFonts w:hint="default" w:ascii="宋体" w:hAnsi="宋体" w:eastAsia="宋体" w:cs="宋体"/>
        <w:b/>
        <w:sz w:val="22"/>
        <w:szCs w:val="22"/>
      </w:rPr>
    </w:lvl>
    <w:lvl w:ilvl="4" w:tentative="0">
      <w:start w:val="1"/>
      <w:numFmt w:val="decimal"/>
      <w:pStyle w:val="7"/>
      <w:isLgl/>
      <w:lvlText w:val="%1.%2.%3.%4.%5 "/>
      <w:lvlJc w:val="left"/>
      <w:pPr>
        <w:ind w:left="1008" w:hanging="1008"/>
      </w:pPr>
      <w:rPr>
        <w:rFonts w:hint="default" w:ascii="宋体" w:hAnsi="宋体" w:eastAsia="宋体" w:cs="宋体"/>
        <w:b/>
        <w:sz w:val="24"/>
      </w:rPr>
    </w:lvl>
    <w:lvl w:ilvl="5" w:tentative="0">
      <w:start w:val="1"/>
      <w:numFmt w:val="decimal"/>
      <w:pStyle w:val="8"/>
      <w:isLgl/>
      <w:lvlText w:val="%1.%2.%3.%4.%5.%6 "/>
      <w:lvlJc w:val="left"/>
      <w:pPr>
        <w:ind w:left="1151" w:hanging="1151"/>
      </w:pPr>
      <w:rPr>
        <w:rFonts w:hint="default" w:ascii="宋体" w:hAnsi="宋体" w:eastAsia="宋体" w:cs="宋体"/>
        <w:b/>
        <w:sz w:val="21"/>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FFFFFF7E"/>
    <w:multiLevelType w:val="singleLevel"/>
    <w:tmpl w:val="FFFFFF7E"/>
    <w:lvl w:ilvl="0" w:tentative="0">
      <w:start w:val="1"/>
      <w:numFmt w:val="decimal"/>
      <w:pStyle w:val="16"/>
      <w:lvlText w:val="%1."/>
      <w:lvlJc w:val="left"/>
      <w:pPr>
        <w:tabs>
          <w:tab w:val="left" w:pos="1200"/>
        </w:tabs>
        <w:ind w:left="1200" w:hanging="360"/>
      </w:pPr>
    </w:lvl>
  </w:abstractNum>
  <w:abstractNum w:abstractNumId="2">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1FB509F3"/>
    <w:multiLevelType w:val="multilevel"/>
    <w:tmpl w:val="1FB509F3"/>
    <w:lvl w:ilvl="0" w:tentative="0">
      <w:start w:val="1"/>
      <w:numFmt w:val="decimal"/>
      <w:pStyle w:val="58"/>
      <w:lvlText w:val="%1、"/>
      <w:lvlJc w:val="left"/>
      <w:pPr>
        <w:tabs>
          <w:tab w:val="left" w:pos="306"/>
        </w:tabs>
        <w:ind w:left="306" w:hanging="360"/>
      </w:pPr>
      <w:rPr>
        <w:rFonts w:hint="eastAsia"/>
      </w:rPr>
    </w:lvl>
    <w:lvl w:ilvl="1" w:tentative="0">
      <w:start w:val="1"/>
      <w:numFmt w:val="lowerLetter"/>
      <w:lvlText w:val="%2)"/>
      <w:lvlJc w:val="left"/>
      <w:pPr>
        <w:tabs>
          <w:tab w:val="left" w:pos="366"/>
        </w:tabs>
        <w:ind w:left="366" w:hanging="420"/>
      </w:pPr>
    </w:lvl>
    <w:lvl w:ilvl="2" w:tentative="0">
      <w:start w:val="1"/>
      <w:numFmt w:val="lowerRoman"/>
      <w:lvlText w:val="%3."/>
      <w:lvlJc w:val="right"/>
      <w:pPr>
        <w:tabs>
          <w:tab w:val="left" w:pos="786"/>
        </w:tabs>
        <w:ind w:left="786" w:hanging="420"/>
      </w:pPr>
    </w:lvl>
    <w:lvl w:ilvl="3" w:tentative="0">
      <w:start w:val="1"/>
      <w:numFmt w:val="decimal"/>
      <w:lvlText w:val="%4."/>
      <w:lvlJc w:val="left"/>
      <w:pPr>
        <w:tabs>
          <w:tab w:val="left" w:pos="1206"/>
        </w:tabs>
        <w:ind w:left="1206" w:hanging="420"/>
      </w:pPr>
    </w:lvl>
    <w:lvl w:ilvl="4" w:tentative="0">
      <w:start w:val="1"/>
      <w:numFmt w:val="lowerLetter"/>
      <w:lvlText w:val="%5)"/>
      <w:lvlJc w:val="left"/>
      <w:pPr>
        <w:tabs>
          <w:tab w:val="left" w:pos="1626"/>
        </w:tabs>
        <w:ind w:left="1626" w:hanging="420"/>
      </w:pPr>
    </w:lvl>
    <w:lvl w:ilvl="5" w:tentative="0">
      <w:start w:val="1"/>
      <w:numFmt w:val="lowerRoman"/>
      <w:lvlText w:val="%6."/>
      <w:lvlJc w:val="right"/>
      <w:pPr>
        <w:tabs>
          <w:tab w:val="left" w:pos="2046"/>
        </w:tabs>
        <w:ind w:left="2046" w:hanging="420"/>
      </w:pPr>
    </w:lvl>
    <w:lvl w:ilvl="6" w:tentative="0">
      <w:start w:val="1"/>
      <w:numFmt w:val="decimal"/>
      <w:lvlText w:val="%7."/>
      <w:lvlJc w:val="left"/>
      <w:pPr>
        <w:tabs>
          <w:tab w:val="left" w:pos="2466"/>
        </w:tabs>
        <w:ind w:left="2466" w:hanging="420"/>
      </w:pPr>
    </w:lvl>
    <w:lvl w:ilvl="7" w:tentative="0">
      <w:start w:val="1"/>
      <w:numFmt w:val="lowerLetter"/>
      <w:lvlText w:val="%8)"/>
      <w:lvlJc w:val="left"/>
      <w:pPr>
        <w:tabs>
          <w:tab w:val="left" w:pos="2886"/>
        </w:tabs>
        <w:ind w:left="2886" w:hanging="420"/>
      </w:pPr>
    </w:lvl>
    <w:lvl w:ilvl="8" w:tentative="0">
      <w:start w:val="1"/>
      <w:numFmt w:val="lowerRoman"/>
      <w:lvlText w:val="%9."/>
      <w:lvlJc w:val="right"/>
      <w:pPr>
        <w:tabs>
          <w:tab w:val="left" w:pos="3306"/>
        </w:tabs>
        <w:ind w:left="3306" w:hanging="420"/>
      </w:pPr>
    </w:lvl>
  </w:abstractNum>
  <w:abstractNum w:abstractNumId="4">
    <w:nsid w:val="442A8C45"/>
    <w:multiLevelType w:val="singleLevel"/>
    <w:tmpl w:val="442A8C45"/>
    <w:lvl w:ilvl="0" w:tentative="0">
      <w:start w:val="4"/>
      <w:numFmt w:val="chineseCounting"/>
      <w:suff w:val="nothing"/>
      <w:lvlText w:val="%1、"/>
      <w:lvlJc w:val="left"/>
      <w:rPr>
        <w:rFonts w:hint="eastAsia"/>
      </w:rPr>
    </w:lvl>
  </w:abstractNum>
  <w:abstractNum w:abstractNumId="5">
    <w:nsid w:val="70325E78"/>
    <w:multiLevelType w:val="singleLevel"/>
    <w:tmpl w:val="70325E78"/>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Names" w:val="year1_2;filetype1_2"/>
    <w:docVar w:name="commondata" w:val="eyJoZGlkIjoiODFlYTk4ZmRmNzdlNGJiMzU0NTg1ZTc5MjUzODYxNGE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2A75"/>
    <w:rsid w:val="0001213D"/>
    <w:rsid w:val="00015D6F"/>
    <w:rsid w:val="00016536"/>
    <w:rsid w:val="00017174"/>
    <w:rsid w:val="00026535"/>
    <w:rsid w:val="00027550"/>
    <w:rsid w:val="00032F0B"/>
    <w:rsid w:val="000427CB"/>
    <w:rsid w:val="00045AF8"/>
    <w:rsid w:val="00045C7D"/>
    <w:rsid w:val="000516F5"/>
    <w:rsid w:val="0005243F"/>
    <w:rsid w:val="0005273D"/>
    <w:rsid w:val="00053EAA"/>
    <w:rsid w:val="000559EA"/>
    <w:rsid w:val="0005642F"/>
    <w:rsid w:val="00057E77"/>
    <w:rsid w:val="00060D40"/>
    <w:rsid w:val="00061F3D"/>
    <w:rsid w:val="00065DCE"/>
    <w:rsid w:val="00070640"/>
    <w:rsid w:val="000729D4"/>
    <w:rsid w:val="000769F0"/>
    <w:rsid w:val="0007792D"/>
    <w:rsid w:val="00081E4D"/>
    <w:rsid w:val="000821FC"/>
    <w:rsid w:val="00085C2E"/>
    <w:rsid w:val="00087A5B"/>
    <w:rsid w:val="00090242"/>
    <w:rsid w:val="00091A93"/>
    <w:rsid w:val="000A4BF3"/>
    <w:rsid w:val="000A7324"/>
    <w:rsid w:val="000B4ACE"/>
    <w:rsid w:val="000B5568"/>
    <w:rsid w:val="000C0F59"/>
    <w:rsid w:val="000E06D3"/>
    <w:rsid w:val="000E170A"/>
    <w:rsid w:val="000E3059"/>
    <w:rsid w:val="000E6BCA"/>
    <w:rsid w:val="00102F72"/>
    <w:rsid w:val="001031AE"/>
    <w:rsid w:val="001108AB"/>
    <w:rsid w:val="00110B3F"/>
    <w:rsid w:val="001128CF"/>
    <w:rsid w:val="0011387D"/>
    <w:rsid w:val="00113C99"/>
    <w:rsid w:val="00115FC6"/>
    <w:rsid w:val="00127228"/>
    <w:rsid w:val="001272DF"/>
    <w:rsid w:val="00130233"/>
    <w:rsid w:val="0013468D"/>
    <w:rsid w:val="00137512"/>
    <w:rsid w:val="00140C50"/>
    <w:rsid w:val="00142B9F"/>
    <w:rsid w:val="00143F87"/>
    <w:rsid w:val="00161306"/>
    <w:rsid w:val="00161B2F"/>
    <w:rsid w:val="00165BEB"/>
    <w:rsid w:val="001679E6"/>
    <w:rsid w:val="00171889"/>
    <w:rsid w:val="00176187"/>
    <w:rsid w:val="00181A3F"/>
    <w:rsid w:val="001871A0"/>
    <w:rsid w:val="00191C5C"/>
    <w:rsid w:val="00192075"/>
    <w:rsid w:val="00197367"/>
    <w:rsid w:val="001A1395"/>
    <w:rsid w:val="001A2B9B"/>
    <w:rsid w:val="001B0D16"/>
    <w:rsid w:val="001B1653"/>
    <w:rsid w:val="001B1A4D"/>
    <w:rsid w:val="001B1BFC"/>
    <w:rsid w:val="001B27D2"/>
    <w:rsid w:val="001B3777"/>
    <w:rsid w:val="001C115A"/>
    <w:rsid w:val="001D0930"/>
    <w:rsid w:val="001D490F"/>
    <w:rsid w:val="001E0851"/>
    <w:rsid w:val="001E1065"/>
    <w:rsid w:val="001E6511"/>
    <w:rsid w:val="001F3141"/>
    <w:rsid w:val="0020466E"/>
    <w:rsid w:val="00211279"/>
    <w:rsid w:val="0021594F"/>
    <w:rsid w:val="00223548"/>
    <w:rsid w:val="00223C07"/>
    <w:rsid w:val="00230301"/>
    <w:rsid w:val="00236970"/>
    <w:rsid w:val="00237FFA"/>
    <w:rsid w:val="00242FD2"/>
    <w:rsid w:val="00243EC8"/>
    <w:rsid w:val="002539EC"/>
    <w:rsid w:val="00254C39"/>
    <w:rsid w:val="00257880"/>
    <w:rsid w:val="002600B8"/>
    <w:rsid w:val="00266342"/>
    <w:rsid w:val="0026774C"/>
    <w:rsid w:val="00273286"/>
    <w:rsid w:val="00274E01"/>
    <w:rsid w:val="0027703F"/>
    <w:rsid w:val="00280CDF"/>
    <w:rsid w:val="00280D59"/>
    <w:rsid w:val="00285181"/>
    <w:rsid w:val="00290165"/>
    <w:rsid w:val="002927FE"/>
    <w:rsid w:val="00295E09"/>
    <w:rsid w:val="002A5570"/>
    <w:rsid w:val="002C00FD"/>
    <w:rsid w:val="002C11B0"/>
    <w:rsid w:val="002C4FA9"/>
    <w:rsid w:val="002C6877"/>
    <w:rsid w:val="002C7F46"/>
    <w:rsid w:val="002E030B"/>
    <w:rsid w:val="002E2A7B"/>
    <w:rsid w:val="002E50A8"/>
    <w:rsid w:val="002F1CC9"/>
    <w:rsid w:val="002F4560"/>
    <w:rsid w:val="002F4CA4"/>
    <w:rsid w:val="003060D0"/>
    <w:rsid w:val="00312055"/>
    <w:rsid w:val="00312DB4"/>
    <w:rsid w:val="00320773"/>
    <w:rsid w:val="003362E7"/>
    <w:rsid w:val="00337827"/>
    <w:rsid w:val="0034365C"/>
    <w:rsid w:val="003441E2"/>
    <w:rsid w:val="003575FF"/>
    <w:rsid w:val="00361A35"/>
    <w:rsid w:val="003647A3"/>
    <w:rsid w:val="003756CB"/>
    <w:rsid w:val="00375AF7"/>
    <w:rsid w:val="00382066"/>
    <w:rsid w:val="00382D58"/>
    <w:rsid w:val="00390912"/>
    <w:rsid w:val="00391872"/>
    <w:rsid w:val="00392D45"/>
    <w:rsid w:val="0039433A"/>
    <w:rsid w:val="003963AC"/>
    <w:rsid w:val="003A1739"/>
    <w:rsid w:val="003A20CC"/>
    <w:rsid w:val="003A4D32"/>
    <w:rsid w:val="003A4F29"/>
    <w:rsid w:val="003B0C87"/>
    <w:rsid w:val="003B254A"/>
    <w:rsid w:val="003B6500"/>
    <w:rsid w:val="003C2C17"/>
    <w:rsid w:val="003C6172"/>
    <w:rsid w:val="003C6E52"/>
    <w:rsid w:val="003D42EE"/>
    <w:rsid w:val="003D43C1"/>
    <w:rsid w:val="003D61C8"/>
    <w:rsid w:val="003D6537"/>
    <w:rsid w:val="003E09B7"/>
    <w:rsid w:val="003E733C"/>
    <w:rsid w:val="003F1EF9"/>
    <w:rsid w:val="003F2BEB"/>
    <w:rsid w:val="004039A2"/>
    <w:rsid w:val="004045AE"/>
    <w:rsid w:val="00405CA9"/>
    <w:rsid w:val="004134F3"/>
    <w:rsid w:val="00415CE0"/>
    <w:rsid w:val="00417105"/>
    <w:rsid w:val="0043008F"/>
    <w:rsid w:val="00433AEE"/>
    <w:rsid w:val="0043455C"/>
    <w:rsid w:val="00436104"/>
    <w:rsid w:val="00455AED"/>
    <w:rsid w:val="00456AAA"/>
    <w:rsid w:val="00460D84"/>
    <w:rsid w:val="00473E27"/>
    <w:rsid w:val="00475B27"/>
    <w:rsid w:val="00484D22"/>
    <w:rsid w:val="00492A1C"/>
    <w:rsid w:val="00496BE3"/>
    <w:rsid w:val="00497A43"/>
    <w:rsid w:val="004A2C9F"/>
    <w:rsid w:val="004A5703"/>
    <w:rsid w:val="004A5E46"/>
    <w:rsid w:val="004B6092"/>
    <w:rsid w:val="004B721F"/>
    <w:rsid w:val="004C2D0D"/>
    <w:rsid w:val="004C36A0"/>
    <w:rsid w:val="004D2961"/>
    <w:rsid w:val="004D47CC"/>
    <w:rsid w:val="004E2FF1"/>
    <w:rsid w:val="004E6152"/>
    <w:rsid w:val="004E70FF"/>
    <w:rsid w:val="004F24A9"/>
    <w:rsid w:val="004F26F8"/>
    <w:rsid w:val="004F3830"/>
    <w:rsid w:val="004F4142"/>
    <w:rsid w:val="004F709E"/>
    <w:rsid w:val="00504B0A"/>
    <w:rsid w:val="005100FC"/>
    <w:rsid w:val="0051626B"/>
    <w:rsid w:val="00520216"/>
    <w:rsid w:val="005204F0"/>
    <w:rsid w:val="00521130"/>
    <w:rsid w:val="00523305"/>
    <w:rsid w:val="00531D69"/>
    <w:rsid w:val="00535EC3"/>
    <w:rsid w:val="00543929"/>
    <w:rsid w:val="00551D3B"/>
    <w:rsid w:val="0055730C"/>
    <w:rsid w:val="00560D0B"/>
    <w:rsid w:val="0056160B"/>
    <w:rsid w:val="00561C19"/>
    <w:rsid w:val="00564AB2"/>
    <w:rsid w:val="00567897"/>
    <w:rsid w:val="0057178A"/>
    <w:rsid w:val="005772FE"/>
    <w:rsid w:val="00577C3D"/>
    <w:rsid w:val="00580896"/>
    <w:rsid w:val="00586410"/>
    <w:rsid w:val="00586F50"/>
    <w:rsid w:val="0059411E"/>
    <w:rsid w:val="005C1084"/>
    <w:rsid w:val="005D29E6"/>
    <w:rsid w:val="005D36CB"/>
    <w:rsid w:val="005D4A93"/>
    <w:rsid w:val="005D4D11"/>
    <w:rsid w:val="005E0417"/>
    <w:rsid w:val="005F1DB8"/>
    <w:rsid w:val="005F3A90"/>
    <w:rsid w:val="00600668"/>
    <w:rsid w:val="00605959"/>
    <w:rsid w:val="00606B81"/>
    <w:rsid w:val="00607701"/>
    <w:rsid w:val="00610717"/>
    <w:rsid w:val="00613FE6"/>
    <w:rsid w:val="00625415"/>
    <w:rsid w:val="00635BD3"/>
    <w:rsid w:val="00636043"/>
    <w:rsid w:val="00641E35"/>
    <w:rsid w:val="00642770"/>
    <w:rsid w:val="00643BE3"/>
    <w:rsid w:val="006458F3"/>
    <w:rsid w:val="00647F8A"/>
    <w:rsid w:val="006516A3"/>
    <w:rsid w:val="00651E67"/>
    <w:rsid w:val="00652CC9"/>
    <w:rsid w:val="006539D9"/>
    <w:rsid w:val="00654BE1"/>
    <w:rsid w:val="006664FD"/>
    <w:rsid w:val="00670B62"/>
    <w:rsid w:val="00670F28"/>
    <w:rsid w:val="00692E58"/>
    <w:rsid w:val="006932C6"/>
    <w:rsid w:val="00693A77"/>
    <w:rsid w:val="00693E26"/>
    <w:rsid w:val="00694D99"/>
    <w:rsid w:val="006B0740"/>
    <w:rsid w:val="006B4EA6"/>
    <w:rsid w:val="006B7C11"/>
    <w:rsid w:val="006C464E"/>
    <w:rsid w:val="006D36CA"/>
    <w:rsid w:val="006D64E4"/>
    <w:rsid w:val="006D730F"/>
    <w:rsid w:val="006E2822"/>
    <w:rsid w:val="006E6A58"/>
    <w:rsid w:val="006F2FC8"/>
    <w:rsid w:val="0070447F"/>
    <w:rsid w:val="007139B5"/>
    <w:rsid w:val="00717522"/>
    <w:rsid w:val="00717810"/>
    <w:rsid w:val="00724BCA"/>
    <w:rsid w:val="00727A2A"/>
    <w:rsid w:val="00727F06"/>
    <w:rsid w:val="00733FD6"/>
    <w:rsid w:val="00747501"/>
    <w:rsid w:val="007512A0"/>
    <w:rsid w:val="007535B9"/>
    <w:rsid w:val="0076048F"/>
    <w:rsid w:val="007615FC"/>
    <w:rsid w:val="00770B05"/>
    <w:rsid w:val="007718EB"/>
    <w:rsid w:val="0077336C"/>
    <w:rsid w:val="00773755"/>
    <w:rsid w:val="007757D2"/>
    <w:rsid w:val="00776358"/>
    <w:rsid w:val="007839DD"/>
    <w:rsid w:val="00784064"/>
    <w:rsid w:val="00786731"/>
    <w:rsid w:val="0079453A"/>
    <w:rsid w:val="00794FBB"/>
    <w:rsid w:val="007A3E2B"/>
    <w:rsid w:val="007A3EE9"/>
    <w:rsid w:val="007A5572"/>
    <w:rsid w:val="007B62C8"/>
    <w:rsid w:val="007B756A"/>
    <w:rsid w:val="007C18F4"/>
    <w:rsid w:val="007C3B23"/>
    <w:rsid w:val="007D0AD7"/>
    <w:rsid w:val="007F3B9D"/>
    <w:rsid w:val="007F4228"/>
    <w:rsid w:val="008004CF"/>
    <w:rsid w:val="00810D87"/>
    <w:rsid w:val="008174C3"/>
    <w:rsid w:val="00817BB2"/>
    <w:rsid w:val="008222CB"/>
    <w:rsid w:val="008265E1"/>
    <w:rsid w:val="008274DF"/>
    <w:rsid w:val="00830507"/>
    <w:rsid w:val="00835D59"/>
    <w:rsid w:val="00837D90"/>
    <w:rsid w:val="00841FCA"/>
    <w:rsid w:val="00845389"/>
    <w:rsid w:val="00856713"/>
    <w:rsid w:val="00860DC7"/>
    <w:rsid w:val="00861DAB"/>
    <w:rsid w:val="0086605E"/>
    <w:rsid w:val="0087206F"/>
    <w:rsid w:val="0087470E"/>
    <w:rsid w:val="00876C5C"/>
    <w:rsid w:val="00877AF2"/>
    <w:rsid w:val="00883AB2"/>
    <w:rsid w:val="00885F4F"/>
    <w:rsid w:val="00887051"/>
    <w:rsid w:val="00892AF1"/>
    <w:rsid w:val="008A7B99"/>
    <w:rsid w:val="008B4566"/>
    <w:rsid w:val="008C1AB8"/>
    <w:rsid w:val="008C35B6"/>
    <w:rsid w:val="008C3DFA"/>
    <w:rsid w:val="008C6004"/>
    <w:rsid w:val="008D3BD0"/>
    <w:rsid w:val="008D5360"/>
    <w:rsid w:val="008E5E78"/>
    <w:rsid w:val="008F546A"/>
    <w:rsid w:val="008F6548"/>
    <w:rsid w:val="008F671A"/>
    <w:rsid w:val="008F78B7"/>
    <w:rsid w:val="00907050"/>
    <w:rsid w:val="00907B93"/>
    <w:rsid w:val="0091190A"/>
    <w:rsid w:val="00913001"/>
    <w:rsid w:val="00920750"/>
    <w:rsid w:val="00922575"/>
    <w:rsid w:val="00940AA8"/>
    <w:rsid w:val="0094160F"/>
    <w:rsid w:val="00955ABC"/>
    <w:rsid w:val="00961796"/>
    <w:rsid w:val="0097152A"/>
    <w:rsid w:val="00972C9B"/>
    <w:rsid w:val="00972FEB"/>
    <w:rsid w:val="00974EC0"/>
    <w:rsid w:val="0098144C"/>
    <w:rsid w:val="0098301B"/>
    <w:rsid w:val="00993A69"/>
    <w:rsid w:val="00995B59"/>
    <w:rsid w:val="0099656D"/>
    <w:rsid w:val="009A5577"/>
    <w:rsid w:val="009C3AD1"/>
    <w:rsid w:val="009D32B9"/>
    <w:rsid w:val="009D476B"/>
    <w:rsid w:val="009E1E76"/>
    <w:rsid w:val="009E255E"/>
    <w:rsid w:val="009E38BC"/>
    <w:rsid w:val="009E7DDF"/>
    <w:rsid w:val="00A01F58"/>
    <w:rsid w:val="00A143EC"/>
    <w:rsid w:val="00A161D5"/>
    <w:rsid w:val="00A22614"/>
    <w:rsid w:val="00A24404"/>
    <w:rsid w:val="00A3040F"/>
    <w:rsid w:val="00A32932"/>
    <w:rsid w:val="00A3425A"/>
    <w:rsid w:val="00A4243B"/>
    <w:rsid w:val="00A45C58"/>
    <w:rsid w:val="00A463A4"/>
    <w:rsid w:val="00A47704"/>
    <w:rsid w:val="00A51252"/>
    <w:rsid w:val="00A53AAD"/>
    <w:rsid w:val="00A5499A"/>
    <w:rsid w:val="00A62FF9"/>
    <w:rsid w:val="00A658F9"/>
    <w:rsid w:val="00A71E10"/>
    <w:rsid w:val="00A72471"/>
    <w:rsid w:val="00A7381E"/>
    <w:rsid w:val="00A83602"/>
    <w:rsid w:val="00A842F4"/>
    <w:rsid w:val="00A84A6A"/>
    <w:rsid w:val="00A857DE"/>
    <w:rsid w:val="00A85A64"/>
    <w:rsid w:val="00A8777D"/>
    <w:rsid w:val="00A90EA0"/>
    <w:rsid w:val="00A96944"/>
    <w:rsid w:val="00A9699F"/>
    <w:rsid w:val="00AA5B75"/>
    <w:rsid w:val="00AB0A5D"/>
    <w:rsid w:val="00AB40E5"/>
    <w:rsid w:val="00AB6C51"/>
    <w:rsid w:val="00AB6FD9"/>
    <w:rsid w:val="00AB7EAF"/>
    <w:rsid w:val="00AC5692"/>
    <w:rsid w:val="00AC757B"/>
    <w:rsid w:val="00AD3BB8"/>
    <w:rsid w:val="00AE3BEA"/>
    <w:rsid w:val="00AF2E9F"/>
    <w:rsid w:val="00AF3E7A"/>
    <w:rsid w:val="00B052F0"/>
    <w:rsid w:val="00B070C1"/>
    <w:rsid w:val="00B1053A"/>
    <w:rsid w:val="00B226EB"/>
    <w:rsid w:val="00B23F15"/>
    <w:rsid w:val="00B27A68"/>
    <w:rsid w:val="00B31AC9"/>
    <w:rsid w:val="00B331EB"/>
    <w:rsid w:val="00B36C27"/>
    <w:rsid w:val="00B370F2"/>
    <w:rsid w:val="00B40D17"/>
    <w:rsid w:val="00B414A6"/>
    <w:rsid w:val="00B4181B"/>
    <w:rsid w:val="00B47726"/>
    <w:rsid w:val="00B64BEE"/>
    <w:rsid w:val="00B800B5"/>
    <w:rsid w:val="00B80A48"/>
    <w:rsid w:val="00B85549"/>
    <w:rsid w:val="00B930F7"/>
    <w:rsid w:val="00BA03C2"/>
    <w:rsid w:val="00BA3A47"/>
    <w:rsid w:val="00BA5738"/>
    <w:rsid w:val="00BB1874"/>
    <w:rsid w:val="00BB2E7F"/>
    <w:rsid w:val="00BB53D3"/>
    <w:rsid w:val="00BB7C95"/>
    <w:rsid w:val="00BC18C9"/>
    <w:rsid w:val="00BC1DCC"/>
    <w:rsid w:val="00BC2A13"/>
    <w:rsid w:val="00BC4D27"/>
    <w:rsid w:val="00BC57CD"/>
    <w:rsid w:val="00BC61E4"/>
    <w:rsid w:val="00BD04E5"/>
    <w:rsid w:val="00BD7EEA"/>
    <w:rsid w:val="00BE3E3E"/>
    <w:rsid w:val="00BE5F2D"/>
    <w:rsid w:val="00BE5F9B"/>
    <w:rsid w:val="00BF6C1A"/>
    <w:rsid w:val="00C04A98"/>
    <w:rsid w:val="00C05BEB"/>
    <w:rsid w:val="00C06CD4"/>
    <w:rsid w:val="00C1257E"/>
    <w:rsid w:val="00C13599"/>
    <w:rsid w:val="00C1359F"/>
    <w:rsid w:val="00C14DF6"/>
    <w:rsid w:val="00C16630"/>
    <w:rsid w:val="00C269E2"/>
    <w:rsid w:val="00C26EBE"/>
    <w:rsid w:val="00C31B60"/>
    <w:rsid w:val="00C335D3"/>
    <w:rsid w:val="00C43069"/>
    <w:rsid w:val="00C44DB8"/>
    <w:rsid w:val="00C46BDA"/>
    <w:rsid w:val="00C47FF9"/>
    <w:rsid w:val="00C55036"/>
    <w:rsid w:val="00C57E01"/>
    <w:rsid w:val="00C76BA2"/>
    <w:rsid w:val="00C90938"/>
    <w:rsid w:val="00C90BE0"/>
    <w:rsid w:val="00C92DBC"/>
    <w:rsid w:val="00C945D8"/>
    <w:rsid w:val="00C956CF"/>
    <w:rsid w:val="00C96EF6"/>
    <w:rsid w:val="00CB0A70"/>
    <w:rsid w:val="00CB2E57"/>
    <w:rsid w:val="00CB369F"/>
    <w:rsid w:val="00CC47FA"/>
    <w:rsid w:val="00CD3FD7"/>
    <w:rsid w:val="00CD6FE8"/>
    <w:rsid w:val="00CE0D72"/>
    <w:rsid w:val="00CE3418"/>
    <w:rsid w:val="00CE4D75"/>
    <w:rsid w:val="00CE5E88"/>
    <w:rsid w:val="00CF7F31"/>
    <w:rsid w:val="00D0196A"/>
    <w:rsid w:val="00D04C87"/>
    <w:rsid w:val="00D07172"/>
    <w:rsid w:val="00D121B5"/>
    <w:rsid w:val="00D13251"/>
    <w:rsid w:val="00D16CB5"/>
    <w:rsid w:val="00D1715B"/>
    <w:rsid w:val="00D20872"/>
    <w:rsid w:val="00D25E8B"/>
    <w:rsid w:val="00D26B42"/>
    <w:rsid w:val="00D32BDB"/>
    <w:rsid w:val="00D3301A"/>
    <w:rsid w:val="00D33789"/>
    <w:rsid w:val="00D342C4"/>
    <w:rsid w:val="00D34778"/>
    <w:rsid w:val="00D36A69"/>
    <w:rsid w:val="00D42B22"/>
    <w:rsid w:val="00D44F8F"/>
    <w:rsid w:val="00D45381"/>
    <w:rsid w:val="00D609CE"/>
    <w:rsid w:val="00D60C52"/>
    <w:rsid w:val="00D646DA"/>
    <w:rsid w:val="00D66D77"/>
    <w:rsid w:val="00D70B10"/>
    <w:rsid w:val="00D83344"/>
    <w:rsid w:val="00D83A83"/>
    <w:rsid w:val="00D869BF"/>
    <w:rsid w:val="00D91013"/>
    <w:rsid w:val="00D971EC"/>
    <w:rsid w:val="00DA1683"/>
    <w:rsid w:val="00DA2962"/>
    <w:rsid w:val="00DA3F5A"/>
    <w:rsid w:val="00DB0291"/>
    <w:rsid w:val="00DB3156"/>
    <w:rsid w:val="00DB397B"/>
    <w:rsid w:val="00DC19C2"/>
    <w:rsid w:val="00DC3B10"/>
    <w:rsid w:val="00DC5CB9"/>
    <w:rsid w:val="00DC6255"/>
    <w:rsid w:val="00DD7636"/>
    <w:rsid w:val="00DD78D3"/>
    <w:rsid w:val="00DF268D"/>
    <w:rsid w:val="00DF39A9"/>
    <w:rsid w:val="00E06D6C"/>
    <w:rsid w:val="00E130A3"/>
    <w:rsid w:val="00E1469F"/>
    <w:rsid w:val="00E23A97"/>
    <w:rsid w:val="00E32629"/>
    <w:rsid w:val="00E4188C"/>
    <w:rsid w:val="00E44ADD"/>
    <w:rsid w:val="00E53338"/>
    <w:rsid w:val="00E56593"/>
    <w:rsid w:val="00E731B4"/>
    <w:rsid w:val="00E8415F"/>
    <w:rsid w:val="00E8424E"/>
    <w:rsid w:val="00E920CA"/>
    <w:rsid w:val="00EA054D"/>
    <w:rsid w:val="00EA6856"/>
    <w:rsid w:val="00EB20E2"/>
    <w:rsid w:val="00EB28E8"/>
    <w:rsid w:val="00EB2B1C"/>
    <w:rsid w:val="00EB446A"/>
    <w:rsid w:val="00EB516B"/>
    <w:rsid w:val="00EC0103"/>
    <w:rsid w:val="00EC26BE"/>
    <w:rsid w:val="00EC2893"/>
    <w:rsid w:val="00EC6E06"/>
    <w:rsid w:val="00ED0977"/>
    <w:rsid w:val="00ED3097"/>
    <w:rsid w:val="00ED4AE3"/>
    <w:rsid w:val="00ED4B57"/>
    <w:rsid w:val="00EE1E58"/>
    <w:rsid w:val="00EE4CB8"/>
    <w:rsid w:val="00EE55CF"/>
    <w:rsid w:val="00EE688A"/>
    <w:rsid w:val="00EE7774"/>
    <w:rsid w:val="00EE7D90"/>
    <w:rsid w:val="00EF3707"/>
    <w:rsid w:val="00EF5881"/>
    <w:rsid w:val="00EF765B"/>
    <w:rsid w:val="00EF7E1C"/>
    <w:rsid w:val="00F119CA"/>
    <w:rsid w:val="00F14EF8"/>
    <w:rsid w:val="00F162B8"/>
    <w:rsid w:val="00F22899"/>
    <w:rsid w:val="00F22951"/>
    <w:rsid w:val="00F22F74"/>
    <w:rsid w:val="00F25635"/>
    <w:rsid w:val="00F27B7E"/>
    <w:rsid w:val="00F37EF6"/>
    <w:rsid w:val="00F4181C"/>
    <w:rsid w:val="00F50B31"/>
    <w:rsid w:val="00F54BDB"/>
    <w:rsid w:val="00F61EB3"/>
    <w:rsid w:val="00F67869"/>
    <w:rsid w:val="00F737AF"/>
    <w:rsid w:val="00F76115"/>
    <w:rsid w:val="00F7705E"/>
    <w:rsid w:val="00F774AF"/>
    <w:rsid w:val="00F914FF"/>
    <w:rsid w:val="00F972EC"/>
    <w:rsid w:val="00FA150E"/>
    <w:rsid w:val="00FA3AA3"/>
    <w:rsid w:val="00FA3CCA"/>
    <w:rsid w:val="00FA43AC"/>
    <w:rsid w:val="00FB3B88"/>
    <w:rsid w:val="00FB41BE"/>
    <w:rsid w:val="00FC2C4E"/>
    <w:rsid w:val="00FC7AC5"/>
    <w:rsid w:val="00FD011A"/>
    <w:rsid w:val="00FD03CA"/>
    <w:rsid w:val="00FD4306"/>
    <w:rsid w:val="00FE3C3D"/>
    <w:rsid w:val="00FE5DE6"/>
    <w:rsid w:val="00FF0390"/>
    <w:rsid w:val="00FF265C"/>
    <w:rsid w:val="01017688"/>
    <w:rsid w:val="010471F8"/>
    <w:rsid w:val="011A24F4"/>
    <w:rsid w:val="011E3D92"/>
    <w:rsid w:val="01240571"/>
    <w:rsid w:val="013C690E"/>
    <w:rsid w:val="0176597C"/>
    <w:rsid w:val="018D4CD8"/>
    <w:rsid w:val="018E7169"/>
    <w:rsid w:val="019D115B"/>
    <w:rsid w:val="01A06E9D"/>
    <w:rsid w:val="01A324E9"/>
    <w:rsid w:val="01BB7833"/>
    <w:rsid w:val="01D4254C"/>
    <w:rsid w:val="01DA002D"/>
    <w:rsid w:val="01ED1BE8"/>
    <w:rsid w:val="02071F2A"/>
    <w:rsid w:val="020A35B3"/>
    <w:rsid w:val="021A1E5F"/>
    <w:rsid w:val="022A6766"/>
    <w:rsid w:val="02337D11"/>
    <w:rsid w:val="02346DB8"/>
    <w:rsid w:val="023C66B8"/>
    <w:rsid w:val="02671A0C"/>
    <w:rsid w:val="02720839"/>
    <w:rsid w:val="028B1A42"/>
    <w:rsid w:val="02971A19"/>
    <w:rsid w:val="02A26A79"/>
    <w:rsid w:val="02BF2C1C"/>
    <w:rsid w:val="02CB619B"/>
    <w:rsid w:val="02DA1F3A"/>
    <w:rsid w:val="02DA63DE"/>
    <w:rsid w:val="02E84D32"/>
    <w:rsid w:val="02FA082F"/>
    <w:rsid w:val="02FC0103"/>
    <w:rsid w:val="03125B78"/>
    <w:rsid w:val="033C2216"/>
    <w:rsid w:val="034848D2"/>
    <w:rsid w:val="035E2B6B"/>
    <w:rsid w:val="036068E4"/>
    <w:rsid w:val="036F2FCB"/>
    <w:rsid w:val="03780DFA"/>
    <w:rsid w:val="039667A9"/>
    <w:rsid w:val="03B46C2F"/>
    <w:rsid w:val="03E12B9A"/>
    <w:rsid w:val="03E9675B"/>
    <w:rsid w:val="03F223EC"/>
    <w:rsid w:val="03F50C28"/>
    <w:rsid w:val="04090D29"/>
    <w:rsid w:val="040C25C7"/>
    <w:rsid w:val="040E27E3"/>
    <w:rsid w:val="041B0A5C"/>
    <w:rsid w:val="041D42E4"/>
    <w:rsid w:val="041F199E"/>
    <w:rsid w:val="042C7A1F"/>
    <w:rsid w:val="045521C0"/>
    <w:rsid w:val="045B1D8C"/>
    <w:rsid w:val="0469394E"/>
    <w:rsid w:val="047563BF"/>
    <w:rsid w:val="04787C5D"/>
    <w:rsid w:val="048438E4"/>
    <w:rsid w:val="04965983"/>
    <w:rsid w:val="0498252B"/>
    <w:rsid w:val="049D76C3"/>
    <w:rsid w:val="04B70785"/>
    <w:rsid w:val="04B769D7"/>
    <w:rsid w:val="051F632A"/>
    <w:rsid w:val="05373674"/>
    <w:rsid w:val="05432019"/>
    <w:rsid w:val="05557E4F"/>
    <w:rsid w:val="055661F0"/>
    <w:rsid w:val="055B3F73"/>
    <w:rsid w:val="05681A7F"/>
    <w:rsid w:val="056A6ABC"/>
    <w:rsid w:val="056F2E0E"/>
    <w:rsid w:val="056F52F7"/>
    <w:rsid w:val="05850883"/>
    <w:rsid w:val="05883ED0"/>
    <w:rsid w:val="059D3E1F"/>
    <w:rsid w:val="059E6729"/>
    <w:rsid w:val="05B2719F"/>
    <w:rsid w:val="05B31BD4"/>
    <w:rsid w:val="05CC3BFF"/>
    <w:rsid w:val="05D215EF"/>
    <w:rsid w:val="05EC749A"/>
    <w:rsid w:val="05F53469"/>
    <w:rsid w:val="060C4B01"/>
    <w:rsid w:val="060D2627"/>
    <w:rsid w:val="061614DB"/>
    <w:rsid w:val="06261EED"/>
    <w:rsid w:val="065564A8"/>
    <w:rsid w:val="06563FCE"/>
    <w:rsid w:val="06732DD2"/>
    <w:rsid w:val="067601CC"/>
    <w:rsid w:val="068154EF"/>
    <w:rsid w:val="069A65B0"/>
    <w:rsid w:val="069B5C91"/>
    <w:rsid w:val="06B531BD"/>
    <w:rsid w:val="06F51A39"/>
    <w:rsid w:val="07041C7C"/>
    <w:rsid w:val="071A149F"/>
    <w:rsid w:val="072A5159"/>
    <w:rsid w:val="073D2C3C"/>
    <w:rsid w:val="0749768F"/>
    <w:rsid w:val="074A1D85"/>
    <w:rsid w:val="074A2413"/>
    <w:rsid w:val="075224F7"/>
    <w:rsid w:val="0768220B"/>
    <w:rsid w:val="07691ADF"/>
    <w:rsid w:val="076D7821"/>
    <w:rsid w:val="07720E7E"/>
    <w:rsid w:val="07756E35"/>
    <w:rsid w:val="07832BA1"/>
    <w:rsid w:val="07AC64A5"/>
    <w:rsid w:val="07AD40C1"/>
    <w:rsid w:val="07CB4548"/>
    <w:rsid w:val="07CF228A"/>
    <w:rsid w:val="07D21D7A"/>
    <w:rsid w:val="07DE7496"/>
    <w:rsid w:val="07FF5C22"/>
    <w:rsid w:val="080A32C2"/>
    <w:rsid w:val="080B2B96"/>
    <w:rsid w:val="080F08D8"/>
    <w:rsid w:val="08167EB9"/>
    <w:rsid w:val="08187D50"/>
    <w:rsid w:val="0822685D"/>
    <w:rsid w:val="08274BAD"/>
    <w:rsid w:val="083A6F9C"/>
    <w:rsid w:val="083B334F"/>
    <w:rsid w:val="084700AA"/>
    <w:rsid w:val="0854278F"/>
    <w:rsid w:val="08592B67"/>
    <w:rsid w:val="085A5FF7"/>
    <w:rsid w:val="087911A9"/>
    <w:rsid w:val="08793FA4"/>
    <w:rsid w:val="087D3A94"/>
    <w:rsid w:val="088C6950"/>
    <w:rsid w:val="08943866"/>
    <w:rsid w:val="0898050D"/>
    <w:rsid w:val="08AC6127"/>
    <w:rsid w:val="08B60D54"/>
    <w:rsid w:val="08D87341"/>
    <w:rsid w:val="08F55D20"/>
    <w:rsid w:val="09072842"/>
    <w:rsid w:val="09105748"/>
    <w:rsid w:val="0922463B"/>
    <w:rsid w:val="09224B50"/>
    <w:rsid w:val="09572537"/>
    <w:rsid w:val="096C36E7"/>
    <w:rsid w:val="097D1872"/>
    <w:rsid w:val="09834B42"/>
    <w:rsid w:val="099F5C8C"/>
    <w:rsid w:val="09A03EDE"/>
    <w:rsid w:val="09A3577C"/>
    <w:rsid w:val="09AB79F4"/>
    <w:rsid w:val="09B01C47"/>
    <w:rsid w:val="09C556F2"/>
    <w:rsid w:val="09D05E45"/>
    <w:rsid w:val="09F064E7"/>
    <w:rsid w:val="0A060DB0"/>
    <w:rsid w:val="0A075D0B"/>
    <w:rsid w:val="0A0B3F98"/>
    <w:rsid w:val="0A0B50CF"/>
    <w:rsid w:val="0A124F9F"/>
    <w:rsid w:val="0A335165"/>
    <w:rsid w:val="0A7333A0"/>
    <w:rsid w:val="0A7B4003"/>
    <w:rsid w:val="0A8F6EE2"/>
    <w:rsid w:val="0A9450C5"/>
    <w:rsid w:val="0AA74DF8"/>
    <w:rsid w:val="0AB26C67"/>
    <w:rsid w:val="0ABA47C0"/>
    <w:rsid w:val="0ACB4F8A"/>
    <w:rsid w:val="0AD20566"/>
    <w:rsid w:val="0AE10E84"/>
    <w:rsid w:val="0AE35902"/>
    <w:rsid w:val="0AE944BC"/>
    <w:rsid w:val="0AEE5DB5"/>
    <w:rsid w:val="0AF0679F"/>
    <w:rsid w:val="0AF142C5"/>
    <w:rsid w:val="0AF23140"/>
    <w:rsid w:val="0AF73FD1"/>
    <w:rsid w:val="0B1A719F"/>
    <w:rsid w:val="0B2226D0"/>
    <w:rsid w:val="0B386398"/>
    <w:rsid w:val="0B446AEB"/>
    <w:rsid w:val="0B4B40F9"/>
    <w:rsid w:val="0B523511"/>
    <w:rsid w:val="0B534EAD"/>
    <w:rsid w:val="0B54799E"/>
    <w:rsid w:val="0B651BC6"/>
    <w:rsid w:val="0B6947A3"/>
    <w:rsid w:val="0B6B4077"/>
    <w:rsid w:val="0B854FF4"/>
    <w:rsid w:val="0B867103"/>
    <w:rsid w:val="0B913E97"/>
    <w:rsid w:val="0B9E269F"/>
    <w:rsid w:val="0BBF6171"/>
    <w:rsid w:val="0BC04F97"/>
    <w:rsid w:val="0BCA4384"/>
    <w:rsid w:val="0BD7170D"/>
    <w:rsid w:val="0BEB51B8"/>
    <w:rsid w:val="0BF57DE5"/>
    <w:rsid w:val="0BF923A4"/>
    <w:rsid w:val="0C1849DB"/>
    <w:rsid w:val="0C236700"/>
    <w:rsid w:val="0C25691C"/>
    <w:rsid w:val="0C450D6C"/>
    <w:rsid w:val="0C4843B9"/>
    <w:rsid w:val="0C4A6383"/>
    <w:rsid w:val="0C4D7C21"/>
    <w:rsid w:val="0C590374"/>
    <w:rsid w:val="0C6D3E1F"/>
    <w:rsid w:val="0C7D22B4"/>
    <w:rsid w:val="0C7F7309"/>
    <w:rsid w:val="0C85560D"/>
    <w:rsid w:val="0C8A2C23"/>
    <w:rsid w:val="0CAA4A42"/>
    <w:rsid w:val="0CAF268A"/>
    <w:rsid w:val="0CAF436C"/>
    <w:rsid w:val="0CB97065"/>
    <w:rsid w:val="0CC51EAD"/>
    <w:rsid w:val="0CD820AB"/>
    <w:rsid w:val="0CDA003C"/>
    <w:rsid w:val="0CE00A95"/>
    <w:rsid w:val="0CEA2B4F"/>
    <w:rsid w:val="0CEE31B2"/>
    <w:rsid w:val="0CF0217F"/>
    <w:rsid w:val="0D0C53E6"/>
    <w:rsid w:val="0D3A05F9"/>
    <w:rsid w:val="0D3D41B1"/>
    <w:rsid w:val="0D3E4BF8"/>
    <w:rsid w:val="0D4873BB"/>
    <w:rsid w:val="0D4E59FF"/>
    <w:rsid w:val="0D6276FC"/>
    <w:rsid w:val="0D6C40D7"/>
    <w:rsid w:val="0D7336B7"/>
    <w:rsid w:val="0D7C07BE"/>
    <w:rsid w:val="0D7C083F"/>
    <w:rsid w:val="0D892EDB"/>
    <w:rsid w:val="0D8E04F1"/>
    <w:rsid w:val="0D98311E"/>
    <w:rsid w:val="0DBA3094"/>
    <w:rsid w:val="0DC21DE7"/>
    <w:rsid w:val="0DD42148"/>
    <w:rsid w:val="0DDC300B"/>
    <w:rsid w:val="0DDE3227"/>
    <w:rsid w:val="0DDF6F9F"/>
    <w:rsid w:val="0DE835F8"/>
    <w:rsid w:val="0DF70178"/>
    <w:rsid w:val="0DF72D6B"/>
    <w:rsid w:val="0E211365"/>
    <w:rsid w:val="0E3E5A73"/>
    <w:rsid w:val="0E456E02"/>
    <w:rsid w:val="0E4B0190"/>
    <w:rsid w:val="0E4B63E2"/>
    <w:rsid w:val="0E574D87"/>
    <w:rsid w:val="0E6D784E"/>
    <w:rsid w:val="0E707BF7"/>
    <w:rsid w:val="0E87566C"/>
    <w:rsid w:val="0E8D2557"/>
    <w:rsid w:val="0E8F62CF"/>
    <w:rsid w:val="0E910299"/>
    <w:rsid w:val="0E925DBF"/>
    <w:rsid w:val="0E990EFC"/>
    <w:rsid w:val="0EAB5613"/>
    <w:rsid w:val="0EAE0E4B"/>
    <w:rsid w:val="0EBB70C4"/>
    <w:rsid w:val="0ECA5559"/>
    <w:rsid w:val="0ED02BFD"/>
    <w:rsid w:val="0EF32600"/>
    <w:rsid w:val="0F0616D9"/>
    <w:rsid w:val="0F0D215C"/>
    <w:rsid w:val="0F130CAE"/>
    <w:rsid w:val="0F136F00"/>
    <w:rsid w:val="0F1D5319"/>
    <w:rsid w:val="0F386AD9"/>
    <w:rsid w:val="0F455830"/>
    <w:rsid w:val="0F4B5F54"/>
    <w:rsid w:val="0F557518"/>
    <w:rsid w:val="0F655282"/>
    <w:rsid w:val="0F6E4136"/>
    <w:rsid w:val="0F9A317D"/>
    <w:rsid w:val="0FA22032"/>
    <w:rsid w:val="0FA93ED9"/>
    <w:rsid w:val="0FB07EA3"/>
    <w:rsid w:val="0FB26719"/>
    <w:rsid w:val="0FC14BAE"/>
    <w:rsid w:val="0FF24D67"/>
    <w:rsid w:val="10087A61"/>
    <w:rsid w:val="100E76C7"/>
    <w:rsid w:val="100F3B6B"/>
    <w:rsid w:val="10260F59"/>
    <w:rsid w:val="10321248"/>
    <w:rsid w:val="103A670E"/>
    <w:rsid w:val="104906FF"/>
    <w:rsid w:val="106A6FF4"/>
    <w:rsid w:val="106D1F9F"/>
    <w:rsid w:val="1071384D"/>
    <w:rsid w:val="108547E4"/>
    <w:rsid w:val="10AF1D60"/>
    <w:rsid w:val="10AF2C58"/>
    <w:rsid w:val="10B62239"/>
    <w:rsid w:val="10C65213"/>
    <w:rsid w:val="10C728FB"/>
    <w:rsid w:val="10D051FA"/>
    <w:rsid w:val="10D70037"/>
    <w:rsid w:val="10E94AC2"/>
    <w:rsid w:val="10EC6DE6"/>
    <w:rsid w:val="10FB7C4C"/>
    <w:rsid w:val="110D76FE"/>
    <w:rsid w:val="11140D0D"/>
    <w:rsid w:val="111927C8"/>
    <w:rsid w:val="1131366D"/>
    <w:rsid w:val="11542FBA"/>
    <w:rsid w:val="11592BC4"/>
    <w:rsid w:val="116A0355"/>
    <w:rsid w:val="116C6D9B"/>
    <w:rsid w:val="116E48C1"/>
    <w:rsid w:val="117B2B3A"/>
    <w:rsid w:val="11845E93"/>
    <w:rsid w:val="11847C41"/>
    <w:rsid w:val="11A21FA6"/>
    <w:rsid w:val="11A55E09"/>
    <w:rsid w:val="11B919E9"/>
    <w:rsid w:val="11C10E95"/>
    <w:rsid w:val="11C20769"/>
    <w:rsid w:val="11C6062D"/>
    <w:rsid w:val="11CB5870"/>
    <w:rsid w:val="11DC7A7D"/>
    <w:rsid w:val="11E701D0"/>
    <w:rsid w:val="120449A5"/>
    <w:rsid w:val="12046FD4"/>
    <w:rsid w:val="1226663F"/>
    <w:rsid w:val="122E0087"/>
    <w:rsid w:val="123A47A4"/>
    <w:rsid w:val="12481006"/>
    <w:rsid w:val="124D097B"/>
    <w:rsid w:val="124E024F"/>
    <w:rsid w:val="12717356"/>
    <w:rsid w:val="129C545E"/>
    <w:rsid w:val="12A61E39"/>
    <w:rsid w:val="12C7072D"/>
    <w:rsid w:val="12D44BF8"/>
    <w:rsid w:val="12E50BB3"/>
    <w:rsid w:val="12EF37E0"/>
    <w:rsid w:val="131B45D5"/>
    <w:rsid w:val="13255042"/>
    <w:rsid w:val="13390EFF"/>
    <w:rsid w:val="134D7869"/>
    <w:rsid w:val="13515442"/>
    <w:rsid w:val="13737F6D"/>
    <w:rsid w:val="137D2B9A"/>
    <w:rsid w:val="13822173"/>
    <w:rsid w:val="13B80076"/>
    <w:rsid w:val="13BE226B"/>
    <w:rsid w:val="13D87533"/>
    <w:rsid w:val="13DE7BFE"/>
    <w:rsid w:val="13E16E57"/>
    <w:rsid w:val="13E66A37"/>
    <w:rsid w:val="142427BA"/>
    <w:rsid w:val="14270D58"/>
    <w:rsid w:val="143F754A"/>
    <w:rsid w:val="144E09DA"/>
    <w:rsid w:val="14584ED1"/>
    <w:rsid w:val="145C6C53"/>
    <w:rsid w:val="14627FE2"/>
    <w:rsid w:val="14681A9C"/>
    <w:rsid w:val="14891B03"/>
    <w:rsid w:val="148A176C"/>
    <w:rsid w:val="149F3E82"/>
    <w:rsid w:val="14A609A9"/>
    <w:rsid w:val="14AE3227"/>
    <w:rsid w:val="14F275B8"/>
    <w:rsid w:val="14F638B6"/>
    <w:rsid w:val="15024ED0"/>
    <w:rsid w:val="15033573"/>
    <w:rsid w:val="15086BE0"/>
    <w:rsid w:val="151B6B0E"/>
    <w:rsid w:val="15233C15"/>
    <w:rsid w:val="153674A4"/>
    <w:rsid w:val="153E27FD"/>
    <w:rsid w:val="153E5921"/>
    <w:rsid w:val="15415E49"/>
    <w:rsid w:val="1542187A"/>
    <w:rsid w:val="15512530"/>
    <w:rsid w:val="15524C0F"/>
    <w:rsid w:val="156262F2"/>
    <w:rsid w:val="15630FC0"/>
    <w:rsid w:val="156758B0"/>
    <w:rsid w:val="156766DD"/>
    <w:rsid w:val="1584492D"/>
    <w:rsid w:val="158A3C94"/>
    <w:rsid w:val="159D7523"/>
    <w:rsid w:val="15B66808"/>
    <w:rsid w:val="15E2587E"/>
    <w:rsid w:val="15F35395"/>
    <w:rsid w:val="15FB06EE"/>
    <w:rsid w:val="16183D72"/>
    <w:rsid w:val="16257519"/>
    <w:rsid w:val="16290B59"/>
    <w:rsid w:val="16396E6D"/>
    <w:rsid w:val="164976AB"/>
    <w:rsid w:val="164E081E"/>
    <w:rsid w:val="16551036"/>
    <w:rsid w:val="16626EBF"/>
    <w:rsid w:val="166E0EC0"/>
    <w:rsid w:val="167C71C0"/>
    <w:rsid w:val="167F4E7B"/>
    <w:rsid w:val="168B191E"/>
    <w:rsid w:val="168D57EA"/>
    <w:rsid w:val="16922E00"/>
    <w:rsid w:val="16AD19E8"/>
    <w:rsid w:val="16CA07EC"/>
    <w:rsid w:val="16DC051F"/>
    <w:rsid w:val="16E26EA8"/>
    <w:rsid w:val="16E80C72"/>
    <w:rsid w:val="16F74821"/>
    <w:rsid w:val="170830C2"/>
    <w:rsid w:val="170D4E5D"/>
    <w:rsid w:val="171750B3"/>
    <w:rsid w:val="17360F2A"/>
    <w:rsid w:val="17364417"/>
    <w:rsid w:val="17376E39"/>
    <w:rsid w:val="174D4F79"/>
    <w:rsid w:val="17571954"/>
    <w:rsid w:val="175F7F8D"/>
    <w:rsid w:val="17620A24"/>
    <w:rsid w:val="17642F6B"/>
    <w:rsid w:val="17810C39"/>
    <w:rsid w:val="178869F1"/>
    <w:rsid w:val="178963E1"/>
    <w:rsid w:val="178B07B6"/>
    <w:rsid w:val="178C784F"/>
    <w:rsid w:val="179B3256"/>
    <w:rsid w:val="179D1B21"/>
    <w:rsid w:val="17AF79E2"/>
    <w:rsid w:val="17C63C83"/>
    <w:rsid w:val="17E05DED"/>
    <w:rsid w:val="17F51899"/>
    <w:rsid w:val="17FB2C27"/>
    <w:rsid w:val="180A4C18"/>
    <w:rsid w:val="181D0DEF"/>
    <w:rsid w:val="181E2472"/>
    <w:rsid w:val="18273A1C"/>
    <w:rsid w:val="183028D1"/>
    <w:rsid w:val="18365A0D"/>
    <w:rsid w:val="18395559"/>
    <w:rsid w:val="183A72AB"/>
    <w:rsid w:val="18574301"/>
    <w:rsid w:val="186715DB"/>
    <w:rsid w:val="186D5802"/>
    <w:rsid w:val="187327BD"/>
    <w:rsid w:val="18784278"/>
    <w:rsid w:val="18844672"/>
    <w:rsid w:val="18992975"/>
    <w:rsid w:val="189A41EE"/>
    <w:rsid w:val="18D23988"/>
    <w:rsid w:val="18DF4107"/>
    <w:rsid w:val="18E13BCB"/>
    <w:rsid w:val="18F002B2"/>
    <w:rsid w:val="19024E0F"/>
    <w:rsid w:val="19042DBF"/>
    <w:rsid w:val="191B532F"/>
    <w:rsid w:val="191D6BF1"/>
    <w:rsid w:val="1922346A"/>
    <w:rsid w:val="19341F4D"/>
    <w:rsid w:val="193D3012"/>
    <w:rsid w:val="194F4FD8"/>
    <w:rsid w:val="19550115"/>
    <w:rsid w:val="19890749"/>
    <w:rsid w:val="199E673F"/>
    <w:rsid w:val="19A52E4A"/>
    <w:rsid w:val="19BD0194"/>
    <w:rsid w:val="19C21C4E"/>
    <w:rsid w:val="19D07257"/>
    <w:rsid w:val="19DB4ABE"/>
    <w:rsid w:val="19DB5481"/>
    <w:rsid w:val="19DE594A"/>
    <w:rsid w:val="19EA6AAF"/>
    <w:rsid w:val="19EF2318"/>
    <w:rsid w:val="19F53DD2"/>
    <w:rsid w:val="1A0062D3"/>
    <w:rsid w:val="1A045DC3"/>
    <w:rsid w:val="1A0758B3"/>
    <w:rsid w:val="1A1A2278"/>
    <w:rsid w:val="1A3D12D5"/>
    <w:rsid w:val="1A3F504D"/>
    <w:rsid w:val="1A484F3B"/>
    <w:rsid w:val="1A5B175B"/>
    <w:rsid w:val="1A7D02C2"/>
    <w:rsid w:val="1A815666"/>
    <w:rsid w:val="1A935399"/>
    <w:rsid w:val="1AB71087"/>
    <w:rsid w:val="1AC15A62"/>
    <w:rsid w:val="1ACE5433"/>
    <w:rsid w:val="1AD559B1"/>
    <w:rsid w:val="1AD804B9"/>
    <w:rsid w:val="1AE16104"/>
    <w:rsid w:val="1AF71484"/>
    <w:rsid w:val="1AFB5BF4"/>
    <w:rsid w:val="1B4B639F"/>
    <w:rsid w:val="1B5F527B"/>
    <w:rsid w:val="1B6C00C4"/>
    <w:rsid w:val="1B6F1962"/>
    <w:rsid w:val="1B731380"/>
    <w:rsid w:val="1B7F1479"/>
    <w:rsid w:val="1B856CC1"/>
    <w:rsid w:val="1B9E2247"/>
    <w:rsid w:val="1B9E5092"/>
    <w:rsid w:val="1BBA3BF3"/>
    <w:rsid w:val="1BE91714"/>
    <w:rsid w:val="1C112A19"/>
    <w:rsid w:val="1C295FB5"/>
    <w:rsid w:val="1C2E5379"/>
    <w:rsid w:val="1C33473D"/>
    <w:rsid w:val="1C35495A"/>
    <w:rsid w:val="1C354C6E"/>
    <w:rsid w:val="1C381D54"/>
    <w:rsid w:val="1C4508ED"/>
    <w:rsid w:val="1C47643B"/>
    <w:rsid w:val="1C4A5F2B"/>
    <w:rsid w:val="1C5E3000"/>
    <w:rsid w:val="1C6074FD"/>
    <w:rsid w:val="1C7237A6"/>
    <w:rsid w:val="1C7B7E93"/>
    <w:rsid w:val="1C913B5A"/>
    <w:rsid w:val="1CA76EDA"/>
    <w:rsid w:val="1CA91D8C"/>
    <w:rsid w:val="1CA93208"/>
    <w:rsid w:val="1CC41839"/>
    <w:rsid w:val="1CC7757C"/>
    <w:rsid w:val="1D1A76AB"/>
    <w:rsid w:val="1D1F3DB8"/>
    <w:rsid w:val="1D2B7B0B"/>
    <w:rsid w:val="1D4A647E"/>
    <w:rsid w:val="1D501C9D"/>
    <w:rsid w:val="1D664516"/>
    <w:rsid w:val="1D7E40DE"/>
    <w:rsid w:val="1D976F4E"/>
    <w:rsid w:val="1DA8115B"/>
    <w:rsid w:val="1DBE44DB"/>
    <w:rsid w:val="1DD45AAC"/>
    <w:rsid w:val="1DEB1048"/>
    <w:rsid w:val="1DFF6B1C"/>
    <w:rsid w:val="1E0956E4"/>
    <w:rsid w:val="1E1E766F"/>
    <w:rsid w:val="1E29229C"/>
    <w:rsid w:val="1E3C4ED8"/>
    <w:rsid w:val="1E4075E6"/>
    <w:rsid w:val="1E4B409F"/>
    <w:rsid w:val="1E566E09"/>
    <w:rsid w:val="1E7159F1"/>
    <w:rsid w:val="1E766B63"/>
    <w:rsid w:val="1E845724"/>
    <w:rsid w:val="1E9B0CC0"/>
    <w:rsid w:val="1EBA1146"/>
    <w:rsid w:val="1EC71AB5"/>
    <w:rsid w:val="1ECE2E43"/>
    <w:rsid w:val="1ED65766"/>
    <w:rsid w:val="1EDA3596"/>
    <w:rsid w:val="1EDB2E6A"/>
    <w:rsid w:val="1EE46D29"/>
    <w:rsid w:val="1EFA1543"/>
    <w:rsid w:val="1EFD1033"/>
    <w:rsid w:val="1F2111C5"/>
    <w:rsid w:val="1F244811"/>
    <w:rsid w:val="1F2667DB"/>
    <w:rsid w:val="1F7F2569"/>
    <w:rsid w:val="1F8654CC"/>
    <w:rsid w:val="1F8B3BE5"/>
    <w:rsid w:val="1F8D0151"/>
    <w:rsid w:val="1FA83694"/>
    <w:rsid w:val="1FBB33C8"/>
    <w:rsid w:val="1FD74429"/>
    <w:rsid w:val="1FD9384E"/>
    <w:rsid w:val="1FF03F57"/>
    <w:rsid w:val="1FFB1A16"/>
    <w:rsid w:val="20054643"/>
    <w:rsid w:val="2011123A"/>
    <w:rsid w:val="20196340"/>
    <w:rsid w:val="20315438"/>
    <w:rsid w:val="20352367"/>
    <w:rsid w:val="20370574"/>
    <w:rsid w:val="204056B9"/>
    <w:rsid w:val="20407429"/>
    <w:rsid w:val="20533D65"/>
    <w:rsid w:val="20592164"/>
    <w:rsid w:val="206750B4"/>
    <w:rsid w:val="206A61F8"/>
    <w:rsid w:val="207A707D"/>
    <w:rsid w:val="208A4F24"/>
    <w:rsid w:val="20A43E5C"/>
    <w:rsid w:val="20BE24CA"/>
    <w:rsid w:val="20C04A0E"/>
    <w:rsid w:val="20D109C9"/>
    <w:rsid w:val="20DD736E"/>
    <w:rsid w:val="20DE4242"/>
    <w:rsid w:val="20F450A1"/>
    <w:rsid w:val="20F546B7"/>
    <w:rsid w:val="20FA4556"/>
    <w:rsid w:val="21052421"/>
    <w:rsid w:val="210D73EA"/>
    <w:rsid w:val="21240AF9"/>
    <w:rsid w:val="212703C6"/>
    <w:rsid w:val="21484D25"/>
    <w:rsid w:val="214E5B76"/>
    <w:rsid w:val="215A3E8B"/>
    <w:rsid w:val="21682E26"/>
    <w:rsid w:val="216B2906"/>
    <w:rsid w:val="21761BDC"/>
    <w:rsid w:val="21772E68"/>
    <w:rsid w:val="218A7DF7"/>
    <w:rsid w:val="21941D90"/>
    <w:rsid w:val="21A63C04"/>
    <w:rsid w:val="21A8797C"/>
    <w:rsid w:val="21AD04D0"/>
    <w:rsid w:val="21C244AB"/>
    <w:rsid w:val="21CB5418"/>
    <w:rsid w:val="21E45E44"/>
    <w:rsid w:val="21E8421C"/>
    <w:rsid w:val="21F12020"/>
    <w:rsid w:val="2217065D"/>
    <w:rsid w:val="22367CE0"/>
    <w:rsid w:val="224D407F"/>
    <w:rsid w:val="2254540E"/>
    <w:rsid w:val="22631AF5"/>
    <w:rsid w:val="226960E2"/>
    <w:rsid w:val="22717D6E"/>
    <w:rsid w:val="22761828"/>
    <w:rsid w:val="227F44DD"/>
    <w:rsid w:val="2280028D"/>
    <w:rsid w:val="2281060B"/>
    <w:rsid w:val="22853819"/>
    <w:rsid w:val="22D56F29"/>
    <w:rsid w:val="22DD016E"/>
    <w:rsid w:val="22F92063"/>
    <w:rsid w:val="230230BC"/>
    <w:rsid w:val="23111551"/>
    <w:rsid w:val="2322375E"/>
    <w:rsid w:val="23250B58"/>
    <w:rsid w:val="234150EB"/>
    <w:rsid w:val="23777564"/>
    <w:rsid w:val="23A2083A"/>
    <w:rsid w:val="23B42895"/>
    <w:rsid w:val="23B600CB"/>
    <w:rsid w:val="23EB3B50"/>
    <w:rsid w:val="23EB61A9"/>
    <w:rsid w:val="23F8626D"/>
    <w:rsid w:val="23FA4DA5"/>
    <w:rsid w:val="2432177F"/>
    <w:rsid w:val="24645760"/>
    <w:rsid w:val="246B41EE"/>
    <w:rsid w:val="247671AB"/>
    <w:rsid w:val="248024EA"/>
    <w:rsid w:val="24876A72"/>
    <w:rsid w:val="248C70E1"/>
    <w:rsid w:val="248D4C07"/>
    <w:rsid w:val="24AD52A9"/>
    <w:rsid w:val="24B86128"/>
    <w:rsid w:val="24C21074"/>
    <w:rsid w:val="24D10F97"/>
    <w:rsid w:val="24D40A88"/>
    <w:rsid w:val="24DE36B4"/>
    <w:rsid w:val="25154D3D"/>
    <w:rsid w:val="251A48F4"/>
    <w:rsid w:val="251B66B7"/>
    <w:rsid w:val="25227A45"/>
    <w:rsid w:val="253B0B07"/>
    <w:rsid w:val="257872EB"/>
    <w:rsid w:val="25796F45"/>
    <w:rsid w:val="257D05D9"/>
    <w:rsid w:val="258B7398"/>
    <w:rsid w:val="259E03A7"/>
    <w:rsid w:val="25A77F4A"/>
    <w:rsid w:val="25D45AED"/>
    <w:rsid w:val="25DE1FA0"/>
    <w:rsid w:val="25E116AE"/>
    <w:rsid w:val="25EF7CCF"/>
    <w:rsid w:val="25F34F3E"/>
    <w:rsid w:val="25F807A6"/>
    <w:rsid w:val="26061115"/>
    <w:rsid w:val="26183390"/>
    <w:rsid w:val="26284BE7"/>
    <w:rsid w:val="26431A21"/>
    <w:rsid w:val="26A526DC"/>
    <w:rsid w:val="26AF70B6"/>
    <w:rsid w:val="26C72687"/>
    <w:rsid w:val="26D45F8B"/>
    <w:rsid w:val="26DD00C8"/>
    <w:rsid w:val="26E31456"/>
    <w:rsid w:val="26F64CE5"/>
    <w:rsid w:val="26F970D3"/>
    <w:rsid w:val="270F72F6"/>
    <w:rsid w:val="271433BD"/>
    <w:rsid w:val="27193C6C"/>
    <w:rsid w:val="27277595"/>
    <w:rsid w:val="272E79DF"/>
    <w:rsid w:val="273807F7"/>
    <w:rsid w:val="27427CA0"/>
    <w:rsid w:val="27436777"/>
    <w:rsid w:val="275D2F5E"/>
    <w:rsid w:val="276E3D7E"/>
    <w:rsid w:val="27895B59"/>
    <w:rsid w:val="279938C3"/>
    <w:rsid w:val="27A50D40"/>
    <w:rsid w:val="27B01338"/>
    <w:rsid w:val="27B506FD"/>
    <w:rsid w:val="27BD1CA7"/>
    <w:rsid w:val="27CC5A46"/>
    <w:rsid w:val="27D25752"/>
    <w:rsid w:val="27EF34EB"/>
    <w:rsid w:val="27F154AD"/>
    <w:rsid w:val="27F61698"/>
    <w:rsid w:val="280B48A6"/>
    <w:rsid w:val="280C003E"/>
    <w:rsid w:val="281D62A2"/>
    <w:rsid w:val="281E2746"/>
    <w:rsid w:val="2834568E"/>
    <w:rsid w:val="283830DC"/>
    <w:rsid w:val="284677F2"/>
    <w:rsid w:val="286F11F3"/>
    <w:rsid w:val="287405B8"/>
    <w:rsid w:val="287F0D0A"/>
    <w:rsid w:val="28971705"/>
    <w:rsid w:val="28A10C81"/>
    <w:rsid w:val="28A40771"/>
    <w:rsid w:val="28A821AA"/>
    <w:rsid w:val="28AD1D1C"/>
    <w:rsid w:val="28C97329"/>
    <w:rsid w:val="28D64DCE"/>
    <w:rsid w:val="28DC62BB"/>
    <w:rsid w:val="28E16DD3"/>
    <w:rsid w:val="290F6532"/>
    <w:rsid w:val="291B4ED7"/>
    <w:rsid w:val="291B77AC"/>
    <w:rsid w:val="293B7327"/>
    <w:rsid w:val="295F6E4E"/>
    <w:rsid w:val="296E14AB"/>
    <w:rsid w:val="29743BDA"/>
    <w:rsid w:val="297C6975"/>
    <w:rsid w:val="29946A38"/>
    <w:rsid w:val="29A0362E"/>
    <w:rsid w:val="29A31513"/>
    <w:rsid w:val="29AB625B"/>
    <w:rsid w:val="29B42C36"/>
    <w:rsid w:val="2A04596B"/>
    <w:rsid w:val="2A0C2A72"/>
    <w:rsid w:val="2A2B114A"/>
    <w:rsid w:val="2A2D1D34"/>
    <w:rsid w:val="2A4144C9"/>
    <w:rsid w:val="2A4E308A"/>
    <w:rsid w:val="2A5561C7"/>
    <w:rsid w:val="2A5609F7"/>
    <w:rsid w:val="2A602C2F"/>
    <w:rsid w:val="2A614B6C"/>
    <w:rsid w:val="2A6A2ACF"/>
    <w:rsid w:val="2A6B7798"/>
    <w:rsid w:val="2A72199D"/>
    <w:rsid w:val="2A8C47EC"/>
    <w:rsid w:val="2A8F792B"/>
    <w:rsid w:val="2ACA07CB"/>
    <w:rsid w:val="2ACD3FAF"/>
    <w:rsid w:val="2ADC2444"/>
    <w:rsid w:val="2AE5558D"/>
    <w:rsid w:val="2AFB2BC0"/>
    <w:rsid w:val="2B0472C1"/>
    <w:rsid w:val="2B0674C1"/>
    <w:rsid w:val="2B404781"/>
    <w:rsid w:val="2B4C581C"/>
    <w:rsid w:val="2B554B02"/>
    <w:rsid w:val="2B585F6F"/>
    <w:rsid w:val="2B5E554F"/>
    <w:rsid w:val="2B68316F"/>
    <w:rsid w:val="2B6A3EF4"/>
    <w:rsid w:val="2B8054C5"/>
    <w:rsid w:val="2B852ADC"/>
    <w:rsid w:val="2B853F79"/>
    <w:rsid w:val="2B870602"/>
    <w:rsid w:val="2B8C393E"/>
    <w:rsid w:val="2B9170FE"/>
    <w:rsid w:val="2B9F3B9D"/>
    <w:rsid w:val="2BB37649"/>
    <w:rsid w:val="2BB46F1D"/>
    <w:rsid w:val="2BC52ED8"/>
    <w:rsid w:val="2BCB1525"/>
    <w:rsid w:val="2BCE466D"/>
    <w:rsid w:val="2BD575BF"/>
    <w:rsid w:val="2BD83B63"/>
    <w:rsid w:val="2BFD6B16"/>
    <w:rsid w:val="2C0559CB"/>
    <w:rsid w:val="2C0F23A5"/>
    <w:rsid w:val="2C263D52"/>
    <w:rsid w:val="2C2C2F57"/>
    <w:rsid w:val="2C314381"/>
    <w:rsid w:val="2C424529"/>
    <w:rsid w:val="2C483F8B"/>
    <w:rsid w:val="2C511B35"/>
    <w:rsid w:val="2C6941A5"/>
    <w:rsid w:val="2C7D37B3"/>
    <w:rsid w:val="2C7F4A6F"/>
    <w:rsid w:val="2C830311"/>
    <w:rsid w:val="2C901738"/>
    <w:rsid w:val="2C974875"/>
    <w:rsid w:val="2C982242"/>
    <w:rsid w:val="2CB438B5"/>
    <w:rsid w:val="2CC66F08"/>
    <w:rsid w:val="2CD71115"/>
    <w:rsid w:val="2CDC2BCF"/>
    <w:rsid w:val="2D016192"/>
    <w:rsid w:val="2D0363AE"/>
    <w:rsid w:val="2D0F08AF"/>
    <w:rsid w:val="2D155BB1"/>
    <w:rsid w:val="2D1E755B"/>
    <w:rsid w:val="2D2A2BE8"/>
    <w:rsid w:val="2D3661BD"/>
    <w:rsid w:val="2D376FAF"/>
    <w:rsid w:val="2D382AA4"/>
    <w:rsid w:val="2D3E4EC7"/>
    <w:rsid w:val="2D4B2218"/>
    <w:rsid w:val="2D4B38B1"/>
    <w:rsid w:val="2D5B1D46"/>
    <w:rsid w:val="2D5C5ABE"/>
    <w:rsid w:val="2D5F05BB"/>
    <w:rsid w:val="2D7579BD"/>
    <w:rsid w:val="2D8F19F0"/>
    <w:rsid w:val="2D957971"/>
    <w:rsid w:val="2DAA0707"/>
    <w:rsid w:val="2DDD1E91"/>
    <w:rsid w:val="2DDF3957"/>
    <w:rsid w:val="2DE509F2"/>
    <w:rsid w:val="2DF030A2"/>
    <w:rsid w:val="2DFD4BAB"/>
    <w:rsid w:val="2E136236"/>
    <w:rsid w:val="2E335840"/>
    <w:rsid w:val="2E3600BD"/>
    <w:rsid w:val="2E697EFD"/>
    <w:rsid w:val="2E755089"/>
    <w:rsid w:val="2E8E1CA7"/>
    <w:rsid w:val="2E902470"/>
    <w:rsid w:val="2E9372BE"/>
    <w:rsid w:val="2EAD65D1"/>
    <w:rsid w:val="2EDA1029"/>
    <w:rsid w:val="2EE713B8"/>
    <w:rsid w:val="2EEB70FA"/>
    <w:rsid w:val="2F077072"/>
    <w:rsid w:val="2F077542"/>
    <w:rsid w:val="2F081A5A"/>
    <w:rsid w:val="2F164660"/>
    <w:rsid w:val="2F1A79DF"/>
    <w:rsid w:val="2F1C3BAE"/>
    <w:rsid w:val="2F2A5E74"/>
    <w:rsid w:val="2F37233F"/>
    <w:rsid w:val="2F62384B"/>
    <w:rsid w:val="2F664C07"/>
    <w:rsid w:val="2F6A44C2"/>
    <w:rsid w:val="2F7B047E"/>
    <w:rsid w:val="2FA02C09"/>
    <w:rsid w:val="2FA16C6A"/>
    <w:rsid w:val="2FB2501E"/>
    <w:rsid w:val="2FBC45F2"/>
    <w:rsid w:val="2FBE65BC"/>
    <w:rsid w:val="2FC11C09"/>
    <w:rsid w:val="2FC367EB"/>
    <w:rsid w:val="2FD87A81"/>
    <w:rsid w:val="2FE73D65"/>
    <w:rsid w:val="2FF13BF2"/>
    <w:rsid w:val="2FF6655B"/>
    <w:rsid w:val="3011436C"/>
    <w:rsid w:val="3016447C"/>
    <w:rsid w:val="301B5B78"/>
    <w:rsid w:val="30224D9D"/>
    <w:rsid w:val="303D5733"/>
    <w:rsid w:val="30433499"/>
    <w:rsid w:val="304B352E"/>
    <w:rsid w:val="304B42F4"/>
    <w:rsid w:val="305331A8"/>
    <w:rsid w:val="305561E7"/>
    <w:rsid w:val="305F38FB"/>
    <w:rsid w:val="30662EDC"/>
    <w:rsid w:val="308710A4"/>
    <w:rsid w:val="309D2676"/>
    <w:rsid w:val="30A62585"/>
    <w:rsid w:val="30B33C47"/>
    <w:rsid w:val="30BF083E"/>
    <w:rsid w:val="30C220DC"/>
    <w:rsid w:val="30C6397A"/>
    <w:rsid w:val="30C714A1"/>
    <w:rsid w:val="30C804B7"/>
    <w:rsid w:val="30CB2D3F"/>
    <w:rsid w:val="30CE282F"/>
    <w:rsid w:val="30D53BBD"/>
    <w:rsid w:val="30D81900"/>
    <w:rsid w:val="30DA5678"/>
    <w:rsid w:val="310B5045"/>
    <w:rsid w:val="31175F84"/>
    <w:rsid w:val="311C17EC"/>
    <w:rsid w:val="311E7F3C"/>
    <w:rsid w:val="31305298"/>
    <w:rsid w:val="3138414C"/>
    <w:rsid w:val="313C59EB"/>
    <w:rsid w:val="314B0324"/>
    <w:rsid w:val="314B20D2"/>
    <w:rsid w:val="3159659D"/>
    <w:rsid w:val="315A40C3"/>
    <w:rsid w:val="315E2A29"/>
    <w:rsid w:val="31603DCF"/>
    <w:rsid w:val="316136A3"/>
    <w:rsid w:val="319770C5"/>
    <w:rsid w:val="31B639EF"/>
    <w:rsid w:val="31BA5C46"/>
    <w:rsid w:val="31E87EAA"/>
    <w:rsid w:val="31EF0CAF"/>
    <w:rsid w:val="31F91B2E"/>
    <w:rsid w:val="32004C6A"/>
    <w:rsid w:val="32313075"/>
    <w:rsid w:val="323E39E4"/>
    <w:rsid w:val="32425283"/>
    <w:rsid w:val="3253123E"/>
    <w:rsid w:val="327318E0"/>
    <w:rsid w:val="32761300"/>
    <w:rsid w:val="32807B59"/>
    <w:rsid w:val="328C29A2"/>
    <w:rsid w:val="32A001FB"/>
    <w:rsid w:val="32AC4DF2"/>
    <w:rsid w:val="32D14858"/>
    <w:rsid w:val="32DE5591"/>
    <w:rsid w:val="32EC744F"/>
    <w:rsid w:val="32F14C27"/>
    <w:rsid w:val="33096785"/>
    <w:rsid w:val="331639CC"/>
    <w:rsid w:val="331F7372"/>
    <w:rsid w:val="3334158F"/>
    <w:rsid w:val="33435756"/>
    <w:rsid w:val="335E60EC"/>
    <w:rsid w:val="33686F6B"/>
    <w:rsid w:val="336D27D3"/>
    <w:rsid w:val="336E0A29"/>
    <w:rsid w:val="33812DC7"/>
    <w:rsid w:val="33926F45"/>
    <w:rsid w:val="3393163E"/>
    <w:rsid w:val="33947D60"/>
    <w:rsid w:val="339A1D96"/>
    <w:rsid w:val="33C7669B"/>
    <w:rsid w:val="33CC7ECB"/>
    <w:rsid w:val="33EC194A"/>
    <w:rsid w:val="33F7209D"/>
    <w:rsid w:val="340053F5"/>
    <w:rsid w:val="343F10D3"/>
    <w:rsid w:val="343F6D1F"/>
    <w:rsid w:val="34594B05"/>
    <w:rsid w:val="34763909"/>
    <w:rsid w:val="347B2CCE"/>
    <w:rsid w:val="348B06E3"/>
    <w:rsid w:val="34941845"/>
    <w:rsid w:val="34B12D27"/>
    <w:rsid w:val="34B1374D"/>
    <w:rsid w:val="34B8751A"/>
    <w:rsid w:val="34C12DD7"/>
    <w:rsid w:val="34CD7BFA"/>
    <w:rsid w:val="34D81ECE"/>
    <w:rsid w:val="34DD5737"/>
    <w:rsid w:val="34E02B31"/>
    <w:rsid w:val="34E538E1"/>
    <w:rsid w:val="34F62354"/>
    <w:rsid w:val="34FA1E45"/>
    <w:rsid w:val="35042CC3"/>
    <w:rsid w:val="35186A4E"/>
    <w:rsid w:val="351A24E7"/>
    <w:rsid w:val="35213875"/>
    <w:rsid w:val="35245113"/>
    <w:rsid w:val="35553C88"/>
    <w:rsid w:val="35590322"/>
    <w:rsid w:val="35610116"/>
    <w:rsid w:val="357716E7"/>
    <w:rsid w:val="35A61FCC"/>
    <w:rsid w:val="35A70CD4"/>
    <w:rsid w:val="35AD6DBF"/>
    <w:rsid w:val="35AD7627"/>
    <w:rsid w:val="35B91D00"/>
    <w:rsid w:val="35BE7316"/>
    <w:rsid w:val="35C44201"/>
    <w:rsid w:val="35CB558F"/>
    <w:rsid w:val="35EA010B"/>
    <w:rsid w:val="35F141A5"/>
    <w:rsid w:val="35F44FFF"/>
    <w:rsid w:val="35F66AB0"/>
    <w:rsid w:val="360B400E"/>
    <w:rsid w:val="36145188"/>
    <w:rsid w:val="363B0967"/>
    <w:rsid w:val="363B44C3"/>
    <w:rsid w:val="3652180C"/>
    <w:rsid w:val="36625EF3"/>
    <w:rsid w:val="366E2AEA"/>
    <w:rsid w:val="36A27513"/>
    <w:rsid w:val="36A54032"/>
    <w:rsid w:val="36AC716F"/>
    <w:rsid w:val="36BA292B"/>
    <w:rsid w:val="36C3270A"/>
    <w:rsid w:val="36CC7811"/>
    <w:rsid w:val="36CE3589"/>
    <w:rsid w:val="36D41AA6"/>
    <w:rsid w:val="36DA0180"/>
    <w:rsid w:val="36FC587A"/>
    <w:rsid w:val="37070849"/>
    <w:rsid w:val="370F05FE"/>
    <w:rsid w:val="37143853"/>
    <w:rsid w:val="371F2036"/>
    <w:rsid w:val="372C6501"/>
    <w:rsid w:val="37362EDC"/>
    <w:rsid w:val="376C3598"/>
    <w:rsid w:val="37755477"/>
    <w:rsid w:val="377A101B"/>
    <w:rsid w:val="377C7C53"/>
    <w:rsid w:val="379E11AD"/>
    <w:rsid w:val="37D31982"/>
    <w:rsid w:val="37D41585"/>
    <w:rsid w:val="37D664EB"/>
    <w:rsid w:val="37EB016A"/>
    <w:rsid w:val="37F214F9"/>
    <w:rsid w:val="37F46E66"/>
    <w:rsid w:val="37F52D97"/>
    <w:rsid w:val="3800568F"/>
    <w:rsid w:val="3806772A"/>
    <w:rsid w:val="380F1CC5"/>
    <w:rsid w:val="38117DB1"/>
    <w:rsid w:val="38392C84"/>
    <w:rsid w:val="383B0822"/>
    <w:rsid w:val="38415FDC"/>
    <w:rsid w:val="384358B1"/>
    <w:rsid w:val="3848736B"/>
    <w:rsid w:val="385E7306"/>
    <w:rsid w:val="38736CF1"/>
    <w:rsid w:val="387B504A"/>
    <w:rsid w:val="38D33529"/>
    <w:rsid w:val="38FC32E0"/>
    <w:rsid w:val="39022116"/>
    <w:rsid w:val="3902751A"/>
    <w:rsid w:val="390C0398"/>
    <w:rsid w:val="391A0D07"/>
    <w:rsid w:val="39237490"/>
    <w:rsid w:val="392A081F"/>
    <w:rsid w:val="393D67A4"/>
    <w:rsid w:val="394704B1"/>
    <w:rsid w:val="397F405B"/>
    <w:rsid w:val="398C3287"/>
    <w:rsid w:val="39A053F0"/>
    <w:rsid w:val="39A86313"/>
    <w:rsid w:val="39AC0D89"/>
    <w:rsid w:val="39B64351"/>
    <w:rsid w:val="39BE6CB4"/>
    <w:rsid w:val="39C028EC"/>
    <w:rsid w:val="39CB3DB0"/>
    <w:rsid w:val="39D91E06"/>
    <w:rsid w:val="39DF785B"/>
    <w:rsid w:val="39E46138"/>
    <w:rsid w:val="3A110AB3"/>
    <w:rsid w:val="3A157721"/>
    <w:rsid w:val="3A1C460B"/>
    <w:rsid w:val="3A271638"/>
    <w:rsid w:val="3A2E433E"/>
    <w:rsid w:val="3A2F043D"/>
    <w:rsid w:val="3A3556CD"/>
    <w:rsid w:val="3A3A0F35"/>
    <w:rsid w:val="3A3E6C77"/>
    <w:rsid w:val="3A4678DA"/>
    <w:rsid w:val="3A797CAF"/>
    <w:rsid w:val="3A824754"/>
    <w:rsid w:val="3AA00A5D"/>
    <w:rsid w:val="3AA0348E"/>
    <w:rsid w:val="3AA7481D"/>
    <w:rsid w:val="3AD06E4C"/>
    <w:rsid w:val="3AD43138"/>
    <w:rsid w:val="3AD44EE6"/>
    <w:rsid w:val="3AE315CD"/>
    <w:rsid w:val="3AEC66D3"/>
    <w:rsid w:val="3AED7D56"/>
    <w:rsid w:val="3AF64E5C"/>
    <w:rsid w:val="3B0E09E5"/>
    <w:rsid w:val="3B292616"/>
    <w:rsid w:val="3B2D73A2"/>
    <w:rsid w:val="3B3E536A"/>
    <w:rsid w:val="3B3F4ABE"/>
    <w:rsid w:val="3B5575D1"/>
    <w:rsid w:val="3B64626A"/>
    <w:rsid w:val="3B7D00A5"/>
    <w:rsid w:val="3B7D732B"/>
    <w:rsid w:val="3B844B5E"/>
    <w:rsid w:val="3B954675"/>
    <w:rsid w:val="3BAF23E6"/>
    <w:rsid w:val="3BBD1E1E"/>
    <w:rsid w:val="3BBD3BCC"/>
    <w:rsid w:val="3BC431AC"/>
    <w:rsid w:val="3BCE43AD"/>
    <w:rsid w:val="3BD57167"/>
    <w:rsid w:val="3BDF3B42"/>
    <w:rsid w:val="3BF075C1"/>
    <w:rsid w:val="3BF82E56"/>
    <w:rsid w:val="3BFB61E0"/>
    <w:rsid w:val="3C002E69"/>
    <w:rsid w:val="3C2974B3"/>
    <w:rsid w:val="3C3A3EEF"/>
    <w:rsid w:val="3C4936B2"/>
    <w:rsid w:val="3C4953F6"/>
    <w:rsid w:val="3C5A58BF"/>
    <w:rsid w:val="3C6329C5"/>
    <w:rsid w:val="3C6A30C8"/>
    <w:rsid w:val="3C720E5A"/>
    <w:rsid w:val="3C8A61A4"/>
    <w:rsid w:val="3C926DF4"/>
    <w:rsid w:val="3CA31014"/>
    <w:rsid w:val="3CAD1E92"/>
    <w:rsid w:val="3CAD2E8D"/>
    <w:rsid w:val="3CBA4C68"/>
    <w:rsid w:val="3CBF1A4F"/>
    <w:rsid w:val="3CC05722"/>
    <w:rsid w:val="3CC176EC"/>
    <w:rsid w:val="3CDC5A84"/>
    <w:rsid w:val="3CE37662"/>
    <w:rsid w:val="3CF25AF7"/>
    <w:rsid w:val="3CFB0E50"/>
    <w:rsid w:val="3CFE449C"/>
    <w:rsid w:val="3CFF3F78"/>
    <w:rsid w:val="3D023F8C"/>
    <w:rsid w:val="3D0777F5"/>
    <w:rsid w:val="3D1B504E"/>
    <w:rsid w:val="3D1E73F6"/>
    <w:rsid w:val="3D2F4655"/>
    <w:rsid w:val="3D31435C"/>
    <w:rsid w:val="3D3837C1"/>
    <w:rsid w:val="3D581DFE"/>
    <w:rsid w:val="3D6A1B31"/>
    <w:rsid w:val="3D6B67D2"/>
    <w:rsid w:val="3D7309E6"/>
    <w:rsid w:val="3D7D3613"/>
    <w:rsid w:val="3D850719"/>
    <w:rsid w:val="3D8C1AA8"/>
    <w:rsid w:val="3D950BAB"/>
    <w:rsid w:val="3DA70690"/>
    <w:rsid w:val="3DA738D0"/>
    <w:rsid w:val="3DAB09D8"/>
    <w:rsid w:val="3DB57C8F"/>
    <w:rsid w:val="3DC941D4"/>
    <w:rsid w:val="3DD31485"/>
    <w:rsid w:val="3DF17B5D"/>
    <w:rsid w:val="3DF71617"/>
    <w:rsid w:val="3DFE6F9C"/>
    <w:rsid w:val="3E157830"/>
    <w:rsid w:val="3E1D6BA4"/>
    <w:rsid w:val="3E23065E"/>
    <w:rsid w:val="3E3143FD"/>
    <w:rsid w:val="3E3D3671"/>
    <w:rsid w:val="3E42660A"/>
    <w:rsid w:val="3E442382"/>
    <w:rsid w:val="3E485474"/>
    <w:rsid w:val="3E5F71BC"/>
    <w:rsid w:val="3E7B668B"/>
    <w:rsid w:val="3E7E7642"/>
    <w:rsid w:val="3E8B6203"/>
    <w:rsid w:val="3E8C44CC"/>
    <w:rsid w:val="3EA01CAF"/>
    <w:rsid w:val="3EA1096C"/>
    <w:rsid w:val="3EAD4BEA"/>
    <w:rsid w:val="3EB2521D"/>
    <w:rsid w:val="3EBF3AFF"/>
    <w:rsid w:val="3EC7548D"/>
    <w:rsid w:val="3ECB6600"/>
    <w:rsid w:val="3EF66459"/>
    <w:rsid w:val="3EF67B21"/>
    <w:rsid w:val="3F0F62AB"/>
    <w:rsid w:val="3F2C3542"/>
    <w:rsid w:val="3F3A354A"/>
    <w:rsid w:val="3F516B05"/>
    <w:rsid w:val="3F84512C"/>
    <w:rsid w:val="3F934685"/>
    <w:rsid w:val="3FAA4467"/>
    <w:rsid w:val="3FB62E0C"/>
    <w:rsid w:val="3FB94994"/>
    <w:rsid w:val="3FC25C55"/>
    <w:rsid w:val="3FCA4C58"/>
    <w:rsid w:val="3FD00372"/>
    <w:rsid w:val="3FDD5267"/>
    <w:rsid w:val="3FE61943"/>
    <w:rsid w:val="3FF878C8"/>
    <w:rsid w:val="3FFB2F15"/>
    <w:rsid w:val="3FFC248D"/>
    <w:rsid w:val="400145BA"/>
    <w:rsid w:val="4021297B"/>
    <w:rsid w:val="40297A82"/>
    <w:rsid w:val="403A1C8F"/>
    <w:rsid w:val="407E5231"/>
    <w:rsid w:val="40860A30"/>
    <w:rsid w:val="4093314D"/>
    <w:rsid w:val="40A73721"/>
    <w:rsid w:val="40BF3F42"/>
    <w:rsid w:val="40D53766"/>
    <w:rsid w:val="40E73B83"/>
    <w:rsid w:val="40EA7211"/>
    <w:rsid w:val="40F6213F"/>
    <w:rsid w:val="4110479E"/>
    <w:rsid w:val="41197AF6"/>
    <w:rsid w:val="412D5350"/>
    <w:rsid w:val="413F175D"/>
    <w:rsid w:val="41405083"/>
    <w:rsid w:val="414F0FC2"/>
    <w:rsid w:val="41735459"/>
    <w:rsid w:val="41B63597"/>
    <w:rsid w:val="41BB0BAE"/>
    <w:rsid w:val="41BB6E00"/>
    <w:rsid w:val="41BD4926"/>
    <w:rsid w:val="41BD778A"/>
    <w:rsid w:val="41D824B6"/>
    <w:rsid w:val="41DF2AEE"/>
    <w:rsid w:val="41E41EB2"/>
    <w:rsid w:val="41F45E6E"/>
    <w:rsid w:val="420844F7"/>
    <w:rsid w:val="42095D44"/>
    <w:rsid w:val="42291FBB"/>
    <w:rsid w:val="422C1AAB"/>
    <w:rsid w:val="424E1A22"/>
    <w:rsid w:val="425067CD"/>
    <w:rsid w:val="42521512"/>
    <w:rsid w:val="42556937"/>
    <w:rsid w:val="42797341"/>
    <w:rsid w:val="427B33ED"/>
    <w:rsid w:val="428E4722"/>
    <w:rsid w:val="42901BBB"/>
    <w:rsid w:val="42A927C0"/>
    <w:rsid w:val="42C81561"/>
    <w:rsid w:val="42CB12BB"/>
    <w:rsid w:val="42DC0DDB"/>
    <w:rsid w:val="42DC527F"/>
    <w:rsid w:val="42DF47D5"/>
    <w:rsid w:val="42EE49BD"/>
    <w:rsid w:val="43105F3B"/>
    <w:rsid w:val="43156959"/>
    <w:rsid w:val="431810BA"/>
    <w:rsid w:val="432E715D"/>
    <w:rsid w:val="434075BC"/>
    <w:rsid w:val="43454BD3"/>
    <w:rsid w:val="435B7EFD"/>
    <w:rsid w:val="43942491"/>
    <w:rsid w:val="43D146B8"/>
    <w:rsid w:val="44006D4C"/>
    <w:rsid w:val="44054362"/>
    <w:rsid w:val="44202F4A"/>
    <w:rsid w:val="44421112"/>
    <w:rsid w:val="444906F3"/>
    <w:rsid w:val="444E1FE5"/>
    <w:rsid w:val="44627A06"/>
    <w:rsid w:val="446430EE"/>
    <w:rsid w:val="446B5B75"/>
    <w:rsid w:val="44775260"/>
    <w:rsid w:val="447B63D2"/>
    <w:rsid w:val="448C1EED"/>
    <w:rsid w:val="449175A0"/>
    <w:rsid w:val="44A75419"/>
    <w:rsid w:val="44B042CE"/>
    <w:rsid w:val="44BA15F0"/>
    <w:rsid w:val="44C61D43"/>
    <w:rsid w:val="44C669F9"/>
    <w:rsid w:val="44CA4516"/>
    <w:rsid w:val="450308A1"/>
    <w:rsid w:val="45191E0F"/>
    <w:rsid w:val="45244CBC"/>
    <w:rsid w:val="452A0524"/>
    <w:rsid w:val="45321526"/>
    <w:rsid w:val="4541761C"/>
    <w:rsid w:val="4554734F"/>
    <w:rsid w:val="45594965"/>
    <w:rsid w:val="45637592"/>
    <w:rsid w:val="456F74FD"/>
    <w:rsid w:val="45723C79"/>
    <w:rsid w:val="457B2B2E"/>
    <w:rsid w:val="458B0897"/>
    <w:rsid w:val="45977F0C"/>
    <w:rsid w:val="45A04342"/>
    <w:rsid w:val="45A1630C"/>
    <w:rsid w:val="45A35BE1"/>
    <w:rsid w:val="45AF1601"/>
    <w:rsid w:val="45B24076"/>
    <w:rsid w:val="45CC42D2"/>
    <w:rsid w:val="45D93CF8"/>
    <w:rsid w:val="45E16709"/>
    <w:rsid w:val="45E32481"/>
    <w:rsid w:val="45F65156"/>
    <w:rsid w:val="46026DAB"/>
    <w:rsid w:val="461F4288"/>
    <w:rsid w:val="46252A99"/>
    <w:rsid w:val="463A4797"/>
    <w:rsid w:val="465C22A7"/>
    <w:rsid w:val="466C5897"/>
    <w:rsid w:val="466C691A"/>
    <w:rsid w:val="467B6B5D"/>
    <w:rsid w:val="467F664E"/>
    <w:rsid w:val="468E4EA4"/>
    <w:rsid w:val="4694586B"/>
    <w:rsid w:val="46955E71"/>
    <w:rsid w:val="46AC23F9"/>
    <w:rsid w:val="46B06807"/>
    <w:rsid w:val="46C8570E"/>
    <w:rsid w:val="46D85D5E"/>
    <w:rsid w:val="46FC14B9"/>
    <w:rsid w:val="47290367"/>
    <w:rsid w:val="4734568A"/>
    <w:rsid w:val="473C009B"/>
    <w:rsid w:val="474A6C5C"/>
    <w:rsid w:val="475543F5"/>
    <w:rsid w:val="475A49C5"/>
    <w:rsid w:val="475E25CD"/>
    <w:rsid w:val="47633879"/>
    <w:rsid w:val="476615BC"/>
    <w:rsid w:val="47677CBF"/>
    <w:rsid w:val="47741342"/>
    <w:rsid w:val="477D78BA"/>
    <w:rsid w:val="47A60EA3"/>
    <w:rsid w:val="47BC1C27"/>
    <w:rsid w:val="47C85DD2"/>
    <w:rsid w:val="47E56984"/>
    <w:rsid w:val="47F70466"/>
    <w:rsid w:val="47F90F1F"/>
    <w:rsid w:val="48272AF9"/>
    <w:rsid w:val="482E0768"/>
    <w:rsid w:val="482F7BFF"/>
    <w:rsid w:val="48424213"/>
    <w:rsid w:val="485B6C46"/>
    <w:rsid w:val="48786833"/>
    <w:rsid w:val="48802209"/>
    <w:rsid w:val="48825005"/>
    <w:rsid w:val="489348DF"/>
    <w:rsid w:val="489F6B33"/>
    <w:rsid w:val="48AD7823"/>
    <w:rsid w:val="48CB5B7A"/>
    <w:rsid w:val="48D31742"/>
    <w:rsid w:val="48E21116"/>
    <w:rsid w:val="48EA1132"/>
    <w:rsid w:val="48EE1869"/>
    <w:rsid w:val="48F74BC1"/>
    <w:rsid w:val="48FD7CFE"/>
    <w:rsid w:val="49105C83"/>
    <w:rsid w:val="491D469D"/>
    <w:rsid w:val="49282FCC"/>
    <w:rsid w:val="492B247D"/>
    <w:rsid w:val="49455803"/>
    <w:rsid w:val="49523BA5"/>
    <w:rsid w:val="495715E5"/>
    <w:rsid w:val="49691D6D"/>
    <w:rsid w:val="497955D6"/>
    <w:rsid w:val="49890862"/>
    <w:rsid w:val="49953FD0"/>
    <w:rsid w:val="49973CAE"/>
    <w:rsid w:val="499B315F"/>
    <w:rsid w:val="49B26D3A"/>
    <w:rsid w:val="49E10482"/>
    <w:rsid w:val="4A03113E"/>
    <w:rsid w:val="4A203CA4"/>
    <w:rsid w:val="4A226E60"/>
    <w:rsid w:val="4A274A30"/>
    <w:rsid w:val="4A3459A1"/>
    <w:rsid w:val="4A5327D1"/>
    <w:rsid w:val="4A5A544B"/>
    <w:rsid w:val="4A8C3321"/>
    <w:rsid w:val="4A8F086C"/>
    <w:rsid w:val="4A913B64"/>
    <w:rsid w:val="4AA30431"/>
    <w:rsid w:val="4ACB4AB7"/>
    <w:rsid w:val="4ACE54AE"/>
    <w:rsid w:val="4ACF216A"/>
    <w:rsid w:val="4AD3706A"/>
    <w:rsid w:val="4AF70619"/>
    <w:rsid w:val="4AFB4085"/>
    <w:rsid w:val="4AFC64BF"/>
    <w:rsid w:val="4B057768"/>
    <w:rsid w:val="4B0E7FA0"/>
    <w:rsid w:val="4B1A2A45"/>
    <w:rsid w:val="4B221C9D"/>
    <w:rsid w:val="4B257098"/>
    <w:rsid w:val="4B3814C1"/>
    <w:rsid w:val="4B4B6AFE"/>
    <w:rsid w:val="4B5150CB"/>
    <w:rsid w:val="4B6978CC"/>
    <w:rsid w:val="4B7207A3"/>
    <w:rsid w:val="4B7324F9"/>
    <w:rsid w:val="4B76003F"/>
    <w:rsid w:val="4B8116B9"/>
    <w:rsid w:val="4B840262"/>
    <w:rsid w:val="4B8A4765"/>
    <w:rsid w:val="4B94266B"/>
    <w:rsid w:val="4BA803F5"/>
    <w:rsid w:val="4BA9153A"/>
    <w:rsid w:val="4BC505EE"/>
    <w:rsid w:val="4BC561BE"/>
    <w:rsid w:val="4BDD56CD"/>
    <w:rsid w:val="4BE667F0"/>
    <w:rsid w:val="4BEB208F"/>
    <w:rsid w:val="4C0373D9"/>
    <w:rsid w:val="4C06511B"/>
    <w:rsid w:val="4C0A4C0B"/>
    <w:rsid w:val="4C1B2975"/>
    <w:rsid w:val="4C1E560B"/>
    <w:rsid w:val="4C231829"/>
    <w:rsid w:val="4C282A7E"/>
    <w:rsid w:val="4C2A705C"/>
    <w:rsid w:val="4C4023DB"/>
    <w:rsid w:val="4C4348C9"/>
    <w:rsid w:val="4C716A38"/>
    <w:rsid w:val="4C7D362F"/>
    <w:rsid w:val="4C92075D"/>
    <w:rsid w:val="4C96649F"/>
    <w:rsid w:val="4C98004F"/>
    <w:rsid w:val="4C995F8F"/>
    <w:rsid w:val="4C9B5863"/>
    <w:rsid w:val="4CA26BF2"/>
    <w:rsid w:val="4CD314A1"/>
    <w:rsid w:val="4D007DBC"/>
    <w:rsid w:val="4D055724"/>
    <w:rsid w:val="4D090E8D"/>
    <w:rsid w:val="4D0975DD"/>
    <w:rsid w:val="4D0C49B3"/>
    <w:rsid w:val="4D0C6761"/>
    <w:rsid w:val="4D106251"/>
    <w:rsid w:val="4D1B0752"/>
    <w:rsid w:val="4D386DDE"/>
    <w:rsid w:val="4D457395"/>
    <w:rsid w:val="4D4C3002"/>
    <w:rsid w:val="4D875DE8"/>
    <w:rsid w:val="4D8C33FE"/>
    <w:rsid w:val="4DA1334D"/>
    <w:rsid w:val="4DA8648A"/>
    <w:rsid w:val="4DAC584E"/>
    <w:rsid w:val="4DD30391"/>
    <w:rsid w:val="4DEB281B"/>
    <w:rsid w:val="4E1363C1"/>
    <w:rsid w:val="4E281379"/>
    <w:rsid w:val="4E3C6BD2"/>
    <w:rsid w:val="4E5263F6"/>
    <w:rsid w:val="4E7C3473"/>
    <w:rsid w:val="4E7D7917"/>
    <w:rsid w:val="4E802F63"/>
    <w:rsid w:val="4E8A2A5E"/>
    <w:rsid w:val="4E927B13"/>
    <w:rsid w:val="4E93713A"/>
    <w:rsid w:val="4EA76741"/>
    <w:rsid w:val="4EC1613B"/>
    <w:rsid w:val="4EC72940"/>
    <w:rsid w:val="4EDE5EDB"/>
    <w:rsid w:val="4F010023"/>
    <w:rsid w:val="4F027F87"/>
    <w:rsid w:val="4F0C5811"/>
    <w:rsid w:val="4F1D4C56"/>
    <w:rsid w:val="4F1E4979"/>
    <w:rsid w:val="4F2064F4"/>
    <w:rsid w:val="4F6501C5"/>
    <w:rsid w:val="4F8627FB"/>
    <w:rsid w:val="4F936CC6"/>
    <w:rsid w:val="4F9547EC"/>
    <w:rsid w:val="4F9D7B44"/>
    <w:rsid w:val="4FA31367"/>
    <w:rsid w:val="4FA82A40"/>
    <w:rsid w:val="4FB96C72"/>
    <w:rsid w:val="4FDF1F0B"/>
    <w:rsid w:val="4FF05EC6"/>
    <w:rsid w:val="4FF70F62"/>
    <w:rsid w:val="501F267E"/>
    <w:rsid w:val="50250266"/>
    <w:rsid w:val="503404A9"/>
    <w:rsid w:val="504306EC"/>
    <w:rsid w:val="50504BB7"/>
    <w:rsid w:val="505E08BB"/>
    <w:rsid w:val="50610B72"/>
    <w:rsid w:val="50630D8E"/>
    <w:rsid w:val="506D7517"/>
    <w:rsid w:val="50730EFD"/>
    <w:rsid w:val="507765E7"/>
    <w:rsid w:val="50827466"/>
    <w:rsid w:val="508B532C"/>
    <w:rsid w:val="50966A6E"/>
    <w:rsid w:val="509E1DC6"/>
    <w:rsid w:val="50B05655"/>
    <w:rsid w:val="50BE3824"/>
    <w:rsid w:val="50C23D07"/>
    <w:rsid w:val="50CD6207"/>
    <w:rsid w:val="50E75ADA"/>
    <w:rsid w:val="50EA6DB9"/>
    <w:rsid w:val="50ED42B9"/>
    <w:rsid w:val="50F34660"/>
    <w:rsid w:val="5100482F"/>
    <w:rsid w:val="510460CD"/>
    <w:rsid w:val="51143E36"/>
    <w:rsid w:val="51266A33"/>
    <w:rsid w:val="51273ADE"/>
    <w:rsid w:val="51275918"/>
    <w:rsid w:val="5141363B"/>
    <w:rsid w:val="51494DD6"/>
    <w:rsid w:val="516027B0"/>
    <w:rsid w:val="516C5A20"/>
    <w:rsid w:val="51735001"/>
    <w:rsid w:val="517448D5"/>
    <w:rsid w:val="5174644D"/>
    <w:rsid w:val="51750D79"/>
    <w:rsid w:val="517B0751"/>
    <w:rsid w:val="5181771E"/>
    <w:rsid w:val="518E3BE9"/>
    <w:rsid w:val="519C4558"/>
    <w:rsid w:val="519D2F0D"/>
    <w:rsid w:val="51A06F9F"/>
    <w:rsid w:val="51A21442"/>
    <w:rsid w:val="51A72EFC"/>
    <w:rsid w:val="51AA5638"/>
    <w:rsid w:val="51C770FB"/>
    <w:rsid w:val="52170DC8"/>
    <w:rsid w:val="521F2A93"/>
    <w:rsid w:val="52235AA1"/>
    <w:rsid w:val="52275940"/>
    <w:rsid w:val="52287B99"/>
    <w:rsid w:val="52302732"/>
    <w:rsid w:val="523F3135"/>
    <w:rsid w:val="524C5212"/>
    <w:rsid w:val="524F15CA"/>
    <w:rsid w:val="52571EDF"/>
    <w:rsid w:val="52663F14"/>
    <w:rsid w:val="528079D5"/>
    <w:rsid w:val="5281374D"/>
    <w:rsid w:val="52946FDD"/>
    <w:rsid w:val="52A63D26"/>
    <w:rsid w:val="52C5188C"/>
    <w:rsid w:val="52ED0DE3"/>
    <w:rsid w:val="5301551E"/>
    <w:rsid w:val="531427A3"/>
    <w:rsid w:val="531B76FE"/>
    <w:rsid w:val="53234805"/>
    <w:rsid w:val="53316F22"/>
    <w:rsid w:val="53400F13"/>
    <w:rsid w:val="535E583D"/>
    <w:rsid w:val="536A15F0"/>
    <w:rsid w:val="538452A3"/>
    <w:rsid w:val="53897FB5"/>
    <w:rsid w:val="539A4AC7"/>
    <w:rsid w:val="53BA12E3"/>
    <w:rsid w:val="53BA6F17"/>
    <w:rsid w:val="53C43A8B"/>
    <w:rsid w:val="53C64B22"/>
    <w:rsid w:val="53C9715A"/>
    <w:rsid w:val="53CE4770"/>
    <w:rsid w:val="53D45A32"/>
    <w:rsid w:val="53D63625"/>
    <w:rsid w:val="53E04EE4"/>
    <w:rsid w:val="53E61ABA"/>
    <w:rsid w:val="53E93358"/>
    <w:rsid w:val="53EE096F"/>
    <w:rsid w:val="53EE6BC1"/>
    <w:rsid w:val="541C1980"/>
    <w:rsid w:val="54244390"/>
    <w:rsid w:val="542A3A4D"/>
    <w:rsid w:val="542B6CBE"/>
    <w:rsid w:val="543F3D14"/>
    <w:rsid w:val="54493DF7"/>
    <w:rsid w:val="54501629"/>
    <w:rsid w:val="54596730"/>
    <w:rsid w:val="545C1D7C"/>
    <w:rsid w:val="545D5AF4"/>
    <w:rsid w:val="545F2D48"/>
    <w:rsid w:val="54680E5E"/>
    <w:rsid w:val="547536BA"/>
    <w:rsid w:val="548117E3"/>
    <w:rsid w:val="548D68EA"/>
    <w:rsid w:val="548E5CAE"/>
    <w:rsid w:val="549D778F"/>
    <w:rsid w:val="549F443D"/>
    <w:rsid w:val="54CE24A4"/>
    <w:rsid w:val="54D222B5"/>
    <w:rsid w:val="54E46ECB"/>
    <w:rsid w:val="54EB4EAE"/>
    <w:rsid w:val="55055F70"/>
    <w:rsid w:val="550A5BAF"/>
    <w:rsid w:val="550E4EF6"/>
    <w:rsid w:val="5513545D"/>
    <w:rsid w:val="551663CF"/>
    <w:rsid w:val="552116CC"/>
    <w:rsid w:val="55222FC6"/>
    <w:rsid w:val="55236D3E"/>
    <w:rsid w:val="554F4DF6"/>
    <w:rsid w:val="556C0634"/>
    <w:rsid w:val="558B54E2"/>
    <w:rsid w:val="55911EF9"/>
    <w:rsid w:val="559B4B26"/>
    <w:rsid w:val="559D43FA"/>
    <w:rsid w:val="55B55BE8"/>
    <w:rsid w:val="55C71477"/>
    <w:rsid w:val="55CE2806"/>
    <w:rsid w:val="55D40011"/>
    <w:rsid w:val="55D842DC"/>
    <w:rsid w:val="55E97640"/>
    <w:rsid w:val="55EE2EA8"/>
    <w:rsid w:val="560A4E39"/>
    <w:rsid w:val="560D7527"/>
    <w:rsid w:val="562142DF"/>
    <w:rsid w:val="563C00B7"/>
    <w:rsid w:val="56486A5C"/>
    <w:rsid w:val="567315FF"/>
    <w:rsid w:val="567C4958"/>
    <w:rsid w:val="568E1BDA"/>
    <w:rsid w:val="569246E8"/>
    <w:rsid w:val="569C2904"/>
    <w:rsid w:val="569F41A2"/>
    <w:rsid w:val="56C25558"/>
    <w:rsid w:val="56C43C09"/>
    <w:rsid w:val="56D8300B"/>
    <w:rsid w:val="56DE2F1C"/>
    <w:rsid w:val="56E147BB"/>
    <w:rsid w:val="56FE35BF"/>
    <w:rsid w:val="571406EC"/>
    <w:rsid w:val="571966E8"/>
    <w:rsid w:val="57346FE0"/>
    <w:rsid w:val="573C336A"/>
    <w:rsid w:val="574048AE"/>
    <w:rsid w:val="57454D4A"/>
    <w:rsid w:val="575146BB"/>
    <w:rsid w:val="575B456D"/>
    <w:rsid w:val="576F7D6A"/>
    <w:rsid w:val="57707A2A"/>
    <w:rsid w:val="577D0987"/>
    <w:rsid w:val="57802226"/>
    <w:rsid w:val="579637F7"/>
    <w:rsid w:val="57A9177C"/>
    <w:rsid w:val="57B343A9"/>
    <w:rsid w:val="57B5419A"/>
    <w:rsid w:val="57BD5228"/>
    <w:rsid w:val="57C6216D"/>
    <w:rsid w:val="57D63BF4"/>
    <w:rsid w:val="57E537C1"/>
    <w:rsid w:val="57F624E8"/>
    <w:rsid w:val="57F86260"/>
    <w:rsid w:val="58020E8D"/>
    <w:rsid w:val="5806097D"/>
    <w:rsid w:val="583059FA"/>
    <w:rsid w:val="583B6126"/>
    <w:rsid w:val="583C6FC5"/>
    <w:rsid w:val="583F3E8F"/>
    <w:rsid w:val="586B3E16"/>
    <w:rsid w:val="586E1E1E"/>
    <w:rsid w:val="587D6765"/>
    <w:rsid w:val="58823D7B"/>
    <w:rsid w:val="588E44CE"/>
    <w:rsid w:val="58A261CC"/>
    <w:rsid w:val="58AE1087"/>
    <w:rsid w:val="58B008E9"/>
    <w:rsid w:val="58B959EF"/>
    <w:rsid w:val="58BA3B31"/>
    <w:rsid w:val="58BF0B2C"/>
    <w:rsid w:val="58BF445B"/>
    <w:rsid w:val="58D639F1"/>
    <w:rsid w:val="58F509F1"/>
    <w:rsid w:val="58F702C5"/>
    <w:rsid w:val="58FB7AAC"/>
    <w:rsid w:val="590429E2"/>
    <w:rsid w:val="590F1AB3"/>
    <w:rsid w:val="593B33D3"/>
    <w:rsid w:val="593E4146"/>
    <w:rsid w:val="594F0101"/>
    <w:rsid w:val="596A6CE9"/>
    <w:rsid w:val="597E2795"/>
    <w:rsid w:val="59905198"/>
    <w:rsid w:val="59973972"/>
    <w:rsid w:val="599975CF"/>
    <w:rsid w:val="599F20BC"/>
    <w:rsid w:val="59A87812"/>
    <w:rsid w:val="59CE54CA"/>
    <w:rsid w:val="59D67C33"/>
    <w:rsid w:val="59EE2166"/>
    <w:rsid w:val="59FC0431"/>
    <w:rsid w:val="59FD190B"/>
    <w:rsid w:val="5A113973"/>
    <w:rsid w:val="5A1A1908"/>
    <w:rsid w:val="5A2151EA"/>
    <w:rsid w:val="5A2275C4"/>
    <w:rsid w:val="5A274BDA"/>
    <w:rsid w:val="5A2D029A"/>
    <w:rsid w:val="5A3410A5"/>
    <w:rsid w:val="5A3C391D"/>
    <w:rsid w:val="5A5A4FB0"/>
    <w:rsid w:val="5A6C1F97"/>
    <w:rsid w:val="5A8913F1"/>
    <w:rsid w:val="5A932270"/>
    <w:rsid w:val="5A971D60"/>
    <w:rsid w:val="5B0A0784"/>
    <w:rsid w:val="5B0B44FC"/>
    <w:rsid w:val="5B0B62AA"/>
    <w:rsid w:val="5B0E7B48"/>
    <w:rsid w:val="5B294982"/>
    <w:rsid w:val="5B445318"/>
    <w:rsid w:val="5B4517BC"/>
    <w:rsid w:val="5B464CF2"/>
    <w:rsid w:val="5B5E462C"/>
    <w:rsid w:val="5B6E7F11"/>
    <w:rsid w:val="5B767BC7"/>
    <w:rsid w:val="5B8147BE"/>
    <w:rsid w:val="5B896EA8"/>
    <w:rsid w:val="5B9462A0"/>
    <w:rsid w:val="5B991B08"/>
    <w:rsid w:val="5B9D54A6"/>
    <w:rsid w:val="5BAA361A"/>
    <w:rsid w:val="5BBB382C"/>
    <w:rsid w:val="5BC07095"/>
    <w:rsid w:val="5BD112A2"/>
    <w:rsid w:val="5BD163EC"/>
    <w:rsid w:val="5BD60FD7"/>
    <w:rsid w:val="5BEA0B9D"/>
    <w:rsid w:val="5BEC1EFF"/>
    <w:rsid w:val="5BF44F90"/>
    <w:rsid w:val="5BFA65AC"/>
    <w:rsid w:val="5C1D44E7"/>
    <w:rsid w:val="5C2C472A"/>
    <w:rsid w:val="5C4669F8"/>
    <w:rsid w:val="5C4750C0"/>
    <w:rsid w:val="5C563879"/>
    <w:rsid w:val="5C595646"/>
    <w:rsid w:val="5C5B29F5"/>
    <w:rsid w:val="5C675762"/>
    <w:rsid w:val="5C8A31FF"/>
    <w:rsid w:val="5C8C5906"/>
    <w:rsid w:val="5C904CB9"/>
    <w:rsid w:val="5CB71BF9"/>
    <w:rsid w:val="5CC47CC0"/>
    <w:rsid w:val="5CD61213"/>
    <w:rsid w:val="5CDB3A5A"/>
    <w:rsid w:val="5CDB4917"/>
    <w:rsid w:val="5CE2303B"/>
    <w:rsid w:val="5CEE7AF4"/>
    <w:rsid w:val="5CFA0384"/>
    <w:rsid w:val="5CFB5EAA"/>
    <w:rsid w:val="5CFD1C22"/>
    <w:rsid w:val="5D041203"/>
    <w:rsid w:val="5D096ED9"/>
    <w:rsid w:val="5D1D7DB8"/>
    <w:rsid w:val="5D1F428F"/>
    <w:rsid w:val="5D26561D"/>
    <w:rsid w:val="5D295570"/>
    <w:rsid w:val="5D2B2C34"/>
    <w:rsid w:val="5D3970FE"/>
    <w:rsid w:val="5D447851"/>
    <w:rsid w:val="5D480AC5"/>
    <w:rsid w:val="5D4D2BAA"/>
    <w:rsid w:val="5D5977A1"/>
    <w:rsid w:val="5D5B3D24"/>
    <w:rsid w:val="5D6A047B"/>
    <w:rsid w:val="5D6E14C5"/>
    <w:rsid w:val="5D745029"/>
    <w:rsid w:val="5D752101"/>
    <w:rsid w:val="5D775A04"/>
    <w:rsid w:val="5D9A56C3"/>
    <w:rsid w:val="5DA97143"/>
    <w:rsid w:val="5DAB167E"/>
    <w:rsid w:val="5DBE7604"/>
    <w:rsid w:val="5DC54774"/>
    <w:rsid w:val="5DD5494D"/>
    <w:rsid w:val="5DDB1F64"/>
    <w:rsid w:val="5DE03A1E"/>
    <w:rsid w:val="5DFF3671"/>
    <w:rsid w:val="5E280F21"/>
    <w:rsid w:val="5E2A3532"/>
    <w:rsid w:val="5E361890"/>
    <w:rsid w:val="5E3C677A"/>
    <w:rsid w:val="5E437B09"/>
    <w:rsid w:val="5E5139AF"/>
    <w:rsid w:val="5E60690D"/>
    <w:rsid w:val="5E6C3474"/>
    <w:rsid w:val="5E714676"/>
    <w:rsid w:val="5E761C8C"/>
    <w:rsid w:val="5E772090"/>
    <w:rsid w:val="5E7E0E34"/>
    <w:rsid w:val="5E8120E4"/>
    <w:rsid w:val="5E867CE3"/>
    <w:rsid w:val="5E914D18"/>
    <w:rsid w:val="5EA07AA3"/>
    <w:rsid w:val="5EB10F16"/>
    <w:rsid w:val="5EB17168"/>
    <w:rsid w:val="5EB2675B"/>
    <w:rsid w:val="5EB32EE1"/>
    <w:rsid w:val="5EB959FB"/>
    <w:rsid w:val="5EC50614"/>
    <w:rsid w:val="5EE60A3A"/>
    <w:rsid w:val="5EF552A7"/>
    <w:rsid w:val="5EFD23AE"/>
    <w:rsid w:val="5F053010"/>
    <w:rsid w:val="5F090D52"/>
    <w:rsid w:val="5F294F35"/>
    <w:rsid w:val="5F313E05"/>
    <w:rsid w:val="5F4D6E91"/>
    <w:rsid w:val="5F4E6098"/>
    <w:rsid w:val="5F5473DD"/>
    <w:rsid w:val="5F814005"/>
    <w:rsid w:val="5F816759"/>
    <w:rsid w:val="5F904FD0"/>
    <w:rsid w:val="5F9525E6"/>
    <w:rsid w:val="5F984863"/>
    <w:rsid w:val="5FB707AE"/>
    <w:rsid w:val="5FC90F45"/>
    <w:rsid w:val="5FD17AC2"/>
    <w:rsid w:val="5FD500A2"/>
    <w:rsid w:val="5FE002E0"/>
    <w:rsid w:val="5FE01AB3"/>
    <w:rsid w:val="5FEB0458"/>
    <w:rsid w:val="5FF217E7"/>
    <w:rsid w:val="5FF27A39"/>
    <w:rsid w:val="60045E06"/>
    <w:rsid w:val="60196D73"/>
    <w:rsid w:val="601B4AB2"/>
    <w:rsid w:val="602120CC"/>
    <w:rsid w:val="602A2D2E"/>
    <w:rsid w:val="602C4CF9"/>
    <w:rsid w:val="604C7149"/>
    <w:rsid w:val="604F273A"/>
    <w:rsid w:val="6051430D"/>
    <w:rsid w:val="60583D40"/>
    <w:rsid w:val="60591866"/>
    <w:rsid w:val="605D3104"/>
    <w:rsid w:val="60673F83"/>
    <w:rsid w:val="606F595D"/>
    <w:rsid w:val="60716BAF"/>
    <w:rsid w:val="60737710"/>
    <w:rsid w:val="608B0DC0"/>
    <w:rsid w:val="60935202"/>
    <w:rsid w:val="60975474"/>
    <w:rsid w:val="609D1CF7"/>
    <w:rsid w:val="60A32FA2"/>
    <w:rsid w:val="60BE0804"/>
    <w:rsid w:val="60CF1B28"/>
    <w:rsid w:val="60E03D35"/>
    <w:rsid w:val="60F17CF0"/>
    <w:rsid w:val="60F5158E"/>
    <w:rsid w:val="610B61FC"/>
    <w:rsid w:val="610D0FDD"/>
    <w:rsid w:val="61137C66"/>
    <w:rsid w:val="6115590B"/>
    <w:rsid w:val="611B7C44"/>
    <w:rsid w:val="6131633F"/>
    <w:rsid w:val="613A3445"/>
    <w:rsid w:val="614B4949"/>
    <w:rsid w:val="614B7400"/>
    <w:rsid w:val="617A7CE6"/>
    <w:rsid w:val="6190176D"/>
    <w:rsid w:val="619146C6"/>
    <w:rsid w:val="61926DDD"/>
    <w:rsid w:val="61954B1F"/>
    <w:rsid w:val="61A24411"/>
    <w:rsid w:val="61B615C5"/>
    <w:rsid w:val="61DB29F2"/>
    <w:rsid w:val="61DC62AA"/>
    <w:rsid w:val="61E41603"/>
    <w:rsid w:val="61E46E6B"/>
    <w:rsid w:val="61F47A98"/>
    <w:rsid w:val="61FE4473"/>
    <w:rsid w:val="620A1069"/>
    <w:rsid w:val="6210017A"/>
    <w:rsid w:val="622540F5"/>
    <w:rsid w:val="6239194F"/>
    <w:rsid w:val="623936FD"/>
    <w:rsid w:val="62402CDD"/>
    <w:rsid w:val="62404A8B"/>
    <w:rsid w:val="62467BC8"/>
    <w:rsid w:val="62724E61"/>
    <w:rsid w:val="62775FD3"/>
    <w:rsid w:val="6279034B"/>
    <w:rsid w:val="62F963C2"/>
    <w:rsid w:val="62FA6A22"/>
    <w:rsid w:val="631A1BE1"/>
    <w:rsid w:val="632E6B29"/>
    <w:rsid w:val="6330635A"/>
    <w:rsid w:val="63360D48"/>
    <w:rsid w:val="633B5253"/>
    <w:rsid w:val="63436F39"/>
    <w:rsid w:val="63491A70"/>
    <w:rsid w:val="6367429A"/>
    <w:rsid w:val="636855BD"/>
    <w:rsid w:val="63B70D7D"/>
    <w:rsid w:val="63BB240A"/>
    <w:rsid w:val="63DF6526"/>
    <w:rsid w:val="63E87188"/>
    <w:rsid w:val="6401394C"/>
    <w:rsid w:val="64133D6A"/>
    <w:rsid w:val="641F4B74"/>
    <w:rsid w:val="642B19C7"/>
    <w:rsid w:val="64353D4A"/>
    <w:rsid w:val="64354398"/>
    <w:rsid w:val="643B19AE"/>
    <w:rsid w:val="644E7C47"/>
    <w:rsid w:val="64590086"/>
    <w:rsid w:val="646847EE"/>
    <w:rsid w:val="646E4975"/>
    <w:rsid w:val="647759D6"/>
    <w:rsid w:val="647924D6"/>
    <w:rsid w:val="64892A0D"/>
    <w:rsid w:val="648A46E4"/>
    <w:rsid w:val="64AC274A"/>
    <w:rsid w:val="64B02308"/>
    <w:rsid w:val="64BE7A39"/>
    <w:rsid w:val="64C3364C"/>
    <w:rsid w:val="64C64FF0"/>
    <w:rsid w:val="64CA2D32"/>
    <w:rsid w:val="64D43BB1"/>
    <w:rsid w:val="64EE4C72"/>
    <w:rsid w:val="652341F0"/>
    <w:rsid w:val="6525305D"/>
    <w:rsid w:val="65670581"/>
    <w:rsid w:val="65BC5449"/>
    <w:rsid w:val="65C336DE"/>
    <w:rsid w:val="65CE70EA"/>
    <w:rsid w:val="65DC2D1D"/>
    <w:rsid w:val="65E47E23"/>
    <w:rsid w:val="65ED4F2A"/>
    <w:rsid w:val="65F60782"/>
    <w:rsid w:val="661242B7"/>
    <w:rsid w:val="66154481"/>
    <w:rsid w:val="66326DE1"/>
    <w:rsid w:val="663B3B23"/>
    <w:rsid w:val="66560D21"/>
    <w:rsid w:val="66567D19"/>
    <w:rsid w:val="665705F5"/>
    <w:rsid w:val="66695436"/>
    <w:rsid w:val="666B5E4F"/>
    <w:rsid w:val="667C005C"/>
    <w:rsid w:val="6684274A"/>
    <w:rsid w:val="66976C44"/>
    <w:rsid w:val="66C57C55"/>
    <w:rsid w:val="66C8504F"/>
    <w:rsid w:val="66CF3AA7"/>
    <w:rsid w:val="66D9725C"/>
    <w:rsid w:val="66E520A5"/>
    <w:rsid w:val="66E96683"/>
    <w:rsid w:val="66EC10AB"/>
    <w:rsid w:val="66F0216D"/>
    <w:rsid w:val="66F450F2"/>
    <w:rsid w:val="67040982"/>
    <w:rsid w:val="670D3226"/>
    <w:rsid w:val="671169F6"/>
    <w:rsid w:val="671368B5"/>
    <w:rsid w:val="6728524B"/>
    <w:rsid w:val="673E5311"/>
    <w:rsid w:val="67500023"/>
    <w:rsid w:val="675D6494"/>
    <w:rsid w:val="67671B53"/>
    <w:rsid w:val="677F7E04"/>
    <w:rsid w:val="67982C74"/>
    <w:rsid w:val="67AC4971"/>
    <w:rsid w:val="67AF7FBD"/>
    <w:rsid w:val="67B6759E"/>
    <w:rsid w:val="67CE0D8B"/>
    <w:rsid w:val="67DA7730"/>
    <w:rsid w:val="67DB0DB2"/>
    <w:rsid w:val="67E9731E"/>
    <w:rsid w:val="67ED1A09"/>
    <w:rsid w:val="67F2059C"/>
    <w:rsid w:val="67F307F2"/>
    <w:rsid w:val="68030A35"/>
    <w:rsid w:val="68295FC1"/>
    <w:rsid w:val="682B1D3A"/>
    <w:rsid w:val="68336E40"/>
    <w:rsid w:val="68395EBA"/>
    <w:rsid w:val="683D4047"/>
    <w:rsid w:val="6844104D"/>
    <w:rsid w:val="68662D72"/>
    <w:rsid w:val="687A4A6F"/>
    <w:rsid w:val="687E2602"/>
    <w:rsid w:val="688E4077"/>
    <w:rsid w:val="68907053"/>
    <w:rsid w:val="68994715"/>
    <w:rsid w:val="68A8338A"/>
    <w:rsid w:val="68B12AB5"/>
    <w:rsid w:val="68C14AFC"/>
    <w:rsid w:val="68F11668"/>
    <w:rsid w:val="690A7BA1"/>
    <w:rsid w:val="690C35AA"/>
    <w:rsid w:val="69183E66"/>
    <w:rsid w:val="69256789"/>
    <w:rsid w:val="69324C8C"/>
    <w:rsid w:val="69344518"/>
    <w:rsid w:val="693B3D95"/>
    <w:rsid w:val="69520996"/>
    <w:rsid w:val="695E1C9B"/>
    <w:rsid w:val="697B3329"/>
    <w:rsid w:val="699B3AEE"/>
    <w:rsid w:val="69CA4D9F"/>
    <w:rsid w:val="69D550CD"/>
    <w:rsid w:val="69FD3262"/>
    <w:rsid w:val="69FE1C72"/>
    <w:rsid w:val="6A0936F4"/>
    <w:rsid w:val="6A0B308F"/>
    <w:rsid w:val="6A243740"/>
    <w:rsid w:val="6A285C3C"/>
    <w:rsid w:val="6A3F7D1E"/>
    <w:rsid w:val="6A7A6FA8"/>
    <w:rsid w:val="6A81400C"/>
    <w:rsid w:val="6AB029CA"/>
    <w:rsid w:val="6AB204F0"/>
    <w:rsid w:val="6ABC5F4B"/>
    <w:rsid w:val="6AC81AC2"/>
    <w:rsid w:val="6AC963A7"/>
    <w:rsid w:val="6AD044B3"/>
    <w:rsid w:val="6AD27A6A"/>
    <w:rsid w:val="6AD522CF"/>
    <w:rsid w:val="6AD9782B"/>
    <w:rsid w:val="6AEA1A38"/>
    <w:rsid w:val="6AF1726A"/>
    <w:rsid w:val="6AFC5C0F"/>
    <w:rsid w:val="6B02412F"/>
    <w:rsid w:val="6B0F149F"/>
    <w:rsid w:val="6B122264"/>
    <w:rsid w:val="6B427AC6"/>
    <w:rsid w:val="6B6C68F1"/>
    <w:rsid w:val="6B7255A0"/>
    <w:rsid w:val="6B777044"/>
    <w:rsid w:val="6B795B49"/>
    <w:rsid w:val="6B96571C"/>
    <w:rsid w:val="6B9D6AAA"/>
    <w:rsid w:val="6BA73F43"/>
    <w:rsid w:val="6BD455B4"/>
    <w:rsid w:val="6BE741CA"/>
    <w:rsid w:val="6BF70F2A"/>
    <w:rsid w:val="6BF7466E"/>
    <w:rsid w:val="6C180827"/>
    <w:rsid w:val="6C1D5E3D"/>
    <w:rsid w:val="6C272818"/>
    <w:rsid w:val="6C2D0AE3"/>
    <w:rsid w:val="6C360528"/>
    <w:rsid w:val="6C382C77"/>
    <w:rsid w:val="6C3D33A3"/>
    <w:rsid w:val="6C411B2C"/>
    <w:rsid w:val="6C4D0456"/>
    <w:rsid w:val="6C796FC3"/>
    <w:rsid w:val="6C7B603C"/>
    <w:rsid w:val="6C8859AD"/>
    <w:rsid w:val="6C9672F5"/>
    <w:rsid w:val="6C9C4FB4"/>
    <w:rsid w:val="6CAD0F6F"/>
    <w:rsid w:val="6CBF4B9D"/>
    <w:rsid w:val="6CD40BF2"/>
    <w:rsid w:val="6CEE3336"/>
    <w:rsid w:val="6CF070AE"/>
    <w:rsid w:val="6CF22540"/>
    <w:rsid w:val="6CFA617E"/>
    <w:rsid w:val="6D082649"/>
    <w:rsid w:val="6D0D7C60"/>
    <w:rsid w:val="6D19440C"/>
    <w:rsid w:val="6D2E1052"/>
    <w:rsid w:val="6D2E5A27"/>
    <w:rsid w:val="6D3045CA"/>
    <w:rsid w:val="6D374CDD"/>
    <w:rsid w:val="6D392803"/>
    <w:rsid w:val="6D3E250F"/>
    <w:rsid w:val="6D521B17"/>
    <w:rsid w:val="6D582249"/>
    <w:rsid w:val="6D77332B"/>
    <w:rsid w:val="6D9143ED"/>
    <w:rsid w:val="6D9712CB"/>
    <w:rsid w:val="6D99260C"/>
    <w:rsid w:val="6DA14C71"/>
    <w:rsid w:val="6DA34120"/>
    <w:rsid w:val="6DA41D8F"/>
    <w:rsid w:val="6DC04CD2"/>
    <w:rsid w:val="6DD426B1"/>
    <w:rsid w:val="6DD865FD"/>
    <w:rsid w:val="6DE07122"/>
    <w:rsid w:val="6DE07298"/>
    <w:rsid w:val="6DF332FA"/>
    <w:rsid w:val="6DF53038"/>
    <w:rsid w:val="6E1F5493"/>
    <w:rsid w:val="6E7361E8"/>
    <w:rsid w:val="6E7A7577"/>
    <w:rsid w:val="6E897151"/>
    <w:rsid w:val="6E8977BA"/>
    <w:rsid w:val="6EB20ABF"/>
    <w:rsid w:val="6EC66318"/>
    <w:rsid w:val="6ED250CB"/>
    <w:rsid w:val="6EDA214C"/>
    <w:rsid w:val="6EE751E2"/>
    <w:rsid w:val="6EF235B1"/>
    <w:rsid w:val="6F0C10BB"/>
    <w:rsid w:val="6F0F4163"/>
    <w:rsid w:val="6F101C89"/>
    <w:rsid w:val="6F1C418A"/>
    <w:rsid w:val="6F232CD0"/>
    <w:rsid w:val="6F415726"/>
    <w:rsid w:val="6F5525A6"/>
    <w:rsid w:val="6F5B2DE1"/>
    <w:rsid w:val="6F6F0114"/>
    <w:rsid w:val="6F834209"/>
    <w:rsid w:val="6F881820"/>
    <w:rsid w:val="6F965193"/>
    <w:rsid w:val="6FA06B69"/>
    <w:rsid w:val="6FBE7937"/>
    <w:rsid w:val="6FCE03D8"/>
    <w:rsid w:val="6FEB0785"/>
    <w:rsid w:val="6FFF11E2"/>
    <w:rsid w:val="700510C2"/>
    <w:rsid w:val="700C2451"/>
    <w:rsid w:val="70136A8B"/>
    <w:rsid w:val="702E23C7"/>
    <w:rsid w:val="70482EA2"/>
    <w:rsid w:val="705F6A24"/>
    <w:rsid w:val="70700C31"/>
    <w:rsid w:val="70891CF3"/>
    <w:rsid w:val="708E730A"/>
    <w:rsid w:val="70A95EF1"/>
    <w:rsid w:val="70C920F0"/>
    <w:rsid w:val="70D10D03"/>
    <w:rsid w:val="70FD7FEB"/>
    <w:rsid w:val="70FF3D63"/>
    <w:rsid w:val="7104137A"/>
    <w:rsid w:val="712D6B22"/>
    <w:rsid w:val="71542301"/>
    <w:rsid w:val="715E0D9E"/>
    <w:rsid w:val="71665B90"/>
    <w:rsid w:val="717E2EDA"/>
    <w:rsid w:val="718879BC"/>
    <w:rsid w:val="718A5AF2"/>
    <w:rsid w:val="718C4420"/>
    <w:rsid w:val="71C32FE3"/>
    <w:rsid w:val="71CD751C"/>
    <w:rsid w:val="71D22A26"/>
    <w:rsid w:val="71D23226"/>
    <w:rsid w:val="71DB032D"/>
    <w:rsid w:val="71E73175"/>
    <w:rsid w:val="71F66F14"/>
    <w:rsid w:val="72012485"/>
    <w:rsid w:val="720A0C12"/>
    <w:rsid w:val="7216013B"/>
    <w:rsid w:val="721B55A3"/>
    <w:rsid w:val="72211285"/>
    <w:rsid w:val="72281098"/>
    <w:rsid w:val="72345C8F"/>
    <w:rsid w:val="725B76BF"/>
    <w:rsid w:val="726A7902"/>
    <w:rsid w:val="72750781"/>
    <w:rsid w:val="72783DCD"/>
    <w:rsid w:val="72806980"/>
    <w:rsid w:val="72816635"/>
    <w:rsid w:val="72816BB4"/>
    <w:rsid w:val="728E35F1"/>
    <w:rsid w:val="72A251AF"/>
    <w:rsid w:val="72A93DB0"/>
    <w:rsid w:val="72A9667D"/>
    <w:rsid w:val="72BA0B6E"/>
    <w:rsid w:val="72BE0FB4"/>
    <w:rsid w:val="72EC6569"/>
    <w:rsid w:val="73497518"/>
    <w:rsid w:val="734E5D79"/>
    <w:rsid w:val="734F0FD2"/>
    <w:rsid w:val="7352461E"/>
    <w:rsid w:val="735E1215"/>
    <w:rsid w:val="73707601"/>
    <w:rsid w:val="737E5413"/>
    <w:rsid w:val="73844AB9"/>
    <w:rsid w:val="73A155A6"/>
    <w:rsid w:val="73B70925"/>
    <w:rsid w:val="73BF77DA"/>
    <w:rsid w:val="73C31078"/>
    <w:rsid w:val="73DD49A4"/>
    <w:rsid w:val="73E87175"/>
    <w:rsid w:val="73F6144E"/>
    <w:rsid w:val="73F97190"/>
    <w:rsid w:val="73FB4CB6"/>
    <w:rsid w:val="7400407A"/>
    <w:rsid w:val="740718AD"/>
    <w:rsid w:val="740A5F00"/>
    <w:rsid w:val="740F4C52"/>
    <w:rsid w:val="74100036"/>
    <w:rsid w:val="7425398B"/>
    <w:rsid w:val="742C30C1"/>
    <w:rsid w:val="742F2BB2"/>
    <w:rsid w:val="742F4960"/>
    <w:rsid w:val="7431692A"/>
    <w:rsid w:val="74367A9C"/>
    <w:rsid w:val="744C3764"/>
    <w:rsid w:val="746F547D"/>
    <w:rsid w:val="747D6DF6"/>
    <w:rsid w:val="74C4779E"/>
    <w:rsid w:val="74C70898"/>
    <w:rsid w:val="74C8610F"/>
    <w:rsid w:val="74D3178F"/>
    <w:rsid w:val="74DC4AE7"/>
    <w:rsid w:val="74F71921"/>
    <w:rsid w:val="751708E9"/>
    <w:rsid w:val="75183646"/>
    <w:rsid w:val="751F0FEF"/>
    <w:rsid w:val="75273889"/>
    <w:rsid w:val="75365022"/>
    <w:rsid w:val="753D151B"/>
    <w:rsid w:val="753F6E24"/>
    <w:rsid w:val="754937FF"/>
    <w:rsid w:val="754C1C05"/>
    <w:rsid w:val="757C5983"/>
    <w:rsid w:val="75B74C0D"/>
    <w:rsid w:val="75DE3E98"/>
    <w:rsid w:val="760E4CEF"/>
    <w:rsid w:val="76286F0E"/>
    <w:rsid w:val="76524935"/>
    <w:rsid w:val="76593F16"/>
    <w:rsid w:val="765C65EC"/>
    <w:rsid w:val="76650B0D"/>
    <w:rsid w:val="766D7DC6"/>
    <w:rsid w:val="768A0573"/>
    <w:rsid w:val="769E7B7B"/>
    <w:rsid w:val="76A553AD"/>
    <w:rsid w:val="76B86E8E"/>
    <w:rsid w:val="76D91E95"/>
    <w:rsid w:val="770245AD"/>
    <w:rsid w:val="7706409E"/>
    <w:rsid w:val="770F0FEE"/>
    <w:rsid w:val="772E53A2"/>
    <w:rsid w:val="773106E6"/>
    <w:rsid w:val="77521091"/>
    <w:rsid w:val="775B2FC4"/>
    <w:rsid w:val="776E1C43"/>
    <w:rsid w:val="77712EE5"/>
    <w:rsid w:val="77732816"/>
    <w:rsid w:val="777621BF"/>
    <w:rsid w:val="77774E17"/>
    <w:rsid w:val="77777C80"/>
    <w:rsid w:val="777C610E"/>
    <w:rsid w:val="777D59E2"/>
    <w:rsid w:val="77A103A9"/>
    <w:rsid w:val="77B026E5"/>
    <w:rsid w:val="77B27D81"/>
    <w:rsid w:val="77BA6C36"/>
    <w:rsid w:val="77CD0717"/>
    <w:rsid w:val="77D17A87"/>
    <w:rsid w:val="77E5191E"/>
    <w:rsid w:val="78033DEF"/>
    <w:rsid w:val="782E3BC8"/>
    <w:rsid w:val="784604CA"/>
    <w:rsid w:val="78462278"/>
    <w:rsid w:val="784C1F84"/>
    <w:rsid w:val="78564BB1"/>
    <w:rsid w:val="78577DAA"/>
    <w:rsid w:val="78591FAB"/>
    <w:rsid w:val="78786945"/>
    <w:rsid w:val="788F3C1F"/>
    <w:rsid w:val="78961451"/>
    <w:rsid w:val="78A33979"/>
    <w:rsid w:val="78A36AB3"/>
    <w:rsid w:val="78A64613"/>
    <w:rsid w:val="78AC1F5B"/>
    <w:rsid w:val="78BE4504"/>
    <w:rsid w:val="78C80EDF"/>
    <w:rsid w:val="78D45AD6"/>
    <w:rsid w:val="78E73A5B"/>
    <w:rsid w:val="78F76C86"/>
    <w:rsid w:val="79053EE1"/>
    <w:rsid w:val="790A5126"/>
    <w:rsid w:val="790F4D60"/>
    <w:rsid w:val="793306AE"/>
    <w:rsid w:val="79425123"/>
    <w:rsid w:val="79651F6E"/>
    <w:rsid w:val="79667794"/>
    <w:rsid w:val="797177C8"/>
    <w:rsid w:val="798D13BC"/>
    <w:rsid w:val="7997722F"/>
    <w:rsid w:val="79C5457F"/>
    <w:rsid w:val="79F04B91"/>
    <w:rsid w:val="7A000594"/>
    <w:rsid w:val="7A011679"/>
    <w:rsid w:val="7A03546E"/>
    <w:rsid w:val="7A150154"/>
    <w:rsid w:val="7A342CD0"/>
    <w:rsid w:val="7A6C2A52"/>
    <w:rsid w:val="7A6D7F90"/>
    <w:rsid w:val="7A7B08FF"/>
    <w:rsid w:val="7A7B4D00"/>
    <w:rsid w:val="7AA31C03"/>
    <w:rsid w:val="7AAC4F5C"/>
    <w:rsid w:val="7AAF3F63"/>
    <w:rsid w:val="7AB67B89"/>
    <w:rsid w:val="7ABB519F"/>
    <w:rsid w:val="7ACF0C4A"/>
    <w:rsid w:val="7AF20495"/>
    <w:rsid w:val="7B097FEC"/>
    <w:rsid w:val="7B0A3A31"/>
    <w:rsid w:val="7B152B01"/>
    <w:rsid w:val="7B25338D"/>
    <w:rsid w:val="7B42141C"/>
    <w:rsid w:val="7B4857E6"/>
    <w:rsid w:val="7B4F1751"/>
    <w:rsid w:val="7B56651E"/>
    <w:rsid w:val="7B580B1A"/>
    <w:rsid w:val="7B5E1F98"/>
    <w:rsid w:val="7B782ABB"/>
    <w:rsid w:val="7B7875FC"/>
    <w:rsid w:val="7BAE163C"/>
    <w:rsid w:val="7BCD518A"/>
    <w:rsid w:val="7BE129E3"/>
    <w:rsid w:val="7BE645AC"/>
    <w:rsid w:val="7BFF2E69"/>
    <w:rsid w:val="7C0861C2"/>
    <w:rsid w:val="7C0E7550"/>
    <w:rsid w:val="7C3339F6"/>
    <w:rsid w:val="7C3E7E36"/>
    <w:rsid w:val="7C417926"/>
    <w:rsid w:val="7C442F72"/>
    <w:rsid w:val="7C4F12E3"/>
    <w:rsid w:val="7C572CA5"/>
    <w:rsid w:val="7C705B15"/>
    <w:rsid w:val="7C817D22"/>
    <w:rsid w:val="7C90513E"/>
    <w:rsid w:val="7CA103C5"/>
    <w:rsid w:val="7CA26617"/>
    <w:rsid w:val="7CBC51FE"/>
    <w:rsid w:val="7CD6006E"/>
    <w:rsid w:val="7CEC1640"/>
    <w:rsid w:val="7CF97EF8"/>
    <w:rsid w:val="7D060228"/>
    <w:rsid w:val="7D3D1E9B"/>
    <w:rsid w:val="7D580A83"/>
    <w:rsid w:val="7D5F62B6"/>
    <w:rsid w:val="7D6308BF"/>
    <w:rsid w:val="7D72647E"/>
    <w:rsid w:val="7D7D2BE0"/>
    <w:rsid w:val="7D8F021D"/>
    <w:rsid w:val="7DAC0DCF"/>
    <w:rsid w:val="7DBF0B02"/>
    <w:rsid w:val="7DD10836"/>
    <w:rsid w:val="7DDB20F4"/>
    <w:rsid w:val="7DDF2F52"/>
    <w:rsid w:val="7DF033B2"/>
    <w:rsid w:val="7E0230E5"/>
    <w:rsid w:val="7E0829F9"/>
    <w:rsid w:val="7E1532BF"/>
    <w:rsid w:val="7E21356B"/>
    <w:rsid w:val="7E2412AD"/>
    <w:rsid w:val="7E266DD3"/>
    <w:rsid w:val="7E372D8F"/>
    <w:rsid w:val="7E4D25B2"/>
    <w:rsid w:val="7E5E6AAE"/>
    <w:rsid w:val="7E741B85"/>
    <w:rsid w:val="7E79600D"/>
    <w:rsid w:val="7E814868"/>
    <w:rsid w:val="7EB10D93"/>
    <w:rsid w:val="7EBE07AF"/>
    <w:rsid w:val="7EC47587"/>
    <w:rsid w:val="7ED76320"/>
    <w:rsid w:val="7EE50A3C"/>
    <w:rsid w:val="7EEE0CFF"/>
    <w:rsid w:val="7EF944E8"/>
    <w:rsid w:val="7F0A046A"/>
    <w:rsid w:val="7F203823"/>
    <w:rsid w:val="7F2C0C33"/>
    <w:rsid w:val="7F365FF7"/>
    <w:rsid w:val="7F4B1A39"/>
    <w:rsid w:val="7F4F57DA"/>
    <w:rsid w:val="7F5160D2"/>
    <w:rsid w:val="7F5D4A77"/>
    <w:rsid w:val="7F743B6E"/>
    <w:rsid w:val="7FA078F7"/>
    <w:rsid w:val="7FA11B62"/>
    <w:rsid w:val="7FA2248A"/>
    <w:rsid w:val="7FAC4A8E"/>
    <w:rsid w:val="7FC21739"/>
    <w:rsid w:val="7FD30895"/>
    <w:rsid w:val="7FDA18B1"/>
    <w:rsid w:val="7FF13411"/>
    <w:rsid w:val="7FFF5B2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260" w:after="260" w:line="240" w:lineRule="auto"/>
      <w:jc w:val="center"/>
      <w:outlineLvl w:val="0"/>
    </w:pPr>
    <w:rPr>
      <w:rFonts w:ascii="Times New Roman" w:hAnsi="Times New Roman" w:eastAsia="微软雅黑"/>
      <w:b/>
      <w:bCs/>
      <w:kern w:val="44"/>
      <w:sz w:val="30"/>
      <w:szCs w:val="44"/>
    </w:rPr>
  </w:style>
  <w:style w:type="paragraph" w:styleId="4">
    <w:name w:val="heading 2"/>
    <w:basedOn w:val="1"/>
    <w:next w:val="1"/>
    <w:link w:val="53"/>
    <w:qFormat/>
    <w:uiPriority w:val="0"/>
    <w:pPr>
      <w:keepNext/>
      <w:keepLines/>
      <w:spacing w:before="60" w:after="60" w:line="360" w:lineRule="auto"/>
      <w:outlineLvl w:val="1"/>
    </w:pPr>
    <w:rPr>
      <w:rFonts w:ascii="Arial" w:hAnsi="Arial" w:eastAsia="宋体"/>
      <w:b/>
      <w:bCs/>
      <w:szCs w:val="32"/>
    </w:rPr>
  </w:style>
  <w:style w:type="paragraph" w:styleId="5">
    <w:name w:val="heading 3"/>
    <w:basedOn w:val="1"/>
    <w:next w:val="1"/>
    <w:link w:val="87"/>
    <w:qFormat/>
    <w:uiPriority w:val="0"/>
    <w:pPr>
      <w:keepNext/>
      <w:keepLines/>
      <w:spacing w:before="260" w:after="260" w:line="360" w:lineRule="auto"/>
      <w:outlineLvl w:val="2"/>
    </w:pPr>
    <w:rPr>
      <w:rFonts w:ascii="Times New Roman" w:hAnsi="Times New Roman" w:eastAsia="宋体"/>
      <w:b/>
      <w:bCs/>
      <w:sz w:val="28"/>
      <w:szCs w:val="32"/>
    </w:rPr>
  </w:style>
  <w:style w:type="paragraph" w:styleId="6">
    <w:name w:val="heading 4"/>
    <w:basedOn w:val="1"/>
    <w:next w:val="1"/>
    <w:qFormat/>
    <w:uiPriority w:val="0"/>
    <w:pPr>
      <w:keepNext/>
      <w:keepLines/>
      <w:tabs>
        <w:tab w:val="left" w:pos="0"/>
      </w:tabs>
      <w:adjustRightInd w:val="0"/>
      <w:spacing w:before="280" w:after="290" w:line="376" w:lineRule="atLeast"/>
      <w:outlineLvl w:val="3"/>
    </w:pPr>
    <w:rPr>
      <w:rFonts w:ascii="Arial" w:hAnsi="Arial" w:eastAsia="黑体"/>
      <w:sz w:val="28"/>
      <w:szCs w:val="28"/>
    </w:rPr>
  </w:style>
  <w:style w:type="paragraph" w:styleId="7">
    <w:name w:val="heading 5"/>
    <w:basedOn w:val="1"/>
    <w:next w:val="1"/>
    <w:qFormat/>
    <w:uiPriority w:val="0"/>
    <w:pPr>
      <w:keepNext/>
      <w:keepLines/>
      <w:numPr>
        <w:ilvl w:val="4"/>
        <w:numId w:val="1"/>
      </w:numPr>
      <w:spacing w:before="50" w:beforeLines="50" w:beforeAutospacing="0" w:after="50" w:afterLines="50" w:afterAutospacing="0" w:line="360" w:lineRule="auto"/>
      <w:ind w:left="1008" w:right="0" w:rightChars="0" w:hanging="1008" w:firstLineChars="0"/>
      <w:outlineLvl w:val="4"/>
    </w:pPr>
    <w:rPr>
      <w:rFonts w:ascii="Calibri" w:hAnsi="Calibri" w:eastAsia="黑体" w:cs="Times New Roman"/>
      <w:b/>
      <w:spacing w:val="0"/>
      <w:sz w:val="24"/>
      <w:szCs w:val="24"/>
    </w:rPr>
  </w:style>
  <w:style w:type="paragraph" w:styleId="8">
    <w:name w:val="heading 6"/>
    <w:basedOn w:val="1"/>
    <w:next w:val="1"/>
    <w:qFormat/>
    <w:uiPriority w:val="0"/>
    <w:pPr>
      <w:keepNext/>
      <w:keepLines/>
      <w:numPr>
        <w:ilvl w:val="5"/>
        <w:numId w:val="1"/>
      </w:numPr>
      <w:tabs>
        <w:tab w:val="left" w:pos="0"/>
      </w:tabs>
      <w:spacing w:after="64" w:line="317" w:lineRule="auto"/>
      <w:ind w:left="1151" w:hanging="1151" w:firstLineChars="0"/>
      <w:outlineLvl w:val="5"/>
    </w:pPr>
    <w:rPr>
      <w:rFonts w:eastAsia="黑体" w:cs="Times New Roman"/>
      <w:b/>
      <w:spacing w:val="0"/>
      <w:sz w:val="21"/>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macro"/>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right="240" w:firstLine="480" w:firstLineChars="200"/>
    </w:pPr>
    <w:rPr>
      <w:rFonts w:ascii="Courier New" w:hAnsi="Courier New" w:eastAsia="宋体" w:cs="Courier New"/>
      <w:kern w:val="2"/>
      <w:sz w:val="24"/>
      <w:szCs w:val="24"/>
      <w:lang w:val="en-US" w:eastAsia="zh-CN" w:bidi="ar-SA"/>
    </w:rPr>
  </w:style>
  <w:style w:type="paragraph" w:styleId="9">
    <w:name w:val="List Number"/>
    <w:basedOn w:val="1"/>
    <w:qFormat/>
    <w:uiPriority w:val="0"/>
    <w:pPr>
      <w:widowControl/>
      <w:numPr>
        <w:ilvl w:val="0"/>
        <w:numId w:val="2"/>
      </w:numPr>
      <w:tabs>
        <w:tab w:val="left" w:pos="454"/>
        <w:tab w:val="left" w:pos="720"/>
        <w:tab w:val="clear" w:pos="900"/>
      </w:tabs>
      <w:spacing w:after="50" w:afterLines="50"/>
      <w:ind w:left="454" w:hanging="284"/>
      <w:jc w:val="left"/>
    </w:pPr>
    <w:rPr>
      <w:kern w:val="0"/>
      <w:sz w:val="24"/>
      <w:szCs w:val="20"/>
    </w:rPr>
  </w:style>
  <w:style w:type="paragraph" w:styleId="10">
    <w:name w:val="Normal Indent"/>
    <w:basedOn w:val="1"/>
    <w:next w:val="11"/>
    <w:qFormat/>
    <w:uiPriority w:val="0"/>
    <w:pPr>
      <w:ind w:firstLine="420"/>
    </w:pPr>
    <w:rPr>
      <w:szCs w:val="20"/>
    </w:rPr>
  </w:style>
  <w:style w:type="paragraph" w:styleId="11">
    <w:name w:val="Body Text Indent"/>
    <w:basedOn w:val="1"/>
    <w:next w:val="1"/>
    <w:link w:val="63"/>
    <w:qFormat/>
    <w:uiPriority w:val="0"/>
    <w:pPr>
      <w:spacing w:line="200" w:lineRule="exact"/>
      <w:ind w:firstLine="301"/>
    </w:pPr>
    <w:rPr>
      <w:rFonts w:ascii="宋体" w:hAnsi="Courier New"/>
      <w:spacing w:val="-4"/>
      <w:sz w:val="18"/>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annotation text"/>
    <w:basedOn w:val="1"/>
    <w:link w:val="62"/>
    <w:qFormat/>
    <w:uiPriority w:val="0"/>
    <w:pPr>
      <w:jc w:val="left"/>
    </w:pPr>
  </w:style>
  <w:style w:type="paragraph" w:styleId="14">
    <w:name w:val="Body Text 3"/>
    <w:basedOn w:val="1"/>
    <w:qFormat/>
    <w:uiPriority w:val="0"/>
    <w:pPr>
      <w:snapToGrid w:val="0"/>
      <w:spacing w:before="50" w:after="50"/>
    </w:pPr>
    <w:rPr>
      <w:rFonts w:hAnsi="宋体" w:eastAsia="仿宋_GB2312"/>
      <w:b/>
      <w:bCs/>
      <w:sz w:val="24"/>
      <w:szCs w:val="20"/>
    </w:rPr>
  </w:style>
  <w:style w:type="paragraph" w:styleId="15">
    <w:name w:val="Body Text"/>
    <w:basedOn w:val="1"/>
    <w:next w:val="1"/>
    <w:qFormat/>
    <w:uiPriority w:val="0"/>
    <w:pPr>
      <w:spacing w:after="120"/>
    </w:pPr>
    <w:rPr>
      <w:sz w:val="28"/>
    </w:rPr>
  </w:style>
  <w:style w:type="paragraph" w:styleId="16">
    <w:name w:val="List Number 3"/>
    <w:basedOn w:val="1"/>
    <w:qFormat/>
    <w:uiPriority w:val="0"/>
    <w:pPr>
      <w:numPr>
        <w:ilvl w:val="0"/>
        <w:numId w:val="3"/>
      </w:numPr>
    </w:pPr>
  </w:style>
  <w:style w:type="paragraph" w:styleId="17">
    <w:name w:val="List 2"/>
    <w:basedOn w:val="1"/>
    <w:qFormat/>
    <w:uiPriority w:val="0"/>
    <w:pPr>
      <w:ind w:left="100" w:leftChars="200" w:hanging="200" w:hangingChars="200"/>
    </w:pPr>
    <w:rPr>
      <w:sz w:val="28"/>
    </w:rPr>
  </w:style>
  <w:style w:type="paragraph" w:styleId="18">
    <w:name w:val="Block Text"/>
    <w:basedOn w:val="1"/>
    <w:unhideWhenUsed/>
    <w:qFormat/>
    <w:uiPriority w:val="99"/>
    <w:pPr>
      <w:spacing w:after="120"/>
      <w:ind w:left="1440" w:leftChars="700" w:right="1440" w:rightChars="700"/>
    </w:pPr>
  </w:style>
  <w:style w:type="paragraph" w:styleId="19">
    <w:name w:val="Plain Text"/>
    <w:basedOn w:val="1"/>
    <w:next w:val="1"/>
    <w:qFormat/>
    <w:uiPriority w:val="0"/>
    <w:pPr>
      <w:spacing w:before="156" w:beforeLines="50" w:after="156" w:afterLines="50" w:line="400" w:lineRule="exact"/>
    </w:pPr>
    <w:rPr>
      <w:rFonts w:ascii="宋体" w:hAnsi="Courier New"/>
      <w:sz w:val="24"/>
    </w:rPr>
  </w:style>
  <w:style w:type="paragraph" w:styleId="20">
    <w:name w:val="Date"/>
    <w:basedOn w:val="1"/>
    <w:next w:val="1"/>
    <w:qFormat/>
    <w:uiPriority w:val="0"/>
    <w:pPr>
      <w:ind w:left="2500" w:leftChars="2500"/>
    </w:pPr>
    <w:rPr>
      <w:rFonts w:eastAsia="楷体_GB2312"/>
      <w:sz w:val="32"/>
      <w:szCs w:val="20"/>
    </w:rPr>
  </w:style>
  <w:style w:type="paragraph" w:styleId="21">
    <w:name w:val="Body Text Indent 2"/>
    <w:basedOn w:val="1"/>
    <w:qFormat/>
    <w:uiPriority w:val="0"/>
    <w:pPr>
      <w:snapToGrid w:val="0"/>
      <w:ind w:firstLine="542" w:firstLineChars="225"/>
    </w:pPr>
    <w:rPr>
      <w:rFonts w:ascii="仿宋_GB2312" w:hAnsi="宋体" w:cs="Arial"/>
      <w:b/>
      <w:bCs/>
      <w:color w:val="000000"/>
      <w:sz w:val="24"/>
    </w:rPr>
  </w:style>
  <w:style w:type="paragraph" w:styleId="22">
    <w:name w:val="Balloon Text"/>
    <w:basedOn w:val="1"/>
    <w:semiHidden/>
    <w:qFormat/>
    <w:uiPriority w:val="0"/>
    <w:rPr>
      <w:sz w:val="18"/>
      <w:szCs w:val="18"/>
    </w:rPr>
  </w:style>
  <w:style w:type="paragraph" w:styleId="23">
    <w:name w:val="footer"/>
    <w:basedOn w:val="1"/>
    <w:link w:val="64"/>
    <w:qFormat/>
    <w:uiPriority w:val="99"/>
    <w:pPr>
      <w:tabs>
        <w:tab w:val="center" w:pos="4153"/>
        <w:tab w:val="right" w:pos="8306"/>
      </w:tabs>
      <w:snapToGrid w:val="0"/>
      <w:ind w:right="360" w:firstLine="360"/>
      <w:jc w:val="center"/>
    </w:pPr>
    <w:rPr>
      <w:rFonts w:eastAsia="黑体"/>
      <w:snapToGrid w:val="0"/>
      <w:kern w:val="0"/>
      <w:sz w:val="18"/>
      <w:szCs w:val="18"/>
    </w:rPr>
  </w:style>
  <w:style w:type="paragraph" w:styleId="24">
    <w:name w:val="header"/>
    <w:basedOn w:val="1"/>
    <w:link w:val="65"/>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5">
    <w:name w:val="toc 1"/>
    <w:basedOn w:val="1"/>
    <w:next w:val="1"/>
    <w:semiHidden/>
    <w:qFormat/>
    <w:uiPriority w:val="0"/>
  </w:style>
  <w:style w:type="paragraph" w:styleId="2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99"/>
    <w:pPr>
      <w:ind w:left="1050"/>
      <w:jc w:val="left"/>
    </w:pPr>
    <w:rPr>
      <w:kern w:val="0"/>
      <w:sz w:val="18"/>
      <w:szCs w:val="18"/>
    </w:rPr>
  </w:style>
  <w:style w:type="paragraph" w:styleId="29">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0">
    <w:name w:val="toc 2"/>
    <w:basedOn w:val="1"/>
    <w:next w:val="1"/>
    <w:qFormat/>
    <w:uiPriority w:val="39"/>
    <w:pPr>
      <w:tabs>
        <w:tab w:val="right" w:leader="dot" w:pos="9180"/>
      </w:tabs>
      <w:jc w:val="left"/>
    </w:pPr>
    <w:rPr>
      <w:smallCaps/>
    </w:rPr>
  </w:style>
  <w:style w:type="paragraph" w:styleId="31">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next w:val="1"/>
    <w:qFormat/>
    <w:uiPriority w:val="99"/>
    <w:pPr>
      <w:spacing w:before="240" w:after="60"/>
      <w:jc w:val="center"/>
      <w:outlineLvl w:val="0"/>
    </w:pPr>
    <w:rPr>
      <w:rFonts w:ascii="Cambria" w:hAnsi="Cambria"/>
      <w:b/>
      <w:bCs/>
      <w:sz w:val="32"/>
      <w:szCs w:val="32"/>
    </w:rPr>
  </w:style>
  <w:style w:type="paragraph" w:styleId="35">
    <w:name w:val="annotation subject"/>
    <w:basedOn w:val="13"/>
    <w:next w:val="13"/>
    <w:link w:val="66"/>
    <w:qFormat/>
    <w:uiPriority w:val="0"/>
    <w:rPr>
      <w:b/>
      <w:bCs/>
    </w:rPr>
  </w:style>
  <w:style w:type="paragraph" w:styleId="36">
    <w:name w:val="Body Text First Indent"/>
    <w:basedOn w:val="15"/>
    <w:next w:val="1"/>
    <w:qFormat/>
    <w:uiPriority w:val="0"/>
    <w:pPr>
      <w:ind w:firstLine="420" w:firstLineChars="100"/>
    </w:pPr>
  </w:style>
  <w:style w:type="paragraph" w:styleId="37">
    <w:name w:val="Body Text First Indent 2"/>
    <w:basedOn w:val="11"/>
    <w:next w:val="36"/>
    <w:unhideWhenUsed/>
    <w:qFormat/>
    <w:uiPriority w:val="0"/>
    <w:pPr>
      <w:spacing w:after="120" w:line="240" w:lineRule="auto"/>
      <w:ind w:left="420" w:leftChars="200" w:firstLine="420" w:firstLineChars="200"/>
    </w:pPr>
    <w:rPr>
      <w:rFonts w:ascii="Times New Roman" w:hAnsi="Times New Roman"/>
      <w:spacing w:val="0"/>
      <w:sz w:val="21"/>
      <w:szCs w:val="24"/>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qFormat/>
    <w:uiPriority w:val="0"/>
  </w:style>
  <w:style w:type="character" w:styleId="43">
    <w:name w:val="FollowedHyperlink"/>
    <w:basedOn w:val="40"/>
    <w:qFormat/>
    <w:uiPriority w:val="0"/>
    <w:rPr>
      <w:color w:val="666768"/>
      <w:u w:val="none"/>
    </w:rPr>
  </w:style>
  <w:style w:type="character" w:styleId="44">
    <w:name w:val="Emphasis"/>
    <w:basedOn w:val="40"/>
    <w:qFormat/>
    <w:uiPriority w:val="0"/>
    <w:rPr>
      <w:b/>
      <w:bCs/>
    </w:rPr>
  </w:style>
  <w:style w:type="character" w:styleId="45">
    <w:name w:val="HTML Definition"/>
    <w:basedOn w:val="40"/>
    <w:qFormat/>
    <w:uiPriority w:val="0"/>
    <w:rPr>
      <w:u w:val="none"/>
    </w:rPr>
  </w:style>
  <w:style w:type="character" w:styleId="46">
    <w:name w:val="HTML Variable"/>
    <w:basedOn w:val="40"/>
    <w:qFormat/>
    <w:uiPriority w:val="0"/>
  </w:style>
  <w:style w:type="character" w:styleId="47">
    <w:name w:val="Hyperlink"/>
    <w:basedOn w:val="40"/>
    <w:qFormat/>
    <w:uiPriority w:val="0"/>
    <w:rPr>
      <w:color w:val="0000FF"/>
      <w:u w:val="single"/>
    </w:rPr>
  </w:style>
  <w:style w:type="character" w:styleId="48">
    <w:name w:val="HTML Code"/>
    <w:basedOn w:val="40"/>
    <w:qFormat/>
    <w:uiPriority w:val="0"/>
    <w:rPr>
      <w:rFonts w:ascii="Courier New" w:hAnsi="Courier New"/>
      <w:sz w:val="20"/>
    </w:rPr>
  </w:style>
  <w:style w:type="character" w:styleId="49">
    <w:name w:val="annotation reference"/>
    <w:qFormat/>
    <w:uiPriority w:val="0"/>
    <w:rPr>
      <w:sz w:val="21"/>
      <w:szCs w:val="21"/>
    </w:rPr>
  </w:style>
  <w:style w:type="character" w:styleId="50">
    <w:name w:val="HTML Cite"/>
    <w:basedOn w:val="40"/>
    <w:qFormat/>
    <w:uiPriority w:val="0"/>
  </w:style>
  <w:style w:type="character" w:styleId="51">
    <w:name w:val="HTML Keyboard"/>
    <w:basedOn w:val="40"/>
    <w:qFormat/>
    <w:uiPriority w:val="0"/>
    <w:rPr>
      <w:rFonts w:ascii="Courier New" w:hAnsi="Courier New"/>
      <w:sz w:val="20"/>
    </w:rPr>
  </w:style>
  <w:style w:type="character" w:styleId="52">
    <w:name w:val="HTML Sample"/>
    <w:basedOn w:val="40"/>
    <w:qFormat/>
    <w:uiPriority w:val="0"/>
    <w:rPr>
      <w:rFonts w:ascii="Courier New" w:hAnsi="Courier New"/>
    </w:rPr>
  </w:style>
  <w:style w:type="character" w:customStyle="1" w:styleId="53">
    <w:name w:val="标题 2 Char"/>
    <w:basedOn w:val="40"/>
    <w:link w:val="4"/>
    <w:qFormat/>
    <w:uiPriority w:val="0"/>
    <w:rPr>
      <w:rFonts w:ascii="Arial" w:hAnsi="Arial" w:eastAsia="宋体"/>
      <w:b/>
      <w:bCs/>
      <w:szCs w:val="32"/>
    </w:rPr>
  </w:style>
  <w:style w:type="character" w:customStyle="1" w:styleId="54">
    <w:name w:val="标题 1 字符"/>
    <w:link w:val="3"/>
    <w:qFormat/>
    <w:uiPriority w:val="0"/>
    <w:rPr>
      <w:rFonts w:ascii="Times New Roman" w:hAnsi="Times New Roman" w:eastAsia="微软雅黑"/>
      <w:b/>
      <w:bCs/>
      <w:kern w:val="44"/>
      <w:sz w:val="30"/>
      <w:szCs w:val="44"/>
    </w:rPr>
  </w:style>
  <w:style w:type="paragraph" w:styleId="55">
    <w:name w:val="List Paragraph"/>
    <w:basedOn w:val="1"/>
    <w:next w:val="56"/>
    <w:qFormat/>
    <w:uiPriority w:val="34"/>
    <w:pPr>
      <w:ind w:firstLine="420" w:firstLineChars="200"/>
    </w:pPr>
  </w:style>
  <w:style w:type="paragraph" w:customStyle="1" w:styleId="56">
    <w:name w:val="目录 3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5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1"/>
    <w:basedOn w:val="1"/>
    <w:next w:val="1"/>
    <w:qFormat/>
    <w:uiPriority w:val="99"/>
    <w:pPr>
      <w:numPr>
        <w:ilvl w:val="0"/>
        <w:numId w:val="4"/>
      </w:numPr>
      <w:spacing w:line="360" w:lineRule="auto"/>
      <w:jc w:val="left"/>
    </w:pPr>
    <w:rPr>
      <w:rFonts w:ascii="宋体" w:hAnsi="宋体"/>
      <w:spacing w:val="4"/>
      <w:sz w:val="18"/>
      <w:szCs w:val="20"/>
    </w:rPr>
  </w:style>
  <w:style w:type="paragraph" w:customStyle="1" w:styleId="59">
    <w:name w:val="正文缩进1"/>
    <w:basedOn w:val="1"/>
    <w:qFormat/>
    <w:uiPriority w:val="0"/>
    <w:pPr>
      <w:ind w:firstLine="420"/>
    </w:pPr>
  </w:style>
  <w:style w:type="paragraph" w:customStyle="1" w:styleId="60">
    <w:name w:val="列出段落1"/>
    <w:basedOn w:val="1"/>
    <w:qFormat/>
    <w:uiPriority w:val="99"/>
    <w:pPr>
      <w:ind w:firstLine="200" w:firstLineChars="200"/>
    </w:pPr>
    <w:rPr>
      <w:rFonts w:ascii="Calibri" w:hAnsi="Calibri" w:cs="Arial"/>
    </w:rPr>
  </w:style>
  <w:style w:type="paragraph" w:customStyle="1" w:styleId="61">
    <w:name w:val="表格文字"/>
    <w:basedOn w:val="1"/>
    <w:next w:val="15"/>
    <w:qFormat/>
    <w:uiPriority w:val="0"/>
    <w:pPr>
      <w:jc w:val="left"/>
    </w:pPr>
    <w:rPr>
      <w:szCs w:val="22"/>
    </w:rPr>
  </w:style>
  <w:style w:type="character" w:customStyle="1" w:styleId="62">
    <w:name w:val="批注文字 字符"/>
    <w:link w:val="13"/>
    <w:qFormat/>
    <w:uiPriority w:val="0"/>
    <w:rPr>
      <w:kern w:val="2"/>
      <w:sz w:val="21"/>
      <w:szCs w:val="24"/>
    </w:rPr>
  </w:style>
  <w:style w:type="character" w:customStyle="1" w:styleId="63">
    <w:name w:val="正文文本缩进 字符"/>
    <w:link w:val="11"/>
    <w:qFormat/>
    <w:uiPriority w:val="0"/>
    <w:rPr>
      <w:rFonts w:ascii="宋体" w:hAnsi="Courier New"/>
      <w:spacing w:val="-4"/>
      <w:kern w:val="2"/>
      <w:sz w:val="18"/>
    </w:rPr>
  </w:style>
  <w:style w:type="character" w:customStyle="1" w:styleId="64">
    <w:name w:val="页脚 字符"/>
    <w:link w:val="23"/>
    <w:qFormat/>
    <w:uiPriority w:val="99"/>
    <w:rPr>
      <w:rFonts w:eastAsia="黑体"/>
      <w:snapToGrid w:val="0"/>
      <w:sz w:val="18"/>
      <w:szCs w:val="18"/>
    </w:rPr>
  </w:style>
  <w:style w:type="character" w:customStyle="1" w:styleId="65">
    <w:name w:val="页眉 字符"/>
    <w:link w:val="24"/>
    <w:qFormat/>
    <w:uiPriority w:val="0"/>
    <w:rPr>
      <w:rFonts w:eastAsia="仿宋_GB2312"/>
      <w:kern w:val="2"/>
      <w:sz w:val="18"/>
    </w:rPr>
  </w:style>
  <w:style w:type="character" w:customStyle="1" w:styleId="66">
    <w:name w:val="批注主题 字符"/>
    <w:link w:val="35"/>
    <w:qFormat/>
    <w:uiPriority w:val="0"/>
    <w:rPr>
      <w:b/>
      <w:bCs/>
      <w:kern w:val="2"/>
      <w:sz w:val="21"/>
      <w:szCs w:val="24"/>
    </w:rPr>
  </w:style>
  <w:style w:type="character" w:customStyle="1" w:styleId="67">
    <w:name w:val="标题 1 Char Char"/>
    <w:qFormat/>
    <w:uiPriority w:val="0"/>
    <w:rPr>
      <w:rFonts w:eastAsia="宋体"/>
      <w:b/>
      <w:spacing w:val="-2"/>
      <w:sz w:val="24"/>
      <w:lang w:val="en-US" w:eastAsia="zh-CN" w:bidi="ar-SA"/>
    </w:rPr>
  </w:style>
  <w:style w:type="paragraph" w:customStyle="1" w:styleId="68">
    <w:name w:val="Char1"/>
    <w:basedOn w:val="1"/>
    <w:qFormat/>
    <w:uiPriority w:val="0"/>
    <w:rPr>
      <w:rFonts w:ascii="Tahoma" w:hAnsi="Tahoma"/>
      <w:sz w:val="24"/>
      <w:szCs w:val="20"/>
    </w:rPr>
  </w:style>
  <w:style w:type="paragraph" w:customStyle="1" w:styleId="69">
    <w:name w:val="二级标题"/>
    <w:basedOn w:val="19"/>
    <w:qFormat/>
    <w:uiPriority w:val="0"/>
    <w:pPr>
      <w:snapToGrid w:val="0"/>
      <w:spacing w:before="50" w:after="50" w:line="240" w:lineRule="auto"/>
      <w:ind w:firstLine="200" w:firstLineChars="200"/>
      <w:outlineLvl w:val="1"/>
    </w:pPr>
    <w:rPr>
      <w:rFonts w:hAnsi="宋体"/>
      <w:b/>
      <w:sz w:val="21"/>
      <w:szCs w:val="21"/>
    </w:rPr>
  </w:style>
  <w:style w:type="paragraph" w:customStyle="1" w:styleId="7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2">
    <w:name w:val="Char Char11 Char Char Char Char Char Char Char Char Char Char1"/>
    <w:basedOn w:val="1"/>
    <w:qFormat/>
    <w:uiPriority w:val="0"/>
  </w:style>
  <w:style w:type="paragraph" w:customStyle="1" w:styleId="73">
    <w:name w:val="默认段落字体 Para Char Char Char Char Char Char Char Char Char1 Char Char Char Char"/>
    <w:basedOn w:val="1"/>
    <w:qFormat/>
    <w:uiPriority w:val="0"/>
    <w:rPr>
      <w:rFonts w:ascii="Tahoma" w:hAnsi="Tahoma"/>
      <w:sz w:val="24"/>
      <w:szCs w:val="20"/>
    </w:rPr>
  </w:style>
  <w:style w:type="paragraph" w:customStyle="1" w:styleId="74">
    <w:name w:val="首行缩进"/>
    <w:basedOn w:val="1"/>
    <w:qFormat/>
    <w:uiPriority w:val="0"/>
    <w:pPr>
      <w:spacing w:line="360" w:lineRule="auto"/>
      <w:ind w:firstLine="420"/>
    </w:pPr>
    <w:rPr>
      <w:rFonts w:cs="宋体"/>
      <w:szCs w:val="20"/>
    </w:rPr>
  </w:style>
  <w:style w:type="paragraph" w:customStyle="1" w:styleId="75">
    <w:name w:val="正文段"/>
    <w:basedOn w:val="1"/>
    <w:qFormat/>
    <w:uiPriority w:val="0"/>
    <w:pPr>
      <w:widowControl/>
      <w:snapToGrid w:val="0"/>
      <w:spacing w:after="50" w:afterLines="50"/>
      <w:ind w:firstLine="200" w:firstLineChars="200"/>
    </w:pPr>
    <w:rPr>
      <w:kern w:val="0"/>
      <w:sz w:val="24"/>
      <w:szCs w:val="20"/>
    </w:rPr>
  </w:style>
  <w:style w:type="paragraph" w:customStyle="1" w:styleId="7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8">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79">
    <w:name w:val="正文3"/>
    <w:basedOn w:val="1"/>
    <w:qFormat/>
    <w:uiPriority w:val="0"/>
    <w:pPr>
      <w:adjustRightInd w:val="0"/>
      <w:spacing w:line="318" w:lineRule="atLeast"/>
      <w:ind w:left="369" w:firstLine="369"/>
      <w:textAlignment w:val="baseline"/>
    </w:pPr>
    <w:rPr>
      <w:rFonts w:ascii="宋体"/>
      <w:szCs w:val="20"/>
    </w:rPr>
  </w:style>
  <w:style w:type="character" w:customStyle="1" w:styleId="80">
    <w:name w:val="dxrpheader_metropolis2"/>
    <w:basedOn w:val="40"/>
    <w:qFormat/>
    <w:uiPriority w:val="0"/>
    <w:rPr>
      <w:b/>
      <w:bCs/>
      <w:color w:val="C0C0C0"/>
    </w:rPr>
  </w:style>
  <w:style w:type="paragraph" w:customStyle="1" w:styleId="8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8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83">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5">
    <w:name w:val="Body Text First Indent 21"/>
    <w:basedOn w:val="86"/>
    <w:qFormat/>
    <w:uiPriority w:val="99"/>
    <w:pPr>
      <w:ind w:firstLine="420"/>
    </w:pPr>
  </w:style>
  <w:style w:type="paragraph" w:customStyle="1" w:styleId="86">
    <w:name w:val="Body Text Indent1"/>
    <w:basedOn w:val="1"/>
    <w:qFormat/>
    <w:uiPriority w:val="99"/>
    <w:pPr>
      <w:ind w:left="420" w:leftChars="200"/>
    </w:pPr>
    <w:rPr>
      <w:rFonts w:ascii="Times New Roman" w:hAnsi="Times New Roman"/>
    </w:rPr>
  </w:style>
  <w:style w:type="character" w:customStyle="1" w:styleId="87">
    <w:name w:val="标题 3 Char"/>
    <w:link w:val="5"/>
    <w:qFormat/>
    <w:uiPriority w:val="0"/>
    <w:rPr>
      <w:rFonts w:ascii="Times New Roman" w:hAnsi="Times New Roman" w:eastAsia="宋体"/>
      <w:b/>
      <w:bCs/>
      <w:sz w:val="28"/>
      <w:szCs w:val="32"/>
    </w:rPr>
  </w:style>
  <w:style w:type="paragraph" w:customStyle="1" w:styleId="88">
    <w:name w:val="WPSOffice手动目录 1"/>
    <w:qFormat/>
    <w:uiPriority w:val="0"/>
    <w:pPr>
      <w:ind w:leftChars="0"/>
    </w:pPr>
    <w:rPr>
      <w:rFonts w:ascii="Times New Roman" w:hAnsi="Times New Roman" w:eastAsia="宋体" w:cs="Times New Roman"/>
      <w:sz w:val="20"/>
      <w:szCs w:val="20"/>
    </w:rPr>
  </w:style>
  <w:style w:type="paragraph" w:customStyle="1" w:styleId="89">
    <w:name w:val="图表"/>
    <w:basedOn w:val="1"/>
    <w:qFormat/>
    <w:uiPriority w:val="0"/>
    <w:pPr>
      <w:spacing w:line="240" w:lineRule="auto"/>
      <w:ind w:firstLine="0" w:firstLineChars="0"/>
      <w:jc w:val="center"/>
    </w:pPr>
    <w:rPr>
      <w:rFonts w:hint="eastAsia"/>
      <w:sz w:val="21"/>
    </w:rPr>
  </w:style>
  <w:style w:type="character" w:customStyle="1" w:styleId="90">
    <w:name w:val="font11"/>
    <w:basedOn w:val="40"/>
    <w:qFormat/>
    <w:uiPriority w:val="0"/>
    <w:rPr>
      <w:rFonts w:hint="eastAsia" w:ascii="宋体" w:hAnsi="宋体" w:eastAsia="宋体" w:cs="宋体"/>
      <w:color w:val="000000"/>
      <w:sz w:val="21"/>
      <w:szCs w:val="21"/>
      <w:u w:val="none"/>
    </w:rPr>
  </w:style>
  <w:style w:type="paragraph" w:customStyle="1" w:styleId="91">
    <w:name w:val="无间隔1"/>
    <w:qFormat/>
    <w:uiPriority w:val="0"/>
    <w:rPr>
      <w:rFonts w:ascii="Calibri" w:hAnsi="Calibri" w:eastAsia="宋体" w:cs="Times New Roman"/>
      <w:sz w:val="22"/>
      <w:szCs w:val="22"/>
      <w:lang w:val="en-US" w:eastAsia="en-US" w:bidi="ar-SA"/>
    </w:rPr>
  </w:style>
  <w:style w:type="paragraph" w:customStyle="1" w:styleId="92">
    <w:name w:val="正文空2格  1."/>
    <w:basedOn w:val="1"/>
    <w:qFormat/>
    <w:uiPriority w:val="0"/>
    <w:pPr>
      <w:autoSpaceDE/>
      <w:autoSpaceDN/>
      <w:adjustRightInd w:val="0"/>
      <w:spacing w:line="360" w:lineRule="auto"/>
      <w:ind w:firstLine="480" w:firstLineChars="200"/>
      <w:jc w:val="both"/>
      <w:textAlignment w:val="baseline"/>
    </w:pPr>
    <w:rPr>
      <w:rFonts w:hAnsi="Times New Roman" w:eastAsia="仿宋"/>
      <w:sz w:val="28"/>
      <w:szCs w:val="20"/>
      <w:lang w:val="en-US" w:bidi="ar-SA"/>
    </w:rPr>
  </w:style>
  <w:style w:type="table" w:customStyle="1" w:styleId="93">
    <w:name w:val="Table Normal"/>
    <w:semiHidden/>
    <w:unhideWhenUsed/>
    <w:qFormat/>
    <w:uiPriority w:val="0"/>
    <w:tblPr>
      <w:tblCellMar>
        <w:top w:w="0" w:type="dxa"/>
        <w:left w:w="0" w:type="dxa"/>
        <w:bottom w:w="0" w:type="dxa"/>
        <w:right w:w="0" w:type="dxa"/>
      </w:tblCellMar>
    </w:tblPr>
  </w:style>
  <w:style w:type="paragraph" w:customStyle="1" w:styleId="94">
    <w:name w:val="Table Paragraph"/>
    <w:basedOn w:val="1"/>
    <w:qFormat/>
    <w:uiPriority w:val="1"/>
    <w:rPr>
      <w:rFonts w:ascii="宋体" w:hAnsi="宋体" w:eastAsia="宋体" w:cs="宋体"/>
      <w:lang w:val="zh-CN" w:eastAsia="zh-CN" w:bidi="zh-CN"/>
    </w:rPr>
  </w:style>
  <w:style w:type="paragraph" w:customStyle="1" w:styleId="95">
    <w:name w:val="标准正文"/>
    <w:basedOn w:val="1"/>
    <w:qFormat/>
    <w:uiPriority w:val="0"/>
    <w:pPr>
      <w:widowControl/>
      <w:ind w:firstLine="200"/>
    </w:pPr>
    <w:rPr>
      <w:kern w:val="0"/>
      <w:szCs w:val="20"/>
      <w:lang w:val="zh-CN"/>
    </w:rPr>
  </w:style>
  <w:style w:type="paragraph" w:customStyle="1" w:styleId="96">
    <w:name w:val="*正文"/>
    <w:basedOn w:val="1"/>
    <w:qFormat/>
    <w:uiPriority w:val="0"/>
    <w:pPr>
      <w:widowControl/>
      <w:adjustRightInd/>
      <w:snapToGrid/>
      <w:jc w:val="left"/>
    </w:pPr>
    <w:rPr>
      <w:rFonts w:ascii="宋体" w:hAnsi="宋体"/>
      <w:kern w:val="0"/>
      <w:szCs w:val="24"/>
    </w:rPr>
  </w:style>
  <w:style w:type="character" w:customStyle="1" w:styleId="97">
    <w:name w:val="题注 字符1"/>
    <w:qFormat/>
    <w:uiPriority w:val="35"/>
    <w:rPr>
      <w:rFonts w:ascii="Times New Roman" w:hAnsi="Times New Roman" w:eastAsia="宋体"/>
      <w:kern w:val="2"/>
      <w:sz w:val="21"/>
      <w:szCs w:val="21"/>
    </w:rPr>
  </w:style>
  <w:style w:type="paragraph" w:customStyle="1" w:styleId="98">
    <w:name w:val="表格"/>
    <w:basedOn w:val="1"/>
    <w:next w:val="1"/>
    <w:qFormat/>
    <w:uiPriority w:val="0"/>
    <w:pPr>
      <w:widowControl/>
      <w:spacing w:line="240" w:lineRule="auto"/>
      <w:ind w:firstLine="0" w:firstLineChars="0"/>
      <w:jc w:val="center"/>
    </w:pPr>
    <w:rPr>
      <w:rFonts w:cs="宋体"/>
      <w:sz w:val="21"/>
      <w:szCs w:val="30"/>
    </w:rPr>
  </w:style>
  <w:style w:type="paragraph" w:customStyle="1" w:styleId="99">
    <w:name w:val="段落文字"/>
    <w:basedOn w:val="1"/>
    <w:qFormat/>
    <w:uiPriority w:val="0"/>
    <w:pPr>
      <w:ind w:firstLine="200"/>
    </w:pPr>
    <w:rPr>
      <w:sz w:val="22"/>
    </w:rPr>
  </w:style>
  <w:style w:type="paragraph" w:customStyle="1" w:styleId="100">
    <w:name w:val="列表段落1"/>
    <w:basedOn w:val="1"/>
    <w:semiHidden/>
    <w:qFormat/>
    <w:uiPriority w:val="0"/>
    <w:pPr>
      <w:spacing w:line="240" w:lineRule="auto"/>
      <w:ind w:firstLine="420" w:firstLineChars="200"/>
    </w:pPr>
    <w:rPr>
      <w:rFonts w:ascii="Times New Roman" w:hAnsi="Times New Roman" w:cs="Times New Roman"/>
      <w:sz w:val="21"/>
      <w:szCs w:val="21"/>
    </w:rPr>
  </w:style>
  <w:style w:type="paragraph" w:customStyle="1" w:styleId="101">
    <w:name w:val="p18"/>
    <w:basedOn w:val="1"/>
    <w:qFormat/>
    <w:uiPriority w:val="0"/>
    <w:pPr>
      <w:widowControl/>
      <w:ind w:firstLine="420"/>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67</Pages>
  <Words>38951</Words>
  <Characters>40686</Characters>
  <Lines>222</Lines>
  <Paragraphs>62</Paragraphs>
  <TotalTime>45</TotalTime>
  <ScaleCrop>false</ScaleCrop>
  <LinksUpToDate>false</LinksUpToDate>
  <CharactersWithSpaces>43922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2022-04-19T15:24:00Z</dcterms:created>
  <dc:creator>Administrator</dc:creator>
  <cp:lastModifiedBy>Hzjzdsdct</cp:lastModifiedBy>
  <cp:lastPrinted>2024-05-30T07:37:00Z</cp:lastPrinted>
  <dcterms:modified xsi:type="dcterms:W3CDTF">2024-05-30T10:05:09Z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2075CF0781F84E3DBE4647DAC1ADCC8C_13</vt:lpwstr>
  </property>
</Properties>
</file>