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lang w:eastAsia="zh-CN"/>
        </w:rPr>
      </w:pPr>
      <w:r>
        <w:rPr>
          <w:rFonts w:hint="eastAsia" w:ascii="宋体" w:hAnsi="宋体" w:eastAsia="宋体" w:cs="宋体"/>
          <w:sz w:val="24"/>
          <w:lang w:eastAsia="zh-CN"/>
        </w:rPr>
        <w:drawing>
          <wp:anchor distT="0" distB="0" distL="114300" distR="114300" simplePos="0" relativeHeight="251659264" behindDoc="1" locked="0" layoutInCell="1" allowOverlap="1">
            <wp:simplePos x="0" y="0"/>
            <wp:positionH relativeFrom="column">
              <wp:posOffset>-1149350</wp:posOffset>
            </wp:positionH>
            <wp:positionV relativeFrom="paragraph">
              <wp:posOffset>-939800</wp:posOffset>
            </wp:positionV>
            <wp:extent cx="7577455" cy="10710545"/>
            <wp:effectExtent l="0" t="0" r="4445" b="8255"/>
            <wp:wrapNone/>
            <wp:docPr id="1" name="图片 1" descr="412e2456e5095909c7bc30ccc3f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2e2456e5095909c7bc30ccc3f5033"/>
                    <pic:cNvPicPr>
                      <a:picLocks noChangeAspect="1"/>
                    </pic:cNvPicPr>
                  </pic:nvPicPr>
                  <pic:blipFill>
                    <a:blip r:embed="rId8"/>
                    <a:stretch>
                      <a:fillRect/>
                    </a:stretch>
                  </pic:blipFill>
                  <pic:spPr>
                    <a:xfrm>
                      <a:off x="0" y="0"/>
                      <a:ext cx="7577455" cy="10710545"/>
                    </a:xfrm>
                    <a:prstGeom prst="rect">
                      <a:avLst/>
                    </a:prstGeom>
                  </pic:spPr>
                </pic:pic>
              </a:graphicData>
            </a:graphic>
          </wp:anchor>
        </w:drawing>
      </w:r>
      <w:r>
        <w:rPr>
          <w:rFonts w:hint="eastAsia" w:ascii="宋体" w:hAnsi="宋体" w:cs="宋体"/>
          <w:sz w:val="24"/>
        </w:rPr>
        <w:br w:type="page"/>
      </w:r>
    </w:p>
    <w:p>
      <w:pPr>
        <w:spacing w:line="360" w:lineRule="auto"/>
        <w:rPr>
          <w:rFonts w:hint="eastAsia" w:ascii="宋体" w:hAnsi="宋体" w:cs="宋体"/>
          <w:sz w:val="24"/>
        </w:rPr>
      </w:pPr>
      <w:r>
        <w:rPr>
          <w:rFonts w:hint="eastAsia" w:ascii="宋体" w:hAnsi="宋体" w:cs="宋体"/>
          <w:sz w:val="24"/>
        </w:rPr>
        <w:drawing>
          <wp:inline distT="0" distB="0" distL="114300" distR="114300">
            <wp:extent cx="1049020" cy="993140"/>
            <wp:effectExtent l="0" t="0" r="5080" b="10160"/>
            <wp:docPr id="2" name="图片 1" descr="19a9c0e900479c854e488a4f6f1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9a9c0e900479c854e488a4f6f14205"/>
                    <pic:cNvPicPr>
                      <a:picLocks noChangeAspect="1"/>
                    </pic:cNvPicPr>
                  </pic:nvPicPr>
                  <pic:blipFill>
                    <a:blip r:embed="rId9"/>
                    <a:stretch>
                      <a:fillRect/>
                    </a:stretch>
                  </pic:blipFill>
                  <pic:spPr>
                    <a:xfrm>
                      <a:off x="0" y="0"/>
                      <a:ext cx="1049020" cy="993140"/>
                    </a:xfrm>
                    <a:prstGeom prst="rect">
                      <a:avLst/>
                    </a:prstGeom>
                    <a:noFill/>
                    <a:ln>
                      <a:noFill/>
                    </a:ln>
                  </pic:spPr>
                </pic:pic>
              </a:graphicData>
            </a:graphic>
          </wp:inline>
        </w:drawing>
      </w:r>
    </w:p>
    <w:p>
      <w:pPr>
        <w:spacing w:line="360" w:lineRule="auto"/>
        <w:rPr>
          <w:rFonts w:hint="eastAsia" w:ascii="宋体" w:hAnsi="宋体"/>
          <w:b/>
          <w:sz w:val="44"/>
        </w:rPr>
      </w:pPr>
    </w:p>
    <w:p>
      <w:pPr>
        <w:spacing w:line="360" w:lineRule="auto"/>
        <w:jc w:val="center"/>
        <w:rPr>
          <w:rFonts w:ascii="宋体" w:hAnsi="宋体"/>
          <w:b/>
          <w:sz w:val="36"/>
          <w:szCs w:val="36"/>
        </w:rPr>
      </w:pPr>
      <w:r>
        <w:rPr>
          <w:rFonts w:hint="eastAsia" w:ascii="宋体" w:hAnsi="宋体"/>
          <w:b/>
          <w:sz w:val="44"/>
        </w:rPr>
        <w:t xml:space="preserve"> </w:t>
      </w:r>
    </w:p>
    <w:p>
      <w:pPr>
        <w:spacing w:line="360" w:lineRule="auto"/>
        <w:jc w:val="center"/>
        <w:rPr>
          <w:rFonts w:hint="eastAsia" w:ascii="宋体" w:hAnsi="宋体"/>
          <w:b/>
          <w:sz w:val="36"/>
          <w:szCs w:val="36"/>
        </w:rPr>
      </w:pPr>
    </w:p>
    <w:p>
      <w:pPr>
        <w:spacing w:line="360" w:lineRule="auto"/>
        <w:jc w:val="center"/>
        <w:rPr>
          <w:rFonts w:ascii="宋体" w:hAnsi="宋体"/>
          <w:b/>
          <w:color w:val="auto"/>
          <w:sz w:val="72"/>
          <w:highlight w:val="none"/>
        </w:rPr>
      </w:pPr>
      <w:r>
        <w:rPr>
          <w:rFonts w:hint="eastAsia" w:ascii="宋体" w:hAnsi="宋体"/>
          <w:b/>
          <w:color w:val="auto"/>
          <w:sz w:val="72"/>
          <w:highlight w:val="none"/>
        </w:rPr>
        <w:t>公开采购文件</w:t>
      </w:r>
    </w:p>
    <w:p>
      <w:pPr>
        <w:spacing w:line="360" w:lineRule="auto"/>
        <w:jc w:val="center"/>
        <w:rPr>
          <w:rFonts w:ascii="宋体" w:hAnsi="宋体"/>
          <w:b/>
          <w:color w:val="auto"/>
          <w:sz w:val="44"/>
          <w:highlight w:val="none"/>
        </w:rPr>
      </w:pPr>
    </w:p>
    <w:p>
      <w:pPr>
        <w:pStyle w:val="58"/>
        <w:ind w:firstLine="883"/>
        <w:rPr>
          <w:rFonts w:ascii="宋体" w:hAnsi="宋体"/>
          <w:b/>
          <w:color w:val="auto"/>
          <w:sz w:val="44"/>
          <w:highlight w:val="none"/>
        </w:rPr>
      </w:pPr>
    </w:p>
    <w:p>
      <w:pPr>
        <w:pStyle w:val="58"/>
        <w:ind w:firstLine="883"/>
        <w:rPr>
          <w:rFonts w:ascii="宋体" w:hAnsi="宋体"/>
          <w:b/>
          <w:color w:val="auto"/>
          <w:sz w:val="44"/>
          <w:highlight w:val="none"/>
        </w:rPr>
      </w:pPr>
    </w:p>
    <w:p>
      <w:pPr>
        <w:spacing w:line="360" w:lineRule="auto"/>
        <w:rPr>
          <w:rFonts w:ascii="宋体" w:hAnsi="宋体"/>
          <w:b/>
          <w:color w:val="auto"/>
          <w:sz w:val="44"/>
          <w:highlight w:val="none"/>
        </w:rPr>
      </w:pPr>
    </w:p>
    <w:tbl>
      <w:tblPr>
        <w:tblStyle w:val="37"/>
        <w:tblW w:w="9659" w:type="dxa"/>
        <w:jc w:val="center"/>
        <w:tblLayout w:type="fixed"/>
        <w:tblCellMar>
          <w:top w:w="0" w:type="dxa"/>
          <w:left w:w="108" w:type="dxa"/>
          <w:bottom w:w="0" w:type="dxa"/>
          <w:right w:w="108" w:type="dxa"/>
        </w:tblCellMar>
      </w:tblPr>
      <w:tblGrid>
        <w:gridCol w:w="1910"/>
        <w:gridCol w:w="7749"/>
      </w:tblGrid>
      <w:tr>
        <w:tblPrEx>
          <w:tblCellMar>
            <w:top w:w="0" w:type="dxa"/>
            <w:left w:w="108" w:type="dxa"/>
            <w:bottom w:w="0" w:type="dxa"/>
            <w:right w:w="108" w:type="dxa"/>
          </w:tblCellMar>
        </w:tblPrEx>
        <w:trPr>
          <w:trHeight w:val="810" w:hRule="atLeast"/>
          <w:jc w:val="center"/>
        </w:trPr>
        <w:tc>
          <w:tcPr>
            <w:tcW w:w="1910" w:type="dxa"/>
            <w:noWrap w:val="0"/>
            <w:vAlign w:val="center"/>
          </w:tcPr>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采购编号：</w:t>
            </w:r>
          </w:p>
        </w:tc>
        <w:tc>
          <w:tcPr>
            <w:tcW w:w="7749" w:type="dxa"/>
            <w:noWrap w:val="0"/>
            <w:vAlign w:val="center"/>
          </w:tcPr>
          <w:p>
            <w:pPr>
              <w:jc w:val="left"/>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eastAsia="zh-CN"/>
              </w:rPr>
              <w:t>NBSD202</w:t>
            </w:r>
            <w:r>
              <w:rPr>
                <w:rFonts w:hint="eastAsia" w:ascii="宋体" w:hAnsi="宋体" w:cs="宋体"/>
                <w:b/>
                <w:color w:val="auto"/>
                <w:sz w:val="30"/>
                <w:szCs w:val="30"/>
                <w:highlight w:val="none"/>
                <w:lang w:val="en-US" w:eastAsia="zh-CN"/>
              </w:rPr>
              <w:t>4</w:t>
            </w:r>
            <w:r>
              <w:rPr>
                <w:rFonts w:hint="eastAsia" w:ascii="宋体" w:hAnsi="宋体" w:eastAsia="宋体" w:cs="宋体"/>
                <w:b/>
                <w:color w:val="auto"/>
                <w:sz w:val="30"/>
                <w:szCs w:val="30"/>
                <w:highlight w:val="none"/>
                <w:lang w:eastAsia="zh-CN"/>
              </w:rPr>
              <w:t>-</w:t>
            </w:r>
            <w:r>
              <w:rPr>
                <w:rFonts w:hint="eastAsia" w:ascii="宋体" w:hAnsi="宋体" w:cs="宋体"/>
                <w:b/>
                <w:color w:val="auto"/>
                <w:sz w:val="30"/>
                <w:szCs w:val="30"/>
                <w:highlight w:val="none"/>
                <w:lang w:val="en-US" w:eastAsia="zh-CN"/>
              </w:rPr>
              <w:t>027</w:t>
            </w:r>
          </w:p>
        </w:tc>
      </w:tr>
      <w:tr>
        <w:tblPrEx>
          <w:tblCellMar>
            <w:top w:w="0" w:type="dxa"/>
            <w:left w:w="108" w:type="dxa"/>
            <w:bottom w:w="0" w:type="dxa"/>
            <w:right w:w="108" w:type="dxa"/>
          </w:tblCellMar>
        </w:tblPrEx>
        <w:trPr>
          <w:trHeight w:val="810" w:hRule="atLeast"/>
          <w:jc w:val="center"/>
        </w:trPr>
        <w:tc>
          <w:tcPr>
            <w:tcW w:w="1910" w:type="dxa"/>
            <w:noWrap w:val="0"/>
            <w:vAlign w:val="center"/>
          </w:tcPr>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项目名称：</w:t>
            </w:r>
          </w:p>
        </w:tc>
        <w:tc>
          <w:tcPr>
            <w:tcW w:w="7749" w:type="dxa"/>
            <w:noWrap w:val="0"/>
            <w:vAlign w:val="center"/>
          </w:tcPr>
          <w:p>
            <w:pPr>
              <w:jc w:val="left"/>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江北区2024-2026年度企业安全生产社会化协作服务</w:t>
            </w:r>
          </w:p>
        </w:tc>
      </w:tr>
      <w:tr>
        <w:tblPrEx>
          <w:tblCellMar>
            <w:top w:w="0" w:type="dxa"/>
            <w:left w:w="108" w:type="dxa"/>
            <w:bottom w:w="0" w:type="dxa"/>
            <w:right w:w="108" w:type="dxa"/>
          </w:tblCellMar>
        </w:tblPrEx>
        <w:trPr>
          <w:trHeight w:val="810" w:hRule="atLeast"/>
          <w:jc w:val="center"/>
        </w:trPr>
        <w:tc>
          <w:tcPr>
            <w:tcW w:w="1910" w:type="dxa"/>
            <w:noWrap w:val="0"/>
            <w:vAlign w:val="center"/>
          </w:tcPr>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采购单位：</w:t>
            </w:r>
          </w:p>
        </w:tc>
        <w:tc>
          <w:tcPr>
            <w:tcW w:w="7749" w:type="dxa"/>
            <w:noWrap w:val="0"/>
            <w:vAlign w:val="center"/>
          </w:tcPr>
          <w:p>
            <w:pPr>
              <w:jc w:val="left"/>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宁波市江北区应急管理局</w:t>
            </w:r>
            <w:r>
              <w:rPr>
                <w:rFonts w:hint="eastAsia" w:ascii="宋体" w:hAnsi="宋体" w:eastAsia="宋体" w:cs="宋体"/>
                <w:b/>
                <w:color w:val="auto"/>
                <w:sz w:val="30"/>
                <w:szCs w:val="30"/>
                <w:highlight w:val="none"/>
                <w:lang w:eastAsia="zh-CN"/>
              </w:rPr>
              <w:t>（盖章）</w:t>
            </w:r>
          </w:p>
        </w:tc>
      </w:tr>
      <w:tr>
        <w:tblPrEx>
          <w:tblCellMar>
            <w:top w:w="0" w:type="dxa"/>
            <w:left w:w="108" w:type="dxa"/>
            <w:bottom w:w="0" w:type="dxa"/>
            <w:right w:w="108" w:type="dxa"/>
          </w:tblCellMar>
        </w:tblPrEx>
        <w:trPr>
          <w:trHeight w:val="810" w:hRule="atLeast"/>
          <w:jc w:val="center"/>
        </w:trPr>
        <w:tc>
          <w:tcPr>
            <w:tcW w:w="1910" w:type="dxa"/>
            <w:noWrap w:val="0"/>
            <w:vAlign w:val="center"/>
          </w:tcPr>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代理机构：</w:t>
            </w:r>
          </w:p>
        </w:tc>
        <w:tc>
          <w:tcPr>
            <w:tcW w:w="7749" w:type="dxa"/>
            <w:noWrap w:val="0"/>
            <w:vAlign w:val="center"/>
          </w:tcPr>
          <w:p>
            <w:pPr>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宁波市盛达工程管理咨询有限公司（盖章）</w:t>
            </w:r>
          </w:p>
        </w:tc>
      </w:tr>
      <w:tr>
        <w:tblPrEx>
          <w:tblCellMar>
            <w:top w:w="0" w:type="dxa"/>
            <w:left w:w="108" w:type="dxa"/>
            <w:bottom w:w="0" w:type="dxa"/>
            <w:right w:w="108" w:type="dxa"/>
          </w:tblCellMar>
        </w:tblPrEx>
        <w:trPr>
          <w:trHeight w:val="810" w:hRule="atLeast"/>
          <w:jc w:val="center"/>
        </w:trPr>
        <w:tc>
          <w:tcPr>
            <w:tcW w:w="9659" w:type="dxa"/>
            <w:gridSpan w:val="2"/>
            <w:noWrap w:val="0"/>
            <w:vAlign w:val="center"/>
          </w:tcPr>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202</w:t>
            </w:r>
            <w:r>
              <w:rPr>
                <w:rFonts w:hint="eastAsia" w:ascii="宋体" w:hAnsi="宋体" w:cs="宋体"/>
                <w:b/>
                <w:color w:val="auto"/>
                <w:sz w:val="30"/>
                <w:szCs w:val="30"/>
                <w:highlight w:val="none"/>
                <w:lang w:val="en-US" w:eastAsia="zh-CN"/>
              </w:rPr>
              <w:t>4</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4</w:t>
            </w:r>
            <w:r>
              <w:rPr>
                <w:rFonts w:hint="eastAsia" w:ascii="宋体" w:hAnsi="宋体" w:eastAsia="宋体" w:cs="宋体"/>
                <w:b/>
                <w:color w:val="auto"/>
                <w:sz w:val="30"/>
                <w:szCs w:val="30"/>
                <w:highlight w:val="none"/>
              </w:rPr>
              <w:t>月</w:t>
            </w:r>
          </w:p>
        </w:tc>
      </w:tr>
    </w:tbl>
    <w:p>
      <w:pPr>
        <w:pStyle w:val="19"/>
        <w:spacing w:before="120" w:after="120" w:line="360" w:lineRule="auto"/>
        <w:jc w:val="center"/>
        <w:rPr>
          <w:rFonts w:ascii="Times New Roman" w:hAnsi="Times New Roman"/>
          <w:color w:val="auto"/>
          <w:sz w:val="44"/>
          <w:szCs w:val="44"/>
          <w:highlight w:val="none"/>
        </w:rPr>
        <w:sectPr>
          <w:footerReference r:id="rId3" w:type="default"/>
          <w:footerReference r:id="rId4" w:type="even"/>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rPr>
          <w:color w:val="auto"/>
          <w:highlight w:val="none"/>
        </w:rPr>
      </w:pPr>
    </w:p>
    <w:p>
      <w:pPr>
        <w:jc w:val="center"/>
        <w:rPr>
          <w:rFonts w:hint="eastAsia" w:ascii="Times New Roman" w:hAnsi="Times New Roman"/>
          <w:b/>
          <w:bCs/>
          <w:color w:val="auto"/>
          <w:sz w:val="44"/>
          <w:szCs w:val="44"/>
          <w:highlight w:val="none"/>
        </w:rPr>
      </w:pPr>
      <w:r>
        <w:rPr>
          <w:rFonts w:hint="eastAsia" w:ascii="Times New Roman" w:hAnsi="Times New Roman"/>
          <w:b/>
          <w:bCs/>
          <w:color w:val="auto"/>
          <w:sz w:val="44"/>
          <w:szCs w:val="44"/>
          <w:highlight w:val="none"/>
        </w:rPr>
        <w:t>目    录</w:t>
      </w:r>
    </w:p>
    <w:p>
      <w:pPr>
        <w:rPr>
          <w:color w:val="auto"/>
          <w:highlight w:val="none"/>
        </w:rPr>
      </w:pPr>
    </w:p>
    <w:p>
      <w:pPr>
        <w:pStyle w:val="11"/>
        <w:rPr>
          <w:color w:val="auto"/>
          <w:highlight w:val="none"/>
        </w:rPr>
      </w:pPr>
    </w:p>
    <w:sdt>
      <w:sdtPr>
        <w:rPr>
          <w:rFonts w:ascii="宋体" w:hAnsi="宋体" w:eastAsia="宋体" w:cs="Times New Roman"/>
          <w:color w:val="auto"/>
          <w:kern w:val="2"/>
          <w:sz w:val="21"/>
          <w:szCs w:val="24"/>
          <w:highlight w:val="none"/>
          <w:lang w:val="en-US" w:eastAsia="zh-CN" w:bidi="ar-SA"/>
        </w:rPr>
        <w:id w:val="147466090"/>
        <w15:color w:val="DBDBDB"/>
        <w:docPartObj>
          <w:docPartGallery w:val="Table of Contents"/>
          <w:docPartUnique/>
        </w:docPartObj>
      </w:sdtPr>
      <w:sdtEndPr>
        <w:rPr>
          <w:rFonts w:hint="eastAsia" w:ascii="宋体" w:hAnsi="宋体" w:eastAsia="宋体" w:cs="宋体"/>
          <w:color w:val="auto"/>
          <w:kern w:val="2"/>
          <w:sz w:val="28"/>
          <w:szCs w:val="28"/>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86"/>
            <w:tabs>
              <w:tab w:val="right" w:leader="dot" w:pos="831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_Toc10621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公开招标采购公告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_Toc10621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6"/>
            <w:tabs>
              <w:tab w:val="right" w:leader="dot" w:pos="831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_Toc31317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_Toc31317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6"/>
            <w:tabs>
              <w:tab w:val="right" w:leader="dot" w:pos="831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_Toc29529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第三章  </w:t>
          </w: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_Toc29529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6"/>
            <w:tabs>
              <w:tab w:val="right" w:leader="dot" w:pos="831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_Toc20759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评标办法及评分标准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_Toc20759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6"/>
            <w:tabs>
              <w:tab w:val="right" w:leader="dot" w:pos="831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_Toc31530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第五章  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_Toc31530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6"/>
            <w:tabs>
              <w:tab w:val="right" w:leader="dot" w:pos="831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_Toc6651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_Toc6651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sdtContent>
    </w:sdt>
    <w:p>
      <w:pPr>
        <w:pStyle w:val="19"/>
        <w:snapToGrid w:val="0"/>
        <w:spacing w:before="120" w:after="120" w:line="440" w:lineRule="exact"/>
        <w:jc w:val="center"/>
        <w:outlineLvl w:val="0"/>
        <w:rPr>
          <w:rStyle w:val="53"/>
          <w:rFonts w:hint="eastAsia"/>
          <w:color w:val="auto"/>
          <w:highlight w:val="none"/>
        </w:rPr>
        <w:sectPr>
          <w:footerReference r:id="rId5" w:type="default"/>
          <w:pgSz w:w="11906" w:h="16838"/>
          <w:pgMar w:top="1417" w:right="1701" w:bottom="1247" w:left="1701"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0" w:name="_Toc10621"/>
    </w:p>
    <w:p>
      <w:pPr>
        <w:pStyle w:val="19"/>
        <w:snapToGrid w:val="0"/>
        <w:spacing w:before="120" w:after="120" w:line="440" w:lineRule="exact"/>
        <w:jc w:val="center"/>
        <w:outlineLvl w:val="0"/>
        <w:rPr>
          <w:rFonts w:ascii="Times New Roman" w:hAnsi="Times New Roman"/>
          <w:color w:val="auto"/>
          <w:sz w:val="30"/>
          <w:szCs w:val="30"/>
          <w:highlight w:val="none"/>
        </w:rPr>
      </w:pPr>
      <w:r>
        <w:rPr>
          <w:rStyle w:val="53"/>
          <w:rFonts w:hint="eastAsia"/>
          <w:color w:val="auto"/>
          <w:highlight w:val="none"/>
        </w:rPr>
        <w:t>第一章  公开招标采购公告</w:t>
      </w:r>
      <w:bookmarkEnd w:id="0"/>
    </w:p>
    <w:p>
      <w:pPr>
        <w:snapToGrid w:val="0"/>
        <w:spacing w:line="360" w:lineRule="auto"/>
        <w:ind w:firstLine="411" w:firstLineChars="196"/>
        <w:rPr>
          <w:rFonts w:hint="eastAsia" w:ascii="宋体" w:hAnsi="宋体" w:cs="宋体"/>
          <w:color w:val="auto"/>
          <w:szCs w:val="21"/>
          <w:highlight w:val="none"/>
        </w:rPr>
      </w:pPr>
    </w:p>
    <w:tbl>
      <w:tblPr>
        <w:tblStyle w:val="3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360" w:type="dxa"/>
            <w:noWrap w:val="0"/>
            <w:vAlign w:val="top"/>
          </w:tcPr>
          <w:p>
            <w:pPr>
              <w:pStyle w:val="4"/>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spacing w:line="360" w:lineRule="auto"/>
              <w:ind w:firstLine="420" w:firstLineChars="200"/>
              <w:rPr>
                <w:rFonts w:hint="eastAsia" w:ascii="宋体" w:hAnsi="宋体" w:eastAsia="宋体" w:cs="宋体"/>
                <w:color w:val="auto"/>
                <w:sz w:val="22"/>
                <w:szCs w:val="22"/>
                <w:highlight w:val="none"/>
              </w:rPr>
            </w:pPr>
            <w:r>
              <w:rPr>
                <w:rFonts w:hint="eastAsia" w:ascii="宋体" w:hAnsi="宋体" w:cs="宋体"/>
                <w:color w:val="auto"/>
                <w:kern w:val="0"/>
                <w:sz w:val="21"/>
                <w:szCs w:val="21"/>
                <w:highlight w:val="none"/>
                <w:u w:val="single"/>
                <w:lang w:val="en-US" w:eastAsia="zh-CN"/>
              </w:rPr>
              <w:t>江北区2024-2026年度企业安全生产社会化协作服务</w:t>
            </w:r>
            <w:r>
              <w:rPr>
                <w:rFonts w:hint="eastAsia" w:ascii="宋体" w:hAnsi="宋体" w:eastAsia="宋体" w:cs="宋体"/>
                <w:color w:val="auto"/>
                <w:kern w:val="0"/>
                <w:sz w:val="21"/>
                <w:szCs w:val="21"/>
                <w:highlight w:val="none"/>
              </w:rPr>
              <w:t>的潜在</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应在政府采购云平台（www.zcygov.cn）获取（下载）招标文件，并于</w:t>
            </w:r>
            <w:r>
              <w:rPr>
                <w:rFonts w:hint="eastAsia" w:ascii="宋体" w:hAnsi="宋体" w:eastAsia="宋体" w:cs="宋体"/>
                <w:color w:val="auto"/>
                <w:kern w:val="0"/>
                <w:sz w:val="21"/>
                <w:szCs w:val="21"/>
                <w:highlight w:val="none"/>
                <w:u w:val="single"/>
              </w:rPr>
              <w:t>202</w:t>
            </w:r>
            <w:r>
              <w:rPr>
                <w:rFonts w:hint="eastAsia" w:ascii="宋体" w:hAnsi="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u w:val="single"/>
                <w:lang w:val="en-US" w:eastAsia="zh-CN"/>
              </w:rPr>
              <w:t xml:space="preserve"> 5 </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u w:val="single"/>
                <w:lang w:val="en-US" w:eastAsia="zh-CN"/>
              </w:rPr>
              <w:t xml:space="preserve"> 21 </w:t>
            </w:r>
            <w:r>
              <w:rPr>
                <w:rFonts w:hint="eastAsia" w:ascii="宋体" w:hAnsi="宋体" w:eastAsia="宋体" w:cs="宋体"/>
                <w:color w:val="auto"/>
                <w:kern w:val="0"/>
                <w:sz w:val="21"/>
                <w:szCs w:val="21"/>
                <w:highlight w:val="none"/>
              </w:rPr>
              <w:t>日</w:t>
            </w:r>
            <w:r>
              <w:rPr>
                <w:rFonts w:hint="eastAsia" w:ascii="宋体" w:hAnsi="宋体" w:cs="宋体"/>
                <w:color w:val="auto"/>
                <w:kern w:val="0"/>
                <w:sz w:val="21"/>
                <w:szCs w:val="21"/>
                <w:highlight w:val="none"/>
                <w:u w:val="single"/>
                <w:lang w:val="en-US" w:eastAsia="zh-CN"/>
              </w:rPr>
              <w:t xml:space="preserve"> 9 </w:t>
            </w:r>
            <w:r>
              <w:rPr>
                <w:rFonts w:hint="eastAsia" w:ascii="宋体" w:hAnsi="宋体" w:eastAsia="宋体" w:cs="宋体"/>
                <w:color w:val="auto"/>
                <w:kern w:val="0"/>
                <w:sz w:val="21"/>
                <w:szCs w:val="21"/>
                <w:highlight w:val="none"/>
                <w:u w:val="none"/>
                <w:lang w:val="en-US" w:eastAsia="zh-CN"/>
              </w:rPr>
              <w:t>时</w:t>
            </w:r>
            <w:r>
              <w:rPr>
                <w:rFonts w:hint="eastAsia" w:ascii="宋体" w:hAnsi="宋体" w:cs="宋体"/>
                <w:color w:val="auto"/>
                <w:kern w:val="0"/>
                <w:sz w:val="21"/>
                <w:szCs w:val="21"/>
                <w:highlight w:val="none"/>
                <w:u w:val="single"/>
                <w:lang w:val="en-US" w:eastAsia="zh-CN"/>
              </w:rPr>
              <w:t xml:space="preserve"> 00 </w:t>
            </w:r>
            <w:r>
              <w:rPr>
                <w:rFonts w:hint="eastAsia" w:ascii="宋体" w:hAnsi="宋体" w:cs="宋体"/>
                <w:color w:val="auto"/>
                <w:kern w:val="0"/>
                <w:sz w:val="21"/>
                <w:szCs w:val="21"/>
                <w:highlight w:val="none"/>
                <w:u w:val="none"/>
                <w:lang w:val="en-US" w:eastAsia="zh-CN"/>
              </w:rPr>
              <w:t>分</w:t>
            </w:r>
            <w:r>
              <w:rPr>
                <w:rFonts w:hint="eastAsia" w:ascii="宋体" w:hAnsi="宋体" w:eastAsia="宋体" w:cs="宋体"/>
                <w:color w:val="auto"/>
                <w:kern w:val="0"/>
                <w:sz w:val="21"/>
                <w:szCs w:val="21"/>
                <w:highlight w:val="none"/>
              </w:rPr>
              <w:t>（北京时间）前递交（上传）投标文件。</w:t>
            </w:r>
          </w:p>
        </w:tc>
      </w:tr>
    </w:tbl>
    <w:p>
      <w:pPr>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2"/>
          <w:szCs w:val="22"/>
          <w:highlight w:val="none"/>
        </w:rPr>
      </w:pPr>
    </w:p>
    <w:p>
      <w:pPr>
        <w:pStyle w:val="4"/>
        <w:pageBreakBefore w:val="0"/>
        <w:kinsoku/>
        <w:overflowPunct/>
        <w:topLinePunct w:val="0"/>
        <w:autoSpaceDE/>
        <w:autoSpaceDN/>
        <w:bidi w:val="0"/>
        <w:adjustRightIn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NBSD202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008</w:t>
      </w:r>
      <w:r>
        <w:rPr>
          <w:rFonts w:hint="eastAsia" w:ascii="宋体" w:hAnsi="宋体" w:eastAsia="宋体" w:cs="宋体"/>
          <w:color w:val="auto"/>
          <w:sz w:val="21"/>
          <w:szCs w:val="21"/>
          <w:highlight w:val="none"/>
        </w:rPr>
        <w:t>（交易登记号：</w:t>
      </w:r>
      <w:r>
        <w:rPr>
          <w:rFonts w:hint="eastAsia" w:ascii="宋体" w:hAnsi="宋体" w:eastAsia="宋体" w:cs="宋体"/>
          <w:color w:val="auto"/>
          <w:sz w:val="21"/>
          <w:szCs w:val="21"/>
          <w:highlight w:val="none"/>
          <w:u w:val="single"/>
        </w:rPr>
        <w:t>FSCG2024016</w:t>
      </w:r>
      <w:r>
        <w:rPr>
          <w:rFonts w:hint="eastAsia" w:ascii="宋体" w:hAnsi="宋体" w:eastAsia="宋体" w:cs="宋体"/>
          <w:color w:val="auto"/>
          <w:sz w:val="21"/>
          <w:szCs w:val="21"/>
          <w:highlight w:val="none"/>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kern w:val="0"/>
          <w:sz w:val="21"/>
          <w:szCs w:val="21"/>
          <w:highlight w:val="none"/>
          <w:u w:val="single"/>
          <w:lang w:val="en-US" w:eastAsia="zh-CN"/>
        </w:rPr>
        <w:t>江北区2024-2026年度企业安全生产社会化协作服务</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u w:val="single"/>
          <w:lang w:val="en-US" w:eastAsia="zh-CN"/>
        </w:rPr>
        <w:t>200万元/年</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每个标项均为人民币50万元/年（含绩效考核奖励资金4万元和工矿企业事故遏制奖励资金3万元）</w:t>
      </w:r>
      <w:r>
        <w:rPr>
          <w:rFonts w:hint="eastAsia" w:ascii="宋体" w:hAnsi="宋体" w:cs="宋体"/>
          <w:color w:val="auto"/>
          <w:sz w:val="21"/>
          <w:szCs w:val="21"/>
          <w:highlight w:val="none"/>
          <w:u w:val="none"/>
          <w:lang w:val="en-US"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lang w:val="en-US" w:eastAsia="zh-CN"/>
        </w:rPr>
      </w:pPr>
      <w:bookmarkStart w:id="1" w:name="_Toc28359003"/>
      <w:bookmarkStart w:id="2" w:name="_Toc35393622"/>
      <w:bookmarkStart w:id="3" w:name="_Toc28359080"/>
      <w:bookmarkStart w:id="4" w:name="_Toc35393791"/>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u w:val="single"/>
          <w:lang w:val="en-US" w:eastAsia="zh-CN"/>
        </w:rPr>
        <w:t>本项目划分为4个标项，其中</w:t>
      </w:r>
      <w:r>
        <w:rPr>
          <w:rFonts w:hint="eastAsia" w:ascii="宋体" w:hAnsi="宋体" w:cs="宋体"/>
          <w:color w:val="auto"/>
          <w:sz w:val="21"/>
          <w:szCs w:val="21"/>
          <w:highlight w:val="none"/>
          <w:lang w:val="en-US" w:eastAsia="zh-CN"/>
        </w:rPr>
        <w:t>：</w:t>
      </w:r>
    </w:p>
    <w:p>
      <w:pPr>
        <w:pageBreakBefore w:val="0"/>
        <w:kinsoku/>
        <w:overflowPunct/>
        <w:topLinePunct w:val="0"/>
        <w:autoSpaceDE/>
        <w:autoSpaceDN/>
        <w:bidi w:val="0"/>
        <w:adjustRightInd/>
        <w:spacing w:line="360" w:lineRule="auto"/>
        <w:ind w:left="0" w:firstLine="422" w:firstLineChars="200"/>
        <w:jc w:val="both"/>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标项一：</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w:t>
      </w:r>
      <w:r>
        <w:rPr>
          <w:rFonts w:hint="eastAsia" w:ascii="宋体" w:hAnsi="宋体" w:cs="宋体"/>
          <w:color w:val="auto"/>
          <w:kern w:val="0"/>
          <w:sz w:val="21"/>
          <w:szCs w:val="21"/>
          <w:highlight w:val="none"/>
          <w:u w:val="single"/>
          <w:lang w:val="en-US" w:eastAsia="zh-CN"/>
        </w:rPr>
        <w:t>江北区2024-2026年度企业安全生产社会化协作服务（片区一）</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1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u w:val="single"/>
          <w:lang w:val="en-US" w:eastAsia="zh-CN"/>
        </w:rPr>
        <w:t>人民币50万元/年（含绩效考核奖励资金4万元和工矿企业事故遏制奖励资金3万元）</w:t>
      </w:r>
      <w:r>
        <w:rPr>
          <w:rFonts w:hint="eastAsia" w:ascii="宋体" w:hAnsi="宋体" w:eastAsia="宋体" w:cs="宋体"/>
          <w:color w:val="auto"/>
          <w:sz w:val="21"/>
          <w:szCs w:val="21"/>
          <w:highlight w:val="none"/>
          <w:lang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ascii="宋体" w:hAnsi="宋体" w:cs="宋体"/>
          <w:color w:val="auto"/>
          <w:kern w:val="0"/>
          <w:sz w:val="21"/>
          <w:szCs w:val="21"/>
          <w:highlight w:val="none"/>
          <w:u w:val="single"/>
          <w:lang w:val="en-US" w:eastAsia="zh-CN"/>
        </w:rPr>
        <w:t>江北区2024-2026年度企业安全生产社会化协作服务委托服务单位对江北区片区一的生产经营单位开展安全生产社会化协作服务检查，</w:t>
      </w:r>
      <w:r>
        <w:rPr>
          <w:rFonts w:hint="eastAsia" w:ascii="宋体" w:hAnsi="宋体" w:eastAsia="宋体" w:cs="宋体"/>
          <w:color w:val="auto"/>
          <w:kern w:val="0"/>
          <w:sz w:val="21"/>
          <w:szCs w:val="21"/>
          <w:highlight w:val="none"/>
          <w:u w:val="single"/>
          <w:lang w:val="en-US" w:eastAsia="zh-CN"/>
        </w:rPr>
        <w:t>具体详见</w:t>
      </w:r>
      <w:r>
        <w:rPr>
          <w:rFonts w:hint="eastAsia" w:ascii="宋体" w:hAnsi="宋体" w:cs="宋体"/>
          <w:color w:val="auto"/>
          <w:kern w:val="0"/>
          <w:sz w:val="21"/>
          <w:szCs w:val="21"/>
          <w:highlight w:val="none"/>
          <w:u w:val="single"/>
          <w:lang w:val="en-US" w:eastAsia="zh-CN"/>
        </w:rPr>
        <w:t>招标文件</w:t>
      </w:r>
      <w:r>
        <w:rPr>
          <w:rFonts w:hint="eastAsia" w:ascii="宋体" w:hAnsi="宋体" w:eastAsia="宋体" w:cs="宋体"/>
          <w:color w:val="auto"/>
          <w:kern w:val="0"/>
          <w:sz w:val="21"/>
          <w:szCs w:val="21"/>
          <w:highlight w:val="none"/>
          <w:u w:val="single"/>
          <w:lang w:val="en-US" w:eastAsia="zh-CN"/>
        </w:rPr>
        <w:t>第二章《招标需求》</w:t>
      </w:r>
      <w:r>
        <w:rPr>
          <w:rFonts w:hint="eastAsia" w:ascii="宋体" w:hAnsi="宋体" w:eastAsia="宋体" w:cs="宋体"/>
          <w:color w:val="auto"/>
          <w:sz w:val="21"/>
          <w:szCs w:val="21"/>
          <w:highlight w:val="none"/>
          <w:lang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cs="宋体"/>
          <w:color w:val="auto"/>
          <w:sz w:val="21"/>
          <w:szCs w:val="21"/>
          <w:highlight w:val="none"/>
          <w:u w:val="single"/>
          <w:lang w:val="en-US" w:eastAsia="zh-CN"/>
        </w:rPr>
        <w:t xml:space="preserve">  /  </w:t>
      </w:r>
      <w:r>
        <w:rPr>
          <w:rFonts w:hint="eastAsia" w:ascii="宋体" w:hAnsi="宋体" w:cs="宋体"/>
          <w:color w:val="auto"/>
          <w:sz w:val="21"/>
          <w:szCs w:val="21"/>
          <w:highlight w:val="none"/>
          <w:u w:val="none"/>
          <w:lang w:val="en-US" w:eastAsia="zh-CN"/>
        </w:rPr>
        <w:t>。</w:t>
      </w:r>
    </w:p>
    <w:p>
      <w:pPr>
        <w:pageBreakBefore w:val="0"/>
        <w:kinsoku/>
        <w:overflowPunct/>
        <w:topLinePunct w:val="0"/>
        <w:autoSpaceDE/>
        <w:autoSpaceDN/>
        <w:bidi w:val="0"/>
        <w:adjustRightInd/>
        <w:spacing w:line="360" w:lineRule="auto"/>
        <w:ind w:left="0" w:firstLine="422" w:firstLineChars="200"/>
        <w:jc w:val="both"/>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标项二：</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w:t>
      </w:r>
      <w:r>
        <w:rPr>
          <w:rFonts w:hint="eastAsia" w:ascii="宋体" w:hAnsi="宋体" w:cs="宋体"/>
          <w:color w:val="auto"/>
          <w:kern w:val="0"/>
          <w:sz w:val="21"/>
          <w:szCs w:val="21"/>
          <w:highlight w:val="none"/>
          <w:u w:val="single"/>
          <w:lang w:val="en-US" w:eastAsia="zh-CN"/>
        </w:rPr>
        <w:t>江北区2024-2026年度企业安全生产社会化协作服务（片区二）</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1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u w:val="single"/>
          <w:lang w:val="en-US" w:eastAsia="zh-CN"/>
        </w:rPr>
        <w:t>人民币50万元/年（含绩效考核奖励资金4万元和工矿企业事故遏制奖励资金3万元）</w:t>
      </w:r>
      <w:r>
        <w:rPr>
          <w:rFonts w:hint="eastAsia" w:ascii="宋体" w:hAnsi="宋体" w:eastAsia="宋体" w:cs="宋体"/>
          <w:color w:val="auto"/>
          <w:sz w:val="21"/>
          <w:szCs w:val="21"/>
          <w:highlight w:val="none"/>
          <w:lang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ascii="宋体" w:hAnsi="宋体" w:cs="宋体"/>
          <w:color w:val="auto"/>
          <w:kern w:val="0"/>
          <w:sz w:val="21"/>
          <w:szCs w:val="21"/>
          <w:highlight w:val="none"/>
          <w:u w:val="single"/>
          <w:lang w:val="en-US" w:eastAsia="zh-CN"/>
        </w:rPr>
        <w:t>江北区2024-2026年度企业安全生产社会化协作服务委托服务单位对江北区片区二的生产经营单位开展安全生产社会化协作服务检查，</w:t>
      </w:r>
      <w:r>
        <w:rPr>
          <w:rFonts w:hint="eastAsia" w:ascii="宋体" w:hAnsi="宋体" w:eastAsia="宋体" w:cs="宋体"/>
          <w:color w:val="auto"/>
          <w:kern w:val="0"/>
          <w:sz w:val="21"/>
          <w:szCs w:val="21"/>
          <w:highlight w:val="none"/>
          <w:u w:val="single"/>
          <w:lang w:val="en-US" w:eastAsia="zh-CN"/>
        </w:rPr>
        <w:t>具体详见</w:t>
      </w:r>
      <w:r>
        <w:rPr>
          <w:rFonts w:hint="eastAsia" w:ascii="宋体" w:hAnsi="宋体" w:cs="宋体"/>
          <w:color w:val="auto"/>
          <w:kern w:val="0"/>
          <w:sz w:val="21"/>
          <w:szCs w:val="21"/>
          <w:highlight w:val="none"/>
          <w:u w:val="single"/>
          <w:lang w:val="en-US" w:eastAsia="zh-CN"/>
        </w:rPr>
        <w:t>招标文件</w:t>
      </w:r>
      <w:r>
        <w:rPr>
          <w:rFonts w:hint="eastAsia" w:ascii="宋体" w:hAnsi="宋体" w:eastAsia="宋体" w:cs="宋体"/>
          <w:color w:val="auto"/>
          <w:kern w:val="0"/>
          <w:sz w:val="21"/>
          <w:szCs w:val="21"/>
          <w:highlight w:val="none"/>
          <w:u w:val="single"/>
          <w:lang w:val="en-US" w:eastAsia="zh-CN"/>
        </w:rPr>
        <w:t>第二章《招标需求》</w:t>
      </w:r>
      <w:r>
        <w:rPr>
          <w:rFonts w:hint="eastAsia" w:ascii="宋体" w:hAnsi="宋体" w:eastAsia="宋体" w:cs="宋体"/>
          <w:color w:val="auto"/>
          <w:sz w:val="21"/>
          <w:szCs w:val="21"/>
          <w:highlight w:val="none"/>
          <w:lang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cs="宋体"/>
          <w:color w:val="auto"/>
          <w:sz w:val="21"/>
          <w:szCs w:val="21"/>
          <w:highlight w:val="none"/>
          <w:u w:val="single"/>
          <w:lang w:val="en-US" w:eastAsia="zh-CN"/>
        </w:rPr>
        <w:t xml:space="preserve">  /  </w:t>
      </w:r>
      <w:r>
        <w:rPr>
          <w:rFonts w:hint="eastAsia" w:ascii="宋体" w:hAnsi="宋体" w:cs="宋体"/>
          <w:color w:val="auto"/>
          <w:sz w:val="21"/>
          <w:szCs w:val="21"/>
          <w:highlight w:val="none"/>
          <w:u w:val="none"/>
          <w:lang w:val="en-US" w:eastAsia="zh-CN"/>
        </w:rPr>
        <w:t>。</w:t>
      </w:r>
    </w:p>
    <w:p>
      <w:pPr>
        <w:pageBreakBefore w:val="0"/>
        <w:kinsoku/>
        <w:overflowPunct/>
        <w:topLinePunct w:val="0"/>
        <w:autoSpaceDE/>
        <w:autoSpaceDN/>
        <w:bidi w:val="0"/>
        <w:adjustRightInd/>
        <w:spacing w:line="360" w:lineRule="auto"/>
        <w:ind w:left="0" w:firstLine="422" w:firstLineChars="200"/>
        <w:jc w:val="both"/>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标项三：</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w:t>
      </w:r>
      <w:r>
        <w:rPr>
          <w:rFonts w:hint="eastAsia" w:ascii="宋体" w:hAnsi="宋体" w:cs="宋体"/>
          <w:color w:val="auto"/>
          <w:kern w:val="0"/>
          <w:sz w:val="21"/>
          <w:szCs w:val="21"/>
          <w:highlight w:val="none"/>
          <w:u w:val="single"/>
          <w:lang w:val="en-US" w:eastAsia="zh-CN"/>
        </w:rPr>
        <w:t>江北区2024-2026年度企业安全生产社会化协作服务（片区三）</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1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u w:val="single"/>
          <w:lang w:val="en-US" w:eastAsia="zh-CN"/>
        </w:rPr>
        <w:t>人民币50万元/年（含绩效考核奖励资金4万元和工矿企业事故遏制奖励资金3万元）</w:t>
      </w:r>
      <w:r>
        <w:rPr>
          <w:rFonts w:hint="eastAsia" w:ascii="宋体" w:hAnsi="宋体" w:eastAsia="宋体" w:cs="宋体"/>
          <w:color w:val="auto"/>
          <w:sz w:val="21"/>
          <w:szCs w:val="21"/>
          <w:highlight w:val="none"/>
          <w:lang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ascii="宋体" w:hAnsi="宋体" w:cs="宋体"/>
          <w:color w:val="auto"/>
          <w:kern w:val="0"/>
          <w:sz w:val="21"/>
          <w:szCs w:val="21"/>
          <w:highlight w:val="none"/>
          <w:u w:val="single"/>
          <w:lang w:val="en-US" w:eastAsia="zh-CN"/>
        </w:rPr>
        <w:t>江北区2024-2026年度企业安全生产社会化协作服务委托服务单位对江北区片区三的生产经营单位开展安全生产社会化协作服务检查，</w:t>
      </w:r>
      <w:r>
        <w:rPr>
          <w:rFonts w:hint="eastAsia" w:ascii="宋体" w:hAnsi="宋体" w:eastAsia="宋体" w:cs="宋体"/>
          <w:color w:val="auto"/>
          <w:kern w:val="0"/>
          <w:sz w:val="21"/>
          <w:szCs w:val="21"/>
          <w:highlight w:val="none"/>
          <w:u w:val="single"/>
          <w:lang w:val="en-US" w:eastAsia="zh-CN"/>
        </w:rPr>
        <w:t>具体详见</w:t>
      </w:r>
      <w:r>
        <w:rPr>
          <w:rFonts w:hint="eastAsia" w:ascii="宋体" w:hAnsi="宋体" w:cs="宋体"/>
          <w:color w:val="auto"/>
          <w:kern w:val="0"/>
          <w:sz w:val="21"/>
          <w:szCs w:val="21"/>
          <w:highlight w:val="none"/>
          <w:u w:val="single"/>
          <w:lang w:val="en-US" w:eastAsia="zh-CN"/>
        </w:rPr>
        <w:t>招标文件</w:t>
      </w:r>
      <w:r>
        <w:rPr>
          <w:rFonts w:hint="eastAsia" w:ascii="宋体" w:hAnsi="宋体" w:eastAsia="宋体" w:cs="宋体"/>
          <w:color w:val="auto"/>
          <w:kern w:val="0"/>
          <w:sz w:val="21"/>
          <w:szCs w:val="21"/>
          <w:highlight w:val="none"/>
          <w:u w:val="single"/>
          <w:lang w:val="en-US" w:eastAsia="zh-CN"/>
        </w:rPr>
        <w:t>第二章《招标需求》</w:t>
      </w:r>
      <w:r>
        <w:rPr>
          <w:rFonts w:hint="eastAsia" w:ascii="宋体" w:hAnsi="宋体" w:eastAsia="宋体" w:cs="宋体"/>
          <w:color w:val="auto"/>
          <w:sz w:val="21"/>
          <w:szCs w:val="21"/>
          <w:highlight w:val="none"/>
          <w:lang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cs="宋体"/>
          <w:color w:val="auto"/>
          <w:sz w:val="21"/>
          <w:szCs w:val="21"/>
          <w:highlight w:val="none"/>
          <w:u w:val="single"/>
          <w:lang w:val="en-US" w:eastAsia="zh-CN"/>
        </w:rPr>
        <w:t xml:space="preserve">  /  </w:t>
      </w:r>
      <w:r>
        <w:rPr>
          <w:rFonts w:hint="eastAsia" w:ascii="宋体" w:hAnsi="宋体" w:cs="宋体"/>
          <w:color w:val="auto"/>
          <w:sz w:val="21"/>
          <w:szCs w:val="21"/>
          <w:highlight w:val="none"/>
          <w:u w:val="none"/>
          <w:lang w:val="en-US" w:eastAsia="zh-CN"/>
        </w:rPr>
        <w:t>。</w:t>
      </w:r>
    </w:p>
    <w:p>
      <w:pPr>
        <w:pageBreakBefore w:val="0"/>
        <w:kinsoku/>
        <w:overflowPunct/>
        <w:topLinePunct w:val="0"/>
        <w:autoSpaceDE/>
        <w:autoSpaceDN/>
        <w:bidi w:val="0"/>
        <w:adjustRightInd/>
        <w:spacing w:line="360" w:lineRule="auto"/>
        <w:ind w:left="0" w:firstLine="422" w:firstLineChars="200"/>
        <w:jc w:val="both"/>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标项四：</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w:t>
      </w:r>
      <w:r>
        <w:rPr>
          <w:rFonts w:hint="eastAsia" w:ascii="宋体" w:hAnsi="宋体" w:cs="宋体"/>
          <w:color w:val="auto"/>
          <w:kern w:val="0"/>
          <w:sz w:val="21"/>
          <w:szCs w:val="21"/>
          <w:highlight w:val="none"/>
          <w:u w:val="single"/>
          <w:lang w:val="en-US" w:eastAsia="zh-CN"/>
        </w:rPr>
        <w:t>江北区2024-2026年度企业安全生产社会化协作服务（片区四）</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1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u w:val="single"/>
          <w:lang w:val="en-US" w:eastAsia="zh-CN"/>
        </w:rPr>
        <w:t>人民币50万元/年（含绩效考核奖励资金4万元和工矿企业事故遏制奖励资金3万元）</w:t>
      </w:r>
      <w:r>
        <w:rPr>
          <w:rFonts w:hint="eastAsia" w:ascii="宋体" w:hAnsi="宋体" w:eastAsia="宋体" w:cs="宋体"/>
          <w:color w:val="auto"/>
          <w:sz w:val="21"/>
          <w:szCs w:val="21"/>
          <w:highlight w:val="none"/>
          <w:lang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ascii="宋体" w:hAnsi="宋体" w:cs="宋体"/>
          <w:color w:val="auto"/>
          <w:kern w:val="0"/>
          <w:sz w:val="21"/>
          <w:szCs w:val="21"/>
          <w:highlight w:val="none"/>
          <w:u w:val="single"/>
          <w:lang w:val="en-US" w:eastAsia="zh-CN"/>
        </w:rPr>
        <w:t>江北区2024-2026年度企业安全生产社会化协作服务委托服务单位对江北区片区四的生产经营单位开展安全生产社会化协作服务检查，</w:t>
      </w:r>
      <w:r>
        <w:rPr>
          <w:rFonts w:hint="eastAsia" w:ascii="宋体" w:hAnsi="宋体" w:eastAsia="宋体" w:cs="宋体"/>
          <w:color w:val="auto"/>
          <w:kern w:val="0"/>
          <w:sz w:val="21"/>
          <w:szCs w:val="21"/>
          <w:highlight w:val="none"/>
          <w:u w:val="single"/>
          <w:lang w:val="en-US" w:eastAsia="zh-CN"/>
        </w:rPr>
        <w:t>具体详见</w:t>
      </w:r>
      <w:r>
        <w:rPr>
          <w:rFonts w:hint="eastAsia" w:ascii="宋体" w:hAnsi="宋体" w:cs="宋体"/>
          <w:color w:val="auto"/>
          <w:kern w:val="0"/>
          <w:sz w:val="21"/>
          <w:szCs w:val="21"/>
          <w:highlight w:val="none"/>
          <w:u w:val="single"/>
          <w:lang w:val="en-US" w:eastAsia="zh-CN"/>
        </w:rPr>
        <w:t>招标文件</w:t>
      </w:r>
      <w:r>
        <w:rPr>
          <w:rFonts w:hint="eastAsia" w:ascii="宋体" w:hAnsi="宋体" w:eastAsia="宋体" w:cs="宋体"/>
          <w:color w:val="auto"/>
          <w:kern w:val="0"/>
          <w:sz w:val="21"/>
          <w:szCs w:val="21"/>
          <w:highlight w:val="none"/>
          <w:u w:val="single"/>
          <w:lang w:val="en-US" w:eastAsia="zh-CN"/>
        </w:rPr>
        <w:t>第二章《招标需求》</w:t>
      </w:r>
      <w:r>
        <w:rPr>
          <w:rFonts w:hint="eastAsia" w:ascii="宋体" w:hAnsi="宋体" w:eastAsia="宋体" w:cs="宋体"/>
          <w:color w:val="auto"/>
          <w:sz w:val="21"/>
          <w:szCs w:val="21"/>
          <w:highlight w:val="none"/>
          <w:lang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cs="宋体"/>
          <w:color w:val="auto"/>
          <w:sz w:val="21"/>
          <w:szCs w:val="21"/>
          <w:highlight w:val="none"/>
          <w:u w:val="single"/>
          <w:lang w:val="en-US" w:eastAsia="zh-CN"/>
        </w:rPr>
        <w:t xml:space="preserve">  /  </w:t>
      </w:r>
      <w:r>
        <w:rPr>
          <w:rFonts w:hint="eastAsia" w:ascii="宋体" w:hAnsi="宋体" w:cs="宋体"/>
          <w:color w:val="auto"/>
          <w:sz w:val="21"/>
          <w:szCs w:val="21"/>
          <w:highlight w:val="none"/>
          <w:u w:val="none"/>
          <w:lang w:val="en-US"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w:t>
      </w:r>
      <w:r>
        <w:rPr>
          <w:rFonts w:hint="eastAsia" w:ascii="宋体" w:hAnsi="宋体" w:cs="宋体"/>
          <w:color w:val="auto"/>
          <w:szCs w:val="21"/>
          <w:highlight w:val="none"/>
          <w:u w:val="single"/>
          <w:lang w:val="en-US" w:eastAsia="zh-CN"/>
        </w:rPr>
        <w:t>自合同签订之日起两年，合同一年一签，采购人根据中标人在上一阶段合同履约及财政资金审批等情况决定是否续签</w:t>
      </w:r>
      <w:r>
        <w:rPr>
          <w:rFonts w:hint="eastAsia" w:ascii="宋体" w:hAnsi="宋体" w:eastAsia="宋体" w:cs="宋体"/>
          <w:color w:val="auto"/>
          <w:sz w:val="21"/>
          <w:szCs w:val="21"/>
          <w:highlight w:val="none"/>
          <w:lang w:val="en-US"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u w:val="single"/>
          <w:lang w:val="en-US" w:eastAsia="zh-CN"/>
        </w:rPr>
        <w:t>不</w:t>
      </w:r>
      <w:r>
        <w:rPr>
          <w:rFonts w:hint="eastAsia" w:ascii="宋体" w:hAnsi="宋体" w:eastAsia="宋体" w:cs="宋体"/>
          <w:color w:val="auto"/>
          <w:sz w:val="21"/>
          <w:szCs w:val="21"/>
          <w:highlight w:val="none"/>
          <w:u w:val="single"/>
        </w:rPr>
        <w:t>接受</w:t>
      </w:r>
      <w:r>
        <w:rPr>
          <w:rFonts w:hint="eastAsia" w:ascii="宋体" w:hAnsi="宋体" w:eastAsia="宋体" w:cs="宋体"/>
          <w:color w:val="auto"/>
          <w:sz w:val="21"/>
          <w:szCs w:val="21"/>
          <w:highlight w:val="none"/>
        </w:rPr>
        <w:t>联合体投标。</w:t>
      </w:r>
    </w:p>
    <w:p>
      <w:pPr>
        <w:pStyle w:val="4"/>
        <w:pageBreakBefore w:val="0"/>
        <w:kinsoku/>
        <w:overflowPunct/>
        <w:topLinePunct w:val="0"/>
        <w:autoSpaceDE/>
        <w:autoSpaceDN/>
        <w:bidi w:val="0"/>
        <w:adjustRightIn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二、申请人的资格要求</w:t>
      </w:r>
      <w:bookmarkEnd w:id="1"/>
      <w:bookmarkEnd w:id="2"/>
      <w:bookmarkEnd w:id="3"/>
      <w:bookmarkEnd w:id="4"/>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bookmarkStart w:id="5" w:name="_Toc28359085"/>
      <w:bookmarkStart w:id="6" w:name="_Toc28359008"/>
      <w:bookmarkStart w:id="7" w:name="_Toc35393627"/>
      <w:bookmarkStart w:id="8" w:name="_Toc35393796"/>
      <w:r>
        <w:rPr>
          <w:rFonts w:hint="eastAsia" w:ascii="宋体" w:hAnsi="宋体" w:eastAsia="宋体" w:cs="宋体"/>
          <w:color w:val="auto"/>
          <w:sz w:val="21"/>
          <w:szCs w:val="21"/>
          <w:highlight w:val="none"/>
        </w:rPr>
        <w:t>1、符合《中华人民共和国政府采购法》第二十二条规定的供应商资格条件：</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u w:val="single"/>
        </w:rPr>
        <w:t>本项目为专门面向</w:t>
      </w:r>
      <w:r>
        <w:rPr>
          <w:rFonts w:hint="eastAsia" w:ascii="宋体" w:hAnsi="宋体" w:eastAsia="宋体" w:cs="宋体"/>
          <w:color w:val="auto"/>
          <w:sz w:val="21"/>
          <w:szCs w:val="21"/>
          <w:highlight w:val="none"/>
          <w:u w:val="single"/>
          <w:lang w:val="en-US" w:eastAsia="zh-CN"/>
        </w:rPr>
        <w:t>中</w:t>
      </w:r>
      <w:r>
        <w:rPr>
          <w:rFonts w:hint="eastAsia" w:ascii="宋体" w:hAnsi="宋体" w:eastAsia="宋体" w:cs="宋体"/>
          <w:color w:val="auto"/>
          <w:sz w:val="21"/>
          <w:szCs w:val="21"/>
          <w:highlight w:val="none"/>
          <w:u w:val="single"/>
        </w:rPr>
        <w:t>小企业招标，供应商须为中型企业</w:t>
      </w:r>
      <w:r>
        <w:rPr>
          <w:rFonts w:hint="eastAsia" w:ascii="宋体" w:hAnsi="宋体" w:eastAsia="宋体" w:cs="宋体"/>
          <w:color w:val="auto"/>
          <w:sz w:val="21"/>
          <w:szCs w:val="21"/>
          <w:highlight w:val="none"/>
          <w:u w:val="single"/>
          <w:lang w:val="en-US" w:eastAsia="zh-CN"/>
        </w:rPr>
        <w:t>或</w:t>
      </w:r>
      <w:r>
        <w:rPr>
          <w:rFonts w:hint="eastAsia" w:ascii="宋体" w:hAnsi="宋体" w:eastAsia="宋体" w:cs="宋体"/>
          <w:color w:val="auto"/>
          <w:sz w:val="21"/>
          <w:szCs w:val="21"/>
          <w:highlight w:val="none"/>
          <w:u w:val="single"/>
        </w:rPr>
        <w:t>小型企业</w:t>
      </w:r>
      <w:r>
        <w:rPr>
          <w:rFonts w:hint="eastAsia" w:ascii="宋体" w:hAnsi="宋体" w:eastAsia="宋体" w:cs="宋体"/>
          <w:color w:val="auto"/>
          <w:sz w:val="21"/>
          <w:szCs w:val="21"/>
          <w:highlight w:val="none"/>
          <w:u w:val="single"/>
          <w:lang w:val="en-US" w:eastAsia="zh-CN"/>
        </w:rPr>
        <w:t>或</w:t>
      </w:r>
      <w:r>
        <w:rPr>
          <w:rFonts w:hint="eastAsia" w:ascii="宋体" w:hAnsi="宋体" w:eastAsia="宋体" w:cs="宋体"/>
          <w:color w:val="auto"/>
          <w:sz w:val="21"/>
          <w:szCs w:val="21"/>
          <w:highlight w:val="none"/>
          <w:u w:val="single"/>
        </w:rPr>
        <w:t>微型企业</w:t>
      </w:r>
      <w:r>
        <w:rPr>
          <w:rFonts w:hint="eastAsia" w:ascii="宋体" w:hAnsi="宋体" w:eastAsia="宋体" w:cs="宋体"/>
          <w:color w:val="auto"/>
          <w:sz w:val="21"/>
          <w:szCs w:val="21"/>
          <w:highlight w:val="none"/>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b w:val="0"/>
          <w:bCs w:val="0"/>
          <w:color w:val="auto"/>
          <w:sz w:val="21"/>
          <w:szCs w:val="21"/>
          <w:highlight w:val="none"/>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4、单位负责人为同一人或者存在直接控股、管理关系的不同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，不得参加同一标项的投标。为本项目提供整体设计、规范编制或者项目管理、监理、检测等服务的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，不得再参加本项目的投标。</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未被列入“信用中国”网站(www.creditchina.gov.cn)中的“失信被执行人或重大税收违法案件当事人名单或政府采购严重违法失信名单”，不处于中国政府采购网(www.ccgp.gov.cn)“政府采购严重违法失信行为记录名单”处罚结果确定为禁止参加政府采购活动期间。（以采购代理机构于投标截止日当天在信用中国网站及中国政府采购网查询结果为准；若在开标当天因不可抗力事件导致无法查询且一时无法恢复查询的，可在中标公告前对中标候选人进行事后查询。中标候选人被列入失信被执行人、重大税收违法案件当事人名单或政府采购严重违法失信名单、政府采购严重违法失信行为记录名单处罚结果确定为禁止参加政府采购活动期间的，采购人将依法取消其中标资格。）</w:t>
      </w:r>
    </w:p>
    <w:p>
      <w:pPr>
        <w:pStyle w:val="4"/>
        <w:pageBreakBefore w:val="0"/>
        <w:kinsoku/>
        <w:overflowPunct/>
        <w:topLinePunct w:val="0"/>
        <w:autoSpaceDE/>
        <w:autoSpaceDN/>
        <w:bidi w:val="0"/>
        <w:adjustRightIn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三、获取（下载）招标文件</w:t>
      </w:r>
    </w:p>
    <w:p>
      <w:pPr>
        <w:keepNext w:val="0"/>
        <w:keepLines w:val="0"/>
        <w:pageBreakBefore w:val="0"/>
        <w:kinsoku/>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ascii="宋体" w:hAnsi="宋体" w:eastAsia="宋体" w:cs="宋体"/>
          <w:color w:val="auto"/>
          <w:sz w:val="21"/>
          <w:szCs w:val="21"/>
          <w:highlight w:val="none"/>
          <w:u w:val="single"/>
          <w:lang w:val="en-US"/>
        </w:rPr>
        <w:t xml:space="preserve">  /  </w:t>
      </w:r>
      <w:r>
        <w:rPr>
          <w:rFonts w:hint="eastAsia" w:ascii="宋体" w:hAnsi="宋体" w:eastAsia="宋体" w:cs="宋体"/>
          <w:color w:val="auto"/>
          <w:sz w:val="21"/>
          <w:szCs w:val="21"/>
          <w:highlight w:val="none"/>
        </w:rPr>
        <w:t>至</w:t>
      </w:r>
      <w:r>
        <w:rPr>
          <w:rFonts w:hint="eastAsia" w:ascii="宋体" w:hAnsi="宋体" w:eastAsia="宋体" w:cs="宋体"/>
          <w:color w:val="auto"/>
          <w:kern w:val="0"/>
          <w:sz w:val="22"/>
          <w:szCs w:val="22"/>
          <w:highlight w:val="none"/>
          <w:u w:val="single"/>
        </w:rPr>
        <w:t>202</w:t>
      </w:r>
      <w:r>
        <w:rPr>
          <w:rFonts w:hint="eastAsia" w:ascii="宋体" w:hAnsi="宋体" w:cs="宋体"/>
          <w:color w:val="auto"/>
          <w:kern w:val="0"/>
          <w:sz w:val="22"/>
          <w:szCs w:val="22"/>
          <w:highlight w:val="none"/>
          <w:u w:val="single"/>
          <w:lang w:val="en-US" w:eastAsia="zh-CN"/>
        </w:rPr>
        <w:t>4</w:t>
      </w:r>
      <w:r>
        <w:rPr>
          <w:rFonts w:hint="eastAsia" w:ascii="宋体" w:hAnsi="宋体" w:eastAsia="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 5 </w:t>
      </w:r>
      <w:r>
        <w:rPr>
          <w:rFonts w:hint="eastAsia" w:ascii="宋体" w:hAnsi="宋体" w:eastAsia="宋体" w:cs="宋体"/>
          <w:color w:val="auto"/>
          <w:kern w:val="0"/>
          <w:sz w:val="22"/>
          <w:szCs w:val="22"/>
          <w:highlight w:val="none"/>
        </w:rPr>
        <w:t>月</w:t>
      </w:r>
      <w:r>
        <w:rPr>
          <w:rFonts w:hint="eastAsia" w:ascii="宋体" w:hAnsi="宋体" w:cs="宋体"/>
          <w:color w:val="auto"/>
          <w:kern w:val="0"/>
          <w:sz w:val="22"/>
          <w:szCs w:val="22"/>
          <w:highlight w:val="none"/>
          <w:u w:val="single"/>
          <w:lang w:val="en-US" w:eastAsia="zh-CN"/>
        </w:rPr>
        <w:t xml:space="preserve"> 21 </w:t>
      </w:r>
      <w:r>
        <w:rPr>
          <w:rFonts w:hint="eastAsia" w:ascii="宋体" w:hAnsi="宋体" w:eastAsia="宋体" w:cs="宋体"/>
          <w:color w:val="auto"/>
          <w:kern w:val="0"/>
          <w:sz w:val="22"/>
          <w:szCs w:val="22"/>
          <w:highlight w:val="none"/>
        </w:rPr>
        <w:t>日</w:t>
      </w:r>
      <w:r>
        <w:rPr>
          <w:rFonts w:hint="eastAsia" w:ascii="宋体" w:hAnsi="宋体" w:eastAsia="宋体" w:cs="宋体"/>
          <w:color w:val="auto"/>
          <w:sz w:val="21"/>
          <w:szCs w:val="21"/>
          <w:highlight w:val="none"/>
        </w:rPr>
        <w:t>，每天上午00:00至12:00，下午12:00至23:59（北京时间，线上获取法定节假日均可，线下获取文件法定节假日除外）</w:t>
      </w:r>
    </w:p>
    <w:p>
      <w:pPr>
        <w:keepNext w:val="0"/>
        <w:keepLines w:val="0"/>
        <w:pageBreakBefore w:val="0"/>
        <w:kinsoku/>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2、地点：政采云平台（http://zfcg.czt.zj.gov.cn）</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3、方式：本项目采购文件于“政府采购云平台”在线获取。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获取采购文件前应先完成“政府采购云平台”的账号注册，</w:t>
      </w:r>
      <w:r>
        <w:rPr>
          <w:rFonts w:hint="eastAsia" w:ascii="宋体" w:hAnsi="宋体" w:eastAsia="宋体" w:cs="宋体"/>
          <w:color w:val="auto"/>
          <w:sz w:val="21"/>
          <w:szCs w:val="21"/>
          <w:highlight w:val="none"/>
          <w:lang w:eastAsia="zh-CN"/>
        </w:rPr>
        <w:t>登录</w:t>
      </w:r>
      <w:r>
        <w:rPr>
          <w:rFonts w:hint="eastAsia" w:ascii="宋体" w:hAnsi="宋体" w:eastAsia="宋体" w:cs="宋体"/>
          <w:color w:val="auto"/>
          <w:sz w:val="21"/>
          <w:szCs w:val="21"/>
          <w:highlight w:val="none"/>
        </w:rPr>
        <w:t>政府采购云平台（www.zcygov.cn）在线申请获取采购文件（政府采购云平台→“政采云用户”登录→【项目采购】→【获取采购文件】），进入“项目采购”应用，在获取采购文件菜单中选择项目，申请获取采购文件，仅浏览采购文件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可点击“游客，浏览采购文件”下载采购文件浏览；招标公告附件内的采购文件仅供阅览，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只有在“政府采购云平台”完成获取采购文件申请并下载了采购文件后方视作依法获取采购文件（法律、法规所指的获取采购文件时间以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完成获取采购文件申请后下载采购文件的时间为准）。注：请</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按上述要求获取采购文件，如未在“政府采购云平台”完成相关流程引起的无效投标，责任自负。</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ar-SA"/>
        </w:rPr>
        <w:t>6、招标文件售价：免费。</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四、投标文件提交（上传）截止时间及地点</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提交投标文件截止时间：</w:t>
      </w:r>
      <w:r>
        <w:rPr>
          <w:rFonts w:hint="eastAsia" w:ascii="宋体" w:hAnsi="宋体" w:eastAsia="宋体" w:cs="宋体"/>
          <w:color w:val="auto"/>
          <w:kern w:val="0"/>
          <w:sz w:val="22"/>
          <w:szCs w:val="22"/>
          <w:highlight w:val="none"/>
          <w:u w:val="single"/>
        </w:rPr>
        <w:t>202</w:t>
      </w:r>
      <w:r>
        <w:rPr>
          <w:rFonts w:hint="eastAsia" w:ascii="宋体" w:hAnsi="宋体" w:cs="宋体"/>
          <w:color w:val="auto"/>
          <w:kern w:val="0"/>
          <w:sz w:val="22"/>
          <w:szCs w:val="22"/>
          <w:highlight w:val="none"/>
          <w:u w:val="single"/>
          <w:lang w:val="en-US" w:eastAsia="zh-CN"/>
        </w:rPr>
        <w:t>4</w:t>
      </w:r>
      <w:r>
        <w:rPr>
          <w:rFonts w:hint="eastAsia" w:ascii="宋体" w:hAnsi="宋体" w:eastAsia="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 5 </w:t>
      </w:r>
      <w:r>
        <w:rPr>
          <w:rFonts w:hint="eastAsia" w:ascii="宋体" w:hAnsi="宋体" w:eastAsia="宋体" w:cs="宋体"/>
          <w:color w:val="auto"/>
          <w:kern w:val="0"/>
          <w:sz w:val="22"/>
          <w:szCs w:val="22"/>
          <w:highlight w:val="none"/>
        </w:rPr>
        <w:t>月</w:t>
      </w:r>
      <w:r>
        <w:rPr>
          <w:rFonts w:hint="eastAsia" w:ascii="宋体" w:hAnsi="宋体" w:cs="宋体"/>
          <w:color w:val="auto"/>
          <w:kern w:val="0"/>
          <w:sz w:val="22"/>
          <w:szCs w:val="22"/>
          <w:highlight w:val="none"/>
          <w:u w:val="single"/>
          <w:lang w:val="en-US" w:eastAsia="zh-CN"/>
        </w:rPr>
        <w:t xml:space="preserve"> 21 </w:t>
      </w:r>
      <w:r>
        <w:rPr>
          <w:rFonts w:hint="eastAsia" w:ascii="宋体" w:hAnsi="宋体" w:eastAsia="宋体" w:cs="宋体"/>
          <w:color w:val="auto"/>
          <w:kern w:val="0"/>
          <w:sz w:val="22"/>
          <w:szCs w:val="22"/>
          <w:highlight w:val="none"/>
        </w:rPr>
        <w:t>日</w:t>
      </w:r>
      <w:r>
        <w:rPr>
          <w:rFonts w:hint="eastAsia" w:ascii="宋体" w:hAnsi="宋体" w:cs="宋体"/>
          <w:color w:val="auto"/>
          <w:kern w:val="0"/>
          <w:sz w:val="22"/>
          <w:szCs w:val="22"/>
          <w:highlight w:val="none"/>
          <w:u w:val="single"/>
          <w:lang w:val="en-US" w:eastAsia="zh-CN"/>
        </w:rPr>
        <w:t xml:space="preserve"> 9 </w:t>
      </w:r>
      <w:r>
        <w:rPr>
          <w:rFonts w:hint="eastAsia" w:ascii="宋体" w:hAnsi="宋体" w:eastAsia="宋体" w:cs="宋体"/>
          <w:color w:val="auto"/>
          <w:kern w:val="0"/>
          <w:sz w:val="22"/>
          <w:szCs w:val="22"/>
          <w:highlight w:val="none"/>
          <w:u w:val="none"/>
          <w:lang w:val="en-US" w:eastAsia="zh-CN"/>
        </w:rPr>
        <w:t>时</w:t>
      </w:r>
      <w:r>
        <w:rPr>
          <w:rFonts w:hint="eastAsia" w:ascii="宋体" w:hAnsi="宋体" w:cs="宋体"/>
          <w:color w:val="auto"/>
          <w:kern w:val="0"/>
          <w:sz w:val="22"/>
          <w:szCs w:val="22"/>
          <w:highlight w:val="none"/>
          <w:u w:val="single"/>
          <w:lang w:val="en-US" w:eastAsia="zh-CN"/>
        </w:rPr>
        <w:t xml:space="preserve"> 00 </w:t>
      </w:r>
      <w:r>
        <w:rPr>
          <w:rFonts w:hint="eastAsia" w:ascii="宋体" w:hAnsi="宋体" w:cs="宋体"/>
          <w:color w:val="auto"/>
          <w:kern w:val="0"/>
          <w:sz w:val="22"/>
          <w:szCs w:val="22"/>
          <w:highlight w:val="none"/>
          <w:u w:val="none"/>
          <w:lang w:val="en-US" w:eastAsia="zh-CN"/>
        </w:rPr>
        <w:t>分</w:t>
      </w:r>
      <w:r>
        <w:rPr>
          <w:rFonts w:hint="eastAsia" w:ascii="宋体" w:hAnsi="宋体" w:eastAsia="宋体" w:cs="宋体"/>
          <w:color w:val="auto"/>
          <w:sz w:val="21"/>
          <w:szCs w:val="21"/>
          <w:highlight w:val="none"/>
        </w:rPr>
        <w:t>（北京时间）</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投标地点（网址）：</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通过“政府采购云平台（www.zcygov.cn）”在线制作、传输递交电子投标文件。 </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kern w:val="0"/>
          <w:sz w:val="22"/>
          <w:szCs w:val="22"/>
          <w:highlight w:val="none"/>
          <w:u w:val="single"/>
        </w:rPr>
        <w:t>202</w:t>
      </w:r>
      <w:r>
        <w:rPr>
          <w:rFonts w:hint="eastAsia" w:ascii="宋体" w:hAnsi="宋体" w:cs="宋体"/>
          <w:color w:val="auto"/>
          <w:kern w:val="0"/>
          <w:sz w:val="22"/>
          <w:szCs w:val="22"/>
          <w:highlight w:val="none"/>
          <w:u w:val="single"/>
          <w:lang w:val="en-US" w:eastAsia="zh-CN"/>
        </w:rPr>
        <w:t>4</w:t>
      </w:r>
      <w:r>
        <w:rPr>
          <w:rFonts w:hint="eastAsia" w:ascii="宋体" w:hAnsi="宋体" w:eastAsia="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 5 </w:t>
      </w:r>
      <w:r>
        <w:rPr>
          <w:rFonts w:hint="eastAsia" w:ascii="宋体" w:hAnsi="宋体" w:eastAsia="宋体" w:cs="宋体"/>
          <w:color w:val="auto"/>
          <w:kern w:val="0"/>
          <w:sz w:val="22"/>
          <w:szCs w:val="22"/>
          <w:highlight w:val="none"/>
        </w:rPr>
        <w:t>月</w:t>
      </w:r>
      <w:r>
        <w:rPr>
          <w:rFonts w:hint="eastAsia" w:ascii="宋体" w:hAnsi="宋体" w:cs="宋体"/>
          <w:color w:val="auto"/>
          <w:kern w:val="0"/>
          <w:sz w:val="22"/>
          <w:szCs w:val="22"/>
          <w:highlight w:val="none"/>
          <w:u w:val="single"/>
          <w:lang w:val="en-US" w:eastAsia="zh-CN"/>
        </w:rPr>
        <w:t xml:space="preserve"> 21 </w:t>
      </w:r>
      <w:r>
        <w:rPr>
          <w:rFonts w:hint="eastAsia" w:ascii="宋体" w:hAnsi="宋体" w:eastAsia="宋体" w:cs="宋体"/>
          <w:color w:val="auto"/>
          <w:kern w:val="0"/>
          <w:sz w:val="22"/>
          <w:szCs w:val="22"/>
          <w:highlight w:val="none"/>
        </w:rPr>
        <w:t>日</w:t>
      </w:r>
      <w:r>
        <w:rPr>
          <w:rFonts w:hint="eastAsia" w:ascii="宋体" w:hAnsi="宋体" w:cs="宋体"/>
          <w:color w:val="auto"/>
          <w:kern w:val="0"/>
          <w:sz w:val="22"/>
          <w:szCs w:val="22"/>
          <w:highlight w:val="none"/>
          <w:u w:val="single"/>
          <w:lang w:val="en-US" w:eastAsia="zh-CN"/>
        </w:rPr>
        <w:t xml:space="preserve"> 9 </w:t>
      </w:r>
      <w:r>
        <w:rPr>
          <w:rFonts w:hint="eastAsia" w:ascii="宋体" w:hAnsi="宋体" w:eastAsia="宋体" w:cs="宋体"/>
          <w:color w:val="auto"/>
          <w:kern w:val="0"/>
          <w:sz w:val="22"/>
          <w:szCs w:val="22"/>
          <w:highlight w:val="none"/>
          <w:u w:val="none"/>
          <w:lang w:val="en-US" w:eastAsia="zh-CN"/>
        </w:rPr>
        <w:t>时</w:t>
      </w:r>
      <w:r>
        <w:rPr>
          <w:rFonts w:hint="eastAsia" w:ascii="宋体" w:hAnsi="宋体" w:cs="宋体"/>
          <w:color w:val="auto"/>
          <w:kern w:val="0"/>
          <w:sz w:val="22"/>
          <w:szCs w:val="22"/>
          <w:highlight w:val="none"/>
          <w:u w:val="single"/>
          <w:lang w:val="en-US" w:eastAsia="zh-CN"/>
        </w:rPr>
        <w:t xml:space="preserve"> 00 </w:t>
      </w:r>
      <w:r>
        <w:rPr>
          <w:rFonts w:hint="eastAsia" w:ascii="宋体" w:hAnsi="宋体" w:cs="宋体"/>
          <w:color w:val="auto"/>
          <w:kern w:val="0"/>
          <w:sz w:val="22"/>
          <w:szCs w:val="22"/>
          <w:highlight w:val="none"/>
          <w:u w:val="none"/>
          <w:lang w:val="en-US" w:eastAsia="zh-CN"/>
        </w:rPr>
        <w:t>分</w:t>
      </w:r>
      <w:r>
        <w:rPr>
          <w:rFonts w:hint="eastAsia" w:ascii="宋体" w:hAnsi="宋体" w:eastAsia="宋体" w:cs="宋体"/>
          <w:color w:val="auto"/>
          <w:sz w:val="21"/>
          <w:szCs w:val="21"/>
          <w:highlight w:val="none"/>
        </w:rPr>
        <w:t>（北京时间） </w:t>
      </w:r>
    </w:p>
    <w:p>
      <w:pPr>
        <w:keepNext w:val="0"/>
        <w:keepLines w:val="0"/>
        <w:pageBreakBefore w:val="0"/>
        <w:kinsoku/>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开标地点（网址）：宁波市江北区公共资源交易中心开标室（江北区育才路138号北投大厦南楼7楼）。本项目通过“政府采购云平台”实行在线电子投标，</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应在线参加开标。 </w:t>
      </w:r>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五、公告期限</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六、其他补充事宜</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2.其他事项：</w:t>
      </w:r>
    </w:p>
    <w:p>
      <w:pPr>
        <w:keepNext w:val="0"/>
        <w:keepLines w:val="0"/>
        <w:pageBreakBefore w:val="0"/>
        <w:kinsoku/>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须在浙江政府采购网进行注册登记。注册具体要求及申请流程详见《浙江省政府采购供应商注册及诚信管理暂行办法》(浙财采监字{2009}28号)和浙江政府采购网“网上办事指南”的“供应商注册申请”，未注册供应商应当注意注册登记所需时间，以免影响投标。</w:t>
      </w:r>
    </w:p>
    <w:p>
      <w:pPr>
        <w:keepNext w:val="0"/>
        <w:keepLines w:val="0"/>
        <w:pageBreakBefore w:val="0"/>
        <w:widowControl/>
        <w:kinsoku/>
        <w:wordWrap w:val="0"/>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本次政府采购活动有关信息在“浙江政府采购网（http://zfcg.czt.zj.gov.cn/）”、“宁波市政府采购网（www.nbzfcg.cn）”、“宁波市公共资源交易管理办公室宁波市公共资源交易电子服务系统（甬易阳光）”网站上公布。</w:t>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2.3关于在线投标与开标注意事项：</w:t>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）本项目通过“政府采购云平台（www.zcygov.cn）”实行网上投标，采用电子投标文件。若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参与投标，自行承担投标一切费用。</w:t>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）标前准备：各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应在开标前确保成为浙江政府采购网正式注册入库供应商，并完成CA数字证书办理，具体请自行前往“浙江政府采购网-下载专区-电子交易客户端-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"http://zfcg.czt.zj.gov.cn/bidClientTemplate/2019-05-27/12945.html" \o "CA驱动和申领流程"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CA驱动和申领流程</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”进行查阅，因未注册入库供应商、未办理CA数字证书等原因造成无法投标或投标失败等后果由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自行承担。（操作指南链接：</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"https://service.zcygov.cn/" \l "/knowledges/cm2eqWwBFdiHxlNd_otq/lwV6GXABiyELHE-oVMj3?keyword=CA）。" </w:instrText>
      </w:r>
      <w:r>
        <w:rPr>
          <w:rFonts w:hint="eastAsia" w:ascii="宋体" w:hAnsi="宋体" w:eastAsia="宋体" w:cs="宋体"/>
          <w:color w:val="auto"/>
          <w:sz w:val="21"/>
          <w:szCs w:val="21"/>
          <w:highlight w:val="none"/>
        </w:rPr>
        <w:fldChar w:fldCharType="separate"/>
      </w:r>
      <w:r>
        <w:rPr>
          <w:rStyle w:val="46"/>
          <w:rFonts w:hint="eastAsia" w:ascii="宋体" w:hAnsi="宋体" w:eastAsia="宋体" w:cs="宋体"/>
          <w:color w:val="auto"/>
          <w:sz w:val="21"/>
          <w:szCs w:val="21"/>
          <w:highlight w:val="none"/>
        </w:rPr>
        <w:t>https://service.zcygov.cn/#/knowledges/cm2eqWwBFdiHxlNd_otq/lwV6GXABiyELHE-oVMj3?keyword=CA）。</w:t>
      </w:r>
      <w:r>
        <w:rPr>
          <w:rFonts w:hint="eastAsia" w:ascii="宋体" w:hAnsi="宋体" w:eastAsia="宋体" w:cs="宋体"/>
          <w:color w:val="auto"/>
          <w:sz w:val="21"/>
          <w:szCs w:val="21"/>
          <w:highlight w:val="none"/>
        </w:rPr>
        <w:fldChar w:fldCharType="end"/>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）投标文件制作：3.1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先安装“政采云电子交易客户端”，并按照本项目采购文件和“政府采购云平台”的要求，通过“政采云电子交易客户端”编制并加密投标文件，“政采云电子交易客户端”请自行前往“浙江政府采购网-下载专区-电子交易客户端”进行下载并安装。电子投标文件制作具体流程详见政府采购云平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在使用系统进行投标的过程中遇到涉及平台使用的任何问题，可致电政府采购云平台技术支持热线咨询。</w:t>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3.2为确保采购项目顺利实施，避免因解密失败导致</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投标无效，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可自行选择是否在投标截止时间前将在“政采云电子投标客户端”上最后生成的具备电子签章的备份电子投标文件（以U盘为载体，</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应当确保U盘能够打开运行并正常使用）密封，安排相关人员递交至宁波市江北区公共资源交易中心开标室（江北区育才路138号北投大厦南楼7楼）。</w:t>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3.3采购代理机构将在投标文件规定的时间通过政府采购云平台组织开标、开启投标文件，所有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均应准时在线参加。开标时间后30分钟内，</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可以登录政府采购云平台（www.zcygov.cn），用“项目采购-开标评标”功能进行解密投标文件。</w:t>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成功上传电子投标文件，若无法读取或在规定时间内无法解密或解密失败，采购代理机构方可调用以U盘介质存储的数据电文形式的备份电子投标文件（备份电子投标文件损坏、格式不符等致使异常情况处理失败的责任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自行承担），并对“备份电子投标文件”进行解密；若出现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上传的电子投标文件和备份电子投标文件均无法读取的情况，则该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作无效投标处理。</w:t>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3.5本项目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的备份电子投标文件不予退还。</w:t>
      </w:r>
    </w:p>
    <w:p>
      <w:pPr>
        <w:pStyle w:val="4"/>
        <w:pageBreakBefore w:val="0"/>
        <w:kinsoku/>
        <w:overflowPunct/>
        <w:topLinePunct w:val="0"/>
        <w:autoSpaceDE/>
        <w:autoSpaceDN/>
        <w:bidi w:val="0"/>
        <w:adjustRightIn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bookmarkEnd w:id="5"/>
      <w:bookmarkEnd w:id="6"/>
      <w:bookmarkEnd w:id="7"/>
      <w:bookmarkEnd w:id="8"/>
      <w:r>
        <w:rPr>
          <w:rFonts w:hint="eastAsia" w:ascii="宋体" w:hAnsi="宋体" w:eastAsia="宋体" w:cs="宋体"/>
          <w:color w:val="auto"/>
          <w:sz w:val="21"/>
          <w:szCs w:val="21"/>
          <w:highlight w:val="none"/>
        </w:rPr>
        <w:t>对本次采购提出询问、质疑、投诉，请按以下方式联系</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1、采购人名称：</w:t>
      </w:r>
      <w:r>
        <w:rPr>
          <w:rFonts w:hint="eastAsia" w:ascii="宋体" w:hAnsi="宋体" w:cs="宋体"/>
          <w:color w:val="auto"/>
          <w:kern w:val="0"/>
          <w:sz w:val="21"/>
          <w:szCs w:val="21"/>
          <w:highlight w:val="none"/>
          <w:lang w:val="en-US" w:eastAsia="zh-CN" w:bidi="ar-SA"/>
        </w:rPr>
        <w:t>宁波市江北区应急管理局</w:t>
      </w:r>
      <w:r>
        <w:rPr>
          <w:rFonts w:hint="eastAsia" w:ascii="宋体" w:hAnsi="宋体" w:eastAsia="宋体" w:cs="宋体"/>
          <w:color w:val="auto"/>
          <w:kern w:val="0"/>
          <w:sz w:val="21"/>
          <w:szCs w:val="21"/>
          <w:highlight w:val="none"/>
          <w:lang w:val="en-US" w:eastAsia="zh-CN" w:bidi="ar-SA"/>
        </w:rPr>
        <w:t xml:space="preserve">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项目联系人（询问）</w:t>
      </w:r>
      <w:r>
        <w:rPr>
          <w:rFonts w:hint="eastAsia" w:ascii="宋体" w:hAnsi="宋体" w:cs="宋体"/>
          <w:color w:val="auto"/>
          <w:kern w:val="0"/>
          <w:sz w:val="21"/>
          <w:szCs w:val="21"/>
          <w:highlight w:val="none"/>
          <w:lang w:val="en-US" w:eastAsia="zh-CN" w:bidi="ar-SA"/>
        </w:rPr>
        <w:t>：夏</w:t>
      </w:r>
      <w:r>
        <w:rPr>
          <w:rFonts w:hint="eastAsia" w:ascii="宋体" w:hAnsi="宋体" w:eastAsia="宋体" w:cs="宋体"/>
          <w:color w:val="auto"/>
          <w:kern w:val="0"/>
          <w:sz w:val="21"/>
          <w:szCs w:val="21"/>
          <w:highlight w:val="none"/>
          <w:lang w:val="en-US" w:eastAsia="zh-CN" w:bidi="ar-SA"/>
        </w:rPr>
        <w:t xml:space="preserve">老师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项目联系方式（询问）：0574-89388674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质疑联系人：</w:t>
      </w:r>
      <w:r>
        <w:rPr>
          <w:rFonts w:hint="eastAsia" w:ascii="宋体" w:hAnsi="宋体" w:cs="宋体"/>
          <w:color w:val="auto"/>
          <w:kern w:val="0"/>
          <w:sz w:val="21"/>
          <w:szCs w:val="21"/>
          <w:highlight w:val="none"/>
          <w:lang w:val="en-US" w:eastAsia="zh-CN" w:bidi="ar-SA"/>
        </w:rPr>
        <w:t>夏</w:t>
      </w:r>
      <w:r>
        <w:rPr>
          <w:rFonts w:hint="eastAsia" w:ascii="宋体" w:hAnsi="宋体" w:eastAsia="宋体" w:cs="宋体"/>
          <w:color w:val="auto"/>
          <w:kern w:val="0"/>
          <w:sz w:val="21"/>
          <w:szCs w:val="21"/>
          <w:highlight w:val="none"/>
          <w:lang w:val="en-US" w:eastAsia="zh-CN" w:bidi="ar-SA"/>
        </w:rPr>
        <w:t xml:space="preserve">老师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质疑联系方式：0574-89388674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联系地址：</w:t>
      </w:r>
      <w:r>
        <w:rPr>
          <w:rFonts w:hint="eastAsia" w:ascii="宋体" w:hAnsi="宋体" w:cs="宋体"/>
          <w:color w:val="auto"/>
          <w:kern w:val="0"/>
          <w:sz w:val="21"/>
          <w:szCs w:val="21"/>
          <w:highlight w:val="none"/>
          <w:lang w:val="en-US" w:eastAsia="zh-CN" w:bidi="ar-SA"/>
        </w:rPr>
        <w:t>宁波市江北区新马路183号</w:t>
      </w:r>
      <w:r>
        <w:rPr>
          <w:rFonts w:hint="eastAsia" w:ascii="宋体" w:hAnsi="宋体" w:eastAsia="宋体" w:cs="宋体"/>
          <w:color w:val="auto"/>
          <w:kern w:val="0"/>
          <w:sz w:val="21"/>
          <w:szCs w:val="21"/>
          <w:highlight w:val="none"/>
          <w:lang w:val="en-US" w:eastAsia="zh-CN" w:bidi="ar-SA"/>
        </w:rPr>
        <w:t xml:space="preserve">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2、采购代理机构信息：宁波市盛达工程管理咨询有限公司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地址：宁波市江北区唐虞路319号（创富商业中心） 5楼</w:t>
      </w:r>
    </w:p>
    <w:p>
      <w:pPr>
        <w:pStyle w:val="32"/>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项目联系人（询问）：蔡青青、郑梅英、吕玲卓、顾静芬、张琳玲           </w:t>
      </w:r>
    </w:p>
    <w:p>
      <w:pPr>
        <w:pStyle w:val="32"/>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项目联系方式（询问）：0574-87636525</w:t>
      </w:r>
    </w:p>
    <w:p>
      <w:pPr>
        <w:pStyle w:val="32"/>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质疑联系人：张琳玲           </w:t>
      </w:r>
    </w:p>
    <w:p>
      <w:pPr>
        <w:pStyle w:val="32"/>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质疑联系方式：0574-87636525</w:t>
      </w:r>
    </w:p>
    <w:p>
      <w:pPr>
        <w:pStyle w:val="32"/>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rPr>
      </w:pPr>
    </w:p>
    <w:p>
      <w:pPr>
        <w:pStyle w:val="32"/>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            </w:t>
      </w:r>
    </w:p>
    <w:p>
      <w:pPr>
        <w:pStyle w:val="32"/>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称：宁波市江北区财政局             </w:t>
      </w:r>
    </w:p>
    <w:p>
      <w:pPr>
        <w:pStyle w:val="32"/>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址：宁波市江北区大庆南路181号             </w:t>
      </w:r>
    </w:p>
    <w:p>
      <w:pPr>
        <w:pStyle w:val="32"/>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pPr>
        <w:pStyle w:val="32"/>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：张老师             </w:t>
      </w:r>
    </w:p>
    <w:p>
      <w:pPr>
        <w:pStyle w:val="32"/>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监督投诉电话：0574-87388098</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pPr>
        <w:pageBreakBefore w:val="0"/>
        <w:kinsoku/>
        <w:overflowPunct/>
        <w:topLinePunct w:val="0"/>
        <w:autoSpaceDE/>
        <w:autoSpaceDN/>
        <w:bidi w:val="0"/>
        <w:adjustRightInd/>
        <w:textAlignment w:val="auto"/>
        <w:rPr>
          <w:rStyle w:val="53"/>
          <w:rFonts w:hint="eastAsia"/>
          <w:b/>
          <w:bCs/>
          <w:color w:val="auto"/>
          <w:highlight w:val="none"/>
        </w:rPr>
      </w:pPr>
      <w:bookmarkStart w:id="9" w:name="_Toc31317"/>
      <w:r>
        <w:rPr>
          <w:rStyle w:val="53"/>
          <w:rFonts w:hint="eastAsia"/>
          <w:b/>
          <w:bCs/>
          <w:color w:val="auto"/>
          <w:highlight w:val="none"/>
        </w:rPr>
        <w:br w:type="page"/>
      </w:r>
    </w:p>
    <w:p>
      <w:pPr>
        <w:pStyle w:val="19"/>
        <w:snapToGrid w:val="0"/>
        <w:spacing w:before="120" w:after="120" w:line="440" w:lineRule="exact"/>
        <w:jc w:val="center"/>
        <w:outlineLvl w:val="0"/>
        <w:rPr>
          <w:rStyle w:val="53"/>
          <w:rFonts w:hint="eastAsia"/>
          <w:color w:val="auto"/>
          <w:highlight w:val="none"/>
        </w:rPr>
      </w:pPr>
      <w:r>
        <w:rPr>
          <w:rStyle w:val="53"/>
          <w:rFonts w:hint="eastAsia"/>
          <w:color w:val="auto"/>
          <w:highlight w:val="none"/>
        </w:rPr>
        <w:t>第二章  采购需求</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jc w:val="both"/>
        <w:textAlignment w:val="auto"/>
        <w:outlineLvl w:val="1"/>
        <w:rPr>
          <w:rFonts w:hint="eastAsia" w:ascii="宋体" w:hAnsi="宋体" w:eastAsia="宋体" w:cs="宋体"/>
          <w:b/>
          <w:bCs/>
          <w:color w:val="auto"/>
          <w:sz w:val="21"/>
          <w:szCs w:val="21"/>
          <w:highlight w:val="none"/>
          <w:lang w:val="en-US" w:eastAsia="zh-CN"/>
        </w:rPr>
      </w:pPr>
      <w:bookmarkStart w:id="10" w:name="_Toc1110"/>
      <w:bookmarkStart w:id="11" w:name="_Toc29529"/>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lang w:val="en-US" w:eastAsia="zh-CN"/>
        </w:rPr>
        <w:t>项目概况</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为进一步完善安全风险分级管控与隐患排查治理双重预防工作机制，紧紧围绕遏制较大及以上生产安全事故发生为主线，加大企业安全生产监管力度，提升专业监管水平，采购人通过公开</w:t>
      </w:r>
      <w:r>
        <w:rPr>
          <w:rFonts w:hint="eastAsia" w:ascii="宋体" w:hAnsi="宋体" w:eastAsia="宋体" w:cs="宋体"/>
          <w:color w:val="auto"/>
          <w:sz w:val="21"/>
          <w:szCs w:val="21"/>
          <w:highlight w:val="none"/>
          <w:lang w:val="en-US" w:eastAsia="zh-CN"/>
        </w:rPr>
        <w:t>采购的方式</w:t>
      </w:r>
      <w:r>
        <w:rPr>
          <w:rFonts w:hint="eastAsia" w:ascii="宋体" w:hAnsi="宋体" w:eastAsia="宋体" w:cs="宋体"/>
          <w:color w:val="auto"/>
          <w:sz w:val="21"/>
          <w:szCs w:val="21"/>
          <w:highlight w:val="none"/>
          <w:lang w:eastAsia="zh-CN"/>
        </w:rPr>
        <w:t>选定4家中标单位，对全区划分的4个片区内生产经营单位开展安全生产社会化协作服务检查，每个中标单位负责1个片区。</w:t>
      </w:r>
    </w:p>
    <w:p>
      <w:pPr>
        <w:pStyle w:val="9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2" w:firstLineChars="200"/>
        <w:jc w:val="both"/>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eastAsia="宋体" w:cs="宋体"/>
          <w:b/>
          <w:bCs/>
          <w:color w:val="auto"/>
          <w:sz w:val="21"/>
          <w:szCs w:val="21"/>
          <w:highlight w:val="none"/>
          <w:lang w:val="en-US" w:eastAsia="zh-CN"/>
        </w:rPr>
        <w:t>本项目最高限价</w:t>
      </w:r>
    </w:p>
    <w:p>
      <w:pPr>
        <w:pStyle w:val="9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每个片区最高限价均为人民币50万元/年（含绩效考核奖励资金4万元和</w:t>
      </w:r>
      <w:r>
        <w:rPr>
          <w:rFonts w:hint="eastAsia" w:ascii="宋体" w:hAnsi="宋体" w:cs="宋体"/>
          <w:color w:val="auto"/>
          <w:sz w:val="21"/>
          <w:szCs w:val="21"/>
          <w:highlight w:val="none"/>
          <w:lang w:val="en-US" w:eastAsia="zh-CN"/>
        </w:rPr>
        <w:t>工矿企业</w:t>
      </w:r>
      <w:r>
        <w:rPr>
          <w:rFonts w:hint="eastAsia" w:ascii="宋体" w:hAnsi="宋体" w:eastAsia="宋体" w:cs="宋体"/>
          <w:color w:val="auto"/>
          <w:sz w:val="21"/>
          <w:szCs w:val="21"/>
          <w:highlight w:val="none"/>
          <w:lang w:val="en-US" w:eastAsia="zh-CN"/>
        </w:rPr>
        <w:t>事故遏制奖励资金3万元）</w:t>
      </w:r>
      <w:r>
        <w:rPr>
          <w:rFonts w:hint="eastAsia" w:ascii="宋体" w:hAnsi="宋体" w:eastAsia="宋体" w:cs="宋体"/>
          <w:color w:val="auto"/>
          <w:sz w:val="21"/>
          <w:szCs w:val="21"/>
          <w:highlight w:val="none"/>
          <w:lang w:eastAsia="zh-CN"/>
        </w:rPr>
        <w:t>，超过</w:t>
      </w:r>
      <w:r>
        <w:rPr>
          <w:rFonts w:hint="eastAsia" w:ascii="宋体" w:hAnsi="宋体" w:eastAsia="宋体" w:cs="宋体"/>
          <w:color w:val="auto"/>
          <w:sz w:val="21"/>
          <w:szCs w:val="21"/>
          <w:highlight w:val="none"/>
          <w:lang w:val="en-US" w:eastAsia="zh-CN"/>
        </w:rPr>
        <w:t>最高限价的投标报价作无效标处理</w:t>
      </w:r>
      <w:r>
        <w:rPr>
          <w:rFonts w:hint="eastAsia" w:ascii="宋体" w:hAnsi="宋体" w:eastAsia="宋体" w:cs="宋体"/>
          <w:color w:val="auto"/>
          <w:sz w:val="21"/>
          <w:szCs w:val="21"/>
          <w:highlight w:val="none"/>
          <w:lang w:eastAsia="zh-CN"/>
        </w:rPr>
        <w:t>。</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2" w:firstLineChars="200"/>
        <w:jc w:val="both"/>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2.服务期限</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自合同签订之日起两年，合同一年一签，采购人根据中标人在上一阶段合同履约及财政资金审批等情况决定是否续签。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jc w:val="both"/>
        <w:textAlignment w:val="auto"/>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、服务</w:t>
      </w:r>
      <w:r>
        <w:rPr>
          <w:rFonts w:hint="eastAsia" w:ascii="宋体" w:hAnsi="宋体" w:eastAsia="宋体" w:cs="宋体"/>
          <w:b/>
          <w:bCs/>
          <w:color w:val="auto"/>
          <w:sz w:val="21"/>
          <w:szCs w:val="21"/>
          <w:highlight w:val="none"/>
          <w:lang w:val="en-US" w:eastAsia="zh-CN"/>
        </w:rPr>
        <w:t>范围及</w:t>
      </w:r>
      <w:r>
        <w:rPr>
          <w:rFonts w:hint="eastAsia" w:ascii="宋体" w:hAnsi="宋体" w:eastAsia="宋体" w:cs="宋体"/>
          <w:b/>
          <w:bCs/>
          <w:color w:val="auto"/>
          <w:sz w:val="21"/>
          <w:szCs w:val="21"/>
          <w:highlight w:val="none"/>
          <w:lang w:eastAsia="zh-CN"/>
        </w:rPr>
        <w:t>需求</w:t>
      </w:r>
      <w:bookmarkEnd w:id="1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（一）检查范围</w:t>
      </w:r>
    </w:p>
    <w:p>
      <w:pPr>
        <w:keepNext w:val="0"/>
        <w:keepLines w:val="0"/>
        <w:pageBreakBefore w:val="0"/>
        <w:widowControl w:val="0"/>
        <w:kinsoku/>
        <w:wordWrap/>
        <w:overflowPunct/>
        <w:topLinePunct w:val="0"/>
        <w:bidi w:val="0"/>
        <w:adjustRightInd/>
        <w:snapToGrid w:val="0"/>
        <w:spacing w:line="360" w:lineRule="auto"/>
        <w:ind w:left="0" w:leftChars="0" w:firstLine="468" w:firstLineChars="223"/>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江北区</w:t>
      </w:r>
      <w:r>
        <w:rPr>
          <w:rFonts w:hint="eastAsia" w:ascii="宋体" w:hAnsi="宋体" w:eastAsia="宋体" w:cs="宋体"/>
          <w:color w:val="auto"/>
          <w:sz w:val="21"/>
          <w:szCs w:val="21"/>
          <w:highlight w:val="none"/>
        </w:rPr>
        <w:t>冶金、有色、建材、机械、轻工、纺织、危险化学品等生产经营单位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暂定片区划分：</w:t>
      </w:r>
    </w:p>
    <w:p>
      <w:pPr>
        <w:keepNext w:val="0"/>
        <w:keepLines w:val="0"/>
        <w:pageBreakBefore w:val="0"/>
        <w:widowControl w:val="0"/>
        <w:kinsoku/>
        <w:wordWrap/>
        <w:overflowPunct/>
        <w:topLinePunct w:val="0"/>
        <w:bidi w:val="0"/>
        <w:adjustRightInd/>
        <w:snapToGrid w:val="0"/>
        <w:spacing w:line="360" w:lineRule="auto"/>
        <w:ind w:left="0" w:leftChars="0" w:firstLine="468" w:firstLineChars="223"/>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片区一：慈城镇；</w:t>
      </w:r>
    </w:p>
    <w:p>
      <w:pPr>
        <w:keepNext w:val="0"/>
        <w:keepLines w:val="0"/>
        <w:pageBreakBefore w:val="0"/>
        <w:widowControl w:val="0"/>
        <w:kinsoku/>
        <w:wordWrap/>
        <w:overflowPunct/>
        <w:topLinePunct w:val="0"/>
        <w:bidi w:val="0"/>
        <w:adjustRightInd/>
        <w:snapToGrid w:val="0"/>
        <w:spacing w:line="360" w:lineRule="auto"/>
        <w:ind w:left="0" w:leftChars="0" w:firstLine="468" w:firstLineChars="223"/>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片区二：孔浦街道、甬江街道</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城区街道；</w:t>
      </w:r>
    </w:p>
    <w:p>
      <w:pPr>
        <w:keepNext w:val="0"/>
        <w:keepLines w:val="0"/>
        <w:pageBreakBefore w:val="0"/>
        <w:widowControl w:val="0"/>
        <w:kinsoku/>
        <w:wordWrap/>
        <w:overflowPunct/>
        <w:topLinePunct w:val="0"/>
        <w:bidi w:val="0"/>
        <w:adjustRightInd/>
        <w:snapToGrid w:val="0"/>
        <w:spacing w:line="360" w:lineRule="auto"/>
        <w:ind w:left="0" w:leftChars="0" w:firstLine="468" w:firstLineChars="223"/>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片区三：洪塘街道</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新兴产业服务中心；</w:t>
      </w:r>
    </w:p>
    <w:p>
      <w:pPr>
        <w:keepNext w:val="0"/>
        <w:keepLines w:val="0"/>
        <w:pageBreakBefore w:val="0"/>
        <w:widowControl w:val="0"/>
        <w:kinsoku/>
        <w:wordWrap/>
        <w:overflowPunct/>
        <w:topLinePunct w:val="0"/>
        <w:bidi w:val="0"/>
        <w:adjustRightInd/>
        <w:snapToGrid w:val="0"/>
        <w:spacing w:line="360" w:lineRule="auto"/>
        <w:ind w:left="0" w:leftChars="0" w:firstLine="468" w:firstLineChars="223"/>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片区四：庄桥街道、前江街道；</w:t>
      </w:r>
    </w:p>
    <w:p>
      <w:pPr>
        <w:keepNext w:val="0"/>
        <w:keepLines w:val="0"/>
        <w:pageBreakBefore w:val="0"/>
        <w:widowControl w:val="0"/>
        <w:kinsoku/>
        <w:wordWrap/>
        <w:overflowPunct/>
        <w:topLinePunct w:val="0"/>
        <w:bidi w:val="0"/>
        <w:adjustRightInd/>
        <w:snapToGrid w:val="0"/>
        <w:spacing w:line="360" w:lineRule="auto"/>
        <w:ind w:left="0" w:leftChars="0" w:firstLine="468" w:firstLineChars="223"/>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以上具体检查范围的划分最终以采购人分派的范围为准。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（二）检查的主要内容</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1、每90天对片区内所有生产经营单位服务检查一次，主要是安全生产责任制、安全教育培训、现场事故隐患等安全生产管理情况；</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2、协助区应急管理局开展各类安全生产专项治理工作；</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3、协助区应急管理局核查生产经营单位提交、报送的相关资料；</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4、指导帮助生产经营单位熟练使用“浙江省工业企业在线”等数字化系统，线上完成企业自查、隐患整改、常普常新等工作。对数字化系统中存在重大信息变更的企业进行现场核验。</w:t>
      </w:r>
    </w:p>
    <w:p>
      <w:pPr>
        <w:pStyle w:val="98"/>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2"/>
        <w:rPr>
          <w:rStyle w:val="53"/>
          <w:rFonts w:hint="eastAsia" w:ascii="宋体" w:hAnsi="宋体" w:eastAsia="宋体" w:cs="宋体"/>
          <w:b/>
          <w:bCs/>
          <w:color w:val="auto"/>
          <w:sz w:val="21"/>
          <w:szCs w:val="21"/>
          <w:highlight w:val="none"/>
          <w:lang w:val="en-US" w:eastAsia="zh-CN" w:bidi="ar-SA"/>
        </w:rPr>
      </w:pPr>
      <w:r>
        <w:rPr>
          <w:rStyle w:val="53"/>
          <w:rFonts w:hint="eastAsia" w:ascii="宋体" w:hAnsi="宋体" w:eastAsia="宋体" w:cs="宋体"/>
          <w:b/>
          <w:bCs/>
          <w:color w:val="auto"/>
          <w:sz w:val="21"/>
          <w:szCs w:val="21"/>
          <w:highlight w:val="none"/>
          <w:lang w:val="en-US" w:eastAsia="zh-CN" w:bidi="ar-SA"/>
        </w:rPr>
        <w:t>（三）工作方式</w:t>
      </w:r>
    </w:p>
    <w:p>
      <w:pPr>
        <w:pStyle w:val="9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color w:val="auto"/>
          <w:sz w:val="21"/>
          <w:szCs w:val="21"/>
          <w:highlight w:val="none"/>
        </w:rPr>
        <w:t>▲</w:t>
      </w:r>
      <w:r>
        <w:rPr>
          <w:rStyle w:val="53"/>
          <w:rFonts w:hint="eastAsia" w:ascii="宋体" w:hAnsi="宋体" w:eastAsia="宋体" w:cs="宋体"/>
          <w:b w:val="0"/>
          <w:bCs w:val="0"/>
          <w:color w:val="auto"/>
          <w:sz w:val="21"/>
          <w:szCs w:val="21"/>
          <w:highlight w:val="none"/>
          <w:lang w:val="en-US" w:eastAsia="zh-CN" w:bidi="ar-SA"/>
        </w:rPr>
        <w:t>1、中标后，采购人组织面试并优选3名专业技术人员组成协作检查人员（以下简称技术检查员）。各片区中标单位应派遣不少于6名具有中级工程师及以上职称（包括但不限于中级及以上注册安全工程师、一级注册消防工程师、二级及以上安全评价师等）。其中：</w:t>
      </w:r>
    </w:p>
    <w:p>
      <w:pPr>
        <w:pStyle w:val="9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（1）参加面试的人员至少包括2名其他安全专业注册安全工程师、1名化工安全专业注册安全工程师（或化工工程技术类工程师）职称。</w:t>
      </w:r>
    </w:p>
    <w:p>
      <w:pPr>
        <w:pStyle w:val="9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2）参加面试的人员至少应具备5年以上从事安全生产工作经历，年龄不超过55周岁（具有10年以上同类工作经验的，可放宽至60周岁），责任心强，有一定文字功底，职业道德良好，业务能力符合服务需求，若中标单位派遣参加面试的人员不符合规定条件，则取消中标资格。</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（3）参加面试人员必须在本次投标的“拟投入本项目服务人员配备情况表”中，否则不予参加面试。</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color w:val="auto"/>
          <w:sz w:val="21"/>
          <w:szCs w:val="21"/>
          <w:highlight w:val="none"/>
        </w:rPr>
        <w:t>▲</w:t>
      </w:r>
      <w:r>
        <w:rPr>
          <w:rStyle w:val="53"/>
          <w:rFonts w:hint="eastAsia" w:ascii="宋体" w:hAnsi="宋体" w:cs="宋体"/>
          <w:b w:val="0"/>
          <w:bCs w:val="0"/>
          <w:color w:val="auto"/>
          <w:sz w:val="21"/>
          <w:szCs w:val="21"/>
          <w:highlight w:val="none"/>
          <w:lang w:val="en-US" w:eastAsia="zh-CN" w:bidi="ar-SA"/>
        </w:rPr>
        <w:t>2</w:t>
      </w:r>
      <w:r>
        <w:rPr>
          <w:rStyle w:val="53"/>
          <w:rFonts w:hint="eastAsia" w:ascii="宋体" w:hAnsi="宋体" w:eastAsia="宋体" w:cs="宋体"/>
          <w:b w:val="0"/>
          <w:bCs w:val="0"/>
          <w:color w:val="auto"/>
          <w:sz w:val="21"/>
          <w:szCs w:val="21"/>
          <w:highlight w:val="none"/>
          <w:lang w:val="en-US" w:eastAsia="zh-CN" w:bidi="ar-SA"/>
        </w:rPr>
        <w:t>、技术检查员工作时间及办公场所由各片区应急管理所协调安排，各片区应急管理所对各片区的技术检查员日常工作进行管理，在全区范围专项整治期间和其他特殊期间由区应急管理局统一协调管理。</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color w:val="auto"/>
          <w:sz w:val="21"/>
          <w:szCs w:val="21"/>
          <w:highlight w:val="none"/>
        </w:rPr>
        <w:t>▲</w:t>
      </w:r>
      <w:r>
        <w:rPr>
          <w:rStyle w:val="53"/>
          <w:rFonts w:hint="eastAsia" w:ascii="宋体" w:hAnsi="宋体" w:cs="宋体"/>
          <w:b w:val="0"/>
          <w:bCs w:val="0"/>
          <w:color w:val="auto"/>
          <w:sz w:val="21"/>
          <w:szCs w:val="21"/>
          <w:highlight w:val="none"/>
          <w:lang w:val="en-US" w:eastAsia="zh-CN" w:bidi="ar-SA"/>
        </w:rPr>
        <w:t>3</w:t>
      </w:r>
      <w:r>
        <w:rPr>
          <w:rStyle w:val="53"/>
          <w:rFonts w:hint="eastAsia" w:ascii="宋体" w:hAnsi="宋体" w:eastAsia="宋体" w:cs="宋体"/>
          <w:b w:val="0"/>
          <w:bCs w:val="0"/>
          <w:color w:val="auto"/>
          <w:sz w:val="21"/>
          <w:szCs w:val="21"/>
          <w:highlight w:val="none"/>
          <w:lang w:val="en-US" w:eastAsia="zh-CN" w:bidi="ar-SA"/>
        </w:rPr>
        <w:t>、中标单位应为技术检查员配备必要的车辆、办公和检查装备。</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cs="宋体"/>
          <w:b w:val="0"/>
          <w:bCs w:val="0"/>
          <w:color w:val="auto"/>
          <w:sz w:val="21"/>
          <w:szCs w:val="21"/>
          <w:highlight w:val="none"/>
          <w:lang w:val="en-US" w:eastAsia="zh-CN" w:bidi="ar-SA"/>
        </w:rPr>
        <w:t>4</w:t>
      </w:r>
      <w:r>
        <w:rPr>
          <w:rStyle w:val="53"/>
          <w:rFonts w:hint="eastAsia" w:ascii="宋体" w:hAnsi="宋体" w:eastAsia="宋体" w:cs="宋体"/>
          <w:b w:val="0"/>
          <w:bCs w:val="0"/>
          <w:color w:val="auto"/>
          <w:sz w:val="21"/>
          <w:szCs w:val="21"/>
          <w:highlight w:val="none"/>
          <w:lang w:val="en-US" w:eastAsia="zh-CN" w:bidi="ar-SA"/>
        </w:rPr>
        <w:t>、技术检查员对片区内的生产经营单位按服务需求开展协作服务检查工作，对检查发现的隐患,要指导企业按时整改闭环，并将相关信息录入系统，确保系统各项指标达到考核要求。</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cs="宋体"/>
          <w:b w:val="0"/>
          <w:bCs w:val="0"/>
          <w:color w:val="auto"/>
          <w:sz w:val="21"/>
          <w:szCs w:val="21"/>
          <w:highlight w:val="none"/>
          <w:lang w:val="en-US" w:eastAsia="zh-CN" w:bidi="ar-SA"/>
        </w:rPr>
        <w:t>5</w:t>
      </w:r>
      <w:r>
        <w:rPr>
          <w:rStyle w:val="53"/>
          <w:rFonts w:hint="eastAsia" w:ascii="宋体" w:hAnsi="宋体" w:eastAsia="宋体" w:cs="宋体"/>
          <w:b w:val="0"/>
          <w:bCs w:val="0"/>
          <w:color w:val="auto"/>
          <w:sz w:val="21"/>
          <w:szCs w:val="21"/>
          <w:highlight w:val="none"/>
          <w:lang w:val="en-US" w:eastAsia="zh-CN" w:bidi="ar-SA"/>
        </w:rPr>
        <w:t>、采购人组织对检查文书、检查内容、技术检查员行为规范等进行督查或抽查，确保协作服务检查质量。</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cs="宋体"/>
          <w:b w:val="0"/>
          <w:bCs w:val="0"/>
          <w:color w:val="auto"/>
          <w:sz w:val="21"/>
          <w:szCs w:val="21"/>
          <w:highlight w:val="none"/>
          <w:lang w:val="en-US" w:eastAsia="zh-CN" w:bidi="ar-SA"/>
        </w:rPr>
        <w:t>6</w:t>
      </w:r>
      <w:r>
        <w:rPr>
          <w:rStyle w:val="53"/>
          <w:rFonts w:hint="eastAsia" w:ascii="宋体" w:hAnsi="宋体" w:eastAsia="宋体" w:cs="宋体"/>
          <w:b w:val="0"/>
          <w:bCs w:val="0"/>
          <w:color w:val="auto"/>
          <w:sz w:val="21"/>
          <w:szCs w:val="21"/>
          <w:highlight w:val="none"/>
          <w:lang w:val="en-US" w:eastAsia="zh-CN" w:bidi="ar-SA"/>
        </w:rPr>
        <w:t>、技术检查员根据采购人要求，应能保证一年不超过24天的加班。</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cs="宋体"/>
          <w:b w:val="0"/>
          <w:bCs w:val="0"/>
          <w:color w:val="auto"/>
          <w:sz w:val="21"/>
          <w:szCs w:val="21"/>
          <w:highlight w:val="none"/>
          <w:lang w:val="en-US" w:eastAsia="zh-CN" w:bidi="ar-SA"/>
        </w:rPr>
        <w:t>7</w:t>
      </w:r>
      <w:r>
        <w:rPr>
          <w:rStyle w:val="53"/>
          <w:rFonts w:hint="eastAsia" w:ascii="宋体" w:hAnsi="宋体" w:eastAsia="宋体" w:cs="宋体"/>
          <w:b w:val="0"/>
          <w:bCs w:val="0"/>
          <w:color w:val="auto"/>
          <w:sz w:val="21"/>
          <w:szCs w:val="21"/>
          <w:highlight w:val="none"/>
          <w:lang w:val="en-US" w:eastAsia="zh-CN" w:bidi="ar-SA"/>
        </w:rPr>
        <w:t>、采购人临时需要中标单位提供专业技术力量协助时，中标单位应能保证一年不少于3次协助。</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cs="宋体"/>
          <w:b w:val="0"/>
          <w:bCs w:val="0"/>
          <w:color w:val="auto"/>
          <w:sz w:val="21"/>
          <w:szCs w:val="21"/>
          <w:highlight w:val="none"/>
          <w:lang w:val="en-US" w:eastAsia="zh-CN" w:bidi="ar-SA"/>
        </w:rPr>
        <w:t>8</w:t>
      </w:r>
      <w:r>
        <w:rPr>
          <w:rStyle w:val="53"/>
          <w:rFonts w:hint="eastAsia" w:ascii="宋体" w:hAnsi="宋体" w:eastAsia="宋体" w:cs="宋体"/>
          <w:b w:val="0"/>
          <w:bCs w:val="0"/>
          <w:color w:val="auto"/>
          <w:sz w:val="21"/>
          <w:szCs w:val="21"/>
          <w:highlight w:val="none"/>
          <w:lang w:val="en-US" w:eastAsia="zh-CN" w:bidi="ar-SA"/>
        </w:rPr>
        <w:t>、中标单位技术检查员每月向采购人上报月度工作总结，中标单位每年向采购人上报服务绩效自评报告。</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cs="宋体"/>
          <w:b w:val="0"/>
          <w:bCs w:val="0"/>
          <w:color w:val="auto"/>
          <w:sz w:val="21"/>
          <w:szCs w:val="21"/>
          <w:highlight w:val="none"/>
          <w:lang w:val="en-US" w:eastAsia="zh-CN" w:bidi="ar-SA"/>
        </w:rPr>
        <w:t>9</w:t>
      </w:r>
      <w:r>
        <w:rPr>
          <w:rStyle w:val="53"/>
          <w:rFonts w:hint="eastAsia" w:ascii="宋体" w:hAnsi="宋体" w:eastAsia="宋体" w:cs="宋体"/>
          <w:b w:val="0"/>
          <w:bCs w:val="0"/>
          <w:color w:val="auto"/>
          <w:sz w:val="21"/>
          <w:szCs w:val="21"/>
          <w:highlight w:val="none"/>
          <w:lang w:val="en-US" w:eastAsia="zh-CN" w:bidi="ar-SA"/>
        </w:rPr>
        <w:t>、技术检查员应服从采购人安排的其他涉及安全生产的工作。</w:t>
      </w:r>
    </w:p>
    <w:p>
      <w:pPr>
        <w:pStyle w:val="98"/>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2"/>
        <w:rPr>
          <w:rStyle w:val="53"/>
          <w:rFonts w:hint="eastAsia" w:ascii="宋体" w:hAnsi="宋体" w:eastAsia="宋体" w:cs="宋体"/>
          <w:b/>
          <w:bCs/>
          <w:color w:val="auto"/>
          <w:sz w:val="21"/>
          <w:szCs w:val="21"/>
          <w:highlight w:val="none"/>
          <w:lang w:val="en-US" w:eastAsia="zh-CN" w:bidi="ar-SA"/>
        </w:rPr>
      </w:pPr>
      <w:r>
        <w:rPr>
          <w:rStyle w:val="53"/>
          <w:rFonts w:hint="eastAsia" w:ascii="宋体" w:hAnsi="宋体" w:eastAsia="宋体" w:cs="宋体"/>
          <w:b/>
          <w:bCs/>
          <w:color w:val="auto"/>
          <w:sz w:val="21"/>
          <w:szCs w:val="21"/>
          <w:highlight w:val="none"/>
          <w:lang w:val="en-US" w:eastAsia="zh-CN" w:bidi="ar-SA"/>
        </w:rPr>
        <w:t>（四）中标单位应当遵循下列行为规范</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1、中标单位及所派的技术检查员应遵守国家相关法律法规，严守《宁波市安全生产社会化服务机构管理办法》与协作服务检查工作纪律和制度，做到公开、公平、公正地实施检查，确保检查质量。严禁从事与检查无关事项。严禁利用协作检查服务，向被检查对象变相推销、承接相关有偿服务，以及其他借用公职行为的违纪违规情形，与被检查对象存在利害关系的，应当回避。</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2、中标单位及所派的技术检查员要加强自身业务水平，不断提高职业素养和专业水平，保证检查结果正确性。</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3、工作资料、现场勘查记录、影像资料等相关材料，技术检查员应及时归档，并遵守保密要求。</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4、技术检查员在检查中发现以下情况应及时向采购人报告：</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1）被检查单位存在重大事故隐患的；</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2）协作服务检查中存在较大争议问题的；</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3）其他认为有必要报告的事项。</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5、采购人对中标单位实施绩效考核，按《安全生产社会化服务绩效考核表》（见附件二）执行。</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6、中标单位及技术检查员有下列情况之一的，采购人将采取责令中标单位更换技术检查员或者与中标单位终止合同等措施。</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1）违反国家法律法规、不服从工作纪律和工作制度，利用协作服务检查行为向被检查对象“吃、拿、卡、要”，变相推销、承接有偿服务等违纪违规行为；</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2）检查中发现有重大事故隐患未及时报告，造成亡人生产安全事故的；</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3）协作服务检查中经核实存在有损采购人形象、弄虚作假、职业道德不良等行为；</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4）无正当理由未按时完成采购人安排的协作服务检查任务；</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5）技术检查员业务能力明显不符合协作检查服务需求的；</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6）有其它严重违规行为的。</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7、中标单位更换技术检查员时，须向采购人提出书面申请，经采购人审核批准后方可更换技术检查员。</w:t>
      </w:r>
    </w:p>
    <w:p>
      <w:pPr>
        <w:pStyle w:val="98"/>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2"/>
        <w:rPr>
          <w:rStyle w:val="53"/>
          <w:rFonts w:hint="eastAsia" w:ascii="宋体" w:hAnsi="宋体" w:eastAsia="宋体" w:cs="宋体"/>
          <w:b/>
          <w:bCs/>
          <w:color w:val="auto"/>
          <w:sz w:val="21"/>
          <w:szCs w:val="21"/>
          <w:highlight w:val="none"/>
          <w:lang w:val="en-US" w:eastAsia="zh-CN" w:bidi="ar-SA"/>
        </w:rPr>
      </w:pPr>
      <w:r>
        <w:rPr>
          <w:rStyle w:val="53"/>
          <w:rFonts w:hint="eastAsia" w:ascii="宋体" w:hAnsi="宋体" w:eastAsia="宋体" w:cs="宋体"/>
          <w:b/>
          <w:bCs/>
          <w:color w:val="auto"/>
          <w:sz w:val="21"/>
          <w:szCs w:val="21"/>
          <w:highlight w:val="none"/>
          <w:lang w:val="en-US" w:eastAsia="zh-CN" w:bidi="ar-SA"/>
        </w:rPr>
        <w:t>（五）商务要求</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1、中标单位履约期限二年，采购人与中标单位《采购合同》一年一签，合同开始履行时间以合同约定时间为准。采购人根据中标单位在上一阶段合同履约及财政资金审批等情况决定是否续签。</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2、合同款和奖励金支付方式：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（1）合同款支付方式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每季度支付一次，每季度支付额度=【签约合同价-7万元（绩效考核奖励资金4万元和工矿企业事故遏制奖励资金3万元）】÷4，在每季度最后一月第四周支付该季度费用。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（2）奖励金支付方式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每个标项设置7万元</w:t>
      </w:r>
      <w:r>
        <w:rPr>
          <w:rFonts w:hint="eastAsia" w:ascii="宋体" w:hAnsi="宋体" w:cs="宋体"/>
          <w:color w:val="auto"/>
          <w:highlight w:val="none"/>
          <w:lang w:val="en-US" w:eastAsia="zh-CN"/>
        </w:rPr>
        <w:t>奖励金</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其中</w:t>
      </w:r>
      <w:r>
        <w:rPr>
          <w:rFonts w:hint="eastAsia" w:ascii="宋体" w:hAnsi="宋体" w:eastAsia="宋体" w:cs="宋体"/>
          <w:color w:val="auto"/>
          <w:highlight w:val="none"/>
        </w:rPr>
        <w:t>绩效考核奖励资金4万元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工矿企业事故遏制奖励资金3万元</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并按以下标准进行考核、支付</w:t>
      </w:r>
      <w:r>
        <w:rPr>
          <w:rFonts w:hint="eastAsia" w:ascii="宋体" w:hAnsi="宋体" w:cs="宋体"/>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绩效考核奖励资金4万元，由采购人在合同结束后的十五个工作日内对各履约单位进行考核，绩效考核总分为150分，考核</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支付</w:t>
      </w:r>
      <w:r>
        <w:rPr>
          <w:rFonts w:hint="eastAsia" w:ascii="宋体" w:hAnsi="宋体" w:eastAsia="宋体" w:cs="宋体"/>
          <w:color w:val="auto"/>
          <w:highlight w:val="none"/>
        </w:rPr>
        <w:t>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①绩效考核得分≥130分的，采购人给予全额支付绩效考核奖励资金；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②绩效考核得分大于110分小于130分的，绩效考核奖励资金按4万元【1-（130-绩效考核分数）*5%】计算；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③绩效考核得分小于等于110分的，不予发放绩效考核奖励资金。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2）在合同执行期间，</w:t>
      </w:r>
      <w:r>
        <w:rPr>
          <w:rFonts w:hint="eastAsia" w:ascii="宋体" w:hAnsi="宋体" w:eastAsia="宋体" w:cs="宋体"/>
          <w:color w:val="auto"/>
          <w:highlight w:val="none"/>
        </w:rPr>
        <w:t>采购人或相关政府单位在进行检查、暗查暗访、专项督查等检查中发现企业存在重大事故隐患，经采购人评估后，属于技术检查员检查中应当发现但未发现，或发现后未报告采购人的，每1条重大事故隐患扣除该片区绩效考核奖励资金2000元；被上级隐患排查通报的，每1条重大事故隐患扣除该片区绩效考核奖励资金5000元，至</w:t>
      </w:r>
      <w:r>
        <w:rPr>
          <w:rFonts w:hint="eastAsia" w:ascii="宋体" w:hAnsi="宋体" w:eastAsia="宋体" w:cs="宋体"/>
          <w:color w:val="auto"/>
          <w:highlight w:val="none"/>
          <w:lang w:val="en-US" w:eastAsia="zh-CN"/>
        </w:rPr>
        <w:t>该片区</w:t>
      </w:r>
      <w:r>
        <w:rPr>
          <w:rFonts w:hint="eastAsia" w:ascii="宋体" w:hAnsi="宋体" w:eastAsia="宋体" w:cs="宋体"/>
          <w:color w:val="auto"/>
          <w:highlight w:val="none"/>
        </w:rPr>
        <w:t>绩效考核奖励资金扣完为止。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工矿企业事故遏制奖励资金3万元</w:t>
      </w:r>
      <w:r>
        <w:rPr>
          <w:rFonts w:hint="eastAsia" w:ascii="宋体" w:hAnsi="宋体" w:eastAsia="宋体" w:cs="宋体"/>
          <w:color w:val="auto"/>
          <w:highlight w:val="none"/>
          <w:lang w:val="en-US" w:eastAsia="zh-CN"/>
        </w:rPr>
        <w:t>按以下标准进行考核、支付：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①在合同执行期间，中标单位所在片区</w:t>
      </w:r>
      <w:r>
        <w:rPr>
          <w:rFonts w:hint="eastAsia" w:ascii="宋体" w:hAnsi="宋体" w:eastAsia="宋体" w:cs="宋体"/>
          <w:color w:val="auto"/>
          <w:highlight w:val="none"/>
        </w:rPr>
        <w:t>未发生工贸企业生产安全责任亡人事故的，</w:t>
      </w:r>
      <w:r>
        <w:rPr>
          <w:rFonts w:hint="eastAsia" w:ascii="宋体" w:hAnsi="宋体" w:eastAsia="宋体" w:cs="宋体"/>
          <w:color w:val="auto"/>
          <w:highlight w:val="none"/>
          <w:lang w:val="en-US" w:eastAsia="zh-CN"/>
        </w:rPr>
        <w:t>视为考核合格，采购人将全额支付该片区</w:t>
      </w:r>
      <w:r>
        <w:rPr>
          <w:rFonts w:hint="eastAsia" w:ascii="宋体" w:hAnsi="宋体" w:eastAsia="宋体" w:cs="宋体"/>
          <w:color w:val="auto"/>
          <w:highlight w:val="none"/>
        </w:rPr>
        <w:t>工矿企业事故遏制奖励资金3万元</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②在合同执行期间，中标单位所在片区</w:t>
      </w:r>
      <w:r>
        <w:rPr>
          <w:rFonts w:hint="eastAsia" w:ascii="宋体" w:hAnsi="宋体" w:eastAsia="宋体" w:cs="宋体"/>
          <w:color w:val="auto"/>
          <w:highlight w:val="none"/>
        </w:rPr>
        <w:t>发生工贸企业生产安全责任亡人事故的，每死亡1人，扣除该片区服务中标单位工矿企业事故遏制奖励资金1万元，至本项奖励资金扣完为止</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以上款项每次付款前中标单位应提供符合采购人要求的相应金额发票，否则采购人有权拒绝支付；如中标单位迟延提供符合要求的发票的，采购人付款时间相应顺延。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因中标单位单方面原因导致提前终止合同的，采购人不予支付该季度的合同价款，不予发放绩效考核奖励资金和工矿企业事故遏制奖励资金，中标单位需另外支付违约金，违约金为一季度的合同价款。</w:t>
      </w:r>
    </w:p>
    <w:p>
      <w:pPr>
        <w:keepNext w:val="0"/>
        <w:keepLines w:val="0"/>
        <w:pageBreakBefore w:val="0"/>
        <w:widowControl w:val="0"/>
        <w:kinsoku/>
        <w:wordWrap/>
        <w:overflowPunct/>
        <w:topLinePunct w:val="0"/>
        <w:autoSpaceDE/>
        <w:autoSpaceDN/>
        <w:bidi w:val="0"/>
        <w:adjustRightInd/>
        <w:snapToGrid/>
        <w:textAlignment w:val="auto"/>
        <w:outlineLvl w:val="2"/>
        <w:rPr>
          <w:rStyle w:val="53"/>
          <w:rFonts w:hint="eastAsia" w:ascii="宋体" w:hAnsi="宋体" w:eastAsia="宋体" w:cs="宋体"/>
          <w:b w:val="0"/>
          <w:bCs w:val="0"/>
          <w:color w:val="auto"/>
          <w:sz w:val="21"/>
          <w:szCs w:val="21"/>
          <w:highlight w:val="none"/>
          <w:lang w:val="en-US" w:eastAsia="zh-CN" w:bidi="ar-SA"/>
        </w:rPr>
      </w:pPr>
      <w:r>
        <w:rPr>
          <w:rStyle w:val="53"/>
          <w:rFonts w:hint="eastAsia" w:ascii="Times New Roman" w:hAnsi="Times New Roman" w:cs="Times New Roman"/>
          <w:b/>
          <w:bCs/>
          <w:color w:val="auto"/>
          <w:highlight w:val="none"/>
          <w:lang w:val="en-US" w:eastAsia="zh-CN" w:bidi="ar-SA"/>
        </w:rPr>
        <w:br w:type="page"/>
      </w:r>
      <w:r>
        <w:rPr>
          <w:rStyle w:val="53"/>
          <w:rFonts w:hint="eastAsia" w:ascii="宋体" w:hAnsi="宋体" w:eastAsia="宋体" w:cs="宋体"/>
          <w:b/>
          <w:bCs/>
          <w:color w:val="auto"/>
          <w:sz w:val="21"/>
          <w:szCs w:val="21"/>
          <w:highlight w:val="none"/>
          <w:lang w:val="en-US" w:eastAsia="zh-CN" w:bidi="ar-SA"/>
        </w:rPr>
        <w:t>附件一：江北区企业安全生产社会化协作服务检查记录</w:t>
      </w:r>
    </w:p>
    <w:p>
      <w:pPr>
        <w:spacing w:line="600" w:lineRule="exact"/>
        <w:jc w:val="center"/>
        <w:rPr>
          <w:rFonts w:hint="eastAsia" w:ascii="仿宋_GB2312" w:hAnsi="仿宋" w:eastAsia="仿宋_GB2312"/>
          <w:b/>
          <w:bCs/>
          <w:color w:val="auto"/>
          <w:position w:val="10"/>
          <w:sz w:val="28"/>
          <w:szCs w:val="28"/>
          <w:highlight w:val="none"/>
          <w:u w:val="double"/>
          <w:lang w:eastAsia="zh-CN"/>
        </w:rPr>
      </w:pPr>
    </w:p>
    <w:p>
      <w:pPr>
        <w:spacing w:line="600" w:lineRule="exact"/>
        <w:jc w:val="center"/>
        <w:rPr>
          <w:rFonts w:hint="default" w:ascii="仿宋_GB2312" w:hAnsi="仿宋" w:eastAsia="仿宋_GB2312"/>
          <w:b/>
          <w:bCs/>
          <w:color w:val="auto"/>
          <w:sz w:val="28"/>
          <w:szCs w:val="28"/>
          <w:highlight w:val="none"/>
          <w:u w:val="double"/>
          <w:lang w:val="en-US" w:eastAsia="zh-CN"/>
        </w:rPr>
      </w:pPr>
      <w:r>
        <w:rPr>
          <w:rFonts w:hint="eastAsia" w:ascii="仿宋_GB2312" w:hAnsi="仿宋" w:eastAsia="仿宋_GB2312"/>
          <w:b/>
          <w:bCs/>
          <w:color w:val="auto"/>
          <w:position w:val="10"/>
          <w:sz w:val="28"/>
          <w:szCs w:val="28"/>
          <w:highlight w:val="none"/>
          <w:u w:val="double"/>
          <w:lang w:eastAsia="zh-CN"/>
        </w:rPr>
        <w:t>江北区</w:t>
      </w:r>
      <w:r>
        <w:rPr>
          <w:rFonts w:hint="eastAsia" w:ascii="仿宋_GB2312" w:hAnsi="仿宋" w:eastAsia="仿宋_GB2312"/>
          <w:b/>
          <w:bCs/>
          <w:color w:val="auto"/>
          <w:position w:val="10"/>
          <w:sz w:val="28"/>
          <w:szCs w:val="28"/>
          <w:highlight w:val="none"/>
          <w:u w:val="double"/>
          <w:lang w:val="en-US" w:eastAsia="zh-CN"/>
        </w:rPr>
        <w:t>企业安全生产</w:t>
      </w:r>
      <w:r>
        <w:rPr>
          <w:rFonts w:hint="eastAsia" w:ascii="仿宋_GB2312" w:hAnsi="仿宋" w:eastAsia="仿宋_GB2312"/>
          <w:b/>
          <w:bCs/>
          <w:color w:val="auto"/>
          <w:position w:val="10"/>
          <w:sz w:val="28"/>
          <w:szCs w:val="28"/>
          <w:highlight w:val="none"/>
          <w:u w:val="double"/>
          <w:lang w:eastAsia="zh-CN"/>
        </w:rPr>
        <w:t>社会化协作服务检查记录</w:t>
      </w:r>
    </w:p>
    <w:p>
      <w:pPr>
        <w:spacing w:line="600" w:lineRule="exact"/>
        <w:jc w:val="center"/>
        <w:rPr>
          <w:rFonts w:eastAsia="仿宋_GB2312" w:cs="Times New Roman"/>
          <w:b/>
          <w:bCs/>
          <w:color w:val="auto"/>
          <w:sz w:val="28"/>
          <w:szCs w:val="28"/>
          <w:highlight w:val="none"/>
        </w:rPr>
      </w:pPr>
      <w:r>
        <w:rPr>
          <w:rFonts w:hint="eastAsia" w:ascii="仿宋_GB2312" w:hAnsi="仿宋" w:eastAsia="仿宋_GB2312"/>
          <w:b/>
          <w:bCs/>
          <w:color w:val="auto"/>
          <w:sz w:val="28"/>
          <w:szCs w:val="28"/>
          <w:highlight w:val="none"/>
        </w:rPr>
        <w:t>（    ）</w:t>
      </w:r>
      <w:r>
        <w:rPr>
          <w:rFonts w:hint="eastAsia" w:ascii="仿宋_GB2312" w:hAnsi="仿宋" w:eastAsia="仿宋_GB2312"/>
          <w:b/>
          <w:bCs/>
          <w:color w:val="auto"/>
          <w:sz w:val="28"/>
          <w:szCs w:val="28"/>
          <w:highlight w:val="none"/>
          <w:lang w:eastAsia="zh-CN"/>
        </w:rPr>
        <w:t>安服检</w:t>
      </w:r>
      <w:r>
        <w:rPr>
          <w:rFonts w:hint="eastAsia" w:ascii="仿宋_GB2312" w:hAnsi="仿宋" w:eastAsia="仿宋_GB2312"/>
          <w:b/>
          <w:bCs/>
          <w:color w:val="auto"/>
          <w:sz w:val="28"/>
          <w:szCs w:val="28"/>
          <w:highlight w:val="none"/>
        </w:rPr>
        <w:t>〔    〕  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ascii="仿宋_GB2312" w:hAnsi="仿宋" w:eastAsia="仿宋_GB2312" w:cs="仿宋"/>
          <w:b/>
          <w:bCs/>
          <w:color w:val="auto"/>
          <w:sz w:val="21"/>
          <w:szCs w:val="21"/>
          <w:highlight w:val="none"/>
          <w:u w:val="single"/>
        </w:rPr>
      </w:pPr>
      <w:r>
        <w:rPr>
          <w:rFonts w:hint="eastAsia" w:ascii="仿宋_GB2312" w:hAnsi="仿宋" w:eastAsia="仿宋_GB2312" w:cs="仿宋"/>
          <w:b/>
          <w:bCs/>
          <w:color w:val="auto"/>
          <w:sz w:val="21"/>
          <w:szCs w:val="21"/>
          <w:highlight w:val="none"/>
        </w:rPr>
        <w:t>被检查单位</w:t>
      </w:r>
      <w:r>
        <w:rPr>
          <w:rFonts w:hint="eastAsia" w:ascii="仿宋_GB2312" w:hAnsi="仿宋" w:eastAsia="仿宋_GB2312" w:cs="仿宋"/>
          <w:b/>
          <w:bCs/>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ascii="仿宋_GB2312" w:hAnsi="仿宋" w:eastAsia="仿宋_GB2312" w:cs="仿宋"/>
          <w:b/>
          <w:bCs/>
          <w:color w:val="auto"/>
          <w:sz w:val="21"/>
          <w:szCs w:val="21"/>
          <w:highlight w:val="none"/>
          <w:u w:val="single"/>
        </w:rPr>
      </w:pPr>
      <w:r>
        <w:rPr>
          <w:rFonts w:hint="eastAsia" w:ascii="仿宋_GB2312" w:hAnsi="仿宋" w:eastAsia="仿宋_GB2312" w:cs="仿宋"/>
          <w:b/>
          <w:bCs/>
          <w:color w:val="auto"/>
          <w:sz w:val="21"/>
          <w:szCs w:val="21"/>
          <w:highlight w:val="none"/>
        </w:rPr>
        <w:t>地址</w:t>
      </w:r>
      <w:r>
        <w:rPr>
          <w:rFonts w:hint="eastAsia" w:ascii="仿宋_GB2312" w:hAnsi="仿宋" w:eastAsia="仿宋_GB2312" w:cs="仿宋"/>
          <w:b/>
          <w:bCs/>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ascii="仿宋_GB2312" w:hAnsi="仿宋" w:eastAsia="仿宋_GB2312" w:cs="仿宋"/>
          <w:b/>
          <w:bCs/>
          <w:color w:val="auto"/>
          <w:sz w:val="21"/>
          <w:szCs w:val="21"/>
          <w:highlight w:val="none"/>
        </w:rPr>
      </w:pPr>
      <w:r>
        <w:rPr>
          <w:rFonts w:hint="eastAsia" w:ascii="仿宋_GB2312" w:hAnsi="仿宋" w:eastAsia="仿宋_GB2312" w:cs="仿宋"/>
          <w:b/>
          <w:bCs/>
          <w:color w:val="auto"/>
          <w:sz w:val="21"/>
          <w:szCs w:val="21"/>
          <w:highlight w:val="none"/>
        </w:rPr>
        <w:t>法定代表人（负责人）</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职务</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联系电话</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ascii="仿宋_GB2312" w:hAnsi="仿宋" w:eastAsia="仿宋_GB2312" w:cs="仿宋"/>
          <w:b/>
          <w:bCs/>
          <w:color w:val="auto"/>
          <w:sz w:val="21"/>
          <w:szCs w:val="21"/>
          <w:highlight w:val="none"/>
          <w:u w:val="single"/>
        </w:rPr>
      </w:pPr>
      <w:r>
        <w:rPr>
          <w:rFonts w:hint="eastAsia" w:ascii="仿宋_GB2312" w:hAnsi="仿宋" w:eastAsia="仿宋_GB2312" w:cs="仿宋"/>
          <w:b/>
          <w:bCs/>
          <w:color w:val="auto"/>
          <w:sz w:val="21"/>
          <w:szCs w:val="21"/>
          <w:highlight w:val="none"/>
        </w:rPr>
        <w:t>检查场所</w:t>
      </w:r>
      <w:r>
        <w:rPr>
          <w:rFonts w:hint="eastAsia" w:ascii="仿宋_GB2312" w:hAnsi="仿宋" w:eastAsia="仿宋_GB2312" w:cs="仿宋"/>
          <w:b/>
          <w:bCs/>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ascii="仿宋_GB2312" w:hAnsi="仿宋" w:eastAsia="仿宋_GB2312" w:cs="Times New Roman"/>
          <w:b/>
          <w:bCs/>
          <w:color w:val="auto"/>
          <w:sz w:val="21"/>
          <w:szCs w:val="21"/>
          <w:highlight w:val="none"/>
        </w:rPr>
      </w:pPr>
      <w:r>
        <w:rPr>
          <w:rFonts w:hint="eastAsia" w:ascii="仿宋_GB2312" w:hAnsi="仿宋" w:eastAsia="仿宋_GB2312" w:cs="仿宋"/>
          <w:b/>
          <w:bCs/>
          <w:color w:val="auto"/>
          <w:sz w:val="21"/>
          <w:szCs w:val="21"/>
          <w:highlight w:val="none"/>
        </w:rPr>
        <w:t>检查时间</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年</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月</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日</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时</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分至</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月</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日</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时</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ascii="仿宋_GB2312" w:hAnsi="仿宋" w:eastAsia="仿宋_GB2312" w:cs="Times New Roman"/>
          <w:b/>
          <w:bCs/>
          <w:color w:val="auto"/>
          <w:sz w:val="21"/>
          <w:szCs w:val="21"/>
          <w:highlight w:val="none"/>
        </w:rPr>
      </w:pPr>
      <w:r>
        <w:rPr>
          <w:rFonts w:hint="eastAsia" w:ascii="仿宋_GB2312" w:hAnsi="仿宋" w:eastAsia="仿宋_GB2312" w:cs="仿宋"/>
          <w:b/>
          <w:bCs/>
          <w:color w:val="auto"/>
          <w:sz w:val="21"/>
          <w:szCs w:val="21"/>
          <w:highlight w:val="none"/>
        </w:rPr>
        <w:t>我们是</w:t>
      </w:r>
      <w:r>
        <w:rPr>
          <w:rFonts w:hint="eastAsia" w:ascii="仿宋_GB2312" w:hAnsi="仿宋" w:eastAsia="仿宋_GB2312" w:cs="仿宋"/>
          <w:b/>
          <w:bCs/>
          <w:color w:val="auto"/>
          <w:sz w:val="21"/>
          <w:szCs w:val="21"/>
          <w:highlight w:val="none"/>
          <w:lang w:eastAsia="zh-CN"/>
        </w:rPr>
        <w:t>江北区</w:t>
      </w:r>
      <w:r>
        <w:rPr>
          <w:rFonts w:hint="eastAsia" w:ascii="仿宋_GB2312" w:hAnsi="仿宋" w:eastAsia="仿宋_GB2312" w:cs="仿宋"/>
          <w:b/>
          <w:bCs/>
          <w:color w:val="auto"/>
          <w:sz w:val="21"/>
          <w:szCs w:val="21"/>
          <w:highlight w:val="none"/>
        </w:rPr>
        <w:t>应急管理局</w:t>
      </w:r>
      <w:r>
        <w:rPr>
          <w:rFonts w:hint="eastAsia" w:ascii="仿宋_GB2312" w:hAnsi="仿宋" w:eastAsia="仿宋_GB2312" w:cs="仿宋"/>
          <w:b/>
          <w:bCs/>
          <w:color w:val="auto"/>
          <w:sz w:val="21"/>
          <w:szCs w:val="21"/>
          <w:highlight w:val="none"/>
          <w:lang w:eastAsia="zh-CN"/>
        </w:rPr>
        <w:t>社会化协作服务专家</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，这是我们的证件（出示证件）。现对你单位进行现场检查，请予以配合。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ascii="仿宋_GB2312" w:hAnsi="仿宋" w:eastAsia="仿宋_GB2312" w:cs="Times New Roman"/>
          <w:b/>
          <w:bCs/>
          <w:color w:val="auto"/>
          <w:sz w:val="21"/>
          <w:szCs w:val="21"/>
          <w:highlight w:val="none"/>
        </w:rPr>
      </w:pPr>
      <w:r>
        <w:rPr>
          <w:rFonts w:hint="eastAsia" w:ascii="仿宋_GB2312" w:hAnsi="仿宋" w:eastAsia="仿宋_GB2312" w:cs="仿宋"/>
          <w:b/>
          <w:bCs/>
          <w:color w:val="auto"/>
          <w:sz w:val="21"/>
          <w:szCs w:val="21"/>
          <w:highlight w:val="none"/>
        </w:rPr>
        <w:t>检查情况：</w:t>
      </w:r>
      <w:r>
        <w:rPr>
          <w:rFonts w:hint="eastAsia" w:ascii="仿宋_GB2312" w:hAnsi="仿宋" w:eastAsia="仿宋_GB2312" w:cs="仿宋"/>
          <w:b/>
          <w:bCs/>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ascii="仿宋_GB2312" w:hAnsi="仿宋" w:eastAsia="仿宋_GB2312" w:cs="仿宋"/>
          <w:b/>
          <w:bCs/>
          <w:color w:val="auto"/>
          <w:sz w:val="21"/>
          <w:szCs w:val="21"/>
          <w:highlight w:val="none"/>
          <w:u w:val="single"/>
        </w:rPr>
      </w:pPr>
      <w:r>
        <w:rPr>
          <w:rFonts w:hint="eastAsia" w:ascii="仿宋_GB2312" w:hAnsi="仿宋" w:eastAsia="仿宋_GB2312" w:cs="仿宋"/>
          <w:b/>
          <w:bCs/>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ascii="仿宋_GB2312" w:hAnsi="仿宋" w:eastAsia="仿宋_GB2312" w:cs="仿宋"/>
          <w:b/>
          <w:bCs/>
          <w:color w:val="auto"/>
          <w:sz w:val="21"/>
          <w:szCs w:val="21"/>
          <w:highlight w:val="none"/>
          <w:u w:val="single"/>
        </w:rPr>
      </w:pPr>
      <w:r>
        <w:rPr>
          <w:rFonts w:hint="eastAsia" w:ascii="仿宋_GB2312" w:hAnsi="仿宋" w:eastAsia="仿宋_GB2312" w:cs="仿宋"/>
          <w:b/>
          <w:bCs/>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仿宋_GB2312" w:hAnsi="仿宋" w:eastAsia="仿宋_GB2312" w:cs="仿宋"/>
          <w:b/>
          <w:bCs/>
          <w:color w:val="auto"/>
          <w:sz w:val="21"/>
          <w:szCs w:val="21"/>
          <w:highlight w:val="none"/>
          <w:u w:val="single"/>
        </w:rPr>
      </w:pPr>
      <w:r>
        <w:rPr>
          <w:rFonts w:hint="eastAsia" w:ascii="仿宋_GB2312" w:hAnsi="仿宋" w:eastAsia="仿宋_GB2312" w:cs="仿宋"/>
          <w:b/>
          <w:bCs/>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ascii="仿宋_GB2312" w:hAnsi="仿宋" w:eastAsia="仿宋_GB2312" w:cs="仿宋"/>
          <w:b/>
          <w:bCs/>
          <w:color w:val="auto"/>
          <w:sz w:val="21"/>
          <w:szCs w:val="21"/>
          <w:highlight w:val="none"/>
          <w:u w:val="single"/>
        </w:rPr>
      </w:pPr>
      <w:r>
        <w:rPr>
          <w:rFonts w:hint="eastAsia" w:ascii="仿宋_GB2312" w:hAnsi="仿宋" w:eastAsia="仿宋_GB2312" w:cs="仿宋"/>
          <w:b/>
          <w:bCs/>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仿宋_GB2312" w:hAnsi="仿宋" w:eastAsia="仿宋_GB2312" w:cs="仿宋"/>
          <w:b/>
          <w:bCs/>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仿宋_GB2312" w:hAnsi="仿宋" w:eastAsia="仿宋_GB2312" w:cs="仿宋"/>
          <w:b/>
          <w:bCs/>
          <w:color w:val="auto"/>
          <w:sz w:val="21"/>
          <w:szCs w:val="21"/>
          <w:highlight w:val="none"/>
        </w:rPr>
      </w:pPr>
      <w:r>
        <w:rPr>
          <w:rFonts w:hint="eastAsia" w:ascii="仿宋_GB2312" w:hAnsi="仿宋" w:eastAsia="仿宋_GB2312" w:cs="仿宋"/>
          <w:b/>
          <w:bCs/>
          <w:color w:val="auto"/>
          <w:sz w:val="21"/>
          <w:szCs w:val="21"/>
          <w:highlight w:val="none"/>
          <w:lang w:eastAsia="zh-CN"/>
        </w:rPr>
        <w:t>服务专家</w:t>
      </w:r>
      <w:r>
        <w:rPr>
          <w:rFonts w:hint="eastAsia" w:ascii="仿宋_GB2312" w:hAnsi="仿宋" w:eastAsia="仿宋_GB2312" w:cs="仿宋"/>
          <w:b/>
          <w:bCs/>
          <w:color w:val="auto"/>
          <w:sz w:val="21"/>
          <w:szCs w:val="21"/>
          <w:highlight w:val="none"/>
        </w:rPr>
        <w:t>（签名）：</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 xml:space="preserve"> </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仿宋_GB2312" w:hAnsi="仿宋" w:eastAsia="仿宋_GB2312" w:cs="仿宋"/>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仿宋_GB2312" w:hAnsi="仿宋" w:eastAsia="仿宋_GB2312" w:cs="仿宋"/>
          <w:b/>
          <w:bCs/>
          <w:color w:val="auto"/>
          <w:sz w:val="21"/>
          <w:szCs w:val="21"/>
          <w:highlight w:val="none"/>
        </w:rPr>
      </w:pPr>
      <w:r>
        <w:rPr>
          <w:rFonts w:hint="eastAsia" w:ascii="仿宋_GB2312" w:hAnsi="仿宋" w:eastAsia="仿宋_GB2312" w:cs="仿宋"/>
          <w:b/>
          <w:bCs/>
          <w:color w:val="auto"/>
          <w:sz w:val="21"/>
          <w:szCs w:val="21"/>
          <w:highlight w:val="none"/>
        </w:rPr>
        <w:t>被</w:t>
      </w:r>
      <w:r>
        <w:rPr>
          <w:rFonts w:hint="eastAsia" w:ascii="仿宋_GB2312" w:hAnsi="仿宋" w:eastAsia="仿宋_GB2312" w:cs="仿宋"/>
          <w:b/>
          <w:bCs/>
          <w:color w:val="auto"/>
          <w:sz w:val="21"/>
          <w:szCs w:val="21"/>
          <w:highlight w:val="none"/>
          <w:lang w:eastAsia="zh-CN"/>
        </w:rPr>
        <w:t>检查</w:t>
      </w:r>
      <w:r>
        <w:rPr>
          <w:rFonts w:hint="eastAsia" w:ascii="仿宋_GB2312" w:hAnsi="仿宋" w:eastAsia="仿宋_GB2312" w:cs="仿宋"/>
          <w:b/>
          <w:bCs/>
          <w:color w:val="auto"/>
          <w:sz w:val="21"/>
          <w:szCs w:val="21"/>
          <w:highlight w:val="none"/>
        </w:rPr>
        <w:t>单位现场负责人（签名）：</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default" w:ascii="仿宋_GB2312" w:hAnsi="仿宋" w:eastAsia="仿宋_GB2312" w:cs="仿宋"/>
          <w:b/>
          <w:bCs/>
          <w:color w:val="auto"/>
          <w:sz w:val="21"/>
          <w:szCs w:val="21"/>
          <w:highlight w:val="none"/>
          <w:lang w:val="en-US" w:eastAsia="zh-CN"/>
        </w:rPr>
      </w:pPr>
      <w:r>
        <w:rPr>
          <w:rFonts w:hint="eastAsia" w:ascii="仿宋_GB2312" w:hAnsi="仿宋" w:eastAsia="仿宋_GB2312" w:cs="仿宋"/>
          <w:b/>
          <w:bCs/>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2" w:firstLineChars="200"/>
        <w:jc w:val="both"/>
        <w:textAlignment w:val="auto"/>
        <w:rPr>
          <w:rFonts w:hint="eastAsia" w:ascii="仿宋_GB2312" w:hAnsi="仿宋" w:eastAsia="仿宋_GB2312" w:cs="仿宋"/>
          <w:b/>
          <w:bCs/>
          <w:color w:val="auto"/>
          <w:sz w:val="21"/>
          <w:szCs w:val="21"/>
          <w:highlight w:val="none"/>
        </w:rPr>
      </w:pPr>
      <w:r>
        <w:rPr>
          <w:rFonts w:hint="eastAsia" w:ascii="仿宋_GB2312" w:hAnsi="仿宋" w:eastAsia="仿宋_GB2312" w:cs="仿宋"/>
          <w:b/>
          <w:bCs/>
          <w:color w:val="auto"/>
          <w:spacing w:val="10"/>
          <w:sz w:val="21"/>
          <w:szCs w:val="21"/>
          <w:highlight w:val="none"/>
        </w:rPr>
        <w:t>现责令</w:t>
      </w:r>
      <w:r>
        <w:rPr>
          <w:rFonts w:hint="eastAsia" w:ascii="仿宋_GB2312" w:hAnsi="仿宋" w:eastAsia="仿宋_GB2312" w:cs="仿宋"/>
          <w:b/>
          <w:bCs/>
          <w:color w:val="auto"/>
          <w:sz w:val="21"/>
          <w:szCs w:val="21"/>
          <w:highlight w:val="none"/>
        </w:rPr>
        <w:t>你单位</w:t>
      </w:r>
      <w:r>
        <w:rPr>
          <w:rFonts w:hint="eastAsia" w:ascii="仿宋_GB2312" w:hAnsi="仿宋" w:eastAsia="仿宋_GB2312" w:cs="仿宋"/>
          <w:b/>
          <w:bCs/>
          <w:color w:val="auto"/>
          <w:spacing w:val="10"/>
          <w:sz w:val="21"/>
          <w:szCs w:val="21"/>
          <w:highlight w:val="none"/>
        </w:rPr>
        <w:t>对上述第</w:t>
      </w:r>
      <w:r>
        <w:rPr>
          <w:rFonts w:hint="eastAsia" w:ascii="仿宋_GB2312" w:hAnsi="仿宋" w:eastAsia="仿宋_GB2312" w:cs="仿宋"/>
          <w:b/>
          <w:bCs/>
          <w:color w:val="auto"/>
          <w:spacing w:val="10"/>
          <w:sz w:val="21"/>
          <w:szCs w:val="21"/>
          <w:highlight w:val="none"/>
          <w:u w:val="single"/>
        </w:rPr>
        <w:t xml:space="preserve">       </w:t>
      </w:r>
      <w:r>
        <w:rPr>
          <w:rFonts w:hint="eastAsia" w:ascii="仿宋_GB2312" w:hAnsi="仿宋" w:eastAsia="仿宋_GB2312" w:cs="仿宋"/>
          <w:b/>
          <w:bCs/>
          <w:color w:val="auto"/>
          <w:spacing w:val="10"/>
          <w:sz w:val="21"/>
          <w:szCs w:val="21"/>
          <w:highlight w:val="none"/>
        </w:rPr>
        <w:t>项问题</w:t>
      </w:r>
      <w:r>
        <w:rPr>
          <w:rFonts w:hint="eastAsia" w:ascii="仿宋_GB2312" w:hAnsi="仿宋" w:eastAsia="仿宋_GB2312" w:cs="仿宋"/>
          <w:b/>
          <w:bCs/>
          <w:color w:val="auto"/>
          <w:sz w:val="21"/>
          <w:szCs w:val="21"/>
          <w:highlight w:val="none"/>
        </w:rPr>
        <w:t>于</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年</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月</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日前整改完毕，达到有关法律法规规章和标准规定的要求。由此造成事故的，依法追究有关人员的责任。整改期间，你单位应当采取措施，确保安全生产。对安全生产违法行为，将依法予以行政处罚。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仿宋_GB2312" w:hAnsi="仿宋" w:eastAsia="仿宋_GB2312" w:cs="仿宋"/>
          <w:b/>
          <w:bCs/>
          <w:color w:val="auto"/>
          <w:sz w:val="21"/>
          <w:szCs w:val="21"/>
          <w:highlight w:val="none"/>
          <w:u w:val="single"/>
        </w:rPr>
      </w:pP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年</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月</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日</w:t>
      </w:r>
      <w:r>
        <w:rPr>
          <w:rFonts w:hint="eastAsia" w:ascii="仿宋_GB2312" w:hAnsi="仿宋" w:eastAsia="仿宋_GB2312" w:cs="仿宋"/>
          <w:b/>
          <w:bCs/>
          <w:color w:val="auto"/>
          <w:sz w:val="21"/>
          <w:szCs w:val="21"/>
          <w:highlight w:val="none"/>
          <w:lang w:eastAsia="zh-CN"/>
        </w:rPr>
        <w:t>对你单位进行复查，整改情况如下：</w:t>
      </w:r>
      <w:r>
        <w:rPr>
          <w:rFonts w:hint="eastAsia" w:ascii="仿宋_GB2312" w:hAnsi="仿宋" w:eastAsia="仿宋_GB2312" w:cs="仿宋"/>
          <w:b/>
          <w:bCs/>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仿宋_GB2312" w:hAnsi="仿宋" w:eastAsia="仿宋_GB2312" w:cs="仿宋"/>
          <w:b/>
          <w:bCs/>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仿宋_GB2312" w:hAnsi="仿宋" w:eastAsia="仿宋_GB2312" w:cs="仿宋"/>
          <w:b/>
          <w:bCs/>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ascii="仿宋_GB2312" w:hAnsi="仿宋" w:eastAsia="仿宋_GB2312" w:cs="仿宋"/>
          <w:b/>
          <w:bCs/>
          <w:color w:val="auto"/>
          <w:sz w:val="21"/>
          <w:szCs w:val="21"/>
          <w:highlight w:val="none"/>
        </w:rPr>
      </w:pPr>
      <w:r>
        <w:rPr>
          <w:rFonts w:hint="eastAsia" w:ascii="仿宋_GB2312" w:hAnsi="仿宋" w:eastAsia="仿宋_GB2312" w:cs="仿宋"/>
          <w:b/>
          <w:bCs/>
          <w:color w:val="auto"/>
          <w:sz w:val="21"/>
          <w:szCs w:val="21"/>
          <w:highlight w:val="none"/>
          <w:lang w:eastAsia="zh-CN"/>
        </w:rPr>
        <w:t>服务专家</w:t>
      </w:r>
      <w:r>
        <w:rPr>
          <w:rFonts w:hint="eastAsia" w:ascii="仿宋_GB2312" w:hAnsi="仿宋" w:eastAsia="仿宋_GB2312" w:cs="仿宋"/>
          <w:b/>
          <w:bCs/>
          <w:color w:val="auto"/>
          <w:sz w:val="21"/>
          <w:szCs w:val="21"/>
          <w:highlight w:val="none"/>
        </w:rPr>
        <w:t>（签名）：</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 xml:space="preserve"> </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仿宋_GB2312" w:hAnsi="仿宋" w:eastAsia="仿宋_GB2312" w:cs="仿宋"/>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仿宋_GB2312" w:hAnsi="仿宋" w:eastAsia="仿宋_GB2312" w:cs="仿宋"/>
          <w:b/>
          <w:bCs/>
          <w:color w:val="auto"/>
          <w:sz w:val="21"/>
          <w:szCs w:val="21"/>
          <w:highlight w:val="none"/>
          <w:u w:val="single"/>
        </w:rPr>
      </w:pPr>
      <w:r>
        <w:rPr>
          <w:rFonts w:hint="eastAsia" w:ascii="仿宋_GB2312" w:hAnsi="仿宋" w:eastAsia="仿宋_GB2312" w:cs="仿宋"/>
          <w:b/>
          <w:bCs/>
          <w:color w:val="auto"/>
          <w:sz w:val="21"/>
          <w:szCs w:val="21"/>
          <w:highlight w:val="none"/>
        </w:rPr>
        <w:t>被</w:t>
      </w:r>
      <w:r>
        <w:rPr>
          <w:rFonts w:hint="eastAsia" w:ascii="仿宋_GB2312" w:hAnsi="仿宋" w:eastAsia="仿宋_GB2312" w:cs="仿宋"/>
          <w:b/>
          <w:bCs/>
          <w:color w:val="auto"/>
          <w:sz w:val="21"/>
          <w:szCs w:val="21"/>
          <w:highlight w:val="none"/>
          <w:lang w:eastAsia="zh-CN"/>
        </w:rPr>
        <w:t>检查</w:t>
      </w:r>
      <w:r>
        <w:rPr>
          <w:rFonts w:hint="eastAsia" w:ascii="仿宋_GB2312" w:hAnsi="仿宋" w:eastAsia="仿宋_GB2312" w:cs="仿宋"/>
          <w:b/>
          <w:bCs/>
          <w:color w:val="auto"/>
          <w:sz w:val="21"/>
          <w:szCs w:val="21"/>
          <w:highlight w:val="none"/>
        </w:rPr>
        <w:t>单位现场负责人（签名）：</w:t>
      </w:r>
      <w:r>
        <w:rPr>
          <w:rFonts w:hint="eastAsia" w:ascii="仿宋_GB2312" w:hAnsi="仿宋" w:eastAsia="仿宋_GB2312" w:cs="仿宋"/>
          <w:b/>
          <w:bCs/>
          <w:color w:val="auto"/>
          <w:sz w:val="21"/>
          <w:szCs w:val="21"/>
          <w:highlight w:val="none"/>
          <w:u w:val="single"/>
        </w:rPr>
        <w:t xml:space="preserve">                 </w:t>
      </w:r>
      <w:r>
        <w:rPr>
          <w:rFonts w:hint="eastAsia" w:ascii="仿宋_GB2312" w:hAnsi="仿宋" w:eastAsia="仿宋_GB2312" w:cs="仿宋"/>
          <w:b/>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仿宋_GB2312" w:hAnsi="仿宋" w:eastAsia="仿宋_GB2312" w:cs="仿宋"/>
          <w:b/>
          <w:bCs/>
          <w:color w:val="auto"/>
          <w:sz w:val="21"/>
          <w:szCs w:val="21"/>
          <w:highlight w:val="none"/>
          <w:lang w:val="en-US" w:eastAsia="zh-CN"/>
        </w:rPr>
      </w:pPr>
      <w:r>
        <w:rPr>
          <w:rFonts w:hint="eastAsia" w:ascii="仿宋_GB2312" w:hAnsi="仿宋" w:eastAsia="仿宋_GB2312" w:cs="仿宋"/>
          <w:b/>
          <w:bCs/>
          <w:color w:val="auto"/>
          <w:sz w:val="21"/>
          <w:szCs w:val="21"/>
          <w:highlight w:val="none"/>
          <w:lang w:val="en-US" w:eastAsia="zh-CN"/>
        </w:rPr>
        <w:t xml:space="preserve">                                                 </w:t>
      </w:r>
      <w:r>
        <w:rPr>
          <w:rFonts w:hint="eastAsia" w:ascii="仿宋_GB2312" w:hAnsi="仿宋" w:eastAsia="仿宋_GB2312" w:cs="仿宋"/>
          <w:b/>
          <w:bCs/>
          <w:color w:val="auto"/>
          <w:sz w:val="21"/>
          <w:szCs w:val="21"/>
          <w:highlight w:val="none"/>
          <w:u w:val="single"/>
          <w:lang w:val="en-US" w:eastAsia="zh-CN"/>
        </w:rPr>
        <w:t xml:space="preserve">         </w:t>
      </w:r>
      <w:r>
        <w:rPr>
          <w:rFonts w:hint="eastAsia" w:ascii="仿宋_GB2312" w:hAnsi="仿宋" w:eastAsia="仿宋_GB2312" w:cs="仿宋"/>
          <w:b/>
          <w:bCs/>
          <w:color w:val="auto"/>
          <w:sz w:val="21"/>
          <w:szCs w:val="21"/>
          <w:highlight w:val="none"/>
          <w:lang w:val="en-US" w:eastAsia="zh-CN"/>
        </w:rPr>
        <w:t>应急管理所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仿宋_GB2312" w:hAnsi="仿宋" w:eastAsia="仿宋_GB2312" w:cs="仿宋"/>
          <w:b/>
          <w:bCs/>
          <w:color w:val="auto"/>
          <w:sz w:val="21"/>
          <w:szCs w:val="21"/>
          <w:highlight w:val="none"/>
          <w:u w:val="thick"/>
          <w:lang w:val="en-US" w:eastAsia="zh-CN"/>
        </w:rPr>
      </w:pPr>
      <w:r>
        <w:rPr>
          <w:rFonts w:hint="eastAsia" w:ascii="仿宋_GB2312" w:hAnsi="仿宋" w:eastAsia="仿宋_GB2312" w:cs="仿宋"/>
          <w:b/>
          <w:bCs/>
          <w:color w:val="auto"/>
          <w:sz w:val="21"/>
          <w:szCs w:val="21"/>
          <w:highlight w:val="none"/>
          <w:u w:val="thick"/>
          <w:lang w:val="en-US" w:eastAsia="zh-CN"/>
        </w:rPr>
        <w:t xml:space="preserve">                                                        年   月   日  </w:t>
      </w:r>
    </w:p>
    <w:p>
      <w:pPr>
        <w:rPr>
          <w:rStyle w:val="53"/>
          <w:rFonts w:hint="eastAsia" w:ascii="Times New Roman" w:hAnsi="Times New Roman" w:cs="Times New Roman"/>
          <w:b/>
          <w:bCs/>
          <w:color w:val="auto"/>
          <w:highlight w:val="none"/>
          <w:lang w:val="en-US" w:eastAsia="zh-CN" w:bidi="ar-SA"/>
        </w:rPr>
      </w:pPr>
      <w:r>
        <w:rPr>
          <w:rStyle w:val="53"/>
          <w:rFonts w:hint="eastAsia" w:ascii="Times New Roman" w:hAnsi="Times New Roman" w:cs="Times New Roman"/>
          <w:b/>
          <w:bCs/>
          <w:color w:val="auto"/>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textAlignment w:val="auto"/>
        <w:outlineLvl w:val="2"/>
        <w:rPr>
          <w:rStyle w:val="53"/>
          <w:rFonts w:hint="eastAsia" w:ascii="宋体" w:hAnsi="宋体" w:eastAsia="宋体" w:cs="宋体"/>
          <w:b/>
          <w:bCs/>
          <w:color w:val="auto"/>
          <w:sz w:val="21"/>
          <w:szCs w:val="21"/>
          <w:highlight w:val="none"/>
          <w:lang w:val="en-US" w:eastAsia="zh-CN" w:bidi="ar-SA"/>
        </w:rPr>
      </w:pPr>
      <w:r>
        <w:rPr>
          <w:rStyle w:val="53"/>
          <w:rFonts w:hint="eastAsia" w:ascii="宋体" w:hAnsi="宋体" w:eastAsia="宋体" w:cs="宋体"/>
          <w:b/>
          <w:bCs/>
          <w:color w:val="auto"/>
          <w:sz w:val="21"/>
          <w:szCs w:val="21"/>
          <w:highlight w:val="none"/>
          <w:lang w:val="en-US" w:eastAsia="zh-CN" w:bidi="ar-SA"/>
        </w:rPr>
        <w:t>附件二：安全生产社会化服务绩效考核表</w:t>
      </w:r>
    </w:p>
    <w:p>
      <w:pPr>
        <w:pStyle w:val="33"/>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sz w:val="30"/>
          <w:szCs w:val="30"/>
          <w:highlight w:val="none"/>
        </w:rPr>
      </w:pPr>
      <w:r>
        <w:rPr>
          <w:rFonts w:hint="eastAsia"/>
          <w:color w:val="auto"/>
          <w:sz w:val="30"/>
          <w:szCs w:val="30"/>
          <w:highlight w:val="none"/>
        </w:rPr>
        <w:t>安全生产社会化服务绩效考核表</w:t>
      </w:r>
    </w:p>
    <w:tbl>
      <w:tblPr>
        <w:tblStyle w:val="37"/>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656"/>
        <w:gridCol w:w="4759"/>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40" w:type="dxa"/>
            <w:vAlign w:val="center"/>
          </w:tcPr>
          <w:p>
            <w:pPr>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考核内容</w:t>
            </w:r>
          </w:p>
        </w:tc>
        <w:tc>
          <w:tcPr>
            <w:tcW w:w="2656" w:type="dxa"/>
            <w:tcBorders>
              <w:left w:val="nil"/>
            </w:tcBorders>
          </w:tcPr>
          <w:p>
            <w:pPr>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基本要求</w:t>
            </w:r>
          </w:p>
        </w:tc>
        <w:tc>
          <w:tcPr>
            <w:tcW w:w="4759" w:type="dxa"/>
            <w:tcBorders>
              <w:left w:val="nil"/>
            </w:tcBorders>
          </w:tcPr>
          <w:p>
            <w:pPr>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加减分因素</w:t>
            </w:r>
          </w:p>
        </w:tc>
        <w:tc>
          <w:tcPr>
            <w:tcW w:w="720" w:type="dxa"/>
            <w:tcBorders>
              <w:left w:val="nil"/>
            </w:tcBorders>
          </w:tcPr>
          <w:p>
            <w:pPr>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spacing w:line="39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德（10分）</w:t>
            </w:r>
          </w:p>
        </w:tc>
        <w:tc>
          <w:tcPr>
            <w:tcW w:w="2656" w:type="dxa"/>
            <w:tcBorders>
              <w:left w:val="nil"/>
            </w:tcBorders>
          </w:tcPr>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1、遵纪守法、遵守职业道德和社会公德；2、具有大局意识、责任意识，大公无私、耐心沟通、热情服务。</w:t>
            </w:r>
          </w:p>
        </w:tc>
        <w:tc>
          <w:tcPr>
            <w:tcW w:w="4759" w:type="dxa"/>
            <w:tcBorders>
              <w:left w:val="nil"/>
            </w:tcBorders>
          </w:tcPr>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1、在开展监督性检查时，因服务态度差，经查证属实的，每例扣2分；</w:t>
            </w:r>
          </w:p>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2、在开展监督性检查过程中，因服务到位受到企业书面表彰的，每例加2分，但最高不超过10分。</w:t>
            </w:r>
          </w:p>
        </w:tc>
        <w:tc>
          <w:tcPr>
            <w:tcW w:w="720" w:type="dxa"/>
            <w:tcBorders>
              <w:left w:val="nil"/>
            </w:tcBorders>
          </w:tcPr>
          <w:p>
            <w:pPr>
              <w:spacing w:line="360" w:lineRule="exact"/>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spacing w:line="39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能（20分）</w:t>
            </w:r>
          </w:p>
        </w:tc>
        <w:tc>
          <w:tcPr>
            <w:tcW w:w="2656" w:type="dxa"/>
            <w:tcBorders>
              <w:left w:val="nil"/>
            </w:tcBorders>
          </w:tcPr>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1、在开展监督性检查工作中分析判断准确、周密性、灵活性较强，工作思路清晰； 2、能准确找出企业存在的重大事故隐患，并督促企业积极落实整改。</w:t>
            </w:r>
          </w:p>
        </w:tc>
        <w:tc>
          <w:tcPr>
            <w:tcW w:w="4759" w:type="dxa"/>
            <w:tcBorders>
              <w:left w:val="nil"/>
            </w:tcBorders>
          </w:tcPr>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1、工作责任心不强、工作质量不高，在监督性检查中存在未发现明显的事故隐患、辅导不到位等现象的，经查证属实的，每例扣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；被上级隐患排查通报的，每例扣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但最高不超过20分；</w:t>
            </w:r>
          </w:p>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2、未发现企业存在的重大事故隐患的，经查证属实的，每例扣5分</w:t>
            </w:r>
            <w:r>
              <w:rPr>
                <w:rFonts w:hint="eastAsia" w:ascii="宋体" w:hAnsi="宋体" w:eastAsia="宋体" w:cs="宋体"/>
                <w:color w:val="auto"/>
                <w:sz w:val="21"/>
                <w:szCs w:val="21"/>
                <w:highlight w:val="none"/>
                <w:lang w:eastAsia="zh-CN"/>
              </w:rPr>
              <w:t>；被上级隐患排查通报的，每例扣</w:t>
            </w:r>
            <w:r>
              <w:rPr>
                <w:rFonts w:hint="eastAsia" w:ascii="宋体" w:hAnsi="宋体" w:eastAsia="宋体" w:cs="宋体"/>
                <w:color w:val="auto"/>
                <w:sz w:val="21"/>
                <w:szCs w:val="21"/>
                <w:highlight w:val="none"/>
                <w:lang w:val="en-US" w:eastAsia="zh-CN"/>
              </w:rPr>
              <w:t>10分，重大事故隐患扣分不设上限</w:t>
            </w:r>
            <w:r>
              <w:rPr>
                <w:rFonts w:hint="eastAsia" w:ascii="宋体" w:hAnsi="宋体" w:eastAsia="宋体" w:cs="宋体"/>
                <w:color w:val="auto"/>
                <w:sz w:val="21"/>
                <w:szCs w:val="21"/>
                <w:highlight w:val="none"/>
              </w:rPr>
              <w:t>。</w:t>
            </w:r>
          </w:p>
        </w:tc>
        <w:tc>
          <w:tcPr>
            <w:tcW w:w="720" w:type="dxa"/>
            <w:tcBorders>
              <w:left w:val="nil"/>
            </w:tcBorders>
          </w:tcPr>
          <w:p>
            <w:pPr>
              <w:spacing w:line="360" w:lineRule="exact"/>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spacing w:line="39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勤（30分）</w:t>
            </w:r>
          </w:p>
        </w:tc>
        <w:tc>
          <w:tcPr>
            <w:tcW w:w="2656" w:type="dxa"/>
            <w:tcBorders>
              <w:left w:val="nil"/>
            </w:tcBorders>
          </w:tcPr>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1、严格遵守工作纪律和各项规定，不迟到、不早退、不脱岗，有事主动请假；2、具有积极的工作态度和较强的事业心，工作不推诿、敷衍。</w:t>
            </w:r>
          </w:p>
        </w:tc>
        <w:tc>
          <w:tcPr>
            <w:tcW w:w="4759" w:type="dxa"/>
            <w:tcBorders>
              <w:left w:val="nil"/>
            </w:tcBorders>
          </w:tcPr>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1、每请假1天扣1分，超过5天的，每增加一天扣2分；超过10天的，每增加一天扣3分；</w:t>
            </w:r>
          </w:p>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2、经抽查，存在迟到、早退的，每例扣1分；</w:t>
            </w:r>
          </w:p>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3、经抽查，工作时间无故脱岗的，第一次扣10分，第二次扣20分，第三次清退；</w:t>
            </w:r>
          </w:p>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4、工作中存在推诿、敷衍等现象，经查证属实的，每例扣5分。</w:t>
            </w:r>
          </w:p>
        </w:tc>
        <w:tc>
          <w:tcPr>
            <w:tcW w:w="720" w:type="dxa"/>
            <w:tcBorders>
              <w:left w:val="nil"/>
            </w:tcBorders>
          </w:tcPr>
          <w:p>
            <w:pPr>
              <w:spacing w:line="360" w:lineRule="exact"/>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spacing w:line="39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绩（30分）</w:t>
            </w:r>
          </w:p>
        </w:tc>
        <w:tc>
          <w:tcPr>
            <w:tcW w:w="2656" w:type="dxa"/>
            <w:tcBorders>
              <w:left w:val="nil"/>
            </w:tcBorders>
          </w:tcPr>
          <w:p>
            <w:pPr>
              <w:numPr>
                <w:ilvl w:val="0"/>
                <w:numId w:val="0"/>
              </w:num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全面、有效地完成各项任务，监督性检查总体质量较好；2、工作方法有创新。对完成工作任务有好方法、好措施、好手段并能及时学习、提炼，能创造性地有效完成工作任务。3、根据日常工作经验，对监督性检查能提出建设性的想法、建议。</w:t>
            </w:r>
          </w:p>
        </w:tc>
        <w:tc>
          <w:tcPr>
            <w:tcW w:w="4759" w:type="dxa"/>
            <w:tcBorders>
              <w:left w:val="nil"/>
            </w:tcBorders>
          </w:tcPr>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1、未及时完成交办的监督性检查任务，每少1家，扣1分；</w:t>
            </w:r>
          </w:p>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2、隐患整改率低于75%，扣2分；低于70%，扣4分；低于65%，扣6分，以此类推；</w:t>
            </w:r>
          </w:p>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3、隐患整改率高于80%，加5分；高于85%，加10分；高于90%，加15分；</w:t>
            </w:r>
          </w:p>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4、已检查的企业发生一人重伤及以上生产安全责任事故的，属三个月内检查的，扣20分；属半年内检查的，扣10分；属一年内检查的，扣4分。</w:t>
            </w:r>
          </w:p>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5、除正常工作外，代表</w:t>
            </w:r>
            <w:r>
              <w:rPr>
                <w:rFonts w:hint="eastAsia" w:ascii="宋体" w:hAnsi="宋体" w:eastAsia="宋体" w:cs="宋体"/>
                <w:color w:val="auto"/>
                <w:sz w:val="21"/>
                <w:szCs w:val="21"/>
                <w:highlight w:val="none"/>
                <w:lang w:eastAsia="zh-CN"/>
              </w:rPr>
              <w:t>江北区应急管理</w:t>
            </w:r>
            <w:r>
              <w:rPr>
                <w:rFonts w:hint="eastAsia" w:ascii="宋体" w:hAnsi="宋体" w:eastAsia="宋体" w:cs="宋体"/>
                <w:color w:val="auto"/>
                <w:sz w:val="21"/>
                <w:szCs w:val="21"/>
                <w:highlight w:val="none"/>
              </w:rPr>
              <w:t>局积极撰写调研文章，被区级媒体录用的，每例加2分；被市级媒体录用的，每例加4分；被省级媒体录用的每例加10分；被国家级媒体录用的，每例加20分。但是最高不超过30分。</w:t>
            </w:r>
          </w:p>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6、对监督性检查提出建设性想法、建议，经</w:t>
            </w:r>
            <w:r>
              <w:rPr>
                <w:rFonts w:hint="eastAsia" w:ascii="宋体" w:hAnsi="宋体" w:eastAsia="宋体" w:cs="宋体"/>
                <w:color w:val="auto"/>
                <w:sz w:val="21"/>
                <w:szCs w:val="21"/>
                <w:highlight w:val="none"/>
                <w:lang w:eastAsia="zh-CN"/>
              </w:rPr>
              <w:t>江北区应急管理</w:t>
            </w:r>
            <w:r>
              <w:rPr>
                <w:rFonts w:hint="eastAsia" w:ascii="宋体" w:hAnsi="宋体" w:eastAsia="宋体" w:cs="宋体"/>
                <w:color w:val="auto"/>
                <w:sz w:val="21"/>
                <w:szCs w:val="21"/>
                <w:highlight w:val="none"/>
              </w:rPr>
              <w:t>局认可的，每例加2分，但最高不超过10分。</w:t>
            </w:r>
          </w:p>
        </w:tc>
        <w:tc>
          <w:tcPr>
            <w:tcW w:w="720" w:type="dxa"/>
            <w:tcBorders>
              <w:left w:val="nil"/>
            </w:tcBorders>
          </w:tcPr>
          <w:p>
            <w:pPr>
              <w:spacing w:line="360" w:lineRule="exact"/>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spacing w:line="39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廉（20分）</w:t>
            </w:r>
          </w:p>
        </w:tc>
        <w:tc>
          <w:tcPr>
            <w:tcW w:w="2656" w:type="dxa"/>
            <w:tcBorders>
              <w:left w:val="nil"/>
            </w:tcBorders>
          </w:tcPr>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1、自觉、认真贯彻执行党和国家党风廉政有关规定，严格要求自己及同组人员，无违纪现象；2、遵纪守法、廉洁自律，坚决杜绝“吃拿卡要”不正之风。3、恪尽职守，履职尽责，严禁利用工作之便谋取私利。</w:t>
            </w:r>
          </w:p>
        </w:tc>
        <w:tc>
          <w:tcPr>
            <w:tcW w:w="4759" w:type="dxa"/>
            <w:tcBorders>
              <w:left w:val="nil"/>
            </w:tcBorders>
          </w:tcPr>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1、履职不到位，存在“吃拿卡要”违纪现象，经查证属实的，第一次扣20分，第二次清退；</w:t>
            </w:r>
          </w:p>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2、利用工作之便谋取私利，存在拉业务、收取费用等现象的，经查证属实的，第一次扣20分，第二次清退。</w:t>
            </w:r>
          </w:p>
        </w:tc>
        <w:tc>
          <w:tcPr>
            <w:tcW w:w="720" w:type="dxa"/>
            <w:tcBorders>
              <w:left w:val="nil"/>
            </w:tcBorders>
          </w:tcPr>
          <w:p>
            <w:pPr>
              <w:spacing w:line="360" w:lineRule="exact"/>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440" w:type="dxa"/>
            <w:vAlign w:val="center"/>
          </w:tcPr>
          <w:p>
            <w:pPr>
              <w:spacing w:line="39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综合评定</w:t>
            </w:r>
          </w:p>
          <w:p>
            <w:pPr>
              <w:spacing w:line="39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（40分）</w:t>
            </w:r>
          </w:p>
        </w:tc>
        <w:tc>
          <w:tcPr>
            <w:tcW w:w="2656" w:type="dxa"/>
            <w:tcBorders>
              <w:left w:val="nil"/>
            </w:tcBorders>
          </w:tcPr>
          <w:p>
            <w:pPr>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根据日常抽查、</w:t>
            </w:r>
            <w:r>
              <w:rPr>
                <w:rFonts w:hint="eastAsia" w:ascii="宋体" w:hAnsi="宋体" w:eastAsia="宋体" w:cs="宋体"/>
                <w:color w:val="auto"/>
                <w:sz w:val="21"/>
                <w:szCs w:val="21"/>
                <w:highlight w:val="none"/>
                <w:lang w:eastAsia="zh-CN"/>
              </w:rPr>
              <w:t>片区交叉检查、重要专项整治、</w:t>
            </w:r>
            <w:r>
              <w:rPr>
                <w:rFonts w:hint="eastAsia" w:ascii="宋体" w:hAnsi="宋体" w:eastAsia="宋体" w:cs="宋体"/>
                <w:color w:val="auto"/>
                <w:sz w:val="21"/>
                <w:szCs w:val="21"/>
                <w:highlight w:val="none"/>
              </w:rPr>
              <w:t>额外工作量、安全巡讲等情况，对中介机构进行综合评分。最高40分，最低0分。</w:t>
            </w:r>
          </w:p>
        </w:tc>
        <w:tc>
          <w:tcPr>
            <w:tcW w:w="4759" w:type="dxa"/>
            <w:tcBorders>
              <w:left w:val="nil"/>
            </w:tcBorders>
          </w:tcPr>
          <w:p>
            <w:pPr>
              <w:spacing w:line="390" w:lineRule="exact"/>
              <w:rPr>
                <w:rFonts w:hint="eastAsia" w:ascii="宋体" w:hAnsi="宋体" w:eastAsia="宋体" w:cs="宋体"/>
                <w:color w:val="auto"/>
                <w:sz w:val="21"/>
                <w:szCs w:val="21"/>
                <w:highlight w:val="none"/>
              </w:rPr>
            </w:pPr>
          </w:p>
        </w:tc>
        <w:tc>
          <w:tcPr>
            <w:tcW w:w="720" w:type="dxa"/>
            <w:tcBorders>
              <w:left w:val="nil"/>
            </w:tcBorders>
          </w:tcPr>
          <w:p>
            <w:pPr>
              <w:spacing w:line="360" w:lineRule="exact"/>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440" w:type="dxa"/>
            <w:vAlign w:val="center"/>
          </w:tcPr>
          <w:p>
            <w:pPr>
              <w:spacing w:line="39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w:t>
            </w:r>
          </w:p>
          <w:p>
            <w:pPr>
              <w:spacing w:line="39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（150分）</w:t>
            </w:r>
          </w:p>
        </w:tc>
        <w:tc>
          <w:tcPr>
            <w:tcW w:w="2656" w:type="dxa"/>
            <w:tcBorders>
              <w:left w:val="nil"/>
            </w:tcBorders>
          </w:tcPr>
          <w:p>
            <w:pPr>
              <w:spacing w:line="390" w:lineRule="exact"/>
              <w:rPr>
                <w:rFonts w:hint="eastAsia" w:ascii="宋体" w:hAnsi="宋体" w:eastAsia="宋体" w:cs="宋体"/>
                <w:color w:val="auto"/>
                <w:sz w:val="21"/>
                <w:szCs w:val="21"/>
                <w:highlight w:val="none"/>
              </w:rPr>
            </w:pPr>
          </w:p>
        </w:tc>
        <w:tc>
          <w:tcPr>
            <w:tcW w:w="4759" w:type="dxa"/>
            <w:tcBorders>
              <w:left w:val="nil"/>
            </w:tcBorders>
          </w:tcPr>
          <w:p>
            <w:pPr>
              <w:spacing w:line="390" w:lineRule="exact"/>
              <w:rPr>
                <w:rFonts w:hint="eastAsia" w:ascii="宋体" w:hAnsi="宋体" w:eastAsia="宋体" w:cs="宋体"/>
                <w:color w:val="auto"/>
                <w:sz w:val="21"/>
                <w:szCs w:val="21"/>
                <w:highlight w:val="none"/>
              </w:rPr>
            </w:pPr>
          </w:p>
        </w:tc>
        <w:tc>
          <w:tcPr>
            <w:tcW w:w="720" w:type="dxa"/>
            <w:tcBorders>
              <w:left w:val="nil"/>
            </w:tcBorders>
          </w:tcPr>
          <w:p>
            <w:pPr>
              <w:spacing w:line="360" w:lineRule="exact"/>
              <w:rPr>
                <w:rFonts w:hint="eastAsia" w:ascii="宋体" w:hAnsi="宋体" w:eastAsia="宋体" w:cs="宋体"/>
                <w:b/>
                <w:bCs/>
                <w:color w:val="auto"/>
                <w:sz w:val="21"/>
                <w:szCs w:val="21"/>
                <w:highlight w:val="none"/>
              </w:rPr>
            </w:pPr>
          </w:p>
        </w:tc>
      </w:tr>
    </w:tbl>
    <w:p>
      <w:pPr>
        <w:rPr>
          <w:rFonts w:hint="eastAsia"/>
          <w:color w:val="auto"/>
          <w:highlight w:val="none"/>
        </w:rPr>
      </w:pPr>
    </w:p>
    <w:p>
      <w:pPr>
        <w:spacing w:line="390" w:lineRule="exact"/>
        <w:rPr>
          <w:rFonts w:hint="eastAsia" w:ascii="宋体" w:hAnsi="宋体" w:cs="宋体"/>
          <w:color w:val="auto"/>
          <w:sz w:val="24"/>
          <w:szCs w:val="24"/>
          <w:highlight w:val="none"/>
        </w:rPr>
      </w:pPr>
      <w:r>
        <w:rPr>
          <w:rFonts w:hint="eastAsia" w:ascii="宋体" w:hAnsi="宋体" w:eastAsia="宋体" w:cs="宋体"/>
          <w:color w:val="auto"/>
          <w:sz w:val="21"/>
          <w:szCs w:val="21"/>
          <w:highlight w:val="none"/>
          <w:lang w:eastAsia="zh-CN"/>
        </w:rPr>
        <w:t>备注：</w:t>
      </w:r>
      <w:r>
        <w:rPr>
          <w:rFonts w:hint="eastAsia" w:ascii="宋体" w:hAnsi="宋体" w:eastAsia="宋体" w:cs="宋体"/>
          <w:color w:val="auto"/>
          <w:sz w:val="21"/>
          <w:szCs w:val="21"/>
          <w:highlight w:val="none"/>
        </w:rPr>
        <w:t>绩效考核总分为150分，绩效考核得分大于等于130分的，甲方给予全额支付绩效考核奖励资金；绩效考核得分大于110分小于130分的，绩效考核奖励资金按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万元*[1-（130-绩效考核分数）*5%]计算；绩效考核得分小于等于110分的，不予发放绩效考核奖励资金</w:t>
      </w:r>
    </w:p>
    <w:p>
      <w:pPr>
        <w:rPr>
          <w:rStyle w:val="53"/>
          <w:rFonts w:hint="eastAsia" w:ascii="Times New Roman" w:hAnsi="Times New Roman" w:cs="Times New Roman"/>
          <w:b/>
          <w:bCs/>
          <w:color w:val="auto"/>
          <w:highlight w:val="none"/>
          <w:lang w:val="en-US" w:eastAsia="zh-CN" w:bidi="ar-SA"/>
        </w:rPr>
      </w:pPr>
    </w:p>
    <w:p>
      <w:pPr>
        <w:rPr>
          <w:rStyle w:val="53"/>
          <w:rFonts w:hint="eastAsia" w:ascii="Times New Roman" w:hAnsi="Times New Roman" w:cs="Times New Roman"/>
          <w:b/>
          <w:bCs/>
          <w:color w:val="auto"/>
          <w:highlight w:val="none"/>
          <w:lang w:val="en-US" w:eastAsia="zh-CN" w:bidi="ar-SA"/>
        </w:rPr>
      </w:pPr>
      <w:r>
        <w:rPr>
          <w:rStyle w:val="53"/>
          <w:rFonts w:hint="eastAsia" w:ascii="Times New Roman" w:hAnsi="Times New Roman" w:cs="Times New Roman"/>
          <w:b/>
          <w:bCs/>
          <w:color w:val="auto"/>
          <w:highlight w:val="none"/>
          <w:lang w:val="en-US" w:eastAsia="zh-CN" w:bidi="ar-SA"/>
        </w:rPr>
        <w:br w:type="page"/>
      </w:r>
    </w:p>
    <w:p>
      <w:pPr>
        <w:pStyle w:val="19"/>
        <w:snapToGrid w:val="0"/>
        <w:spacing w:before="120" w:after="120" w:line="440" w:lineRule="exact"/>
        <w:jc w:val="center"/>
        <w:outlineLvl w:val="0"/>
        <w:rPr>
          <w:rStyle w:val="53"/>
          <w:rFonts w:hint="eastAsia"/>
          <w:color w:val="auto"/>
          <w:highlight w:val="none"/>
          <w:lang w:val="en-US" w:eastAsia="zh-CN"/>
        </w:rPr>
      </w:pPr>
      <w:r>
        <w:rPr>
          <w:rStyle w:val="53"/>
          <w:rFonts w:hint="eastAsia"/>
          <w:color w:val="auto"/>
          <w:highlight w:val="none"/>
          <w:lang w:val="en-US" w:eastAsia="zh-CN"/>
        </w:rPr>
        <w:t>第三章  供应商须知</w:t>
      </w:r>
      <w:bookmarkEnd w:id="11"/>
    </w:p>
    <w:p>
      <w:pPr>
        <w:pStyle w:val="4"/>
        <w:keepNext/>
        <w:keepLines/>
        <w:pageBreakBefore w:val="0"/>
        <w:widowControl w:val="0"/>
        <w:kinsoku/>
        <w:wordWrap/>
        <w:overflowPunct/>
        <w:topLinePunct w:val="0"/>
        <w:autoSpaceDE/>
        <w:autoSpaceDN/>
        <w:bidi w:val="0"/>
        <w:adjustRightInd/>
        <w:snapToGrid/>
        <w:textAlignment w:val="auto"/>
        <w:outlineLvl w:val="1"/>
        <w:rPr>
          <w:rFonts w:hint="eastAsia"/>
          <w:color w:val="auto"/>
          <w:highlight w:val="none"/>
        </w:rPr>
      </w:pPr>
      <w:r>
        <w:rPr>
          <w:rFonts w:hint="eastAsia"/>
          <w:color w:val="auto"/>
          <w:highlight w:val="none"/>
        </w:rPr>
        <w:t>前附表</w:t>
      </w:r>
    </w:p>
    <w:tbl>
      <w:tblPr>
        <w:tblStyle w:val="38"/>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798"/>
        <w:gridCol w:w="7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9200" w:type="dxa"/>
            <w:gridSpan w:val="2"/>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条款及内容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rPr>
              <w:t>1</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采购人</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采购人名称：宁波市江北区应急管理局  　　　　　</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 xml:space="preserve">项目联系人：夏老师       </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项目联系方式：</w:t>
            </w:r>
            <w:r>
              <w:rPr>
                <w:rFonts w:hint="eastAsia" w:ascii="宋体" w:hAnsi="宋体" w:eastAsia="宋体" w:cs="宋体"/>
                <w:color w:val="auto"/>
                <w:kern w:val="0"/>
                <w:sz w:val="21"/>
                <w:szCs w:val="21"/>
                <w:highlight w:val="none"/>
                <w:lang w:val="en-US" w:eastAsia="zh-CN" w:bidi="ar-SA"/>
              </w:rPr>
              <w:t xml:space="preserve">0574-89388674 </w:t>
            </w:r>
            <w:r>
              <w:rPr>
                <w:rFonts w:hint="eastAsia"/>
                <w:color w:val="auto"/>
                <w:sz w:val="21"/>
                <w:szCs w:val="21"/>
                <w:highlight w:val="none"/>
                <w:lang w:val="en-US" w:eastAsia="zh-CN"/>
              </w:rPr>
              <w:t xml:space="preserve">            </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 xml:space="preserve">联系地址：宁波市江北区新马路183号 </w:t>
            </w:r>
            <w:r>
              <w:rPr>
                <w:rFonts w:hint="eastAsia" w:ascii="宋体" w:hAnsi="宋体" w:eastAsia="宋体" w:cs="宋体"/>
                <w:color w:val="auto"/>
                <w:kern w:val="0"/>
                <w:sz w:val="21"/>
                <w:szCs w:val="21"/>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rPr>
              <w:t>2</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代理机构</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采购代理机构：宁波市盛达工程管理咨询有限公司</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宁波市江北区唐虞路319号（创富商业中心）</w:t>
            </w:r>
            <w:r>
              <w:rPr>
                <w:rFonts w:hint="eastAsia" w:ascii="宋体" w:hAnsi="宋体" w:eastAsia="宋体" w:cs="宋体"/>
                <w:color w:val="auto"/>
                <w:sz w:val="21"/>
                <w:szCs w:val="21"/>
                <w:highlight w:val="none"/>
                <w:lang w:val="en-US" w:eastAsia="zh-CN"/>
              </w:rPr>
              <w:t>A座</w:t>
            </w:r>
            <w:r>
              <w:rPr>
                <w:rFonts w:hint="eastAsia" w:ascii="宋体" w:hAnsi="宋体" w:eastAsia="宋体" w:cs="宋体"/>
                <w:color w:val="auto"/>
                <w:sz w:val="21"/>
                <w:szCs w:val="21"/>
                <w:highlight w:val="none"/>
                <w:lang w:eastAsia="zh-CN"/>
              </w:rPr>
              <w:t xml:space="preserve"> 5楼</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kern w:val="0"/>
                <w:sz w:val="21"/>
                <w:szCs w:val="21"/>
                <w:highlight w:val="none"/>
                <w:lang w:val="en-US" w:eastAsia="zh-CN" w:bidi="ar-SA"/>
              </w:rPr>
              <w:t xml:space="preserve">蔡青青、郑梅英、吕玲卓、顾静芬、张琳玲 </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574-87636525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rPr>
              <w:t>3</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发布媒体</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 xml:space="preserve">浙江政府采购网                   </w:t>
            </w:r>
            <w:r>
              <w:rPr>
                <w:rFonts w:hint="eastAsia" w:ascii="宋体" w:hAnsi="宋体" w:eastAsia="宋体" w:cs="宋体"/>
                <w:color w:val="auto"/>
                <w:kern w:val="0"/>
                <w:sz w:val="21"/>
                <w:szCs w:val="21"/>
                <w:highlight w:val="none"/>
                <w:lang w:val="en"/>
              </w:rPr>
              <w:fldChar w:fldCharType="begin"/>
            </w:r>
            <w:r>
              <w:rPr>
                <w:rFonts w:hint="eastAsia" w:ascii="宋体" w:hAnsi="宋体" w:eastAsia="宋体" w:cs="宋体"/>
                <w:color w:val="auto"/>
                <w:kern w:val="0"/>
                <w:sz w:val="21"/>
                <w:szCs w:val="21"/>
                <w:highlight w:val="none"/>
                <w:lang w:val="en"/>
              </w:rPr>
              <w:instrText xml:space="preserve"> HYPERLINK "http://zfcg.czt.zj.gov.cn/" </w:instrText>
            </w:r>
            <w:r>
              <w:rPr>
                <w:rFonts w:hint="eastAsia" w:ascii="宋体" w:hAnsi="宋体" w:eastAsia="宋体" w:cs="宋体"/>
                <w:color w:val="auto"/>
                <w:kern w:val="0"/>
                <w:sz w:val="21"/>
                <w:szCs w:val="21"/>
                <w:highlight w:val="none"/>
                <w:lang w:val="en"/>
              </w:rPr>
              <w:fldChar w:fldCharType="separate"/>
            </w:r>
            <w:r>
              <w:rPr>
                <w:rFonts w:hint="eastAsia" w:ascii="宋体" w:hAnsi="宋体" w:eastAsia="宋体" w:cs="宋体"/>
                <w:color w:val="auto"/>
                <w:kern w:val="0"/>
                <w:sz w:val="21"/>
                <w:szCs w:val="21"/>
                <w:highlight w:val="none"/>
                <w:lang w:val="en"/>
              </w:rPr>
              <w:t>http://zfcg.czt.zj.gov.cn/</w:t>
            </w:r>
            <w:r>
              <w:rPr>
                <w:rFonts w:hint="eastAsia" w:ascii="宋体" w:hAnsi="宋体" w:eastAsia="宋体" w:cs="宋体"/>
                <w:color w:val="auto"/>
                <w:kern w:val="0"/>
                <w:sz w:val="21"/>
                <w:szCs w:val="21"/>
                <w:highlight w:val="none"/>
                <w:lang w:val="en"/>
              </w:rPr>
              <w:fldChar w:fldCharType="end"/>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宁波政府采购网                   http://www.nbzfcg.cn/</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rPr>
              <w:t>宁波市公共资源交易电子服务系统</w:t>
            </w:r>
            <w:r>
              <w:rPr>
                <w:rFonts w:hint="eastAsia" w:ascii="宋体" w:hAnsi="宋体" w:eastAsia="宋体" w:cs="宋体"/>
                <w:color w:val="auto"/>
                <w:kern w:val="0"/>
                <w:sz w:val="21"/>
                <w:szCs w:val="21"/>
                <w:highlight w:val="none"/>
                <w:lang w:val="en-US" w:eastAsia="zh-CN"/>
              </w:rPr>
              <w:t xml:space="preserve">   http://jyxt.zwb.ningbo.gov.cn:4011/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108" w:leftChars="0" w:right="-113"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4</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项目名称</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240" w:lineRule="auto"/>
              <w:ind w:left="0" w:firstLine="0" w:firstLineChars="0"/>
              <w:jc w:val="both"/>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color w:val="auto"/>
                <w:kern w:val="0"/>
                <w:sz w:val="21"/>
                <w:szCs w:val="21"/>
                <w:highlight w:val="none"/>
                <w:u w:val="single"/>
                <w:lang w:val="en-US" w:eastAsia="zh-CN"/>
              </w:rPr>
              <w:t>江北区2024-2026年度企业安全生产社会化协作服务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108" w:leftChars="0" w:right="-113" w:righ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资金来源</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240" w:lineRule="auto"/>
              <w:ind w:left="0" w:firstLine="0" w:firstLine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区财政</w:t>
            </w:r>
            <w:r>
              <w:rPr>
                <w:rFonts w:hint="eastAsia" w:ascii="宋体" w:hAnsi="宋体" w:cs="宋体"/>
                <w:b w:val="0"/>
                <w:bCs w:val="0"/>
                <w:color w:val="auto"/>
                <w:sz w:val="21"/>
                <w:szCs w:val="21"/>
                <w:highlight w:val="none"/>
                <w:lang w:val="en-US" w:eastAsia="zh-CN"/>
              </w:rPr>
              <w:t>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108" w:leftChars="0" w:right="-113" w:righ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val="en-US" w:eastAsia="zh-CN"/>
              </w:rPr>
              <w:t>6</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▲服务期限</w:t>
            </w:r>
          </w:p>
        </w:tc>
        <w:tc>
          <w:tcPr>
            <w:tcW w:w="740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u w:val="single"/>
                <w:lang w:val="en-US" w:eastAsia="zh-CN"/>
              </w:rPr>
              <w:t>自合同签订之日起两年，合同一年一签，采购人根据中标人在上一阶段合同履约及财政资金审批等情况决定是否续签</w:t>
            </w: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val="0"/>
                <w:bCs w:val="0"/>
                <w:color w:val="auto"/>
                <w:kern w:val="0"/>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vertAlign w:val="baseline"/>
                <w:lang w:val="en-US" w:eastAsia="zh-CN" w:bidi="ar-SA"/>
              </w:rPr>
              <w:t>7</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采购方式</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240" w:lineRule="auto"/>
              <w:ind w:left="0" w:firstLine="0" w:firstLineChars="0"/>
              <w:jc w:val="left"/>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公开采购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val="0"/>
                <w:bCs w:val="0"/>
                <w:color w:val="auto"/>
                <w:kern w:val="0"/>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lang w:val="en-US" w:eastAsia="zh-CN" w:bidi="ar-SA"/>
              </w:rPr>
              <w:t>8</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现场踏勘</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本项目不统一组织现场勘察，</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可自行对本项目现场和周围环境进行勘察。勘察现场所发生的费用由</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自己承担。不论何种原因所造成，在勘察过程中，</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▲投标报价及费用</w:t>
            </w:r>
          </w:p>
        </w:tc>
        <w:tc>
          <w:tcPr>
            <w:tcW w:w="7402" w:type="dxa"/>
            <w:noWrap w:val="0"/>
            <w:vAlign w:val="center"/>
          </w:tcPr>
          <w:p>
            <w:pPr>
              <w:pStyle w:val="3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exact"/>
              <w:ind w:left="0" w:leftChars="0" w:right="0" w:rightChars="0" w:firstLine="0" w:firstLineChars="0"/>
              <w:jc w:val="both"/>
              <w:textAlignment w:val="auto"/>
              <w:outlineLvl w:val="9"/>
              <w:rPr>
                <w:rFonts w:hint="eastAsia" w:ascii="宋体" w:hAnsi="宋体" w:eastAsia="宋体" w:cs="宋体"/>
                <w:b/>
                <w:bCs/>
                <w:color w:val="auto"/>
                <w:sz w:val="21"/>
                <w:szCs w:val="21"/>
                <w:highlight w:val="none"/>
                <w:u w:val="none"/>
                <w:lang w:val="en-US" w:eastAsia="zh-CN"/>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本项目最高限价：</w:t>
            </w:r>
            <w:r>
              <w:rPr>
                <w:rFonts w:hint="eastAsia" w:ascii="宋体" w:hAnsi="宋体" w:cs="宋体"/>
                <w:b/>
                <w:bCs/>
                <w:color w:val="auto"/>
                <w:sz w:val="21"/>
                <w:szCs w:val="21"/>
                <w:highlight w:val="none"/>
                <w:lang w:val="en-US" w:eastAsia="zh-CN"/>
              </w:rPr>
              <w:t>本项目分为4个项目，每个标项最高限价均为</w:t>
            </w:r>
            <w:r>
              <w:rPr>
                <w:rFonts w:hint="eastAsia" w:ascii="宋体" w:hAnsi="宋体" w:cs="宋体"/>
                <w:b/>
                <w:bCs/>
                <w:color w:val="auto"/>
                <w:sz w:val="21"/>
                <w:szCs w:val="21"/>
                <w:highlight w:val="none"/>
                <w:u w:val="none"/>
                <w:lang w:val="en-US" w:eastAsia="zh-CN"/>
              </w:rPr>
              <w:t>人民币50万元/年（含绩效考核奖励资金4万元和工矿企业事故遏制奖励资金3万元）</w:t>
            </w:r>
            <w:r>
              <w:rPr>
                <w:rFonts w:hint="eastAsia" w:ascii="宋体" w:hAnsi="宋体" w:eastAsia="宋体" w:cs="宋体"/>
                <w:b/>
                <w:bCs/>
                <w:color w:val="auto"/>
                <w:sz w:val="21"/>
                <w:szCs w:val="21"/>
                <w:highlight w:val="none"/>
                <w:u w:val="none"/>
                <w:lang w:val="en-US" w:eastAsia="zh-CN"/>
              </w:rPr>
              <w:t>。</w:t>
            </w:r>
          </w:p>
          <w:p>
            <w:pPr>
              <w:pStyle w:val="3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exact"/>
              <w:ind w:left="0" w:leftChars="0" w:right="0" w:rightChars="0" w:firstLine="0" w:firstLineChars="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超过最高限价的</w:t>
            </w:r>
            <w:r>
              <w:rPr>
                <w:rFonts w:hint="eastAsia" w:ascii="宋体" w:hAnsi="宋体" w:cs="宋体"/>
                <w:b/>
                <w:bCs/>
                <w:color w:val="auto"/>
                <w:sz w:val="21"/>
                <w:szCs w:val="21"/>
                <w:highlight w:val="none"/>
                <w:lang w:val="en-US" w:eastAsia="zh-CN"/>
              </w:rPr>
              <w:t>投标报价</w:t>
            </w:r>
            <w:r>
              <w:rPr>
                <w:rFonts w:hint="eastAsia" w:ascii="宋体" w:hAnsi="宋体" w:eastAsia="宋体" w:cs="宋体"/>
                <w:b/>
                <w:bCs/>
                <w:color w:val="auto"/>
                <w:sz w:val="21"/>
                <w:szCs w:val="21"/>
                <w:highlight w:val="none"/>
                <w:lang w:val="en-US" w:eastAsia="zh-CN"/>
              </w:rPr>
              <w:t>作无效标处理。</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right="0" w:firstLine="0" w:firstLineChars="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本项目的投标总价</w:t>
            </w:r>
            <w:r>
              <w:rPr>
                <w:rFonts w:hint="eastAsia" w:ascii="宋体" w:hAnsi="宋体" w:cs="宋体"/>
                <w:color w:val="auto"/>
                <w:kern w:val="0"/>
                <w:sz w:val="21"/>
                <w:szCs w:val="21"/>
                <w:highlight w:val="none"/>
                <w:lang w:val="en-US" w:eastAsia="zh-CN" w:bidi="ar-SA"/>
              </w:rPr>
              <w:t>已</w:t>
            </w:r>
            <w:r>
              <w:rPr>
                <w:rFonts w:hint="eastAsia" w:ascii="宋体" w:hAnsi="宋体" w:eastAsia="宋体" w:cs="宋体"/>
                <w:color w:val="auto"/>
                <w:kern w:val="0"/>
                <w:sz w:val="21"/>
                <w:szCs w:val="21"/>
                <w:highlight w:val="none"/>
                <w:lang w:val="en-US" w:eastAsia="zh-CN" w:bidi="ar-SA"/>
              </w:rPr>
              <w:t>包含完成本服务所需的所有费用，</w:t>
            </w:r>
            <w:r>
              <w:rPr>
                <w:rFonts w:hint="eastAsia" w:ascii="宋体" w:hAnsi="宋体" w:cs="宋体"/>
                <w:color w:val="auto"/>
                <w:kern w:val="0"/>
                <w:sz w:val="21"/>
                <w:szCs w:val="21"/>
                <w:highlight w:val="none"/>
                <w:lang w:val="en-US" w:eastAsia="zh-CN" w:bidi="ar-SA"/>
              </w:rPr>
              <w:t>包括但不限于：</w:t>
            </w:r>
            <w:r>
              <w:rPr>
                <w:rFonts w:hint="eastAsia" w:ascii="宋体" w:hAnsi="宋体" w:eastAsia="宋体" w:cs="宋体"/>
                <w:color w:val="auto"/>
                <w:kern w:val="0"/>
                <w:sz w:val="21"/>
                <w:szCs w:val="21"/>
                <w:highlight w:val="none"/>
                <w:lang w:val="en-US" w:eastAsia="zh-CN" w:bidi="ar-SA"/>
              </w:rPr>
              <w:t>人员基本工资、</w:t>
            </w:r>
            <w:r>
              <w:rPr>
                <w:rFonts w:hint="eastAsia" w:ascii="宋体" w:hAnsi="宋体" w:cs="宋体"/>
                <w:color w:val="auto"/>
                <w:kern w:val="0"/>
                <w:sz w:val="21"/>
                <w:szCs w:val="21"/>
                <w:highlight w:val="none"/>
                <w:lang w:val="en-US" w:eastAsia="zh-CN" w:bidi="ar-SA"/>
              </w:rPr>
              <w:t>社保、岗位津贴等</w:t>
            </w:r>
            <w:r>
              <w:rPr>
                <w:rFonts w:hint="eastAsia" w:ascii="宋体" w:hAnsi="宋体" w:eastAsia="宋体" w:cs="宋体"/>
                <w:color w:val="auto"/>
                <w:kern w:val="0"/>
                <w:sz w:val="21"/>
                <w:szCs w:val="21"/>
                <w:highlight w:val="none"/>
                <w:lang w:val="en-US" w:eastAsia="zh-CN" w:bidi="ar-SA"/>
              </w:rPr>
              <w:t>各类福利和补贴（如加班补贴、高温补贴、早餐补贴等）的缴纳，暂住费、各种保险及处理一切伤亡事故等</w:t>
            </w:r>
            <w:r>
              <w:rPr>
                <w:rFonts w:hint="eastAsia" w:ascii="宋体" w:hAnsi="宋体" w:cs="宋体"/>
                <w:color w:val="auto"/>
                <w:kern w:val="0"/>
                <w:sz w:val="21"/>
                <w:szCs w:val="21"/>
                <w:highlight w:val="none"/>
                <w:lang w:val="en-US" w:eastAsia="zh-CN" w:bidi="ar-SA"/>
              </w:rPr>
              <w:t>费用</w:t>
            </w:r>
            <w:r>
              <w:rPr>
                <w:rFonts w:hint="eastAsia" w:ascii="宋体" w:hAnsi="宋体" w:eastAsia="宋体" w:cs="宋体"/>
                <w:color w:val="auto"/>
                <w:kern w:val="0"/>
                <w:sz w:val="21"/>
                <w:szCs w:val="21"/>
                <w:highlight w:val="none"/>
                <w:lang w:val="en-US" w:eastAsia="zh-CN" w:bidi="ar-SA"/>
              </w:rPr>
              <w:t>，人员各季节工作服（含帽、衣、裤、鞋、雨衣、雨裤，雨鞋）的配置，人员所使用作业工具等各类耗材费，设施设备管理维护费用，税金、利润及其他与本次</w:t>
            </w:r>
            <w:r>
              <w:rPr>
                <w:rFonts w:hint="eastAsia" w:ascii="宋体" w:hAnsi="宋体" w:cs="宋体"/>
                <w:color w:val="auto"/>
                <w:kern w:val="0"/>
                <w:sz w:val="21"/>
                <w:szCs w:val="21"/>
                <w:highlight w:val="none"/>
                <w:lang w:val="en-US" w:eastAsia="zh-CN" w:bidi="ar-SA"/>
              </w:rPr>
              <w:t>服务</w:t>
            </w:r>
            <w:r>
              <w:rPr>
                <w:rFonts w:hint="eastAsia" w:ascii="宋体" w:hAnsi="宋体" w:eastAsia="宋体" w:cs="宋体"/>
                <w:color w:val="auto"/>
                <w:kern w:val="0"/>
                <w:sz w:val="21"/>
                <w:szCs w:val="21"/>
                <w:highlight w:val="none"/>
                <w:lang w:val="en-US" w:eastAsia="zh-CN" w:bidi="ar-SA"/>
              </w:rPr>
              <w:t>相关的一切费用</w:t>
            </w:r>
            <w:r>
              <w:rPr>
                <w:rFonts w:hint="eastAsia" w:ascii="宋体" w:hAnsi="宋体" w:cs="宋体"/>
                <w:color w:val="auto"/>
                <w:kern w:val="0"/>
                <w:sz w:val="21"/>
                <w:szCs w:val="21"/>
                <w:highlight w:val="none"/>
                <w:lang w:val="en-US" w:eastAsia="zh-CN" w:bidi="ar-SA"/>
              </w:rPr>
              <w:t>，采购人不再另行支付其他费用</w:t>
            </w:r>
            <w:r>
              <w:rPr>
                <w:rFonts w:hint="eastAsia" w:ascii="宋体" w:hAnsi="宋体" w:eastAsia="宋体" w:cs="宋体"/>
                <w:color w:val="auto"/>
                <w:kern w:val="0"/>
                <w:sz w:val="21"/>
                <w:szCs w:val="21"/>
                <w:highlight w:val="none"/>
                <w:lang w:val="en-US" w:eastAsia="zh-CN" w:bidi="ar-SA"/>
              </w:rPr>
              <w:t>。</w:t>
            </w:r>
          </w:p>
          <w:p>
            <w:pPr>
              <w:pStyle w:val="28"/>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3、供应商</w:t>
            </w:r>
            <w:r>
              <w:rPr>
                <w:rFonts w:hint="eastAsia" w:ascii="宋体" w:hAnsi="宋体" w:eastAsia="宋体" w:cs="宋体"/>
                <w:color w:val="auto"/>
                <w:kern w:val="2"/>
                <w:sz w:val="21"/>
                <w:szCs w:val="21"/>
                <w:highlight w:val="none"/>
                <w:lang w:val="en-US" w:eastAsia="zh-CN" w:bidi="ar-SA"/>
              </w:rPr>
              <w:t>应考虑投标及服务期间的因市场因素或政策因素等实施过程中可能遇到的各种风险，事后不得以任何理由要求增加合同费用</w:t>
            </w:r>
            <w:r>
              <w:rPr>
                <w:rFonts w:hint="eastAsia" w:ascii="宋体" w:hAnsi="宋体" w:cs="宋体"/>
                <w:color w:val="auto"/>
                <w:kern w:val="2"/>
                <w:sz w:val="21"/>
                <w:szCs w:val="21"/>
                <w:highlight w:val="none"/>
                <w:lang w:val="en-US" w:eastAsia="zh-CN" w:bidi="ar-SA"/>
              </w:rPr>
              <w:t>。</w:t>
            </w:r>
          </w:p>
          <w:p>
            <w:pPr>
              <w:pStyle w:val="90"/>
              <w:keepNext w:val="0"/>
              <w:keepLines w:val="0"/>
              <w:pageBreakBefore w:val="0"/>
              <w:widowControl w:val="0"/>
              <w:shd w:val="clear" w:color="auto" w:fill="auto"/>
              <w:kinsoku/>
              <w:wordWrap/>
              <w:overflowPunct/>
              <w:topLinePunct w:val="0"/>
              <w:autoSpaceDE/>
              <w:autoSpaceDN/>
              <w:bidi w:val="0"/>
              <w:snapToGrid/>
              <w:spacing w:line="360" w:lineRule="exact"/>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4、不论投标结果如何，供应商均应自行承担所有与投标有关的全部费</w:t>
            </w:r>
            <w:r>
              <w:rPr>
                <w:rFonts w:hint="eastAsia" w:ascii="宋体" w:hAnsi="宋体" w:eastAsia="宋体" w:cs="宋体"/>
                <w:color w:val="auto"/>
                <w:sz w:val="21"/>
                <w:szCs w:val="21"/>
                <w:highlight w:val="none"/>
              </w:rPr>
              <w:t>用。</w:t>
            </w:r>
          </w:p>
          <w:p>
            <w:pPr>
              <w:pStyle w:val="90"/>
              <w:keepNext w:val="0"/>
              <w:keepLines w:val="0"/>
              <w:pageBreakBefore w:val="0"/>
              <w:widowControl w:val="0"/>
              <w:shd w:val="clear" w:color="auto" w:fill="auto"/>
              <w:kinsoku/>
              <w:wordWrap/>
              <w:overflowPunct/>
              <w:topLinePunct w:val="0"/>
              <w:autoSpaceDE/>
              <w:autoSpaceDN/>
              <w:bidi w:val="0"/>
              <w:snapToGrid/>
              <w:spacing w:line="360" w:lineRule="exact"/>
              <w:ind w:lef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w:t>
            </w:r>
            <w:r>
              <w:rPr>
                <w:rFonts w:hint="eastAsia" w:ascii="宋体" w:hAnsi="宋体" w:eastAsia="宋体" w:cs="宋体"/>
                <w:color w:val="auto"/>
                <w:sz w:val="21"/>
                <w:szCs w:val="21"/>
                <w:highlight w:val="none"/>
                <w:lang w:val="zh-CN" w:eastAsia="zh-CN" w:bidi="zh-CN"/>
              </w:rPr>
              <w:t>项目投标应以人民币报价</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付款方式</w:t>
            </w:r>
          </w:p>
        </w:tc>
        <w:tc>
          <w:tcPr>
            <w:tcW w:w="7402" w:type="dxa"/>
            <w:noWrap w:val="0"/>
            <w:vAlign w:val="center"/>
          </w:tcPr>
          <w:p>
            <w:pPr>
              <w:pStyle w:val="9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0" w:firstLineChars="0"/>
              <w:jc w:val="both"/>
              <w:textAlignment w:val="auto"/>
              <w:outlineLvl w:val="9"/>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详见招标文件第二章《采购需求》“商务要求”。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bCs/>
                <w:color w:val="auto"/>
                <w:sz w:val="21"/>
                <w:szCs w:val="21"/>
                <w:highlight w:val="none"/>
              </w:rPr>
              <w:t>履约保证金</w:t>
            </w:r>
          </w:p>
        </w:tc>
        <w:tc>
          <w:tcPr>
            <w:tcW w:w="7402"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本项目不作要求。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▲投标有效期</w:t>
            </w:r>
          </w:p>
        </w:tc>
        <w:tc>
          <w:tcPr>
            <w:tcW w:w="7402"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投标截止日起90天</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投标保证金</w:t>
            </w:r>
          </w:p>
        </w:tc>
        <w:tc>
          <w:tcPr>
            <w:tcW w:w="7402"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本项目不适用</w:t>
            </w:r>
            <w:r>
              <w:rPr>
                <w:rFonts w:hint="eastAsia" w:ascii="宋体" w:hAnsi="宋体" w:eastAsia="宋体" w:cs="宋体"/>
                <w:color w:val="auto"/>
                <w:sz w:val="21"/>
                <w:szCs w:val="21"/>
                <w:highlight w:val="none"/>
              </w:rPr>
              <w:t>（本项目所有涉及保证金内容的条款均不适用）</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投标文件的组成</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1.资格证明文件组成：</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（1）资格条件自查表；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（2）投标声明书；</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（3）法定代表人身份证明或法定代表人授权委托书；</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（4）中小企业声明函；</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（5）残疾人福利性单位声明函（如有）；</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（6）由省级以上监狱管理局、戒毒管理局（含新疆生产建设兵团）出具的属于监狱企业的证明文件（如有）；</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具备《中华人民共和国政府采购法》第二十二条规定的资格条件的承诺函；</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）提供具有履行合同所必需的设备和专业技术能力的声明；</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）提供参加政府采购活动前3年内在经营活动中没有重大违法记录的声明；</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）投标承诺函；</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认为有必要说明的其他资料。</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2.商务技术文件组成： </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（1）符合性自查表；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（2）供应商响应表；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（3）商务条款偏离表；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（4）技术条款偏离表；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基本情况说明；</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（6）拟投入本项目服务人员情况表；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业绩表（如有）；</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（8）针对本项目第四章《评标办法及评标标准》中的条款拟定各种方案；</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 xml:space="preserve">）第四章《评标办法及评标标准》中需提供的其他相关证书及合同等复印件加盖公章（如有）； </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）供应商认为有必要提供的或评分标准要求提供的或本技术规格书中要求提供的其他技术资料及说明。</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▲注：资格证明文件、技术商务文件中不能出现报价。</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3.投标报价文件组成：</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（1）投标函；</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（2）开标一览表；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投标报价</w:t>
            </w:r>
            <w:r>
              <w:rPr>
                <w:rFonts w:hint="eastAsia" w:ascii="宋体" w:hAnsi="宋体" w:eastAsia="宋体" w:cs="宋体"/>
                <w:color w:val="auto"/>
                <w:sz w:val="21"/>
                <w:szCs w:val="21"/>
                <w:highlight w:val="none"/>
                <w:lang w:val="en-US" w:eastAsia="zh-CN"/>
              </w:rPr>
              <w:t>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（4）政府采购统计基础信息表；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（5）供应商认为有必要提供的其他资料及说明</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以上格式详见第六章《投标文见格式》，若未提供格式的由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要求</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本项目实行网上投标，供应商应准备以下投标文件：</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▲（1）上传到政府采购云平台的电子投标文件（含资格文件、商务和技术文件、报价文件）1份。</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（2）以U盘存储的电子备份投标文件（含资格文件、商务和技术文件、报价文件）1份（电子备份投标文件不作实质性要求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是否提交由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自行决定，用于异常情况处理）。</w:t>
            </w:r>
          </w:p>
          <w:p>
            <w:pPr>
              <w:pStyle w:val="15"/>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（3）纸质备份文件：中标人须在中标后3个工作日内提供资格文件、商务和技术文件、报价文件正副本各1份，纸质投标文件需与电子投标文件一致。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投标截止时间及地点</w:t>
            </w:r>
          </w:p>
        </w:tc>
        <w:tc>
          <w:tcPr>
            <w:tcW w:w="7402"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详见招标文件第一章 公开招标采购公告。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开标时间及地点</w:t>
            </w:r>
          </w:p>
        </w:tc>
        <w:tc>
          <w:tcPr>
            <w:tcW w:w="7402"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详见招标文件第一章 公开招标采购公告。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18</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评标办法及评分标准</w:t>
            </w:r>
          </w:p>
        </w:tc>
        <w:tc>
          <w:tcPr>
            <w:tcW w:w="7402"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第四章 评标办法及评分标准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签订合同时间</w:t>
            </w:r>
          </w:p>
        </w:tc>
        <w:tc>
          <w:tcPr>
            <w:tcW w:w="7402"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中标服务费</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360" w:lineRule="auto"/>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“宁波市网上中介超市”中选价格20000元一次性包干，每个标项5000元，由各</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en-US" w:eastAsia="zh-CN"/>
              </w:rPr>
              <w:t>单位</w:t>
            </w:r>
            <w:r>
              <w:rPr>
                <w:rFonts w:hint="eastAsia" w:ascii="宋体" w:hAnsi="宋体" w:eastAsia="宋体" w:cs="宋体"/>
                <w:color w:val="auto"/>
                <w:szCs w:val="21"/>
                <w:highlight w:val="none"/>
              </w:rPr>
              <w:t>在中标通知书</w:t>
            </w:r>
            <w:r>
              <w:rPr>
                <w:rFonts w:hint="eastAsia" w:ascii="宋体" w:hAnsi="宋体" w:eastAsia="宋体" w:cs="宋体"/>
                <w:color w:val="auto"/>
                <w:szCs w:val="21"/>
                <w:highlight w:val="none"/>
                <w:lang w:val="en-US" w:eastAsia="zh-CN"/>
              </w:rPr>
              <w:t>发布</w:t>
            </w:r>
            <w:r>
              <w:rPr>
                <w:rFonts w:hint="eastAsia" w:ascii="宋体" w:hAnsi="宋体" w:eastAsia="宋体" w:cs="宋体"/>
                <w:color w:val="auto"/>
                <w:szCs w:val="21"/>
                <w:highlight w:val="none"/>
              </w:rPr>
              <w:t>前向招标代理机构</w:t>
            </w:r>
            <w:r>
              <w:rPr>
                <w:rFonts w:hint="eastAsia" w:ascii="宋体" w:hAnsi="宋体" w:eastAsia="宋体" w:cs="宋体"/>
                <w:color w:val="auto"/>
                <w:szCs w:val="21"/>
                <w:highlight w:val="none"/>
                <w:lang w:val="en-US" w:eastAsia="zh-CN"/>
              </w:rPr>
              <w:t>一次性</w:t>
            </w:r>
            <w:r>
              <w:rPr>
                <w:rFonts w:hint="eastAsia" w:ascii="宋体" w:hAnsi="宋体" w:eastAsia="宋体" w:cs="宋体"/>
                <w:color w:val="auto"/>
                <w:szCs w:val="21"/>
                <w:highlight w:val="none"/>
              </w:rPr>
              <w:t>支付</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中小企业划分标准</w:t>
            </w:r>
          </w:p>
        </w:tc>
        <w:tc>
          <w:tcPr>
            <w:tcW w:w="740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both"/>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本项目对应的中小企业划分标准所属行业：</w:t>
            </w:r>
            <w:r>
              <w:rPr>
                <w:rFonts w:hint="eastAsia" w:ascii="宋体" w:hAnsi="宋体" w:eastAsia="宋体" w:cs="宋体"/>
                <w:b/>
                <w:bCs/>
                <w:color w:val="auto"/>
                <w:kern w:val="2"/>
                <w:sz w:val="21"/>
                <w:szCs w:val="21"/>
                <w:highlight w:val="none"/>
                <w:u w:val="single"/>
                <w:lang w:val="en-US" w:eastAsia="zh-CN" w:bidi="ar-SA"/>
              </w:rPr>
              <w:t>其他未列明行业</w:t>
            </w:r>
            <w:r>
              <w:rPr>
                <w:rFonts w:hint="eastAsia" w:ascii="宋体" w:hAnsi="宋体" w:eastAsia="宋体" w:cs="宋体"/>
                <w:b w:val="0"/>
                <w:bCs w:val="0"/>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▲合同履约期限</w:t>
            </w:r>
          </w:p>
        </w:tc>
        <w:tc>
          <w:tcPr>
            <w:tcW w:w="7402" w:type="dxa"/>
            <w:noWrap w:val="0"/>
            <w:vAlign w:val="center"/>
          </w:tcPr>
          <w:p>
            <w:pPr>
              <w:pStyle w:val="15"/>
              <w:keepNext w:val="0"/>
              <w:keepLines w:val="0"/>
              <w:pageBreakBefore w:val="0"/>
              <w:widowControl w:val="0"/>
              <w:shd w:val="clear" w:color="auto" w:fill="auto"/>
              <w:kinsoku/>
              <w:wordWrap/>
              <w:overflowPunct/>
              <w:topLinePunct w:val="0"/>
              <w:bidi w:val="0"/>
              <w:adjustRightInd/>
              <w:snapToGrid/>
              <w:spacing w:after="0" w:line="240" w:lineRule="auto"/>
              <w:ind w:left="0" w:firstLine="0" w:firstLineChars="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自合同签订生效之日至双方合同义务完全履行完毕后止</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解释</w:t>
            </w:r>
          </w:p>
        </w:tc>
        <w:tc>
          <w:tcPr>
            <w:tcW w:w="7402" w:type="dxa"/>
            <w:noWrap w:val="0"/>
            <w:vAlign w:val="center"/>
          </w:tcPr>
          <w:p>
            <w:pPr>
              <w:pStyle w:val="35"/>
              <w:keepNext w:val="0"/>
              <w:keepLines w:val="0"/>
              <w:pageBreakBefore w:val="0"/>
              <w:widowControl w:val="0"/>
              <w:shd w:val="clear" w:color="auto" w:fill="auto"/>
              <w:kinsoku/>
              <w:wordWrap/>
              <w:overflowPunct/>
              <w:topLinePunct w:val="0"/>
              <w:bidi w:val="0"/>
              <w:adjustRightInd/>
              <w:snapToGrid/>
              <w:spacing w:after="0" w:line="240" w:lineRule="auto"/>
              <w:ind w:left="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本招标文件的解释权属于招标采购单位</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w:t>
            </w:r>
          </w:p>
        </w:tc>
        <w:tc>
          <w:tcPr>
            <w:tcW w:w="1798" w:type="dxa"/>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w:t>
            </w:r>
          </w:p>
        </w:tc>
        <w:tc>
          <w:tcPr>
            <w:tcW w:w="7402" w:type="dxa"/>
            <w:noWrap w:val="0"/>
            <w:vAlign w:val="center"/>
          </w:tcPr>
          <w:p>
            <w:pPr>
              <w:pStyle w:val="35"/>
              <w:keepNext w:val="0"/>
              <w:keepLines w:val="0"/>
              <w:pageBreakBefore w:val="0"/>
              <w:widowControl w:val="0"/>
              <w:shd w:val="clear" w:color="auto" w:fill="auto"/>
              <w:kinsoku/>
              <w:wordWrap/>
              <w:overflowPunct/>
              <w:topLinePunct w:val="0"/>
              <w:bidi w:val="0"/>
              <w:adjustRightInd/>
              <w:snapToGrid/>
              <w:spacing w:after="0" w:line="360" w:lineRule="auto"/>
              <w:ind w:left="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须知前附表”是</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须知正文内容的补充和细化，如本前附表与正文内容表述不一致的，以“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须知前附表”为准。</w:t>
            </w:r>
          </w:p>
        </w:tc>
      </w:tr>
    </w:tbl>
    <w:p>
      <w:pPr>
        <w:rPr>
          <w:rFonts w:hint="eastAsia"/>
          <w:color w:val="auto"/>
          <w:highlight w:val="none"/>
        </w:rPr>
      </w:pPr>
    </w:p>
    <w:p>
      <w:pPr>
        <w:pStyle w:val="11"/>
        <w:rPr>
          <w:rFonts w:hint="eastAsia"/>
          <w:color w:val="auto"/>
          <w:highlight w:val="none"/>
        </w:rPr>
      </w:pPr>
    </w:p>
    <w:p>
      <w:pPr>
        <w:rPr>
          <w:rFonts w:hint="eastAsia" w:ascii="宋体" w:hAnsi="宋体" w:eastAsia="宋体" w:cs="宋体"/>
          <w:b/>
          <w:bCs/>
          <w:color w:val="auto"/>
          <w:kern w:val="2"/>
          <w:sz w:val="21"/>
          <w:szCs w:val="21"/>
          <w:highlight w:val="none"/>
          <w:lang w:val="en-US" w:eastAsia="zh-CN" w:bidi="ar-SA"/>
        </w:rPr>
      </w:pPr>
      <w:bookmarkStart w:id="12" w:name="_Toc485712536"/>
      <w:r>
        <w:rPr>
          <w:rFonts w:hint="eastAsia" w:ascii="宋体" w:hAnsi="宋体" w:eastAsia="宋体" w:cs="宋体"/>
          <w:b/>
          <w:bCs/>
          <w:color w:val="auto"/>
          <w:kern w:val="2"/>
          <w:sz w:val="21"/>
          <w:szCs w:val="21"/>
          <w:highlight w:val="none"/>
          <w:lang w:val="en-US" w:eastAsia="zh-CN" w:bidi="ar-SA"/>
        </w:rPr>
        <w:br w:type="page"/>
      </w:r>
    </w:p>
    <w:p>
      <w:pPr>
        <w:pStyle w:val="19"/>
        <w:keepNext w:val="0"/>
        <w:keepLines w:val="0"/>
        <w:pageBreakBefore w:val="0"/>
        <w:widowControl w:val="0"/>
        <w:shd w:val="clear" w:color="auto" w:fill="auto"/>
        <w:kinsoku/>
        <w:wordWrap/>
        <w:overflowPunct/>
        <w:topLinePunct w:val="0"/>
        <w:autoSpaceDE w:val="0"/>
        <w:autoSpaceDN w:val="0"/>
        <w:bidi w:val="0"/>
        <w:adjustRightInd/>
        <w:snapToGrid/>
        <w:spacing w:before="0" w:beforeLines="0" w:after="0" w:afterLines="0"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一、总则</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color w:val="auto"/>
          <w:sz w:val="21"/>
          <w:szCs w:val="21"/>
          <w:highlight w:val="none"/>
        </w:rPr>
      </w:pPr>
      <w:bookmarkStart w:id="13" w:name="_Toc485712529"/>
      <w:r>
        <w:rPr>
          <w:rFonts w:hint="eastAsia" w:ascii="宋体" w:hAnsi="宋体" w:eastAsia="宋体" w:cs="宋体"/>
          <w:b/>
          <w:color w:val="auto"/>
          <w:sz w:val="21"/>
          <w:szCs w:val="21"/>
          <w:highlight w:val="none"/>
        </w:rPr>
        <w:t>（一） 适用范围</w:t>
      </w:r>
      <w:bookmarkEnd w:id="13"/>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的招标、投标、评标、定标、验收、合同履约、付款等行为（法律、法规另有规定的，从其规定）。</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bookmarkStart w:id="14" w:name="_Toc485712530"/>
      <w:r>
        <w:rPr>
          <w:rFonts w:hint="eastAsia" w:ascii="宋体" w:hAnsi="宋体" w:eastAsia="宋体" w:cs="宋体"/>
          <w:b/>
          <w:color w:val="auto"/>
          <w:sz w:val="21"/>
          <w:szCs w:val="21"/>
          <w:highlight w:val="none"/>
        </w:rPr>
        <w:t>（二）定义</w:t>
      </w:r>
      <w:bookmarkEnd w:id="14"/>
    </w:p>
    <w:p>
      <w:pPr>
        <w:pageBreakBefore w:val="0"/>
        <w:numPr>
          <w:ilvl w:val="0"/>
          <w:numId w:val="5"/>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招标采购单位系指组织本次招标的代理机构和采购单位。</w:t>
      </w:r>
    </w:p>
    <w:p>
      <w:pPr>
        <w:pageBreakBefore w:val="0"/>
        <w:numPr>
          <w:ilvl w:val="0"/>
          <w:numId w:val="5"/>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”系指向采购人提交投标文件的单位或个人。</w:t>
      </w:r>
    </w:p>
    <w:p>
      <w:pPr>
        <w:pageBreakBefore w:val="0"/>
        <w:numPr>
          <w:ilvl w:val="0"/>
          <w:numId w:val="5"/>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“产品”系指供方按招标文件规定，须向采购单位提供的一切设备、保险、税金、备品备件、工具、手册及其它有关技术资料和材料。</w:t>
      </w:r>
    </w:p>
    <w:p>
      <w:pPr>
        <w:pageBreakBefore w:val="0"/>
        <w:numPr>
          <w:ilvl w:val="0"/>
          <w:numId w:val="5"/>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“服务”系指招标文件规定</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须承担的安装、调试、技术协助、校准、培训、技术指导以及其他类似的义务。</w:t>
      </w:r>
    </w:p>
    <w:p>
      <w:pPr>
        <w:pageBreakBefore w:val="0"/>
        <w:numPr>
          <w:ilvl w:val="0"/>
          <w:numId w:val="5"/>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“项目”系指</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按招标文件规定向采购单位提供的产品和服务。</w:t>
      </w:r>
    </w:p>
    <w:p>
      <w:pPr>
        <w:pageBreakBefore w:val="0"/>
        <w:numPr>
          <w:ilvl w:val="0"/>
          <w:numId w:val="5"/>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“书面形式”包括信函、传真、电报等。</w:t>
      </w:r>
    </w:p>
    <w:p>
      <w:pPr>
        <w:pageBreakBefore w:val="0"/>
        <w:numPr>
          <w:ilvl w:val="0"/>
          <w:numId w:val="5"/>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“▲”系指实质性要求条款。</w:t>
      </w:r>
      <w:bookmarkStart w:id="15" w:name="_Toc485712531"/>
    </w:p>
    <w:p>
      <w:pPr>
        <w:pageBreakBefore w:val="0"/>
        <w:numPr>
          <w:ilvl w:val="0"/>
          <w:numId w:val="5"/>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核心产品：核心产品指：“</w:t>
      </w:r>
      <w:r>
        <w:rPr>
          <w:rFonts w:hint="eastAsia" w:ascii="宋体" w:hAnsi="宋体" w:eastAsia="宋体" w:cs="宋体"/>
          <w:b/>
          <w:bCs/>
          <w:color w:val="auto"/>
          <w:sz w:val="21"/>
          <w:szCs w:val="21"/>
          <w:highlight w:val="none"/>
          <w:u w:val="single"/>
          <w:lang w:val="en-US"/>
        </w:rPr>
        <w:t xml:space="preserve">   /   </w:t>
      </w:r>
      <w:r>
        <w:rPr>
          <w:rFonts w:hint="eastAsia" w:ascii="宋体" w:hAnsi="宋体" w:eastAsia="宋体" w:cs="宋体"/>
          <w:color w:val="auto"/>
          <w:sz w:val="21"/>
          <w:szCs w:val="21"/>
          <w:highlight w:val="none"/>
        </w:rPr>
        <w:t>”，作为判断同品牌产品的依据。</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（三）采购人式</w:t>
      </w:r>
      <w:bookmarkEnd w:id="15"/>
    </w:p>
    <w:p>
      <w:pPr>
        <w:pageBreakBefore w:val="0"/>
        <w:shd w:val="clear" w:color="auto" w:fill="auto"/>
        <w:kinsoku/>
        <w:wordWrap/>
        <w:overflowPunct/>
        <w:topLinePunct w:val="0"/>
        <w:bidi w:val="0"/>
        <w:adjustRightInd/>
        <w:spacing w:line="360" w:lineRule="auto"/>
        <w:ind w:left="0" w:leftChars="0" w:right="0" w:rightChars="0" w:firstLine="411" w:firstLineChars="19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本次招标采用公开采购人式进行。</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bookmarkStart w:id="16" w:name="_Toc485712532"/>
      <w:r>
        <w:rPr>
          <w:rFonts w:hint="eastAsia" w:ascii="宋体" w:hAnsi="宋体" w:eastAsia="宋体" w:cs="宋体"/>
          <w:b/>
          <w:color w:val="auto"/>
          <w:sz w:val="21"/>
          <w:szCs w:val="21"/>
          <w:highlight w:val="none"/>
        </w:rPr>
        <w:t>（四）投标委托</w:t>
      </w:r>
      <w:bookmarkEnd w:id="16"/>
    </w:p>
    <w:p>
      <w:pPr>
        <w:pageBreakBefore w:val="0"/>
        <w:numPr>
          <w:ilvl w:val="0"/>
          <w:numId w:val="6"/>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bookmarkStart w:id="17" w:name="_Toc485712533"/>
      <w:r>
        <w:rPr>
          <w:rFonts w:hint="eastAsia" w:ascii="宋体" w:hAnsi="宋体" w:eastAsia="宋体" w:cs="宋体"/>
          <w:color w:val="auto"/>
          <w:sz w:val="21"/>
          <w:szCs w:val="21"/>
          <w:highlight w:val="none"/>
        </w:rPr>
        <w:t>投标文件的签署人应当为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的法定代表人或其授权的代表。投标文件的签署人为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的法定代表人时，投标文件中必须提供法定代表人身份证复印件；投标文件的签署人非</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的法定代表人时，投标文件中必须提供</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的法定代表人出具的授权委托书及法定代表人授权代表的身份证复印件。</w:t>
      </w:r>
    </w:p>
    <w:p>
      <w:pPr>
        <w:pageBreakBefore w:val="0"/>
        <w:numPr>
          <w:ilvl w:val="0"/>
          <w:numId w:val="6"/>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相关法律、法规、规章、文件规定并满足招标文件规定资格条件的区域性分支机构、个体工商户、个人独资企业、合伙企业参加本项目投标并由单位负责人签署的相关投标资料与招标文件规定由法定代表人签署的文件材料具有同等效力。</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（五）投标费用</w:t>
      </w:r>
      <w:bookmarkEnd w:id="17"/>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均应自行承担所有与投标有关的全部费用（招标文件有相反规定除外）。</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（六）联合体投标</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u w:val="single"/>
        </w:rPr>
        <w:t>不接受</w:t>
      </w:r>
      <w:r>
        <w:rPr>
          <w:rFonts w:hint="eastAsia" w:ascii="宋体" w:hAnsi="宋体" w:eastAsia="宋体" w:cs="宋体"/>
          <w:color w:val="auto"/>
          <w:sz w:val="21"/>
          <w:szCs w:val="21"/>
          <w:highlight w:val="none"/>
        </w:rPr>
        <w:t>联合体投标。</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（七）转包与分包</w:t>
      </w:r>
    </w:p>
    <w:p>
      <w:pPr>
        <w:pageBreakBefore w:val="0"/>
        <w:numPr>
          <w:ilvl w:val="0"/>
          <w:numId w:val="7"/>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本项目不允许转包。</w:t>
      </w:r>
    </w:p>
    <w:p>
      <w:pPr>
        <w:pageBreakBefore w:val="0"/>
        <w:numPr>
          <w:ilvl w:val="0"/>
          <w:numId w:val="7"/>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若</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需要分包的须经</w:t>
      </w:r>
      <w:r>
        <w:rPr>
          <w:rFonts w:hint="eastAsia" w:ascii="宋体" w:hAnsi="宋体" w:cs="宋体"/>
          <w:color w:val="auto"/>
          <w:szCs w:val="21"/>
          <w:highlight w:val="none"/>
          <w:lang w:val="en-US" w:eastAsia="zh-CN"/>
        </w:rPr>
        <w:t>采购人书面</w:t>
      </w:r>
      <w:r>
        <w:rPr>
          <w:rFonts w:hint="eastAsia" w:ascii="宋体" w:hAnsi="宋体" w:cs="宋体"/>
          <w:color w:val="auto"/>
          <w:szCs w:val="21"/>
          <w:highlight w:val="none"/>
        </w:rPr>
        <w:t>同意，同时</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应确保分包人具有相应服务能力。分包不减轻或免除</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的责任和义务，</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和分包人就分包工程向</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承担连带责任</w:t>
      </w:r>
      <w:r>
        <w:rPr>
          <w:rFonts w:hint="eastAsia" w:ascii="宋体" w:hAnsi="宋体" w:eastAsia="宋体" w:cs="宋体"/>
          <w:color w:val="auto"/>
          <w:sz w:val="21"/>
          <w:szCs w:val="21"/>
          <w:highlight w:val="none"/>
        </w:rPr>
        <w:t>。</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bookmarkStart w:id="18" w:name="_Toc485712534"/>
      <w:r>
        <w:rPr>
          <w:rFonts w:hint="eastAsia" w:ascii="宋体" w:hAnsi="宋体" w:eastAsia="宋体" w:cs="宋体"/>
          <w:b/>
          <w:color w:val="auto"/>
          <w:sz w:val="21"/>
          <w:szCs w:val="21"/>
          <w:highlight w:val="none"/>
        </w:rPr>
        <w:t>（八）特别说明</w:t>
      </w:r>
      <w:bookmarkEnd w:id="18"/>
      <w:r>
        <w:rPr>
          <w:rFonts w:hint="eastAsia" w:ascii="宋体" w:hAnsi="宋体" w:eastAsia="宋体" w:cs="宋体"/>
          <w:b/>
          <w:color w:val="auto"/>
          <w:sz w:val="21"/>
          <w:szCs w:val="21"/>
          <w:highlight w:val="none"/>
        </w:rPr>
        <w:t>：</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使用综合评分法的采购项目，提供相同品牌产品且通过资格审查、符合性审查的不同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参加同一合同项下投标的，按一家</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计算，评审后得分最高的同品牌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获得中标人推荐资格；评审得分相同的，由采购人或者采购人委托评标委员会按照招标文件规定的方式确定一个</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获得中标人推荐资格，招标文件未规定的采取随机抽取方式确定，其他同品牌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不作为中标候选人。</w:t>
      </w:r>
    </w:p>
    <w:p>
      <w:pPr>
        <w:pageBreakBefore w:val="0"/>
        <w:widowControl/>
        <w:shd w:val="clear" w:color="auto" w:fill="auto"/>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非单一产品采购项目，多家</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提供的核心产品品牌相同的，按前款处理。</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 xml:space="preserve">2.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应仔细阅读招标文件的所有内容，按照招标文件的要求提交投标文件，并对所提供的全部资料的真实性承担法律责任。</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 xml:space="preserve">3. </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在投标活动中提供任何虚假材料,其投标无效，并报监管部门查处。</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bookmarkStart w:id="19" w:name="_Toc485712535"/>
      <w:r>
        <w:rPr>
          <w:rFonts w:hint="eastAsia" w:ascii="宋体" w:hAnsi="宋体" w:eastAsia="宋体" w:cs="宋体"/>
          <w:b/>
          <w:color w:val="auto"/>
          <w:sz w:val="21"/>
          <w:szCs w:val="21"/>
          <w:highlight w:val="none"/>
        </w:rPr>
        <w:t>（九）质疑和投诉</w:t>
      </w:r>
      <w:bookmarkEnd w:id="19"/>
    </w:p>
    <w:p>
      <w:pPr>
        <w:pStyle w:val="19"/>
        <w:pageBreakBefore w:val="0"/>
        <w:numPr>
          <w:ilvl w:val="0"/>
          <w:numId w:val="8"/>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认为招标过程或中标结果使自己的合法权益受到损害的，应当在知道或者应知其权益受到损害之日起七个工作日内，以书面形式向采购单位、采购代理机构提出质疑。</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对招标采购单位的质疑答复不满意或者招标采购单位未在规定时间内作出答复的，可以在答复期满后十五个工作日内向同级采购监管部门投诉。</w:t>
      </w:r>
    </w:p>
    <w:p>
      <w:pPr>
        <w:pStyle w:val="19"/>
        <w:pageBreakBefore w:val="0"/>
        <w:numPr>
          <w:ilvl w:val="0"/>
          <w:numId w:val="8"/>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9"/>
        <w:pageBreakBefore w:val="0"/>
        <w:numPr>
          <w:ilvl w:val="0"/>
          <w:numId w:val="8"/>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提出质疑的供应商应当是参与所质疑项目采购活动的供应商。</w:t>
      </w:r>
    </w:p>
    <w:p>
      <w:pPr>
        <w:pStyle w:val="19"/>
        <w:pageBreakBefore w:val="0"/>
        <w:numPr>
          <w:ilvl w:val="0"/>
          <w:numId w:val="8"/>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根据中国人民共和国财政部令第94号——政府采购质疑和投诉办法第二章第十条规定，</w:t>
      </w:r>
      <w:r>
        <w:rPr>
          <w:rFonts w:hint="eastAsia"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在法定质疑期内针对同一采购程序环节的质疑只能一次性提出。</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（十）关于知识产权</w:t>
      </w:r>
    </w:p>
    <w:p>
      <w:pPr>
        <w:pageBreakBefore w:val="0"/>
        <w:numPr>
          <w:ilvl w:val="0"/>
          <w:numId w:val="9"/>
        </w:numPr>
        <w:shd w:val="clear" w:color="auto" w:fill="auto"/>
        <w:kinsoku/>
        <w:wordWrap/>
        <w:overflowPunct/>
        <w:topLinePunct w:val="0"/>
        <w:bidi w:val="0"/>
        <w:adjustRightInd/>
        <w:snapToGrid w:val="0"/>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必须保证，采购人在中华人民共和国境内使用投标、资料、技术、服务或其任何一部分时，享有不受限制的无偿使用权，如有第三方向采购人提出侵犯其专利权、商标权或其它知识产权的主张，该责任应由</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承担。</w:t>
      </w:r>
    </w:p>
    <w:p>
      <w:pPr>
        <w:pageBreakBefore w:val="0"/>
        <w:numPr>
          <w:ilvl w:val="0"/>
          <w:numId w:val="9"/>
        </w:numPr>
        <w:shd w:val="clear" w:color="auto" w:fill="auto"/>
        <w:kinsoku/>
        <w:wordWrap/>
        <w:overflowPunct/>
        <w:topLinePunct w:val="0"/>
        <w:bidi w:val="0"/>
        <w:adjustRightInd/>
        <w:snapToGrid w:val="0"/>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投标报价应包含所有应向所有权人支付的专利权、商标权或其它知识产权的一切相关费用。</w:t>
      </w:r>
    </w:p>
    <w:p>
      <w:pPr>
        <w:pageBreakBefore w:val="0"/>
        <w:numPr>
          <w:ilvl w:val="0"/>
          <w:numId w:val="9"/>
        </w:numPr>
        <w:shd w:val="clear" w:color="auto" w:fill="auto"/>
        <w:kinsoku/>
        <w:wordWrap/>
        <w:overflowPunct/>
        <w:topLinePunct w:val="0"/>
        <w:bidi w:val="0"/>
        <w:adjustRightInd/>
        <w:snapToGrid w:val="0"/>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系统软件、通用软件必须是具有在中国境内的合法使用权或版权的正版软件，涉及到第三方提出侵权或知识产权的起诉及支付版税等费用由</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承担所有责任及费用。</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  招标文件</w:t>
      </w:r>
      <w:bookmarkEnd w:id="12"/>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（一）招标文件的构成。本招标文件由以下部</w:t>
      </w:r>
      <w:r>
        <w:rPr>
          <w:rFonts w:hint="eastAsia" w:ascii="宋体" w:hAnsi="宋体" w:eastAsia="宋体" w:cs="宋体"/>
          <w:b/>
          <w:color w:val="auto"/>
          <w:sz w:val="21"/>
          <w:szCs w:val="21"/>
          <w:highlight w:val="none"/>
          <w:lang w:val="en-US"/>
        </w:rPr>
        <w:t>分</w:t>
      </w:r>
      <w:r>
        <w:rPr>
          <w:rFonts w:hint="eastAsia" w:ascii="宋体" w:hAnsi="宋体" w:eastAsia="宋体" w:cs="宋体"/>
          <w:b/>
          <w:color w:val="auto"/>
          <w:sz w:val="21"/>
          <w:szCs w:val="21"/>
          <w:highlight w:val="none"/>
        </w:rPr>
        <w:t>组成：</w:t>
      </w:r>
    </w:p>
    <w:p>
      <w:pPr>
        <w:pageBreakBefore w:val="0"/>
        <w:numPr>
          <w:ilvl w:val="0"/>
          <w:numId w:val="10"/>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招标公告</w:t>
      </w:r>
    </w:p>
    <w:p>
      <w:pPr>
        <w:pageBreakBefore w:val="0"/>
        <w:numPr>
          <w:ilvl w:val="0"/>
          <w:numId w:val="10"/>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招标需求</w:t>
      </w:r>
    </w:p>
    <w:p>
      <w:pPr>
        <w:pageBreakBefore w:val="0"/>
        <w:numPr>
          <w:ilvl w:val="0"/>
          <w:numId w:val="10"/>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w:t>
      </w:r>
    </w:p>
    <w:p>
      <w:pPr>
        <w:pageBreakBefore w:val="0"/>
        <w:numPr>
          <w:ilvl w:val="0"/>
          <w:numId w:val="10"/>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评标办法及标准</w:t>
      </w:r>
    </w:p>
    <w:p>
      <w:pPr>
        <w:pageBreakBefore w:val="0"/>
        <w:numPr>
          <w:ilvl w:val="0"/>
          <w:numId w:val="10"/>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合同主要条款</w:t>
      </w:r>
    </w:p>
    <w:p>
      <w:pPr>
        <w:pageBreakBefore w:val="0"/>
        <w:numPr>
          <w:ilvl w:val="0"/>
          <w:numId w:val="10"/>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p>
      <w:pPr>
        <w:pageBreakBefore w:val="0"/>
        <w:numPr>
          <w:ilvl w:val="0"/>
          <w:numId w:val="10"/>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本项目招标文件的澄清、答复、修改、补充的内容</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的风险</w:t>
      </w:r>
    </w:p>
    <w:p>
      <w:pPr>
        <w:pStyle w:val="29"/>
        <w:pageBreakBefore w:val="0"/>
        <w:shd w:val="clear" w:color="auto" w:fill="auto"/>
        <w:kinsoku/>
        <w:wordWrap/>
        <w:overflowPunct/>
        <w:topLinePunct w:val="0"/>
        <w:bidi w:val="0"/>
        <w:adjustRightInd/>
        <w:snapToGrid/>
        <w:spacing w:line="360" w:lineRule="auto"/>
        <w:ind w:left="0" w:leftChars="0" w:right="0" w:rightChars="0" w:firstLine="420"/>
        <w:jc w:val="both"/>
        <w:textAlignment w:val="auto"/>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没有按照招标文件要求提供全部资料，或者</w:t>
      </w:r>
      <w:r>
        <w:rPr>
          <w:rFonts w:hint="eastAsia" w:asci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没有对招标文件在各方面作出实质性响应是</w:t>
      </w:r>
      <w:r>
        <w:rPr>
          <w:rFonts w:hint="eastAsia" w:asci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的风险，并可能导致其投标被拒绝。</w:t>
      </w:r>
    </w:p>
    <w:p>
      <w:pPr>
        <w:pStyle w:val="9"/>
        <w:pageBreakBefore w:val="0"/>
        <w:numPr>
          <w:ilvl w:val="0"/>
          <w:numId w:val="0"/>
        </w:numPr>
        <w:shd w:val="clear" w:color="auto" w:fill="auto"/>
        <w:tabs>
          <w:tab w:val="left" w:pos="900"/>
        </w:tabs>
        <w:kinsoku/>
        <w:wordWrap/>
        <w:overflowPunct/>
        <w:topLinePunct w:val="0"/>
        <w:bidi w:val="0"/>
        <w:adjustRightInd/>
        <w:spacing w:after="0" w:afterLines="0"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（三）招标文件的澄清与修改 </w:t>
      </w:r>
    </w:p>
    <w:p>
      <w:pPr>
        <w:pStyle w:val="19"/>
        <w:pageBreakBefore w:val="0"/>
        <w:numPr>
          <w:ilvl w:val="0"/>
          <w:numId w:val="11"/>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color w:val="auto"/>
          <w:sz w:val="21"/>
          <w:szCs w:val="21"/>
          <w:highlight w:val="none"/>
        </w:rPr>
      </w:pPr>
      <w:bookmarkStart w:id="20" w:name="_Toc485712539"/>
      <w:r>
        <w:rPr>
          <w:rFonts w:hint="eastAsia" w:ascii="宋体" w:hAnsi="宋体" w:eastAsia="宋体" w:cs="宋体"/>
          <w:color w:val="auto"/>
          <w:sz w:val="21"/>
          <w:szCs w:val="21"/>
          <w:highlight w:val="none"/>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Style w:val="19"/>
        <w:pageBreakBefore w:val="0"/>
        <w:numPr>
          <w:ilvl w:val="0"/>
          <w:numId w:val="11"/>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澄清或者修改的内容可能影响投标文件编制的，采购人或者采购代理机构应当在投标截止时间至少15日前，以书面形式通知所有获取招标文件的潜在</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；不足15日的，采购人或者采购代理机构应当顺延提交投标文件的截止时间。</w:t>
      </w:r>
    </w:p>
    <w:p>
      <w:pPr>
        <w:pStyle w:val="19"/>
        <w:pageBreakBefore w:val="0"/>
        <w:numPr>
          <w:ilvl w:val="0"/>
          <w:numId w:val="11"/>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招标文件澄清、答复、修改、补充的内容为招标文件的组成部分。当招标文件与招标文件的答复、澄清、修改、补充通知就同一内容的表述不一致时，以最后发出的书面文件为准</w:t>
      </w:r>
    </w:p>
    <w:p>
      <w:pPr>
        <w:pStyle w:val="19"/>
        <w:pageBreakBefore w:val="0"/>
        <w:numPr>
          <w:ilvl w:val="0"/>
          <w:numId w:val="11"/>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澄清或者修改的内容可能影响资格预审申请文件编制的，采购人或者采购代理机构应当在提交资格预审申请文件截止时间至少3日前，以书面形式通知所有获取资格预审文件的潜在</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；不足3日的，采购人或者采购代理机构应当顺延提交资格预审申请文件的截止时间。</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（四）对招标文件的异议</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11" w:firstLineChars="196"/>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认为招标过程或中标结果使自己的合法权益受到损害的，应当在知道或者应知其权益受到损害之日起七个工作日内，以书面形式向采购单位、采购代理机构提出质疑。</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三、投标文件的编制</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11" w:firstLineChars="196"/>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重要提示：投标文件的形式和效力</w:t>
      </w:r>
    </w:p>
    <w:p>
      <w:pPr>
        <w:pStyle w:val="19"/>
        <w:pageBreakBefore w:val="0"/>
        <w:numPr>
          <w:ilvl w:val="0"/>
          <w:numId w:val="12"/>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投标文件分为电子投标文件以及备份投标文件，备份文件为以</w:t>
      </w:r>
      <w:r>
        <w:rPr>
          <w:rFonts w:hint="eastAsia" w:ascii="宋体" w:hAnsi="宋体" w:eastAsia="宋体" w:cs="宋体"/>
          <w:bCs/>
          <w:color w:val="auto"/>
          <w:sz w:val="21"/>
          <w:szCs w:val="21"/>
          <w:highlight w:val="none"/>
          <w:lang w:val="en-US"/>
        </w:rPr>
        <w:t>U盘或光盘</w:t>
      </w:r>
      <w:r>
        <w:rPr>
          <w:rFonts w:hint="eastAsia" w:ascii="宋体" w:hAnsi="宋体" w:eastAsia="宋体" w:cs="宋体"/>
          <w:bCs/>
          <w:color w:val="auto"/>
          <w:sz w:val="21"/>
          <w:szCs w:val="21"/>
          <w:highlight w:val="none"/>
        </w:rPr>
        <w:t>存储的数据电文形式的备份投标文件</w:t>
      </w:r>
      <w:r>
        <w:rPr>
          <w:rFonts w:hint="eastAsia" w:ascii="宋体" w:hAnsi="宋体" w:eastAsia="宋体" w:cs="宋体"/>
          <w:bCs/>
          <w:color w:val="auto"/>
          <w:sz w:val="21"/>
          <w:szCs w:val="21"/>
          <w:highlight w:val="none"/>
          <w:lang w:eastAsia="zh-CN"/>
        </w:rPr>
        <w:t>。</w:t>
      </w:r>
    </w:p>
    <w:p>
      <w:pPr>
        <w:pStyle w:val="19"/>
        <w:pageBreakBefore w:val="0"/>
        <w:numPr>
          <w:ilvl w:val="0"/>
          <w:numId w:val="12"/>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电子投标文件，按“政采云供应商项目采购-电子招投标操作指南”及本采购文件要求制作、加密并递交。</w:t>
      </w:r>
    </w:p>
    <w:p>
      <w:pPr>
        <w:pStyle w:val="19"/>
        <w:pageBreakBefore w:val="0"/>
        <w:numPr>
          <w:ilvl w:val="0"/>
          <w:numId w:val="12"/>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以U盘或光盘存储的数据电文形式的备份投标文件，即电子投标文件按“政采云供应商项目采购-电子招投标操作指南”制作的备份文件。</w:t>
      </w:r>
    </w:p>
    <w:p>
      <w:pPr>
        <w:pStyle w:val="19"/>
        <w:pageBreakBefore w:val="0"/>
        <w:numPr>
          <w:ilvl w:val="0"/>
          <w:numId w:val="12"/>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投标文件的效力</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11" w:firstLineChars="196"/>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投标文件的启用，按先后顺位分别为电子投标文件、以</w:t>
      </w:r>
      <w:r>
        <w:rPr>
          <w:rFonts w:hint="eastAsia" w:ascii="宋体" w:hAnsi="宋体" w:eastAsia="宋体" w:cs="宋体"/>
          <w:bCs/>
          <w:color w:val="auto"/>
          <w:sz w:val="21"/>
          <w:szCs w:val="21"/>
          <w:highlight w:val="none"/>
          <w:lang w:val="en-US"/>
        </w:rPr>
        <w:t>U盘或光盘</w:t>
      </w:r>
      <w:r>
        <w:rPr>
          <w:rFonts w:hint="eastAsia" w:ascii="宋体" w:hAnsi="宋体" w:eastAsia="宋体" w:cs="宋体"/>
          <w:bCs/>
          <w:color w:val="auto"/>
          <w:sz w:val="21"/>
          <w:szCs w:val="21"/>
          <w:highlight w:val="none"/>
        </w:rPr>
        <w:t>存储的数据电文形式的备份投标文件。在下一顺位的投标文件启用时，前一顺位的投标文件自动失效。</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11"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投标、响应文件未按时解密，供应商提供了备份投标、响应文件的，以备份投标、响应文件作为依据，否则视为投标、响应文件撤回。投标、响应文件已按时解密的，备份投标、响应文件自动失效。</w:t>
      </w:r>
    </w:p>
    <w:p>
      <w:pPr>
        <w:pageBreakBefore w:val="0"/>
        <w:shd w:val="clear" w:color="auto" w:fill="auto"/>
        <w:tabs>
          <w:tab w:val="left" w:pos="440"/>
        </w:tabs>
        <w:kinsoku/>
        <w:wordWrap/>
        <w:overflowPunct/>
        <w:topLinePunct w:val="0"/>
        <w:bidi w:val="0"/>
        <w:adjustRightInd/>
        <w:snapToGrid w:val="0"/>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（一）投标文件的组成</w:t>
      </w:r>
    </w:p>
    <w:p>
      <w:pPr>
        <w:pageBreakBefore w:val="0"/>
        <w:shd w:val="clear" w:color="auto" w:fill="auto"/>
        <w:tabs>
          <w:tab w:val="left" w:pos="440"/>
        </w:tabs>
        <w:kinsoku/>
        <w:wordWrap/>
        <w:overflowPunct/>
        <w:topLinePunct w:val="0"/>
        <w:bidi w:val="0"/>
        <w:adjustRightInd/>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投标文件由资格审查文件、技术商务文件、报价文件组成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w:t>
      </w:r>
      <w:r>
        <w:rPr>
          <w:rFonts w:hint="eastAsia" w:ascii="宋体" w:hAnsi="宋体" w:eastAsia="宋体" w:cs="宋体"/>
          <w:color w:val="auto"/>
          <w:sz w:val="21"/>
          <w:szCs w:val="21"/>
          <w:highlight w:val="none"/>
          <w:u w:val="single"/>
          <w:lang w:val="en-US" w:eastAsia="zh-CN"/>
        </w:rPr>
        <w:t>详见</w:t>
      </w:r>
      <w:r>
        <w:rPr>
          <w:rFonts w:hint="eastAsia" w:ascii="宋体" w:hAnsi="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lang w:val="en-US" w:eastAsia="zh-CN"/>
        </w:rPr>
        <w:t>须知前附表</w:t>
      </w:r>
      <w:r>
        <w:rPr>
          <w:rFonts w:hint="eastAsia" w:ascii="宋体" w:hAnsi="宋体" w:eastAsia="宋体" w:cs="宋体"/>
          <w:color w:val="auto"/>
          <w:sz w:val="21"/>
          <w:szCs w:val="21"/>
          <w:highlight w:val="none"/>
        </w:rPr>
        <w:t>。</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（二）投标文件的语言及计量</w:t>
      </w:r>
      <w:bookmarkEnd w:id="20"/>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投标文件以及</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与采购人就有关投标事宜的所有来往函电，均应以中文汉语书写。除签名、盖章、专用名称等特殊情形外，以中文汉语以外的文字表述的投标文件视同未提供。</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投标计量单位，招标文件已有明确规定的，使用招标文件规定的计量单位；招标文件没有规定的，应采用中华人民共和国法定计量单位（货币单位：人民币元），否则视同未响应。</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bookmarkStart w:id="21" w:name="_Toc485712540"/>
      <w:r>
        <w:rPr>
          <w:rFonts w:hint="eastAsia" w:ascii="宋体" w:hAnsi="宋体" w:eastAsia="宋体" w:cs="宋体"/>
          <w:b/>
          <w:color w:val="auto"/>
          <w:sz w:val="21"/>
          <w:szCs w:val="21"/>
          <w:highlight w:val="none"/>
        </w:rPr>
        <w:t>（三）投标报价</w:t>
      </w:r>
      <w:bookmarkEnd w:id="21"/>
    </w:p>
    <w:p>
      <w:pPr>
        <w:pStyle w:val="9"/>
        <w:pageBreakBefore w:val="0"/>
        <w:numPr>
          <w:ilvl w:val="0"/>
          <w:numId w:val="0"/>
        </w:numPr>
        <w:shd w:val="clear" w:color="auto" w:fill="auto"/>
        <w:tabs>
          <w:tab w:val="left" w:pos="900"/>
        </w:tabs>
        <w:kinsoku/>
        <w:wordWrap/>
        <w:overflowPunct/>
        <w:topLinePunct w:val="0"/>
        <w:bidi w:val="0"/>
        <w:adjustRightInd/>
        <w:spacing w:after="0" w:afterLines="0" w:line="360" w:lineRule="auto"/>
        <w:ind w:left="0" w:leftChars="0" w:right="0" w:rightChars="0" w:firstLine="621" w:firstLineChars="29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投标报价应按招标文件中相关附表格式填写。</w:t>
      </w:r>
    </w:p>
    <w:p>
      <w:pPr>
        <w:pStyle w:val="9"/>
        <w:pageBreakBefore w:val="0"/>
        <w:numPr>
          <w:ilvl w:val="0"/>
          <w:numId w:val="0"/>
        </w:numPr>
        <w:shd w:val="clear" w:color="auto" w:fill="auto"/>
        <w:tabs>
          <w:tab w:val="left" w:pos="900"/>
        </w:tabs>
        <w:kinsoku/>
        <w:wordWrap/>
        <w:overflowPunct/>
        <w:topLinePunct w:val="0"/>
        <w:bidi w:val="0"/>
        <w:adjustRightInd/>
        <w:spacing w:after="0" w:afterLines="0" w:line="360" w:lineRule="auto"/>
        <w:ind w:left="0" w:leftChars="0" w:right="0" w:rightChars="0" w:firstLine="411" w:firstLineChars="19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报价要求：详见招标文第三章《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投标文件只允许有一个报价，有选择的或有条件的报价将不予接受。</w:t>
      </w:r>
    </w:p>
    <w:p>
      <w:pPr>
        <w:pStyle w:val="9"/>
        <w:pageBreakBefore w:val="0"/>
        <w:numPr>
          <w:ilvl w:val="0"/>
          <w:numId w:val="0"/>
        </w:numPr>
        <w:shd w:val="clear" w:color="auto" w:fill="auto"/>
        <w:tabs>
          <w:tab w:val="left" w:pos="900"/>
        </w:tabs>
        <w:kinsoku/>
        <w:wordWrap/>
        <w:overflowPunct/>
        <w:topLinePunct w:val="0"/>
        <w:bidi w:val="0"/>
        <w:adjustRightInd/>
        <w:spacing w:after="0" w:afterLines="0"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（四）投标文件的有效期</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自投标截止日起</w:t>
      </w:r>
      <w:r>
        <w:rPr>
          <w:rFonts w:hint="eastAsia" w:ascii="宋体" w:hAnsi="宋体" w:eastAsia="宋体" w:cs="宋体"/>
          <w:color w:val="auto"/>
          <w:sz w:val="21"/>
          <w:szCs w:val="21"/>
          <w:highlight w:val="none"/>
          <w:u w:val="single"/>
        </w:rPr>
        <w:t xml:space="preserve"> 90 </w:t>
      </w:r>
      <w:r>
        <w:rPr>
          <w:rFonts w:hint="eastAsia" w:ascii="宋体" w:hAnsi="宋体" w:eastAsia="宋体" w:cs="宋体"/>
          <w:color w:val="auto"/>
          <w:sz w:val="21"/>
          <w:szCs w:val="21"/>
          <w:highlight w:val="none"/>
        </w:rPr>
        <w:t>天投标文件应保持有效。有效期不足的投标文件将被拒绝。</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630" w:firstLineChars="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在特殊情况下，采购人可与</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协商延长投标书的有效期，这种要求和答复均以书面形式进行。</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630" w:firstLineChars="300"/>
        <w:jc w:val="both"/>
        <w:textAlignment w:val="auto"/>
        <w:rPr>
          <w:rFonts w:hint="eastAsia" w:ascii="宋体" w:hAnsi="宋体" w:eastAsia="宋体" w:cs="宋体"/>
          <w:color w:val="auto"/>
          <w:sz w:val="21"/>
          <w:szCs w:val="21"/>
          <w:highlight w:val="none"/>
        </w:rPr>
      </w:pPr>
      <w:bookmarkStart w:id="22" w:name="_Toc485712541"/>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rPr>
        <w:t xml:space="preserve">. </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可拒绝接受延期要求而不会导致投标保证金被没收。同意延长有效期的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需要相应延长投标保证金的有效期，但不能修改投标文件。</w:t>
      </w:r>
      <w:bookmarkEnd w:id="22"/>
      <w:r>
        <w:rPr>
          <w:rFonts w:hint="eastAsia" w:ascii="宋体" w:hAnsi="宋体" w:eastAsia="宋体" w:cs="宋体"/>
          <w:color w:val="auto"/>
          <w:sz w:val="21"/>
          <w:szCs w:val="21"/>
          <w:highlight w:val="none"/>
        </w:rPr>
        <w:t xml:space="preserve"> </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lang w:eastAsia="zh-CN"/>
        </w:rPr>
      </w:pPr>
      <w:bookmarkStart w:id="23" w:name="_Toc485712543"/>
      <w:r>
        <w:rPr>
          <w:rFonts w:hint="eastAsia" w:ascii="宋体" w:hAnsi="宋体" w:eastAsia="宋体" w:cs="宋体"/>
          <w:b/>
          <w:color w:val="auto"/>
          <w:sz w:val="21"/>
          <w:szCs w:val="21"/>
          <w:highlight w:val="none"/>
        </w:rPr>
        <w:t>（五）投标保证金</w:t>
      </w:r>
      <w:bookmarkEnd w:id="23"/>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lang w:val="en-US"/>
        </w:rPr>
        <w:t>本项目无投标保证金</w:t>
      </w:r>
      <w:r>
        <w:rPr>
          <w:rFonts w:hint="eastAsia" w:ascii="宋体" w:hAnsi="宋体" w:cs="宋体"/>
          <w:b/>
          <w:color w:val="auto"/>
          <w:sz w:val="21"/>
          <w:szCs w:val="21"/>
          <w:highlight w:val="none"/>
          <w:u w:val="none"/>
          <w:lang w:val="en-US" w:eastAsia="zh-CN"/>
        </w:rPr>
        <w:t>。</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bookmarkStart w:id="24" w:name="_Toc485712544"/>
      <w:r>
        <w:rPr>
          <w:rFonts w:hint="eastAsia" w:ascii="宋体" w:hAnsi="宋体" w:eastAsia="宋体" w:cs="宋体"/>
          <w:b/>
          <w:color w:val="auto"/>
          <w:sz w:val="21"/>
          <w:szCs w:val="21"/>
          <w:highlight w:val="none"/>
        </w:rPr>
        <w:t>（六）投标文件的签署和份数</w:t>
      </w:r>
      <w:bookmarkEnd w:id="24"/>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本项目实行网上投标，供应商应准备以下投标文件：</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A、电子投标文件</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电子投标文件按政采云平台供应商电子招投标操作指南及本招标文件规定的格式和顺序编制电子投标文件并进行关联定位，并在投标截止时间前将电子投标文件上传“政采云”平台。以U盘</w:t>
      </w:r>
      <w:r>
        <w:rPr>
          <w:rFonts w:hint="eastAsia" w:ascii="宋体" w:hAnsi="宋体" w:eastAsia="宋体" w:cs="宋体"/>
          <w:color w:val="auto"/>
          <w:sz w:val="21"/>
          <w:szCs w:val="21"/>
          <w:highlight w:val="none"/>
          <w:lang w:val="en-US"/>
        </w:rPr>
        <w:t>或光盘</w:t>
      </w:r>
      <w:r>
        <w:rPr>
          <w:rFonts w:hint="eastAsia" w:ascii="宋体" w:hAnsi="宋体" w:eastAsia="宋体" w:cs="宋体"/>
          <w:color w:val="auto"/>
          <w:sz w:val="21"/>
          <w:szCs w:val="21"/>
          <w:highlight w:val="none"/>
        </w:rPr>
        <w:t>等U盘或光盘存储的数据电文形式提供的备份电子投标文件数量1份。</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（七）投标文件的包装、递交、修改和撤回</w:t>
      </w:r>
    </w:p>
    <w:p>
      <w:pPr>
        <w:pageBreakBefore w:val="0"/>
        <w:numPr>
          <w:ilvl w:val="0"/>
          <w:numId w:val="13"/>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以U盘</w:t>
      </w:r>
      <w:r>
        <w:rPr>
          <w:rFonts w:hint="eastAsia" w:ascii="宋体" w:hAnsi="宋体" w:eastAsia="宋体" w:cs="宋体"/>
          <w:color w:val="auto"/>
          <w:sz w:val="21"/>
          <w:szCs w:val="21"/>
          <w:highlight w:val="none"/>
          <w:lang w:val="en-US"/>
        </w:rPr>
        <w:t>或光盘</w:t>
      </w:r>
      <w:r>
        <w:rPr>
          <w:rFonts w:hint="eastAsia" w:ascii="宋体" w:hAnsi="宋体" w:eastAsia="宋体" w:cs="宋体"/>
          <w:color w:val="auto"/>
          <w:sz w:val="21"/>
          <w:szCs w:val="21"/>
          <w:highlight w:val="none"/>
        </w:rPr>
        <w:t>存储的电子备份投标文件用封袋密封后递交。</w:t>
      </w:r>
    </w:p>
    <w:p>
      <w:pPr>
        <w:pageBreakBefore w:val="0"/>
        <w:numPr>
          <w:ilvl w:val="0"/>
          <w:numId w:val="13"/>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投标文件的包装封面上应注明供应商名称、供应商地址、电子备份投标文件投标文件名称(</w:t>
      </w:r>
      <w:r>
        <w:rPr>
          <w:rFonts w:hint="eastAsia" w:ascii="宋体" w:hAnsi="宋体" w:eastAsia="宋体" w:cs="宋体"/>
          <w:color w:val="auto"/>
          <w:sz w:val="21"/>
          <w:szCs w:val="21"/>
          <w:highlight w:val="none"/>
          <w:lang w:val="en-US" w:bidi="ar-SA"/>
        </w:rPr>
        <w:t>资格文件审查/报价文件/技术商务文件</w:t>
      </w:r>
      <w:r>
        <w:rPr>
          <w:rFonts w:hint="eastAsia" w:ascii="宋体" w:hAnsi="宋体" w:eastAsia="宋体" w:cs="宋体"/>
          <w:color w:val="auto"/>
          <w:sz w:val="21"/>
          <w:szCs w:val="21"/>
          <w:highlight w:val="none"/>
        </w:rPr>
        <w:t>)、投标项目名称、项目编号、子包号，并加盖供应商公章。</w:t>
      </w:r>
    </w:p>
    <w:p>
      <w:pPr>
        <w:pageBreakBefore w:val="0"/>
        <w:numPr>
          <w:ilvl w:val="0"/>
          <w:numId w:val="13"/>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未按规定密封或标记的投标文件将被拒绝，由此造成投标文件被误投或提前拆封的风险由供应商承担。</w:t>
      </w:r>
    </w:p>
    <w:p>
      <w:pPr>
        <w:pageBreakBefore w:val="0"/>
        <w:numPr>
          <w:ilvl w:val="0"/>
          <w:numId w:val="13"/>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投标截止时间之前，可以对已提交的电子备份投标文件进行修改或撤回，并书面通知招标采购单位；投标截止时间后，供应商不得撤回、修改投标文件。修改后重新递交的电子备份投标文件应当按本采购文件的要求签署、盖章和密封。</w:t>
      </w:r>
    </w:p>
    <w:p>
      <w:pPr>
        <w:pageBreakBefore w:val="0"/>
        <w:numPr>
          <w:ilvl w:val="0"/>
          <w:numId w:val="13"/>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四、开标</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（一）开标准备</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采购代理机构将在规定的时间和地点进行开标，</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的法定代表人或其授权代表应参加开标会并接受核验、签到，无关人员不得进入开标现场。</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的法定代表人或其授权代表未按时核验、签到的，视同放弃开标监督权利、认可开标结果。</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（二）开标程序</w:t>
      </w:r>
    </w:p>
    <w:p>
      <w:pPr>
        <w:pageBreakBefore w:val="0"/>
        <w:numPr>
          <w:ilvl w:val="0"/>
          <w:numId w:val="14"/>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电子招投标开标程序：</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第一阶段：</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（1）投标截止时间后，供应商登录政府采购云平台，用“项目采购-开标评标”功能对电子投标文件进行在线解密，在线解密电子投标文件时间为开标时间后30分钟内。</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（2）在政府采购云平台开启已解密供应商的“技术商务文件”，并做开标记录；</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第二阶段：</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（1）在政府采购云平台宣告第一阶段评审无效供应商名单及理由；</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（2）公布经第一阶段评审符合采购文件要求的供应商的技术商务得分情况；</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（3）在政府采购云平台开启除第一阶段无效标外的供应商的“报价文件”，并做开标记录；</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（4）在政府采购云平台公布评审结果。</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（5）开标会议结束。</w:t>
      </w:r>
    </w:p>
    <w:p>
      <w:pPr>
        <w:pageBreakBefore w:val="0"/>
        <w:numPr>
          <w:ilvl w:val="0"/>
          <w:numId w:val="14"/>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线下开标程序：</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第一阶段：</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（1）开标会由采购代理机构主持，主持人宣布开标会议开始；</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（2）主持人介绍参加开标会的人员名单； </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（3）主持人宣布评标期间的有关事项，告知应当回避的情形,提请有关人员回避；</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（4）由供应商或其当场推荐的代表检查</w:t>
      </w:r>
      <w:r>
        <w:rPr>
          <w:rFonts w:hint="eastAsia" w:ascii="宋体" w:hAnsi="宋体" w:eastAsia="宋体" w:cs="宋体"/>
          <w:color w:val="auto"/>
          <w:sz w:val="21"/>
          <w:szCs w:val="21"/>
          <w:highlight w:val="none"/>
          <w:lang w:val="en-US" w:bidi="ar-SA"/>
        </w:rPr>
        <w:t>资格审查文件、报价文件、技术商务文件</w:t>
      </w:r>
      <w:r>
        <w:rPr>
          <w:rFonts w:hint="eastAsia" w:ascii="宋体" w:hAnsi="宋体" w:eastAsia="宋体" w:cs="宋体"/>
          <w:bCs/>
          <w:color w:val="auto"/>
          <w:sz w:val="21"/>
          <w:szCs w:val="21"/>
          <w:highlight w:val="none"/>
        </w:rPr>
        <w:t>密封的完整性；</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（5）开启供应商的</w:t>
      </w:r>
      <w:r>
        <w:rPr>
          <w:rFonts w:hint="eastAsia" w:ascii="宋体" w:hAnsi="宋体" w:eastAsia="宋体" w:cs="宋体"/>
          <w:color w:val="auto"/>
          <w:sz w:val="21"/>
          <w:szCs w:val="21"/>
          <w:highlight w:val="none"/>
          <w:lang w:val="en-US" w:bidi="ar-SA"/>
        </w:rPr>
        <w:t>资格审查文件、技术商务文件</w:t>
      </w:r>
      <w:r>
        <w:rPr>
          <w:rFonts w:hint="eastAsia" w:ascii="宋体" w:hAnsi="宋体" w:eastAsia="宋体" w:cs="宋体"/>
          <w:bCs/>
          <w:color w:val="auto"/>
          <w:sz w:val="21"/>
          <w:szCs w:val="21"/>
          <w:highlight w:val="none"/>
        </w:rPr>
        <w:t>外包装，清点投标文件正本、副本数量，并做开标记录；</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第二阶段：</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（1）由主持人公布第一阶段评审无效供应商名单及理由；</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（2）公布经第一阶段评审符合采购文件要求的供应商的技术商务得分情况；</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（3）再开启报价文件，由主持人宣读《开标一览表》中的供应商名称及在其投标文件中承诺的投标报价、交货期（服务期限）等投标内容，以及采购代理机构认为有必要宣读的其他内容；</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（4）采购代理机构做开标记录, 同时由记录人、监督人当场签字确认；</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（5）主持人公布评审结果。</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（6）开标会议结束。</w:t>
      </w:r>
    </w:p>
    <w:p>
      <w:pPr>
        <w:pageBreakBefore w:val="0"/>
        <w:shd w:val="clear" w:color="auto" w:fill="auto"/>
        <w:kinsoku/>
        <w:wordWrap/>
        <w:overflowPunct/>
        <w:topLinePunct w:val="0"/>
        <w:bidi w:val="0"/>
        <w:adjustRightInd/>
        <w:snapToGrid w:val="0"/>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（三）特别说明</w:t>
      </w:r>
    </w:p>
    <w:p>
      <w:pPr>
        <w:pStyle w:val="19"/>
        <w:pageBreakBefore w:val="0"/>
        <w:numPr>
          <w:ilvl w:val="0"/>
          <w:numId w:val="15"/>
        </w:numPr>
        <w:shd w:val="clear" w:color="auto" w:fill="auto"/>
        <w:kinsoku/>
        <w:wordWrap/>
        <w:overflowPunct/>
        <w:topLinePunct w:val="0"/>
        <w:bidi w:val="0"/>
        <w:adjustRightInd/>
        <w:snapToGrid w:val="0"/>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本项目原则上采用政采云电子招投标开标及评审程序，但有下情形之一的，按以下情况处理：</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（1）若</w:t>
      </w:r>
      <w:r>
        <w:rPr>
          <w:rFonts w:hint="eastAsia"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在规定时间内无法解密或解密失败，采购组织机构开启所有</w:t>
      </w:r>
      <w:r>
        <w:rPr>
          <w:rFonts w:hint="eastAsia"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递交的以U盘或光盘存储的数据电文形式的备份投标文件，上传至政采云平台项目采购模块，以完成开标，电子投标文件自动失效。</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rPr>
        <w:t>2</w:t>
      </w:r>
      <w:r>
        <w:rPr>
          <w:rFonts w:hint="eastAsia" w:ascii="宋体" w:hAnsi="宋体" w:eastAsia="宋体" w:cs="宋体"/>
          <w:bCs/>
          <w:color w:val="auto"/>
          <w:sz w:val="21"/>
          <w:szCs w:val="21"/>
          <w:highlight w:val="none"/>
        </w:rPr>
        <w:t>）采购过程中出现以下情形，导致电子交易平台无法正常运行，或者无法保证电子交易的公平、公正和安全时，采购组织机构可中止电子交易活动：</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a.电子交易平台发生故障而无法登录访问的； </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b.电子交易平台应用或数据库出现错误，不能进行正常操作的；</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c.电子交易平台发现严重安全漏洞，有潜在泄密危险的；</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d.病毒发作导致不能进行正常操作的； </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e.其他无法保证电子交易的公平、公正和安全的情况。</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出现前款规定情形，不影响采购公平、公正性的，采购组织机构可以待上述情形消除后继续组织电子交易活动。</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五、评标</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（一）组建评标委员会</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采购人依据《中华人民共和国政府采购法》、《政府采购货物和服务招标投标管理办法》等有关规定组建评标委员会。评标委员会由采购人代表和评审专家组成</w:t>
      </w:r>
      <w:r>
        <w:rPr>
          <w:rFonts w:hint="eastAsia" w:ascii="宋体" w:hAnsi="宋体" w:eastAsia="宋体" w:cs="宋体"/>
          <w:color w:val="auto"/>
          <w:sz w:val="21"/>
          <w:szCs w:val="21"/>
          <w:highlight w:val="none"/>
        </w:rPr>
        <w:t>或全部由评审专家组成</w:t>
      </w:r>
      <w:r>
        <w:rPr>
          <w:rFonts w:hint="eastAsia" w:ascii="宋体" w:hAnsi="宋体" w:eastAsia="宋体" w:cs="宋体"/>
          <w:bCs/>
          <w:color w:val="auto"/>
          <w:sz w:val="21"/>
          <w:szCs w:val="21"/>
          <w:highlight w:val="none"/>
        </w:rPr>
        <w:t>，负责本项目的评标工作。</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（二）评标的方式</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本项目采用不公开方式评标，评标的依据为招标文件和投标文件。</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（三）组织评标程序</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采购代理机构将按照招标文件规定的时间、地点和程序组织评标，各评审专家及相关人员应参加评审活动并接受核验、签到，无关人员不得进入评审现场。</w:t>
      </w:r>
    </w:p>
    <w:p>
      <w:pPr>
        <w:pageBreakBefore w:val="0"/>
        <w:numPr>
          <w:ilvl w:val="0"/>
          <w:numId w:val="16"/>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核验出席评审活动现场的评审小组各成员和相关监督人员身份，并要求其分别登记、签到，按规定统一收缴、保存其通讯工具，无关人员一律拒绝其进入评审现场。</w:t>
      </w:r>
    </w:p>
    <w:p>
      <w:pPr>
        <w:pageBreakBefore w:val="0"/>
        <w:numPr>
          <w:ilvl w:val="0"/>
          <w:numId w:val="16"/>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介绍评审现场的人员情况，宣布评审工作纪律，告知评审人员应当回避情形；组织推选评审小组组长。</w:t>
      </w:r>
    </w:p>
    <w:p>
      <w:pPr>
        <w:pageBreakBefore w:val="0"/>
        <w:numPr>
          <w:ilvl w:val="0"/>
          <w:numId w:val="16"/>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宣读提交投标文件的供应商名单，组织评审小组各位成员签订《政府采购评审人员廉洁自律承诺书》。</w:t>
      </w:r>
    </w:p>
    <w:p>
      <w:pPr>
        <w:pageBreakBefore w:val="0"/>
        <w:numPr>
          <w:ilvl w:val="0"/>
          <w:numId w:val="16"/>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pPr>
        <w:pageBreakBefore w:val="0"/>
        <w:numPr>
          <w:ilvl w:val="0"/>
          <w:numId w:val="16"/>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小组组长组织评审人员独立评审。评审小组对拟认定为投标文件无效、供应商资格不符合的，应组织相关供应商代表进行陈述、澄清或申辩；采购代理机构可协助评审小组组长对打分结果进行校对、核对并汇总统计；对明显畸高、畸低的评分，评审小组组长应提醒相关评审人员进行复核或书面说明理由，评审人员拒绝说明的，由现场监督员据实记录；评审人员的评审、修改记录应保留原件，随项目其他资料一并存档。</w:t>
      </w:r>
    </w:p>
    <w:p>
      <w:pPr>
        <w:pageBreakBefore w:val="0"/>
        <w:numPr>
          <w:ilvl w:val="0"/>
          <w:numId w:val="16"/>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做好评审现场相关记录，协助评审小组组长做好评审报告起草、有关内容电脑文字录入等工作，并要求评审小组各成员签字确认。</w:t>
      </w:r>
    </w:p>
    <w:p>
      <w:pPr>
        <w:pageBreakBefore w:val="0"/>
        <w:numPr>
          <w:ilvl w:val="0"/>
          <w:numId w:val="16"/>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评审结束后，采购代理机构应对评审小组各成员的专业水平、职业道德、遵纪守法等情况进行评价；同时按规定向评审专家发放评审费，并交还评审人员及其他现场相关人员的通讯工具。</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（四）评标委员评审程序</w:t>
      </w:r>
    </w:p>
    <w:p>
      <w:pPr>
        <w:pageBreakBefore w:val="0"/>
        <w:numPr>
          <w:ilvl w:val="0"/>
          <w:numId w:val="17"/>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在评审专家中推选评审小组组长。</w:t>
      </w:r>
    </w:p>
    <w:p>
      <w:pPr>
        <w:pageBreakBefore w:val="0"/>
        <w:numPr>
          <w:ilvl w:val="0"/>
          <w:numId w:val="17"/>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ageBreakBefore w:val="0"/>
        <w:numPr>
          <w:ilvl w:val="0"/>
          <w:numId w:val="17"/>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评审人员对各供应商投标文件的有效性、完整性和响应程度进行审查，确定是否对招标文件作出实质性响应。</w:t>
      </w:r>
    </w:p>
    <w:p>
      <w:pPr>
        <w:pageBreakBefore w:val="0"/>
        <w:numPr>
          <w:ilvl w:val="0"/>
          <w:numId w:val="17"/>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评审人员按招标文件规定的评审方法和评审标准，依法独立对供应商投标文件进行评估、比较，并给予评价或打分，不受任何单位和个人的干预。</w:t>
      </w:r>
    </w:p>
    <w:p>
      <w:pPr>
        <w:pageBreakBefore w:val="0"/>
        <w:numPr>
          <w:ilvl w:val="0"/>
          <w:numId w:val="17"/>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人员对各供应商投标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pPr>
        <w:pageBreakBefore w:val="0"/>
        <w:numPr>
          <w:ilvl w:val="0"/>
          <w:numId w:val="17"/>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人员需对采购代理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ageBreakBefore w:val="0"/>
        <w:numPr>
          <w:ilvl w:val="0"/>
          <w:numId w:val="17"/>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评审小组根据评审汇总情况和招标文件规定确定中标候选供应商排序名单。 采购单位、经其书面授权的采购单位代表或经其书面授权的评审小组按中标候选供应商排名顺序对供应商逐一进行资格审查，直至依法产生合格的中标供应商。</w:t>
      </w:r>
    </w:p>
    <w:p>
      <w:pPr>
        <w:pageBreakBefore w:val="0"/>
        <w:numPr>
          <w:ilvl w:val="0"/>
          <w:numId w:val="17"/>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起草评审报告，所有评审人员须在评审报告上签字确认。</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（五）错误修正</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投标文件如果出现计算或表达上的错误，修正错误的原则如下：</w:t>
      </w:r>
    </w:p>
    <w:p>
      <w:pPr>
        <w:pageBreakBefore w:val="0"/>
        <w:numPr>
          <w:ilvl w:val="0"/>
          <w:numId w:val="18"/>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投标文件中开标一览表（报价表）内容与投标文件中相应内容不一致的，以开标一览表（报价表）为准；</w:t>
      </w:r>
    </w:p>
    <w:p>
      <w:pPr>
        <w:pageBreakBefore w:val="0"/>
        <w:numPr>
          <w:ilvl w:val="0"/>
          <w:numId w:val="18"/>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投标文件的大写金额和小写金额不一致的，以大写金额为准；</w:t>
      </w:r>
    </w:p>
    <w:p>
      <w:pPr>
        <w:pageBreakBefore w:val="0"/>
        <w:numPr>
          <w:ilvl w:val="0"/>
          <w:numId w:val="18"/>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总价金额与按单价汇总金额不一致的，以单价金额计算结果为准；</w:t>
      </w:r>
    </w:p>
    <w:p>
      <w:pPr>
        <w:pageBreakBefore w:val="0"/>
        <w:numPr>
          <w:ilvl w:val="0"/>
          <w:numId w:val="18"/>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对不同文字文本投标文件的解释发生异议的，以中文文本为准。</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按上述修正错误的原则及方法调整或修正投标文件的投标报价，</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同意并签字确认后，调整后的投标报价对</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具有约束作用。如果</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不接受修正后的报价，则其投标将作为无效投标处理。</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（六）评标原则和评标办法</w:t>
      </w:r>
    </w:p>
    <w:p>
      <w:pPr>
        <w:pageBreakBefore w:val="0"/>
        <w:numPr>
          <w:ilvl w:val="0"/>
          <w:numId w:val="19"/>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接触。</w:t>
      </w:r>
    </w:p>
    <w:p>
      <w:pPr>
        <w:pageBreakBefore w:val="0"/>
        <w:numPr>
          <w:ilvl w:val="0"/>
          <w:numId w:val="19"/>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pageBreakBefore w:val="0"/>
        <w:numPr>
          <w:ilvl w:val="0"/>
          <w:numId w:val="19"/>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单位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pageBreakBefore w:val="0"/>
        <w:numPr>
          <w:ilvl w:val="0"/>
          <w:numId w:val="19"/>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评标办法。本项目评标办法是</w:t>
      </w:r>
      <w:r>
        <w:rPr>
          <w:rFonts w:hint="eastAsia" w:ascii="宋体" w:hAnsi="宋体" w:eastAsia="宋体" w:cs="宋体"/>
          <w:b/>
          <w:bCs w:val="0"/>
          <w:color w:val="auto"/>
          <w:sz w:val="21"/>
          <w:szCs w:val="21"/>
          <w:highlight w:val="none"/>
          <w:u w:val="single"/>
        </w:rPr>
        <w:t xml:space="preserve"> 综合评分法 </w:t>
      </w:r>
      <w:r>
        <w:rPr>
          <w:rFonts w:hint="eastAsia" w:ascii="宋体" w:hAnsi="宋体" w:eastAsia="宋体" w:cs="宋体"/>
          <w:bCs/>
          <w:color w:val="auto"/>
          <w:sz w:val="21"/>
          <w:szCs w:val="21"/>
          <w:highlight w:val="none"/>
        </w:rPr>
        <w:t>，具体评标内容及评分标准等详见《第四章：评标办法及评分标准》。</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（七）评标过程的监控</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本项目评标过程实行全程录音、录像监控，</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在评标过程中所进行的试图影响评标结果的不公正活动，可能导致其投标被拒绝。</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六、定标</w:t>
      </w:r>
    </w:p>
    <w:p>
      <w:pPr>
        <w:pStyle w:val="19"/>
        <w:pageBreakBefore w:val="0"/>
        <w:numPr>
          <w:ilvl w:val="0"/>
          <w:numId w:val="20"/>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采购代理机构应当在评标结束后2个工作日内将评标报告送采购人。</w:t>
      </w:r>
    </w:p>
    <w:p>
      <w:pPr>
        <w:pStyle w:val="19"/>
        <w:pageBreakBefore w:val="0"/>
        <w:numPr>
          <w:ilvl w:val="0"/>
          <w:numId w:val="20"/>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采购人应当自收到评标报告之日起</w:t>
      </w:r>
      <w:r>
        <w:rPr>
          <w:rFonts w:hint="eastAsia" w:ascii="宋体" w:hAnsi="宋体" w:eastAsia="宋体" w:cs="宋体"/>
          <w:bCs/>
          <w:color w:val="auto"/>
          <w:sz w:val="21"/>
          <w:szCs w:val="21"/>
          <w:highlight w:val="none"/>
          <w:lang w:val="en-US"/>
        </w:rPr>
        <w:t>5</w:t>
      </w:r>
      <w:r>
        <w:rPr>
          <w:rFonts w:hint="eastAsia" w:ascii="宋体" w:hAnsi="宋体" w:eastAsia="宋体" w:cs="宋体"/>
          <w:bCs/>
          <w:color w:val="auto"/>
          <w:sz w:val="21"/>
          <w:szCs w:val="21"/>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19"/>
        <w:pageBreakBefore w:val="0"/>
        <w:numPr>
          <w:ilvl w:val="0"/>
          <w:numId w:val="20"/>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采购人自行组织招标的，应当在评标结束后5个工作日内确定中标人。</w:t>
      </w:r>
    </w:p>
    <w:p>
      <w:pPr>
        <w:pStyle w:val="19"/>
        <w:pageBreakBefore w:val="0"/>
        <w:numPr>
          <w:ilvl w:val="0"/>
          <w:numId w:val="20"/>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pStyle w:val="19"/>
        <w:pageBreakBefore w:val="0"/>
        <w:numPr>
          <w:ilvl w:val="0"/>
          <w:numId w:val="20"/>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采购人或者采购代理机构应当自中标人确定之日起2个工作日内，在省级以上财政部门指定的媒体上公告中标结果，招标文件应当随中标结果同时公告。</w:t>
      </w:r>
    </w:p>
    <w:p>
      <w:pPr>
        <w:pStyle w:val="19"/>
        <w:pageBreakBefore w:val="0"/>
        <w:numPr>
          <w:ilvl w:val="0"/>
          <w:numId w:val="20"/>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pStyle w:val="19"/>
        <w:pageBreakBefore w:val="0"/>
        <w:numPr>
          <w:ilvl w:val="0"/>
          <w:numId w:val="20"/>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中标公告期限为1个工作日。</w:t>
      </w:r>
    </w:p>
    <w:p>
      <w:pPr>
        <w:pStyle w:val="19"/>
        <w:pageBreakBefore w:val="0"/>
        <w:numPr>
          <w:ilvl w:val="0"/>
          <w:numId w:val="20"/>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在公告中标结果的同时，采购人或者采购代理机构应当向中标人发出中标通知书；对未通过资格审查的</w:t>
      </w:r>
      <w:r>
        <w:rPr>
          <w:rFonts w:hint="eastAsia"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，应当告知其未通过的原因；采用综合评分法评审的，还应当告知未中标人本人的评审得分与排序。</w:t>
      </w:r>
    </w:p>
    <w:p>
      <w:pPr>
        <w:pStyle w:val="19"/>
        <w:pageBreakBefore w:val="0"/>
        <w:numPr>
          <w:ilvl w:val="0"/>
          <w:numId w:val="20"/>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中标通知书发出后，采购人不得违法改变中标结果，中标人无正当理由不得放弃中标。</w:t>
      </w:r>
    </w:p>
    <w:p>
      <w:pPr>
        <w:pStyle w:val="19"/>
        <w:pageBreakBefore w:val="0"/>
        <w:numPr>
          <w:ilvl w:val="0"/>
          <w:numId w:val="20"/>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若中标人被投诉有效以及其他原因导致中标无效，或者拒不签订合同的，采购人将在评标委员会推荐的中标候选人中确定排名其次的中标候选人为本项目的中标人或重新招标。</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七、合同授予</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pPr>
        <w:pageBreakBefore w:val="0"/>
        <w:numPr>
          <w:ilvl w:val="0"/>
          <w:numId w:val="21"/>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pageBreakBefore w:val="0"/>
        <w:numPr>
          <w:ilvl w:val="0"/>
          <w:numId w:val="21"/>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采购人不得向中标人提出任何不合理的要求作为签订合同的条件。</w:t>
      </w:r>
    </w:p>
    <w:p>
      <w:pPr>
        <w:pageBreakBefore w:val="0"/>
        <w:numPr>
          <w:ilvl w:val="0"/>
          <w:numId w:val="21"/>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采购人与中标人应当根据合同的约定依法履行合同义务。</w:t>
      </w:r>
    </w:p>
    <w:p>
      <w:pPr>
        <w:pStyle w:val="19"/>
        <w:pageBreakBefore w:val="0"/>
        <w:numPr>
          <w:ilvl w:val="0"/>
          <w:numId w:val="21"/>
        </w:numPr>
        <w:shd w:val="clear" w:color="auto" w:fill="auto"/>
        <w:kinsoku/>
        <w:wordWrap/>
        <w:overflowPunct/>
        <w:topLinePunct w:val="0"/>
        <w:bidi w:val="0"/>
        <w:adjustRightInd/>
        <w:spacing w:before="0" w:beforeLines="0" w:after="0" w:afterLines="0"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政府采购合同的履行、违约责任和解决争议的方法等适用《中华人民共和国</w:t>
      </w:r>
      <w:r>
        <w:rPr>
          <w:rFonts w:hint="eastAsia" w:ascii="宋体" w:hAnsi="宋体" w:eastAsia="宋体" w:cs="宋体"/>
          <w:bCs/>
          <w:color w:val="auto"/>
          <w:sz w:val="21"/>
          <w:szCs w:val="21"/>
          <w:highlight w:val="none"/>
          <w:lang w:val="en-US"/>
        </w:rPr>
        <w:t>民法典</w:t>
      </w:r>
      <w:r>
        <w:rPr>
          <w:rFonts w:hint="eastAsia" w:ascii="宋体" w:hAnsi="宋体" w:eastAsia="宋体" w:cs="宋体"/>
          <w:bCs/>
          <w:color w:val="auto"/>
          <w:sz w:val="21"/>
          <w:szCs w:val="21"/>
          <w:highlight w:val="none"/>
        </w:rPr>
        <w:t>》。</w:t>
      </w:r>
    </w:p>
    <w:p>
      <w:pPr>
        <w:pStyle w:val="19"/>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beforeLines="0" w:after="0" w:afterLines="0"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履约保证金</w:t>
      </w:r>
    </w:p>
    <w:p>
      <w:pPr>
        <w:pStyle w:val="19"/>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beforeLines="0" w:after="0" w:afterLines="0" w:line="360" w:lineRule="auto"/>
        <w:ind w:left="0" w:leftChars="0" w:right="0" w:rightChars="0" w:firstLine="630" w:firstLineChars="300"/>
        <w:jc w:val="both"/>
        <w:textAlignment w:val="auto"/>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详见第三章《</w:t>
      </w:r>
      <w:r>
        <w:rPr>
          <w:rFonts w:hint="eastAsia" w:hAnsi="宋体" w:cs="宋体"/>
          <w:bCs/>
          <w:color w:val="auto"/>
          <w:sz w:val="21"/>
          <w:szCs w:val="21"/>
          <w:highlight w:val="none"/>
          <w:lang w:val="en-US" w:eastAsia="zh-CN" w:bidi="zh-CN"/>
        </w:rPr>
        <w:t>供应商</w:t>
      </w:r>
      <w:r>
        <w:rPr>
          <w:rFonts w:hint="eastAsia" w:ascii="宋体" w:hAnsi="宋体" w:eastAsia="宋体" w:cs="宋体"/>
          <w:bCs/>
          <w:color w:val="auto"/>
          <w:sz w:val="21"/>
          <w:szCs w:val="21"/>
          <w:highlight w:val="none"/>
          <w:lang w:val="en-US" w:eastAsia="zh-CN" w:bidi="zh-CN"/>
        </w:rPr>
        <w:t>须知》前附表。</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八、特别说明</w:t>
      </w:r>
    </w:p>
    <w:p>
      <w:pPr>
        <w:pageBreakBefore w:val="0"/>
        <w:numPr>
          <w:ilvl w:val="0"/>
          <w:numId w:val="22"/>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采购单位与中标人应当在《中标通知书》发出之日起30日内签订政府采购合同。</w:t>
      </w:r>
    </w:p>
    <w:p>
      <w:pPr>
        <w:pageBreakBefore w:val="0"/>
        <w:numPr>
          <w:ilvl w:val="0"/>
          <w:numId w:val="22"/>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本文件未及事项，在签订合同时供需及使用方友好商定。</w:t>
      </w:r>
    </w:p>
    <w:p>
      <w:pPr>
        <w:pageBreakBefore w:val="0"/>
        <w:numPr>
          <w:ilvl w:val="0"/>
          <w:numId w:val="22"/>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本采购文件解释权归采购单位。</w:t>
      </w:r>
    </w:p>
    <w:p>
      <w:pPr>
        <w:pageBreakBefore w:val="0"/>
        <w:numPr>
          <w:ilvl w:val="0"/>
          <w:numId w:val="22"/>
        </w:numPr>
        <w:shd w:val="clear" w:color="auto" w:fill="auto"/>
        <w:kinsoku/>
        <w:wordWrap/>
        <w:overflowPunct/>
        <w:topLinePunct w:val="0"/>
        <w:bidi w:val="0"/>
        <w:adjustRightInd/>
        <w:spacing w:line="360" w:lineRule="auto"/>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本次招标的招标代理服务费由中标人支付。</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九、落实政府采购政策的特别说明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1.本项目</w:t>
      </w:r>
      <w:r>
        <w:rPr>
          <w:rFonts w:hint="eastAsia" w:ascii="宋体" w:hAnsi="宋体" w:eastAsia="宋体" w:cs="宋体"/>
          <w:color w:val="auto"/>
          <w:sz w:val="21"/>
          <w:szCs w:val="21"/>
          <w:highlight w:val="none"/>
        </w:rPr>
        <w:t>执行财政部、工业和信息化部《政府采购促进中小企业发展管理办法》（财库〔2020〕46号）</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政府采购活动中有关中小企业的相关规定如下：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中小企业，是指在中华人民共和国境内依法设立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pPr>
        <w:pStyle w:val="57"/>
        <w:pageBreakBefore w:val="0"/>
        <w:kinsoku/>
        <w:wordWrap/>
        <w:overflowPunct/>
        <w:topLinePunct w:val="0"/>
        <w:bidi w:val="0"/>
        <w:adjustRightInd/>
        <w:spacing w:line="360" w:lineRule="auto"/>
        <w:ind w:left="0" w:leftChars="0" w:right="0" w:right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本项目对应的中小企业划分标准所属行业：</w:t>
      </w:r>
      <w:r>
        <w:rPr>
          <w:rFonts w:hint="eastAsia" w:ascii="宋体" w:hAnsi="宋体" w:eastAsia="宋体" w:cs="宋体"/>
          <w:b/>
          <w:bCs/>
          <w:color w:val="auto"/>
          <w:sz w:val="21"/>
          <w:szCs w:val="21"/>
          <w:highlight w:val="none"/>
          <w:u w:val="single"/>
          <w:lang w:val="en-US" w:eastAsia="zh-CN"/>
        </w:rPr>
        <w:t>详见第三章《</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en-US" w:eastAsia="zh-CN"/>
        </w:rPr>
        <w:t>须知》前附表</w:t>
      </w:r>
      <w:r>
        <w:rPr>
          <w:rFonts w:hint="eastAsia" w:ascii="宋体" w:hAnsi="宋体" w:eastAsia="宋体" w:cs="宋体"/>
          <w:b/>
          <w:bCs/>
          <w:color w:val="auto"/>
          <w:sz w:val="21"/>
          <w:szCs w:val="21"/>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在政府采购活动中，供应商提供的货物、工程或者服务符合下列情形的，享受《政府采购促进中小企业发展管理办法》规定的中小企业扶持政策：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（3）在服务采购项目中，服务由中小企业承接，即提供服务的人员为中小企业依照《中华人民共和国劳动合同法》订立劳动合同的从业人员。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在货物采购项目中，供应商提供的货物既有中小企业制造货物，也有大型企业制造货物的，不享受《政府采购促进中小企业发展管理办法》规定的中小企业扶持政策。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中小企业参加政府采购活动，应当出具《政府采购促进中小企业发展管理办法》规定的《中小企业声明函》（格式见本招标文件附件），否则不得享受相关中小企业扶持政策。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适用招标投标法的政府采购工程建设项目，供应商提供声明函内容不实的，属于弄虚作假骗取中标，依照《中华人民共和国招标投标法》等国家有关规定追究相应责任。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7.《中小企业声明函》由参加投标的供应商提交，如供应商为代理商，须自行采集制造商的中小企业划分类型信息填入相应栏目并对其真实性负责。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符合《关于政府采购支持监狱企业发展有关问题的通知》（财库[2014]68号）的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符合《关于促进残疾人就业政府采购政策的通知》（财库〔2017〕141号）规定的残疾人福利性单位视同小型、微型企业，享受评审中价格扣除等政府采购促进中小企业发展的政府采购政策，残疾人福利性单位参加政府采购活动时，应当提供《残疾人福利性单位声明函》（格式见本招标文件附件），并对声明的真实性负责，未能提供的不予认可。</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10.中小企业享受扶持政策获得政府采购合同的，小微企业不得将合同分包给大中型企业，中型企业不得将合同分包给大型企业。</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ascii="宋体" w:hAnsi="宋体" w:cs="宋体"/>
          <w:color w:val="auto"/>
          <w:sz w:val="28"/>
          <w:szCs w:val="28"/>
          <w:highlight w:val="none"/>
        </w:rPr>
      </w:pPr>
      <w:r>
        <w:rPr>
          <w:color w:val="auto"/>
          <w:sz w:val="30"/>
          <w:szCs w:val="30"/>
          <w:highlight w:val="none"/>
        </w:rPr>
        <w:br w:type="page"/>
      </w:r>
      <w:bookmarkStart w:id="25" w:name="_Toc20759"/>
      <w:r>
        <w:rPr>
          <w:rStyle w:val="53"/>
          <w:rFonts w:hint="eastAsia" w:cs="Times New Roman"/>
          <w:color w:val="auto"/>
          <w:highlight w:val="none"/>
          <w:lang w:val="en-US" w:eastAsia="zh-CN" w:bidi="ar-SA"/>
        </w:rPr>
        <w:t>第四章  评标办法及评分标准</w:t>
      </w:r>
      <w:bookmarkEnd w:id="25"/>
    </w:p>
    <w:p>
      <w:pPr>
        <w:shd w:val="clear" w:color="auto" w:fill="auto"/>
        <w:adjustRightInd w:val="0"/>
        <w:snapToGrid w:val="0"/>
        <w:spacing w:line="360" w:lineRule="auto"/>
        <w:ind w:firstLine="420" w:firstLineChars="200"/>
        <w:jc w:val="center"/>
        <w:rPr>
          <w:rFonts w:hint="eastAsia"/>
          <w:color w:val="auto"/>
          <w:sz w:val="21"/>
          <w:szCs w:val="21"/>
          <w:highlight w:val="none"/>
        </w:rPr>
      </w:pPr>
      <w:r>
        <w:rPr>
          <w:rFonts w:hint="eastAsia"/>
          <w:color w:val="auto"/>
          <w:sz w:val="21"/>
          <w:szCs w:val="21"/>
          <w:highlight w:val="none"/>
        </w:rPr>
        <w:t>（综合评分法）</w:t>
      </w:r>
    </w:p>
    <w:p>
      <w:pPr>
        <w:keepNext/>
        <w:keepLines/>
        <w:widowControl w:val="0"/>
        <w:shd w:val="clear" w:color="auto" w:fill="auto"/>
        <w:bidi w:val="0"/>
        <w:spacing w:line="360" w:lineRule="auto"/>
        <w:jc w:val="left"/>
        <w:outlineLvl w:val="2"/>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一、总则</w:t>
      </w:r>
    </w:p>
    <w:p>
      <w:pPr>
        <w:keepNext w:val="0"/>
        <w:keepLines w:val="0"/>
        <w:pageBreakBefore w:val="0"/>
        <w:widowControl/>
        <w:shd w:val="clear" w:color="auto" w:fill="auto"/>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招标活动遵循公平、公正、科学、择优的原则依法进行，招标活动及当事人接受依法实施的监督。</w:t>
      </w:r>
    </w:p>
    <w:p>
      <w:pPr>
        <w:keepNext w:val="0"/>
        <w:keepLines w:val="0"/>
        <w:pageBreakBefore w:val="0"/>
        <w:widowControl/>
        <w:shd w:val="clear" w:color="auto" w:fill="auto"/>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采用百分制，总分100分。供应商的综合得分为技术商务得分与报价得分之和。按综合得分由高到低的排序，推荐中标候选人。若供应商的综合得分相等，则投标报价低者列前；若投标报价也相同时，采取随机抽签的方式确定排序。</w:t>
      </w:r>
    </w:p>
    <w:p>
      <w:pPr>
        <w:keepNext w:val="0"/>
        <w:keepLines w:val="0"/>
        <w:pageBreakBefore w:val="0"/>
        <w:widowControl/>
        <w:shd w:val="clear" w:color="auto" w:fill="auto"/>
        <w:kinsoku/>
        <w:wordWrap/>
        <w:overflowPunct/>
        <w:topLinePunct w:val="0"/>
        <w:autoSpaceDE/>
        <w:autoSpaceDN/>
        <w:bidi w:val="0"/>
        <w:adjustRightInd w:val="0"/>
        <w:snapToGrid/>
        <w:spacing w:line="360" w:lineRule="auto"/>
        <w:ind w:leftChars="0"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本项目评审顺序：按标项一、标项二、标项三、标项四的顺序进行评审</w:t>
      </w:r>
      <w:r>
        <w:rPr>
          <w:rFonts w:hint="eastAsia" w:ascii="宋体" w:hAnsi="宋体" w:eastAsia="宋体" w:cs="宋体"/>
          <w:color w:val="auto"/>
          <w:sz w:val="21"/>
          <w:szCs w:val="21"/>
          <w:highlight w:val="none"/>
        </w:rPr>
        <w:t>。</w:t>
      </w:r>
    </w:p>
    <w:p>
      <w:pPr>
        <w:keepNext/>
        <w:keepLines/>
        <w:widowControl w:val="0"/>
        <w:shd w:val="clear" w:color="auto" w:fill="auto"/>
        <w:bidi w:val="0"/>
        <w:spacing w:line="360" w:lineRule="auto"/>
        <w:jc w:val="left"/>
        <w:outlineLvl w:val="2"/>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二、评标过程</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spacing w:line="360" w:lineRule="auto"/>
        <w:ind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资格条件审查</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由采购人或采购代理机构对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的资格进行审查。对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单位负责人是否为同一人或者存在直接控股、管理</w:t>
      </w:r>
      <w:r>
        <w:rPr>
          <w:rFonts w:hint="eastAsia" w:ascii="宋体" w:hAnsi="宋体" w:cs="宋体"/>
          <w:color w:val="auto"/>
          <w:sz w:val="21"/>
          <w:szCs w:val="21"/>
          <w:highlight w:val="none"/>
          <w:lang w:val="en-US" w:eastAsia="zh-CN"/>
        </w:rPr>
        <w:t>等其他关联</w:t>
      </w:r>
      <w:r>
        <w:rPr>
          <w:rFonts w:hint="eastAsia" w:ascii="宋体" w:hAnsi="宋体" w:eastAsia="宋体" w:cs="宋体"/>
          <w:color w:val="auto"/>
          <w:sz w:val="21"/>
          <w:szCs w:val="21"/>
          <w:highlight w:val="none"/>
        </w:rPr>
        <w:t>关系的，采购代理机构将使用天眼查、企查查等相关工具进行查询核实，如存在不符合采购文件要求的情形的，将否决其投标。</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评标委员会负责对采购代理机构提交的关联性审查复核。</w:t>
      </w:r>
    </w:p>
    <w:tbl>
      <w:tblPr>
        <w:tblStyle w:val="37"/>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8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2" w:type="dxa"/>
            <w:noWrap w:val="0"/>
            <w:vAlign w:val="center"/>
          </w:tcPr>
          <w:p>
            <w:pPr>
              <w:shd w:val="clear" w:color="auto" w:fill="auto"/>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审查类别</w:t>
            </w:r>
          </w:p>
        </w:tc>
        <w:tc>
          <w:tcPr>
            <w:tcW w:w="8057" w:type="dxa"/>
            <w:noWrap w:val="0"/>
            <w:vAlign w:val="center"/>
          </w:tcPr>
          <w:p>
            <w:pPr>
              <w:shd w:val="clear" w:color="auto" w:fill="auto"/>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2" w:type="dxa"/>
            <w:vMerge w:val="restart"/>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资格条件审查</w:t>
            </w:r>
          </w:p>
        </w:tc>
        <w:tc>
          <w:tcPr>
            <w:tcW w:w="8057"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2"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8057"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2"/>
                <w:szCs w:val="22"/>
                <w:highlight w:val="none"/>
                <w:lang w:val="en-US" w:eastAsia="zh-CN"/>
              </w:rPr>
              <w:t>详见第一章《公开招标采购公告》</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2" w:type="dxa"/>
            <w:vMerge w:val="continue"/>
            <w:noWrap w:val="0"/>
            <w:vAlign w:val="center"/>
          </w:tcPr>
          <w:p>
            <w:pPr>
              <w:shd w:val="clear" w:color="auto" w:fill="auto"/>
              <w:spacing w:line="360" w:lineRule="auto"/>
              <w:rPr>
                <w:rFonts w:hint="eastAsia" w:ascii="宋体" w:hAnsi="宋体" w:eastAsia="宋体" w:cs="宋体"/>
                <w:color w:val="auto"/>
                <w:sz w:val="21"/>
                <w:szCs w:val="21"/>
                <w:highlight w:val="none"/>
              </w:rPr>
            </w:pPr>
          </w:p>
        </w:tc>
        <w:tc>
          <w:tcPr>
            <w:tcW w:w="8057"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2"/>
                <w:szCs w:val="22"/>
                <w:highlight w:val="none"/>
                <w:lang w:val="en-US" w:eastAsia="zh-CN"/>
              </w:rPr>
              <w:t>详见第一章《公开招标采购公告》</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2" w:type="dxa"/>
            <w:vMerge w:val="continue"/>
            <w:noWrap w:val="0"/>
            <w:vAlign w:val="center"/>
          </w:tcPr>
          <w:p>
            <w:pPr>
              <w:shd w:val="clear" w:color="auto" w:fill="auto"/>
              <w:spacing w:line="360" w:lineRule="auto"/>
              <w:rPr>
                <w:rFonts w:hint="eastAsia" w:ascii="宋体" w:hAnsi="宋体" w:eastAsia="宋体" w:cs="宋体"/>
                <w:color w:val="auto"/>
                <w:sz w:val="21"/>
                <w:szCs w:val="21"/>
                <w:highlight w:val="none"/>
              </w:rPr>
            </w:pPr>
          </w:p>
        </w:tc>
        <w:tc>
          <w:tcPr>
            <w:tcW w:w="8057"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本项目联合体投标</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详见第一章《公开招标采购公告》</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2" w:type="dxa"/>
            <w:vMerge w:val="continue"/>
            <w:noWrap w:val="0"/>
            <w:vAlign w:val="center"/>
          </w:tcPr>
          <w:p>
            <w:pPr>
              <w:shd w:val="clear" w:color="auto" w:fill="auto"/>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8057" w:type="dxa"/>
            <w:noWrap w:val="0"/>
            <w:vAlign w:val="center"/>
          </w:tcPr>
          <w:p>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符合《中华人民共和国政府采购法》第二十二条规定的供应商资格条件；且必须为未被列入信用中国网站(www.creditchina.gov.cn)、中国政府采购网(www.ccgp.gov.cn)渠道信用记录失信被执行人、重大税收违法案件当事人名单、政府采购严重违法失信行为信息记录名单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（以代理机构于投标截止日当天在“信用中国”网站（www.creditchina.gov.cn）及中国政府采购网查询结果为准，如相关失信记录已失效，供应商需提供相关证明资料）。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102" w:type="dxa"/>
            <w:vMerge w:val="continue"/>
            <w:noWrap w:val="0"/>
            <w:vAlign w:val="center"/>
          </w:tcPr>
          <w:p>
            <w:pPr>
              <w:shd w:val="clear" w:color="auto" w:fill="auto"/>
              <w:spacing w:line="360" w:lineRule="auto"/>
              <w:rPr>
                <w:rFonts w:hint="eastAsia" w:ascii="宋体" w:hAnsi="宋体" w:eastAsia="宋体" w:cs="宋体"/>
                <w:color w:val="auto"/>
                <w:sz w:val="21"/>
                <w:szCs w:val="21"/>
                <w:highlight w:val="none"/>
              </w:rPr>
            </w:pPr>
          </w:p>
        </w:tc>
        <w:tc>
          <w:tcPr>
            <w:tcW w:w="8057" w:type="dxa"/>
            <w:noWrap w:val="0"/>
            <w:vAlign w:val="center"/>
          </w:tcPr>
          <w:p>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，不得参加同一合同项下的政府采购活动。为采购项目提供整体设计、规范编制或者项目管理、监理、检测等服务的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，不得再参加该采购项目的其他采购活动。</w:t>
            </w:r>
          </w:p>
        </w:tc>
      </w:tr>
    </w:tbl>
    <w:p>
      <w:pPr>
        <w:widowControl/>
        <w:shd w:val="clear" w:color="auto" w:fill="auto"/>
        <w:spacing w:line="360" w:lineRule="auto"/>
        <w:ind w:firstLine="422" w:firstLineChars="200"/>
        <w:rPr>
          <w:rFonts w:hint="eastAsia" w:ascii="宋体" w:hAnsi="宋体" w:eastAsia="宋体" w:cs="宋体"/>
          <w:b/>
          <w:bCs/>
          <w:color w:val="auto"/>
          <w:sz w:val="21"/>
          <w:szCs w:val="21"/>
          <w:highlight w:val="none"/>
        </w:rPr>
      </w:pP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（二）符合性审查</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的投标文件进行符合性审查，以确定其是否满足采购文件的实质性要求。</w:t>
      </w:r>
    </w:p>
    <w:tbl>
      <w:tblPr>
        <w:tblStyle w:val="3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noWrap w:val="0"/>
            <w:vAlign w:val="center"/>
          </w:tcPr>
          <w:p>
            <w:pPr>
              <w:shd w:val="clear" w:color="auto" w:fill="auto"/>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审查类别</w:t>
            </w:r>
          </w:p>
        </w:tc>
        <w:tc>
          <w:tcPr>
            <w:tcW w:w="7762" w:type="dxa"/>
            <w:noWrap w:val="0"/>
            <w:vAlign w:val="center"/>
          </w:tcPr>
          <w:p>
            <w:pPr>
              <w:shd w:val="clear" w:color="auto" w:fill="auto"/>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restart"/>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符合性审查（技术商务文件）</w:t>
            </w: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具备招标文件中规定的资格要求；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投标文件有法定代表人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签署本人姓名（或印盖本人姓名章），或签署人提供有效的法定代表人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技术商务文件不存在采购文件所规定的其它无效投标条款要求。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restart"/>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符合性审查（报价文件）</w:t>
            </w: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不存在评标委员会认为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投标文件（报价文件）内容与投标文件（技术商务文件）内容不存在重大差异的；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报价文件不存在采购文件所规定的其它无效投标条款要求。</w:t>
            </w:r>
          </w:p>
        </w:tc>
      </w:tr>
    </w:tbl>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（三）投标无效的情形</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实质上没有响应招标文件要求的投标将被视为无效投标。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不得通过修正或撤消不合要求的偏离或保留从而使其投标成为实质上响应的投标，但经评标委员会认定属于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疏忽、笔误所造成的差错，应当允许其在评标结束之前进行修改或者补正。修改或者补正投标文件必须以书面形式进行，限期内不补正或经补正后仍不符合招标文件要求的，应认定其投标无效。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修改、补正投标文件后，不影响评标委员会对其投标文件所作的评价和评分结果。</w:t>
      </w:r>
    </w:p>
    <w:p>
      <w:pPr>
        <w:keepNext w:val="0"/>
        <w:keepLines w:val="0"/>
        <w:pageBreakBefore w:val="0"/>
        <w:shd w:val="clear" w:color="auto" w:fill="auto"/>
        <w:kinsoku/>
        <w:wordWrap/>
        <w:overflowPunct/>
        <w:topLinePunct w:val="0"/>
        <w:autoSpaceDE/>
        <w:autoSpaceDN/>
        <w:bidi w:val="0"/>
        <w:adjustRightInd/>
        <w:snapToGrid/>
        <w:spacing w:line="360" w:lineRule="auto"/>
        <w:ind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A、在符合性审查（技术商务文件）时，如发现下列情形之一的，将被视为无效投标文件：</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1、资格证明文件不全的或者不符合采购文件标明的资格要求的；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2、未按照采购文件规定要求签署或盖章；</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3、投标文件无法定代表人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签署本人姓名（或印盖本人姓名章），或签署人未提供有效的法定代表人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授权委托书或授权委托书填写项目不齐全的；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4、投标文件项目不齐全；</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5、投标文件标明的响应或偏离与事实不符或虚假投标的；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6、投标文件的实质性内容未使用中文表述、意思表述不明确、前后矛盾或者使用计量单位不符合采购文件要求的（经评标委员会认定并允许其当场更正的笔误除外）；</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7、带“▲”的条款不能满足采购文件要求、未实质性响应采购文件要求或者投标文件有采购人不能接受的附加条件的；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8、投标技术方案不明确，存在一个或一个以上备选（替代）投标方案的；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9、技术商务文件中出现报价或单价的；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10、法律、法规和采购文件规定的其他无效情形；</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11、投标文件的有效期不满足采购文件要求；</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12、技术商务文件存在采购文件所规定的其它无效投标条款要求。</w:t>
      </w:r>
    </w:p>
    <w:p>
      <w:pPr>
        <w:keepNext w:val="0"/>
        <w:keepLines w:val="0"/>
        <w:pageBreakBefore w:val="0"/>
        <w:shd w:val="clear" w:color="auto" w:fill="auto"/>
        <w:kinsoku/>
        <w:wordWrap/>
        <w:overflowPunct/>
        <w:topLinePunct w:val="0"/>
        <w:autoSpaceDE/>
        <w:autoSpaceDN/>
        <w:bidi w:val="0"/>
        <w:adjustRightInd/>
        <w:snapToGrid/>
        <w:spacing w:line="360" w:lineRule="auto"/>
        <w:ind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B、在符合性审查（报价文件）时，如发现下列情形之一的，将被视为无效投标文件：</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1、未按照采购文件规定要求签署或盖章；</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2、投标文件项目不齐全；</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3、未采用人民币报价或者未按照采购文件标明的币种报价的；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4、报价超出最高限价，或者超出采购预算金额，采购人不能支付的；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5、投标报价具有选择性的；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6、投标报价中出现重大缺项、漏项；</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7、评标委员会认为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的报价，有可能影响产品质量或者不能诚信履约的，且不能在评标现场合理时间内提供相关证明材料说明其报价的合理性的；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8、投标文件（报价文件）内容与投标文件（技术商务文件）内容有重大差异的；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9、法律、法规和采购文件规定的其他无效情形；</w:t>
      </w:r>
    </w:p>
    <w:p>
      <w:pPr>
        <w:keepNext w:val="0"/>
        <w:keepLines w:val="0"/>
        <w:pageBreakBefore w:val="0"/>
        <w:shd w:val="clear" w:color="auto" w:fill="auto"/>
        <w:tabs>
          <w:tab w:val="left" w:pos="0"/>
          <w:tab w:val="left" w:pos="723"/>
        </w:tabs>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10、报价文件存在采购文件所规定的其它无效投标条款要求。</w:t>
      </w:r>
    </w:p>
    <w:p>
      <w:pPr>
        <w:keepNext w:val="0"/>
        <w:keepLines w:val="0"/>
        <w:pageBreakBefore w:val="0"/>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C、评审时如发现下列情形之一的，视为</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串通投标，其投标无效：</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的投标文件由同一单位或者个人编制；</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委托同一单位或者个人办理投标事宜；</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的投标文件载明的项目管理成员或者联系人员为同一人；</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的投标文件异常一致或者投标报价呈规律性差异；</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的投标文件相互混装；</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（四）澄清问题</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作出必要的澄清、说明或者纠正。</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的澄清、说明或者补正应当采用书面形式，由其授权的代表签字，并不得超出投标文件的范围或者改变投标文件的实质性内容。</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（五）详细评审</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评标委员会对初步评审合格的投标文件，依照本办法对投标文件作进一步评审、比较。评标委员会成员经过阅标、审标和询标，对各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进行打分。</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评委打分参照：评分标准。评委打分采用记名方式进行独立打分，汇总所有评委会成员评分取算术平均值（小数点后保留二位数）为该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的商务技术得分。报价文件经评标委员会评审后按评分标准表进行统一计算（小数点后保留二位小数）。最终汇总商务技术得分和报价得分（小数点后保留二位小数）。</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（六）推荐中标候选人原则</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的综合得分由高到低的排序，推荐中标候选人。若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的综合得分相等，则投标报价低者列前；若投标报价也相同时，采取随机抽签的方式确定排序。</w:t>
      </w:r>
    </w:p>
    <w:p>
      <w:pPr>
        <w:keepNext/>
        <w:keepLines/>
        <w:pageBreakBefore w:val="0"/>
        <w:kinsoku/>
        <w:wordWrap/>
        <w:overflowPunct/>
        <w:topLinePunct w:val="0"/>
        <w:autoSpaceDE/>
        <w:autoSpaceDN/>
        <w:bidi w:val="0"/>
        <w:adjustRightInd/>
        <w:snapToGrid/>
        <w:spacing w:before="0"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、中标候选人推荐原则</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（1）按标项一、标项二、标项三、标项四的顺序推荐第一中标候选人。</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（2）参加多个标项投标的</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，只能被推荐为其中</w:t>
      </w:r>
      <w:r>
        <w:rPr>
          <w:rFonts w:hint="eastAsia" w:ascii="宋体" w:hAnsi="宋体" w:eastAsia="宋体" w:cs="宋体"/>
          <w:b/>
          <w:bCs/>
          <w:color w:val="auto"/>
          <w:sz w:val="21"/>
          <w:szCs w:val="21"/>
          <w:highlight w:val="none"/>
          <w:lang w:val="en-US" w:eastAsia="zh-CN"/>
        </w:rPr>
        <w:t>某</w:t>
      </w:r>
      <w:r>
        <w:rPr>
          <w:rFonts w:hint="eastAsia" w:ascii="宋体" w:hAnsi="宋体" w:eastAsia="宋体" w:cs="宋体"/>
          <w:b/>
          <w:bCs/>
          <w:color w:val="auto"/>
          <w:sz w:val="21"/>
          <w:szCs w:val="21"/>
          <w:highlight w:val="none"/>
        </w:rPr>
        <w:t>一个标项的第一中标候选人。</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（3）若投标人已被推荐为已评审标项第一中标候选人，则不再参加后序标项的评审（即已获得标项一第一中标候选人资格的供应商，不再参加标项二的评审，以此类推）。</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（4）参加实际评审的供应商不足3家的，则视为实质性响应招标文件的有效供应商不足3家，该标项作废标处理。</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（七）中标结果</w:t>
      </w:r>
    </w:p>
    <w:p>
      <w:pPr>
        <w:pStyle w:val="21"/>
        <w:keepNext w:val="0"/>
        <w:keepLines w:val="0"/>
        <w:pageBreakBefore w:val="0"/>
        <w:widowControl/>
        <w:shd w:val="clear" w:color="auto" w:fill="auto"/>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候选人。中标候选人因不可抗力或者自身原因不能履行政府采购合同的，采购人可以按照评审报告推荐的下一中标候选人为中标候选人或重新招标。</w:t>
      </w:r>
    </w:p>
    <w:p>
      <w:pPr>
        <w:keepNext w:val="0"/>
        <w:keepLines w:val="0"/>
        <w:pageBreakBefore w:val="0"/>
        <w:widowControl/>
        <w:numPr>
          <w:ilvl w:val="0"/>
          <w:numId w:val="0"/>
        </w:numPr>
        <w:shd w:val="clear" w:color="auto" w:fill="auto"/>
        <w:kinsoku/>
        <w:wordWrap/>
        <w:overflowPunct/>
        <w:topLinePunct w:val="0"/>
        <w:autoSpaceDE w:val="0"/>
        <w:autoSpaceDN w:val="0"/>
        <w:bidi w:val="0"/>
        <w:adjustRightInd/>
        <w:snapToGrid w:val="0"/>
        <w:spacing w:line="360" w:lineRule="auto"/>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rPr>
        <w:br w:type="page"/>
      </w:r>
      <w:r>
        <w:rPr>
          <w:rFonts w:hint="eastAsia"/>
          <w:b/>
          <w:bCs/>
          <w:color w:val="auto"/>
          <w:sz w:val="21"/>
          <w:szCs w:val="21"/>
          <w:highlight w:val="none"/>
          <w:lang w:val="en-US" w:eastAsia="zh-CN"/>
        </w:rPr>
        <w:t>三、</w:t>
      </w:r>
      <w:r>
        <w:rPr>
          <w:rFonts w:hint="eastAsia" w:ascii="宋体" w:hAnsi="宋体" w:eastAsia="宋体" w:cs="宋体"/>
          <w:b/>
          <w:bCs/>
          <w:color w:val="auto"/>
          <w:kern w:val="2"/>
          <w:sz w:val="21"/>
          <w:szCs w:val="21"/>
          <w:highlight w:val="none"/>
          <w:lang w:val="en-US" w:eastAsia="zh-CN" w:bidi="ar-SA"/>
        </w:rPr>
        <w:t>评分细则</w:t>
      </w:r>
    </w:p>
    <w:tbl>
      <w:tblPr>
        <w:tblStyle w:val="37"/>
        <w:tblW w:w="58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240"/>
        <w:gridCol w:w="7151"/>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评分项目</w:t>
            </w:r>
          </w:p>
        </w:tc>
        <w:tc>
          <w:tcPr>
            <w:tcW w:w="4138" w:type="pct"/>
            <w:gridSpan w:val="2"/>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评标要点及说明</w:t>
            </w:r>
          </w:p>
        </w:tc>
        <w:tc>
          <w:tcPr>
            <w:tcW w:w="324"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w:t>
            </w:r>
          </w:p>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（20分）</w:t>
            </w:r>
          </w:p>
        </w:tc>
        <w:tc>
          <w:tcPr>
            <w:tcW w:w="4138" w:type="pct"/>
            <w:gridSpan w:val="2"/>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参与评审的价格=投标报价。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满足招标要求的有效投标报价（初步评审合格且技术商务、报价部分评审合格）且参与评审的价格最低的为评标基准价，其价格分得20分；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投标报价得分=（评标基准价/参与评审的价格）×20%×100。</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注：投标价得分四舍五入保留两位小数。</w:t>
            </w:r>
          </w:p>
        </w:tc>
        <w:tc>
          <w:tcPr>
            <w:tcW w:w="3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技术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商务</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（80分）</w:t>
            </w:r>
          </w:p>
        </w:tc>
        <w:tc>
          <w:tcPr>
            <w:tcW w:w="611" w:type="pct"/>
            <w:vMerge w:val="restart"/>
            <w:shd w:val="clear" w:color="auto" w:fill="auto"/>
            <w:vAlign w:val="center"/>
          </w:tcPr>
          <w:p>
            <w:pPr>
              <w:keepNext w:val="0"/>
              <w:keepLines w:val="0"/>
              <w:pageBreakBefore w:val="0"/>
              <w:widowControl w:val="0"/>
              <w:tabs>
                <w:tab w:val="left" w:pos="570"/>
              </w:tabs>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项目管理技术方案</w:t>
            </w:r>
          </w:p>
          <w:p>
            <w:pPr>
              <w:keepNext w:val="0"/>
              <w:keepLines w:val="0"/>
              <w:pageBreakBefore w:val="0"/>
              <w:widowControl w:val="0"/>
              <w:tabs>
                <w:tab w:val="left" w:pos="570"/>
              </w:tabs>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eastAsia="zh-CN"/>
              </w:rPr>
              <w:t>）</w:t>
            </w:r>
          </w:p>
        </w:tc>
        <w:tc>
          <w:tcPr>
            <w:tcW w:w="3526" w:type="pct"/>
            <w:shd w:val="clear" w:color="auto" w:fill="auto"/>
            <w:vAlign w:val="center"/>
          </w:tcPr>
          <w:p>
            <w:pPr>
              <w:keepNext w:val="0"/>
              <w:keepLines w:val="0"/>
              <w:pageBreakBefore w:val="0"/>
              <w:widowControl w:val="0"/>
              <w:tabs>
                <w:tab w:val="left" w:pos="57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评标委员会根据供应商提供的针对本项目的服务工作计划、管理计划、工作流程（程序）方面，是否全面完整、是否切合本项目的实际，是否有针对性、突出重点进行综合评议，最高18分。</w:t>
            </w:r>
          </w:p>
          <w:p>
            <w:pPr>
              <w:keepNext w:val="0"/>
              <w:keepLines w:val="0"/>
              <w:pageBreakBefore w:val="0"/>
              <w:widowControl w:val="0"/>
              <w:tabs>
                <w:tab w:val="left" w:pos="57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方案全面完整、符合本项目实际，具有针对性并突出重点的得18-12分；</w:t>
            </w:r>
          </w:p>
          <w:p>
            <w:pPr>
              <w:keepNext w:val="0"/>
              <w:keepLines w:val="0"/>
              <w:pageBreakBefore w:val="0"/>
              <w:widowControl w:val="0"/>
              <w:tabs>
                <w:tab w:val="left" w:pos="57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方案较为全面完整，与本项目实际较为符合，方案针对性和突出重点一般的得11.9-7分；</w:t>
            </w:r>
          </w:p>
          <w:p>
            <w:pPr>
              <w:keepNext w:val="0"/>
              <w:keepLines w:val="0"/>
              <w:pageBreakBefore w:val="0"/>
              <w:widowControl w:val="0"/>
              <w:tabs>
                <w:tab w:val="left" w:pos="57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方案一般，与本项目实际略有不符，方案针对性较差未能突出重点的得6</w:t>
            </w:r>
            <w:r>
              <w:rPr>
                <w:rFonts w:hint="eastAsia" w:ascii="宋体" w:hAnsi="宋体" w:eastAsia="宋体" w:cs="宋体"/>
                <w:color w:val="auto"/>
                <w:sz w:val="21"/>
                <w:szCs w:val="21"/>
                <w:highlight w:val="none"/>
              </w:rPr>
              <w:t>.9-0</w:t>
            </w:r>
            <w:r>
              <w:rPr>
                <w:rFonts w:hint="eastAsia" w:ascii="宋体" w:hAnsi="宋体" w:eastAsia="宋体" w:cs="宋体"/>
                <w:color w:val="auto"/>
                <w:kern w:val="2"/>
                <w:sz w:val="21"/>
                <w:szCs w:val="21"/>
                <w:highlight w:val="none"/>
                <w:lang w:val="en-US" w:eastAsia="zh-CN" w:bidi="ar-SA"/>
              </w:rPr>
              <w:t>分。</w:t>
            </w:r>
          </w:p>
        </w:tc>
        <w:tc>
          <w:tcPr>
            <w:tcW w:w="324"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611" w:type="pct"/>
            <w:vMerge w:val="continue"/>
            <w:shd w:val="clear" w:color="auto" w:fill="auto"/>
            <w:vAlign w:val="center"/>
          </w:tcPr>
          <w:p>
            <w:pPr>
              <w:keepNext w:val="0"/>
              <w:keepLines w:val="0"/>
              <w:pageBreakBefore w:val="0"/>
              <w:widowControl w:val="0"/>
              <w:tabs>
                <w:tab w:val="left" w:pos="570"/>
              </w:tabs>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kern w:val="2"/>
                <w:sz w:val="21"/>
                <w:szCs w:val="21"/>
                <w:highlight w:val="none"/>
                <w:lang w:val="en-US" w:eastAsia="zh-CN"/>
              </w:rPr>
            </w:pPr>
          </w:p>
        </w:tc>
        <w:tc>
          <w:tcPr>
            <w:tcW w:w="3526" w:type="pct"/>
            <w:shd w:val="clear" w:color="auto" w:fill="auto"/>
            <w:vAlign w:val="center"/>
          </w:tcPr>
          <w:p>
            <w:pPr>
              <w:pStyle w:val="8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评标委员会根据供应商</w:t>
            </w:r>
            <w:r>
              <w:rPr>
                <w:rFonts w:hint="eastAsia" w:ascii="宋体" w:hAnsi="宋体" w:eastAsia="宋体" w:cs="宋体"/>
                <w:color w:val="auto"/>
                <w:sz w:val="21"/>
                <w:szCs w:val="21"/>
                <w:highlight w:val="none"/>
              </w:rPr>
              <w:t>针对本项目提出的安全文明保障措施、质量保障措施，是否全面完整、是否切合本项目的实际，是否有针对性、突出重点进行</w:t>
            </w:r>
            <w:r>
              <w:rPr>
                <w:rFonts w:hint="eastAsia" w:ascii="宋体" w:hAnsi="宋体" w:eastAsia="宋体" w:cs="宋体"/>
                <w:color w:val="auto"/>
                <w:kern w:val="2"/>
                <w:sz w:val="21"/>
                <w:szCs w:val="21"/>
                <w:highlight w:val="none"/>
                <w:lang w:val="en-US" w:eastAsia="zh-CN" w:bidi="ar-SA"/>
              </w:rPr>
              <w:t>综合评议，最高15分。</w:t>
            </w:r>
          </w:p>
          <w:p>
            <w:pPr>
              <w:pStyle w:val="8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w:t>
            </w:r>
            <w:r>
              <w:rPr>
                <w:rFonts w:hint="eastAsia" w:ascii="宋体" w:hAnsi="宋体" w:eastAsia="宋体" w:cs="宋体"/>
                <w:color w:val="auto"/>
                <w:sz w:val="21"/>
                <w:szCs w:val="21"/>
                <w:highlight w:val="none"/>
                <w:lang w:val="en-US" w:eastAsia="zh-CN"/>
              </w:rPr>
              <w:t>全面</w:t>
            </w:r>
            <w:r>
              <w:rPr>
                <w:rFonts w:hint="eastAsia" w:ascii="宋体" w:hAnsi="宋体" w:eastAsia="宋体" w:cs="宋体"/>
                <w:color w:val="auto"/>
                <w:sz w:val="21"/>
                <w:szCs w:val="21"/>
                <w:highlight w:val="none"/>
              </w:rPr>
              <w:t>完整、符合本项目实际，具有针对性并突出重点的得15-12分；</w:t>
            </w:r>
          </w:p>
          <w:p>
            <w:pPr>
              <w:pStyle w:val="83"/>
              <w:keepNext w:val="0"/>
              <w:keepLines w:val="0"/>
              <w:pageBreakBefore w:val="0"/>
              <w:widowControl w:val="0"/>
              <w:kinsoku/>
              <w:wordWrap/>
              <w:overflowPunct/>
              <w:topLinePunct w:val="0"/>
              <w:autoSpaceDE/>
              <w:autoSpaceDN/>
              <w:bidi w:val="0"/>
              <w:adjustRightInd/>
              <w:snapToGrid/>
              <w:spacing w:line="400" w:lineRule="exact"/>
              <w:ind w:left="0" w:leftChars="0" w:firstLine="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措施较为</w:t>
            </w:r>
            <w:r>
              <w:rPr>
                <w:rFonts w:hint="eastAsia" w:ascii="宋体" w:hAnsi="宋体" w:eastAsia="宋体" w:cs="宋体"/>
                <w:color w:val="auto"/>
                <w:sz w:val="21"/>
                <w:szCs w:val="21"/>
                <w:highlight w:val="none"/>
                <w:lang w:val="en-US" w:eastAsia="zh-CN"/>
              </w:rPr>
              <w:t>全面</w:t>
            </w:r>
            <w:r>
              <w:rPr>
                <w:rFonts w:hint="eastAsia" w:ascii="宋体" w:hAnsi="宋体" w:eastAsia="宋体" w:cs="宋体"/>
                <w:color w:val="auto"/>
                <w:sz w:val="21"/>
                <w:szCs w:val="21"/>
                <w:highlight w:val="none"/>
              </w:rPr>
              <w:t>完整，与本项目实际较为符合，方案针对性和突出重点一般的得11.9-7分；</w:t>
            </w:r>
          </w:p>
          <w:p>
            <w:pPr>
              <w:pStyle w:val="8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措施一般，与本项目实际略有不符，方案针对性较差未能突出重点的得6.9-0分。</w:t>
            </w:r>
          </w:p>
        </w:tc>
        <w:tc>
          <w:tcPr>
            <w:tcW w:w="324"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611" w:type="pct"/>
            <w:vMerge w:val="continue"/>
            <w:shd w:val="clear" w:color="auto" w:fill="auto"/>
            <w:vAlign w:val="center"/>
          </w:tcPr>
          <w:p>
            <w:pPr>
              <w:keepNext w:val="0"/>
              <w:keepLines w:val="0"/>
              <w:pageBreakBefore w:val="0"/>
              <w:widowControl w:val="0"/>
              <w:tabs>
                <w:tab w:val="left" w:pos="570"/>
              </w:tabs>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kern w:val="2"/>
                <w:sz w:val="21"/>
                <w:szCs w:val="21"/>
                <w:highlight w:val="none"/>
                <w:lang w:val="en-US" w:eastAsia="zh-CN"/>
              </w:rPr>
            </w:pPr>
          </w:p>
        </w:tc>
        <w:tc>
          <w:tcPr>
            <w:tcW w:w="3526" w:type="pct"/>
            <w:shd w:val="clear" w:color="auto" w:fill="auto"/>
            <w:vAlign w:val="center"/>
          </w:tcPr>
          <w:p>
            <w:pPr>
              <w:pStyle w:val="8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评标委员会根据供应商针对本项目的特点和难点分析及供应商解决措施，从合理性、可行性进行</w:t>
            </w:r>
            <w:r>
              <w:rPr>
                <w:rFonts w:hint="eastAsia" w:ascii="宋体" w:hAnsi="宋体" w:cs="宋体"/>
                <w:color w:val="auto"/>
                <w:kern w:val="2"/>
                <w:sz w:val="21"/>
                <w:szCs w:val="21"/>
                <w:highlight w:val="none"/>
                <w:lang w:val="en-US" w:eastAsia="zh-CN" w:bidi="ar-SA"/>
              </w:rPr>
              <w:t>综合</w:t>
            </w:r>
            <w:r>
              <w:rPr>
                <w:rFonts w:hint="eastAsia" w:ascii="宋体" w:hAnsi="宋体" w:eastAsia="宋体" w:cs="宋体"/>
                <w:color w:val="auto"/>
                <w:kern w:val="2"/>
                <w:sz w:val="21"/>
                <w:szCs w:val="21"/>
                <w:highlight w:val="none"/>
                <w:lang w:val="en-US" w:eastAsia="zh-CN" w:bidi="ar-SA"/>
              </w:rPr>
              <w:t>评议，本项最高得</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分。</w:t>
            </w:r>
          </w:p>
        </w:tc>
        <w:tc>
          <w:tcPr>
            <w:tcW w:w="324"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611" w:type="pct"/>
            <w:vMerge w:val="restart"/>
            <w:shd w:val="clear" w:color="auto" w:fill="auto"/>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人员配置情况</w:t>
            </w:r>
          </w:p>
          <w:p>
            <w:pPr>
              <w:pStyle w:val="8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eastAsia="zh-CN"/>
              </w:rPr>
              <w:t>）</w:t>
            </w:r>
          </w:p>
        </w:tc>
        <w:tc>
          <w:tcPr>
            <w:tcW w:w="3526" w:type="pct"/>
            <w:shd w:val="clear" w:color="auto" w:fill="auto"/>
            <w:vAlign w:val="center"/>
          </w:tcPr>
          <w:p>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拟派往本项目的注册安全工程师中有1</w:t>
            </w:r>
            <w:r>
              <w:rPr>
                <w:rFonts w:hint="eastAsia" w:ascii="宋体" w:hAnsi="宋体" w:cs="宋体"/>
                <w:color w:val="auto"/>
                <w:kern w:val="2"/>
                <w:sz w:val="21"/>
                <w:szCs w:val="21"/>
                <w:highlight w:val="none"/>
                <w:lang w:val="en-US" w:eastAsia="zh-CN" w:bidi="ar-SA"/>
              </w:rPr>
              <w:t>名人员</w:t>
            </w:r>
            <w:r>
              <w:rPr>
                <w:rFonts w:hint="eastAsia" w:ascii="宋体" w:hAnsi="宋体" w:eastAsia="宋体" w:cs="宋体"/>
                <w:color w:val="auto"/>
                <w:kern w:val="2"/>
                <w:sz w:val="21"/>
                <w:szCs w:val="21"/>
                <w:highlight w:val="none"/>
                <w:lang w:val="en-US" w:eastAsia="zh-CN" w:bidi="ar-SA"/>
              </w:rPr>
              <w:t>：</w:t>
            </w:r>
          </w:p>
          <w:p>
            <w:pPr>
              <w:spacing w:line="400" w:lineRule="exac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同时具有</w:t>
            </w:r>
            <w:r>
              <w:rPr>
                <w:rFonts w:hint="eastAsia" w:ascii="宋体" w:hAnsi="宋体" w:eastAsia="宋体" w:cs="宋体"/>
                <w:color w:val="auto"/>
                <w:kern w:val="2"/>
                <w:sz w:val="21"/>
                <w:szCs w:val="21"/>
                <w:highlight w:val="none"/>
                <w:lang w:val="en-US" w:eastAsia="zh-CN" w:bidi="ar-SA"/>
              </w:rPr>
              <w:t>高级注册安全工程师</w:t>
            </w:r>
            <w:r>
              <w:rPr>
                <w:rFonts w:hint="eastAsia" w:ascii="宋体" w:hAnsi="宋体" w:cs="宋体"/>
                <w:color w:val="auto"/>
                <w:kern w:val="2"/>
                <w:sz w:val="21"/>
                <w:szCs w:val="21"/>
                <w:highlight w:val="none"/>
                <w:lang w:val="en-US" w:eastAsia="zh-CN" w:bidi="ar-SA"/>
              </w:rPr>
              <w:t>、一</w:t>
            </w:r>
            <w:r>
              <w:rPr>
                <w:rFonts w:hint="eastAsia" w:ascii="宋体" w:hAnsi="宋体" w:eastAsia="宋体" w:cs="宋体"/>
                <w:color w:val="auto"/>
                <w:kern w:val="2"/>
                <w:sz w:val="21"/>
                <w:szCs w:val="21"/>
                <w:highlight w:val="none"/>
                <w:lang w:val="en-US" w:eastAsia="zh-CN" w:bidi="ar-SA"/>
              </w:rPr>
              <w:t>级注册消防工程师</w:t>
            </w:r>
            <w:r>
              <w:rPr>
                <w:rFonts w:hint="eastAsia" w:ascii="宋体" w:hAnsi="宋体" w:cs="宋体"/>
                <w:color w:val="auto"/>
                <w:kern w:val="2"/>
                <w:sz w:val="21"/>
                <w:szCs w:val="21"/>
                <w:highlight w:val="none"/>
                <w:lang w:val="en-US" w:eastAsia="zh-CN" w:bidi="ar-SA"/>
              </w:rPr>
              <w:t>、一级安全评价师</w:t>
            </w:r>
            <w:r>
              <w:rPr>
                <w:rFonts w:hint="eastAsia" w:ascii="宋体" w:hAnsi="宋体" w:eastAsia="宋体" w:cs="宋体"/>
                <w:color w:val="auto"/>
                <w:kern w:val="2"/>
                <w:sz w:val="21"/>
                <w:szCs w:val="21"/>
                <w:highlight w:val="none"/>
                <w:lang w:val="en-US" w:eastAsia="zh-CN" w:bidi="ar-SA"/>
              </w:rPr>
              <w:t>资格证书的，</w:t>
            </w:r>
            <w:r>
              <w:rPr>
                <w:rFonts w:hint="eastAsia" w:ascii="宋体" w:hAnsi="宋体" w:cs="宋体"/>
                <w:color w:val="auto"/>
                <w:kern w:val="2"/>
                <w:sz w:val="21"/>
                <w:szCs w:val="21"/>
                <w:highlight w:val="none"/>
                <w:lang w:val="en-US" w:eastAsia="zh-CN" w:bidi="ar-SA"/>
              </w:rPr>
              <w:t>得分3分；</w:t>
            </w:r>
          </w:p>
          <w:p>
            <w:pPr>
              <w:spacing w:line="400" w:lineRule="exac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具有</w:t>
            </w:r>
            <w:r>
              <w:rPr>
                <w:rFonts w:hint="eastAsia" w:ascii="宋体" w:hAnsi="宋体" w:eastAsia="宋体" w:cs="宋体"/>
                <w:color w:val="auto"/>
                <w:kern w:val="2"/>
                <w:sz w:val="21"/>
                <w:szCs w:val="21"/>
                <w:highlight w:val="none"/>
                <w:lang w:val="en-US" w:eastAsia="zh-CN" w:bidi="ar-SA"/>
              </w:rPr>
              <w:t>高级注册安全工程师</w:t>
            </w:r>
            <w:r>
              <w:rPr>
                <w:rFonts w:hint="eastAsia" w:ascii="宋体" w:hAnsi="宋体" w:cs="宋体"/>
                <w:color w:val="auto"/>
                <w:kern w:val="2"/>
                <w:sz w:val="21"/>
                <w:szCs w:val="21"/>
                <w:highlight w:val="none"/>
                <w:lang w:val="en-US" w:eastAsia="zh-CN" w:bidi="ar-SA"/>
              </w:rPr>
              <w:t>、一</w:t>
            </w:r>
            <w:r>
              <w:rPr>
                <w:rFonts w:hint="eastAsia" w:ascii="宋体" w:hAnsi="宋体" w:eastAsia="宋体" w:cs="宋体"/>
                <w:color w:val="auto"/>
                <w:kern w:val="2"/>
                <w:sz w:val="21"/>
                <w:szCs w:val="21"/>
                <w:highlight w:val="none"/>
                <w:lang w:val="en-US" w:eastAsia="zh-CN" w:bidi="ar-SA"/>
              </w:rPr>
              <w:t>级注册消防工程师</w:t>
            </w:r>
            <w:r>
              <w:rPr>
                <w:rFonts w:hint="eastAsia" w:ascii="宋体" w:hAnsi="宋体" w:cs="宋体"/>
                <w:color w:val="auto"/>
                <w:kern w:val="2"/>
                <w:sz w:val="21"/>
                <w:szCs w:val="21"/>
                <w:highlight w:val="none"/>
                <w:lang w:val="en-US" w:eastAsia="zh-CN" w:bidi="ar-SA"/>
              </w:rPr>
              <w:t>、一级安全评价师</w:t>
            </w:r>
            <w:r>
              <w:rPr>
                <w:rFonts w:hint="eastAsia" w:ascii="宋体" w:hAnsi="宋体" w:eastAsia="宋体" w:cs="宋体"/>
                <w:color w:val="auto"/>
                <w:kern w:val="2"/>
                <w:sz w:val="21"/>
                <w:szCs w:val="21"/>
                <w:highlight w:val="none"/>
                <w:lang w:val="en-US" w:eastAsia="zh-CN" w:bidi="ar-SA"/>
              </w:rPr>
              <w:t>资格证书</w:t>
            </w:r>
            <w:r>
              <w:rPr>
                <w:rFonts w:hint="eastAsia" w:ascii="宋体" w:hAnsi="宋体" w:cs="宋体"/>
                <w:color w:val="auto"/>
                <w:kern w:val="2"/>
                <w:sz w:val="21"/>
                <w:szCs w:val="21"/>
                <w:highlight w:val="none"/>
                <w:lang w:val="en-US" w:eastAsia="zh-CN" w:bidi="ar-SA"/>
              </w:rPr>
              <w:t>其中两项的</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得分2分；</w:t>
            </w:r>
          </w:p>
          <w:p>
            <w:pPr>
              <w:spacing w:line="400" w:lineRule="exact"/>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（3）具有</w:t>
            </w:r>
            <w:r>
              <w:rPr>
                <w:rFonts w:hint="eastAsia" w:ascii="宋体" w:hAnsi="宋体" w:eastAsia="宋体" w:cs="宋体"/>
                <w:color w:val="auto"/>
                <w:kern w:val="2"/>
                <w:sz w:val="21"/>
                <w:szCs w:val="21"/>
                <w:highlight w:val="none"/>
                <w:lang w:val="en-US" w:eastAsia="zh-CN" w:bidi="ar-SA"/>
              </w:rPr>
              <w:t>高级注册安全工程师</w:t>
            </w:r>
            <w:r>
              <w:rPr>
                <w:rFonts w:hint="eastAsia" w:ascii="宋体" w:hAnsi="宋体" w:cs="宋体"/>
                <w:color w:val="auto"/>
                <w:kern w:val="2"/>
                <w:sz w:val="21"/>
                <w:szCs w:val="21"/>
                <w:highlight w:val="none"/>
                <w:lang w:val="en-US" w:eastAsia="zh-CN" w:bidi="ar-SA"/>
              </w:rPr>
              <w:t>、一</w:t>
            </w:r>
            <w:r>
              <w:rPr>
                <w:rFonts w:hint="eastAsia" w:ascii="宋体" w:hAnsi="宋体" w:eastAsia="宋体" w:cs="宋体"/>
                <w:color w:val="auto"/>
                <w:kern w:val="2"/>
                <w:sz w:val="21"/>
                <w:szCs w:val="21"/>
                <w:highlight w:val="none"/>
                <w:lang w:val="en-US" w:eastAsia="zh-CN" w:bidi="ar-SA"/>
              </w:rPr>
              <w:t>级注册消防工程师</w:t>
            </w:r>
            <w:r>
              <w:rPr>
                <w:rFonts w:hint="eastAsia" w:ascii="宋体" w:hAnsi="宋体" w:cs="宋体"/>
                <w:color w:val="auto"/>
                <w:kern w:val="2"/>
                <w:sz w:val="21"/>
                <w:szCs w:val="21"/>
                <w:highlight w:val="none"/>
                <w:lang w:val="en-US" w:eastAsia="zh-CN" w:bidi="ar-SA"/>
              </w:rPr>
              <w:t>、一级安全评价师</w:t>
            </w:r>
            <w:r>
              <w:rPr>
                <w:rFonts w:hint="eastAsia" w:ascii="宋体" w:hAnsi="宋体" w:eastAsia="宋体" w:cs="宋体"/>
                <w:color w:val="auto"/>
                <w:kern w:val="2"/>
                <w:sz w:val="21"/>
                <w:szCs w:val="21"/>
                <w:highlight w:val="none"/>
                <w:lang w:val="en-US" w:eastAsia="zh-CN" w:bidi="ar-SA"/>
              </w:rPr>
              <w:t>资格证书</w:t>
            </w:r>
            <w:r>
              <w:rPr>
                <w:rFonts w:hint="eastAsia" w:ascii="宋体" w:hAnsi="宋体" w:cs="宋体"/>
                <w:color w:val="auto"/>
                <w:kern w:val="2"/>
                <w:sz w:val="21"/>
                <w:szCs w:val="21"/>
                <w:highlight w:val="none"/>
                <w:lang w:val="en-US" w:eastAsia="zh-CN" w:bidi="ar-SA"/>
              </w:rPr>
              <w:t>其中一项的</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得分1分；</w:t>
            </w:r>
          </w:p>
          <w:p>
            <w:pPr>
              <w:spacing w:line="400" w:lineRule="exac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（4）其余情况不得分。</w:t>
            </w:r>
          </w:p>
          <w:p>
            <w:pPr>
              <w:spacing w:line="400" w:lineRule="exac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备注：提供相关行政主管部门颁发的有效证书复印件以及社保部门出具的供应商为相关人员缴纳的连续近三个月的参保证明并加盖公章。</w:t>
            </w:r>
          </w:p>
        </w:tc>
        <w:tc>
          <w:tcPr>
            <w:tcW w:w="324"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611" w:type="pct"/>
            <w:vMerge w:val="continue"/>
            <w:shd w:val="clear" w:color="auto" w:fill="auto"/>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highlight w:val="none"/>
                <w:lang w:eastAsia="zh-CN"/>
              </w:rPr>
            </w:pPr>
          </w:p>
        </w:tc>
        <w:tc>
          <w:tcPr>
            <w:tcW w:w="3526" w:type="pct"/>
            <w:shd w:val="clear" w:color="auto" w:fill="auto"/>
            <w:vAlign w:val="center"/>
          </w:tcPr>
          <w:p>
            <w:pPr>
              <w:pStyle w:val="83"/>
              <w:keepNext w:val="0"/>
              <w:keepLines w:val="0"/>
              <w:pageBreakBefore w:val="0"/>
              <w:widowControl w:val="0"/>
              <w:kinsoku/>
              <w:wordWrap/>
              <w:overflowPunct/>
              <w:topLinePunct w:val="0"/>
              <w:autoSpaceDE/>
              <w:autoSpaceDN/>
              <w:bidi w:val="0"/>
              <w:adjustRightInd/>
              <w:snapToGrid/>
              <w:spacing w:line="400" w:lineRule="exact"/>
              <w:ind w:left="0" w:leftChars="0" w:firstLine="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评标委员会根据</w:t>
            </w:r>
            <w:r>
              <w:rPr>
                <w:rFonts w:hint="eastAsia" w:ascii="宋体" w:hAnsi="宋体" w:eastAsia="宋体" w:cs="宋体"/>
                <w:color w:val="auto"/>
                <w:sz w:val="21"/>
                <w:szCs w:val="21"/>
                <w:highlight w:val="none"/>
                <w:lang w:val="en-US" w:eastAsia="zh-CN"/>
              </w:rPr>
              <w:t>供应商结合招标文件第二章《招标需求》</w:t>
            </w:r>
            <w:r>
              <w:rPr>
                <w:rFonts w:hint="eastAsia" w:ascii="宋体" w:hAnsi="宋体" w:eastAsia="宋体" w:cs="宋体"/>
                <w:color w:val="auto"/>
                <w:sz w:val="21"/>
                <w:szCs w:val="21"/>
                <w:highlight w:val="none"/>
                <w:lang w:val="en-US"/>
              </w:rPr>
              <w:t>拟投入本项目实施团队</w:t>
            </w:r>
            <w:r>
              <w:rPr>
                <w:rFonts w:hint="eastAsia" w:ascii="宋体" w:hAnsi="宋体" w:eastAsia="宋体" w:cs="宋体"/>
                <w:color w:val="auto"/>
                <w:sz w:val="21"/>
                <w:szCs w:val="21"/>
                <w:highlight w:val="none"/>
                <w:lang w:val="en-US" w:eastAsia="zh-CN"/>
              </w:rPr>
              <w:t>在满足的同时</w:t>
            </w:r>
            <w:r>
              <w:rPr>
                <w:rFonts w:hint="eastAsia" w:ascii="宋体" w:hAnsi="宋体" w:eastAsia="宋体" w:cs="宋体"/>
                <w:color w:val="auto"/>
                <w:sz w:val="21"/>
                <w:szCs w:val="21"/>
                <w:highlight w:val="none"/>
                <w:lang w:val="en-US"/>
              </w:rPr>
              <w:t>人员配备合理性、岗位分工、专业技能水平、类似项目经验能力案例</w:t>
            </w:r>
            <w:r>
              <w:rPr>
                <w:rFonts w:hint="eastAsia" w:ascii="宋体" w:hAnsi="宋体" w:eastAsia="宋体" w:cs="宋体"/>
                <w:color w:val="auto"/>
                <w:sz w:val="21"/>
                <w:szCs w:val="21"/>
                <w:highlight w:val="none"/>
                <w:lang w:val="en-US" w:eastAsia="zh-CN"/>
              </w:rPr>
              <w:t>、人员资质、职称、数量</w:t>
            </w:r>
            <w:r>
              <w:rPr>
                <w:rFonts w:hint="eastAsia" w:ascii="宋体" w:hAnsi="宋体" w:eastAsia="宋体" w:cs="宋体"/>
                <w:color w:val="auto"/>
                <w:sz w:val="21"/>
                <w:szCs w:val="21"/>
                <w:highlight w:val="none"/>
                <w:lang w:val="en-US"/>
              </w:rPr>
              <w:t>等</w:t>
            </w:r>
            <w:r>
              <w:rPr>
                <w:rFonts w:hint="eastAsia" w:ascii="宋体" w:hAnsi="宋体" w:eastAsia="宋体" w:cs="宋体"/>
                <w:color w:val="auto"/>
                <w:sz w:val="21"/>
                <w:szCs w:val="21"/>
                <w:highlight w:val="none"/>
                <w:lang w:val="en-US" w:eastAsia="zh-CN"/>
              </w:rPr>
              <w:t>方面</w:t>
            </w:r>
            <w:r>
              <w:rPr>
                <w:rFonts w:hint="eastAsia" w:ascii="宋体" w:hAnsi="宋体" w:eastAsia="宋体" w:cs="宋体"/>
                <w:color w:val="auto"/>
                <w:sz w:val="21"/>
                <w:szCs w:val="21"/>
                <w:highlight w:val="none"/>
                <w:lang w:val="en-US"/>
              </w:rPr>
              <w:t>进行综合评议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最高</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分。</w:t>
            </w:r>
          </w:p>
          <w:p>
            <w:pPr>
              <w:pStyle w:val="83"/>
              <w:keepNext w:val="0"/>
              <w:keepLines w:val="0"/>
              <w:pageBreakBefore w:val="0"/>
              <w:widowControl w:val="0"/>
              <w:tabs>
                <w:tab w:val="left" w:pos="840"/>
              </w:tabs>
              <w:kinsoku/>
              <w:wordWrap/>
              <w:overflowPunct/>
              <w:topLinePunct w:val="0"/>
              <w:autoSpaceDE/>
              <w:autoSpaceDN/>
              <w:bidi w:val="0"/>
              <w:adjustRightInd/>
              <w:snapToGrid/>
              <w:spacing w:line="400" w:lineRule="exact"/>
              <w:ind w:left="0" w:leftChars="0" w:firstLine="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人员资质、职称、技能水平、数量、岗位设置完全满足采购人需求的，并且科学合理的得1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pPr>
              <w:pStyle w:val="83"/>
              <w:keepNext w:val="0"/>
              <w:keepLines w:val="0"/>
              <w:pageBreakBefore w:val="0"/>
              <w:widowControl w:val="0"/>
              <w:kinsoku/>
              <w:wordWrap/>
              <w:overflowPunct/>
              <w:topLinePunct w:val="0"/>
              <w:autoSpaceDE/>
              <w:autoSpaceDN/>
              <w:bidi w:val="0"/>
              <w:adjustRightInd/>
              <w:snapToGrid/>
              <w:spacing w:line="400" w:lineRule="exact"/>
              <w:ind w:left="0" w:leftChars="0" w:firstLine="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人员资质、职称、技能水平、数量、岗位设置较好的满足采购人需求的得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pStyle w:val="83"/>
              <w:keepNext w:val="0"/>
              <w:keepLines w:val="0"/>
              <w:pageBreakBefore w:val="0"/>
              <w:widowControl w:val="0"/>
              <w:kinsoku/>
              <w:wordWrap/>
              <w:overflowPunct/>
              <w:topLinePunct w:val="0"/>
              <w:autoSpaceDE/>
              <w:autoSpaceDN/>
              <w:bidi w:val="0"/>
              <w:adjustRightInd/>
              <w:snapToGrid/>
              <w:spacing w:line="400" w:lineRule="exact"/>
              <w:ind w:left="0" w:leftChars="0" w:firstLine="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人员资质、职称、技能水平、数量、岗位设置基本满足采购人需求的得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.9-0分。</w:t>
            </w:r>
          </w:p>
          <w:p>
            <w:pPr>
              <w:pStyle w:val="8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1"/>
                <w:szCs w:val="21"/>
                <w:highlight w:val="none"/>
              </w:rPr>
              <w:t>投标文件中提供实施团队人员一览表、人员</w:t>
            </w:r>
            <w:r>
              <w:rPr>
                <w:rFonts w:hint="eastAsia" w:ascii="宋体" w:hAnsi="宋体" w:eastAsia="宋体" w:cs="宋体"/>
                <w:color w:val="auto"/>
                <w:kern w:val="0"/>
                <w:sz w:val="21"/>
                <w:szCs w:val="21"/>
                <w:highlight w:val="none"/>
                <w:lang w:val="en-US" w:eastAsia="zh-CN"/>
              </w:rPr>
              <w:t>简历表及相关</w:t>
            </w:r>
            <w:r>
              <w:rPr>
                <w:rFonts w:hint="eastAsia" w:ascii="宋体" w:hAnsi="宋体" w:eastAsia="宋体" w:cs="宋体"/>
                <w:color w:val="auto"/>
                <w:kern w:val="0"/>
                <w:sz w:val="21"/>
                <w:szCs w:val="21"/>
                <w:highlight w:val="none"/>
              </w:rPr>
              <w:t>证书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等证明资料的</w:t>
            </w:r>
            <w:r>
              <w:rPr>
                <w:rFonts w:hint="eastAsia" w:ascii="宋体" w:hAnsi="宋体" w:eastAsia="宋体" w:cs="宋体"/>
                <w:color w:val="auto"/>
                <w:kern w:val="0"/>
                <w:sz w:val="21"/>
                <w:szCs w:val="21"/>
                <w:highlight w:val="none"/>
              </w:rPr>
              <w:t>复印件加盖公章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 w:val="21"/>
                <w:szCs w:val="21"/>
                <w:highlight w:val="none"/>
              </w:rPr>
              <w:t>提供由社保部门出具的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为相关人员缴纳的连续</w:t>
            </w:r>
            <w:r>
              <w:rPr>
                <w:rFonts w:hint="eastAsia" w:ascii="宋体" w:hAnsi="宋体" w:eastAsia="宋体" w:cs="宋体"/>
                <w:color w:val="auto"/>
                <w:sz w:val="21"/>
                <w:szCs w:val="21"/>
                <w:highlight w:val="none"/>
                <w:lang w:val="en-US" w:eastAsia="zh-CN"/>
              </w:rPr>
              <w:t>近</w:t>
            </w:r>
            <w:r>
              <w:rPr>
                <w:rFonts w:hint="eastAsia" w:ascii="宋体" w:hAnsi="宋体" w:eastAsia="宋体" w:cs="宋体"/>
                <w:color w:val="auto"/>
                <w:sz w:val="21"/>
                <w:szCs w:val="21"/>
                <w:highlight w:val="none"/>
              </w:rPr>
              <w:t>三个月的参保证明</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kern w:val="0"/>
                <w:sz w:val="21"/>
                <w:szCs w:val="21"/>
                <w:highlight w:val="none"/>
              </w:rPr>
              <w:t>加盖公章。</w:t>
            </w:r>
          </w:p>
        </w:tc>
        <w:tc>
          <w:tcPr>
            <w:tcW w:w="324"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611" w:type="pct"/>
            <w:vMerge w:val="restart"/>
            <w:shd w:val="clear" w:color="auto" w:fill="auto"/>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办公、检查设备</w:t>
            </w:r>
            <w:r>
              <w:rPr>
                <w:rFonts w:hint="eastAsia" w:ascii="宋体" w:hAnsi="宋体" w:eastAsia="宋体" w:cs="宋体"/>
                <w:b w:val="0"/>
                <w:bCs w:val="0"/>
                <w:color w:val="auto"/>
                <w:sz w:val="21"/>
                <w:szCs w:val="21"/>
                <w:highlight w:val="none"/>
              </w:rPr>
              <w:t>配置</w:t>
            </w:r>
            <w:r>
              <w:rPr>
                <w:rFonts w:hint="eastAsia" w:ascii="宋体" w:hAnsi="宋体" w:eastAsia="宋体" w:cs="宋体"/>
                <w:b w:val="0"/>
                <w:bCs w:val="0"/>
                <w:color w:val="auto"/>
                <w:sz w:val="21"/>
                <w:szCs w:val="21"/>
                <w:highlight w:val="none"/>
                <w:lang w:val="en-US" w:eastAsia="zh-CN"/>
              </w:rPr>
              <w:t>情况</w:t>
            </w:r>
          </w:p>
          <w:p>
            <w:pPr>
              <w:pStyle w:val="8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（11分）</w:t>
            </w:r>
          </w:p>
        </w:tc>
        <w:tc>
          <w:tcPr>
            <w:tcW w:w="3526" w:type="pct"/>
            <w:shd w:val="clear" w:color="auto" w:fill="auto"/>
            <w:vAlign w:val="center"/>
          </w:tcPr>
          <w:p>
            <w:pPr>
              <w:pStyle w:val="8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评标委员会根据供应商拟投入本项目的设施设备清单，是否全面完整、是否切合本项目的实际、是否满足项目需求进行综合评议，本项最高得6分。</w:t>
            </w:r>
          </w:p>
        </w:tc>
        <w:tc>
          <w:tcPr>
            <w:tcW w:w="324"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611"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color w:val="auto"/>
                <w:kern w:val="0"/>
                <w:sz w:val="21"/>
                <w:szCs w:val="21"/>
                <w:highlight w:val="none"/>
                <w:lang w:val="en-US" w:eastAsia="zh-CN" w:bidi="ar-SA"/>
              </w:rPr>
            </w:pPr>
          </w:p>
        </w:tc>
        <w:tc>
          <w:tcPr>
            <w:tcW w:w="352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评委根据投标人拟投入本项目的车辆配置情况进行综合评议，本项最高得5分。</w:t>
            </w:r>
          </w:p>
        </w:tc>
        <w:tc>
          <w:tcPr>
            <w:tcW w:w="324"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611" w:type="pct"/>
            <w:shd w:val="clear" w:color="auto" w:fill="auto"/>
            <w:vAlign w:val="center"/>
          </w:tcPr>
          <w:p>
            <w:pPr>
              <w:keepNext w:val="0"/>
              <w:keepLines w:val="0"/>
              <w:pageBreakBefore w:val="0"/>
              <w:widowControl w:val="0"/>
              <w:tabs>
                <w:tab w:val="left" w:pos="570"/>
              </w:tabs>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服务响应方案</w:t>
            </w:r>
          </w:p>
          <w:p>
            <w:pPr>
              <w:keepNext w:val="0"/>
              <w:keepLines w:val="0"/>
              <w:pageBreakBefore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w:t>
            </w:r>
            <w:r>
              <w:rPr>
                <w:rFonts w:hint="eastAsia" w:ascii="宋体" w:hAnsi="宋体" w:cs="宋体"/>
                <w:b w:val="0"/>
                <w:bCs w:val="0"/>
                <w:color w:val="auto"/>
                <w:kern w:val="2"/>
                <w:sz w:val="21"/>
                <w:szCs w:val="21"/>
                <w:highlight w:val="none"/>
                <w:lang w:val="en-US" w:eastAsia="zh-CN"/>
              </w:rPr>
              <w:t>7</w:t>
            </w:r>
            <w:r>
              <w:rPr>
                <w:rFonts w:hint="eastAsia" w:ascii="宋体" w:hAnsi="宋体" w:eastAsia="宋体" w:cs="宋体"/>
                <w:b w:val="0"/>
                <w:bCs w:val="0"/>
                <w:color w:val="auto"/>
                <w:kern w:val="2"/>
                <w:sz w:val="21"/>
                <w:szCs w:val="21"/>
                <w:highlight w:val="none"/>
                <w:lang w:val="en-US" w:eastAsia="zh-CN"/>
              </w:rPr>
              <w:t>分）</w:t>
            </w:r>
          </w:p>
        </w:tc>
        <w:tc>
          <w:tcPr>
            <w:tcW w:w="3526" w:type="pct"/>
            <w:shd w:val="clear" w:color="auto" w:fill="auto"/>
            <w:vAlign w:val="center"/>
          </w:tcPr>
          <w:p>
            <w:pPr>
              <w:keepNext w:val="0"/>
              <w:keepLines w:val="0"/>
              <w:pageBreakBefore w:val="0"/>
              <w:widowControl w:val="0"/>
              <w:tabs>
                <w:tab w:val="left" w:pos="57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评标委员会根据供应商针对本项目提出的服务响应方案，包括服务响应时间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响应程度、解决问题的能力、技术指导方式、应急服务能力、培训方案等进行综合评议，</w:t>
            </w:r>
            <w:r>
              <w:rPr>
                <w:rFonts w:hint="eastAsia" w:ascii="宋体" w:hAnsi="宋体" w:cs="宋体"/>
                <w:color w:val="auto"/>
                <w:sz w:val="21"/>
                <w:szCs w:val="21"/>
                <w:highlight w:val="none"/>
                <w:lang w:val="en-US" w:eastAsia="zh-CN"/>
              </w:rPr>
              <w:t>最高7</w:t>
            </w:r>
            <w:r>
              <w:rPr>
                <w:rFonts w:hint="eastAsia" w:ascii="宋体" w:hAnsi="宋体" w:eastAsia="宋体" w:cs="宋体"/>
                <w:color w:val="auto"/>
                <w:sz w:val="21"/>
                <w:szCs w:val="21"/>
                <w:highlight w:val="none"/>
                <w:lang w:val="en-US" w:eastAsia="zh-CN"/>
              </w:rPr>
              <w:t>分</w:t>
            </w:r>
          </w:p>
        </w:tc>
        <w:tc>
          <w:tcPr>
            <w:tcW w:w="324"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611" w:type="pct"/>
            <w:shd w:val="clear" w:color="auto" w:fill="auto"/>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其他服务保障</w:t>
            </w:r>
          </w:p>
          <w:p>
            <w:pPr>
              <w:pStyle w:val="8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c>
          <w:tcPr>
            <w:tcW w:w="3526" w:type="pct"/>
            <w:shd w:val="clear" w:color="auto" w:fill="auto"/>
            <w:vAlign w:val="center"/>
          </w:tcPr>
          <w:p>
            <w:pPr>
              <w:pStyle w:val="8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w:t>
            </w:r>
            <w:r>
              <w:rPr>
                <w:rFonts w:hint="eastAsia" w:ascii="宋体" w:hAnsi="宋体" w:eastAsia="宋体" w:cs="宋体"/>
                <w:color w:val="auto"/>
                <w:sz w:val="21"/>
                <w:szCs w:val="21"/>
                <w:highlight w:val="none"/>
                <w:lang w:val="en-US"/>
              </w:rPr>
              <w:t>委员会根据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rPr>
              <w:t>提供的其他服务保障措施及优惠承诺进行综合评议，本项最高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w:t>
            </w:r>
          </w:p>
        </w:tc>
        <w:tc>
          <w:tcPr>
            <w:tcW w:w="324"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611"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类似项目经验</w:t>
            </w:r>
          </w:p>
          <w:p>
            <w:pPr>
              <w:keepNext w:val="0"/>
              <w:keepLines w:val="0"/>
              <w:pageBreakBefore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（2分）</w:t>
            </w:r>
          </w:p>
        </w:tc>
        <w:tc>
          <w:tcPr>
            <w:tcW w:w="3526"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自202</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月1日至今，</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承接过同类</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业绩的，每提供一个得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val="en-US" w:eastAsia="zh-CN"/>
              </w:rPr>
              <w:t>最高</w:t>
            </w:r>
            <w:r>
              <w:rPr>
                <w:rFonts w:hint="eastAsia" w:ascii="宋体" w:hAnsi="宋体" w:eastAsia="宋体" w:cs="宋体"/>
                <w:color w:val="auto"/>
                <w:kern w:val="0"/>
                <w:sz w:val="21"/>
                <w:szCs w:val="21"/>
                <w:highlight w:val="none"/>
              </w:rPr>
              <w:t>2分【时间以合同签订日为准，投标文件中须提供合同</w:t>
            </w:r>
            <w:r>
              <w:rPr>
                <w:rFonts w:hint="eastAsia" w:ascii="宋体" w:hAnsi="宋体" w:cs="宋体"/>
                <w:color w:val="auto"/>
                <w:kern w:val="0"/>
                <w:sz w:val="21"/>
                <w:szCs w:val="21"/>
                <w:highlight w:val="none"/>
                <w:lang w:val="en-US" w:eastAsia="zh-CN"/>
              </w:rPr>
              <w:t>扫描件</w:t>
            </w:r>
            <w:r>
              <w:rPr>
                <w:rFonts w:hint="eastAsia" w:ascii="宋体" w:hAnsi="宋体" w:eastAsia="宋体" w:cs="宋体"/>
                <w:color w:val="auto"/>
                <w:kern w:val="0"/>
                <w:sz w:val="21"/>
                <w:szCs w:val="21"/>
                <w:highlight w:val="none"/>
              </w:rPr>
              <w:t>件加盖单位公章，未提供</w:t>
            </w:r>
            <w:r>
              <w:rPr>
                <w:rFonts w:hint="eastAsia" w:ascii="宋体" w:hAnsi="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本项不得分】</w:t>
            </w:r>
            <w:r>
              <w:rPr>
                <w:rFonts w:hint="eastAsia" w:ascii="宋体" w:hAnsi="宋体" w:eastAsia="宋体" w:cs="宋体"/>
                <w:color w:val="auto"/>
                <w:kern w:val="0"/>
                <w:sz w:val="21"/>
                <w:szCs w:val="21"/>
                <w:highlight w:val="none"/>
                <w:lang w:val="en-US" w:eastAsia="zh-CN"/>
              </w:rPr>
              <w:t>。</w:t>
            </w:r>
          </w:p>
        </w:tc>
        <w:tc>
          <w:tcPr>
            <w:tcW w:w="324"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2</w:t>
            </w:r>
          </w:p>
        </w:tc>
      </w:tr>
    </w:tbl>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注：评委在上表设定的分值范围内打分(四舍五入保留一位小数)，平均分值计算四舍五入保留两位小数点。投标文件有缺项的，该项得分为最低分。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Style w:val="53"/>
          <w:rFonts w:hint="eastAsia"/>
          <w:b/>
          <w:bCs/>
          <w:color w:val="auto"/>
          <w:highlight w:val="none"/>
        </w:rPr>
      </w:pPr>
      <w:bookmarkStart w:id="26" w:name="_Toc31530"/>
      <w:r>
        <w:rPr>
          <w:rStyle w:val="53"/>
          <w:rFonts w:hint="eastAsia"/>
          <w:b/>
          <w:bCs/>
          <w:color w:val="auto"/>
          <w:highlight w:val="none"/>
        </w:rPr>
        <w:br w:type="page"/>
      </w:r>
    </w:p>
    <w:p>
      <w:pPr>
        <w:pStyle w:val="19"/>
        <w:snapToGrid w:val="0"/>
        <w:spacing w:before="120" w:after="120" w:line="440" w:lineRule="exact"/>
        <w:jc w:val="center"/>
        <w:outlineLvl w:val="0"/>
        <w:rPr>
          <w:rStyle w:val="53"/>
          <w:rFonts w:hint="eastAsia"/>
          <w:color w:val="auto"/>
          <w:highlight w:val="none"/>
        </w:rPr>
      </w:pPr>
      <w:r>
        <w:rPr>
          <w:rStyle w:val="53"/>
          <w:rFonts w:hint="eastAsia"/>
          <w:color w:val="auto"/>
          <w:highlight w:val="none"/>
        </w:rPr>
        <w:t>第五章  合同主要条款</w:t>
      </w:r>
      <w:bookmarkEnd w:id="26"/>
    </w:p>
    <w:p>
      <w:pPr>
        <w:adjustRightInd w:val="0"/>
        <w:snapToGrid w:val="0"/>
        <w:spacing w:line="440" w:lineRule="exact"/>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浙江省政府采购合同指引（仅供参考）</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pStyle w:val="1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江北区2024-2026年度企业安全生产社会化协作服务</w:t>
      </w:r>
    </w:p>
    <w:p>
      <w:pPr>
        <w:pStyle w:val="1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firstLine="0" w:firstLineChars="0"/>
        <w:jc w:val="both"/>
        <w:textAlignment w:val="auto"/>
        <w:rPr>
          <w:rFonts w:hint="eastAsia" w:ascii="宋体" w:hAnsi="宋体" w:eastAsia="宋体" w:cs="宋体"/>
          <w:bCs/>
          <w:color w:val="auto"/>
          <w:sz w:val="21"/>
          <w:szCs w:val="21"/>
          <w:highlight w:val="none"/>
          <w:lang w:val="en-US"/>
        </w:rPr>
      </w:pPr>
      <w:r>
        <w:rPr>
          <w:rFonts w:hint="eastAsia" w:ascii="宋体" w:hAnsi="宋体" w:eastAsia="宋体" w:cs="宋体"/>
          <w:b/>
          <w:color w:val="auto"/>
          <w:sz w:val="21"/>
          <w:szCs w:val="21"/>
          <w:highlight w:val="none"/>
        </w:rPr>
        <w:t>项目编号：</w:t>
      </w:r>
      <w:r>
        <w:rPr>
          <w:rFonts w:hint="eastAsia" w:ascii="宋体" w:hAnsi="宋体" w:eastAsia="宋体" w:cs="宋体"/>
          <w:bCs w:val="0"/>
          <w:color w:val="auto"/>
          <w:sz w:val="21"/>
          <w:szCs w:val="21"/>
          <w:highlight w:val="none"/>
        </w:rPr>
        <w:t>NBSD2024-008</w:t>
      </w:r>
    </w:p>
    <w:p>
      <w:pPr>
        <w:pStyle w:val="1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甲方（采购人）：</w:t>
      </w:r>
      <w:r>
        <w:rPr>
          <w:rFonts w:hint="eastAsia" w:ascii="宋体" w:hAnsi="宋体" w:eastAsia="宋体" w:cs="宋体"/>
          <w:bCs/>
          <w:color w:val="auto"/>
          <w:sz w:val="21"/>
          <w:szCs w:val="21"/>
          <w:highlight w:val="none"/>
          <w:u w:val="single"/>
        </w:rPr>
        <w:t>宁波市江北区应急管理局</w:t>
      </w:r>
    </w:p>
    <w:p>
      <w:pPr>
        <w:pStyle w:val="1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firstLine="0" w:firstLineChars="0"/>
        <w:jc w:val="both"/>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乙方（供应商）：</w:t>
      </w:r>
      <w:r>
        <w:rPr>
          <w:rFonts w:hint="eastAsia" w:ascii="宋体" w:hAnsi="宋体" w:eastAsia="宋体" w:cs="宋体"/>
          <w:color w:val="auto"/>
          <w:sz w:val="21"/>
          <w:szCs w:val="21"/>
          <w:highlight w:val="none"/>
          <w:u w:val="single"/>
          <w:lang w:val="en-US" w:eastAsia="zh-CN"/>
        </w:rPr>
        <w:t xml:space="preserve">     （中标单位）     </w:t>
      </w:r>
    </w:p>
    <w:p>
      <w:pPr>
        <w:keepNext w:val="0"/>
        <w:keepLines w:val="0"/>
        <w:pageBreakBefore w:val="0"/>
        <w:widowControl w:val="0"/>
        <w:kinsoku/>
        <w:wordWrap/>
        <w:overflowPunct/>
        <w:topLinePunct w:val="0"/>
        <w:bidi w:val="0"/>
        <w:spacing w:line="360" w:lineRule="auto"/>
        <w:rPr>
          <w:rFonts w:hint="eastAsia" w:ascii="宋体" w:hAnsi="宋体" w:eastAsia="宋体" w:cs="宋体"/>
          <w:color w:val="auto"/>
          <w:highlight w:val="none"/>
          <w:lang w:val="en-US"/>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zh-CN"/>
        </w:rPr>
        <w:t>为进一步构建风险管控与隐患排查双重预防机制，紧紧围绕遏制较大及以上生产安全事故发生为主线，加大安全生产监管力度，提升科学监管水平，甲方通过公开采购方式对全区划分的4个片区的生产经营单位开展安全生产社会化协作服务检查</w:t>
      </w:r>
      <w:r>
        <w:rPr>
          <w:rFonts w:hint="eastAsia" w:ascii="宋体" w:hAnsi="宋体" w:eastAsia="宋体" w:cs="宋体"/>
          <w:color w:val="auto"/>
          <w:sz w:val="21"/>
          <w:szCs w:val="21"/>
          <w:highlight w:val="none"/>
        </w:rPr>
        <w:t>，并确定乙方负责的片区为</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（片区X）</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eastAsia="zh-CN" w:bidi="ar-SA"/>
        </w:rPr>
        <w:t>甲、</w:t>
      </w:r>
      <w:r>
        <w:rPr>
          <w:rFonts w:hint="eastAsia" w:ascii="宋体" w:hAnsi="宋体" w:eastAsia="宋体" w:cs="宋体"/>
          <w:color w:val="auto"/>
          <w:sz w:val="21"/>
          <w:szCs w:val="21"/>
          <w:highlight w:val="none"/>
          <w:lang w:val="zh-CN"/>
        </w:rPr>
        <w:t>乙双方根据关于</w:t>
      </w:r>
      <w:r>
        <w:rPr>
          <w:rFonts w:hint="eastAsia" w:ascii="宋体" w:hAnsi="宋体" w:eastAsia="宋体" w:cs="宋体"/>
          <w:color w:val="auto"/>
          <w:sz w:val="21"/>
          <w:szCs w:val="21"/>
          <w:highlight w:val="none"/>
          <w:u w:val="single"/>
          <w:lang w:val="en-US" w:eastAsia="zh-CN"/>
        </w:rPr>
        <w:t>江北区2024-2026年度企业安全生产社会化协作服务</w:t>
      </w:r>
      <w:r>
        <w:rPr>
          <w:rFonts w:hint="eastAsia" w:ascii="宋体" w:hAnsi="宋体" w:eastAsia="宋体" w:cs="宋体"/>
          <w:color w:val="auto"/>
          <w:sz w:val="21"/>
          <w:szCs w:val="21"/>
          <w:highlight w:val="none"/>
          <w:lang w:val="zh-CN"/>
        </w:rPr>
        <w:t>公开采购的结果，</w:t>
      </w:r>
      <w:r>
        <w:rPr>
          <w:rFonts w:hint="eastAsia" w:ascii="宋体" w:hAnsi="宋体" w:eastAsia="宋体" w:cs="宋体"/>
          <w:color w:val="auto"/>
          <w:sz w:val="21"/>
          <w:szCs w:val="21"/>
          <w:highlight w:val="none"/>
        </w:rPr>
        <w:t>按照《中华人民共和国政府采购法》</w:t>
      </w:r>
      <w:r>
        <w:rPr>
          <w:rFonts w:hint="eastAsia" w:ascii="宋体" w:hAnsi="宋体" w:eastAsia="宋体" w:cs="宋体"/>
          <w:color w:val="auto"/>
          <w:sz w:val="21"/>
          <w:szCs w:val="21"/>
          <w:highlight w:val="none"/>
          <w:lang w:val="zh-CN"/>
        </w:rPr>
        <w:t>《中华人民共和国民法典》的有关规定，在自愿、平等、公平、诚信的基础上，经双方协商</w:t>
      </w:r>
      <w:r>
        <w:rPr>
          <w:rFonts w:hint="eastAsia" w:ascii="宋体" w:hAnsi="宋体" w:eastAsia="宋体" w:cs="宋体"/>
          <w:color w:val="auto"/>
          <w:sz w:val="21"/>
          <w:szCs w:val="21"/>
          <w:highlight w:val="none"/>
        </w:rPr>
        <w:t>，一致同意签署本合同</w:t>
      </w:r>
      <w:r>
        <w:rPr>
          <w:rFonts w:hint="eastAsia" w:ascii="宋体" w:hAnsi="宋体" w:eastAsia="宋体" w:cs="宋体"/>
          <w:color w:val="auto"/>
          <w:sz w:val="21"/>
          <w:szCs w:val="21"/>
          <w:highlight w:val="none"/>
          <w:lang w:val="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both"/>
        <w:textAlignment w:val="auto"/>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一、本合同的下列术语应解释为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1.“合同”系指经由甲方与乙方签署、协商达成的协议文件，包括合同及协议附件、附录和构成合同的所有文件。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2.“合同价”系指根据合同规定，当乙方正确、完全地履行合同义务后甲方应支付给乙方的服务费用。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3.“服务”系指本合同以及招标文件中所列举应由乙方提供的服务。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4.“不可抗力”系指不能预见、不能避免并不能克服的客观情况。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二、服务内容与</w:t>
      </w:r>
      <w:r>
        <w:rPr>
          <w:rFonts w:hint="eastAsia" w:ascii="宋体" w:hAnsi="宋体" w:eastAsia="宋体" w:cs="宋体"/>
          <w:b/>
          <w:color w:val="auto"/>
          <w:sz w:val="21"/>
          <w:szCs w:val="21"/>
          <w:highlight w:val="none"/>
          <w:lang w:val="en-US" w:eastAsia="zh-CN"/>
        </w:rPr>
        <w:t>需求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甲方委托乙方对片区内工业企业开展安全生产社会化协作服务检查（除本合同约定的条款以外，本合同的服务内容还包括本项目</w:t>
      </w:r>
      <w:r>
        <w:rPr>
          <w:rFonts w:hint="eastAsia" w:ascii="宋体" w:hAnsi="宋体" w:eastAsia="宋体" w:cs="宋体"/>
          <w:color w:val="auto"/>
          <w:sz w:val="21"/>
          <w:szCs w:val="21"/>
          <w:highlight w:val="none"/>
          <w:lang w:eastAsia="zh-CN"/>
        </w:rPr>
        <w:t>公开采购文件</w:t>
      </w:r>
      <w:r>
        <w:rPr>
          <w:rFonts w:hint="eastAsia" w:ascii="宋体" w:hAnsi="宋体" w:eastAsia="宋体" w:cs="宋体"/>
          <w:color w:val="auto"/>
          <w:sz w:val="21"/>
          <w:szCs w:val="21"/>
          <w:highlight w:val="none"/>
        </w:rPr>
        <w:t>、投标文件和中标通知书所记载的服务内容和要求）。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（一）检查范围</w:t>
      </w:r>
    </w:p>
    <w:p>
      <w:pPr>
        <w:keepNext w:val="0"/>
        <w:keepLines w:val="0"/>
        <w:pageBreakBefore w:val="0"/>
        <w:widowControl w:val="0"/>
        <w:kinsoku/>
        <w:wordWrap/>
        <w:overflowPunct/>
        <w:topLinePunct w:val="0"/>
        <w:bidi w:val="0"/>
        <w:snapToGrid w:val="0"/>
        <w:spacing w:line="360" w:lineRule="auto"/>
        <w:ind w:left="0" w:lef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乙方所负责片区内的冶金、有色、建材、机械、轻工、纺织、危险化学品等生产经营单位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片区划分：</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firstLine="422" w:firstLineChars="200"/>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（二）检查的主要内容</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1、每90天对片区内所有生产经营单位服务检查一次，主要是安全生产责任制、安全教育培训、现场事故隐患等安全生产管理情况；</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2、协助区应急管理局开展各类安全生产专项治理工作；</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3、协助区应急管理局核查生产经营单位提交、报送的相关资料；</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4、指导帮助生产经营单位熟练使用“浙江省工业企业在线”等数字化系统，线上完成企业自查、隐患整改、常普常新等工作。对数字化系统中存在重大信息变更的企业进行现场核验。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（三）乙方履约方式及人员管理</w:t>
      </w:r>
    </w:p>
    <w:p>
      <w:pPr>
        <w:pStyle w:val="9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color w:val="auto"/>
          <w:sz w:val="21"/>
          <w:szCs w:val="21"/>
          <w:highlight w:val="none"/>
        </w:rPr>
        <w:t>▲</w:t>
      </w:r>
      <w:r>
        <w:rPr>
          <w:rStyle w:val="53"/>
          <w:rFonts w:hint="eastAsia" w:ascii="宋体" w:hAnsi="宋体" w:eastAsia="宋体" w:cs="宋体"/>
          <w:b w:val="0"/>
          <w:bCs w:val="0"/>
          <w:color w:val="auto"/>
          <w:sz w:val="21"/>
          <w:szCs w:val="21"/>
          <w:highlight w:val="none"/>
          <w:lang w:val="en-US" w:eastAsia="zh-CN" w:bidi="ar-SA"/>
        </w:rPr>
        <w:t>1、中标后，甲方组织面试并优选3名专业技术人员组成协作检查人员（以下简称技术检查员）。各片区乙方应派遣不少于6名具有中级工程师及以上职称（包括但不限于中级及以上注册安全工程师、一级注册消防工程师、二级及以上安全评价师等）。其中：</w:t>
      </w:r>
    </w:p>
    <w:p>
      <w:pPr>
        <w:pStyle w:val="9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（1）参加面试的人员至少包括2名其他安全专业注册安全工程师、1名化工安全专业注册安全工程师（或化工工程技术类工程师）职称。</w:t>
      </w:r>
    </w:p>
    <w:p>
      <w:pPr>
        <w:pStyle w:val="9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2）参加面试的人员至少应具备5年以上从事安全生产工作经历，年龄不超过55周岁（具有10年以上同类工作经验的，可放宽至60周岁），责任心强，有一定文字功底，职业道德良好，业务能力符合服务需求，若乙方派遣参加面试的人员不符合规定条件，则取消中标资格。</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（3）参加面试人员必须在本次投标的“拟投入本项目服务人员配备情况表”中，否则不予参加面试。</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color w:val="auto"/>
          <w:sz w:val="21"/>
          <w:szCs w:val="21"/>
          <w:highlight w:val="none"/>
        </w:rPr>
        <w:t>▲</w:t>
      </w:r>
      <w:r>
        <w:rPr>
          <w:rStyle w:val="53"/>
          <w:rFonts w:hint="eastAsia" w:ascii="宋体" w:hAnsi="宋体" w:cs="宋体"/>
          <w:b w:val="0"/>
          <w:bCs w:val="0"/>
          <w:color w:val="auto"/>
          <w:sz w:val="21"/>
          <w:szCs w:val="21"/>
          <w:highlight w:val="none"/>
          <w:lang w:val="en-US" w:eastAsia="zh-CN" w:bidi="ar-SA"/>
        </w:rPr>
        <w:t>2</w:t>
      </w:r>
      <w:r>
        <w:rPr>
          <w:rStyle w:val="53"/>
          <w:rFonts w:hint="eastAsia" w:ascii="宋体" w:hAnsi="宋体" w:eastAsia="宋体" w:cs="宋体"/>
          <w:b w:val="0"/>
          <w:bCs w:val="0"/>
          <w:color w:val="auto"/>
          <w:sz w:val="21"/>
          <w:szCs w:val="21"/>
          <w:highlight w:val="none"/>
          <w:lang w:val="en-US" w:eastAsia="zh-CN" w:bidi="ar-SA"/>
        </w:rPr>
        <w:t>、技术检查员工作时间及办公场所由各片区应急管理所协调安排，各片区应急管理所对各片区的技术检查员日常工作进行管理，在全区范围专项整治期间和其他特殊期间由区应急管理局统一协调管理。</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color w:val="auto"/>
          <w:sz w:val="21"/>
          <w:szCs w:val="21"/>
          <w:highlight w:val="none"/>
        </w:rPr>
        <w:t>▲</w:t>
      </w:r>
      <w:r>
        <w:rPr>
          <w:rStyle w:val="53"/>
          <w:rFonts w:hint="eastAsia" w:ascii="宋体" w:hAnsi="宋体" w:cs="宋体"/>
          <w:b w:val="0"/>
          <w:bCs w:val="0"/>
          <w:color w:val="auto"/>
          <w:sz w:val="21"/>
          <w:szCs w:val="21"/>
          <w:highlight w:val="none"/>
          <w:lang w:val="en-US" w:eastAsia="zh-CN" w:bidi="ar-SA"/>
        </w:rPr>
        <w:t>3</w:t>
      </w:r>
      <w:r>
        <w:rPr>
          <w:rStyle w:val="53"/>
          <w:rFonts w:hint="eastAsia" w:ascii="宋体" w:hAnsi="宋体" w:eastAsia="宋体" w:cs="宋体"/>
          <w:b w:val="0"/>
          <w:bCs w:val="0"/>
          <w:color w:val="auto"/>
          <w:sz w:val="21"/>
          <w:szCs w:val="21"/>
          <w:highlight w:val="none"/>
          <w:lang w:val="en-US" w:eastAsia="zh-CN" w:bidi="ar-SA"/>
        </w:rPr>
        <w:t>、乙方应为技术检查员配备必要的车辆、办公和检查装备。</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cs="宋体"/>
          <w:b w:val="0"/>
          <w:bCs w:val="0"/>
          <w:color w:val="auto"/>
          <w:sz w:val="21"/>
          <w:szCs w:val="21"/>
          <w:highlight w:val="none"/>
          <w:lang w:val="en-US" w:eastAsia="zh-CN" w:bidi="ar-SA"/>
        </w:rPr>
        <w:t>4</w:t>
      </w:r>
      <w:r>
        <w:rPr>
          <w:rStyle w:val="53"/>
          <w:rFonts w:hint="eastAsia" w:ascii="宋体" w:hAnsi="宋体" w:eastAsia="宋体" w:cs="宋体"/>
          <w:b w:val="0"/>
          <w:bCs w:val="0"/>
          <w:color w:val="auto"/>
          <w:sz w:val="21"/>
          <w:szCs w:val="21"/>
          <w:highlight w:val="none"/>
          <w:lang w:val="en-US" w:eastAsia="zh-CN" w:bidi="ar-SA"/>
        </w:rPr>
        <w:t>、技术检查员对片区内的生产经营单位按服务需求开展协作服务检查工作，对检查发现的隐患,要指导企业按时整改闭环，并将相关信息录入系统，确保系统各项指标达到考核要求。</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cs="宋体"/>
          <w:b w:val="0"/>
          <w:bCs w:val="0"/>
          <w:color w:val="auto"/>
          <w:sz w:val="21"/>
          <w:szCs w:val="21"/>
          <w:highlight w:val="none"/>
          <w:lang w:val="en-US" w:eastAsia="zh-CN" w:bidi="ar-SA"/>
        </w:rPr>
        <w:t>5</w:t>
      </w:r>
      <w:r>
        <w:rPr>
          <w:rStyle w:val="53"/>
          <w:rFonts w:hint="eastAsia" w:ascii="宋体" w:hAnsi="宋体" w:eastAsia="宋体" w:cs="宋体"/>
          <w:b w:val="0"/>
          <w:bCs w:val="0"/>
          <w:color w:val="auto"/>
          <w:sz w:val="21"/>
          <w:szCs w:val="21"/>
          <w:highlight w:val="none"/>
          <w:lang w:val="en-US" w:eastAsia="zh-CN" w:bidi="ar-SA"/>
        </w:rPr>
        <w:t>、甲方组织对检查文书、检查内容、技术检查员行为规范等进行督查或抽查，确保协作服务检查质量。</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cs="宋体"/>
          <w:b w:val="0"/>
          <w:bCs w:val="0"/>
          <w:color w:val="auto"/>
          <w:sz w:val="21"/>
          <w:szCs w:val="21"/>
          <w:highlight w:val="none"/>
          <w:lang w:val="en-US" w:eastAsia="zh-CN" w:bidi="ar-SA"/>
        </w:rPr>
        <w:t>6</w:t>
      </w:r>
      <w:r>
        <w:rPr>
          <w:rStyle w:val="53"/>
          <w:rFonts w:hint="eastAsia" w:ascii="宋体" w:hAnsi="宋体" w:eastAsia="宋体" w:cs="宋体"/>
          <w:b w:val="0"/>
          <w:bCs w:val="0"/>
          <w:color w:val="auto"/>
          <w:sz w:val="21"/>
          <w:szCs w:val="21"/>
          <w:highlight w:val="none"/>
          <w:lang w:val="en-US" w:eastAsia="zh-CN" w:bidi="ar-SA"/>
        </w:rPr>
        <w:t>、技术检查员根据甲方要求，应能保证一年不超过24天的加班。</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cs="宋体"/>
          <w:b w:val="0"/>
          <w:bCs w:val="0"/>
          <w:color w:val="auto"/>
          <w:sz w:val="21"/>
          <w:szCs w:val="21"/>
          <w:highlight w:val="none"/>
          <w:lang w:val="en-US" w:eastAsia="zh-CN" w:bidi="ar-SA"/>
        </w:rPr>
        <w:t>7</w:t>
      </w:r>
      <w:r>
        <w:rPr>
          <w:rStyle w:val="53"/>
          <w:rFonts w:hint="eastAsia" w:ascii="宋体" w:hAnsi="宋体" w:eastAsia="宋体" w:cs="宋体"/>
          <w:b w:val="0"/>
          <w:bCs w:val="0"/>
          <w:color w:val="auto"/>
          <w:sz w:val="21"/>
          <w:szCs w:val="21"/>
          <w:highlight w:val="none"/>
          <w:lang w:val="en-US" w:eastAsia="zh-CN" w:bidi="ar-SA"/>
        </w:rPr>
        <w:t>、甲方临时需要乙方提供专业技术力量协助时，乙方应能保证一年不少于3次协助。</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cs="宋体"/>
          <w:b w:val="0"/>
          <w:bCs w:val="0"/>
          <w:color w:val="auto"/>
          <w:sz w:val="21"/>
          <w:szCs w:val="21"/>
          <w:highlight w:val="none"/>
          <w:lang w:val="en-US" w:eastAsia="zh-CN" w:bidi="ar-SA"/>
        </w:rPr>
        <w:t>8</w:t>
      </w:r>
      <w:r>
        <w:rPr>
          <w:rStyle w:val="53"/>
          <w:rFonts w:hint="eastAsia" w:ascii="宋体" w:hAnsi="宋体" w:eastAsia="宋体" w:cs="宋体"/>
          <w:b w:val="0"/>
          <w:bCs w:val="0"/>
          <w:color w:val="auto"/>
          <w:sz w:val="21"/>
          <w:szCs w:val="21"/>
          <w:highlight w:val="none"/>
          <w:lang w:val="en-US" w:eastAsia="zh-CN" w:bidi="ar-SA"/>
        </w:rPr>
        <w:t>、乙方技术检查员每月向甲方上报月度工作总结，乙方每年向甲方上报服务绩效自评报告。</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Style w:val="53"/>
          <w:rFonts w:hint="eastAsia" w:ascii="宋体" w:hAnsi="宋体" w:cs="宋体"/>
          <w:b w:val="0"/>
          <w:bCs w:val="0"/>
          <w:color w:val="auto"/>
          <w:sz w:val="21"/>
          <w:szCs w:val="21"/>
          <w:highlight w:val="none"/>
          <w:lang w:val="en-US" w:eastAsia="zh-CN" w:bidi="ar-SA"/>
        </w:rPr>
        <w:t>9</w:t>
      </w:r>
      <w:r>
        <w:rPr>
          <w:rStyle w:val="53"/>
          <w:rFonts w:hint="eastAsia" w:ascii="宋体" w:hAnsi="宋体" w:eastAsia="宋体" w:cs="宋体"/>
          <w:b w:val="0"/>
          <w:bCs w:val="0"/>
          <w:color w:val="auto"/>
          <w:sz w:val="21"/>
          <w:szCs w:val="21"/>
          <w:highlight w:val="none"/>
          <w:lang w:val="en-US" w:eastAsia="zh-CN" w:bidi="ar-SA"/>
        </w:rPr>
        <w:t>、技术检查员应服从甲方安排的其他涉及安全生产的工作。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（四）乙方应当遵循下列行为规范</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1、乙方及所派的技术检查员应遵守国家相关法律法规，严守《宁波市安全生产社会化服务机构管理办法》与协作服务检查工作纪律和制度，做到公开、公平、公正地实施检查，确保检查质量。严禁从事与检查无关事项。严禁利用协作检查服务，向被检查对象变相推销、承接相关有偿服务，以及其他借用公职行为的违纪违规情形，与被检查对象存在利害关系的，应当回避。</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2、乙方及所派的技术检查员要加强自身业务水平，不断提高职业素养和专业水平，保证检查结果正确性。</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3、工作资料、现场勘查记录、影像资料等相关材料，技术检查员应及时归档，并遵守保密要求。</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4、技术检查员在检查中发现以下情况应及时向甲方报告：</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1）被检查单位存在重大事故隐患的；</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2）协作服务检查中存在较大争议问题的；</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3）其他认为有必要报告的事项。</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5、甲方对乙方实施绩效考核，按《安全生产社会化服务绩效考核表》（见附件二）执行。</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6、乙方及技术检查员有下列情况之一的，甲方将采取责令乙方更换技术检查员或者与乙方终止合同等措施。</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1）违反国家法律法规、不服从工作纪律和工作制度，利用协作服务检查行为向被检查对象“吃、拿、卡、要”，变相推销、承接有偿服务等违纪违规行为；</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2）检查中发现有重大事故隐患未及时报告，造成亡人生产安全事故的；</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3）协作服务检查中经核实存在有损甲方形象、弄虚作假、职业道德不良等行为；</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4）无正当理由未按时完成甲方安排的协作服务检查任务；</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5）技术检查员业务能力明显不符合协作检查服务需求的；</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6）有其它严重违规行为的。</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7、乙方更换技术检查员时，须向甲方提出书面申请，经甲方审核批准后方可更换技术检查员。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（五）其他相关要求</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技术检查员</w:t>
      </w:r>
      <w:r>
        <w:rPr>
          <w:rFonts w:hint="eastAsia" w:ascii="宋体" w:hAnsi="宋体" w:eastAsia="宋体" w:cs="宋体"/>
          <w:color w:val="auto"/>
          <w:sz w:val="21"/>
          <w:szCs w:val="21"/>
          <w:highlight w:val="none"/>
        </w:rPr>
        <w:t>工作期间应服从甲方的日常管理。</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技术检查员</w:t>
      </w:r>
      <w:r>
        <w:rPr>
          <w:rFonts w:hint="eastAsia" w:ascii="宋体" w:hAnsi="宋体" w:eastAsia="宋体" w:cs="宋体"/>
          <w:color w:val="auto"/>
          <w:sz w:val="21"/>
          <w:szCs w:val="21"/>
          <w:highlight w:val="none"/>
        </w:rPr>
        <w:t>应按照《江北区企业安全生产</w:t>
      </w:r>
      <w:r>
        <w:rPr>
          <w:rFonts w:hint="eastAsia" w:ascii="宋体" w:hAnsi="宋体" w:eastAsia="宋体" w:cs="宋体"/>
          <w:color w:val="auto"/>
          <w:sz w:val="21"/>
          <w:szCs w:val="21"/>
          <w:highlight w:val="none"/>
          <w:lang w:val="en-US" w:eastAsia="zh-CN"/>
        </w:rPr>
        <w:t>社会化</w:t>
      </w:r>
      <w:r>
        <w:rPr>
          <w:rFonts w:hint="eastAsia" w:ascii="宋体" w:hAnsi="宋体" w:eastAsia="宋体" w:cs="宋体"/>
          <w:color w:val="auto"/>
          <w:sz w:val="21"/>
          <w:szCs w:val="21"/>
          <w:highlight w:val="none"/>
        </w:rPr>
        <w:t>协作服务检查</w:t>
      </w:r>
      <w:r>
        <w:rPr>
          <w:rFonts w:hint="eastAsia" w:ascii="宋体" w:hAnsi="宋体" w:eastAsia="宋体" w:cs="宋体"/>
          <w:color w:val="auto"/>
          <w:sz w:val="21"/>
          <w:szCs w:val="21"/>
          <w:highlight w:val="none"/>
          <w:lang w:val="en-US" w:eastAsia="zh-CN"/>
        </w:rPr>
        <w:t>记录</w:t>
      </w:r>
      <w:r>
        <w:rPr>
          <w:rFonts w:hint="eastAsia" w:ascii="宋体" w:hAnsi="宋体" w:eastAsia="宋体" w:cs="宋体"/>
          <w:color w:val="auto"/>
          <w:sz w:val="21"/>
          <w:szCs w:val="21"/>
          <w:highlight w:val="none"/>
        </w:rPr>
        <w:t>》内容开展工作，涉及各类专项检查任务的，按对应规范要求实施协作服务检查，协作服务检查资料应及时归档备查。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甲方临时需要乙方提供技术力量协助时，乙方应根据甲方的具体要求及时向甲方提供相关专家。</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4.甲方有权根据协作服务检查情况随时对乙方负责的区域进行调换。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val="en-US" w:eastAsia="zh-CN"/>
        </w:rPr>
        <w:t>合同金额</w:t>
      </w:r>
    </w:p>
    <w:p>
      <w:pPr>
        <w:pStyle w:val="90"/>
        <w:keepNext w:val="0"/>
        <w:keepLines w:val="0"/>
        <w:pageBreakBefore w:val="0"/>
        <w:widowControl w:val="0"/>
        <w:shd w:val="clear" w:color="auto" w:fill="auto"/>
        <w:kinsoku/>
        <w:wordWrap/>
        <w:overflowPunct/>
        <w:topLinePunct w:val="0"/>
        <w:autoSpaceDE/>
        <w:autoSpaceDN/>
        <w:bidi w:val="0"/>
        <w:spacing w:line="360" w:lineRule="auto"/>
        <w:ind w:left="0" w:leftChars="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1.本合同采用固定总价，合同金额为（大写）：人民币</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元/年）。</w:t>
      </w:r>
    </w:p>
    <w:p>
      <w:pPr>
        <w:pStyle w:val="90"/>
        <w:keepNext w:val="0"/>
        <w:keepLines w:val="0"/>
        <w:pageBreakBefore w:val="0"/>
        <w:widowControl w:val="0"/>
        <w:shd w:val="clear" w:color="auto" w:fill="auto"/>
        <w:kinsoku/>
        <w:wordWrap/>
        <w:overflowPunct/>
        <w:topLinePunct w:val="0"/>
        <w:autoSpaceDE/>
        <w:autoSpaceDN/>
        <w:bidi w:val="0"/>
        <w:spacing w:line="360" w:lineRule="auto"/>
        <w:ind w:left="0" w:leftChars="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项目合同价款已包括乙方完成本合同服务所需的所有费用，包括但不限于：人员基本工资、社保、岗位津贴等各类福利和补贴（如加班补贴、高温补贴、早餐补贴等）的缴纳，暂住费、各种保险及处理一切伤亡事故等费用，人员各季节工作服（含帽、衣、裤、鞋、雨衣、雨裤，雨鞋）的配置，人员所使用作业工具等各类耗材费，设施设备管理维护费用，税金、利润及其他与本次服务相关的一切费用，甲方不再另行支付其他费</w:t>
      </w:r>
    </w:p>
    <w:p>
      <w:pPr>
        <w:pStyle w:val="90"/>
        <w:keepNext w:val="0"/>
        <w:keepLines w:val="0"/>
        <w:pageBreakBefore w:val="0"/>
        <w:widowControl w:val="0"/>
        <w:shd w:val="clear" w:color="auto" w:fill="auto"/>
        <w:kinsoku/>
        <w:wordWrap/>
        <w:overflowPunct/>
        <w:topLinePunct w:val="0"/>
        <w:autoSpaceDE/>
        <w:autoSpaceDN/>
        <w:bidi w:val="0"/>
        <w:spacing w:line="360" w:lineRule="auto"/>
        <w:ind w:left="0" w:leftChars="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3.乙方</w:t>
      </w:r>
      <w:r>
        <w:rPr>
          <w:rFonts w:hint="eastAsia" w:ascii="宋体" w:hAnsi="宋体" w:eastAsia="宋体" w:cs="宋体"/>
          <w:color w:val="auto"/>
          <w:kern w:val="2"/>
          <w:sz w:val="21"/>
          <w:szCs w:val="21"/>
          <w:highlight w:val="none"/>
          <w:lang w:val="en-US" w:eastAsia="zh-CN" w:bidi="ar-SA"/>
        </w:rPr>
        <w:t>应考虑服务期间的因市场因素或政策因素等实施过程中可能遇到的各种风险，服务期间不得以任何理由要求增加合同费用。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四、</w:t>
      </w:r>
      <w:r>
        <w:rPr>
          <w:rFonts w:hint="eastAsia" w:ascii="宋体" w:hAnsi="宋体" w:eastAsia="宋体" w:cs="宋体"/>
          <w:b/>
          <w:color w:val="auto"/>
          <w:sz w:val="21"/>
          <w:szCs w:val="21"/>
          <w:highlight w:val="none"/>
          <w:lang w:val="en-US" w:eastAsia="zh-CN"/>
        </w:rPr>
        <w:t>履约保证金（本项目不适用）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合同期限</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项目完成期限</w:t>
      </w:r>
      <w:r>
        <w:rPr>
          <w:rFonts w:hint="eastAsia" w:ascii="宋体" w:hAnsi="宋体" w:eastAsia="宋体" w:cs="宋体"/>
          <w:b/>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期限：</w:t>
      </w:r>
      <w:r>
        <w:rPr>
          <w:rFonts w:hint="eastAsia" w:ascii="宋体" w:hAnsi="宋体" w:eastAsia="宋体" w:cs="宋体"/>
          <w:color w:val="auto"/>
          <w:sz w:val="21"/>
          <w:szCs w:val="21"/>
          <w:highlight w:val="none"/>
          <w:u w:val="none"/>
          <w:lang w:val="en-US" w:eastAsia="zh-CN"/>
        </w:rPr>
        <w:t>自合同签订之日起两年（自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第一阶段合同期限：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合同一年一签，</w:t>
      </w:r>
      <w:r>
        <w:rPr>
          <w:rFonts w:hint="eastAsia" w:ascii="宋体" w:hAnsi="宋体" w:eastAsia="宋体" w:cs="宋体"/>
          <w:color w:val="auto"/>
          <w:sz w:val="21"/>
          <w:szCs w:val="21"/>
          <w:highlight w:val="none"/>
        </w:rPr>
        <w:t>第一阶段合同期满后，</w:t>
      </w:r>
      <w:r>
        <w:rPr>
          <w:rFonts w:hint="eastAsia" w:ascii="宋体" w:hAnsi="宋体" w:eastAsia="宋体" w:cs="宋体"/>
          <w:color w:val="auto"/>
          <w:sz w:val="21"/>
          <w:szCs w:val="21"/>
          <w:highlight w:val="none"/>
          <w:lang w:val="en-US" w:eastAsia="zh-CN"/>
        </w:rPr>
        <w:t>甲方根据乙方在上一阶段合同履约及财政资金审批等情况决定是否续签</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付款方式</w:t>
      </w:r>
    </w:p>
    <w:p>
      <w:pPr>
        <w:pStyle w:val="9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Style w:val="53"/>
          <w:rFonts w:hint="eastAsia" w:ascii="宋体" w:hAnsi="宋体" w:eastAsia="宋体" w:cs="宋体"/>
          <w:b w:val="0"/>
          <w:bCs w:val="0"/>
          <w:color w:val="auto"/>
          <w:sz w:val="21"/>
          <w:szCs w:val="21"/>
          <w:highlight w:val="none"/>
          <w:lang w:val="en-US" w:eastAsia="zh-CN" w:bidi="ar-SA"/>
        </w:rPr>
        <w:t>每季度支付一次，每季度支付额度=【签约合同价-7万元（绩效考核奖励资金4万元和工矿企业事故遏制奖励资金3万元）】÷4，在每季度最后一月第四周支付该季度费用：</w:t>
      </w:r>
      <w:r>
        <w:rPr>
          <w:rFonts w:hint="eastAsia" w:ascii="宋体" w:hAnsi="宋体" w:eastAsia="宋体" w:cs="宋体"/>
          <w:color w:val="auto"/>
          <w:sz w:val="21"/>
          <w:szCs w:val="21"/>
          <w:highlight w:val="none"/>
          <w:u w:val="single"/>
        </w:rPr>
        <w:t>人民币</w:t>
      </w:r>
      <w:r>
        <w:rPr>
          <w:rFonts w:hint="eastAsia" w:ascii="宋体" w:hAnsi="宋体" w:eastAsia="宋体" w:cs="宋体"/>
          <w:color w:val="auto"/>
          <w:sz w:val="21"/>
          <w:szCs w:val="21"/>
          <w:highlight w:val="none"/>
          <w:u w:val="single"/>
          <w:lang w:val="en-US" w:eastAsia="zh-CN"/>
        </w:rPr>
        <w:t>XX</w:t>
      </w:r>
      <w:r>
        <w:rPr>
          <w:rFonts w:hint="eastAsia" w:ascii="宋体" w:hAnsi="宋体" w:eastAsia="宋体" w:cs="宋体"/>
          <w:color w:val="auto"/>
          <w:sz w:val="21"/>
          <w:szCs w:val="21"/>
          <w:highlight w:val="none"/>
          <w:u w:val="single"/>
        </w:rPr>
        <w:t>元（¥</w:t>
      </w:r>
      <w:r>
        <w:rPr>
          <w:rFonts w:hint="eastAsia" w:ascii="宋体" w:hAnsi="宋体" w:eastAsia="宋体" w:cs="宋体"/>
          <w:color w:val="auto"/>
          <w:sz w:val="21"/>
          <w:szCs w:val="21"/>
          <w:highlight w:val="none"/>
          <w:u w:val="single"/>
          <w:lang w:val="en-US" w:eastAsia="zh-CN"/>
        </w:rPr>
        <w:t>XX</w:t>
      </w:r>
      <w:r>
        <w:rPr>
          <w:rFonts w:hint="eastAsia" w:ascii="宋体" w:hAnsi="宋体" w:eastAsia="宋体" w:cs="宋体"/>
          <w:color w:val="auto"/>
          <w:sz w:val="21"/>
          <w:szCs w:val="21"/>
          <w:highlight w:val="none"/>
          <w:u w:val="single"/>
        </w:rPr>
        <w:t>元）</w:t>
      </w:r>
      <w:r>
        <w:rPr>
          <w:rStyle w:val="53"/>
          <w:rFonts w:hint="eastAsia" w:ascii="宋体" w:hAnsi="宋体" w:eastAsia="宋体" w:cs="宋体"/>
          <w:b w:val="0"/>
          <w:bCs w:val="0"/>
          <w:color w:val="auto"/>
          <w:sz w:val="21"/>
          <w:szCs w:val="21"/>
          <w:highlight w:val="none"/>
          <w:lang w:val="en-US" w:eastAsia="zh-CN" w:bidi="ar-SA"/>
        </w:rPr>
        <w:t>。</w:t>
      </w:r>
    </w:p>
    <w:p>
      <w:pPr>
        <w:pStyle w:val="9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Style w:val="53"/>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kern w:val="44"/>
          <w:sz w:val="21"/>
          <w:szCs w:val="21"/>
          <w:highlight w:val="none"/>
          <w:lang w:val="en-US" w:eastAsia="zh-CN" w:bidi="ar-SA"/>
        </w:rPr>
        <w:t>（2）</w:t>
      </w:r>
      <w:r>
        <w:rPr>
          <w:rStyle w:val="53"/>
          <w:rFonts w:hint="eastAsia" w:ascii="宋体" w:hAnsi="宋体" w:eastAsia="宋体" w:cs="宋体"/>
          <w:b w:val="0"/>
          <w:bCs w:val="0"/>
          <w:color w:val="auto"/>
          <w:sz w:val="21"/>
          <w:szCs w:val="21"/>
          <w:highlight w:val="none"/>
          <w:lang w:val="en-US" w:eastAsia="zh-CN" w:bidi="ar-SA"/>
        </w:rPr>
        <w:t>奖励金支付方式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每个标项设置7万元</w:t>
      </w:r>
      <w:r>
        <w:rPr>
          <w:rFonts w:hint="eastAsia" w:ascii="宋体" w:hAnsi="宋体" w:eastAsia="宋体" w:cs="宋体"/>
          <w:color w:val="auto"/>
          <w:highlight w:val="none"/>
          <w:lang w:val="en-US" w:eastAsia="zh-CN"/>
        </w:rPr>
        <w:t>奖励金</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其中</w:t>
      </w:r>
      <w:r>
        <w:rPr>
          <w:rFonts w:hint="eastAsia" w:ascii="宋体" w:hAnsi="宋体" w:eastAsia="宋体" w:cs="宋体"/>
          <w:color w:val="auto"/>
          <w:highlight w:val="none"/>
        </w:rPr>
        <w:t>绩效考核奖励资金4万元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工矿企业事故遏制奖励资金3万元</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并按以下标准进行考核、支付：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绩效考核奖励资金4万元，由</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在合同结束后的十五个工作日内对各履约单位进行考核，绩效考核总分为150分，考核</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支付</w:t>
      </w:r>
      <w:r>
        <w:rPr>
          <w:rFonts w:hint="eastAsia" w:ascii="宋体" w:hAnsi="宋体" w:eastAsia="宋体" w:cs="宋体"/>
          <w:color w:val="auto"/>
          <w:highlight w:val="none"/>
        </w:rPr>
        <w:t>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①绩效考核得分≥130分的，</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给予全额支付绩效考核奖励资金；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②绩效考核得分大于110分小于130分的，绩效考核奖励资金按4万元【1-（130-绩效考核分数）*5%】计算；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③绩效考核得分小于等于110分的，不予发放绩效考核奖励资金。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2）在合同执行期间，</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或相关政府单位在进行检查、暗查暗访、专项督查等检查中发现企业存在重大事故隐患，经</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评估后，属于技术检查员检查中应当发现但未发现，或发现后未报告</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的，每1条重大事故隐患扣除该片区绩效考核奖励资金2000元；被上级隐患排查通报的，每1条重大事故隐患扣除该片区绩效考核奖励资金5000元，至</w:t>
      </w:r>
      <w:r>
        <w:rPr>
          <w:rFonts w:hint="eastAsia" w:ascii="宋体" w:hAnsi="宋体" w:eastAsia="宋体" w:cs="宋体"/>
          <w:color w:val="auto"/>
          <w:highlight w:val="none"/>
          <w:lang w:val="en-US" w:eastAsia="zh-CN"/>
        </w:rPr>
        <w:t>该片区</w:t>
      </w:r>
      <w:r>
        <w:rPr>
          <w:rFonts w:hint="eastAsia" w:ascii="宋体" w:hAnsi="宋体" w:eastAsia="宋体" w:cs="宋体"/>
          <w:color w:val="auto"/>
          <w:highlight w:val="none"/>
        </w:rPr>
        <w:t>绩效考核奖励资金扣完为止。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工矿企业事故遏制奖励资金3万元</w:t>
      </w:r>
      <w:r>
        <w:rPr>
          <w:rFonts w:hint="eastAsia" w:ascii="宋体" w:hAnsi="宋体" w:eastAsia="宋体" w:cs="宋体"/>
          <w:color w:val="auto"/>
          <w:highlight w:val="none"/>
          <w:lang w:val="en-US" w:eastAsia="zh-CN"/>
        </w:rPr>
        <w:t>按以下标准进行考核、支付：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①在合同执行期间，乙方所在片区</w:t>
      </w:r>
      <w:r>
        <w:rPr>
          <w:rFonts w:hint="eastAsia" w:ascii="宋体" w:hAnsi="宋体" w:eastAsia="宋体" w:cs="宋体"/>
          <w:color w:val="auto"/>
          <w:highlight w:val="none"/>
        </w:rPr>
        <w:t>未发生工贸企业生产安全责任亡人事故的，</w:t>
      </w:r>
      <w:r>
        <w:rPr>
          <w:rFonts w:hint="eastAsia" w:ascii="宋体" w:hAnsi="宋体" w:eastAsia="宋体" w:cs="宋体"/>
          <w:color w:val="auto"/>
          <w:highlight w:val="none"/>
          <w:lang w:val="en-US" w:eastAsia="zh-CN"/>
        </w:rPr>
        <w:t>视为考核合格，甲方将全额支付该片区</w:t>
      </w:r>
      <w:r>
        <w:rPr>
          <w:rFonts w:hint="eastAsia" w:ascii="宋体" w:hAnsi="宋体" w:eastAsia="宋体" w:cs="宋体"/>
          <w:color w:val="auto"/>
          <w:highlight w:val="none"/>
        </w:rPr>
        <w:t>工矿企业事故遏制奖励资金3万元</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②在合同执行期间，乙方所在片区</w:t>
      </w:r>
      <w:r>
        <w:rPr>
          <w:rFonts w:hint="eastAsia" w:ascii="宋体" w:hAnsi="宋体" w:eastAsia="宋体" w:cs="宋体"/>
          <w:color w:val="auto"/>
          <w:highlight w:val="none"/>
        </w:rPr>
        <w:t>发生工贸企业生产安全责任亡人事故的，每死亡1人，扣除该片区服务</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工矿企业事故遏制奖励资金1万元，至本项奖励资金扣完为止</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以上款项每次付款前</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应提供符合</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要求的相应金额发票，否则</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有权拒绝支付；如</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迟延提供符合要求的发票的，</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付款时间相应顺延。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因</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单方面原因导致提前终止合同的，</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不予支付该季度的合同价款，不予发放绩效考核奖励资金和工矿企业事故遏制奖励资金，</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需另外支付违约金，违约金为一季度的合同价款。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、税费承担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本合同项下，政府税务部门根据现行税法规定对乙方征收的与本合同有关的一切税费，均由乙方自行负担。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、违约责任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乙方提供的服务不符合公开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文件或本合同规定的，甲方有权拒绝付款。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未能按本合同约定的时间提供服务的，从逾期之日起每日按本合同价款6‰的数额向甲方支付违约金。逾期10个工作日仍不能提供服务的，甲方有权终止本合同。乙方因未能按本合同约定的时间提供服务或发生其他违约行为导致甲方解除合同的，由此造成甲方损失的，由乙方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甲方未能按照合同约定的时间付款的，从逾期之日起每日按本合同价款6‰的数额向乙方支付违约金。逾期10个工作日仍不能付款的，乙方有权终止本合同。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其它违约责任按《中华人民共和国</w:t>
      </w:r>
      <w:r>
        <w:rPr>
          <w:rFonts w:hint="eastAsia" w:ascii="宋体" w:hAnsi="宋体" w:eastAsia="宋体" w:cs="宋体"/>
          <w:color w:val="auto"/>
          <w:sz w:val="21"/>
          <w:szCs w:val="21"/>
          <w:highlight w:val="none"/>
          <w:lang w:val="en-US" w:eastAsia="zh-Hans"/>
        </w:rPr>
        <w:t>民法典</w:t>
      </w:r>
      <w:r>
        <w:rPr>
          <w:rFonts w:hint="eastAsia" w:ascii="宋体" w:hAnsi="宋体" w:eastAsia="宋体" w:cs="宋体"/>
          <w:color w:val="auto"/>
          <w:sz w:val="21"/>
          <w:szCs w:val="21"/>
          <w:highlight w:val="none"/>
        </w:rPr>
        <w:t>》处理。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、合同解除及合同的可分性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（一）合同解除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1.若乙方在投标时所提供的单位和人员的资质文件存在虚假，或者投标时不符合</w:t>
      </w:r>
      <w:r>
        <w:rPr>
          <w:rFonts w:hint="eastAsia" w:ascii="宋体" w:hAnsi="宋体" w:eastAsia="宋体" w:cs="宋体"/>
          <w:color w:val="auto"/>
          <w:sz w:val="21"/>
          <w:szCs w:val="21"/>
          <w:highlight w:val="none"/>
          <w:lang w:eastAsia="zh-CN"/>
        </w:rPr>
        <w:t>公开采购文件</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val="en-US" w:eastAsia="zh-CN"/>
        </w:rPr>
        <w:t>“公开招标采购公告”</w:t>
      </w:r>
      <w:r>
        <w:rPr>
          <w:rFonts w:hint="eastAsia" w:ascii="宋体" w:hAnsi="宋体" w:eastAsia="宋体" w:cs="宋体"/>
          <w:color w:val="auto"/>
          <w:sz w:val="21"/>
          <w:szCs w:val="21"/>
          <w:highlight w:val="none"/>
        </w:rPr>
        <w:t>规定的“二、申请人的资格要求”的，甲方有权单方面解除本合同。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2.乙方所提供的服务不符合本合同的约定，经甲方一次提醒后仍未改正，或者经甲方一次考核不合格后第二次考核仍出现不合格的情况，甲方有权单方面解除合同。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3.因乙方工作不负责任，致使片区内工业企业发生本可以避免的安全生产事故、死亡一人以上的，甲方有权单方面解除合同。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4.甲方未按照本合同约定支付合同价款，经乙方书面催告后20日内仍未付清的，乙方有权单方面解除合同。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根据本条第1、2、3、4款合同当事人行使单方解除权后，提出解除合同的一方仍可向合同相对方主张赔偿损失；因合同单方解除给对方造成的损失由对方自行承担。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b/>
          <w:color w:val="auto"/>
          <w:sz w:val="21"/>
          <w:szCs w:val="21"/>
          <w:highlight w:val="none"/>
        </w:rPr>
        <w:t>合同的可分性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本合同某一条款无效，不影响本合同其他条款的效力</w:t>
      </w:r>
      <w:r>
        <w:rPr>
          <w:rFonts w:hint="eastAsia" w:ascii="宋体" w:hAnsi="宋体" w:eastAsia="宋体" w:cs="宋体"/>
          <w:b/>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、不可抗力事件处理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在合同有效期内，任何一方因不可抗力事件导致不能履行合同，则合同履行期可延长，其延长期与不可抗力影响期相同。导致合同无法履行的，双方可以中止履行合同，且互不承担责任。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不可抗力事件发生后，应当采取合理的措施，以防止损失的不合理扩大，并立即通知对方，并寄送有关权威机构出具的证明。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、争议解决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如在履行本合同时发生争议，双方可协商解决或者向有关部门或机构申请调解。如不愿协商、调解或者协商、调解不成的，任何一方均可向甲方所在地的人民法院提起诉讼。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、其他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合同所有附件、采购文件、投标文件、中标通知书通知书、补充协议均为合同的有效组成部分，与本合同具有同等法律效力。如本政府采购合同（服务类）以及上述文件之间存在冲突内容，则以效力由高到低排列为补充协议、本政府采购合同（服务类）、中标通知书、投标文件、采购文件和其他经双方签署的书面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合同执行中涉及采购资金和采购内容修改或补充的，必须经双方签订书面补充协议后生效。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本合同未尽事宜，可以签订补充协议，如未签订补充协议，则遵照《中华人民共和国</w:t>
      </w:r>
      <w:r>
        <w:rPr>
          <w:rFonts w:hint="eastAsia" w:ascii="宋体" w:hAnsi="宋体" w:eastAsia="宋体" w:cs="宋体"/>
          <w:color w:val="auto"/>
          <w:sz w:val="21"/>
          <w:szCs w:val="21"/>
          <w:highlight w:val="none"/>
          <w:lang w:val="en-US" w:eastAsia="zh-Hans"/>
        </w:rPr>
        <w:t>民法典</w:t>
      </w:r>
      <w:r>
        <w:rPr>
          <w:rFonts w:hint="eastAsia" w:ascii="宋体" w:hAnsi="宋体" w:eastAsia="宋体" w:cs="宋体"/>
          <w:color w:val="auto"/>
          <w:sz w:val="21"/>
          <w:szCs w:val="21"/>
          <w:highlight w:val="none"/>
        </w:rPr>
        <w:t>》有关条文执行。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t>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合同生效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合同经双方法定代表人</w:t>
      </w:r>
      <w:r>
        <w:rPr>
          <w:rFonts w:hint="eastAsia" w:ascii="宋体" w:hAnsi="宋体" w:eastAsia="宋体" w:cs="宋体"/>
          <w:bCs/>
          <w:color w:val="auto"/>
          <w:sz w:val="21"/>
          <w:szCs w:val="21"/>
          <w:highlight w:val="none"/>
        </w:rPr>
        <w:t>（或单位负责人）</w:t>
      </w:r>
      <w:r>
        <w:rPr>
          <w:rFonts w:hint="eastAsia" w:ascii="宋体" w:hAnsi="宋体" w:eastAsia="宋体" w:cs="宋体"/>
          <w:color w:val="auto"/>
          <w:sz w:val="21"/>
          <w:szCs w:val="21"/>
          <w:highlight w:val="none"/>
        </w:rPr>
        <w:t>或授权代表签字并加盖单位公章后生效。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本合同一式四份，甲、乙双方各执二份，具有同等法律效力。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pPr>
        <w:shd w:val="clear" w:color="auto" w:fill="auto"/>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bl>
      <w:tblPr>
        <w:tblStyle w:val="37"/>
        <w:tblW w:w="8779" w:type="dxa"/>
        <w:tblInd w:w="105" w:type="dxa"/>
        <w:tblLayout w:type="fixed"/>
        <w:tblCellMar>
          <w:top w:w="0" w:type="dxa"/>
          <w:left w:w="108" w:type="dxa"/>
          <w:bottom w:w="0" w:type="dxa"/>
          <w:right w:w="108" w:type="dxa"/>
        </w:tblCellMar>
      </w:tblPr>
      <w:tblGrid>
        <w:gridCol w:w="4394"/>
        <w:gridCol w:w="4385"/>
      </w:tblGrid>
      <w:tr>
        <w:tblPrEx>
          <w:tblCellMar>
            <w:top w:w="0" w:type="dxa"/>
            <w:left w:w="108" w:type="dxa"/>
            <w:bottom w:w="0" w:type="dxa"/>
            <w:right w:w="108" w:type="dxa"/>
          </w:tblCellMar>
        </w:tblPrEx>
        <w:trPr>
          <w:trHeight w:val="727" w:hRule="atLeast"/>
        </w:trPr>
        <w:tc>
          <w:tcPr>
            <w:tcW w:w="4394" w:type="dxa"/>
            <w:vAlign w:val="center"/>
          </w:tcPr>
          <w:p>
            <w:pPr>
              <w:pStyle w:val="19"/>
              <w:widowControl/>
              <w:spacing w:before="0" w:beforeLines="0" w:afterLines="0" w:line="360" w:lineRule="auto"/>
              <w:rPr>
                <w:rFonts w:hint="eastAsia" w:ascii="宋体" w:hAnsi="宋体" w:eastAsia="宋体" w:cs="宋体"/>
                <w:color w:val="auto"/>
                <w:sz w:val="21"/>
                <w:szCs w:val="21"/>
                <w:highlight w:val="none"/>
              </w:rPr>
            </w:pPr>
            <w:bookmarkStart w:id="27" w:name="_Toc6651"/>
            <w:r>
              <w:rPr>
                <w:rFonts w:hint="eastAsia" w:ascii="宋体" w:hAnsi="宋体" w:eastAsia="宋体" w:cs="宋体"/>
                <w:color w:val="auto"/>
                <w:sz w:val="21"/>
                <w:szCs w:val="21"/>
                <w:highlight w:val="none"/>
              </w:rPr>
              <w:t>甲方：</w:t>
            </w:r>
          </w:p>
        </w:tc>
        <w:tc>
          <w:tcPr>
            <w:tcW w:w="4385" w:type="dxa"/>
            <w:vAlign w:val="center"/>
          </w:tcPr>
          <w:p>
            <w:pPr>
              <w:pStyle w:val="19"/>
              <w:widowControl/>
              <w:spacing w:before="0"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tc>
      </w:tr>
      <w:tr>
        <w:tblPrEx>
          <w:tblCellMar>
            <w:top w:w="0" w:type="dxa"/>
            <w:left w:w="108" w:type="dxa"/>
            <w:bottom w:w="0" w:type="dxa"/>
            <w:right w:w="108" w:type="dxa"/>
          </w:tblCellMar>
        </w:tblPrEx>
        <w:trPr>
          <w:trHeight w:val="727" w:hRule="atLeast"/>
        </w:trPr>
        <w:tc>
          <w:tcPr>
            <w:tcW w:w="4394" w:type="dxa"/>
            <w:vAlign w:val="center"/>
          </w:tcPr>
          <w:p>
            <w:pPr>
              <w:pStyle w:val="19"/>
              <w:widowControl/>
              <w:spacing w:before="0"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385" w:type="dxa"/>
            <w:vAlign w:val="center"/>
          </w:tcPr>
          <w:p>
            <w:pPr>
              <w:pStyle w:val="19"/>
              <w:widowControl/>
              <w:spacing w:before="0"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tblPrEx>
          <w:tblCellMar>
            <w:top w:w="0" w:type="dxa"/>
            <w:left w:w="108" w:type="dxa"/>
            <w:bottom w:w="0" w:type="dxa"/>
            <w:right w:w="108" w:type="dxa"/>
          </w:tblCellMar>
        </w:tblPrEx>
        <w:trPr>
          <w:trHeight w:val="727" w:hRule="atLeast"/>
        </w:trPr>
        <w:tc>
          <w:tcPr>
            <w:tcW w:w="4394" w:type="dxa"/>
            <w:vAlign w:val="center"/>
          </w:tcPr>
          <w:p>
            <w:pPr>
              <w:pStyle w:val="19"/>
              <w:widowControl/>
              <w:spacing w:before="0"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w:t>
            </w:r>
          </w:p>
        </w:tc>
        <w:tc>
          <w:tcPr>
            <w:tcW w:w="4385" w:type="dxa"/>
            <w:vAlign w:val="center"/>
          </w:tcPr>
          <w:p>
            <w:pPr>
              <w:pStyle w:val="19"/>
              <w:widowControl/>
              <w:spacing w:before="0"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w:t>
            </w:r>
          </w:p>
        </w:tc>
      </w:tr>
      <w:tr>
        <w:tblPrEx>
          <w:tblCellMar>
            <w:top w:w="0" w:type="dxa"/>
            <w:left w:w="108" w:type="dxa"/>
            <w:bottom w:w="0" w:type="dxa"/>
            <w:right w:w="108" w:type="dxa"/>
          </w:tblCellMar>
        </w:tblPrEx>
        <w:trPr>
          <w:trHeight w:val="727" w:hRule="atLeast"/>
        </w:trPr>
        <w:tc>
          <w:tcPr>
            <w:tcW w:w="4394" w:type="dxa"/>
            <w:vAlign w:val="center"/>
          </w:tcPr>
          <w:p>
            <w:pPr>
              <w:pStyle w:val="19"/>
              <w:widowControl/>
              <w:spacing w:before="0"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w:t>
            </w:r>
          </w:p>
        </w:tc>
        <w:tc>
          <w:tcPr>
            <w:tcW w:w="4385" w:type="dxa"/>
            <w:vAlign w:val="center"/>
          </w:tcPr>
          <w:p>
            <w:pPr>
              <w:pStyle w:val="19"/>
              <w:widowControl/>
              <w:spacing w:before="0"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w:t>
            </w:r>
          </w:p>
        </w:tc>
      </w:tr>
    </w:tbl>
    <w:p>
      <w:pPr>
        <w:rPr>
          <w:rFonts w:hint="eastAsia"/>
          <w:color w:val="auto"/>
          <w:highlight w:val="none"/>
        </w:rPr>
      </w:pPr>
      <w:r>
        <w:rPr>
          <w:rFonts w:hint="eastAsia"/>
          <w:color w:val="auto"/>
          <w:highlight w:val="none"/>
        </w:rPr>
        <w:br w:type="page"/>
      </w:r>
    </w:p>
    <w:p>
      <w:pPr>
        <w:pStyle w:val="19"/>
        <w:snapToGrid w:val="0"/>
        <w:spacing w:before="120" w:after="120" w:line="440" w:lineRule="exact"/>
        <w:jc w:val="center"/>
        <w:outlineLvl w:val="0"/>
        <w:rPr>
          <w:rStyle w:val="53"/>
          <w:rFonts w:hint="eastAsia"/>
          <w:color w:val="auto"/>
          <w:highlight w:val="none"/>
        </w:rPr>
      </w:pPr>
      <w:r>
        <w:rPr>
          <w:rStyle w:val="53"/>
          <w:rFonts w:hint="eastAsia"/>
          <w:color w:val="auto"/>
          <w:highlight w:val="none"/>
        </w:rPr>
        <w:t>第六章　投标文件格式</w:t>
      </w:r>
      <w:bookmarkEnd w:id="27"/>
    </w:p>
    <w:p>
      <w:pPr>
        <w:pStyle w:val="4"/>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一、投标文件</w:t>
      </w:r>
      <w:r>
        <w:rPr>
          <w:rFonts w:hint="eastAsia" w:ascii="宋体" w:hAnsi="宋体" w:eastAsia="宋体" w:cs="宋体"/>
          <w:color w:val="auto"/>
          <w:sz w:val="21"/>
          <w:szCs w:val="21"/>
          <w:highlight w:val="none"/>
        </w:rPr>
        <w:t>封面格式</w:t>
      </w:r>
    </w:p>
    <w:p>
      <w:pPr>
        <w:snapToGrid w:val="0"/>
        <w:spacing w:beforeLines="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(所有投标文件的外包装可</w:t>
      </w:r>
      <w:r>
        <w:rPr>
          <w:rFonts w:hint="eastAsia" w:ascii="宋体" w:hAnsi="宋体" w:eastAsia="宋体" w:cs="宋体"/>
          <w:color w:val="auto"/>
          <w:sz w:val="21"/>
          <w:szCs w:val="21"/>
          <w:highlight w:val="none"/>
          <w:lang w:val="en-US" w:eastAsia="zh-CN"/>
        </w:rPr>
        <w:t>自行</w:t>
      </w:r>
      <w:r>
        <w:rPr>
          <w:rFonts w:hint="eastAsia" w:ascii="宋体" w:hAnsi="宋体" w:eastAsia="宋体" w:cs="宋体"/>
          <w:color w:val="auto"/>
          <w:sz w:val="21"/>
          <w:szCs w:val="21"/>
          <w:highlight w:val="none"/>
        </w:rPr>
        <w:t>选用)</w:t>
      </w:r>
    </w:p>
    <w:p>
      <w:pPr>
        <w:snapToGrid w:val="0"/>
        <w:spacing w:beforeLines="50" w:after="50"/>
        <w:jc w:val="center"/>
        <w:rPr>
          <w:rFonts w:hint="eastAsia" w:ascii="宋体" w:hAnsi="宋体" w:eastAsia="宋体" w:cs="宋体"/>
          <w:bCs/>
          <w:color w:val="auto"/>
          <w:sz w:val="21"/>
          <w:szCs w:val="21"/>
          <w:highlight w:val="none"/>
        </w:rPr>
      </w:pPr>
    </w:p>
    <w:p>
      <w:pPr>
        <w:snapToGrid w:val="0"/>
        <w:spacing w:beforeLines="50" w:after="5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 标 文 件</w:t>
      </w:r>
    </w:p>
    <w:p>
      <w:pPr>
        <w:snapToGrid w:val="0"/>
        <w:spacing w:beforeLines="50" w:after="50"/>
        <w:rPr>
          <w:rFonts w:hint="eastAsia" w:ascii="宋体" w:hAnsi="宋体" w:eastAsia="宋体" w:cs="宋体"/>
          <w:bCs/>
          <w:color w:val="auto"/>
          <w:sz w:val="21"/>
          <w:szCs w:val="21"/>
          <w:highlight w:val="none"/>
        </w:rPr>
      </w:pPr>
    </w:p>
    <w:p>
      <w:pPr>
        <w:snapToGrid w:val="0"/>
        <w:spacing w:beforeLines="50" w:after="50"/>
        <w:rPr>
          <w:rFonts w:hint="eastAsia" w:ascii="宋体" w:hAnsi="宋体" w:eastAsia="宋体" w:cs="宋体"/>
          <w:bCs/>
          <w:color w:val="auto"/>
          <w:sz w:val="21"/>
          <w:szCs w:val="21"/>
          <w:highlight w:val="none"/>
        </w:rPr>
      </w:pPr>
    </w:p>
    <w:p>
      <w:pPr>
        <w:spacing w:line="360" w:lineRule="auto"/>
        <w:ind w:firstLine="1785" w:firstLineChars="8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p>
      <w:pPr>
        <w:spacing w:line="360" w:lineRule="auto"/>
        <w:ind w:firstLine="1785" w:firstLineChars="8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项目编号： </w:t>
      </w:r>
    </w:p>
    <w:p>
      <w:pPr>
        <w:spacing w:line="360" w:lineRule="auto"/>
        <w:ind w:firstLine="1785" w:firstLineChars="85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标项号：</w:t>
      </w:r>
    </w:p>
    <w:p>
      <w:pPr>
        <w:spacing w:line="360" w:lineRule="auto"/>
        <w:ind w:firstLine="1785" w:firstLineChars="8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投标文件名称：资格文件/</w:t>
      </w:r>
      <w:r>
        <w:rPr>
          <w:rFonts w:hint="eastAsia" w:ascii="宋体" w:hAnsi="宋体" w:eastAsia="宋体" w:cs="宋体"/>
          <w:bCs/>
          <w:color w:val="auto"/>
          <w:sz w:val="21"/>
          <w:szCs w:val="21"/>
          <w:highlight w:val="none"/>
          <w:lang w:eastAsia="zh-CN"/>
        </w:rPr>
        <w:t>技术商务</w:t>
      </w:r>
      <w:r>
        <w:rPr>
          <w:rFonts w:hint="eastAsia" w:ascii="宋体" w:hAnsi="宋体" w:eastAsia="宋体" w:cs="宋体"/>
          <w:bCs/>
          <w:color w:val="auto"/>
          <w:sz w:val="21"/>
          <w:szCs w:val="21"/>
          <w:highlight w:val="none"/>
        </w:rPr>
        <w:t>文件/报价文件</w:t>
      </w:r>
    </w:p>
    <w:p>
      <w:pPr>
        <w:spacing w:line="360" w:lineRule="auto"/>
        <w:ind w:firstLine="1785" w:firstLineChars="8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供应商名称：</w:t>
      </w:r>
    </w:p>
    <w:p>
      <w:pPr>
        <w:spacing w:line="360" w:lineRule="auto"/>
        <w:ind w:firstLine="1785" w:firstLineChars="8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供应商地址：</w:t>
      </w:r>
    </w:p>
    <w:p>
      <w:pPr>
        <w:pStyle w:val="10"/>
        <w:snapToGrid w:val="0"/>
        <w:spacing w:line="400" w:lineRule="exact"/>
        <w:ind w:firstLine="1785" w:firstLineChars="85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                  开标时启封</w:t>
      </w:r>
    </w:p>
    <w:p>
      <w:pPr>
        <w:snapToGrid w:val="0"/>
        <w:spacing w:beforeLines="50" w:after="50"/>
        <w:ind w:firstLine="3570" w:firstLineChars="1700"/>
        <w:rPr>
          <w:rFonts w:hint="eastAsia" w:ascii="宋体" w:hAnsi="宋体" w:eastAsia="宋体" w:cs="宋体"/>
          <w:bCs/>
          <w:color w:val="auto"/>
          <w:sz w:val="21"/>
          <w:szCs w:val="21"/>
          <w:highlight w:val="none"/>
        </w:rPr>
      </w:pPr>
    </w:p>
    <w:p>
      <w:pPr>
        <w:snapToGrid w:val="0"/>
        <w:spacing w:beforeLines="50" w:after="50"/>
        <w:ind w:firstLine="645"/>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年  月  日</w:t>
      </w:r>
    </w:p>
    <w:p>
      <w:pPr>
        <w:snapToGrid w:val="0"/>
        <w:spacing w:beforeLines="50" w:after="50"/>
        <w:rPr>
          <w:rFonts w:hint="eastAsia" w:ascii="宋体" w:hAnsi="宋体" w:eastAsia="宋体" w:cs="宋体"/>
          <w:color w:val="auto"/>
          <w:sz w:val="21"/>
          <w:szCs w:val="21"/>
          <w:highlight w:val="none"/>
        </w:rPr>
      </w:pPr>
    </w:p>
    <w:p>
      <w:pPr>
        <w:snapToGrid w:val="0"/>
        <w:spacing w:beforeLines="50" w:after="50"/>
        <w:jc w:val="center"/>
        <w:rPr>
          <w:rFonts w:hint="eastAsia" w:ascii="宋体" w:hAnsi="宋体" w:eastAsia="宋体" w:cs="宋体"/>
          <w:color w:val="auto"/>
          <w:sz w:val="21"/>
          <w:szCs w:val="21"/>
          <w:highlight w:val="none"/>
        </w:rPr>
      </w:pPr>
    </w:p>
    <w:p>
      <w:pPr>
        <w:snapToGrid w:val="0"/>
        <w:spacing w:beforeLines="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2.封面格式： </w:t>
      </w:r>
    </w:p>
    <w:p>
      <w:pPr>
        <w:snapToGrid w:val="0"/>
        <w:spacing w:beforeLines="50" w:after="5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正本/或副本</w:t>
      </w:r>
    </w:p>
    <w:p>
      <w:pPr>
        <w:snapToGrid w:val="0"/>
        <w:spacing w:beforeLines="50" w:after="50"/>
        <w:rPr>
          <w:rFonts w:hint="eastAsia" w:ascii="宋体" w:hAnsi="宋体" w:eastAsia="宋体" w:cs="宋体"/>
          <w:bCs/>
          <w:color w:val="auto"/>
          <w:sz w:val="21"/>
          <w:szCs w:val="21"/>
          <w:highlight w:val="none"/>
        </w:rPr>
      </w:pPr>
    </w:p>
    <w:p>
      <w:pPr>
        <w:snapToGrid w:val="0"/>
        <w:spacing w:beforeLines="50" w:after="5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w:t>
      </w:r>
    </w:p>
    <w:p>
      <w:pPr>
        <w:snapToGrid w:val="0"/>
        <w:spacing w:beforeLines="50" w:after="50"/>
        <w:rPr>
          <w:rFonts w:hint="eastAsia" w:ascii="宋体" w:hAnsi="宋体" w:eastAsia="宋体" w:cs="宋体"/>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Chars="100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p>
      <w:pPr>
        <w:keepNext w:val="0"/>
        <w:keepLines w:val="0"/>
        <w:pageBreakBefore w:val="0"/>
        <w:widowControl w:val="0"/>
        <w:kinsoku/>
        <w:wordWrap/>
        <w:overflowPunct/>
        <w:topLinePunct w:val="0"/>
        <w:autoSpaceDE/>
        <w:autoSpaceDN/>
        <w:bidi w:val="0"/>
        <w:adjustRightInd/>
        <w:snapToGrid w:val="0"/>
        <w:spacing w:line="360" w:lineRule="auto"/>
        <w:ind w:leftChars="100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pPr>
        <w:keepNext w:val="0"/>
        <w:keepLines w:val="0"/>
        <w:pageBreakBefore w:val="0"/>
        <w:widowControl w:val="0"/>
        <w:kinsoku/>
        <w:wordWrap/>
        <w:overflowPunct/>
        <w:topLinePunct w:val="0"/>
        <w:autoSpaceDE/>
        <w:autoSpaceDN/>
        <w:bidi w:val="0"/>
        <w:adjustRightInd/>
        <w:snapToGrid w:val="0"/>
        <w:spacing w:line="360" w:lineRule="auto"/>
        <w:ind w:leftChars="100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标项号：</w:t>
      </w:r>
      <w:r>
        <w:rPr>
          <w:rFonts w:hint="eastAsia" w:ascii="宋体" w:hAnsi="宋体" w:eastAsia="宋体" w:cs="宋体"/>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Chars="100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投标文件名称：资格文件/</w:t>
      </w:r>
      <w:r>
        <w:rPr>
          <w:rFonts w:hint="eastAsia" w:ascii="宋体" w:hAnsi="宋体" w:eastAsia="宋体" w:cs="宋体"/>
          <w:bCs/>
          <w:color w:val="auto"/>
          <w:sz w:val="21"/>
          <w:szCs w:val="21"/>
          <w:highlight w:val="none"/>
          <w:lang w:eastAsia="zh-CN"/>
        </w:rPr>
        <w:t>技术商务</w:t>
      </w:r>
      <w:r>
        <w:rPr>
          <w:rFonts w:hint="eastAsia" w:ascii="宋体" w:hAnsi="宋体" w:eastAsia="宋体" w:cs="宋体"/>
          <w:bCs/>
          <w:color w:val="auto"/>
          <w:sz w:val="21"/>
          <w:szCs w:val="21"/>
          <w:highlight w:val="none"/>
        </w:rPr>
        <w:t>文件/报价文件</w:t>
      </w:r>
    </w:p>
    <w:p>
      <w:pPr>
        <w:pStyle w:val="10"/>
        <w:keepNext w:val="0"/>
        <w:keepLines w:val="0"/>
        <w:pageBreakBefore w:val="0"/>
        <w:widowControl w:val="0"/>
        <w:kinsoku/>
        <w:wordWrap/>
        <w:overflowPunct/>
        <w:topLinePunct w:val="0"/>
        <w:autoSpaceDE/>
        <w:autoSpaceDN/>
        <w:bidi w:val="0"/>
        <w:adjustRightInd/>
        <w:snapToGrid w:val="0"/>
        <w:spacing w:line="360" w:lineRule="auto"/>
        <w:ind w:leftChars="100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供应商名称：</w:t>
      </w:r>
    </w:p>
    <w:p>
      <w:pPr>
        <w:pStyle w:val="10"/>
        <w:keepNext w:val="0"/>
        <w:keepLines w:val="0"/>
        <w:pageBreakBefore w:val="0"/>
        <w:widowControl w:val="0"/>
        <w:kinsoku/>
        <w:wordWrap/>
        <w:overflowPunct/>
        <w:topLinePunct w:val="0"/>
        <w:autoSpaceDE/>
        <w:autoSpaceDN/>
        <w:bidi w:val="0"/>
        <w:adjustRightInd/>
        <w:snapToGrid w:val="0"/>
        <w:spacing w:line="360" w:lineRule="auto"/>
        <w:ind w:leftChars="100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供应商地址：</w:t>
      </w:r>
    </w:p>
    <w:p>
      <w:pPr>
        <w:snapToGrid w:val="0"/>
        <w:spacing w:beforeLines="50" w:after="50"/>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授权代表签章：</w:t>
      </w:r>
    </w:p>
    <w:p>
      <w:pPr>
        <w:snapToGrid w:val="0"/>
        <w:spacing w:beforeLines="50" w:after="50"/>
        <w:ind w:firstLine="6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br w:type="page"/>
      </w:r>
    </w:p>
    <w:p>
      <w:pPr>
        <w:rPr>
          <w:rStyle w:val="85"/>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2"/>
        <w:rPr>
          <w:rFonts w:ascii="宋体" w:hAnsi="宋体" w:cs="宋体"/>
          <w:b/>
          <w:color w:val="auto"/>
          <w:sz w:val="24"/>
          <w:highlight w:val="none"/>
        </w:rPr>
      </w:pPr>
      <w:r>
        <w:rPr>
          <w:rStyle w:val="85"/>
          <w:rFonts w:hint="eastAsia"/>
          <w:color w:val="auto"/>
          <w:highlight w:val="none"/>
          <w:lang w:val="en-US" w:eastAsia="zh-CN"/>
        </w:rPr>
        <w:t>资格条件自查表</w:t>
      </w:r>
    </w:p>
    <w:tbl>
      <w:tblPr>
        <w:tblStyle w:val="37"/>
        <w:tblW w:w="9519"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1"/>
        <w:gridCol w:w="4902"/>
        <w:gridCol w:w="1328"/>
        <w:gridCol w:w="2358"/>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评审内容</w:t>
            </w:r>
          </w:p>
        </w:tc>
        <w:tc>
          <w:tcPr>
            <w:tcW w:w="4902"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采购文件要求</w:t>
            </w:r>
          </w:p>
        </w:tc>
        <w:tc>
          <w:tcPr>
            <w:tcW w:w="1328"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自查结论</w:t>
            </w:r>
          </w:p>
        </w:tc>
        <w:tc>
          <w:tcPr>
            <w:tcW w:w="2358"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restart"/>
            <w:tcBorders>
              <w:top w:val="outset" w:color="111111" w:sz="6" w:space="0"/>
              <w:left w:val="single" w:color="auto" w:sz="12" w:space="0"/>
              <w:right w:val="outset" w:color="111111" w:sz="6" w:space="0"/>
            </w:tcBorders>
            <w:vAlign w:val="center"/>
          </w:tcPr>
          <w:p>
            <w:pPr>
              <w:pStyle w:val="80"/>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w:t>
            </w:r>
          </w:p>
          <w:p>
            <w:pPr>
              <w:pStyle w:val="80"/>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格</w:t>
            </w:r>
          </w:p>
          <w:p>
            <w:pPr>
              <w:pStyle w:val="80"/>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性</w:t>
            </w:r>
          </w:p>
          <w:p>
            <w:pPr>
              <w:pStyle w:val="80"/>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w:t>
            </w:r>
          </w:p>
          <w:p>
            <w:pPr>
              <w:pStyle w:val="80"/>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查</w:t>
            </w:r>
          </w:p>
        </w:tc>
        <w:tc>
          <w:tcPr>
            <w:tcW w:w="4902" w:type="dxa"/>
            <w:tcBorders>
              <w:top w:val="outset" w:color="111111" w:sz="6" w:space="0"/>
              <w:left w:val="outset" w:color="111111" w:sz="6" w:space="0"/>
              <w:bottom w:val="single" w:color="auto" w:sz="4"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投标声明书</w:t>
            </w:r>
          </w:p>
        </w:tc>
        <w:tc>
          <w:tcPr>
            <w:tcW w:w="1328" w:type="dxa"/>
            <w:vMerge w:val="restart"/>
            <w:tcBorders>
              <w:top w:val="outset" w:color="111111" w:sz="6" w:space="0"/>
              <w:left w:val="outset" w:color="111111" w:sz="6"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58"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top w:val="outset" w:color="111111" w:sz="6" w:space="0"/>
              <w:left w:val="single" w:color="auto" w:sz="12" w:space="0"/>
              <w:right w:val="outset" w:color="111111" w:sz="6" w:space="0"/>
            </w:tcBorders>
            <w:vAlign w:val="center"/>
          </w:tcPr>
          <w:p>
            <w:pPr>
              <w:pStyle w:val="80"/>
              <w:adjustRightInd w:val="0"/>
              <w:snapToGrid w:val="0"/>
              <w:spacing w:before="0" w:beforeAutospacing="0" w:after="0" w:afterAutospacing="0"/>
              <w:jc w:val="center"/>
              <w:rPr>
                <w:rFonts w:hint="eastAsia" w:ascii="宋体" w:hAnsi="宋体" w:eastAsia="宋体" w:cs="宋体"/>
                <w:b/>
                <w:color w:val="auto"/>
                <w:sz w:val="21"/>
                <w:szCs w:val="21"/>
                <w:highlight w:val="none"/>
              </w:rPr>
            </w:pPr>
          </w:p>
        </w:tc>
        <w:tc>
          <w:tcPr>
            <w:tcW w:w="4902" w:type="dxa"/>
            <w:tcBorders>
              <w:top w:val="outset" w:color="111111" w:sz="6" w:space="0"/>
              <w:left w:val="outset" w:color="111111" w:sz="6" w:space="0"/>
              <w:bottom w:val="single" w:color="auto" w:sz="4"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具备《政府采购法》第二十二条所规定的条件：</w:t>
            </w:r>
          </w:p>
        </w:tc>
        <w:tc>
          <w:tcPr>
            <w:tcW w:w="1328" w:type="dxa"/>
            <w:vMerge w:val="continue"/>
            <w:tcBorders>
              <w:top w:val="outset" w:color="111111" w:sz="6" w:space="0"/>
              <w:left w:val="outset" w:color="111111" w:sz="6"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p>
        </w:tc>
        <w:tc>
          <w:tcPr>
            <w:tcW w:w="2358"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left w:val="single" w:color="auto" w:sz="12" w:space="0"/>
              <w:right w:val="outset" w:color="111111" w:sz="6" w:space="0"/>
            </w:tcBorders>
            <w:vAlign w:val="center"/>
          </w:tcPr>
          <w:p>
            <w:pPr>
              <w:pStyle w:val="80"/>
              <w:adjustRightInd w:val="0"/>
              <w:snapToGrid w:val="0"/>
              <w:spacing w:before="0" w:beforeAutospacing="0" w:after="0" w:afterAutospacing="0"/>
              <w:jc w:val="center"/>
              <w:rPr>
                <w:rFonts w:hint="eastAsia" w:ascii="宋体" w:hAnsi="宋体" w:eastAsia="宋体" w:cs="宋体"/>
                <w:b/>
                <w:color w:val="auto"/>
                <w:sz w:val="21"/>
                <w:szCs w:val="21"/>
                <w:highlight w:val="none"/>
              </w:rPr>
            </w:pPr>
          </w:p>
        </w:tc>
        <w:tc>
          <w:tcPr>
            <w:tcW w:w="4902" w:type="dxa"/>
            <w:tcBorders>
              <w:top w:val="outset" w:color="111111" w:sz="6" w:space="0"/>
              <w:left w:val="outset" w:color="111111" w:sz="6" w:space="0"/>
              <w:bottom w:val="single" w:color="auto" w:sz="4" w:space="0"/>
              <w:right w:val="outset" w:color="111111" w:sz="6" w:space="0"/>
            </w:tcBorders>
            <w:vAlign w:val="center"/>
          </w:tcPr>
          <w:p>
            <w:pPr>
              <w:numPr>
                <w:ilvl w:val="0"/>
                <w:numId w:val="23"/>
              </w:numPr>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有效的企业法人营业执照（或事业法人登记证）、其他组织的营业执照或者民办非企业单位登记证书</w:t>
            </w:r>
            <w:r>
              <w:rPr>
                <w:rFonts w:hint="eastAsia" w:ascii="宋体" w:hAnsi="宋体" w:cs="宋体"/>
                <w:color w:val="auto"/>
                <w:sz w:val="21"/>
                <w:szCs w:val="21"/>
                <w:highlight w:val="none"/>
                <w:lang w:eastAsia="zh-CN"/>
              </w:rPr>
              <w:t>。</w:t>
            </w:r>
          </w:p>
        </w:tc>
        <w:tc>
          <w:tcPr>
            <w:tcW w:w="1328" w:type="dxa"/>
            <w:vMerge w:val="continue"/>
            <w:tcBorders>
              <w:top w:val="outset" w:color="111111" w:sz="6" w:space="0"/>
              <w:left w:val="outset" w:color="111111" w:sz="6"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p>
        </w:tc>
        <w:tc>
          <w:tcPr>
            <w:tcW w:w="2358"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left w:val="single" w:color="auto" w:sz="12" w:space="0"/>
              <w:right w:val="outset" w:color="111111" w:sz="6" w:space="0"/>
            </w:tcBorders>
            <w:vAlign w:val="center"/>
          </w:tcPr>
          <w:p>
            <w:pPr>
              <w:pStyle w:val="80"/>
              <w:adjustRightInd w:val="0"/>
              <w:snapToGrid w:val="0"/>
              <w:spacing w:before="0" w:beforeAutospacing="0" w:after="0" w:afterAutospacing="0"/>
              <w:jc w:val="center"/>
              <w:rPr>
                <w:rFonts w:hint="eastAsia" w:ascii="宋体" w:hAnsi="宋体" w:eastAsia="宋体" w:cs="宋体"/>
                <w:b/>
                <w:color w:val="auto"/>
                <w:sz w:val="21"/>
                <w:szCs w:val="21"/>
                <w:highlight w:val="none"/>
              </w:rPr>
            </w:pPr>
          </w:p>
        </w:tc>
        <w:tc>
          <w:tcPr>
            <w:tcW w:w="4902" w:type="dxa"/>
            <w:tcBorders>
              <w:top w:val="outset" w:color="111111" w:sz="6" w:space="0"/>
              <w:left w:val="outset" w:color="111111" w:sz="6" w:space="0"/>
              <w:bottom w:val="single" w:color="auto" w:sz="4"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具备《中华人民共和国政府采购法》第二十二条规定的资格条件的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投标声明函</w:t>
            </w:r>
            <w:r>
              <w:rPr>
                <w:rFonts w:hint="eastAsia" w:ascii="宋体" w:hAnsi="宋体" w:cs="宋体"/>
                <w:color w:val="auto"/>
                <w:sz w:val="21"/>
                <w:szCs w:val="21"/>
                <w:highlight w:val="none"/>
                <w:lang w:eastAsia="zh-CN"/>
              </w:rPr>
              <w:t>”；</w:t>
            </w:r>
          </w:p>
        </w:tc>
        <w:tc>
          <w:tcPr>
            <w:tcW w:w="1328" w:type="dxa"/>
            <w:vMerge w:val="continue"/>
            <w:tcBorders>
              <w:top w:val="outset" w:color="111111" w:sz="6" w:space="0"/>
              <w:left w:val="outset" w:color="111111" w:sz="6"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p>
        </w:tc>
        <w:tc>
          <w:tcPr>
            <w:tcW w:w="2358"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left w:val="single" w:color="auto" w:sz="12"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bCs/>
                <w:color w:val="auto"/>
                <w:sz w:val="21"/>
                <w:szCs w:val="21"/>
                <w:highlight w:val="none"/>
              </w:rPr>
              <w:t>为采购项目提供整体设计、规范编制或者项目管理、监理、检测等服务的</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及其附属机构，不得再参加本项目投标。</w:t>
            </w:r>
          </w:p>
        </w:tc>
        <w:tc>
          <w:tcPr>
            <w:tcW w:w="132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5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left w:val="single" w:color="auto" w:sz="12"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四、本项目</w:t>
            </w:r>
            <w:r>
              <w:rPr>
                <w:rFonts w:hint="eastAsia" w:ascii="宋体" w:hAnsi="宋体" w:eastAsia="宋体" w:cs="宋体"/>
                <w:color w:val="auto"/>
                <w:sz w:val="21"/>
                <w:szCs w:val="21"/>
                <w:highlight w:val="none"/>
                <w:u w:val="single"/>
              </w:rPr>
              <w:t>不接受</w:t>
            </w:r>
            <w:r>
              <w:rPr>
                <w:rFonts w:hint="eastAsia" w:ascii="宋体" w:hAnsi="宋体" w:eastAsia="宋体" w:cs="宋体"/>
                <w:color w:val="auto"/>
                <w:sz w:val="21"/>
                <w:szCs w:val="21"/>
                <w:highlight w:val="none"/>
              </w:rPr>
              <w:t>联合体投标。</w:t>
            </w:r>
          </w:p>
        </w:tc>
        <w:tc>
          <w:tcPr>
            <w:tcW w:w="132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5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left w:val="single" w:color="auto" w:sz="12"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pStyle w:val="36"/>
              <w:keepNext w:val="0"/>
              <w:keepLines w:val="0"/>
              <w:pageBreakBefore w:val="0"/>
              <w:widowControl w:val="0"/>
              <w:kinsoku/>
              <w:wordWrap/>
              <w:overflowPunct/>
              <w:topLinePunct w:val="0"/>
              <w:autoSpaceDE/>
              <w:autoSpaceDN/>
              <w:bidi w:val="0"/>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未被列入信用中国网站(www.creditchina.gov.cn)、中国政府采购网(www.ccgp.gov.cn)渠道信用记录失信被执行人、重大税收违法案件当事人名单、政府采购严重违法失信行为信息记录名单的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（以代理机构于投标截止日当天在“信用中国”网站（www.creditchina.gov.cn）及中国政府采购网查询结果为准，如相关失信记录已失效，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需提供相关证明资料）。</w:t>
            </w:r>
          </w:p>
        </w:tc>
        <w:tc>
          <w:tcPr>
            <w:tcW w:w="132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5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left w:val="single" w:color="auto" w:sz="12"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，不得参加同一合同项下的政府采购活动。为采购项目提供整体设计、规范编制或者项目管理、监理、检测等服务的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，不得再参加该采购项目的其他采购活动。</w:t>
            </w:r>
          </w:p>
        </w:tc>
        <w:tc>
          <w:tcPr>
            <w:tcW w:w="132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p>
        </w:tc>
        <w:tc>
          <w:tcPr>
            <w:tcW w:w="235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left w:val="single" w:color="auto" w:sz="12"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五、特定条件（如有）</w:t>
            </w:r>
          </w:p>
        </w:tc>
        <w:tc>
          <w:tcPr>
            <w:tcW w:w="132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5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bl>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outlineLvl w:val="9"/>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备注：1、表后附投标人有效的企业法人营业执照（或事业法人登记证）、其他组织的营业执照或者民办非企业单位登记证书扫描件（或复印件）。</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b/>
          <w:color w:val="auto"/>
          <w:sz w:val="32"/>
          <w:szCs w:val="32"/>
          <w:highlight w:val="none"/>
        </w:rPr>
      </w:pPr>
      <w:r>
        <w:rPr>
          <w:rFonts w:hint="eastAsia" w:ascii="宋体" w:hAnsi="宋体" w:eastAsia="宋体" w:cs="宋体"/>
          <w:b/>
          <w:color w:val="auto"/>
          <w:sz w:val="22"/>
          <w:szCs w:val="22"/>
          <w:highlight w:val="none"/>
        </w:rPr>
        <w:br w:type="page"/>
      </w:r>
      <w:r>
        <w:rPr>
          <w:rStyle w:val="85"/>
          <w:rFonts w:hint="eastAsia"/>
          <w:color w:val="auto"/>
          <w:highlight w:val="none"/>
          <w:lang w:val="en-US" w:eastAsia="zh-CN"/>
        </w:rPr>
        <w:t>投标声明书</w:t>
      </w:r>
    </w:p>
    <w:p>
      <w:pPr>
        <w:rPr>
          <w:rFonts w:ascii="宋体" w:hAnsi="宋体"/>
          <w:b/>
          <w:color w:val="auto"/>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eastAsia="宋体" w:cs="宋体"/>
          <w:b/>
          <w:color w:val="auto"/>
          <w:sz w:val="21"/>
          <w:szCs w:val="21"/>
          <w:highlight w:val="none"/>
          <w:u w:val="single"/>
        </w:rPr>
        <w:t>（采购人）</w:t>
      </w:r>
    </w:p>
    <w:p>
      <w:pPr>
        <w:snapToGrid w:val="0"/>
        <w:spacing w:beforeLines="5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日发布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8"/>
          <w:sz w:val="21"/>
          <w:szCs w:val="21"/>
          <w:highlight w:val="none"/>
          <w:u w:val="single"/>
        </w:rPr>
        <w:t>XXXXXXXXX</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标项</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）的采购公告，本公司（企业）愿意参加投标，并声明：</w:t>
      </w:r>
    </w:p>
    <w:p>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本公司（企业）具备</w:t>
      </w:r>
      <w:r>
        <w:rPr>
          <w:rFonts w:hint="eastAsia" w:ascii="宋体" w:hAnsi="宋体" w:eastAsia="宋体" w:cs="宋体"/>
          <w:bCs/>
          <w:color w:val="auto"/>
          <w:sz w:val="21"/>
          <w:szCs w:val="21"/>
          <w:highlight w:val="none"/>
        </w:rPr>
        <w:t>《中华人民共和国政府采购法》第二十二条资格条件，</w:t>
      </w:r>
      <w:r>
        <w:rPr>
          <w:rFonts w:hint="eastAsia" w:ascii="宋体" w:hAnsi="宋体" w:eastAsia="宋体" w:cs="宋体"/>
          <w:color w:val="auto"/>
          <w:sz w:val="21"/>
          <w:szCs w:val="21"/>
          <w:highlight w:val="none"/>
        </w:rPr>
        <w:t>并已清楚采购文件的要求及有关文件规定。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本公司（企业）具有履行合同所必需的设备和专业技术能力，且本公司（企业）参加政府采购活动前3年内在经营活动中没有重大违法记录。</w:t>
      </w:r>
      <w:r>
        <w:rPr>
          <w:rFonts w:hint="eastAsia" w:ascii="宋体" w:hAnsi="宋体" w:eastAsia="宋体" w:cs="宋体"/>
          <w:color w:val="auto"/>
          <w:sz w:val="21"/>
          <w:szCs w:val="21"/>
          <w:highlight w:val="none"/>
        </w:rPr>
        <w:t>否则，由此所造成的损失、不良后果及法律责任，一律由我公司（企业）承担。</w:t>
      </w:r>
    </w:p>
    <w:p>
      <w:pPr>
        <w:snapToGrid w:val="0"/>
        <w:spacing w:line="360" w:lineRule="auto"/>
        <w:ind w:firstLine="426" w:firstLineChars="20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本次招标采购活动中，如有违法、违规、弄虚作假行为，所造成的损失、不良后果及法律责任，一律由我公司（企业）承担。</w:t>
      </w:r>
    </w:p>
    <w:p>
      <w:pPr>
        <w:spacing w:line="360" w:lineRule="auto"/>
        <w:ind w:firstLine="4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特此声明！</w:t>
      </w:r>
    </w:p>
    <w:p>
      <w:pPr>
        <w:adjustRightInd w:val="0"/>
        <w:snapToGrid w:val="0"/>
        <w:spacing w:line="360" w:lineRule="auto"/>
        <w:ind w:left="425"/>
        <w:rPr>
          <w:rFonts w:hint="eastAsia" w:ascii="宋体" w:hAnsi="宋体" w:eastAsia="宋体" w:cs="宋体"/>
          <w:color w:val="auto"/>
          <w:spacing w:val="4"/>
          <w:sz w:val="21"/>
          <w:szCs w:val="21"/>
          <w:highlight w:val="non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tabs>
          <w:tab w:val="left" w:pos="7480"/>
        </w:tabs>
        <w:autoSpaceDE w:val="0"/>
        <w:autoSpaceDN w:val="0"/>
        <w:adjustRightInd w:val="0"/>
        <w:spacing w:line="360" w:lineRule="exact"/>
        <w:rPr>
          <w:rFonts w:hint="eastAsia" w:ascii="宋体" w:hAnsi="宋体" w:eastAsia="宋体" w:cs="宋体"/>
          <w:color w:val="auto"/>
          <w:sz w:val="21"/>
          <w:szCs w:val="21"/>
          <w:highlight w:val="none"/>
        </w:rPr>
      </w:pPr>
    </w:p>
    <w:p>
      <w:pPr>
        <w:snapToGrid w:val="0"/>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注：后附信用中国”网站(www.creditchina.gov.cn) 及中国政府采购网(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color w:val="auto"/>
          <w:sz w:val="21"/>
          <w:szCs w:val="21"/>
          <w:highlight w:val="none"/>
          <w:u w:val="single"/>
        </w:rPr>
        <w:t>www.ccgp.gov.cn</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)，网上查询结果打印页。</w:t>
      </w: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ascii="宋体" w:hAnsi="宋体" w:cs="宋体"/>
          <w:b/>
          <w:color w:val="auto"/>
          <w:sz w:val="32"/>
          <w:szCs w:val="32"/>
          <w:highlight w:val="none"/>
        </w:rPr>
      </w:pPr>
      <w:r>
        <w:rPr>
          <w:rFonts w:hint="eastAsia" w:ascii="宋体" w:hAnsi="宋体" w:eastAsia="宋体" w:cs="宋体"/>
          <w:b/>
          <w:color w:val="auto"/>
          <w:sz w:val="22"/>
          <w:szCs w:val="22"/>
          <w:highlight w:val="none"/>
        </w:rPr>
        <w:br w:type="page"/>
      </w:r>
      <w:r>
        <w:rPr>
          <w:rStyle w:val="85"/>
          <w:rFonts w:hint="eastAsia"/>
          <w:color w:val="auto"/>
          <w:highlight w:val="none"/>
        </w:rPr>
        <w:t>法定代表人身份证明</w:t>
      </w:r>
    </w:p>
    <w:p>
      <w:pPr>
        <w:spacing w:line="480" w:lineRule="auto"/>
        <w:jc w:val="center"/>
        <w:rPr>
          <w:rFonts w:ascii="宋体" w:hAnsi="宋体" w:cs="宋体"/>
          <w:b/>
          <w:color w:val="auto"/>
          <w:sz w:val="21"/>
          <w:szCs w:val="21"/>
          <w:highlight w:val="none"/>
        </w:rPr>
      </w:pPr>
      <w:r>
        <w:rPr>
          <w:rFonts w:hint="eastAsia" w:ascii="宋体" w:hAnsi="宋体" w:cs="宋体"/>
          <w:bCs/>
          <w:color w:val="auto"/>
          <w:sz w:val="21"/>
          <w:szCs w:val="21"/>
          <w:highlight w:val="none"/>
        </w:rPr>
        <w:t>（法定代表人不来投标的，此表不用）</w:t>
      </w:r>
    </w:p>
    <w:p>
      <w:pPr>
        <w:spacing w:line="48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w:t>
      </w:r>
      <w:r>
        <w:rPr>
          <w:rFonts w:hint="eastAsia" w:ascii="宋体" w:hAnsi="宋体" w:cs="宋体"/>
          <w:color w:val="auto"/>
          <w:sz w:val="21"/>
          <w:szCs w:val="21"/>
          <w:highlight w:val="none"/>
          <w:u w:val="single"/>
        </w:rPr>
        <w:t xml:space="preserve">                                      </w:t>
      </w:r>
    </w:p>
    <w:p>
      <w:pPr>
        <w:spacing w:line="48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单位性质：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48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single"/>
        </w:rPr>
        <w:t xml:space="preserve">                                              </w:t>
      </w:r>
    </w:p>
    <w:p>
      <w:pPr>
        <w:spacing w:line="48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成立时间：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w:t>
      </w:r>
    </w:p>
    <w:p>
      <w:pPr>
        <w:spacing w:line="48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经营期限：</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48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性别：</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年龄：</w:t>
      </w:r>
      <w:r>
        <w:rPr>
          <w:rFonts w:hint="eastAsia" w:ascii="宋体" w:hAnsi="宋体" w:cs="宋体"/>
          <w:color w:val="auto"/>
          <w:sz w:val="21"/>
          <w:szCs w:val="21"/>
          <w:highlight w:val="none"/>
          <w:u w:val="single"/>
        </w:rPr>
        <w:t xml:space="preserve">    周岁  </w:t>
      </w:r>
      <w:r>
        <w:rPr>
          <w:rFonts w:hint="eastAsia" w:ascii="宋体" w:hAnsi="宋体" w:cs="宋体"/>
          <w:color w:val="auto"/>
          <w:sz w:val="21"/>
          <w:szCs w:val="21"/>
          <w:highlight w:val="none"/>
        </w:rPr>
        <w:t>职务：</w:t>
      </w:r>
      <w:r>
        <w:rPr>
          <w:rFonts w:hint="eastAsia" w:ascii="宋体" w:hAnsi="宋体" w:cs="宋体"/>
          <w:color w:val="auto"/>
          <w:sz w:val="21"/>
          <w:szCs w:val="21"/>
          <w:highlight w:val="none"/>
          <w:u w:val="single"/>
        </w:rPr>
        <w:t xml:space="preserve">      </w:t>
      </w:r>
    </w:p>
    <w:p>
      <w:pPr>
        <w:spacing w:line="48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身份证号码：</w:t>
      </w:r>
      <w:r>
        <w:rPr>
          <w:rFonts w:hint="eastAsia" w:ascii="宋体" w:hAnsi="宋体" w:cs="宋体"/>
          <w:color w:val="auto"/>
          <w:sz w:val="21"/>
          <w:szCs w:val="21"/>
          <w:highlight w:val="none"/>
          <w:u w:val="single"/>
        </w:rPr>
        <w:t xml:space="preserve">                   </w:t>
      </w:r>
    </w:p>
    <w:p>
      <w:pPr>
        <w:spacing w:line="48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名称）的法定代表人。</w:t>
      </w:r>
    </w:p>
    <w:p>
      <w:pPr>
        <w:spacing w:line="48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特此证明。</w:t>
      </w:r>
    </w:p>
    <w:p>
      <w:pPr>
        <w:spacing w:line="360" w:lineRule="auto"/>
        <w:ind w:firstLine="420" w:firstLineChars="200"/>
        <w:rPr>
          <w:rFonts w:ascii="宋体" w:hAnsi="宋体" w:cs="宋体"/>
          <w:color w:val="auto"/>
          <w:sz w:val="21"/>
          <w:szCs w:val="21"/>
          <w:highlight w:val="none"/>
        </w:rPr>
      </w:pPr>
    </w:p>
    <w:p>
      <w:pPr>
        <w:spacing w:line="360" w:lineRule="auto"/>
        <w:ind w:firstLine="420" w:firstLineChars="200"/>
        <w:rPr>
          <w:rFonts w:ascii="宋体" w:hAnsi="宋体" w:cs="宋体"/>
          <w:color w:val="auto"/>
          <w:sz w:val="21"/>
          <w:szCs w:val="21"/>
          <w:highlight w:val="none"/>
        </w:rPr>
      </w:pPr>
    </w:p>
    <w:p>
      <w:pPr>
        <w:wordWrap w:val="0"/>
        <w:spacing w:line="360" w:lineRule="auto"/>
        <w:jc w:val="right"/>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（盖单位公章）</w:t>
      </w:r>
    </w:p>
    <w:p>
      <w:pPr>
        <w:spacing w:line="360" w:lineRule="auto"/>
        <w:ind w:firstLine="4515" w:firstLineChars="2150"/>
        <w:rPr>
          <w:rFonts w:ascii="宋体" w:hAnsi="宋体" w:cs="宋体"/>
          <w:color w:val="auto"/>
          <w:sz w:val="21"/>
          <w:szCs w:val="21"/>
          <w:highlight w:val="none"/>
          <w:u w:val="single"/>
        </w:rPr>
      </w:pPr>
    </w:p>
    <w:p>
      <w:pPr>
        <w:spacing w:line="360" w:lineRule="auto"/>
        <w:ind w:firstLine="3675" w:firstLineChars="1750"/>
        <w:rPr>
          <w:rFonts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spacing w:line="360" w:lineRule="auto"/>
        <w:rPr>
          <w:rFonts w:ascii="宋体" w:hAnsi="宋体" w:cs="宋体"/>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附法定代表人身份证复印件（正反面）：</w:t>
      </w:r>
    </w:p>
    <w:p>
      <w:pPr>
        <w:rPr>
          <w:rFonts w:ascii="宋体" w:hAnsi="宋体" w:cs="宋体"/>
          <w:color w:val="auto"/>
          <w:sz w:val="22"/>
          <w:szCs w:val="22"/>
          <w:highlight w:val="none"/>
        </w:rPr>
      </w:pPr>
    </w:p>
    <w:p>
      <w:pPr>
        <w:jc w:val="left"/>
        <w:rPr>
          <w:rFonts w:ascii="宋体" w:hAnsi="宋体" w:cs="宋体"/>
          <w:b/>
          <w:color w:val="auto"/>
          <w:sz w:val="22"/>
          <w:szCs w:val="22"/>
          <w:highlight w:val="none"/>
        </w:rPr>
      </w:pPr>
    </w:p>
    <w:p>
      <w:pPr>
        <w:jc w:val="left"/>
        <w:rPr>
          <w:rFonts w:ascii="宋体" w:hAnsi="宋体" w:cs="宋体"/>
          <w:b/>
          <w:color w:val="auto"/>
          <w:sz w:val="22"/>
          <w:szCs w:val="22"/>
          <w:highlight w:val="none"/>
        </w:rPr>
      </w:pPr>
    </w:p>
    <w:p>
      <w:pPr>
        <w:jc w:val="left"/>
        <w:rPr>
          <w:rFonts w:ascii="宋体" w:hAnsi="宋体" w:cs="宋体"/>
          <w:b/>
          <w:color w:val="auto"/>
          <w:sz w:val="22"/>
          <w:szCs w:val="22"/>
          <w:highlight w:val="none"/>
        </w:rPr>
      </w:pPr>
    </w:p>
    <w:p>
      <w:pPr>
        <w:jc w:val="center"/>
        <w:rPr>
          <w:rFonts w:ascii="宋体" w:hAnsi="宋体" w:cs="宋体"/>
          <w:b/>
          <w:color w:val="auto"/>
          <w:sz w:val="32"/>
          <w:szCs w:val="32"/>
          <w:highlight w:val="none"/>
        </w:rPr>
      </w:pP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pStyle w:val="5"/>
        <w:bidi w:val="0"/>
        <w:jc w:val="center"/>
        <w:rPr>
          <w:color w:val="auto"/>
          <w:highlight w:val="none"/>
        </w:rPr>
      </w:pPr>
      <w:r>
        <w:rPr>
          <w:rFonts w:hint="eastAsia"/>
          <w:color w:val="auto"/>
          <w:highlight w:val="none"/>
        </w:rPr>
        <w:t>法定代表人授权委托书</w:t>
      </w:r>
    </w:p>
    <w:p>
      <w:pPr>
        <w:jc w:val="center"/>
        <w:rPr>
          <w:rFonts w:ascii="宋体" w:hAnsi="宋体" w:cs="宋体"/>
          <w:b/>
          <w:color w:val="auto"/>
          <w:sz w:val="21"/>
          <w:szCs w:val="21"/>
          <w:highlight w:val="none"/>
        </w:rPr>
      </w:pPr>
      <w:r>
        <w:rPr>
          <w:rFonts w:hint="eastAsia" w:ascii="宋体" w:hAnsi="宋体" w:cs="宋体"/>
          <w:bCs/>
          <w:color w:val="auto"/>
          <w:sz w:val="21"/>
          <w:szCs w:val="21"/>
          <w:highlight w:val="none"/>
        </w:rPr>
        <w:t>（法定代表人来投标的，此表不用）</w:t>
      </w:r>
    </w:p>
    <w:p>
      <w:pPr>
        <w:snapToGrid w:val="0"/>
        <w:spacing w:line="360" w:lineRule="auto"/>
        <w:rPr>
          <w:rFonts w:ascii="宋体" w:hAnsi="宋体" w:cs="宋体"/>
          <w:bCs/>
          <w:color w:val="auto"/>
          <w:sz w:val="21"/>
          <w:szCs w:val="21"/>
          <w:highlight w:val="none"/>
        </w:rPr>
      </w:pPr>
    </w:p>
    <w:p>
      <w:pPr>
        <w:snapToGrid w:val="0"/>
        <w:spacing w:line="360" w:lineRule="auto"/>
        <w:rPr>
          <w:rFonts w:ascii="宋体" w:hAnsi="宋体" w:cs="宋体"/>
          <w:color w:val="auto"/>
          <w:sz w:val="21"/>
          <w:szCs w:val="21"/>
          <w:highlight w:val="none"/>
        </w:rPr>
      </w:pPr>
      <w:r>
        <w:rPr>
          <w:rFonts w:hint="eastAsia" w:ascii="宋体" w:hAnsi="宋体" w:cs="宋体"/>
          <w:bCs/>
          <w:color w:val="auto"/>
          <w:sz w:val="21"/>
          <w:szCs w:val="21"/>
          <w:highlight w:val="none"/>
        </w:rPr>
        <w:t>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（采购单位名称）</w:t>
      </w:r>
      <w:r>
        <w:rPr>
          <w:rFonts w:hint="eastAsia" w:ascii="宋体" w:hAnsi="宋体" w:cs="宋体"/>
          <w:b/>
          <w:bCs/>
          <w:color w:val="auto"/>
          <w:sz w:val="21"/>
          <w:szCs w:val="21"/>
          <w:highlight w:val="none"/>
        </w:rPr>
        <w:t xml:space="preserve"> </w:t>
      </w:r>
      <w:r>
        <w:rPr>
          <w:rFonts w:hint="eastAsia" w:ascii="宋体" w:hAnsi="宋体" w:cs="宋体"/>
          <w:color w:val="auto"/>
          <w:sz w:val="21"/>
          <w:szCs w:val="21"/>
          <w:highlight w:val="none"/>
        </w:rPr>
        <w:t>：</w:t>
      </w:r>
    </w:p>
    <w:p>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（姓名）系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 xml:space="preserve">名称）的法定代表人，现授权委托本单位在职职工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（姓名）以我方的名义参加</w:t>
      </w:r>
      <w:r>
        <w:rPr>
          <w:rFonts w:hint="eastAsia" w:ascii="宋体" w:hAnsi="宋体" w:cs="宋体"/>
          <w:color w:val="auto"/>
          <w:sz w:val="21"/>
          <w:szCs w:val="21"/>
          <w:highlight w:val="none"/>
          <w:u w:val="single"/>
        </w:rPr>
        <w:t xml:space="preserve">                       政府采购 </w:t>
      </w:r>
      <w:r>
        <w:rPr>
          <w:rFonts w:hint="eastAsia" w:ascii="宋体" w:hAnsi="宋体" w:cs="宋体"/>
          <w:color w:val="auto"/>
          <w:sz w:val="21"/>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我方对被授权人的签名事项负全部责任。</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被授权人无转委托权，特此委托。</w:t>
      </w:r>
    </w:p>
    <w:p>
      <w:pPr>
        <w:snapToGrid w:val="0"/>
        <w:spacing w:line="360" w:lineRule="auto"/>
        <w:rPr>
          <w:rFonts w:ascii="宋体" w:hAnsi="宋体" w:cs="宋体"/>
          <w:color w:val="auto"/>
          <w:sz w:val="21"/>
          <w:szCs w:val="21"/>
          <w:highlight w:val="none"/>
        </w:rPr>
      </w:pPr>
    </w:p>
    <w:p>
      <w:pPr>
        <w:snapToGrid w:val="0"/>
        <w:spacing w:line="360" w:lineRule="auto"/>
        <w:rPr>
          <w:rFonts w:ascii="宋体" w:hAnsi="宋体" w:cs="宋体"/>
          <w:color w:val="auto"/>
          <w:sz w:val="21"/>
          <w:szCs w:val="21"/>
          <w:highlight w:val="none"/>
        </w:rPr>
      </w:pPr>
    </w:p>
    <w:p>
      <w:pPr>
        <w:snapToGrid w:val="0"/>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被授权人签名：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法定代表人签名：</w:t>
      </w:r>
      <w:r>
        <w:rPr>
          <w:rFonts w:hint="eastAsia" w:ascii="宋体" w:hAnsi="宋体" w:cs="宋体"/>
          <w:color w:val="auto"/>
          <w:sz w:val="21"/>
          <w:szCs w:val="21"/>
          <w:highlight w:val="none"/>
          <w:u w:val="single"/>
        </w:rPr>
        <w:t xml:space="preserve">          </w:t>
      </w:r>
    </w:p>
    <w:p>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职务：</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职务：</w:t>
      </w:r>
      <w:r>
        <w:rPr>
          <w:rFonts w:hint="eastAsia" w:ascii="宋体" w:hAnsi="宋体" w:cs="宋体"/>
          <w:color w:val="auto"/>
          <w:sz w:val="21"/>
          <w:szCs w:val="21"/>
          <w:highlight w:val="none"/>
          <w:u w:val="single"/>
        </w:rPr>
        <w:t xml:space="preserve">           </w:t>
      </w:r>
    </w:p>
    <w:p>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被授权人身份证号码：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snapToGrid w:val="0"/>
        <w:spacing w:line="360" w:lineRule="auto"/>
        <w:rPr>
          <w:rFonts w:ascii="宋体" w:hAnsi="宋体" w:cs="宋体"/>
          <w:color w:val="auto"/>
          <w:sz w:val="21"/>
          <w:szCs w:val="21"/>
          <w:highlight w:val="none"/>
        </w:rPr>
      </w:pPr>
    </w:p>
    <w:p>
      <w:pPr>
        <w:snapToGrid w:val="0"/>
        <w:spacing w:line="360" w:lineRule="auto"/>
        <w:ind w:firstLine="4830" w:firstLineChars="2300"/>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公章：</w:t>
      </w:r>
    </w:p>
    <w:p>
      <w:pPr>
        <w:snapToGrid w:val="0"/>
        <w:spacing w:line="360" w:lineRule="auto"/>
        <w:ind w:firstLine="4830" w:firstLineChars="2300"/>
        <w:rPr>
          <w:rFonts w:ascii="宋体" w:hAnsi="宋体" w:cs="宋体"/>
          <w:color w:val="auto"/>
          <w:sz w:val="21"/>
          <w:szCs w:val="21"/>
          <w:highlight w:val="none"/>
        </w:rPr>
      </w:pPr>
    </w:p>
    <w:p>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年    月    日</w:t>
      </w: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附：法定代表人身份证复印件（正反面）、授权代表身份证复印件（正反面）：</w:t>
      </w:r>
    </w:p>
    <w:p>
      <w:pPr>
        <w:keepNext w:val="0"/>
        <w:keepLines w:val="0"/>
        <w:pageBreakBefore w:val="0"/>
        <w:widowControl w:val="0"/>
        <w:kinsoku/>
        <w:wordWrap/>
        <w:overflowPunct/>
        <w:topLinePunct w:val="0"/>
        <w:autoSpaceDE/>
        <w:autoSpaceDN/>
        <w:bidi w:val="0"/>
        <w:adjustRightInd/>
        <w:snapToGrid w:val="0"/>
        <w:spacing w:beforeLines="50" w:after="50" w:line="440" w:lineRule="exact"/>
        <w:jc w:val="center"/>
        <w:textAlignment w:val="auto"/>
        <w:outlineLvl w:val="2"/>
        <w:rPr>
          <w:rFonts w:hint="eastAsia" w:ascii="宋体" w:hAnsi="宋体" w:eastAsia="宋体"/>
          <w:b/>
          <w:color w:val="auto"/>
          <w:sz w:val="32"/>
          <w:szCs w:val="32"/>
          <w:highlight w:val="none"/>
          <w:lang w:eastAsia="zh-CN"/>
        </w:rPr>
      </w:pPr>
      <w:r>
        <w:rPr>
          <w:rFonts w:hint="eastAsia" w:ascii="宋体" w:hAnsi="宋体"/>
          <w:b/>
          <w:color w:val="auto"/>
          <w:sz w:val="22"/>
          <w:szCs w:val="22"/>
          <w:highlight w:val="none"/>
        </w:rPr>
        <w:br w:type="page"/>
      </w:r>
      <w:r>
        <w:rPr>
          <w:rStyle w:val="85"/>
          <w:rFonts w:hint="eastAsia"/>
          <w:color w:val="auto"/>
          <w:highlight w:val="none"/>
        </w:rPr>
        <w:t>中小企业声明函</w:t>
      </w:r>
      <w:r>
        <w:rPr>
          <w:rStyle w:val="85"/>
          <w:rFonts w:hint="eastAsia"/>
          <w:color w:val="auto"/>
          <w:highlight w:val="none"/>
          <w:lang w:eastAsia="zh-CN"/>
        </w:rPr>
        <w:t>（</w:t>
      </w:r>
      <w:r>
        <w:rPr>
          <w:rStyle w:val="85"/>
          <w:rFonts w:hint="eastAsia"/>
          <w:color w:val="auto"/>
          <w:highlight w:val="none"/>
          <w:lang w:val="en-US" w:eastAsia="zh-CN"/>
        </w:rPr>
        <w:t>服务类</w:t>
      </w:r>
      <w:r>
        <w:rPr>
          <w:rStyle w:val="85"/>
          <w:rFonts w:hint="eastAsia"/>
          <w:color w:val="auto"/>
          <w:highlight w:val="none"/>
          <w:lang w:eastAsia="zh-CN"/>
        </w:rPr>
        <w:t>）</w:t>
      </w:r>
    </w:p>
    <w:p>
      <w:pPr>
        <w:spacing w:line="400" w:lineRule="exact"/>
        <w:ind w:firstLine="440" w:firstLineChars="200"/>
        <w:rPr>
          <w:color w:val="auto"/>
          <w:kern w:val="0"/>
          <w:sz w:val="22"/>
          <w:szCs w:val="22"/>
          <w:highlight w:val="none"/>
          <w:lang w:bidi="zh-CN"/>
        </w:rPr>
      </w:pPr>
    </w:p>
    <w:p>
      <w:pPr>
        <w:spacing w:line="400" w:lineRule="exact"/>
        <w:ind w:firstLine="440" w:firstLineChars="200"/>
        <w:rPr>
          <w:color w:val="auto"/>
          <w:kern w:val="0"/>
          <w:sz w:val="22"/>
          <w:szCs w:val="22"/>
          <w:highlight w:val="none"/>
          <w:lang w:bidi="zh-CN"/>
        </w:rPr>
      </w:pPr>
    </w:p>
    <w:p>
      <w:pPr>
        <w:widowControl/>
        <w:spacing w:line="360" w:lineRule="auto"/>
        <w:ind w:firstLine="420" w:firstLineChars="200"/>
        <w:contextualSpacing/>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本公司（联合体）郑重声明，根据《政府采购促进中小企业发展管理办法》</w:t>
      </w:r>
      <w:r>
        <w:rPr>
          <w:rFonts w:hint="eastAsia" w:ascii="宋体" w:hAnsi="宋体" w:cs="宋体"/>
          <w:color w:val="auto"/>
          <w:spacing w:val="-6"/>
          <w:sz w:val="21"/>
          <w:szCs w:val="21"/>
          <w:highlight w:val="none"/>
        </w:rPr>
        <w:t>（财库﹝2020﹞46</w:t>
      </w:r>
      <w:r>
        <w:rPr>
          <w:rFonts w:hint="eastAsia" w:ascii="宋体" w:hAnsi="宋体" w:cs="宋体"/>
          <w:color w:val="auto"/>
          <w:spacing w:val="-92"/>
          <w:sz w:val="21"/>
          <w:szCs w:val="21"/>
          <w:highlight w:val="none"/>
        </w:rPr>
        <w:t xml:space="preserve"> </w:t>
      </w:r>
      <w:r>
        <w:rPr>
          <w:rFonts w:hint="eastAsia" w:ascii="宋体" w:hAnsi="宋体" w:cs="宋体"/>
          <w:color w:val="auto"/>
          <w:spacing w:val="3"/>
          <w:sz w:val="21"/>
          <w:szCs w:val="21"/>
          <w:highlight w:val="none"/>
        </w:rPr>
        <w:t>号）</w:t>
      </w:r>
      <w:r>
        <w:rPr>
          <w:rFonts w:hint="eastAsia" w:ascii="宋体" w:hAnsi="宋体" w:cs="宋体"/>
          <w:color w:val="auto"/>
          <w:kern w:val="0"/>
          <w:sz w:val="21"/>
          <w:szCs w:val="21"/>
          <w:highlight w:val="none"/>
        </w:rPr>
        <w:t>的规定，本公司（联合体）参加</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i/>
          <w:iCs/>
          <w:color w:val="auto"/>
          <w:w w:val="95"/>
          <w:sz w:val="21"/>
          <w:szCs w:val="21"/>
          <w:highlight w:val="none"/>
          <w:u w:val="single"/>
        </w:rPr>
        <w:t>（</w:t>
      </w:r>
      <w:r>
        <w:rPr>
          <w:rFonts w:hint="eastAsia" w:ascii="宋体" w:hAnsi="宋体" w:cs="宋体"/>
          <w:i/>
          <w:iCs/>
          <w:color w:val="auto"/>
          <w:w w:val="95"/>
          <w:sz w:val="21"/>
          <w:szCs w:val="21"/>
          <w:highlight w:val="none"/>
          <w:u w:val="single"/>
          <w:lang w:val="en-US" w:eastAsia="zh-CN"/>
        </w:rPr>
        <w:t>采购人</w:t>
      </w:r>
      <w:r>
        <w:rPr>
          <w:rFonts w:hint="eastAsia" w:ascii="宋体" w:hAnsi="宋体" w:cs="宋体"/>
          <w:i/>
          <w:iCs/>
          <w:color w:val="auto"/>
          <w:w w:val="95"/>
          <w:sz w:val="21"/>
          <w:szCs w:val="21"/>
          <w:highlight w:val="none"/>
          <w:u w:val="single"/>
        </w:rPr>
        <w:t>名称）</w:t>
      </w:r>
      <w:r>
        <w:rPr>
          <w:rFonts w:hint="eastAsia" w:ascii="宋体" w:hAnsi="宋体" w:cs="宋体"/>
          <w:color w:val="auto"/>
          <w:w w:val="95"/>
          <w:sz w:val="21"/>
          <w:szCs w:val="21"/>
          <w:highlight w:val="none"/>
          <w:u w:val="single"/>
        </w:rPr>
        <w:t>的</w:t>
      </w:r>
      <w:r>
        <w:rPr>
          <w:rFonts w:hint="eastAsia" w:ascii="宋体" w:hAnsi="宋体" w:cs="宋体"/>
          <w:i/>
          <w:iCs/>
          <w:color w:val="auto"/>
          <w:w w:val="95"/>
          <w:sz w:val="21"/>
          <w:szCs w:val="21"/>
          <w:highlight w:val="none"/>
          <w:u w:val="single"/>
        </w:rPr>
        <w:t>（项目名称）</w:t>
      </w:r>
      <w:r>
        <w:rPr>
          <w:rFonts w:hint="eastAsia" w:ascii="宋体" w:hAnsi="宋体" w:cs="宋体"/>
          <w:i/>
          <w:iCs/>
          <w:color w:val="auto"/>
          <w:w w:val="95"/>
          <w:sz w:val="21"/>
          <w:szCs w:val="21"/>
          <w:highlight w:val="none"/>
          <w:u w:val="single"/>
          <w:lang w:eastAsia="zh-CN"/>
        </w:rPr>
        <w:t>（</w:t>
      </w:r>
      <w:r>
        <w:rPr>
          <w:rFonts w:hint="eastAsia" w:ascii="宋体" w:hAnsi="宋体" w:cs="宋体"/>
          <w:i/>
          <w:iCs/>
          <w:color w:val="auto"/>
          <w:w w:val="95"/>
          <w:sz w:val="21"/>
          <w:szCs w:val="21"/>
          <w:highlight w:val="none"/>
          <w:u w:val="single"/>
          <w:lang w:val="en-US" w:eastAsia="zh-CN"/>
        </w:rPr>
        <w:t>标项号</w:t>
      </w:r>
      <w:r>
        <w:rPr>
          <w:rFonts w:hint="eastAsia" w:ascii="宋体" w:hAnsi="宋体" w:cs="宋体"/>
          <w:i/>
          <w:iCs/>
          <w:color w:val="auto"/>
          <w:w w:val="95"/>
          <w:sz w:val="21"/>
          <w:szCs w:val="21"/>
          <w:highlight w:val="none"/>
          <w:u w:val="single"/>
          <w:lang w:eastAsia="zh-CN"/>
        </w:rPr>
        <w:t>）</w:t>
      </w:r>
      <w:r>
        <w:rPr>
          <w:rFonts w:hint="eastAsia" w:ascii="宋体" w:hAnsi="宋体" w:cs="宋体"/>
          <w:i/>
          <w:iCs/>
          <w:color w:val="auto"/>
          <w:w w:val="95"/>
          <w:sz w:val="21"/>
          <w:szCs w:val="21"/>
          <w:highlight w:val="none"/>
          <w:u w:val="single"/>
          <w:lang w:val="en-US" w:eastAsia="zh-CN"/>
        </w:rPr>
        <w:t xml:space="preserve">  </w:t>
      </w:r>
      <w:r>
        <w:rPr>
          <w:rFonts w:hint="eastAsia" w:ascii="宋体" w:hAnsi="宋体" w:cs="宋体"/>
          <w:color w:val="auto"/>
          <w:kern w:val="0"/>
          <w:sz w:val="21"/>
          <w:szCs w:val="21"/>
          <w:highlight w:val="none"/>
        </w:rPr>
        <w:t>的采购活动，服务全部由符合政策要求的中小企业承接。相关企业（含联合体中的中小企业、签订分包意向协议的中小企业）的具体情况如下：</w:t>
      </w:r>
    </w:p>
    <w:p>
      <w:pPr>
        <w:widowControl/>
        <w:spacing w:line="360" w:lineRule="auto"/>
        <w:ind w:firstLine="420" w:firstLineChars="200"/>
        <w:contextualSpacing/>
        <w:jc w:val="left"/>
        <w:rPr>
          <w:rFonts w:ascii="宋体" w:hAnsi="宋体" w:cs="宋体"/>
          <w:color w:val="auto"/>
          <w:kern w:val="0"/>
          <w:sz w:val="21"/>
          <w:szCs w:val="21"/>
          <w:highlight w:val="none"/>
        </w:rPr>
      </w:pPr>
      <w:r>
        <w:rPr>
          <w:rFonts w:hint="eastAsia" w:ascii="宋体" w:hAnsi="宋体"/>
          <w:color w:val="auto"/>
          <w:sz w:val="21"/>
          <w:szCs w:val="21"/>
          <w:highlight w:val="none"/>
        </w:rPr>
        <w:t>1.</w:t>
      </w:r>
      <w:r>
        <w:rPr>
          <w:rFonts w:hint="eastAsia" w:ascii="宋体" w:hAnsi="宋体" w:cs="宋体"/>
          <w:color w:val="auto"/>
          <w:kern w:val="0"/>
          <w:sz w:val="21"/>
          <w:szCs w:val="21"/>
          <w:highlight w:val="none"/>
          <w:u w:val="single"/>
        </w:rPr>
        <w:t xml:space="preserve">     （标的名称）</w:t>
      </w:r>
      <w:r>
        <w:rPr>
          <w:rFonts w:hint="eastAsia" w:ascii="宋体" w:hAnsi="宋体" w:cs="宋体"/>
          <w:color w:val="auto"/>
          <w:kern w:val="0"/>
          <w:sz w:val="21"/>
          <w:szCs w:val="21"/>
          <w:highlight w:val="none"/>
        </w:rPr>
        <w:t>，属于</w:t>
      </w:r>
      <w:r>
        <w:rPr>
          <w:rFonts w:hint="eastAsia" w:cs="宋体"/>
          <w:i/>
          <w:iCs/>
          <w:color w:val="auto"/>
          <w:sz w:val="21"/>
          <w:szCs w:val="21"/>
          <w:highlight w:val="none"/>
          <w:u w:val="single"/>
          <w:lang w:val="en-US" w:eastAsia="zh-CN"/>
        </w:rPr>
        <w:t xml:space="preserve"> </w:t>
      </w:r>
      <w:r>
        <w:rPr>
          <w:rFonts w:hint="eastAsia" w:ascii="宋体" w:hAnsi="宋体" w:eastAsia="宋体" w:cs="宋体"/>
          <w:i/>
          <w:iCs/>
          <w:color w:val="auto"/>
          <w:sz w:val="21"/>
          <w:szCs w:val="21"/>
          <w:highlight w:val="none"/>
          <w:u w:val="single"/>
        </w:rPr>
        <w:t>（采购文件中明确的所属行业）</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承建（</w:t>
      </w:r>
      <w:r>
        <w:rPr>
          <w:rFonts w:hint="eastAsia" w:ascii="宋体" w:hAnsi="宋体" w:cs="宋体"/>
          <w:color w:val="auto"/>
          <w:kern w:val="0"/>
          <w:sz w:val="21"/>
          <w:szCs w:val="21"/>
          <w:highlight w:val="none"/>
        </w:rPr>
        <w:t>承接</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rPr>
        <w:t>企业为</w:t>
      </w:r>
      <w:r>
        <w:rPr>
          <w:rFonts w:hint="eastAsia" w:ascii="宋体" w:hAnsi="宋体" w:cs="宋体"/>
          <w:color w:val="auto"/>
          <w:kern w:val="0"/>
          <w:sz w:val="21"/>
          <w:szCs w:val="21"/>
          <w:highlight w:val="none"/>
          <w:u w:val="single"/>
        </w:rPr>
        <w:t xml:space="preserve">   （企业名称）   </w:t>
      </w:r>
      <w:r>
        <w:rPr>
          <w:rFonts w:hint="eastAsia" w:ascii="宋体" w:hAnsi="宋体" w:cs="宋体"/>
          <w:color w:val="auto"/>
          <w:kern w:val="0"/>
          <w:sz w:val="21"/>
          <w:szCs w:val="21"/>
          <w:highlight w:val="none"/>
        </w:rPr>
        <w:t>，从业人员人，营业收入为万元，资产总额为万元，属于</w:t>
      </w:r>
      <w:r>
        <w:rPr>
          <w:rFonts w:hint="eastAsia" w:ascii="宋体" w:hAnsi="宋体" w:cs="宋体"/>
          <w:color w:val="auto"/>
          <w:kern w:val="0"/>
          <w:sz w:val="21"/>
          <w:szCs w:val="21"/>
          <w:highlight w:val="none"/>
          <w:u w:val="single"/>
        </w:rPr>
        <w:t xml:space="preserve">     （中型企业、小型企业、微型企业）</w:t>
      </w:r>
      <w:r>
        <w:rPr>
          <w:rFonts w:hint="eastAsia" w:ascii="宋体" w:hAnsi="宋体" w:cs="宋体"/>
          <w:color w:val="auto"/>
          <w:kern w:val="0"/>
          <w:sz w:val="21"/>
          <w:szCs w:val="21"/>
          <w:highlight w:val="none"/>
        </w:rPr>
        <w:t>；</w:t>
      </w:r>
    </w:p>
    <w:p>
      <w:pPr>
        <w:widowControl/>
        <w:spacing w:line="360" w:lineRule="auto"/>
        <w:ind w:firstLine="420" w:firstLineChars="200"/>
        <w:contextualSpacing/>
        <w:jc w:val="left"/>
        <w:rPr>
          <w:rFonts w:ascii="宋体" w:hAnsi="宋体" w:cs="宋体"/>
          <w:color w:val="auto"/>
          <w:kern w:val="0"/>
          <w:sz w:val="21"/>
          <w:szCs w:val="21"/>
          <w:highlight w:val="none"/>
        </w:rPr>
      </w:pPr>
      <w:r>
        <w:rPr>
          <w:rFonts w:hint="eastAsia" w:ascii="宋体" w:hAnsi="宋体"/>
          <w:color w:val="auto"/>
          <w:sz w:val="21"/>
          <w:szCs w:val="21"/>
          <w:highlight w:val="none"/>
        </w:rPr>
        <w:t>2.</w:t>
      </w:r>
      <w:r>
        <w:rPr>
          <w:rFonts w:hint="eastAsia" w:ascii="宋体" w:hAnsi="宋体" w:cs="宋体"/>
          <w:color w:val="auto"/>
          <w:kern w:val="0"/>
          <w:sz w:val="21"/>
          <w:szCs w:val="21"/>
          <w:highlight w:val="none"/>
          <w:u w:val="single"/>
        </w:rPr>
        <w:t xml:space="preserve">     （标的名称）</w:t>
      </w:r>
      <w:r>
        <w:rPr>
          <w:rFonts w:hint="eastAsia" w:ascii="宋体" w:hAnsi="宋体" w:cs="宋体"/>
          <w:color w:val="auto"/>
          <w:kern w:val="0"/>
          <w:sz w:val="21"/>
          <w:szCs w:val="21"/>
          <w:highlight w:val="none"/>
        </w:rPr>
        <w:t>，属于；承接企业为</w:t>
      </w:r>
      <w:r>
        <w:rPr>
          <w:rFonts w:hint="eastAsia" w:ascii="宋体" w:hAnsi="宋体" w:cs="宋体"/>
          <w:color w:val="auto"/>
          <w:kern w:val="0"/>
          <w:sz w:val="21"/>
          <w:szCs w:val="21"/>
          <w:highlight w:val="none"/>
          <w:u w:val="single"/>
        </w:rPr>
        <w:t xml:space="preserve">   （企业名称）   </w:t>
      </w:r>
      <w:r>
        <w:rPr>
          <w:rFonts w:hint="eastAsia" w:ascii="宋体" w:hAnsi="宋体" w:cs="宋体"/>
          <w:color w:val="auto"/>
          <w:kern w:val="0"/>
          <w:sz w:val="21"/>
          <w:szCs w:val="21"/>
          <w:highlight w:val="none"/>
        </w:rPr>
        <w:t>，从业人员人，营业收入为万元，资产总额为万元，属于</w:t>
      </w:r>
      <w:r>
        <w:rPr>
          <w:rFonts w:hint="eastAsia" w:ascii="宋体" w:hAnsi="宋体" w:cs="宋体"/>
          <w:color w:val="auto"/>
          <w:kern w:val="0"/>
          <w:sz w:val="21"/>
          <w:szCs w:val="21"/>
          <w:highlight w:val="none"/>
          <w:u w:val="single"/>
        </w:rPr>
        <w:t xml:space="preserve">     （中型企业、小型企业、微型企业）</w:t>
      </w:r>
      <w:r>
        <w:rPr>
          <w:rFonts w:hint="eastAsia" w:ascii="宋体" w:hAnsi="宋体" w:cs="宋体"/>
          <w:color w:val="auto"/>
          <w:kern w:val="0"/>
          <w:sz w:val="21"/>
          <w:szCs w:val="21"/>
          <w:highlight w:val="none"/>
        </w:rPr>
        <w:t>；</w:t>
      </w:r>
    </w:p>
    <w:p>
      <w:pPr>
        <w:widowControl/>
        <w:spacing w:line="360" w:lineRule="auto"/>
        <w:ind w:firstLine="420" w:firstLineChars="200"/>
        <w:contextualSpacing/>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p>
      <w:pPr>
        <w:pStyle w:val="35"/>
        <w:spacing w:line="360" w:lineRule="auto"/>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pPr>
        <w:pStyle w:val="35"/>
        <w:spacing w:line="360" w:lineRule="auto"/>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pPr>
        <w:widowControl/>
        <w:spacing w:before="120" w:after="120" w:line="440" w:lineRule="exact"/>
        <w:ind w:left="5250" w:leftChars="2500"/>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 xml:space="preserve">企业名称（公章）： </w:t>
      </w:r>
    </w:p>
    <w:p>
      <w:pPr>
        <w:widowControl/>
        <w:spacing w:before="120" w:after="120" w:line="440" w:lineRule="exact"/>
        <w:ind w:left="5250" w:leftChars="2500"/>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 xml:space="preserve">日  期：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填写说明：</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1、本声明函为财库[2011]181号文附件的标准格式，必须按该格式填写；本声明函由供应商填写，请认真阅读相关政策文件；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2、如供应商提供本企业制造的货物或者由本企业承担工程、提供服务的，请在相应文字处后面打钩，如“提供本企业制造的货物（√）” “由本企业承担工程（√）、提供服务（√）”。如供应商是代理商，提供其他企业制造的货物，请如实填写其他企业的划分类型并对其真实性负责；</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3、小型、微型企业提供中型企业制造的货物时视同中型企业，因此，只有小微企业提供自己的货物或者小微企业提供其他小微企业的货物时，供应商才算小微企业，才能享受评标标准里的价格扣除优惠。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如供应商为</w:t>
      </w:r>
      <w:r>
        <w:rPr>
          <w:rFonts w:hint="eastAsia" w:ascii="宋体" w:hAnsi="宋体" w:eastAsia="宋体" w:cs="宋体"/>
          <w:color w:val="auto"/>
          <w:kern w:val="0"/>
          <w:sz w:val="21"/>
          <w:szCs w:val="21"/>
          <w:highlight w:val="none"/>
          <w:lang w:val="en-US" w:bidi="zh-CN"/>
        </w:rPr>
        <w:t>大型企业的，</w:t>
      </w:r>
      <w:r>
        <w:rPr>
          <w:rFonts w:hint="eastAsia" w:ascii="宋体" w:hAnsi="宋体" w:eastAsia="宋体" w:cs="宋体"/>
          <w:color w:val="auto"/>
          <w:kern w:val="0"/>
          <w:sz w:val="21"/>
          <w:szCs w:val="21"/>
          <w:highlight w:val="none"/>
          <w:lang w:bidi="zh-CN"/>
        </w:rPr>
        <w:t>可不提供本声明函。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1"/>
          <w:szCs w:val="21"/>
          <w:highlight w:val="none"/>
          <w:lang w:val="en-US"/>
        </w:rPr>
      </w:pP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如未按照要求提供</w:t>
      </w:r>
      <w:r>
        <w:rPr>
          <w:rFonts w:hint="eastAsia" w:ascii="宋体" w:hAnsi="宋体" w:eastAsia="宋体" w:cs="宋体"/>
          <w:color w:val="auto"/>
          <w:kern w:val="0"/>
          <w:sz w:val="21"/>
          <w:szCs w:val="21"/>
          <w:highlight w:val="none"/>
          <w:lang w:val="en-US" w:bidi="zh-CN"/>
        </w:rPr>
        <w:t>本声明函的</w:t>
      </w:r>
      <w:r>
        <w:rPr>
          <w:rFonts w:hint="eastAsia" w:ascii="宋体" w:hAnsi="宋体" w:eastAsia="宋体" w:cs="宋体"/>
          <w:color w:val="auto"/>
          <w:kern w:val="0"/>
          <w:sz w:val="21"/>
          <w:szCs w:val="21"/>
          <w:highlight w:val="none"/>
          <w:lang w:bidi="zh-CN"/>
        </w:rPr>
        <w:t>，将不享受评标标准中注明的针对小微企业的价格扣除优惠。</w:t>
      </w:r>
    </w:p>
    <w:p>
      <w:pPr>
        <w:pStyle w:val="11"/>
        <w:widowControl/>
        <w:spacing w:line="360" w:lineRule="auto"/>
        <w:jc w:val="center"/>
        <w:rPr>
          <w:rFonts w:hint="eastAsia" w:ascii="Arial" w:hAnsi="Arial"/>
          <w:b/>
          <w:color w:val="auto"/>
          <w:sz w:val="24"/>
          <w:highlight w:val="none"/>
        </w:rPr>
        <w:sectPr>
          <w:footerReference r:id="rId6" w:type="default"/>
          <w:pgSz w:w="11906" w:h="16838"/>
          <w:pgMar w:top="1417" w:right="1701" w:bottom="1247" w:left="1701"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olor w:val="auto"/>
          <w:sz w:val="24"/>
          <w:highlight w:val="none"/>
        </w:rPr>
      </w:pPr>
      <w:r>
        <w:rPr>
          <w:rFonts w:hint="eastAsia"/>
          <w:b/>
          <w:bCs/>
          <w:color w:val="auto"/>
          <w:sz w:val="24"/>
          <w:highlight w:val="none"/>
        </w:rPr>
        <w:t>中小微行业划型标准规定（根据工信部联企业〔2011〕300号制定）</w:t>
      </w:r>
    </w:p>
    <w:tbl>
      <w:tblPr>
        <w:tblStyle w:val="37"/>
        <w:tblW w:w="0" w:type="auto"/>
        <w:jc w:val="center"/>
        <w:tblLayout w:type="fixed"/>
        <w:tblCellMar>
          <w:top w:w="0" w:type="dxa"/>
          <w:left w:w="108" w:type="dxa"/>
          <w:bottom w:w="0" w:type="dxa"/>
          <w:right w:w="108" w:type="dxa"/>
        </w:tblCellMar>
      </w:tblPr>
      <w:tblGrid>
        <w:gridCol w:w="1775"/>
        <w:gridCol w:w="1343"/>
        <w:gridCol w:w="1763"/>
        <w:gridCol w:w="1660"/>
        <w:gridCol w:w="1240"/>
        <w:gridCol w:w="1480"/>
        <w:gridCol w:w="1520"/>
        <w:gridCol w:w="1285"/>
        <w:gridCol w:w="1275"/>
        <w:gridCol w:w="1221"/>
      </w:tblGrid>
      <w:tr>
        <w:tblPrEx>
          <w:tblCellMar>
            <w:top w:w="0" w:type="dxa"/>
            <w:left w:w="108" w:type="dxa"/>
            <w:bottom w:w="0" w:type="dxa"/>
            <w:right w:w="108" w:type="dxa"/>
          </w:tblCellMar>
        </w:tblPrEx>
        <w:trPr>
          <w:trHeight w:val="465" w:hRule="atLeast"/>
          <w:jc w:val="center"/>
        </w:trPr>
        <w:tc>
          <w:tcPr>
            <w:tcW w:w="1775"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行业</w:t>
            </w:r>
          </w:p>
        </w:tc>
        <w:tc>
          <w:tcPr>
            <w:tcW w:w="4766" w:type="dxa"/>
            <w:gridSpan w:val="3"/>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微型企业</w:t>
            </w:r>
          </w:p>
        </w:tc>
      </w:tr>
      <w:tr>
        <w:tblPrEx>
          <w:tblCellMar>
            <w:top w:w="0" w:type="dxa"/>
            <w:left w:w="108" w:type="dxa"/>
            <w:bottom w:w="0" w:type="dxa"/>
            <w:right w:w="108" w:type="dxa"/>
          </w:tblCellMar>
        </w:tblPrEx>
        <w:trPr>
          <w:trHeight w:val="525" w:hRule="atLeast"/>
          <w:jc w:val="center"/>
        </w:trPr>
        <w:tc>
          <w:tcPr>
            <w:tcW w:w="1775"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rPr>
                <w:rFonts w:hint="eastAsia" w:ascii="宋体" w:hAnsi="宋体" w:eastAsia="宋体" w:cs="宋体"/>
                <w:b/>
                <w:bCs/>
                <w:color w:val="auto"/>
                <w:sz w:val="18"/>
                <w:szCs w:val="18"/>
                <w:highlight w:val="none"/>
              </w:rPr>
            </w:pPr>
          </w:p>
        </w:tc>
        <w:tc>
          <w:tcPr>
            <w:tcW w:w="1343"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从业人员X（人）</w:t>
            </w:r>
          </w:p>
        </w:tc>
        <w:tc>
          <w:tcPr>
            <w:tcW w:w="1763"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660" w:type="dxa"/>
            <w:tcBorders>
              <w:top w:val="nil"/>
              <w:left w:val="nil"/>
              <w:bottom w:val="single" w:color="auto" w:sz="4" w:space="0"/>
              <w:right w:val="single" w:color="auto" w:sz="8"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4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从业人员X（人）</w:t>
            </w:r>
          </w:p>
        </w:tc>
        <w:tc>
          <w:tcPr>
            <w:tcW w:w="148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520" w:type="dxa"/>
            <w:tcBorders>
              <w:top w:val="nil"/>
              <w:left w:val="nil"/>
              <w:bottom w:val="single" w:color="auto" w:sz="4" w:space="0"/>
              <w:right w:val="single" w:color="auto" w:sz="8"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85"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从业人员X（人）</w:t>
            </w:r>
          </w:p>
        </w:tc>
        <w:tc>
          <w:tcPr>
            <w:tcW w:w="1275"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营业收入Y（万元）</w:t>
            </w:r>
          </w:p>
        </w:tc>
        <w:tc>
          <w:tcPr>
            <w:tcW w:w="1221" w:type="dxa"/>
            <w:tcBorders>
              <w:top w:val="nil"/>
              <w:left w:val="nil"/>
              <w:bottom w:val="single" w:color="auto" w:sz="4" w:space="0"/>
              <w:right w:val="single" w:color="auto" w:sz="8"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资产总额Z（万元）</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1、农林牧渔业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500≤Y＜20000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50≤Y＜500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2、工业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2000≤Y＜40000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300≤Y＜2000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3、建筑业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6000≤Y＜80000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5000≤Z＜80000</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300≤Y＜6000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300≤Z＜5000</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Z＜300</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4、批发业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20≤X＜200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5000≤Y＜40000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5≤X＜20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1000≤Y＜5000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X＜5</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5、零售业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50≤X＜300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500≤Y＜20000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10≤X＜50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100≤Y＜500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6、交通运输业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3000≤Y＜30000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200≤Y＜3000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V＜200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7、仓储业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1000≤Y＜30000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20≤X＜100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8、邮政业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2000≤Y＜30000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9、住宿业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10、餐饮业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V＜100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11、信息传输业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1000≤Y＜100000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12、软件和信息技术服务业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1000≤Y＜10000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50≤Y＜1000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13、房地产开发经营</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1000≤Y＜200000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5000≤Z＜10000</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2000≤Z＜5000</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Z＜2000</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14、物业管理</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1000≤Y＜5000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500≤Y＜1000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15、租赁和商务服务业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8000≤Z＜120000</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100≤Z＜8000</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Z＜100</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8"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16、其他未列明行业</w:t>
            </w:r>
          </w:p>
        </w:tc>
        <w:tc>
          <w:tcPr>
            <w:tcW w:w="1343" w:type="dxa"/>
            <w:tcBorders>
              <w:top w:val="nil"/>
              <w:left w:val="nil"/>
              <w:bottom w:val="single" w:color="auto" w:sz="8"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763" w:type="dxa"/>
            <w:tcBorders>
              <w:top w:val="nil"/>
              <w:left w:val="nil"/>
              <w:bottom w:val="single" w:color="auto" w:sz="8"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660" w:type="dxa"/>
            <w:tcBorders>
              <w:top w:val="nil"/>
              <w:left w:val="nil"/>
              <w:bottom w:val="single" w:color="auto" w:sz="8"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8"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8"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520" w:type="dxa"/>
            <w:tcBorders>
              <w:top w:val="nil"/>
              <w:left w:val="nil"/>
              <w:bottom w:val="single" w:color="auto" w:sz="8"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8"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8"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21" w:type="dxa"/>
            <w:tcBorders>
              <w:top w:val="nil"/>
              <w:left w:val="nil"/>
              <w:bottom w:val="single" w:color="auto" w:sz="8"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285" w:hRule="atLeast"/>
          <w:jc w:val="center"/>
        </w:trPr>
        <w:tc>
          <w:tcPr>
            <w:tcW w:w="14562" w:type="dxa"/>
            <w:gridSpan w:val="10"/>
            <w:tcBorders>
              <w:top w:val="nil"/>
              <w:left w:val="nil"/>
              <w:bottom w:val="nil"/>
              <w:right w:val="nil"/>
            </w:tcBorders>
            <w:noWrap w:val="0"/>
            <w:vAlign w:val="bottom"/>
          </w:tcPr>
          <w:p>
            <w:pPr>
              <w:widowControl/>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　1、企业类型的划分以统计部门的统计数据为依据。</w:t>
            </w:r>
          </w:p>
          <w:p>
            <w:pPr>
              <w:widowControl/>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2、个体工商户和本规定以外的行业，参照本规定进行划型。</w:t>
            </w:r>
          </w:p>
          <w:p>
            <w:pPr>
              <w:widowControl/>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3、本规定的中型企业标准上限即为大型企业标准的下限。</w:t>
            </w:r>
          </w:p>
        </w:tc>
      </w:tr>
    </w:tbl>
    <w:p>
      <w:pPr>
        <w:rPr>
          <w:rStyle w:val="85"/>
          <w:rFonts w:hint="eastAsia" w:ascii="Times New Roman" w:hAnsi="Times New Roman" w:eastAsia="宋体" w:cs="Times New Roman"/>
          <w:color w:val="auto"/>
          <w:highlight w:val="none"/>
        </w:rPr>
        <w:sectPr>
          <w:pgSz w:w="16838" w:h="11906" w:orient="landscape"/>
          <w:pgMar w:top="1701" w:right="1417" w:bottom="1701" w:left="1247" w:header="851" w:footer="850" w:gutter="0"/>
          <w:pgBorders>
            <w:top w:val="none" w:sz="0" w:space="0"/>
            <w:left w:val="none" w:sz="0" w:space="0"/>
            <w:bottom w:val="none" w:sz="0" w:space="0"/>
            <w:right w:val="none" w:sz="0" w:space="0"/>
          </w:pgBorders>
          <w:pgNumType w:fmt="decimal"/>
          <w:cols w:space="0" w:num="1"/>
          <w:rtlGutter w:val="0"/>
          <w:docGrid w:linePitch="312" w:charSpace="0"/>
        </w:sectPr>
      </w:pPr>
      <w:r>
        <w:rPr>
          <w:rStyle w:val="85"/>
          <w:rFonts w:hint="eastAsia" w:ascii="宋体" w:hAnsi="宋体" w:eastAsia="宋体" w:cs="宋体"/>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2"/>
        <w:rPr>
          <w:rStyle w:val="85"/>
          <w:rFonts w:hint="eastAsia" w:ascii="Times New Roman" w:hAnsi="Times New Roman" w:eastAsia="宋体" w:cs="Times New Roman"/>
          <w:color w:val="auto"/>
          <w:highlight w:val="none"/>
        </w:rPr>
      </w:pPr>
      <w:r>
        <w:rPr>
          <w:rStyle w:val="85"/>
          <w:rFonts w:hint="eastAsia" w:ascii="Times New Roman" w:hAnsi="Times New Roman" w:eastAsia="宋体" w:cs="Times New Roman"/>
          <w:color w:val="auto"/>
          <w:highlight w:val="none"/>
        </w:rPr>
        <w:t>残疾人福利性单位声明函</w:t>
      </w:r>
    </w:p>
    <w:p>
      <w:pPr>
        <w:widowControl/>
        <w:spacing w:line="360" w:lineRule="auto"/>
        <w:rPr>
          <w:rFonts w:hint="eastAsia"/>
          <w:color w:val="auto"/>
          <w:highlight w:val="none"/>
          <w:shd w:val="clear" w:color="auto" w:fill="auto"/>
        </w:rPr>
      </w:pPr>
    </w:p>
    <w:p>
      <w:pPr>
        <w:widowControl/>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1.本单位郑重声明，根据《财政部 民政部 中国残疾人联合会关于促进残疾人就业政府采购政策的通知》（财库〔2017〕141号）的规定，本单位_____（填写：为符合或者不符合）条件的残疾人福利性单位，且本单位参加_____单位的_____项目采购活动提供本单位提供服务，或者提供其他残疾人福利性单位制造的货物（不包括使用非残疾人福利性单位注册商标的货物）。</w:t>
      </w:r>
    </w:p>
    <w:p>
      <w:pPr>
        <w:widowControl/>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2.本单位对上述声明的真实性负责。如有虚假，将依法承担相应责任。</w:t>
      </w:r>
    </w:p>
    <w:p>
      <w:pPr>
        <w:widowControl/>
        <w:tabs>
          <w:tab w:val="left" w:pos="4860"/>
        </w:tabs>
        <w:spacing w:line="360" w:lineRule="auto"/>
        <w:ind w:right="1560" w:firstLine="420" w:firstLineChars="200"/>
        <w:jc w:val="center"/>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r>
        <w:rPr>
          <w:rFonts w:hint="eastAsia" w:ascii="宋体" w:hAnsi="宋体" w:eastAsia="宋体" w:cs="宋体"/>
          <w:color w:val="auto"/>
          <w:spacing w:val="6"/>
          <w:sz w:val="21"/>
          <w:szCs w:val="21"/>
          <w:highlight w:val="none"/>
          <w:shd w:val="clear" w:color="auto" w:fill="auto"/>
        </w:rPr>
        <w:t xml:space="preserve">企业名称（盖章）： </w:t>
      </w:r>
    </w:p>
    <w:p>
      <w:pPr>
        <w:spacing w:line="360" w:lineRule="auto"/>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 xml:space="preserve">                                        </w:t>
      </w:r>
      <w:r>
        <w:rPr>
          <w:rFonts w:hint="eastAsia" w:ascii="宋体" w:hAnsi="宋体" w:eastAsia="宋体" w:cs="宋体"/>
          <w:color w:val="auto"/>
          <w:spacing w:val="6"/>
          <w:sz w:val="21"/>
          <w:szCs w:val="21"/>
          <w:highlight w:val="none"/>
          <w:shd w:val="clear" w:color="auto" w:fill="auto"/>
          <w:lang w:val="en-US"/>
        </w:rPr>
        <w:t xml:space="preserve">              </w:t>
      </w:r>
      <w:r>
        <w:rPr>
          <w:rFonts w:hint="eastAsia" w:ascii="宋体" w:hAnsi="宋体" w:eastAsia="宋体" w:cs="宋体"/>
          <w:color w:val="auto"/>
          <w:spacing w:val="6"/>
          <w:sz w:val="21"/>
          <w:szCs w:val="21"/>
          <w:highlight w:val="none"/>
          <w:shd w:val="clear" w:color="auto" w:fill="auto"/>
        </w:rPr>
        <w:t>日  期：</w:t>
      </w:r>
    </w:p>
    <w:p>
      <w:pPr>
        <w:spacing w:line="360" w:lineRule="auto"/>
        <w:rPr>
          <w:rFonts w:hint="eastAsia" w:ascii="宋体" w:hAnsi="宋体" w:eastAsia="宋体" w:cs="宋体"/>
          <w:b/>
          <w:bCs/>
          <w:color w:val="auto"/>
          <w:sz w:val="21"/>
          <w:szCs w:val="21"/>
          <w:highlight w:val="none"/>
          <w:shd w:val="clear" w:color="auto" w:fill="auto"/>
        </w:rPr>
      </w:pPr>
    </w:p>
    <w:p>
      <w:pPr>
        <w:spacing w:line="360" w:lineRule="auto"/>
        <w:rPr>
          <w:rFonts w:hint="eastAsia" w:ascii="宋体" w:hAnsi="宋体" w:eastAsia="宋体" w:cs="宋体"/>
          <w:b/>
          <w:bCs/>
          <w:color w:val="auto"/>
          <w:sz w:val="21"/>
          <w:szCs w:val="21"/>
          <w:highlight w:val="none"/>
          <w:shd w:val="clear" w:color="auto" w:fill="auto"/>
        </w:rPr>
      </w:pPr>
    </w:p>
    <w:p>
      <w:pPr>
        <w:spacing w:line="360" w:lineRule="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lang w:eastAsia="zh-CN"/>
        </w:rPr>
        <w:t>供应商</w:t>
      </w:r>
      <w:r>
        <w:rPr>
          <w:rFonts w:hint="eastAsia" w:ascii="宋体" w:hAnsi="宋体" w:eastAsia="宋体" w:cs="宋体"/>
          <w:b/>
          <w:bCs/>
          <w:color w:val="auto"/>
          <w:sz w:val="21"/>
          <w:szCs w:val="21"/>
          <w:highlight w:val="none"/>
          <w:shd w:val="clear" w:color="auto" w:fill="auto"/>
        </w:rPr>
        <w:t>如为非残疾人福利性单位的，可不提供本声明函。</w:t>
      </w:r>
    </w:p>
    <w:p>
      <w:pPr>
        <w:widowControl/>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w:t>
      </w:r>
    </w:p>
    <w:p>
      <w:pPr>
        <w:widowControl/>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1、如</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为非残疾人福利性单位的可不提供本声明函。</w:t>
      </w:r>
    </w:p>
    <w:p>
      <w:pPr>
        <w:widowControl/>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2、享受政府采购支持政策的残疾人福利性单位应当同时满足以下条件：</w:t>
      </w:r>
    </w:p>
    <w:p>
      <w:pPr>
        <w:widowControl/>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（一）安置的残疾人占本单位在职职工人数的比例不低于25%（含25%），并且安置的残疾人人数不少于10人（含10人）；</w:t>
      </w:r>
    </w:p>
    <w:p>
      <w:pPr>
        <w:widowControl/>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（二）依法与安置的每位残疾人签订了一年以上（含一年）的劳动合同或服务协议；</w:t>
      </w:r>
    </w:p>
    <w:p>
      <w:pPr>
        <w:widowControl/>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（三）为安置的每位残疾人按月足额缴纳了基本养老保险、基本医疗保险、失业保险、工伤保险和生育保险等社会保险费；</w:t>
      </w:r>
    </w:p>
    <w:p>
      <w:pPr>
        <w:widowControl/>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（四）通过银行等金融机构向安置的每位残疾人，按月支付了不低于单位所在区县适用的经省级人民政府批准的月最低工资标准的工资；</w:t>
      </w:r>
    </w:p>
    <w:p>
      <w:pPr>
        <w:widowControl/>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（五）提供本单位制造的货物、承担的工程或者服务（以下简称产品），或者提供其他残疾人福利性单位制造的货物（不包括使用非残疾人福利性单位注册商标的货物）。</w:t>
      </w:r>
    </w:p>
    <w:p>
      <w:pPr>
        <w:widowControl/>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jc w:val="center"/>
        <w:textAlignment w:val="auto"/>
        <w:outlineLvl w:val="2"/>
        <w:rPr>
          <w:rStyle w:val="85"/>
          <w:color w:val="auto"/>
          <w:highlight w:val="none"/>
        </w:rPr>
      </w:pPr>
      <w:r>
        <w:rPr>
          <w:rFonts w:hint="eastAsia" w:ascii="宋体" w:hAnsi="宋体" w:eastAsia="宋体" w:cs="宋体"/>
          <w:color w:val="auto"/>
          <w:sz w:val="22"/>
          <w:szCs w:val="22"/>
          <w:highlight w:val="none"/>
        </w:rPr>
        <w:br w:type="page"/>
      </w:r>
      <w:r>
        <w:rPr>
          <w:rStyle w:val="85"/>
          <w:rFonts w:hint="eastAsia"/>
          <w:color w:val="auto"/>
          <w:highlight w:val="none"/>
        </w:rPr>
        <w:t>具备《中华人民共和国政府采购法》第二十二条规定的资格条件的承诺函</w:t>
      </w:r>
    </w:p>
    <w:p>
      <w:pPr>
        <w:jc w:val="center"/>
        <w:rPr>
          <w:b/>
          <w:color w:val="auto"/>
          <w:highlight w:val="none"/>
        </w:rPr>
      </w:pPr>
    </w:p>
    <w:p>
      <w:pPr>
        <w:spacing w:line="360" w:lineRule="auto"/>
        <w:rPr>
          <w:rFonts w:ascii="宋体" w:hAnsi="宋体"/>
          <w:bCs/>
          <w:color w:val="auto"/>
          <w:sz w:val="24"/>
          <w:highlight w:val="none"/>
        </w:rPr>
      </w:pPr>
    </w:p>
    <w:p>
      <w:pPr>
        <w:spacing w:line="360" w:lineRule="auto"/>
        <w:rPr>
          <w:rFonts w:ascii="宋体" w:hAnsi="宋体"/>
          <w:color w:val="auto"/>
          <w:sz w:val="21"/>
          <w:szCs w:val="21"/>
          <w:highlight w:val="none"/>
        </w:rPr>
      </w:pPr>
      <w:r>
        <w:rPr>
          <w:rFonts w:hint="eastAsia" w:ascii="宋体" w:hAnsi="宋体"/>
          <w:bCs/>
          <w:color w:val="auto"/>
          <w:sz w:val="21"/>
          <w:szCs w:val="21"/>
          <w:highlight w:val="none"/>
        </w:rPr>
        <w:t>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（采购人名称）</w:t>
      </w:r>
    </w:p>
    <w:p>
      <w:pPr>
        <w:spacing w:line="360" w:lineRule="auto"/>
        <w:ind w:firstLine="420" w:firstLineChars="200"/>
        <w:rPr>
          <w:rFonts w:ascii="宋体" w:hAnsi="宋体"/>
          <w:color w:val="auto"/>
          <w:sz w:val="21"/>
          <w:szCs w:val="21"/>
          <w:highlight w:val="none"/>
        </w:rPr>
      </w:pPr>
    </w:p>
    <w:p>
      <w:pPr>
        <w:spacing w:line="48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我单位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（单位名称）承诺，完全具备《中华人民共和国政府采购法》第二十二条规定的资格条件：</w:t>
      </w:r>
    </w:p>
    <w:p>
      <w:pPr>
        <w:spacing w:line="480" w:lineRule="auto"/>
        <w:ind w:firstLine="420" w:firstLineChars="200"/>
        <w:rPr>
          <w:color w:val="auto"/>
          <w:sz w:val="21"/>
          <w:szCs w:val="21"/>
          <w:highlight w:val="none"/>
        </w:rPr>
      </w:pPr>
      <w:r>
        <w:rPr>
          <w:rFonts w:hint="eastAsia"/>
          <w:color w:val="auto"/>
          <w:sz w:val="21"/>
          <w:szCs w:val="21"/>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pacing w:line="480" w:lineRule="auto"/>
        <w:ind w:firstLine="420" w:firstLineChars="200"/>
        <w:rPr>
          <w:color w:val="auto"/>
          <w:sz w:val="21"/>
          <w:szCs w:val="21"/>
          <w:highlight w:val="none"/>
        </w:rPr>
      </w:pPr>
      <w:r>
        <w:rPr>
          <w:rFonts w:hint="eastAsia"/>
          <w:color w:val="auto"/>
          <w:sz w:val="21"/>
          <w:szCs w:val="21"/>
          <w:highlight w:val="none"/>
        </w:rPr>
        <w:t>我单位对上述承诺的真实性负责。本次招标采购活动中，如有违法、违规、弄虚作假行为，所造成的损失、不良后果及法律责任，一律由我单位承担。</w:t>
      </w:r>
    </w:p>
    <w:p>
      <w:pPr>
        <w:spacing w:line="480" w:lineRule="auto"/>
        <w:ind w:firstLine="422" w:firstLineChars="200"/>
        <w:rPr>
          <w:b/>
          <w:bCs/>
          <w:color w:val="auto"/>
          <w:sz w:val="21"/>
          <w:szCs w:val="21"/>
          <w:highlight w:val="none"/>
        </w:rPr>
      </w:pPr>
      <w:r>
        <w:rPr>
          <w:rFonts w:hint="eastAsia"/>
          <w:b/>
          <w:bCs/>
          <w:color w:val="auto"/>
          <w:sz w:val="21"/>
          <w:szCs w:val="21"/>
          <w:highlight w:val="none"/>
        </w:rPr>
        <w:t>特此承诺！</w:t>
      </w:r>
    </w:p>
    <w:p>
      <w:pPr>
        <w:jc w:val="center"/>
        <w:rPr>
          <w:rFonts w:ascii="宋体" w:hAnsi="宋体"/>
          <w:b/>
          <w:color w:val="auto"/>
          <w:sz w:val="21"/>
          <w:szCs w:val="21"/>
          <w:highlight w:val="none"/>
        </w:rPr>
      </w:pPr>
    </w:p>
    <w:p>
      <w:pPr>
        <w:jc w:val="center"/>
        <w:rPr>
          <w:rFonts w:ascii="宋体" w:hAnsi="宋体"/>
          <w:b/>
          <w:color w:val="auto"/>
          <w:sz w:val="21"/>
          <w:szCs w:val="21"/>
          <w:highlight w:val="none"/>
        </w:rPr>
      </w:pPr>
    </w:p>
    <w:p>
      <w:pPr>
        <w:jc w:val="center"/>
        <w:rPr>
          <w:rFonts w:ascii="宋体" w:hAnsi="宋体"/>
          <w:b/>
          <w:color w:val="auto"/>
          <w:sz w:val="21"/>
          <w:szCs w:val="21"/>
          <w:highlight w:val="none"/>
        </w:rPr>
      </w:pPr>
    </w:p>
    <w:p>
      <w:pPr>
        <w:pStyle w:val="11"/>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供应商全称（盖公章）：</w:t>
      </w:r>
    </w:p>
    <w:p>
      <w:pPr>
        <w:pStyle w:val="11"/>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法定代表人或其授权委托人（签名或印章）：</w:t>
      </w:r>
    </w:p>
    <w:p>
      <w:pPr>
        <w:spacing w:line="360" w:lineRule="auto"/>
        <w:ind w:right="180"/>
        <w:jc w:val="right"/>
        <w:rPr>
          <w:rFonts w:ascii="宋体" w:hAnsi="宋体"/>
          <w:color w:val="auto"/>
          <w:sz w:val="21"/>
          <w:szCs w:val="21"/>
          <w:highlight w:val="none"/>
        </w:rPr>
      </w:pPr>
      <w:r>
        <w:rPr>
          <w:rFonts w:hint="eastAsia" w:hAnsi="宋体" w:cs="宋体"/>
          <w:color w:val="auto"/>
          <w:sz w:val="21"/>
          <w:szCs w:val="21"/>
          <w:highlight w:val="none"/>
        </w:rPr>
        <w:t xml:space="preserve">                                      日期：</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jc w:val="center"/>
        <w:textAlignment w:val="auto"/>
        <w:outlineLvl w:val="2"/>
        <w:rPr>
          <w:b/>
          <w:color w:val="auto"/>
          <w:sz w:val="32"/>
          <w:szCs w:val="32"/>
          <w:highlight w:val="none"/>
        </w:rPr>
      </w:pPr>
      <w:r>
        <w:rPr>
          <w:rFonts w:hint="eastAsia" w:ascii="宋体" w:hAnsi="宋体"/>
          <w:b/>
          <w:color w:val="auto"/>
          <w:sz w:val="21"/>
          <w:szCs w:val="21"/>
          <w:highlight w:val="none"/>
        </w:rPr>
        <w:br w:type="page"/>
      </w:r>
      <w:r>
        <w:rPr>
          <w:rStyle w:val="85"/>
          <w:rFonts w:hint="eastAsia"/>
          <w:color w:val="auto"/>
          <w:highlight w:val="none"/>
        </w:rPr>
        <w:t>具备履行合同所需的设备和专业技术能力的声明</w:t>
      </w:r>
    </w:p>
    <w:p>
      <w:pPr>
        <w:rPr>
          <w:color w:val="auto"/>
          <w:highlight w:val="none"/>
        </w:rPr>
      </w:pPr>
    </w:p>
    <w:p>
      <w:pPr>
        <w:spacing w:line="360" w:lineRule="auto"/>
        <w:rPr>
          <w:rFonts w:hint="eastAsia" w:ascii="宋体" w:hAnsi="宋体" w:eastAsia="宋体" w:cs="宋体"/>
          <w:color w:val="auto"/>
          <w:sz w:val="22"/>
          <w:szCs w:val="22"/>
          <w:highlight w:val="none"/>
        </w:rPr>
      </w:pPr>
      <w:r>
        <w:rPr>
          <w:rFonts w:hint="eastAsia"/>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我公司（单位）具备履行合同所需的设备和专业技术能力，具体情况介绍如下：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（内容包括：主要设备、专业技术人员、公司资质（格）等）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特此承诺。</w:t>
      </w:r>
    </w:p>
    <w:p>
      <w:pPr>
        <w:tabs>
          <w:tab w:val="left" w:pos="7480"/>
        </w:tabs>
        <w:autoSpaceDE w:val="0"/>
        <w:autoSpaceDN w:val="0"/>
        <w:adjustRightInd w:val="0"/>
        <w:spacing w:line="360" w:lineRule="exact"/>
        <w:rPr>
          <w:rFonts w:hint="eastAsia" w:ascii="宋体" w:hAnsi="宋体" w:eastAsia="宋体" w:cs="宋体"/>
          <w:color w:val="auto"/>
          <w:sz w:val="21"/>
          <w:szCs w:val="21"/>
          <w:highlight w:val="none"/>
        </w:rPr>
      </w:pPr>
    </w:p>
    <w:p>
      <w:pPr>
        <w:tabs>
          <w:tab w:val="left" w:pos="7480"/>
        </w:tabs>
        <w:autoSpaceDE w:val="0"/>
        <w:autoSpaceDN w:val="0"/>
        <w:adjustRightInd w:val="0"/>
        <w:spacing w:line="360" w:lineRule="exact"/>
        <w:rPr>
          <w:rFonts w:hint="eastAsia" w:ascii="宋体" w:hAnsi="宋体" w:eastAsia="宋体" w:cs="宋体"/>
          <w:color w:val="auto"/>
          <w:sz w:val="21"/>
          <w:szCs w:val="21"/>
          <w:highlight w:val="none"/>
        </w:rPr>
      </w:pPr>
    </w:p>
    <w:p>
      <w:pPr>
        <w:tabs>
          <w:tab w:val="left" w:pos="7480"/>
        </w:tabs>
        <w:autoSpaceDE w:val="0"/>
        <w:autoSpaceDN w:val="0"/>
        <w:adjustRightInd w:val="0"/>
        <w:spacing w:line="360" w:lineRule="exact"/>
        <w:rPr>
          <w:rFonts w:hint="eastAsia" w:ascii="宋体" w:hAnsi="宋体" w:eastAsia="宋体" w:cs="宋体"/>
          <w:color w:val="auto"/>
          <w:sz w:val="21"/>
          <w:szCs w:val="21"/>
          <w:highlight w:val="none"/>
        </w:rPr>
      </w:pPr>
    </w:p>
    <w:p>
      <w:pPr>
        <w:tabs>
          <w:tab w:val="left" w:pos="7480"/>
        </w:tabs>
        <w:autoSpaceDE w:val="0"/>
        <w:autoSpaceDN w:val="0"/>
        <w:adjustRightInd w:val="0"/>
        <w:spacing w:line="360" w:lineRule="exact"/>
        <w:rPr>
          <w:rFonts w:hint="eastAsia" w:ascii="宋体" w:hAnsi="宋体" w:eastAsia="宋体" w:cs="宋体"/>
          <w:color w:val="auto"/>
          <w:sz w:val="21"/>
          <w:szCs w:val="21"/>
          <w:highlight w:val="non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2"/>
          <w:szCs w:val="22"/>
          <w:highlight w:val="none"/>
        </w:rPr>
      </w:pPr>
      <w:r>
        <w:rPr>
          <w:rFonts w:ascii="黑体" w:eastAsia="黑体"/>
          <w:color w:val="auto"/>
          <w:sz w:val="22"/>
          <w:szCs w:val="22"/>
          <w:highlight w:val="none"/>
        </w:rPr>
        <w:drawing>
          <wp:inline distT="0" distB="0" distL="114300" distR="114300">
            <wp:extent cx="5934075" cy="72771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934075" cy="7277100"/>
                    </a:xfrm>
                    <a:prstGeom prst="rect">
                      <a:avLst/>
                    </a:prstGeom>
                    <a:noFill/>
                    <a:ln>
                      <a:noFill/>
                    </a:ln>
                  </pic:spPr>
                </pic:pic>
              </a:graphicData>
            </a:graphic>
          </wp:inline>
        </w:drawing>
      </w: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rPr>
          <w:rFonts w:hint="eastAsia"/>
          <w:b/>
          <w:color w:val="auto"/>
          <w:sz w:val="32"/>
          <w:szCs w:val="32"/>
          <w:highlight w:val="none"/>
        </w:rPr>
      </w:pPr>
      <w:r>
        <w:rPr>
          <w:rFonts w:hint="eastAsia"/>
          <w:b/>
          <w:color w:val="auto"/>
          <w:sz w:val="32"/>
          <w:szCs w:val="32"/>
          <w:highlight w:val="none"/>
        </w:rPr>
        <w:br w:type="page"/>
      </w:r>
    </w:p>
    <w:p>
      <w:pPr>
        <w:pStyle w:val="5"/>
        <w:bidi w:val="0"/>
        <w:jc w:val="center"/>
        <w:rPr>
          <w:color w:val="auto"/>
          <w:highlight w:val="none"/>
        </w:rPr>
      </w:pPr>
      <w:r>
        <w:rPr>
          <w:rFonts w:hint="eastAsia"/>
          <w:color w:val="auto"/>
          <w:highlight w:val="none"/>
        </w:rPr>
        <w:t>近三年在政府采购活动中无重大违法记录的声明</w:t>
      </w:r>
    </w:p>
    <w:p>
      <w:pPr>
        <w:rPr>
          <w:color w:val="auto"/>
          <w:highlight w:val="none"/>
        </w:rPr>
      </w:pPr>
    </w:p>
    <w:p>
      <w:pPr>
        <w:rPr>
          <w:color w:val="auto"/>
          <w:highlight w:val="none"/>
        </w:rPr>
      </w:pPr>
    </w:p>
    <w:p>
      <w:pPr>
        <w:spacing w:line="360" w:lineRule="auto"/>
        <w:rPr>
          <w:color w:val="auto"/>
          <w:sz w:val="21"/>
          <w:szCs w:val="21"/>
          <w:highlight w:val="none"/>
        </w:rPr>
      </w:pPr>
      <w:r>
        <w:rPr>
          <w:rFonts w:hint="eastAsia"/>
          <w:color w:val="auto"/>
          <w:sz w:val="21"/>
          <w:szCs w:val="21"/>
          <w:highlight w:val="none"/>
        </w:rPr>
        <w:t>参加本项目政府采购活动前三年内，在经营活动中没有重大违法记录，特此声明。</w:t>
      </w:r>
    </w:p>
    <w:p>
      <w:pPr>
        <w:spacing w:line="360" w:lineRule="auto"/>
        <w:rPr>
          <w:color w:val="auto"/>
          <w:sz w:val="21"/>
          <w:szCs w:val="21"/>
          <w:highlight w:val="none"/>
        </w:rPr>
      </w:pPr>
    </w:p>
    <w:p>
      <w:pPr>
        <w:tabs>
          <w:tab w:val="left" w:pos="7480"/>
        </w:tabs>
        <w:autoSpaceDE w:val="0"/>
        <w:autoSpaceDN w:val="0"/>
        <w:adjustRightInd w:val="0"/>
        <w:spacing w:line="360" w:lineRule="exact"/>
        <w:rPr>
          <w:rFonts w:ascii="黑体" w:eastAsia="黑体"/>
          <w:color w:val="auto"/>
          <w:sz w:val="21"/>
          <w:szCs w:val="21"/>
          <w:highlight w:val="none"/>
        </w:rPr>
      </w:pPr>
    </w:p>
    <w:p>
      <w:pPr>
        <w:tabs>
          <w:tab w:val="left" w:pos="7480"/>
        </w:tabs>
        <w:autoSpaceDE w:val="0"/>
        <w:autoSpaceDN w:val="0"/>
        <w:adjustRightInd w:val="0"/>
        <w:spacing w:line="360" w:lineRule="exact"/>
        <w:rPr>
          <w:rFonts w:ascii="黑体" w:eastAsia="黑体"/>
          <w:color w:val="auto"/>
          <w:sz w:val="21"/>
          <w:szCs w:val="21"/>
          <w:highlight w:val="none"/>
        </w:rPr>
      </w:pPr>
    </w:p>
    <w:p>
      <w:pPr>
        <w:pStyle w:val="11"/>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供应商全称（盖公章）：</w:t>
      </w:r>
    </w:p>
    <w:p>
      <w:pPr>
        <w:pStyle w:val="11"/>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法定代表人或其授权委托人（签名或印章）：</w:t>
      </w:r>
    </w:p>
    <w:p>
      <w:pPr>
        <w:spacing w:line="360" w:lineRule="auto"/>
        <w:ind w:right="180"/>
        <w:jc w:val="right"/>
        <w:rPr>
          <w:rFonts w:ascii="宋体" w:hAnsi="宋体"/>
          <w:color w:val="auto"/>
          <w:sz w:val="21"/>
          <w:szCs w:val="21"/>
          <w:highlight w:val="none"/>
        </w:rPr>
      </w:pPr>
      <w:r>
        <w:rPr>
          <w:rFonts w:hint="eastAsia" w:hAnsi="宋体" w:cs="宋体"/>
          <w:color w:val="auto"/>
          <w:sz w:val="21"/>
          <w:szCs w:val="21"/>
          <w:highlight w:val="none"/>
        </w:rPr>
        <w:t xml:space="preserve">                                      日期：</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年   月  日</w:t>
      </w:r>
    </w:p>
    <w:p>
      <w:pPr>
        <w:tabs>
          <w:tab w:val="left" w:pos="7480"/>
        </w:tabs>
        <w:autoSpaceDE w:val="0"/>
        <w:autoSpaceDN w:val="0"/>
        <w:adjustRightInd w:val="0"/>
        <w:spacing w:line="360" w:lineRule="exact"/>
        <w:rPr>
          <w:rFonts w:ascii="黑体" w:eastAsia="黑体"/>
          <w:color w:val="auto"/>
          <w:sz w:val="22"/>
          <w:szCs w:val="22"/>
          <w:highlight w:val="none"/>
        </w:rPr>
      </w:pPr>
    </w:p>
    <w:p>
      <w:pPr>
        <w:rPr>
          <w:rStyle w:val="85"/>
          <w:rFonts w:hint="eastAsia"/>
          <w:color w:val="auto"/>
          <w:sz w:val="22"/>
          <w:szCs w:val="22"/>
          <w:highlight w:val="none"/>
          <w:lang w:val="en-US" w:eastAsia="zh-CN"/>
        </w:rPr>
      </w:pPr>
      <w:r>
        <w:rPr>
          <w:rStyle w:val="85"/>
          <w:rFonts w:hint="eastAsia"/>
          <w:color w:val="auto"/>
          <w:sz w:val="22"/>
          <w:szCs w:val="2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ascii="宋体" w:hAnsi="宋体" w:cs="宋体"/>
          <w:b/>
          <w:color w:val="auto"/>
          <w:highlight w:val="none"/>
        </w:rPr>
      </w:pPr>
      <w:r>
        <w:rPr>
          <w:rStyle w:val="85"/>
          <w:rFonts w:hint="eastAsia"/>
          <w:color w:val="auto"/>
          <w:highlight w:val="none"/>
          <w:lang w:val="en-US" w:eastAsia="zh-CN"/>
        </w:rPr>
        <w:t>投标承诺函</w:t>
      </w:r>
    </w:p>
    <w:p>
      <w:pPr>
        <w:pStyle w:val="81"/>
        <w:spacing w:line="336" w:lineRule="auto"/>
        <w:ind w:right="84" w:rightChars="40"/>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（采购单位名称）：</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bookmarkStart w:id="28" w:name="xmmc"/>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w:t>
      </w:r>
      <w:bookmarkEnd w:id="28"/>
      <w:r>
        <w:rPr>
          <w:rFonts w:hint="eastAsia" w:ascii="宋体" w:hAnsi="宋体" w:eastAsia="宋体" w:cs="宋体"/>
          <w:color w:val="auto"/>
          <w:sz w:val="21"/>
          <w:szCs w:val="21"/>
          <w:highlight w:val="none"/>
        </w:rPr>
        <w:t>（采购编号：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标项</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）的采购文件，已完全理解采购文件的所有内容。决定投标本项目，据此我方承诺如下：</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1、我方的投标文件在投标截止日后90天（日历天）内保持有效，如中标，有效期将延至本项目执行期满日为止。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2、我方在参与投标前已仔细研究了采购文件和所有相关资料，我方完全明白并认为此采购文件没有倾向性，也没有存在排斥潜在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的内容，我方同意采购文件的相关条款，放弃对采购文件提出误解和质疑的一切权利。</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3、我方声明投标文件及所提供的一切资料均真实无误及有效。由于我方提供资料不实而造成的责任和后果由我方承担。我方同意按照贵方可能提出的要求，提供与投标有关的任何其它数据或信息。</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4、我方如果中标，保证履行投标文件中承诺的全部责任和义务，采购合同中的全部条款。</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5、我方理解贵方不一定接受最低报价的投标。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6、我方同意如在本项目开标后、投标有效期之内撤销投标文件，或中标后未在规定期限内签订合同并送贵方备案的，贵方将不退还投标保证金（如有）。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ind w:firstLine="6160" w:firstLineChars="28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ascii="宋体" w:hAnsi="宋体" w:cs="宋体"/>
          <w:b/>
          <w:color w:val="auto"/>
          <w:highlight w:val="none"/>
        </w:rPr>
      </w:pPr>
      <w:r>
        <w:rPr>
          <w:rFonts w:hint="eastAsia" w:hAnsi="宋体" w:cs="宋体"/>
          <w:color w:val="auto"/>
          <w:sz w:val="22"/>
          <w:szCs w:val="22"/>
          <w:highlight w:val="none"/>
        </w:rPr>
        <w:br w:type="page"/>
      </w:r>
      <w:r>
        <w:rPr>
          <w:rStyle w:val="85"/>
          <w:rFonts w:hint="eastAsia"/>
          <w:color w:val="auto"/>
          <w:highlight w:val="none"/>
          <w:lang w:val="en-US" w:eastAsia="zh-CN"/>
        </w:rPr>
        <w:t>符合性自查表</w:t>
      </w:r>
    </w:p>
    <w:p>
      <w:pPr>
        <w:jc w:val="center"/>
        <w:rPr>
          <w:rFonts w:ascii="宋体" w:hAnsi="宋体" w:cs="宋体"/>
          <w:b/>
          <w:color w:val="auto"/>
          <w:highlight w:val="none"/>
        </w:rPr>
      </w:pPr>
    </w:p>
    <w:tbl>
      <w:tblPr>
        <w:tblStyle w:val="37"/>
        <w:tblW w:w="865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0" w:type="dxa"/>
          <w:left w:w="150" w:type="dxa"/>
          <w:bottom w:w="150" w:type="dxa"/>
          <w:right w:w="150" w:type="dxa"/>
        </w:tblCellMar>
      </w:tblPr>
      <w:tblGrid>
        <w:gridCol w:w="1289"/>
        <w:gridCol w:w="4391"/>
        <w:gridCol w:w="1427"/>
        <w:gridCol w:w="15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547" w:hRule="atLeast"/>
          <w:jc w:val="center"/>
        </w:trPr>
        <w:tc>
          <w:tcPr>
            <w:tcW w:w="1289" w:type="dxa"/>
            <w:tcBorders>
              <w:tl2br w:val="nil"/>
              <w:tr2bl w:val="nil"/>
            </w:tcBorders>
            <w:vAlign w:val="center"/>
          </w:tcPr>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评审内容</w:t>
            </w:r>
          </w:p>
        </w:tc>
        <w:tc>
          <w:tcPr>
            <w:tcW w:w="4391" w:type="dxa"/>
            <w:tcBorders>
              <w:tl2br w:val="nil"/>
              <w:tr2bl w:val="nil"/>
            </w:tcBorders>
            <w:vAlign w:val="center"/>
          </w:tcPr>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采购文件要求</w:t>
            </w:r>
          </w:p>
        </w:tc>
        <w:tc>
          <w:tcPr>
            <w:tcW w:w="1427" w:type="dxa"/>
            <w:tcBorders>
              <w:tl2br w:val="nil"/>
              <w:tr2bl w:val="nil"/>
            </w:tcBorders>
            <w:vAlign w:val="center"/>
          </w:tcPr>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自查结论</w:t>
            </w:r>
          </w:p>
        </w:tc>
        <w:tc>
          <w:tcPr>
            <w:tcW w:w="1548" w:type="dxa"/>
            <w:tcBorders>
              <w:tl2br w:val="nil"/>
              <w:tr2bl w:val="nil"/>
            </w:tcBorders>
            <w:vAlign w:val="center"/>
          </w:tcPr>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260" w:hRule="atLeast"/>
          <w:jc w:val="center"/>
        </w:trPr>
        <w:tc>
          <w:tcPr>
            <w:tcW w:w="1289" w:type="dxa"/>
            <w:vMerge w:val="restart"/>
            <w:tcBorders>
              <w:tl2br w:val="nil"/>
              <w:tr2bl w:val="nil"/>
            </w:tcBorders>
            <w:vAlign w:val="center"/>
          </w:tcPr>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符</w:t>
            </w:r>
          </w:p>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合</w:t>
            </w:r>
          </w:p>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性</w:t>
            </w:r>
          </w:p>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审</w:t>
            </w:r>
          </w:p>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查</w:t>
            </w:r>
          </w:p>
        </w:tc>
        <w:tc>
          <w:tcPr>
            <w:tcW w:w="4391"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承诺函</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□不通过</w:t>
            </w:r>
          </w:p>
        </w:tc>
        <w:tc>
          <w:tcPr>
            <w:tcW w:w="1548" w:type="dxa"/>
            <w:tcBorders>
              <w:tl2br w:val="nil"/>
              <w:tr2bl w:val="nil"/>
            </w:tcBorders>
            <w:vAlign w:val="center"/>
          </w:tcPr>
          <w:p>
            <w:pPr>
              <w:spacing w:line="240" w:lineRule="exact"/>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543" w:hRule="atLeast"/>
          <w:jc w:val="center"/>
        </w:trPr>
        <w:tc>
          <w:tcPr>
            <w:tcW w:w="1289" w:type="dxa"/>
            <w:vMerge w:val="continue"/>
            <w:tcBorders>
              <w:tl2br w:val="nil"/>
              <w:tr2bl w:val="nil"/>
            </w:tcBorders>
            <w:vAlign w:val="center"/>
          </w:tcPr>
          <w:p>
            <w:pPr>
              <w:spacing w:line="240" w:lineRule="exact"/>
              <w:rPr>
                <w:rFonts w:ascii="宋体" w:hAnsi="宋体" w:cs="宋体"/>
                <w:color w:val="auto"/>
                <w:sz w:val="21"/>
                <w:szCs w:val="21"/>
                <w:highlight w:val="none"/>
              </w:rPr>
            </w:pPr>
          </w:p>
        </w:tc>
        <w:tc>
          <w:tcPr>
            <w:tcW w:w="4391"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2、投标文件完全满足采购文件的实质性条款（即标注▲号条款）无负偏离的；</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□不通过</w:t>
            </w:r>
          </w:p>
        </w:tc>
        <w:tc>
          <w:tcPr>
            <w:tcW w:w="1548" w:type="dxa"/>
            <w:tcBorders>
              <w:tl2br w:val="nil"/>
              <w:tr2bl w:val="nil"/>
            </w:tcBorders>
            <w:vAlign w:val="center"/>
          </w:tcPr>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669" w:hRule="atLeast"/>
          <w:jc w:val="center"/>
        </w:trPr>
        <w:tc>
          <w:tcPr>
            <w:tcW w:w="1289" w:type="dxa"/>
            <w:vMerge w:val="continue"/>
            <w:tcBorders>
              <w:tl2br w:val="nil"/>
              <w:tr2bl w:val="nil"/>
            </w:tcBorders>
            <w:vAlign w:val="center"/>
          </w:tcPr>
          <w:p>
            <w:pPr>
              <w:spacing w:line="240" w:lineRule="exact"/>
              <w:rPr>
                <w:rFonts w:ascii="宋体" w:hAnsi="宋体" w:cs="宋体"/>
                <w:color w:val="auto"/>
                <w:sz w:val="21"/>
                <w:szCs w:val="21"/>
                <w:highlight w:val="none"/>
              </w:rPr>
            </w:pPr>
          </w:p>
        </w:tc>
        <w:tc>
          <w:tcPr>
            <w:tcW w:w="4391"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3、法定代表人证明书/法定代表人授权委托书。</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□不通过</w:t>
            </w:r>
          </w:p>
        </w:tc>
        <w:tc>
          <w:tcPr>
            <w:tcW w:w="1548" w:type="dxa"/>
            <w:tcBorders>
              <w:tl2br w:val="nil"/>
              <w:tr2bl w:val="nil"/>
            </w:tcBorders>
            <w:vAlign w:val="center"/>
          </w:tcPr>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382" w:hRule="atLeast"/>
          <w:jc w:val="center"/>
        </w:trPr>
        <w:tc>
          <w:tcPr>
            <w:tcW w:w="1289" w:type="dxa"/>
            <w:vMerge w:val="continue"/>
            <w:tcBorders>
              <w:tl2br w:val="nil"/>
              <w:tr2bl w:val="nil"/>
            </w:tcBorders>
            <w:vAlign w:val="center"/>
          </w:tcPr>
          <w:p>
            <w:pPr>
              <w:spacing w:line="240" w:lineRule="exact"/>
              <w:rPr>
                <w:rFonts w:ascii="宋体" w:hAnsi="宋体" w:cs="宋体"/>
                <w:color w:val="auto"/>
                <w:sz w:val="21"/>
                <w:szCs w:val="21"/>
                <w:highlight w:val="none"/>
              </w:rPr>
            </w:pPr>
          </w:p>
        </w:tc>
        <w:tc>
          <w:tcPr>
            <w:tcW w:w="4391"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4.没有其他未实质性投标文件要求的。</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□不通过</w:t>
            </w:r>
          </w:p>
        </w:tc>
        <w:tc>
          <w:tcPr>
            <w:tcW w:w="1548" w:type="dxa"/>
            <w:tcBorders>
              <w:tl2br w:val="nil"/>
              <w:tr2bl w:val="nil"/>
            </w:tcBorders>
            <w:vAlign w:val="center"/>
          </w:tcPr>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382" w:hRule="atLeast"/>
          <w:jc w:val="center"/>
        </w:trPr>
        <w:tc>
          <w:tcPr>
            <w:tcW w:w="1289" w:type="dxa"/>
            <w:vMerge w:val="continue"/>
            <w:tcBorders>
              <w:tl2br w:val="nil"/>
              <w:tr2bl w:val="nil"/>
            </w:tcBorders>
            <w:vAlign w:val="center"/>
          </w:tcPr>
          <w:p>
            <w:pPr>
              <w:spacing w:line="240" w:lineRule="exact"/>
              <w:rPr>
                <w:rFonts w:ascii="宋体" w:hAnsi="宋体" w:cs="宋体"/>
                <w:color w:val="auto"/>
                <w:sz w:val="21"/>
                <w:szCs w:val="21"/>
                <w:highlight w:val="none"/>
              </w:rPr>
            </w:pPr>
          </w:p>
        </w:tc>
        <w:tc>
          <w:tcPr>
            <w:tcW w:w="4391"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5.投标文件没有采购文件中规定的其它无效投标条款的；</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□不通过</w:t>
            </w:r>
          </w:p>
        </w:tc>
        <w:tc>
          <w:tcPr>
            <w:tcW w:w="1548" w:type="dxa"/>
            <w:tcBorders>
              <w:tl2br w:val="nil"/>
              <w:tr2bl w:val="nil"/>
            </w:tcBorders>
            <w:vAlign w:val="center"/>
          </w:tcPr>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382" w:hRule="atLeast"/>
          <w:jc w:val="center"/>
        </w:trPr>
        <w:tc>
          <w:tcPr>
            <w:tcW w:w="1289" w:type="dxa"/>
            <w:vMerge w:val="continue"/>
            <w:tcBorders>
              <w:tl2br w:val="nil"/>
              <w:tr2bl w:val="nil"/>
            </w:tcBorders>
            <w:vAlign w:val="center"/>
          </w:tcPr>
          <w:p>
            <w:pPr>
              <w:spacing w:line="240" w:lineRule="exact"/>
              <w:rPr>
                <w:rFonts w:ascii="宋体" w:hAnsi="宋体" w:cs="宋体"/>
                <w:color w:val="auto"/>
                <w:sz w:val="21"/>
                <w:szCs w:val="21"/>
                <w:highlight w:val="none"/>
              </w:rPr>
            </w:pPr>
          </w:p>
        </w:tc>
        <w:tc>
          <w:tcPr>
            <w:tcW w:w="4391"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6、按有关法律、法规、规章不属于投标无效的。</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□不通过</w:t>
            </w:r>
          </w:p>
        </w:tc>
        <w:tc>
          <w:tcPr>
            <w:tcW w:w="1548" w:type="dxa"/>
            <w:tcBorders>
              <w:tl2br w:val="nil"/>
              <w:tr2bl w:val="nil"/>
            </w:tcBorders>
            <w:vAlign w:val="center"/>
          </w:tcPr>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第（ ）页</w:t>
            </w:r>
          </w:p>
        </w:tc>
      </w:tr>
    </w:tbl>
    <w:p>
      <w:pPr>
        <w:pStyle w:val="11"/>
        <w:widowControl/>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备注：</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自查表将作为投标</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有效性审查的重要内容之一，投标</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必须严格按照其内容及序列要求在投标文件中对应如实提供，对资格性证明文件的任何缺漏和不符合项将会直接导致投标无效！</w:t>
      </w:r>
    </w:p>
    <w:p>
      <w:pP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pPr>
        <w:pStyle w:val="5"/>
        <w:bidi w:val="0"/>
        <w:jc w:val="center"/>
        <w:rPr>
          <w:rFonts w:ascii="宋体" w:hAnsi="宋体" w:cs="宋体"/>
          <w:color w:val="auto"/>
          <w:highlight w:val="none"/>
        </w:rPr>
      </w:pPr>
      <w:r>
        <w:rPr>
          <w:rFonts w:hint="eastAsia"/>
          <w:color w:val="auto"/>
          <w:highlight w:val="none"/>
          <w:lang w:eastAsia="zh-CN"/>
        </w:rPr>
        <w:t>供应商</w:t>
      </w:r>
      <w:r>
        <w:rPr>
          <w:rFonts w:hint="eastAsia"/>
          <w:color w:val="auto"/>
          <w:highlight w:val="none"/>
        </w:rPr>
        <w:t>响应表</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采购编号：                                    </w:t>
      </w:r>
    </w:p>
    <w:tbl>
      <w:tblPr>
        <w:tblStyle w:val="37"/>
        <w:tblW w:w="9239" w:type="dxa"/>
        <w:jc w:val="center"/>
        <w:tblLayout w:type="fixed"/>
        <w:tblCellMar>
          <w:top w:w="0" w:type="dxa"/>
          <w:left w:w="108" w:type="dxa"/>
          <w:bottom w:w="0" w:type="dxa"/>
          <w:right w:w="108" w:type="dxa"/>
        </w:tblCellMar>
      </w:tblPr>
      <w:tblGrid>
        <w:gridCol w:w="892"/>
        <w:gridCol w:w="5030"/>
        <w:gridCol w:w="2068"/>
        <w:gridCol w:w="1249"/>
      </w:tblGrid>
      <w:tr>
        <w:tblPrEx>
          <w:tblCellMar>
            <w:top w:w="0" w:type="dxa"/>
            <w:left w:w="108" w:type="dxa"/>
            <w:bottom w:w="0" w:type="dxa"/>
            <w:right w:w="108" w:type="dxa"/>
          </w:tblCellMar>
        </w:tblPrEx>
        <w:trPr>
          <w:trHeight w:val="61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0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证明文件</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自评得分</w:t>
            </w:r>
          </w:p>
        </w:tc>
      </w:tr>
      <w:tr>
        <w:tblPrEx>
          <w:tblCellMar>
            <w:top w:w="0" w:type="dxa"/>
            <w:left w:w="108" w:type="dxa"/>
            <w:bottom w:w="0" w:type="dxa"/>
            <w:right w:w="108" w:type="dxa"/>
          </w:tblCellMar>
        </w:tblPrEx>
        <w:trPr>
          <w:trHeight w:val="607" w:hRule="atLeast"/>
          <w:jc w:val="center"/>
        </w:trPr>
        <w:tc>
          <w:tcPr>
            <w:tcW w:w="892"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28" w:hRule="atLeast"/>
          <w:jc w:val="center"/>
        </w:trPr>
        <w:tc>
          <w:tcPr>
            <w:tcW w:w="892"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34" w:hRule="atLeast"/>
          <w:jc w:val="center"/>
        </w:trPr>
        <w:tc>
          <w:tcPr>
            <w:tcW w:w="892"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45" w:hRule="atLeast"/>
          <w:jc w:val="center"/>
        </w:trPr>
        <w:tc>
          <w:tcPr>
            <w:tcW w:w="892"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21"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23"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76"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bl>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根据评分标准逐条填写。</w:t>
      </w:r>
    </w:p>
    <w:p>
      <w:pPr>
        <w:rPr>
          <w:rFonts w:hint="eastAsia" w:ascii="宋体" w:hAnsi="宋体" w:eastAsia="宋体" w:cs="宋体"/>
          <w:color w:val="auto"/>
          <w:sz w:val="21"/>
          <w:szCs w:val="21"/>
          <w:highlight w:val="non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2"/>
        <w:rPr>
          <w:rFonts w:ascii="宋体" w:hAnsi="宋体" w:cs="宋体"/>
          <w:b/>
          <w:bCs/>
          <w:color w:val="auto"/>
          <w:sz w:val="32"/>
          <w:szCs w:val="32"/>
          <w:highlight w:val="none"/>
        </w:rPr>
      </w:pPr>
      <w:r>
        <w:rPr>
          <w:rFonts w:hint="eastAsia" w:hAnsi="宋体" w:cs="宋体"/>
          <w:b/>
          <w:color w:val="auto"/>
          <w:sz w:val="32"/>
          <w:szCs w:val="32"/>
          <w:highlight w:val="none"/>
        </w:rPr>
        <w:br w:type="page"/>
      </w:r>
      <w:r>
        <w:rPr>
          <w:rStyle w:val="85"/>
          <w:rFonts w:hint="eastAsia"/>
          <w:color w:val="auto"/>
          <w:highlight w:val="none"/>
        </w:rPr>
        <w:t>商务条款偏离表</w:t>
      </w:r>
    </w:p>
    <w:p>
      <w:pPr>
        <w:snapToGrid w:val="0"/>
        <w:spacing w:before="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项目名称：                      </w:t>
      </w:r>
    </w:p>
    <w:tbl>
      <w:tblPr>
        <w:tblStyle w:val="3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152"/>
        <w:gridCol w:w="2448"/>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6"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4152"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采购文件的商务条款</w:t>
            </w:r>
          </w:p>
        </w:tc>
        <w:tc>
          <w:tcPr>
            <w:tcW w:w="2448"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投标文件的响应情况</w:t>
            </w:r>
          </w:p>
        </w:tc>
        <w:tc>
          <w:tcPr>
            <w:tcW w:w="1872"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rFonts w:hint="eastAsia" w:ascii="宋体" w:hAnsi="宋体" w:eastAsia="宋体" w:cs="宋体"/>
                <w:color w:val="auto"/>
                <w:sz w:val="21"/>
                <w:szCs w:val="21"/>
                <w:highlight w:val="none"/>
              </w:rPr>
            </w:pPr>
          </w:p>
        </w:tc>
        <w:tc>
          <w:tcPr>
            <w:tcW w:w="4152" w:type="dxa"/>
            <w:vAlign w:val="center"/>
          </w:tcPr>
          <w:p>
            <w:pPr>
              <w:spacing w:line="360" w:lineRule="auto"/>
              <w:rPr>
                <w:rFonts w:hint="eastAsia" w:ascii="宋体" w:hAnsi="宋体" w:eastAsia="宋体" w:cs="宋体"/>
                <w:b/>
                <w:bCs/>
                <w:color w:val="auto"/>
                <w:sz w:val="21"/>
                <w:szCs w:val="21"/>
                <w:highlight w:val="none"/>
              </w:rPr>
            </w:pPr>
          </w:p>
        </w:tc>
        <w:tc>
          <w:tcPr>
            <w:tcW w:w="2448" w:type="dxa"/>
            <w:vAlign w:val="center"/>
          </w:tcPr>
          <w:p>
            <w:pPr>
              <w:spacing w:line="360" w:lineRule="auto"/>
              <w:jc w:val="center"/>
              <w:rPr>
                <w:rFonts w:hint="eastAsia" w:ascii="宋体" w:hAnsi="宋体" w:eastAsia="宋体" w:cs="宋体"/>
                <w:color w:val="auto"/>
                <w:sz w:val="21"/>
                <w:szCs w:val="21"/>
                <w:highlight w:val="none"/>
              </w:rPr>
            </w:pPr>
          </w:p>
        </w:tc>
        <w:tc>
          <w:tcPr>
            <w:tcW w:w="187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rFonts w:hint="eastAsia" w:ascii="宋体" w:hAnsi="宋体" w:eastAsia="宋体" w:cs="宋体"/>
                <w:color w:val="auto"/>
                <w:sz w:val="21"/>
                <w:szCs w:val="21"/>
                <w:highlight w:val="none"/>
              </w:rPr>
            </w:pPr>
          </w:p>
        </w:tc>
        <w:tc>
          <w:tcPr>
            <w:tcW w:w="4152" w:type="dxa"/>
            <w:vAlign w:val="center"/>
          </w:tcPr>
          <w:p>
            <w:pPr>
              <w:spacing w:line="360" w:lineRule="auto"/>
              <w:rPr>
                <w:rFonts w:hint="eastAsia" w:ascii="宋体" w:hAnsi="宋体" w:eastAsia="宋体" w:cs="宋体"/>
                <w:b/>
                <w:bCs/>
                <w:color w:val="auto"/>
                <w:sz w:val="21"/>
                <w:szCs w:val="21"/>
                <w:highlight w:val="none"/>
              </w:rPr>
            </w:pPr>
          </w:p>
        </w:tc>
        <w:tc>
          <w:tcPr>
            <w:tcW w:w="2448" w:type="dxa"/>
            <w:vAlign w:val="center"/>
          </w:tcPr>
          <w:p>
            <w:pPr>
              <w:spacing w:line="360" w:lineRule="auto"/>
              <w:jc w:val="center"/>
              <w:rPr>
                <w:rFonts w:hint="eastAsia" w:ascii="宋体" w:hAnsi="宋体" w:eastAsia="宋体" w:cs="宋体"/>
                <w:color w:val="auto"/>
                <w:sz w:val="21"/>
                <w:szCs w:val="21"/>
                <w:highlight w:val="none"/>
              </w:rPr>
            </w:pPr>
          </w:p>
        </w:tc>
        <w:tc>
          <w:tcPr>
            <w:tcW w:w="187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rFonts w:hint="eastAsia" w:ascii="宋体" w:hAnsi="宋体" w:eastAsia="宋体" w:cs="宋体"/>
                <w:color w:val="auto"/>
                <w:sz w:val="21"/>
                <w:szCs w:val="21"/>
                <w:highlight w:val="none"/>
              </w:rPr>
            </w:pPr>
          </w:p>
        </w:tc>
        <w:tc>
          <w:tcPr>
            <w:tcW w:w="4152" w:type="dxa"/>
            <w:vAlign w:val="center"/>
          </w:tcPr>
          <w:p>
            <w:pPr>
              <w:spacing w:line="360" w:lineRule="auto"/>
              <w:rPr>
                <w:rFonts w:hint="eastAsia" w:ascii="宋体" w:hAnsi="宋体" w:eastAsia="宋体" w:cs="宋体"/>
                <w:b/>
                <w:bCs/>
                <w:color w:val="auto"/>
                <w:sz w:val="21"/>
                <w:szCs w:val="21"/>
                <w:highlight w:val="none"/>
              </w:rPr>
            </w:pPr>
          </w:p>
        </w:tc>
        <w:tc>
          <w:tcPr>
            <w:tcW w:w="2448" w:type="dxa"/>
            <w:vAlign w:val="center"/>
          </w:tcPr>
          <w:p>
            <w:pPr>
              <w:spacing w:line="360" w:lineRule="auto"/>
              <w:jc w:val="center"/>
              <w:rPr>
                <w:rFonts w:hint="eastAsia" w:ascii="宋体" w:hAnsi="宋体" w:eastAsia="宋体" w:cs="宋体"/>
                <w:color w:val="auto"/>
                <w:sz w:val="21"/>
                <w:szCs w:val="21"/>
                <w:highlight w:val="none"/>
              </w:rPr>
            </w:pPr>
          </w:p>
        </w:tc>
        <w:tc>
          <w:tcPr>
            <w:tcW w:w="187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rFonts w:hint="eastAsia" w:ascii="宋体" w:hAnsi="宋体" w:eastAsia="宋体" w:cs="宋体"/>
                <w:color w:val="auto"/>
                <w:sz w:val="21"/>
                <w:szCs w:val="21"/>
                <w:highlight w:val="none"/>
              </w:rPr>
            </w:pPr>
          </w:p>
        </w:tc>
        <w:tc>
          <w:tcPr>
            <w:tcW w:w="4152" w:type="dxa"/>
            <w:vAlign w:val="center"/>
          </w:tcPr>
          <w:p>
            <w:pPr>
              <w:spacing w:line="360" w:lineRule="auto"/>
              <w:rPr>
                <w:rFonts w:hint="eastAsia" w:ascii="宋体" w:hAnsi="宋体" w:eastAsia="宋体" w:cs="宋体"/>
                <w:b/>
                <w:bCs/>
                <w:color w:val="auto"/>
                <w:sz w:val="21"/>
                <w:szCs w:val="21"/>
                <w:highlight w:val="none"/>
              </w:rPr>
            </w:pPr>
          </w:p>
        </w:tc>
        <w:tc>
          <w:tcPr>
            <w:tcW w:w="2448" w:type="dxa"/>
            <w:vAlign w:val="center"/>
          </w:tcPr>
          <w:p>
            <w:pPr>
              <w:spacing w:line="360" w:lineRule="auto"/>
              <w:jc w:val="center"/>
              <w:rPr>
                <w:rFonts w:hint="eastAsia" w:ascii="宋体" w:hAnsi="宋体" w:eastAsia="宋体" w:cs="宋体"/>
                <w:color w:val="auto"/>
                <w:sz w:val="21"/>
                <w:szCs w:val="21"/>
                <w:highlight w:val="none"/>
              </w:rPr>
            </w:pPr>
          </w:p>
        </w:tc>
        <w:tc>
          <w:tcPr>
            <w:tcW w:w="187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rFonts w:hint="eastAsia" w:ascii="宋体" w:hAnsi="宋体" w:eastAsia="宋体" w:cs="宋体"/>
                <w:color w:val="auto"/>
                <w:sz w:val="21"/>
                <w:szCs w:val="21"/>
                <w:highlight w:val="none"/>
              </w:rPr>
            </w:pPr>
          </w:p>
        </w:tc>
        <w:tc>
          <w:tcPr>
            <w:tcW w:w="4152" w:type="dxa"/>
            <w:vAlign w:val="center"/>
          </w:tcPr>
          <w:p>
            <w:pPr>
              <w:spacing w:line="360" w:lineRule="auto"/>
              <w:rPr>
                <w:rFonts w:hint="eastAsia" w:ascii="宋体" w:hAnsi="宋体" w:eastAsia="宋体" w:cs="宋体"/>
                <w:color w:val="auto"/>
                <w:sz w:val="21"/>
                <w:szCs w:val="21"/>
                <w:highlight w:val="none"/>
              </w:rPr>
            </w:pPr>
          </w:p>
        </w:tc>
        <w:tc>
          <w:tcPr>
            <w:tcW w:w="2448" w:type="dxa"/>
            <w:vAlign w:val="center"/>
          </w:tcPr>
          <w:p>
            <w:pPr>
              <w:spacing w:line="360" w:lineRule="auto"/>
              <w:jc w:val="center"/>
              <w:rPr>
                <w:rFonts w:hint="eastAsia" w:ascii="宋体" w:hAnsi="宋体" w:eastAsia="宋体" w:cs="宋体"/>
                <w:color w:val="auto"/>
                <w:sz w:val="21"/>
                <w:szCs w:val="21"/>
                <w:highlight w:val="none"/>
              </w:rPr>
            </w:pPr>
          </w:p>
        </w:tc>
        <w:tc>
          <w:tcPr>
            <w:tcW w:w="187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rFonts w:hint="eastAsia" w:ascii="宋体" w:hAnsi="宋体" w:eastAsia="宋体" w:cs="宋体"/>
                <w:color w:val="auto"/>
                <w:sz w:val="21"/>
                <w:szCs w:val="21"/>
                <w:highlight w:val="none"/>
              </w:rPr>
            </w:pPr>
          </w:p>
        </w:tc>
        <w:tc>
          <w:tcPr>
            <w:tcW w:w="4152" w:type="dxa"/>
            <w:vAlign w:val="center"/>
          </w:tcPr>
          <w:p>
            <w:pPr>
              <w:spacing w:line="360" w:lineRule="auto"/>
              <w:rPr>
                <w:rFonts w:hint="eastAsia" w:ascii="宋体" w:hAnsi="宋体" w:eastAsia="宋体" w:cs="宋体"/>
                <w:color w:val="auto"/>
                <w:sz w:val="21"/>
                <w:szCs w:val="21"/>
                <w:highlight w:val="none"/>
              </w:rPr>
            </w:pPr>
          </w:p>
        </w:tc>
        <w:tc>
          <w:tcPr>
            <w:tcW w:w="2448" w:type="dxa"/>
            <w:vAlign w:val="center"/>
          </w:tcPr>
          <w:p>
            <w:pPr>
              <w:spacing w:line="360" w:lineRule="auto"/>
              <w:jc w:val="center"/>
              <w:rPr>
                <w:rFonts w:hint="eastAsia" w:ascii="宋体" w:hAnsi="宋体" w:eastAsia="宋体" w:cs="宋体"/>
                <w:color w:val="auto"/>
                <w:sz w:val="21"/>
                <w:szCs w:val="21"/>
                <w:highlight w:val="none"/>
              </w:rPr>
            </w:pPr>
          </w:p>
        </w:tc>
        <w:tc>
          <w:tcPr>
            <w:tcW w:w="187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rFonts w:hint="eastAsia" w:ascii="宋体" w:hAnsi="宋体" w:eastAsia="宋体" w:cs="宋体"/>
                <w:color w:val="auto"/>
                <w:sz w:val="21"/>
                <w:szCs w:val="21"/>
                <w:highlight w:val="none"/>
              </w:rPr>
            </w:pPr>
          </w:p>
        </w:tc>
        <w:tc>
          <w:tcPr>
            <w:tcW w:w="4152" w:type="dxa"/>
            <w:vAlign w:val="center"/>
          </w:tcPr>
          <w:p>
            <w:pPr>
              <w:spacing w:line="360" w:lineRule="auto"/>
              <w:rPr>
                <w:rFonts w:hint="eastAsia" w:ascii="宋体" w:hAnsi="宋体" w:eastAsia="宋体" w:cs="宋体"/>
                <w:color w:val="auto"/>
                <w:sz w:val="21"/>
                <w:szCs w:val="21"/>
                <w:highlight w:val="none"/>
              </w:rPr>
            </w:pPr>
          </w:p>
        </w:tc>
        <w:tc>
          <w:tcPr>
            <w:tcW w:w="2448" w:type="dxa"/>
            <w:vAlign w:val="center"/>
          </w:tcPr>
          <w:p>
            <w:pPr>
              <w:spacing w:line="360" w:lineRule="auto"/>
              <w:jc w:val="center"/>
              <w:rPr>
                <w:rFonts w:hint="eastAsia" w:ascii="宋体" w:hAnsi="宋体" w:eastAsia="宋体" w:cs="宋体"/>
                <w:color w:val="auto"/>
                <w:sz w:val="21"/>
                <w:szCs w:val="21"/>
                <w:highlight w:val="none"/>
              </w:rPr>
            </w:pPr>
          </w:p>
        </w:tc>
        <w:tc>
          <w:tcPr>
            <w:tcW w:w="187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rFonts w:hint="eastAsia" w:ascii="宋体" w:hAnsi="宋体" w:eastAsia="宋体" w:cs="宋体"/>
                <w:color w:val="auto"/>
                <w:sz w:val="21"/>
                <w:szCs w:val="21"/>
                <w:highlight w:val="none"/>
              </w:rPr>
            </w:pPr>
          </w:p>
        </w:tc>
        <w:tc>
          <w:tcPr>
            <w:tcW w:w="4152" w:type="dxa"/>
            <w:vAlign w:val="center"/>
          </w:tcPr>
          <w:p>
            <w:pPr>
              <w:spacing w:line="360" w:lineRule="auto"/>
              <w:rPr>
                <w:rFonts w:hint="eastAsia" w:ascii="宋体" w:hAnsi="宋体" w:eastAsia="宋体" w:cs="宋体"/>
                <w:color w:val="auto"/>
                <w:sz w:val="21"/>
                <w:szCs w:val="21"/>
                <w:highlight w:val="none"/>
              </w:rPr>
            </w:pPr>
          </w:p>
        </w:tc>
        <w:tc>
          <w:tcPr>
            <w:tcW w:w="2448" w:type="dxa"/>
            <w:vAlign w:val="center"/>
          </w:tcPr>
          <w:p>
            <w:pPr>
              <w:spacing w:line="360" w:lineRule="auto"/>
              <w:jc w:val="center"/>
              <w:rPr>
                <w:rFonts w:hint="eastAsia" w:ascii="宋体" w:hAnsi="宋体" w:eastAsia="宋体" w:cs="宋体"/>
                <w:color w:val="auto"/>
                <w:sz w:val="21"/>
                <w:szCs w:val="21"/>
                <w:highlight w:val="none"/>
              </w:rPr>
            </w:pPr>
          </w:p>
        </w:tc>
        <w:tc>
          <w:tcPr>
            <w:tcW w:w="187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rFonts w:hint="eastAsia" w:ascii="宋体" w:hAnsi="宋体" w:eastAsia="宋体" w:cs="宋体"/>
                <w:color w:val="auto"/>
                <w:sz w:val="21"/>
                <w:szCs w:val="21"/>
                <w:highlight w:val="none"/>
              </w:rPr>
            </w:pPr>
          </w:p>
        </w:tc>
        <w:tc>
          <w:tcPr>
            <w:tcW w:w="4152" w:type="dxa"/>
            <w:vAlign w:val="center"/>
          </w:tcPr>
          <w:p>
            <w:pPr>
              <w:spacing w:line="360" w:lineRule="auto"/>
              <w:rPr>
                <w:rFonts w:hint="eastAsia" w:ascii="宋体" w:hAnsi="宋体" w:eastAsia="宋体" w:cs="宋体"/>
                <w:color w:val="auto"/>
                <w:sz w:val="21"/>
                <w:szCs w:val="21"/>
                <w:highlight w:val="none"/>
              </w:rPr>
            </w:pPr>
          </w:p>
        </w:tc>
        <w:tc>
          <w:tcPr>
            <w:tcW w:w="2448" w:type="dxa"/>
            <w:vAlign w:val="center"/>
          </w:tcPr>
          <w:p>
            <w:pPr>
              <w:spacing w:line="360" w:lineRule="auto"/>
              <w:jc w:val="center"/>
              <w:rPr>
                <w:rFonts w:hint="eastAsia" w:ascii="宋体" w:hAnsi="宋体" w:eastAsia="宋体" w:cs="宋体"/>
                <w:color w:val="auto"/>
                <w:sz w:val="21"/>
                <w:szCs w:val="21"/>
                <w:highlight w:val="none"/>
              </w:rPr>
            </w:pPr>
          </w:p>
        </w:tc>
        <w:tc>
          <w:tcPr>
            <w:tcW w:w="187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rFonts w:hint="eastAsia" w:ascii="宋体" w:hAnsi="宋体" w:eastAsia="宋体" w:cs="宋体"/>
                <w:color w:val="auto"/>
                <w:sz w:val="21"/>
                <w:szCs w:val="21"/>
                <w:highlight w:val="none"/>
              </w:rPr>
            </w:pPr>
          </w:p>
        </w:tc>
        <w:tc>
          <w:tcPr>
            <w:tcW w:w="4152" w:type="dxa"/>
            <w:vAlign w:val="center"/>
          </w:tcPr>
          <w:p>
            <w:pPr>
              <w:spacing w:line="360" w:lineRule="auto"/>
              <w:rPr>
                <w:rFonts w:hint="eastAsia" w:ascii="宋体" w:hAnsi="宋体" w:eastAsia="宋体" w:cs="宋体"/>
                <w:color w:val="auto"/>
                <w:sz w:val="21"/>
                <w:szCs w:val="21"/>
                <w:highlight w:val="none"/>
              </w:rPr>
            </w:pPr>
          </w:p>
        </w:tc>
        <w:tc>
          <w:tcPr>
            <w:tcW w:w="2448" w:type="dxa"/>
            <w:vAlign w:val="center"/>
          </w:tcPr>
          <w:p>
            <w:pPr>
              <w:spacing w:line="360" w:lineRule="auto"/>
              <w:jc w:val="center"/>
              <w:rPr>
                <w:rFonts w:hint="eastAsia" w:ascii="宋体" w:hAnsi="宋体" w:eastAsia="宋体" w:cs="宋体"/>
                <w:color w:val="auto"/>
                <w:sz w:val="21"/>
                <w:szCs w:val="21"/>
                <w:highlight w:val="none"/>
              </w:rPr>
            </w:pPr>
          </w:p>
        </w:tc>
        <w:tc>
          <w:tcPr>
            <w:tcW w:w="187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rFonts w:hint="eastAsia" w:ascii="宋体" w:hAnsi="宋体" w:eastAsia="宋体" w:cs="宋体"/>
                <w:color w:val="auto"/>
                <w:sz w:val="21"/>
                <w:szCs w:val="21"/>
                <w:highlight w:val="none"/>
              </w:rPr>
            </w:pPr>
          </w:p>
        </w:tc>
        <w:tc>
          <w:tcPr>
            <w:tcW w:w="4152" w:type="dxa"/>
            <w:vAlign w:val="center"/>
          </w:tcPr>
          <w:p>
            <w:pPr>
              <w:spacing w:line="360" w:lineRule="auto"/>
              <w:rPr>
                <w:rFonts w:hint="eastAsia" w:ascii="宋体" w:hAnsi="宋体" w:eastAsia="宋体" w:cs="宋体"/>
                <w:color w:val="auto"/>
                <w:sz w:val="21"/>
                <w:szCs w:val="21"/>
                <w:highlight w:val="none"/>
              </w:rPr>
            </w:pPr>
          </w:p>
        </w:tc>
        <w:tc>
          <w:tcPr>
            <w:tcW w:w="2448" w:type="dxa"/>
            <w:vAlign w:val="center"/>
          </w:tcPr>
          <w:p>
            <w:pPr>
              <w:spacing w:line="360" w:lineRule="auto"/>
              <w:jc w:val="center"/>
              <w:rPr>
                <w:rFonts w:hint="eastAsia" w:ascii="宋体" w:hAnsi="宋体" w:eastAsia="宋体" w:cs="宋体"/>
                <w:color w:val="auto"/>
                <w:sz w:val="21"/>
                <w:szCs w:val="21"/>
                <w:highlight w:val="none"/>
              </w:rPr>
            </w:pPr>
          </w:p>
        </w:tc>
        <w:tc>
          <w:tcPr>
            <w:tcW w:w="187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rFonts w:hint="eastAsia" w:ascii="宋体" w:hAnsi="宋体" w:eastAsia="宋体" w:cs="宋体"/>
                <w:color w:val="auto"/>
                <w:sz w:val="21"/>
                <w:szCs w:val="21"/>
                <w:highlight w:val="none"/>
              </w:rPr>
            </w:pPr>
          </w:p>
        </w:tc>
        <w:tc>
          <w:tcPr>
            <w:tcW w:w="4152" w:type="dxa"/>
            <w:vAlign w:val="center"/>
          </w:tcPr>
          <w:p>
            <w:pPr>
              <w:spacing w:line="360" w:lineRule="auto"/>
              <w:rPr>
                <w:rFonts w:hint="eastAsia" w:ascii="宋体" w:hAnsi="宋体" w:eastAsia="宋体" w:cs="宋体"/>
                <w:color w:val="auto"/>
                <w:sz w:val="21"/>
                <w:szCs w:val="21"/>
                <w:highlight w:val="none"/>
              </w:rPr>
            </w:pPr>
          </w:p>
        </w:tc>
        <w:tc>
          <w:tcPr>
            <w:tcW w:w="2448" w:type="dxa"/>
            <w:vAlign w:val="center"/>
          </w:tcPr>
          <w:p>
            <w:pPr>
              <w:spacing w:line="360" w:lineRule="auto"/>
              <w:jc w:val="center"/>
              <w:rPr>
                <w:rFonts w:hint="eastAsia" w:ascii="宋体" w:hAnsi="宋体" w:eastAsia="宋体" w:cs="宋体"/>
                <w:color w:val="auto"/>
                <w:sz w:val="21"/>
                <w:szCs w:val="21"/>
                <w:highlight w:val="none"/>
              </w:rPr>
            </w:pPr>
          </w:p>
        </w:tc>
        <w:tc>
          <w:tcPr>
            <w:tcW w:w="187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rFonts w:hint="eastAsia" w:ascii="宋体" w:hAnsi="宋体" w:eastAsia="宋体" w:cs="宋体"/>
                <w:color w:val="auto"/>
                <w:sz w:val="21"/>
                <w:szCs w:val="21"/>
                <w:highlight w:val="none"/>
              </w:rPr>
            </w:pPr>
          </w:p>
        </w:tc>
        <w:tc>
          <w:tcPr>
            <w:tcW w:w="4152" w:type="dxa"/>
            <w:vAlign w:val="center"/>
          </w:tcPr>
          <w:p>
            <w:pPr>
              <w:spacing w:line="360" w:lineRule="auto"/>
              <w:rPr>
                <w:rFonts w:hint="eastAsia" w:ascii="宋体" w:hAnsi="宋体" w:eastAsia="宋体" w:cs="宋体"/>
                <w:color w:val="auto"/>
                <w:sz w:val="21"/>
                <w:szCs w:val="21"/>
                <w:highlight w:val="none"/>
              </w:rPr>
            </w:pPr>
          </w:p>
        </w:tc>
        <w:tc>
          <w:tcPr>
            <w:tcW w:w="2448" w:type="dxa"/>
            <w:vAlign w:val="center"/>
          </w:tcPr>
          <w:p>
            <w:pPr>
              <w:spacing w:line="360" w:lineRule="auto"/>
              <w:jc w:val="center"/>
              <w:rPr>
                <w:rFonts w:hint="eastAsia" w:ascii="宋体" w:hAnsi="宋体" w:eastAsia="宋体" w:cs="宋体"/>
                <w:color w:val="auto"/>
                <w:sz w:val="21"/>
                <w:szCs w:val="21"/>
                <w:highlight w:val="none"/>
              </w:rPr>
            </w:pPr>
          </w:p>
        </w:tc>
        <w:tc>
          <w:tcPr>
            <w:tcW w:w="187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rFonts w:hint="eastAsia" w:ascii="宋体" w:hAnsi="宋体" w:eastAsia="宋体" w:cs="宋体"/>
                <w:color w:val="auto"/>
                <w:sz w:val="21"/>
                <w:szCs w:val="21"/>
                <w:highlight w:val="none"/>
              </w:rPr>
            </w:pPr>
          </w:p>
        </w:tc>
        <w:tc>
          <w:tcPr>
            <w:tcW w:w="4152" w:type="dxa"/>
            <w:vAlign w:val="center"/>
          </w:tcPr>
          <w:p>
            <w:pPr>
              <w:spacing w:line="360" w:lineRule="auto"/>
              <w:rPr>
                <w:rFonts w:hint="eastAsia" w:ascii="宋体" w:hAnsi="宋体" w:eastAsia="宋体" w:cs="宋体"/>
                <w:color w:val="auto"/>
                <w:sz w:val="21"/>
                <w:szCs w:val="21"/>
                <w:highlight w:val="none"/>
              </w:rPr>
            </w:pPr>
          </w:p>
        </w:tc>
        <w:tc>
          <w:tcPr>
            <w:tcW w:w="2448" w:type="dxa"/>
            <w:vAlign w:val="center"/>
          </w:tcPr>
          <w:p>
            <w:pPr>
              <w:spacing w:line="360" w:lineRule="auto"/>
              <w:jc w:val="center"/>
              <w:rPr>
                <w:rFonts w:hint="eastAsia" w:ascii="宋体" w:hAnsi="宋体" w:eastAsia="宋体" w:cs="宋体"/>
                <w:color w:val="auto"/>
                <w:sz w:val="21"/>
                <w:szCs w:val="21"/>
                <w:highlight w:val="none"/>
              </w:rPr>
            </w:pPr>
          </w:p>
        </w:tc>
        <w:tc>
          <w:tcPr>
            <w:tcW w:w="1872" w:type="dxa"/>
            <w:vAlign w:val="center"/>
          </w:tcPr>
          <w:p>
            <w:pPr>
              <w:spacing w:line="360" w:lineRule="auto"/>
              <w:jc w:val="center"/>
              <w:rPr>
                <w:rFonts w:hint="eastAsia" w:ascii="宋体" w:hAnsi="宋体" w:eastAsia="宋体" w:cs="宋体"/>
                <w:color w:val="auto"/>
                <w:sz w:val="21"/>
                <w:szCs w:val="21"/>
                <w:highlight w:val="none"/>
              </w:rPr>
            </w:pPr>
          </w:p>
        </w:tc>
      </w:tr>
    </w:tbl>
    <w:p>
      <w:pPr>
        <w:snapToGrid w:val="0"/>
        <w:spacing w:before="50"/>
        <w:rPr>
          <w:rFonts w:hint="eastAsia" w:ascii="宋体" w:hAnsi="宋体" w:eastAsia="宋体" w:cs="宋体"/>
          <w:color w:val="auto"/>
          <w:sz w:val="21"/>
          <w:szCs w:val="21"/>
          <w:highlight w:val="non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pStyle w:val="11"/>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2"/>
          <w:szCs w:val="22"/>
          <w:highlight w:val="none"/>
          <w:u w:val="single"/>
        </w:rPr>
      </w:pPr>
    </w:p>
    <w:p>
      <w:pP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br w:type="page"/>
      </w:r>
    </w:p>
    <w:p>
      <w:pPr>
        <w:pStyle w:val="5"/>
        <w:bidi w:val="0"/>
        <w:jc w:val="center"/>
        <w:rPr>
          <w:rFonts w:hint="eastAsia"/>
          <w:color w:val="auto"/>
          <w:highlight w:val="none"/>
        </w:rPr>
      </w:pPr>
      <w:r>
        <w:rPr>
          <w:rFonts w:hint="eastAsia"/>
          <w:color w:val="auto"/>
          <w:highlight w:val="none"/>
          <w:lang w:val="en-US" w:eastAsia="zh-CN"/>
        </w:rPr>
        <w:t>技术条款偏离表</w:t>
      </w:r>
    </w:p>
    <w:p>
      <w:pPr>
        <w:snapToGrid w:val="0"/>
        <w:spacing w:before="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项目名称：                      </w:t>
      </w:r>
    </w:p>
    <w:tbl>
      <w:tblPr>
        <w:tblStyle w:val="37"/>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461"/>
        <w:gridCol w:w="264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67"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3461"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采购文件的技术条款</w:t>
            </w:r>
          </w:p>
        </w:tc>
        <w:tc>
          <w:tcPr>
            <w:tcW w:w="2647"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投标文件的响应情况</w:t>
            </w:r>
          </w:p>
        </w:tc>
        <w:tc>
          <w:tcPr>
            <w:tcW w:w="1843"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pPr>
              <w:spacing w:line="360" w:lineRule="auto"/>
              <w:jc w:val="center"/>
              <w:rPr>
                <w:rFonts w:hint="eastAsia" w:ascii="宋体" w:hAnsi="宋体" w:eastAsia="宋体" w:cs="宋体"/>
                <w:color w:val="auto"/>
                <w:sz w:val="21"/>
                <w:szCs w:val="21"/>
                <w:highlight w:val="none"/>
              </w:rPr>
            </w:pPr>
          </w:p>
        </w:tc>
        <w:tc>
          <w:tcPr>
            <w:tcW w:w="3461" w:type="dxa"/>
            <w:vAlign w:val="center"/>
          </w:tcPr>
          <w:p>
            <w:pPr>
              <w:spacing w:line="360" w:lineRule="auto"/>
              <w:rPr>
                <w:rFonts w:hint="eastAsia" w:ascii="宋体" w:hAnsi="宋体" w:eastAsia="宋体" w:cs="宋体"/>
                <w:b/>
                <w:bCs/>
                <w:color w:val="auto"/>
                <w:sz w:val="21"/>
                <w:szCs w:val="21"/>
                <w:highlight w:val="none"/>
              </w:rPr>
            </w:pPr>
          </w:p>
        </w:tc>
        <w:tc>
          <w:tcPr>
            <w:tcW w:w="2647" w:type="dxa"/>
            <w:vAlign w:val="center"/>
          </w:tcPr>
          <w:p>
            <w:pPr>
              <w:spacing w:line="360" w:lineRule="auto"/>
              <w:jc w:val="center"/>
              <w:rPr>
                <w:rFonts w:hint="eastAsia" w:ascii="宋体" w:hAnsi="宋体" w:eastAsia="宋体" w:cs="宋体"/>
                <w:color w:val="auto"/>
                <w:sz w:val="21"/>
                <w:szCs w:val="21"/>
                <w:highlight w:val="none"/>
              </w:rPr>
            </w:pPr>
          </w:p>
        </w:tc>
        <w:tc>
          <w:tcPr>
            <w:tcW w:w="18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pPr>
              <w:spacing w:line="360" w:lineRule="auto"/>
              <w:jc w:val="center"/>
              <w:rPr>
                <w:rFonts w:hint="eastAsia" w:ascii="宋体" w:hAnsi="宋体" w:eastAsia="宋体" w:cs="宋体"/>
                <w:color w:val="auto"/>
                <w:sz w:val="21"/>
                <w:szCs w:val="21"/>
                <w:highlight w:val="none"/>
              </w:rPr>
            </w:pPr>
          </w:p>
        </w:tc>
        <w:tc>
          <w:tcPr>
            <w:tcW w:w="3461" w:type="dxa"/>
            <w:vAlign w:val="center"/>
          </w:tcPr>
          <w:p>
            <w:pPr>
              <w:spacing w:line="360" w:lineRule="auto"/>
              <w:rPr>
                <w:rFonts w:hint="eastAsia" w:ascii="宋体" w:hAnsi="宋体" w:eastAsia="宋体" w:cs="宋体"/>
                <w:b/>
                <w:bCs/>
                <w:color w:val="auto"/>
                <w:sz w:val="21"/>
                <w:szCs w:val="21"/>
                <w:highlight w:val="none"/>
              </w:rPr>
            </w:pPr>
          </w:p>
        </w:tc>
        <w:tc>
          <w:tcPr>
            <w:tcW w:w="2647" w:type="dxa"/>
            <w:vAlign w:val="center"/>
          </w:tcPr>
          <w:p>
            <w:pPr>
              <w:spacing w:line="360" w:lineRule="auto"/>
              <w:jc w:val="center"/>
              <w:rPr>
                <w:rFonts w:hint="eastAsia" w:ascii="宋体" w:hAnsi="宋体" w:eastAsia="宋体" w:cs="宋体"/>
                <w:color w:val="auto"/>
                <w:sz w:val="21"/>
                <w:szCs w:val="21"/>
                <w:highlight w:val="none"/>
              </w:rPr>
            </w:pPr>
          </w:p>
        </w:tc>
        <w:tc>
          <w:tcPr>
            <w:tcW w:w="18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pPr>
              <w:spacing w:line="360" w:lineRule="auto"/>
              <w:jc w:val="center"/>
              <w:rPr>
                <w:rFonts w:hint="eastAsia" w:ascii="宋体" w:hAnsi="宋体" w:eastAsia="宋体" w:cs="宋体"/>
                <w:color w:val="auto"/>
                <w:sz w:val="21"/>
                <w:szCs w:val="21"/>
                <w:highlight w:val="none"/>
              </w:rPr>
            </w:pPr>
          </w:p>
        </w:tc>
        <w:tc>
          <w:tcPr>
            <w:tcW w:w="3461" w:type="dxa"/>
            <w:vAlign w:val="center"/>
          </w:tcPr>
          <w:p>
            <w:pPr>
              <w:spacing w:line="360" w:lineRule="auto"/>
              <w:rPr>
                <w:rFonts w:hint="eastAsia" w:ascii="宋体" w:hAnsi="宋体" w:eastAsia="宋体" w:cs="宋体"/>
                <w:b/>
                <w:bCs/>
                <w:color w:val="auto"/>
                <w:sz w:val="21"/>
                <w:szCs w:val="21"/>
                <w:highlight w:val="none"/>
              </w:rPr>
            </w:pPr>
          </w:p>
        </w:tc>
        <w:tc>
          <w:tcPr>
            <w:tcW w:w="2647" w:type="dxa"/>
            <w:vAlign w:val="center"/>
          </w:tcPr>
          <w:p>
            <w:pPr>
              <w:spacing w:line="360" w:lineRule="auto"/>
              <w:jc w:val="center"/>
              <w:rPr>
                <w:rFonts w:hint="eastAsia" w:ascii="宋体" w:hAnsi="宋体" w:eastAsia="宋体" w:cs="宋体"/>
                <w:color w:val="auto"/>
                <w:sz w:val="21"/>
                <w:szCs w:val="21"/>
                <w:highlight w:val="none"/>
              </w:rPr>
            </w:pPr>
          </w:p>
        </w:tc>
        <w:tc>
          <w:tcPr>
            <w:tcW w:w="18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pPr>
              <w:spacing w:line="360" w:lineRule="auto"/>
              <w:jc w:val="center"/>
              <w:rPr>
                <w:rFonts w:hint="eastAsia" w:ascii="宋体" w:hAnsi="宋体" w:eastAsia="宋体" w:cs="宋体"/>
                <w:color w:val="auto"/>
                <w:sz w:val="21"/>
                <w:szCs w:val="21"/>
                <w:highlight w:val="none"/>
              </w:rPr>
            </w:pPr>
          </w:p>
        </w:tc>
        <w:tc>
          <w:tcPr>
            <w:tcW w:w="3461" w:type="dxa"/>
            <w:vAlign w:val="center"/>
          </w:tcPr>
          <w:p>
            <w:pPr>
              <w:spacing w:line="360" w:lineRule="auto"/>
              <w:rPr>
                <w:rFonts w:hint="eastAsia" w:ascii="宋体" w:hAnsi="宋体" w:eastAsia="宋体" w:cs="宋体"/>
                <w:b/>
                <w:bCs/>
                <w:color w:val="auto"/>
                <w:sz w:val="21"/>
                <w:szCs w:val="21"/>
                <w:highlight w:val="none"/>
              </w:rPr>
            </w:pPr>
          </w:p>
        </w:tc>
        <w:tc>
          <w:tcPr>
            <w:tcW w:w="2647" w:type="dxa"/>
            <w:vAlign w:val="center"/>
          </w:tcPr>
          <w:p>
            <w:pPr>
              <w:spacing w:line="360" w:lineRule="auto"/>
              <w:jc w:val="center"/>
              <w:rPr>
                <w:rFonts w:hint="eastAsia" w:ascii="宋体" w:hAnsi="宋体" w:eastAsia="宋体" w:cs="宋体"/>
                <w:color w:val="auto"/>
                <w:sz w:val="21"/>
                <w:szCs w:val="21"/>
                <w:highlight w:val="none"/>
              </w:rPr>
            </w:pPr>
          </w:p>
        </w:tc>
        <w:tc>
          <w:tcPr>
            <w:tcW w:w="18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pPr>
              <w:spacing w:line="360" w:lineRule="auto"/>
              <w:jc w:val="center"/>
              <w:rPr>
                <w:rFonts w:hint="eastAsia" w:ascii="宋体" w:hAnsi="宋体" w:eastAsia="宋体" w:cs="宋体"/>
                <w:color w:val="auto"/>
                <w:sz w:val="21"/>
                <w:szCs w:val="21"/>
                <w:highlight w:val="none"/>
              </w:rPr>
            </w:pPr>
          </w:p>
        </w:tc>
        <w:tc>
          <w:tcPr>
            <w:tcW w:w="3461" w:type="dxa"/>
            <w:vAlign w:val="center"/>
          </w:tcPr>
          <w:p>
            <w:pPr>
              <w:spacing w:line="360" w:lineRule="auto"/>
              <w:rPr>
                <w:rFonts w:hint="eastAsia" w:ascii="宋体" w:hAnsi="宋体" w:eastAsia="宋体" w:cs="宋体"/>
                <w:color w:val="auto"/>
                <w:sz w:val="21"/>
                <w:szCs w:val="21"/>
                <w:highlight w:val="none"/>
              </w:rPr>
            </w:pPr>
          </w:p>
        </w:tc>
        <w:tc>
          <w:tcPr>
            <w:tcW w:w="2647" w:type="dxa"/>
            <w:vAlign w:val="center"/>
          </w:tcPr>
          <w:p>
            <w:pPr>
              <w:spacing w:line="360" w:lineRule="auto"/>
              <w:jc w:val="center"/>
              <w:rPr>
                <w:rFonts w:hint="eastAsia" w:ascii="宋体" w:hAnsi="宋体" w:eastAsia="宋体" w:cs="宋体"/>
                <w:color w:val="auto"/>
                <w:sz w:val="21"/>
                <w:szCs w:val="21"/>
                <w:highlight w:val="none"/>
              </w:rPr>
            </w:pPr>
          </w:p>
        </w:tc>
        <w:tc>
          <w:tcPr>
            <w:tcW w:w="18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pPr>
              <w:spacing w:line="360" w:lineRule="auto"/>
              <w:jc w:val="center"/>
              <w:rPr>
                <w:rFonts w:hint="eastAsia" w:ascii="宋体" w:hAnsi="宋体" w:eastAsia="宋体" w:cs="宋体"/>
                <w:color w:val="auto"/>
                <w:sz w:val="21"/>
                <w:szCs w:val="21"/>
                <w:highlight w:val="none"/>
              </w:rPr>
            </w:pPr>
          </w:p>
        </w:tc>
        <w:tc>
          <w:tcPr>
            <w:tcW w:w="3461" w:type="dxa"/>
            <w:vAlign w:val="center"/>
          </w:tcPr>
          <w:p>
            <w:pPr>
              <w:spacing w:line="360" w:lineRule="auto"/>
              <w:rPr>
                <w:rFonts w:hint="eastAsia" w:ascii="宋体" w:hAnsi="宋体" w:eastAsia="宋体" w:cs="宋体"/>
                <w:color w:val="auto"/>
                <w:sz w:val="21"/>
                <w:szCs w:val="21"/>
                <w:highlight w:val="none"/>
              </w:rPr>
            </w:pPr>
          </w:p>
        </w:tc>
        <w:tc>
          <w:tcPr>
            <w:tcW w:w="2647" w:type="dxa"/>
            <w:vAlign w:val="center"/>
          </w:tcPr>
          <w:p>
            <w:pPr>
              <w:spacing w:line="360" w:lineRule="auto"/>
              <w:jc w:val="center"/>
              <w:rPr>
                <w:rFonts w:hint="eastAsia" w:ascii="宋体" w:hAnsi="宋体" w:eastAsia="宋体" w:cs="宋体"/>
                <w:color w:val="auto"/>
                <w:sz w:val="21"/>
                <w:szCs w:val="21"/>
                <w:highlight w:val="none"/>
              </w:rPr>
            </w:pPr>
          </w:p>
        </w:tc>
        <w:tc>
          <w:tcPr>
            <w:tcW w:w="18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pPr>
              <w:spacing w:line="360" w:lineRule="auto"/>
              <w:jc w:val="center"/>
              <w:rPr>
                <w:rFonts w:hint="eastAsia" w:ascii="宋体" w:hAnsi="宋体" w:eastAsia="宋体" w:cs="宋体"/>
                <w:color w:val="auto"/>
                <w:sz w:val="21"/>
                <w:szCs w:val="21"/>
                <w:highlight w:val="none"/>
              </w:rPr>
            </w:pPr>
          </w:p>
        </w:tc>
        <w:tc>
          <w:tcPr>
            <w:tcW w:w="3461" w:type="dxa"/>
            <w:vAlign w:val="center"/>
          </w:tcPr>
          <w:p>
            <w:pPr>
              <w:spacing w:line="360" w:lineRule="auto"/>
              <w:rPr>
                <w:rFonts w:hint="eastAsia" w:ascii="宋体" w:hAnsi="宋体" w:eastAsia="宋体" w:cs="宋体"/>
                <w:color w:val="auto"/>
                <w:sz w:val="21"/>
                <w:szCs w:val="21"/>
                <w:highlight w:val="none"/>
              </w:rPr>
            </w:pPr>
          </w:p>
        </w:tc>
        <w:tc>
          <w:tcPr>
            <w:tcW w:w="2647" w:type="dxa"/>
            <w:vAlign w:val="center"/>
          </w:tcPr>
          <w:p>
            <w:pPr>
              <w:spacing w:line="360" w:lineRule="auto"/>
              <w:jc w:val="center"/>
              <w:rPr>
                <w:rFonts w:hint="eastAsia" w:ascii="宋体" w:hAnsi="宋体" w:eastAsia="宋体" w:cs="宋体"/>
                <w:color w:val="auto"/>
                <w:sz w:val="21"/>
                <w:szCs w:val="21"/>
                <w:highlight w:val="none"/>
              </w:rPr>
            </w:pPr>
          </w:p>
        </w:tc>
        <w:tc>
          <w:tcPr>
            <w:tcW w:w="18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pPr>
              <w:spacing w:line="360" w:lineRule="auto"/>
              <w:jc w:val="center"/>
              <w:rPr>
                <w:rFonts w:hint="eastAsia" w:ascii="宋体" w:hAnsi="宋体" w:eastAsia="宋体" w:cs="宋体"/>
                <w:color w:val="auto"/>
                <w:sz w:val="21"/>
                <w:szCs w:val="21"/>
                <w:highlight w:val="none"/>
              </w:rPr>
            </w:pPr>
          </w:p>
        </w:tc>
        <w:tc>
          <w:tcPr>
            <w:tcW w:w="3461" w:type="dxa"/>
            <w:vAlign w:val="center"/>
          </w:tcPr>
          <w:p>
            <w:pPr>
              <w:spacing w:line="360" w:lineRule="auto"/>
              <w:rPr>
                <w:rFonts w:hint="eastAsia" w:ascii="宋体" w:hAnsi="宋体" w:eastAsia="宋体" w:cs="宋体"/>
                <w:color w:val="auto"/>
                <w:sz w:val="21"/>
                <w:szCs w:val="21"/>
                <w:highlight w:val="none"/>
              </w:rPr>
            </w:pPr>
          </w:p>
        </w:tc>
        <w:tc>
          <w:tcPr>
            <w:tcW w:w="2647" w:type="dxa"/>
            <w:vAlign w:val="center"/>
          </w:tcPr>
          <w:p>
            <w:pPr>
              <w:spacing w:line="360" w:lineRule="auto"/>
              <w:jc w:val="center"/>
              <w:rPr>
                <w:rFonts w:hint="eastAsia" w:ascii="宋体" w:hAnsi="宋体" w:eastAsia="宋体" w:cs="宋体"/>
                <w:color w:val="auto"/>
                <w:sz w:val="21"/>
                <w:szCs w:val="21"/>
                <w:highlight w:val="none"/>
              </w:rPr>
            </w:pPr>
          </w:p>
        </w:tc>
        <w:tc>
          <w:tcPr>
            <w:tcW w:w="18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pPr>
              <w:spacing w:line="360" w:lineRule="auto"/>
              <w:jc w:val="center"/>
              <w:rPr>
                <w:rFonts w:hint="eastAsia" w:ascii="宋体" w:hAnsi="宋体" w:eastAsia="宋体" w:cs="宋体"/>
                <w:color w:val="auto"/>
                <w:sz w:val="21"/>
                <w:szCs w:val="21"/>
                <w:highlight w:val="none"/>
              </w:rPr>
            </w:pPr>
          </w:p>
        </w:tc>
        <w:tc>
          <w:tcPr>
            <w:tcW w:w="3461" w:type="dxa"/>
            <w:vAlign w:val="center"/>
          </w:tcPr>
          <w:p>
            <w:pPr>
              <w:spacing w:line="360" w:lineRule="auto"/>
              <w:rPr>
                <w:rFonts w:hint="eastAsia" w:ascii="宋体" w:hAnsi="宋体" w:eastAsia="宋体" w:cs="宋体"/>
                <w:color w:val="auto"/>
                <w:sz w:val="21"/>
                <w:szCs w:val="21"/>
                <w:highlight w:val="none"/>
              </w:rPr>
            </w:pPr>
          </w:p>
        </w:tc>
        <w:tc>
          <w:tcPr>
            <w:tcW w:w="2647" w:type="dxa"/>
            <w:vAlign w:val="center"/>
          </w:tcPr>
          <w:p>
            <w:pPr>
              <w:spacing w:line="360" w:lineRule="auto"/>
              <w:jc w:val="center"/>
              <w:rPr>
                <w:rFonts w:hint="eastAsia" w:ascii="宋体" w:hAnsi="宋体" w:eastAsia="宋体" w:cs="宋体"/>
                <w:color w:val="auto"/>
                <w:sz w:val="21"/>
                <w:szCs w:val="21"/>
                <w:highlight w:val="none"/>
              </w:rPr>
            </w:pPr>
          </w:p>
        </w:tc>
        <w:tc>
          <w:tcPr>
            <w:tcW w:w="18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pPr>
              <w:spacing w:line="360" w:lineRule="auto"/>
              <w:jc w:val="center"/>
              <w:rPr>
                <w:rFonts w:hint="eastAsia" w:ascii="宋体" w:hAnsi="宋体" w:eastAsia="宋体" w:cs="宋体"/>
                <w:color w:val="auto"/>
                <w:sz w:val="21"/>
                <w:szCs w:val="21"/>
                <w:highlight w:val="none"/>
              </w:rPr>
            </w:pPr>
          </w:p>
        </w:tc>
        <w:tc>
          <w:tcPr>
            <w:tcW w:w="3461" w:type="dxa"/>
            <w:vAlign w:val="center"/>
          </w:tcPr>
          <w:p>
            <w:pPr>
              <w:spacing w:line="360" w:lineRule="auto"/>
              <w:rPr>
                <w:rFonts w:hint="eastAsia" w:ascii="宋体" w:hAnsi="宋体" w:eastAsia="宋体" w:cs="宋体"/>
                <w:color w:val="auto"/>
                <w:sz w:val="21"/>
                <w:szCs w:val="21"/>
                <w:highlight w:val="none"/>
              </w:rPr>
            </w:pPr>
          </w:p>
        </w:tc>
        <w:tc>
          <w:tcPr>
            <w:tcW w:w="2647" w:type="dxa"/>
            <w:vAlign w:val="center"/>
          </w:tcPr>
          <w:p>
            <w:pPr>
              <w:spacing w:line="360" w:lineRule="auto"/>
              <w:jc w:val="center"/>
              <w:rPr>
                <w:rFonts w:hint="eastAsia" w:ascii="宋体" w:hAnsi="宋体" w:eastAsia="宋体" w:cs="宋体"/>
                <w:color w:val="auto"/>
                <w:sz w:val="21"/>
                <w:szCs w:val="21"/>
                <w:highlight w:val="none"/>
              </w:rPr>
            </w:pPr>
          </w:p>
        </w:tc>
        <w:tc>
          <w:tcPr>
            <w:tcW w:w="18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67" w:type="dxa"/>
            <w:vAlign w:val="center"/>
          </w:tcPr>
          <w:p>
            <w:pPr>
              <w:spacing w:line="360" w:lineRule="auto"/>
              <w:jc w:val="center"/>
              <w:rPr>
                <w:rFonts w:hint="eastAsia" w:ascii="宋体" w:hAnsi="宋体" w:eastAsia="宋体" w:cs="宋体"/>
                <w:color w:val="auto"/>
                <w:sz w:val="21"/>
                <w:szCs w:val="21"/>
                <w:highlight w:val="none"/>
              </w:rPr>
            </w:pPr>
          </w:p>
        </w:tc>
        <w:tc>
          <w:tcPr>
            <w:tcW w:w="3461" w:type="dxa"/>
            <w:vAlign w:val="center"/>
          </w:tcPr>
          <w:p>
            <w:pPr>
              <w:spacing w:line="360" w:lineRule="auto"/>
              <w:rPr>
                <w:rFonts w:hint="eastAsia" w:ascii="宋体" w:hAnsi="宋体" w:eastAsia="宋体" w:cs="宋体"/>
                <w:color w:val="auto"/>
                <w:sz w:val="21"/>
                <w:szCs w:val="21"/>
                <w:highlight w:val="none"/>
              </w:rPr>
            </w:pPr>
          </w:p>
        </w:tc>
        <w:tc>
          <w:tcPr>
            <w:tcW w:w="2647" w:type="dxa"/>
            <w:vAlign w:val="center"/>
          </w:tcPr>
          <w:p>
            <w:pPr>
              <w:spacing w:line="360" w:lineRule="auto"/>
              <w:jc w:val="center"/>
              <w:rPr>
                <w:rFonts w:hint="eastAsia" w:ascii="宋体" w:hAnsi="宋体" w:eastAsia="宋体" w:cs="宋体"/>
                <w:color w:val="auto"/>
                <w:sz w:val="21"/>
                <w:szCs w:val="21"/>
                <w:highlight w:val="none"/>
              </w:rPr>
            </w:pPr>
          </w:p>
        </w:tc>
        <w:tc>
          <w:tcPr>
            <w:tcW w:w="1843" w:type="dxa"/>
            <w:vAlign w:val="center"/>
          </w:tcPr>
          <w:p>
            <w:pPr>
              <w:spacing w:line="360" w:lineRule="auto"/>
              <w:jc w:val="center"/>
              <w:rPr>
                <w:rFonts w:hint="eastAsia" w:ascii="宋体" w:hAnsi="宋体" w:eastAsia="宋体" w:cs="宋体"/>
                <w:color w:val="auto"/>
                <w:sz w:val="21"/>
                <w:szCs w:val="21"/>
                <w:highlight w:val="none"/>
              </w:rPr>
            </w:pPr>
          </w:p>
        </w:tc>
      </w:tr>
    </w:tbl>
    <w:p>
      <w:pPr>
        <w:snapToGrid w:val="0"/>
        <w:spacing w:before="50"/>
        <w:rPr>
          <w:rFonts w:hint="eastAsia" w:ascii="宋体" w:hAnsi="宋体" w:eastAsia="宋体" w:cs="宋体"/>
          <w:color w:val="auto"/>
          <w:sz w:val="21"/>
          <w:szCs w:val="21"/>
          <w:highlight w:val="non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spacing w:line="360" w:lineRule="auto"/>
        <w:ind w:right="180"/>
        <w:jc w:val="right"/>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Cs w:val="21"/>
          <w:highlight w:val="none"/>
        </w:rPr>
      </w:pPr>
      <w:r>
        <w:rPr>
          <w:rFonts w:hint="eastAsia" w:ascii="宋体" w:hAnsi="宋体" w:eastAsia="宋体" w:cs="宋体"/>
          <w:color w:val="auto"/>
          <w:sz w:val="21"/>
          <w:szCs w:val="21"/>
          <w:highlight w:val="none"/>
          <w:u w:val="single"/>
        </w:rPr>
        <w:t>备注填写说明：1、列明采购文件的服务条款与投标文件对应响应，并说明偏离状况</w:t>
      </w:r>
      <w:r>
        <w:rPr>
          <w:rFonts w:hint="eastAsia" w:ascii="宋体" w:hAnsi="宋体" w:eastAsia="宋体" w:cs="宋体"/>
          <w:color w:val="auto"/>
          <w:sz w:val="21"/>
          <w:szCs w:val="21"/>
          <w:highlight w:val="none"/>
          <w:u w:val="none"/>
        </w:rPr>
        <w:t>。</w:t>
      </w:r>
      <w:r>
        <w:rPr>
          <w:rFonts w:hint="eastAsia" w:hAnsi="宋体" w:cs="宋体"/>
          <w:b/>
          <w:color w:val="auto"/>
          <w:sz w:val="32"/>
          <w:szCs w:val="32"/>
          <w:highlight w:val="none"/>
        </w:rPr>
        <w:br w:type="page"/>
      </w:r>
    </w:p>
    <w:p>
      <w:pPr>
        <w:pStyle w:val="83"/>
        <w:keepNext w:val="0"/>
        <w:keepLines w:val="0"/>
        <w:pageBreakBefore w:val="0"/>
        <w:widowControl w:val="0"/>
        <w:shd w:val="clear" w:color="auto" w:fill="auto"/>
        <w:kinsoku/>
        <w:wordWrap/>
        <w:overflowPunct/>
        <w:topLinePunct w:val="0"/>
        <w:autoSpaceDE/>
        <w:autoSpaceDN/>
        <w:bidi w:val="0"/>
        <w:adjustRightInd/>
        <w:snapToGrid/>
        <w:ind w:left="0" w:leftChars="0" w:firstLine="0" w:firstLineChars="0"/>
        <w:jc w:val="center"/>
        <w:textAlignment w:val="auto"/>
        <w:outlineLvl w:val="2"/>
        <w:rPr>
          <w:rFonts w:hint="eastAsia" w:ascii="宋体" w:hAnsi="宋体" w:cs="宋体"/>
          <w:b/>
          <w:color w:val="auto"/>
          <w:szCs w:val="21"/>
          <w:highlight w:val="none"/>
        </w:rPr>
      </w:pPr>
      <w:r>
        <w:rPr>
          <w:rFonts w:hint="eastAsia" w:ascii="宋体" w:hAnsi="宋体" w:cs="宋体"/>
          <w:b/>
          <w:color w:val="auto"/>
          <w:sz w:val="28"/>
          <w:szCs w:val="28"/>
          <w:highlight w:val="none"/>
          <w:lang w:val="zh-CN" w:eastAsia="zh-CN" w:bidi="zh-CN"/>
        </w:rPr>
        <w:t>供应商</w:t>
      </w:r>
      <w:r>
        <w:rPr>
          <w:rFonts w:hint="eastAsia" w:ascii="宋体" w:hAnsi="宋体" w:eastAsia="宋体" w:cs="宋体"/>
          <w:b/>
          <w:color w:val="auto"/>
          <w:sz w:val="28"/>
          <w:szCs w:val="28"/>
          <w:highlight w:val="none"/>
          <w:lang w:val="zh-CN" w:eastAsia="zh-CN" w:bidi="zh-CN"/>
        </w:rPr>
        <w:t>基本情况说明</w:t>
      </w:r>
    </w:p>
    <w:tbl>
      <w:tblPr>
        <w:tblStyle w:val="37"/>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587"/>
        <w:gridCol w:w="992"/>
        <w:gridCol w:w="893"/>
        <w:gridCol w:w="1686"/>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3472" w:type="dxa"/>
            <w:gridSpan w:val="3"/>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472" w:type="dxa"/>
            <w:gridSpan w:val="3"/>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注册登记号</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经营地址</w:t>
            </w:r>
          </w:p>
        </w:tc>
        <w:tc>
          <w:tcPr>
            <w:tcW w:w="3472" w:type="dxa"/>
            <w:gridSpan w:val="3"/>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pacing w:val="30"/>
                <w:sz w:val="21"/>
                <w:szCs w:val="21"/>
                <w:highlight w:val="none"/>
              </w:rPr>
            </w:pPr>
            <w:r>
              <w:rPr>
                <w:rFonts w:hint="eastAsia" w:ascii="宋体" w:hAnsi="宋体" w:eastAsia="宋体" w:cs="宋体"/>
                <w:color w:val="auto"/>
                <w:sz w:val="21"/>
                <w:szCs w:val="21"/>
                <w:highlight w:val="none"/>
              </w:rPr>
              <w:t>税务登记证号</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3472" w:type="dxa"/>
            <w:gridSpan w:val="3"/>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4"/>
                <w:sz w:val="21"/>
                <w:szCs w:val="21"/>
                <w:highlight w:val="none"/>
              </w:rPr>
              <w:t>注册资本</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3472" w:type="dxa"/>
            <w:gridSpan w:val="3"/>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营业期限</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资质情况</w:t>
            </w:r>
          </w:p>
        </w:tc>
        <w:tc>
          <w:tcPr>
            <w:tcW w:w="7269" w:type="dxa"/>
            <w:gridSpan w:val="5"/>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员工数量</w:t>
            </w:r>
          </w:p>
        </w:tc>
        <w:tc>
          <w:tcPr>
            <w:tcW w:w="7269" w:type="dxa"/>
            <w:gridSpan w:val="5"/>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人，其中，高级职称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人，中级职称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3472" w:type="dxa"/>
            <w:gridSpan w:val="3"/>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主要业绩</w:t>
            </w:r>
          </w:p>
        </w:tc>
        <w:tc>
          <w:tcPr>
            <w:tcW w:w="7269" w:type="dxa"/>
            <w:gridSpan w:val="5"/>
            <w:noWrap w:val="0"/>
            <w:vAlign w:val="center"/>
          </w:tcPr>
          <w:p>
            <w:pPr>
              <w:shd w:val="clear" w:color="auto" w:fill="auto"/>
              <w:spacing w:line="240" w:lineRule="auto"/>
              <w:rPr>
                <w:rFonts w:hint="eastAsia" w:ascii="宋体" w:hAnsi="宋体" w:eastAsia="宋体" w:cs="宋体"/>
                <w:color w:val="auto"/>
                <w:sz w:val="21"/>
                <w:szCs w:val="21"/>
                <w:highlight w:val="none"/>
              </w:rPr>
            </w:pPr>
          </w:p>
          <w:p>
            <w:pPr>
              <w:shd w:val="clear" w:color="auto" w:fill="auto"/>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58" w:type="dxa"/>
            <w:gridSpan w:val="6"/>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472" w:type="dxa"/>
            <w:gridSpan w:val="3"/>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587"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992"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893"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    历</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58" w:type="dxa"/>
            <w:gridSpan w:val="6"/>
            <w:noWrap w:val="0"/>
            <w:vAlign w:val="top"/>
          </w:tcPr>
          <w:p>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bl>
    <w:p>
      <w:pPr>
        <w:shd w:val="clear" w:color="auto" w:fill="auto"/>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1.</w:t>
      </w:r>
      <w:r>
        <w:rPr>
          <w:rFonts w:hint="eastAsia" w:ascii="宋体" w:hAnsi="宋体" w:eastAsia="宋体" w:cs="宋体"/>
          <w:b/>
          <w:color w:val="auto"/>
          <w:sz w:val="21"/>
          <w:szCs w:val="21"/>
          <w:highlight w:val="none"/>
        </w:rPr>
        <w:t>兹证明上述声明是真实、正确的，并提供了全部能提供的资料和数据，我们同意遵照贵方要求出示有关证明文件。</w:t>
      </w:r>
    </w:p>
    <w:p>
      <w:pPr>
        <w:shd w:val="clear" w:color="auto" w:fill="auto"/>
        <w:spacing w:line="360" w:lineRule="auto"/>
        <w:rPr>
          <w:rFonts w:hint="eastAsia" w:ascii="宋体" w:hAnsi="宋体" w:eastAsia="宋体" w:cs="宋体"/>
          <w:b/>
          <w:color w:val="auto"/>
          <w:sz w:val="21"/>
          <w:szCs w:val="21"/>
          <w:highlight w:val="none"/>
        </w:rPr>
      </w:pPr>
    </w:p>
    <w:p>
      <w:pPr>
        <w:shd w:val="clear" w:color="auto" w:fill="auto"/>
        <w:rPr>
          <w:rFonts w:hint="eastAsia" w:ascii="宋体" w:hAnsi="宋体" w:eastAsia="宋体" w:cs="宋体"/>
          <w:color w:val="auto"/>
          <w:sz w:val="21"/>
          <w:szCs w:val="21"/>
          <w:highlight w:val="none"/>
        </w:rPr>
      </w:pPr>
    </w:p>
    <w:p>
      <w:pPr>
        <w:pStyle w:val="11"/>
        <w:widowControl/>
        <w:shd w:val="clear" w:color="auto" w:fill="auto"/>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hd w:val="clear" w:color="auto" w:fill="auto"/>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hd w:val="clear" w:color="auto" w:fill="auto"/>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2"/>
        <w:rPr>
          <w:rFonts w:hint="eastAsia" w:eastAsia="宋体"/>
          <w:b/>
          <w:color w:val="auto"/>
          <w:sz w:val="32"/>
          <w:szCs w:val="32"/>
          <w:highlight w:val="none"/>
          <w:lang w:eastAsia="zh-CN"/>
        </w:rPr>
      </w:pPr>
      <w:r>
        <w:rPr>
          <w:rFonts w:hint="eastAsia" w:hAnsi="宋体" w:cs="宋体"/>
          <w:color w:val="auto"/>
          <w:szCs w:val="21"/>
          <w:highlight w:val="none"/>
        </w:rPr>
        <w:br w:type="page"/>
      </w:r>
      <w:r>
        <w:rPr>
          <w:rStyle w:val="85"/>
          <w:rFonts w:hint="eastAsia"/>
          <w:color w:val="auto"/>
          <w:highlight w:val="none"/>
          <w:lang w:eastAsia="zh-CN"/>
        </w:rPr>
        <w:t>拟投入本项目服务人员配备情况表</w:t>
      </w:r>
    </w:p>
    <w:p>
      <w:pPr>
        <w:adjustRightInd w:val="0"/>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tbl>
      <w:tblPr>
        <w:tblStyle w:val="37"/>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90"/>
        <w:gridCol w:w="801"/>
        <w:gridCol w:w="1178"/>
        <w:gridCol w:w="737"/>
        <w:gridCol w:w="756"/>
        <w:gridCol w:w="893"/>
        <w:gridCol w:w="1286"/>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90"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1"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3564" w:type="dxa"/>
            <w:gridSpan w:val="4"/>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1286"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从业经验</w:t>
            </w:r>
          </w:p>
        </w:tc>
        <w:tc>
          <w:tcPr>
            <w:tcW w:w="1287"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0"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890"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801"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737"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756"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893"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286"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1287" w:type="dxa"/>
            <w:vMerge w:val="continue"/>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注：后附相关人员证书复印件、从业</w:t>
      </w:r>
      <w:r>
        <w:rPr>
          <w:rFonts w:hint="eastAsia" w:ascii="宋体" w:hAnsi="宋体" w:eastAsia="宋体" w:cs="宋体"/>
          <w:color w:val="auto"/>
          <w:kern w:val="0"/>
          <w:sz w:val="21"/>
          <w:szCs w:val="21"/>
          <w:highlight w:val="none"/>
        </w:rPr>
        <w:t>经验证明资料复印件等，以便评委酌情打分</w:t>
      </w:r>
      <w:r>
        <w:rPr>
          <w:rFonts w:hint="eastAsia" w:ascii="宋体" w:hAnsi="宋体" w:eastAsia="宋体" w:cs="宋体"/>
          <w:color w:val="auto"/>
          <w:sz w:val="21"/>
          <w:szCs w:val="21"/>
          <w:highlight w:val="none"/>
        </w:rPr>
        <w:t>。</w:t>
      </w:r>
    </w:p>
    <w:p>
      <w:pPr>
        <w:adjustRightInd w:val="0"/>
        <w:snapToGrid w:val="0"/>
        <w:spacing w:line="400" w:lineRule="exact"/>
        <w:rPr>
          <w:rFonts w:hint="eastAsia" w:ascii="宋体" w:hAnsi="宋体" w:eastAsia="宋体" w:cs="宋体"/>
          <w:color w:val="auto"/>
          <w:sz w:val="21"/>
          <w:szCs w:val="21"/>
          <w:highlight w:val="none"/>
          <w:u w:val="singl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rPr>
          <w:rStyle w:val="85"/>
          <w:rFonts w:hint="eastAsia" w:ascii="宋体" w:hAnsi="宋体" w:eastAsia="宋体" w:cs="宋体"/>
          <w:color w:val="auto"/>
          <w:sz w:val="22"/>
          <w:szCs w:val="22"/>
          <w:highlight w:val="none"/>
          <w:lang w:val="en-US" w:eastAsia="zh-CN"/>
        </w:rPr>
      </w:pPr>
      <w:r>
        <w:rPr>
          <w:rStyle w:val="85"/>
          <w:rFonts w:hint="eastAsia" w:ascii="宋体" w:hAnsi="宋体" w:eastAsia="宋体" w:cs="宋体"/>
          <w:color w:val="auto"/>
          <w:sz w:val="22"/>
          <w:szCs w:val="22"/>
          <w:highlight w:val="none"/>
          <w:lang w:val="en-US" w:eastAsia="zh-CN"/>
        </w:rPr>
        <w:br w:type="page"/>
      </w:r>
    </w:p>
    <w:p>
      <w:pPr>
        <w:rPr>
          <w:rFonts w:hint="eastAsia"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Arial" w:hAnsi="Arial"/>
          <w:b/>
          <w:color w:val="auto"/>
          <w:sz w:val="32"/>
          <w:szCs w:val="32"/>
          <w:highlight w:val="none"/>
        </w:rPr>
      </w:pPr>
      <w:r>
        <w:rPr>
          <w:rStyle w:val="85"/>
          <w:rFonts w:hint="eastAsia"/>
          <w:color w:val="auto"/>
          <w:highlight w:val="none"/>
          <w:lang w:val="en-US" w:eastAsia="zh-CN"/>
        </w:rPr>
        <w:t>供应商</w:t>
      </w:r>
      <w:r>
        <w:rPr>
          <w:rStyle w:val="85"/>
          <w:rFonts w:hint="eastAsia"/>
          <w:color w:val="auto"/>
          <w:highlight w:val="none"/>
        </w:rPr>
        <w:t>业绩表</w:t>
      </w:r>
    </w:p>
    <w:p>
      <w:pPr>
        <w:spacing w:line="360" w:lineRule="auto"/>
        <w:ind w:firstLine="3089"/>
        <w:rPr>
          <w:rFonts w:ascii="Arial" w:hAnsi="Arial"/>
          <w:b/>
          <w:color w:val="auto"/>
          <w:sz w:val="24"/>
          <w:szCs w:val="21"/>
          <w:highlight w:val="none"/>
        </w:rPr>
      </w:pP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招标编号：</w:t>
      </w:r>
      <w:r>
        <w:rPr>
          <w:rFonts w:hint="eastAsia" w:ascii="宋体" w:hAnsi="宋体" w:eastAsia="宋体" w:cs="宋体"/>
          <w:color w:val="auto"/>
          <w:sz w:val="21"/>
          <w:szCs w:val="21"/>
          <w:highlight w:val="none"/>
          <w:u w:val="single"/>
        </w:rPr>
        <w:t xml:space="preserve">                   </w:t>
      </w:r>
    </w:p>
    <w:tbl>
      <w:tblPr>
        <w:tblStyle w:val="37"/>
        <w:tblW w:w="8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24"/>
        <w:gridCol w:w="1805"/>
        <w:gridCol w:w="1428"/>
        <w:gridCol w:w="2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56"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24"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805"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合同签订时间</w:t>
            </w:r>
          </w:p>
        </w:tc>
        <w:tc>
          <w:tcPr>
            <w:tcW w:w="1428"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金额</w:t>
            </w:r>
          </w:p>
        </w:tc>
        <w:tc>
          <w:tcPr>
            <w:tcW w:w="2785"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项目甲方联系人/联系电话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snapToGrid w:val="0"/>
              <w:rPr>
                <w:rFonts w:hint="eastAsia" w:ascii="宋体" w:hAnsi="宋体" w:eastAsia="宋体" w:cs="宋体"/>
                <w:color w:val="auto"/>
                <w:sz w:val="21"/>
                <w:szCs w:val="21"/>
                <w:highlight w:val="none"/>
              </w:rPr>
            </w:pPr>
          </w:p>
        </w:tc>
        <w:tc>
          <w:tcPr>
            <w:tcW w:w="1428" w:type="dxa"/>
            <w:vAlign w:val="center"/>
          </w:tcPr>
          <w:p>
            <w:pPr>
              <w:snapToGrid w:val="0"/>
              <w:rPr>
                <w:rFonts w:hint="eastAsia" w:ascii="宋体" w:hAnsi="宋体" w:eastAsia="宋体" w:cs="宋体"/>
                <w:color w:val="auto"/>
                <w:sz w:val="21"/>
                <w:szCs w:val="21"/>
                <w:highlight w:val="none"/>
              </w:rPr>
            </w:pPr>
          </w:p>
        </w:tc>
        <w:tc>
          <w:tcPr>
            <w:tcW w:w="2785" w:type="dxa"/>
            <w:vAlign w:val="center"/>
          </w:tcPr>
          <w:p>
            <w:pPr>
              <w:snapToGrid w:val="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w:t>
            </w: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snapToGrid w:val="0"/>
              <w:rPr>
                <w:rFonts w:hint="eastAsia" w:ascii="宋体" w:hAnsi="宋体" w:eastAsia="宋体" w:cs="宋体"/>
                <w:color w:val="auto"/>
                <w:sz w:val="21"/>
                <w:szCs w:val="21"/>
                <w:highlight w:val="none"/>
              </w:rPr>
            </w:pPr>
          </w:p>
        </w:tc>
        <w:tc>
          <w:tcPr>
            <w:tcW w:w="1428" w:type="dxa"/>
            <w:vAlign w:val="center"/>
          </w:tcPr>
          <w:p>
            <w:pPr>
              <w:snapToGrid w:val="0"/>
              <w:rPr>
                <w:rFonts w:hint="eastAsia" w:ascii="宋体" w:hAnsi="宋体" w:eastAsia="宋体" w:cs="宋体"/>
                <w:color w:val="auto"/>
                <w:sz w:val="21"/>
                <w:szCs w:val="21"/>
                <w:highlight w:val="none"/>
              </w:rPr>
            </w:pPr>
          </w:p>
        </w:tc>
        <w:tc>
          <w:tcPr>
            <w:tcW w:w="2785" w:type="dxa"/>
            <w:vAlign w:val="center"/>
          </w:tcPr>
          <w:p>
            <w:pPr>
              <w:snapToGrid w:val="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w:t>
            </w: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jc w:val="center"/>
              <w:rPr>
                <w:rFonts w:hint="eastAsia" w:ascii="宋体" w:hAnsi="宋体" w:eastAsia="宋体" w:cs="宋体"/>
                <w:color w:val="auto"/>
                <w:sz w:val="21"/>
                <w:szCs w:val="21"/>
                <w:highlight w:val="none"/>
              </w:rPr>
            </w:pPr>
          </w:p>
        </w:tc>
        <w:tc>
          <w:tcPr>
            <w:tcW w:w="1428" w:type="dxa"/>
            <w:vAlign w:val="center"/>
          </w:tcPr>
          <w:p>
            <w:pPr>
              <w:jc w:val="center"/>
              <w:rPr>
                <w:rFonts w:hint="eastAsia" w:ascii="宋体" w:hAnsi="宋体" w:eastAsia="宋体" w:cs="宋体"/>
                <w:color w:val="auto"/>
                <w:sz w:val="21"/>
                <w:szCs w:val="21"/>
                <w:highlight w:val="none"/>
              </w:rPr>
            </w:pPr>
          </w:p>
        </w:tc>
        <w:tc>
          <w:tcPr>
            <w:tcW w:w="2785"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w:t>
            </w: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snapToGrid w:val="0"/>
              <w:rPr>
                <w:rFonts w:hint="eastAsia" w:ascii="宋体" w:hAnsi="宋体" w:eastAsia="宋体" w:cs="宋体"/>
                <w:color w:val="auto"/>
                <w:sz w:val="21"/>
                <w:szCs w:val="21"/>
                <w:highlight w:val="none"/>
              </w:rPr>
            </w:pPr>
          </w:p>
        </w:tc>
        <w:tc>
          <w:tcPr>
            <w:tcW w:w="1428" w:type="dxa"/>
            <w:vAlign w:val="center"/>
          </w:tcPr>
          <w:p>
            <w:pPr>
              <w:spacing w:line="300" w:lineRule="exact"/>
              <w:rPr>
                <w:rFonts w:hint="eastAsia" w:ascii="宋体" w:hAnsi="宋体" w:eastAsia="宋体" w:cs="宋体"/>
                <w:color w:val="auto"/>
                <w:sz w:val="21"/>
                <w:szCs w:val="21"/>
                <w:highlight w:val="none"/>
              </w:rPr>
            </w:pPr>
          </w:p>
        </w:tc>
        <w:tc>
          <w:tcPr>
            <w:tcW w:w="2785" w:type="dxa"/>
            <w:vAlign w:val="center"/>
          </w:tcPr>
          <w:p>
            <w:pPr>
              <w:spacing w:line="300" w:lineRule="exact"/>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snapToGrid w:val="0"/>
              <w:rPr>
                <w:rFonts w:hint="eastAsia" w:ascii="宋体" w:hAnsi="宋体" w:eastAsia="宋体" w:cs="宋体"/>
                <w:color w:val="auto"/>
                <w:sz w:val="21"/>
                <w:szCs w:val="21"/>
                <w:highlight w:val="none"/>
              </w:rPr>
            </w:pPr>
          </w:p>
        </w:tc>
        <w:tc>
          <w:tcPr>
            <w:tcW w:w="1428" w:type="dxa"/>
            <w:vAlign w:val="center"/>
          </w:tcPr>
          <w:p>
            <w:pPr>
              <w:spacing w:line="300" w:lineRule="exact"/>
              <w:rPr>
                <w:rFonts w:hint="eastAsia" w:ascii="宋体" w:hAnsi="宋体" w:eastAsia="宋体" w:cs="宋体"/>
                <w:color w:val="auto"/>
                <w:sz w:val="21"/>
                <w:szCs w:val="21"/>
                <w:highlight w:val="none"/>
              </w:rPr>
            </w:pPr>
          </w:p>
        </w:tc>
        <w:tc>
          <w:tcPr>
            <w:tcW w:w="2785" w:type="dxa"/>
            <w:vAlign w:val="center"/>
          </w:tcPr>
          <w:p>
            <w:pPr>
              <w:spacing w:line="300" w:lineRule="exact"/>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snapToGrid w:val="0"/>
              <w:rPr>
                <w:rFonts w:hint="eastAsia" w:ascii="宋体" w:hAnsi="宋体" w:eastAsia="宋体" w:cs="宋体"/>
                <w:color w:val="auto"/>
                <w:sz w:val="21"/>
                <w:szCs w:val="21"/>
                <w:highlight w:val="none"/>
              </w:rPr>
            </w:pPr>
          </w:p>
        </w:tc>
        <w:tc>
          <w:tcPr>
            <w:tcW w:w="1428" w:type="dxa"/>
            <w:vAlign w:val="center"/>
          </w:tcPr>
          <w:p>
            <w:pPr>
              <w:spacing w:line="300" w:lineRule="exact"/>
              <w:rPr>
                <w:rFonts w:hint="eastAsia" w:ascii="宋体" w:hAnsi="宋体" w:eastAsia="宋体" w:cs="宋体"/>
                <w:color w:val="auto"/>
                <w:sz w:val="21"/>
                <w:szCs w:val="21"/>
                <w:highlight w:val="none"/>
              </w:rPr>
            </w:pPr>
          </w:p>
        </w:tc>
        <w:tc>
          <w:tcPr>
            <w:tcW w:w="2785" w:type="dxa"/>
            <w:vAlign w:val="center"/>
          </w:tcPr>
          <w:p>
            <w:pPr>
              <w:spacing w:line="300" w:lineRule="exact"/>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jc w:val="center"/>
              <w:rPr>
                <w:rFonts w:hint="eastAsia" w:ascii="宋体" w:hAnsi="宋体" w:eastAsia="宋体" w:cs="宋体"/>
                <w:color w:val="auto"/>
                <w:sz w:val="21"/>
                <w:szCs w:val="21"/>
                <w:highlight w:val="none"/>
              </w:rPr>
            </w:pPr>
          </w:p>
        </w:tc>
        <w:tc>
          <w:tcPr>
            <w:tcW w:w="1428" w:type="dxa"/>
            <w:vAlign w:val="center"/>
          </w:tcPr>
          <w:p>
            <w:pPr>
              <w:jc w:val="center"/>
              <w:rPr>
                <w:rFonts w:hint="eastAsia" w:ascii="宋体" w:hAnsi="宋体" w:eastAsia="宋体" w:cs="宋体"/>
                <w:color w:val="auto"/>
                <w:sz w:val="21"/>
                <w:szCs w:val="21"/>
                <w:highlight w:val="none"/>
              </w:rPr>
            </w:pPr>
          </w:p>
        </w:tc>
        <w:tc>
          <w:tcPr>
            <w:tcW w:w="2785"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jc w:val="center"/>
              <w:rPr>
                <w:rFonts w:hint="eastAsia" w:ascii="宋体" w:hAnsi="宋体" w:eastAsia="宋体" w:cs="宋体"/>
                <w:color w:val="auto"/>
                <w:sz w:val="21"/>
                <w:szCs w:val="21"/>
                <w:highlight w:val="none"/>
              </w:rPr>
            </w:pPr>
          </w:p>
        </w:tc>
        <w:tc>
          <w:tcPr>
            <w:tcW w:w="1428" w:type="dxa"/>
            <w:vAlign w:val="center"/>
          </w:tcPr>
          <w:p>
            <w:pPr>
              <w:jc w:val="center"/>
              <w:rPr>
                <w:rFonts w:hint="eastAsia" w:ascii="宋体" w:hAnsi="宋体" w:eastAsia="宋体" w:cs="宋体"/>
                <w:color w:val="auto"/>
                <w:sz w:val="21"/>
                <w:szCs w:val="21"/>
                <w:highlight w:val="none"/>
              </w:rPr>
            </w:pPr>
          </w:p>
        </w:tc>
        <w:tc>
          <w:tcPr>
            <w:tcW w:w="2785" w:type="dxa"/>
            <w:vAlign w:val="center"/>
          </w:tcPr>
          <w:p>
            <w:pPr>
              <w:jc w:val="center"/>
              <w:rPr>
                <w:rFonts w:hint="eastAsia" w:ascii="宋体" w:hAnsi="宋体" w:eastAsia="宋体" w:cs="宋体"/>
                <w:color w:val="auto"/>
                <w:sz w:val="21"/>
                <w:szCs w:val="21"/>
                <w:highlight w:val="none"/>
              </w:rPr>
            </w:pPr>
          </w:p>
        </w:tc>
      </w:tr>
    </w:tbl>
    <w:p>
      <w:pPr>
        <w:tabs>
          <w:tab w:val="center" w:pos="4410"/>
        </w:tabs>
        <w:spacing w:beforeLines="50"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注：本表后附评标细则</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如有</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要求提供的证明资料。</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pStyle w:val="11"/>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Ansi="宋体" w:cs="宋体"/>
          <w:b/>
          <w:color w:val="auto"/>
          <w:sz w:val="32"/>
          <w:szCs w:val="32"/>
          <w:highlight w:val="none"/>
        </w:rPr>
      </w:pPr>
      <w:r>
        <w:rPr>
          <w:rFonts w:hint="eastAsia" w:hAnsi="宋体" w:cs="宋体"/>
          <w:color w:val="auto"/>
          <w:szCs w:val="21"/>
          <w:highlight w:val="none"/>
        </w:rPr>
        <w:br w:type="page"/>
      </w:r>
      <w:r>
        <w:rPr>
          <w:rStyle w:val="85"/>
          <w:rFonts w:hint="eastAsia"/>
          <w:color w:val="auto"/>
          <w:highlight w:val="none"/>
        </w:rPr>
        <w:t>投标函</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致</w:t>
      </w:r>
      <w:r>
        <w:rPr>
          <w:rFonts w:hint="eastAsia" w:ascii="宋体" w:hAnsi="宋体" w:eastAsia="宋体" w:cs="宋体"/>
          <w:color w:val="auto"/>
          <w:sz w:val="21"/>
          <w:szCs w:val="21"/>
          <w:highlight w:val="none"/>
          <w:u w:val="single"/>
        </w:rPr>
        <w:t xml:space="preserve">（采购人）  </w:t>
      </w:r>
      <w:r>
        <w:rPr>
          <w:rFonts w:hint="eastAsia" w:ascii="宋体" w:hAnsi="宋体" w:eastAsia="宋体" w:cs="宋体"/>
          <w:color w:val="auto"/>
          <w:sz w:val="21"/>
          <w:szCs w:val="21"/>
          <w:highlight w:val="none"/>
        </w:rPr>
        <w:t>：</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（供应商全称）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（全权代表姓名）</w:t>
      </w:r>
      <w:r>
        <w:rPr>
          <w:rFonts w:hint="eastAsia" w:ascii="宋体" w:hAnsi="宋体" w:eastAsia="宋体" w:cs="宋体"/>
          <w:color w:val="auto"/>
          <w:sz w:val="21"/>
          <w:szCs w:val="21"/>
          <w:highlight w:val="none"/>
        </w:rPr>
        <w:t>为本公司（单位）合法代理人，参加贵方组织的</w:t>
      </w:r>
      <w:r>
        <w:rPr>
          <w:rFonts w:hint="eastAsia" w:ascii="宋体" w:hAnsi="宋体" w:eastAsia="宋体" w:cs="宋体"/>
          <w:color w:val="auto"/>
          <w:sz w:val="21"/>
          <w:szCs w:val="21"/>
          <w:highlight w:val="none"/>
          <w:u w:val="single"/>
        </w:rPr>
        <w:t>（招标编号、项目名称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标项</w:t>
      </w:r>
      <w:r>
        <w:rPr>
          <w:rFonts w:hint="eastAsia" w:ascii="宋体" w:hAnsi="宋体" w:eastAsia="宋体" w:cs="宋体"/>
          <w:color w:val="auto"/>
          <w:sz w:val="21"/>
          <w:szCs w:val="21"/>
          <w:highlight w:val="none"/>
          <w:u w:val="single"/>
        </w:rPr>
        <w:t xml:space="preserve">号）  </w:t>
      </w:r>
      <w:r>
        <w:rPr>
          <w:rFonts w:hint="eastAsia" w:ascii="宋体" w:hAnsi="宋体" w:eastAsia="宋体" w:cs="宋体"/>
          <w:color w:val="auto"/>
          <w:sz w:val="21"/>
          <w:szCs w:val="21"/>
          <w:highlight w:val="none"/>
        </w:rPr>
        <w:t>招投标活动，代表本公司（单位）处理招投标活动中的一切事宜，为对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标项</w:t>
      </w:r>
      <w:r>
        <w:rPr>
          <w:rFonts w:hint="eastAsia" w:ascii="宋体" w:hAnsi="宋体" w:eastAsia="宋体" w:cs="宋体"/>
          <w:color w:val="auto"/>
          <w:sz w:val="21"/>
          <w:szCs w:val="21"/>
          <w:highlight w:val="none"/>
          <w:u w:val="single"/>
        </w:rPr>
        <w:t>号）</w:t>
      </w:r>
      <w:r>
        <w:rPr>
          <w:rFonts w:hint="eastAsia" w:ascii="宋体" w:hAnsi="宋体" w:eastAsia="宋体" w:cs="宋体"/>
          <w:color w:val="auto"/>
          <w:sz w:val="21"/>
          <w:szCs w:val="21"/>
          <w:highlight w:val="none"/>
        </w:rPr>
        <w:t>进行投标，在此：</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1、提供招标文件中“投标须知”规定的全部投标文件。 </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2、据此函，签字代表宣布并承诺如下：</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本报价已经包含了所提供服务应纳的税金及招标文件规定的报价方式应包含的其它费用。本报价在投标有效期内固定不变，并在合同有效期内不受市场价变化、不受实际工作量变化及利率波动的影响。</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3、本投标自投标截止之日起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天内有效。</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4、我们已详细审查全部招标文件及有关的澄清/修改文件(若有的话)，我们完全理解并同意放弃对这方面提出任何异议的权利。保证遵守招标文件有关条款规定。</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5、保证遵守招标文件有关条款规定。</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6、保证在中标后忠实地执行与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所签署的合同，并承担合同规定的责任义务。保证在中标后按照招标文件的规定支付中标服务费。</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7、承诺应贵方要求提供任何与该项目投标有关的数据、情况和技术资料。</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8、与本投标有关的一切往来通讯请寄：</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p>
    <w:p>
      <w:pPr>
        <w:pStyle w:val="11"/>
        <w:keepNext w:val="0"/>
        <w:keepLines w:val="0"/>
        <w:pageBreakBefore w:val="0"/>
        <w:widowControl/>
        <w:kinsoku/>
        <w:wordWrap/>
        <w:overflowPunct/>
        <w:topLinePunct w:val="0"/>
        <w:autoSpaceDE/>
        <w:autoSpaceDN/>
        <w:bidi w:val="0"/>
        <w:adjustRightInd/>
        <w:snapToGrid/>
        <w:spacing w:line="360" w:lineRule="auto"/>
        <w:ind w:left="0" w:leftChars="0"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keepNext w:val="0"/>
        <w:keepLines w:val="0"/>
        <w:pageBreakBefore w:val="0"/>
        <w:widowControl/>
        <w:kinsoku/>
        <w:wordWrap/>
        <w:overflowPunct/>
        <w:topLinePunct w:val="0"/>
        <w:autoSpaceDE/>
        <w:autoSpaceDN/>
        <w:bidi w:val="0"/>
        <w:adjustRightInd/>
        <w:snapToGrid/>
        <w:spacing w:line="360" w:lineRule="auto"/>
        <w:ind w:left="0" w:leftChars="0"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keepNext w:val="0"/>
        <w:keepLines w:val="0"/>
        <w:pageBreakBefore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pStyle w:val="82"/>
        <w:keepNext w:val="0"/>
        <w:keepLines w:val="0"/>
        <w:pageBreakBefore w:val="0"/>
        <w:widowControl w:val="0"/>
        <w:tabs>
          <w:tab w:val="left" w:pos="420"/>
        </w:tabs>
        <w:kinsoku/>
        <w:wordWrap/>
        <w:overflowPunct/>
        <w:topLinePunct w:val="0"/>
        <w:autoSpaceDE/>
        <w:autoSpaceDN/>
        <w:bidi w:val="0"/>
        <w:adjustRightInd w:val="0"/>
        <w:snapToGrid w:val="0"/>
        <w:textAlignment w:val="auto"/>
        <w:outlineLvl w:val="2"/>
        <w:rPr>
          <w:rFonts w:hint="eastAsia" w:ascii="宋体" w:hAnsi="宋体" w:eastAsia="宋体" w:cs="宋体"/>
          <w:b/>
          <w:color w:val="auto"/>
          <w:sz w:val="30"/>
          <w:szCs w:val="30"/>
          <w:highlight w:val="none"/>
          <w:lang w:val="en-US" w:eastAsia="zh-CN"/>
        </w:rPr>
      </w:pPr>
      <w:r>
        <w:rPr>
          <w:rFonts w:hint="eastAsia" w:ascii="宋体" w:hAnsi="宋体"/>
          <w:b w:val="0"/>
          <w:color w:val="auto"/>
          <w:sz w:val="22"/>
          <w:szCs w:val="22"/>
          <w:highlight w:val="none"/>
        </w:rPr>
        <w:br w:type="page"/>
      </w:r>
      <w:bookmarkStart w:id="29" w:name="_Toc29085"/>
      <w:bookmarkStart w:id="30" w:name="_Toc31603"/>
      <w:r>
        <w:rPr>
          <w:rStyle w:val="85"/>
          <w:rFonts w:hint="eastAsia"/>
          <w:b/>
          <w:color w:val="auto"/>
          <w:highlight w:val="none"/>
          <w:lang w:val="en-US" w:eastAsia="zh-CN"/>
        </w:rPr>
        <w:t>开标一览表</w:t>
      </w:r>
      <w:bookmarkEnd w:id="29"/>
      <w:bookmarkEnd w:id="30"/>
    </w:p>
    <w:p>
      <w:pPr>
        <w:spacing w:beforeLines="10"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致：</w:t>
      </w:r>
      <w:r>
        <w:rPr>
          <w:rFonts w:hint="eastAsia" w:ascii="宋体" w:hAnsi="宋体" w:eastAsia="宋体" w:cs="宋体"/>
          <w:b/>
          <w:color w:val="auto"/>
          <w:sz w:val="21"/>
          <w:szCs w:val="21"/>
          <w:highlight w:val="none"/>
          <w:u w:val="single"/>
        </w:rPr>
        <w:t>（采购人）</w:t>
      </w:r>
    </w:p>
    <w:p>
      <w:pPr>
        <w:spacing w:beforeLines="10"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按你方采购文件要求，我们本投标文件签字方，谨此向你方发出要约如下：如你方接受本投标文件，我方承诺按照如下开标一览表的价格完成【项目名称：</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u w:val="single"/>
          <w:lang w:val="en-US" w:eastAsia="zh-CN"/>
        </w:rPr>
        <w:t xml:space="preserve">标项号：  </w:t>
      </w:r>
      <w:r>
        <w:rPr>
          <w:rFonts w:hint="eastAsia" w:ascii="宋体" w:hAnsi="宋体" w:eastAsia="宋体" w:cs="宋体"/>
          <w:color w:val="auto"/>
          <w:kern w:val="0"/>
          <w:sz w:val="21"/>
          <w:szCs w:val="21"/>
          <w:highlight w:val="none"/>
          <w:u w:val="single"/>
          <w:lang w:val="zh-CN"/>
        </w:rPr>
        <w:t>）</w:t>
      </w:r>
      <w:r>
        <w:rPr>
          <w:rFonts w:hint="eastAsia" w:ascii="宋体" w:hAnsi="宋体" w:eastAsia="宋体" w:cs="宋体"/>
          <w:color w:val="auto"/>
          <w:kern w:val="0"/>
          <w:sz w:val="21"/>
          <w:szCs w:val="21"/>
          <w:highlight w:val="none"/>
          <w:lang w:val="zh-CN"/>
        </w:rPr>
        <w:t>】实施。</w:t>
      </w:r>
    </w:p>
    <w:tbl>
      <w:tblPr>
        <w:tblStyle w:val="37"/>
        <w:tblW w:w="8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19" w:type="dxa"/>
            <w:tcBorders>
              <w:top w:val="double" w:color="auto" w:sz="4" w:space="0"/>
              <w:left w:val="double" w:color="auto" w:sz="4" w:space="0"/>
              <w:bottom w:val="double" w:color="auto" w:sz="4" w:space="0"/>
            </w:tcBorders>
            <w:noWrap/>
            <w:vAlign w:val="center"/>
          </w:tcPr>
          <w:p>
            <w:pPr>
              <w:pStyle w:val="11"/>
              <w:widowControl/>
              <w:spacing w:line="400" w:lineRule="exact"/>
              <w:ind w:firstLine="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采购内容</w:t>
            </w:r>
          </w:p>
        </w:tc>
        <w:tc>
          <w:tcPr>
            <w:tcW w:w="6588" w:type="dxa"/>
            <w:tcBorders>
              <w:top w:val="double" w:color="auto" w:sz="4" w:space="0"/>
              <w:bottom w:val="double" w:color="auto" w:sz="4" w:space="0"/>
              <w:right w:val="double" w:color="auto" w:sz="4" w:space="0"/>
            </w:tcBorders>
            <w:noWrap/>
            <w:vAlign w:val="center"/>
          </w:tcPr>
          <w:p>
            <w:pPr>
              <w:pStyle w:val="11"/>
              <w:widowControl/>
              <w:spacing w:line="400" w:lineRule="exact"/>
              <w:ind w:firstLine="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投标</w:t>
            </w:r>
            <w:r>
              <w:rPr>
                <w:rFonts w:hint="eastAsia" w:ascii="宋体" w:hAnsi="宋体" w:eastAsia="宋体" w:cs="宋体"/>
                <w:b/>
                <w:bCs/>
                <w:color w:val="auto"/>
                <w:sz w:val="21"/>
                <w:szCs w:val="21"/>
                <w:highlight w:val="none"/>
                <w:lang w:val="en-US" w:eastAsia="zh-CN"/>
              </w:rPr>
              <w:t>总</w:t>
            </w:r>
            <w:r>
              <w:rPr>
                <w:rFonts w:hint="eastAsia" w:ascii="宋体" w:hAnsi="宋体" w:eastAsia="宋体" w:cs="宋体"/>
                <w:b/>
                <w:bCs/>
                <w:color w:val="auto"/>
                <w:sz w:val="21"/>
                <w:szCs w:val="21"/>
                <w:highlight w:val="none"/>
              </w:rPr>
              <w:t>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元</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1819" w:type="dxa"/>
            <w:tcBorders>
              <w:top w:val="double" w:color="auto" w:sz="4" w:space="0"/>
              <w:left w:val="double" w:color="auto" w:sz="4" w:space="0"/>
              <w:bottom w:val="double" w:color="auto" w:sz="4" w:space="0"/>
            </w:tcBorders>
            <w:noWrap/>
            <w:vAlign w:val="center"/>
          </w:tcPr>
          <w:p>
            <w:pPr>
              <w:pStyle w:val="11"/>
              <w:widowControl/>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w:t>
            </w:r>
            <w:r>
              <w:rPr>
                <w:rFonts w:hint="eastAsia" w:ascii="宋体" w:hAnsi="宋体" w:eastAsia="宋体" w:cs="宋体"/>
                <w:b/>
                <w:bCs/>
                <w:color w:val="auto"/>
                <w:sz w:val="21"/>
                <w:szCs w:val="21"/>
                <w:highlight w:val="none"/>
                <w:lang w:val="en-US" w:eastAsia="zh-CN"/>
              </w:rPr>
              <w:t>总</w:t>
            </w:r>
            <w:r>
              <w:rPr>
                <w:rFonts w:hint="eastAsia" w:ascii="宋体" w:hAnsi="宋体" w:eastAsia="宋体" w:cs="宋体"/>
                <w:b/>
                <w:bCs/>
                <w:color w:val="auto"/>
                <w:sz w:val="21"/>
                <w:szCs w:val="21"/>
                <w:highlight w:val="none"/>
              </w:rPr>
              <w:t>报价</w:t>
            </w:r>
          </w:p>
        </w:tc>
        <w:tc>
          <w:tcPr>
            <w:tcW w:w="6588" w:type="dxa"/>
            <w:tcBorders>
              <w:top w:val="double" w:color="auto" w:sz="4" w:space="0"/>
              <w:bottom w:val="double" w:color="auto" w:sz="4" w:space="0"/>
              <w:right w:val="double" w:color="auto" w:sz="4" w:space="0"/>
            </w:tcBorders>
            <w:noWrap/>
            <w:vAlign w:val="center"/>
          </w:tcPr>
          <w:p>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/年</w:t>
            </w:r>
          </w:p>
          <w:p>
            <w:pPr>
              <w:pStyle w:val="11"/>
              <w:widowControl/>
              <w:spacing w:line="40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w:t>
            </w:r>
            <w:r>
              <w:rPr>
                <w:rFonts w:hint="eastAsia" w:ascii="宋体" w:hAnsi="宋体" w:eastAsia="宋体" w:cs="宋体"/>
                <w:color w:val="auto"/>
                <w:sz w:val="21"/>
                <w:szCs w:val="21"/>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819" w:type="dxa"/>
            <w:tcBorders>
              <w:top w:val="double" w:color="auto" w:sz="4" w:space="0"/>
              <w:left w:val="double" w:color="auto" w:sz="4" w:space="0"/>
              <w:bottom w:val="double" w:color="auto" w:sz="4" w:space="0"/>
            </w:tcBorders>
            <w:noWrap/>
            <w:vAlign w:val="center"/>
          </w:tcPr>
          <w:p>
            <w:pPr>
              <w:pStyle w:val="11"/>
              <w:widowControl/>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服务期限</w:t>
            </w:r>
          </w:p>
        </w:tc>
        <w:tc>
          <w:tcPr>
            <w:tcW w:w="6588" w:type="dxa"/>
            <w:tcBorders>
              <w:top w:val="double" w:color="auto" w:sz="4" w:space="0"/>
              <w:bottom w:val="double" w:color="auto" w:sz="4" w:space="0"/>
              <w:right w:val="double" w:color="auto" w:sz="4" w:space="0"/>
            </w:tcBorders>
            <w:noWrap/>
            <w:vAlign w:val="center"/>
          </w:tcPr>
          <w:p>
            <w:pPr>
              <w:pStyle w:val="11"/>
              <w:widowControl/>
              <w:spacing w:line="400" w:lineRule="exact"/>
              <w:ind w:firstLine="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819" w:type="dxa"/>
            <w:tcBorders>
              <w:top w:val="double" w:color="auto" w:sz="4" w:space="0"/>
              <w:left w:val="double" w:color="auto" w:sz="4" w:space="0"/>
            </w:tcBorders>
            <w:noWrap/>
            <w:vAlign w:val="center"/>
          </w:tcPr>
          <w:p>
            <w:pPr>
              <w:pStyle w:val="11"/>
              <w:widowControl/>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投标声明</w:t>
            </w:r>
          </w:p>
        </w:tc>
        <w:tc>
          <w:tcPr>
            <w:tcW w:w="6588" w:type="dxa"/>
            <w:tcBorders>
              <w:top w:val="double" w:color="auto" w:sz="4" w:space="0"/>
              <w:right w:val="double" w:color="auto" w:sz="4" w:space="0"/>
            </w:tcBorders>
            <w:noWrap/>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若无填“/”即可</w:t>
            </w:r>
          </w:p>
        </w:tc>
      </w:tr>
    </w:tbl>
    <w:p>
      <w:pPr>
        <w:pStyle w:val="1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6"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 1、报价一经涂改，应在涂改处加盖单位公章或者由法定代表人或授权代表签名或盖章，否则其投标作无效标处理。</w:t>
      </w:r>
    </w:p>
    <w:p>
      <w:pPr>
        <w:pStyle w:val="1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6"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投标报价已包含完成本服务所需的所有费用，包括但不限于：人员基本工资、社保、岗位津贴等各类福利和补贴（如加班补贴、高温补贴、早餐补贴等）的缴纳，暂住费、各种保险及处理一切伤亡事故等费用，人员各季节工作服（含帽、衣、裤、鞋、雨衣、雨裤，雨鞋）的配置，人员所使用作业工具等各类耗材费，设施设备管理维护费用，税金、利润及其他与本次服务相关的一切费用，采购人不再另行支付其他费用是履行合同的最终价格，包含但不限于购买服务需交纳的所有税费及其他一切相关费用。供应商少报或漏报的工作量，采购人将视为已包含在投标总价中，并不予调整。</w:t>
      </w:r>
    </w:p>
    <w:p>
      <w:pPr>
        <w:pStyle w:val="28"/>
        <w:keepNext w:val="0"/>
        <w:keepLines w:val="0"/>
        <w:pageBreakBefore w:val="0"/>
        <w:widowControl w:val="0"/>
        <w:kinsoku/>
        <w:wordWrap/>
        <w:overflowPunct/>
        <w:topLinePunct w:val="0"/>
        <w:autoSpaceDE/>
        <w:autoSpaceDN/>
        <w:bidi w:val="0"/>
        <w:adjustRightInd/>
        <w:snapToGrid/>
        <w:spacing w:line="360" w:lineRule="exact"/>
        <w:ind w:left="0" w:firstLine="422" w:firstLineChars="200"/>
        <w:jc w:val="both"/>
        <w:textAlignment w:val="auto"/>
        <w:rPr>
          <w:rFonts w:hint="default"/>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3、最高限价为人民币50万元/年（含绩效考核奖励资金4万元和工矿企业事故遏制奖励资金3万元）。</w:t>
      </w:r>
      <w:r>
        <w:rPr>
          <w:rFonts w:hint="eastAsia" w:ascii="宋体" w:hAnsi="宋体" w:cs="宋体"/>
          <w:b/>
          <w:bCs/>
          <w:color w:val="auto"/>
          <w:sz w:val="21"/>
          <w:szCs w:val="21"/>
          <w:highlight w:val="none"/>
          <w:lang w:val="en-US" w:eastAsia="zh-CN"/>
        </w:rPr>
        <w:t>其中绩效考核奖励资金4万元和工矿企业事故遏制奖励资金3万元为不可竞争费用，在合同执行过程中由采购人考核后支付。</w:t>
      </w:r>
    </w:p>
    <w:p>
      <w:pPr>
        <w:pStyle w:val="1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6"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4、投标总价建议四舍五入保留至整数位。</w:t>
      </w:r>
    </w:p>
    <w:p>
      <w:pPr>
        <w:pStyle w:val="11"/>
        <w:widowControl/>
        <w:spacing w:line="360" w:lineRule="auto"/>
        <w:ind w:firstLine="4848" w:firstLineChars="2400"/>
        <w:jc w:val="left"/>
        <w:rPr>
          <w:rFonts w:hint="eastAsia" w:ascii="宋体" w:hAnsi="宋体" w:eastAsia="宋体" w:cs="宋体"/>
          <w:color w:val="auto"/>
          <w:sz w:val="21"/>
          <w:szCs w:val="21"/>
          <w:highlight w:val="none"/>
        </w:rPr>
      </w:pPr>
    </w:p>
    <w:p>
      <w:pPr>
        <w:pStyle w:val="11"/>
        <w:widowControl/>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jc w:val="center"/>
        <w:textAlignment w:val="auto"/>
        <w:outlineLvl w:val="2"/>
        <w:rPr>
          <w:rStyle w:val="85"/>
          <w:rFonts w:hint="eastAsia" w:ascii="Times New Roman" w:hAnsi="Times New Roman" w:eastAsia="宋体" w:cs="Times New Roman"/>
          <w:color w:val="auto"/>
          <w:highlight w:val="none"/>
          <w:lang w:eastAsia="zh-CN"/>
        </w:rPr>
      </w:pPr>
      <w:r>
        <w:rPr>
          <w:rFonts w:hint="eastAsia" w:ascii="宋体" w:hAnsi="宋体" w:eastAsia="宋体" w:cs="宋体"/>
          <w:b/>
          <w:color w:val="auto"/>
          <w:sz w:val="22"/>
          <w:szCs w:val="22"/>
          <w:highlight w:val="none"/>
        </w:rPr>
        <w:br w:type="page"/>
      </w:r>
      <w:r>
        <w:rPr>
          <w:rStyle w:val="85"/>
          <w:rFonts w:hint="eastAsia" w:cs="Times New Roman"/>
          <w:color w:val="auto"/>
          <w:highlight w:val="none"/>
          <w:lang w:val="en-US" w:eastAsia="zh-CN"/>
        </w:rPr>
        <w:t>投标</w:t>
      </w:r>
      <w:r>
        <w:rPr>
          <w:rStyle w:val="85"/>
          <w:rFonts w:hint="eastAsia" w:ascii="Times New Roman" w:hAnsi="Times New Roman" w:eastAsia="宋体" w:cs="Times New Roman"/>
          <w:color w:val="auto"/>
          <w:highlight w:val="none"/>
          <w:lang w:eastAsia="zh-CN"/>
        </w:rPr>
        <w:t>报价表</w:t>
      </w:r>
    </w:p>
    <w:p>
      <w:pPr>
        <w:keepNext w:val="0"/>
        <w:keepLines w:val="0"/>
        <w:pageBreakBefore w:val="0"/>
        <w:widowControl w:val="0"/>
        <w:kinsoku/>
        <w:wordWrap/>
        <w:overflowPunct/>
        <w:topLinePunct w:val="0"/>
        <w:autoSpaceDE/>
        <w:autoSpaceDN/>
        <w:bidi w:val="0"/>
        <w:adjustRightInd/>
        <w:snapToGrid/>
        <w:jc w:val="both"/>
        <w:textAlignment w:val="auto"/>
        <w:outlineLvl w:val="9"/>
        <w:rPr>
          <w:rStyle w:val="85"/>
          <w:rFonts w:hint="eastAsia" w:ascii="Times New Roman" w:hAnsi="Times New Roman" w:eastAsia="宋体" w:cs="Times New Roman"/>
          <w:color w:val="auto"/>
          <w:highlight w:val="none"/>
          <w:lang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pPr>
        <w:pStyle w:val="11"/>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p>
    <w:p>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货币单位：人民币元</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978"/>
        <w:gridCol w:w="981"/>
        <w:gridCol w:w="112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double" w:color="auto" w:sz="4" w:space="0"/>
              <w:left w:val="double" w:color="auto" w:sz="4" w:space="0"/>
              <w:bottom w:val="double" w:color="auto" w:sz="4" w:space="0"/>
              <w:right w:val="single" w:color="auto" w:sz="4" w:space="0"/>
            </w:tcBorders>
            <w:noWrap w:val="0"/>
            <w:vAlign w:val="center"/>
          </w:tcPr>
          <w:p>
            <w:pPr>
              <w:pStyle w:val="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978" w:type="dxa"/>
            <w:tcBorders>
              <w:top w:val="double" w:color="auto" w:sz="4" w:space="0"/>
              <w:left w:val="single" w:color="auto" w:sz="4" w:space="0"/>
              <w:bottom w:val="doub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981" w:type="dxa"/>
            <w:tcBorders>
              <w:top w:val="double" w:color="auto" w:sz="4" w:space="0"/>
              <w:left w:val="single" w:color="auto" w:sz="4" w:space="0"/>
              <w:bottom w:val="doub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数量</w:t>
            </w:r>
          </w:p>
        </w:tc>
        <w:tc>
          <w:tcPr>
            <w:tcW w:w="1124" w:type="dxa"/>
            <w:tcBorders>
              <w:top w:val="double" w:color="auto" w:sz="4" w:space="0"/>
              <w:left w:val="single" w:color="auto" w:sz="4" w:space="0"/>
              <w:bottom w:val="doub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240" w:type="dxa"/>
            <w:tcBorders>
              <w:top w:val="double" w:color="auto" w:sz="4" w:space="0"/>
              <w:left w:val="single" w:color="auto" w:sz="4" w:space="0"/>
              <w:bottom w:val="double" w:color="auto" w:sz="4" w:space="0"/>
              <w:right w:val="doub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doub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978" w:type="dxa"/>
            <w:tcBorders>
              <w:top w:val="doub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项目负责人费用</w:t>
            </w:r>
          </w:p>
        </w:tc>
        <w:tc>
          <w:tcPr>
            <w:tcW w:w="981" w:type="dxa"/>
            <w:tcBorders>
              <w:top w:val="doub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1124" w:type="dxa"/>
            <w:tcBorders>
              <w:top w:val="doub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240" w:type="dxa"/>
            <w:tcBorders>
              <w:top w:val="doub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人员费用</w:t>
            </w:r>
          </w:p>
        </w:tc>
        <w:tc>
          <w:tcPr>
            <w:tcW w:w="9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240"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pStyle w:val="4"/>
              <w:bidi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lang w:val="zh-CN" w:eastAsia="zh-CN" w:bidi="zh-CN"/>
              </w:rPr>
              <w:t>设备折旧费</w:t>
            </w:r>
          </w:p>
        </w:tc>
        <w:tc>
          <w:tcPr>
            <w:tcW w:w="9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240"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奖励资金</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绩效考核奖励资金</w:t>
            </w:r>
            <w:r>
              <w:rPr>
                <w:rFonts w:hint="eastAsia" w:ascii="宋体" w:hAnsi="宋体" w:cs="宋体"/>
                <w:color w:val="auto"/>
                <w:sz w:val="21"/>
                <w:szCs w:val="21"/>
                <w:highlight w:val="none"/>
                <w:lang w:val="zh-CN"/>
              </w:rPr>
              <w:t>）</w:t>
            </w: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240"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奖励资金</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工矿企业事故遏制奖励资金</w:t>
            </w:r>
            <w:r>
              <w:rPr>
                <w:rFonts w:hint="eastAsia" w:ascii="宋体" w:hAnsi="宋体" w:cs="宋体"/>
                <w:color w:val="auto"/>
                <w:sz w:val="21"/>
                <w:szCs w:val="21"/>
                <w:highlight w:val="none"/>
                <w:lang w:val="en-US" w:eastAsia="zh-CN"/>
              </w:rPr>
              <w:t>）</w:t>
            </w: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p>
        </w:tc>
        <w:tc>
          <w:tcPr>
            <w:tcW w:w="1240"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240"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w:t>
            </w:r>
          </w:p>
        </w:tc>
        <w:tc>
          <w:tcPr>
            <w:tcW w:w="608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利润</w:t>
            </w:r>
          </w:p>
        </w:tc>
        <w:tc>
          <w:tcPr>
            <w:tcW w:w="1240"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08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税金</w:t>
            </w:r>
          </w:p>
        </w:tc>
        <w:tc>
          <w:tcPr>
            <w:tcW w:w="1240"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doub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323" w:type="dxa"/>
            <w:gridSpan w:val="4"/>
            <w:tcBorders>
              <w:top w:val="single" w:color="auto" w:sz="4" w:space="0"/>
              <w:left w:val="single" w:color="auto" w:sz="4" w:space="0"/>
              <w:bottom w:val="double" w:color="auto" w:sz="4" w:space="0"/>
              <w:right w:val="doub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               大写：</w:t>
            </w:r>
          </w:p>
        </w:tc>
      </w:tr>
    </w:tbl>
    <w:p>
      <w:pPr>
        <w:tabs>
          <w:tab w:val="left" w:pos="425"/>
          <w:tab w:val="left" w:pos="845"/>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注：1、</w:t>
      </w: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val="en-US" w:eastAsia="zh-CN"/>
        </w:rPr>
        <w:t>最高限价为人民币50万元/年（含绩效考核奖励资金4万元和工矿企业事故遏制奖励资金3万元）。</w:t>
      </w:r>
    </w:p>
    <w:p>
      <w:pPr>
        <w:tabs>
          <w:tab w:val="left" w:pos="425"/>
          <w:tab w:val="left" w:pos="845"/>
        </w:tabs>
        <w:spacing w:line="400" w:lineRule="exact"/>
        <w:ind w:firstLine="843" w:firstLineChars="4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zh-CN" w:eastAsia="zh-CN"/>
        </w:rPr>
        <w:t>绩效考核奖励资金4万元和工矿企业事故遏制奖励资金3万元</w:t>
      </w:r>
      <w:r>
        <w:rPr>
          <w:rFonts w:hint="eastAsia" w:ascii="宋体" w:hAnsi="宋体" w:cs="宋体"/>
          <w:b/>
          <w:bCs/>
          <w:color w:val="auto"/>
          <w:sz w:val="21"/>
          <w:szCs w:val="21"/>
          <w:highlight w:val="none"/>
          <w:lang w:val="en-US" w:eastAsia="zh-CN"/>
        </w:rPr>
        <w:t>为不可竞争费用，投标报价时不得更改上述两项费用，否则作无效标处理</w:t>
      </w:r>
      <w:r>
        <w:rPr>
          <w:rFonts w:hint="eastAsia" w:ascii="宋体" w:hAnsi="宋体" w:eastAsia="宋体" w:cs="宋体"/>
          <w:b/>
          <w:bCs/>
          <w:color w:val="auto"/>
          <w:sz w:val="21"/>
          <w:szCs w:val="21"/>
          <w:highlight w:val="none"/>
          <w:lang w:val="zh-CN"/>
        </w:rPr>
        <w:t>。</w:t>
      </w:r>
    </w:p>
    <w:p>
      <w:pPr>
        <w:tabs>
          <w:tab w:val="left" w:pos="425"/>
          <w:tab w:val="left" w:pos="845"/>
        </w:tabs>
        <w:spacing w:line="400" w:lineRule="exact"/>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投标人认为应当说明而本表中无相应栏目的，请在自行增加栏目加以说明。</w:t>
      </w:r>
    </w:p>
    <w:p>
      <w:pPr>
        <w:pStyle w:val="11"/>
        <w:widowControl/>
        <w:spacing w:line="360" w:lineRule="auto"/>
        <w:ind w:left="0" w:leftChars="0" w:firstLine="0" w:firstLineChars="0"/>
        <w:jc w:val="left"/>
        <w:rPr>
          <w:rFonts w:hint="eastAsia" w:ascii="宋体" w:hAnsi="宋体" w:eastAsia="宋体" w:cs="宋体"/>
          <w:color w:val="auto"/>
          <w:sz w:val="21"/>
          <w:szCs w:val="21"/>
          <w:highlight w:val="none"/>
        </w:rPr>
      </w:pPr>
    </w:p>
    <w:p>
      <w:pPr>
        <w:pStyle w:val="11"/>
        <w:widowControl/>
        <w:spacing w:line="48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48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480" w:lineRule="auto"/>
        <w:ind w:right="1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rPr>
          <w:rStyle w:val="85"/>
          <w:rFonts w:hint="eastAsia"/>
          <w:color w:val="auto"/>
          <w:highlight w:val="none"/>
        </w:rPr>
      </w:pPr>
    </w:p>
    <w:p>
      <w:pPr>
        <w:rPr>
          <w:rStyle w:val="85"/>
          <w:rFonts w:hint="eastAsia"/>
          <w:color w:val="auto"/>
          <w:highlight w:val="none"/>
        </w:rPr>
      </w:pPr>
      <w:bookmarkStart w:id="31" w:name="_Toc27880"/>
      <w:bookmarkStart w:id="32" w:name="_Toc18369"/>
      <w:r>
        <w:rPr>
          <w:rStyle w:val="85"/>
          <w:rFonts w:hint="eastAsia"/>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2"/>
        <w:rPr>
          <w:rFonts w:ascii="宋体" w:hAnsi="宋体" w:cs="宋体"/>
          <w:b/>
          <w:color w:val="auto"/>
          <w:spacing w:val="6"/>
          <w:sz w:val="32"/>
          <w:szCs w:val="32"/>
          <w:highlight w:val="none"/>
        </w:rPr>
      </w:pPr>
      <w:r>
        <w:rPr>
          <w:rStyle w:val="85"/>
          <w:rFonts w:hint="eastAsia"/>
          <w:color w:val="auto"/>
          <w:highlight w:val="none"/>
        </w:rPr>
        <w:t>政府采购统计基础信息表</w:t>
      </w:r>
      <w:bookmarkEnd w:id="31"/>
      <w:bookmarkEnd w:id="32"/>
    </w:p>
    <w:tbl>
      <w:tblPr>
        <w:tblStyle w:val="37"/>
        <w:tblpPr w:leftFromText="180" w:rightFromText="180" w:vertAnchor="text" w:horzAnchor="page" w:tblpXSpec="center" w:tblpY="236"/>
        <w:tblOverlap w:val="never"/>
        <w:tblW w:w="8459" w:type="dxa"/>
        <w:jc w:val="center"/>
        <w:tblLayout w:type="fixed"/>
        <w:tblCellMar>
          <w:top w:w="0" w:type="dxa"/>
          <w:left w:w="108" w:type="dxa"/>
          <w:bottom w:w="0" w:type="dxa"/>
          <w:right w:w="108" w:type="dxa"/>
        </w:tblCellMar>
      </w:tblPr>
      <w:tblGrid>
        <w:gridCol w:w="5127"/>
        <w:gridCol w:w="3332"/>
      </w:tblGrid>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采购人及采购项目名称</w:t>
            </w:r>
          </w:p>
        </w:tc>
        <w:tc>
          <w:tcPr>
            <w:tcW w:w="3332" w:type="dxa"/>
            <w:tcBorders>
              <w:top w:val="single" w:color="000000" w:sz="4" w:space="0"/>
              <w:left w:val="nil"/>
              <w:bottom w:val="single" w:color="000000" w:sz="4" w:space="0"/>
              <w:right w:val="single" w:color="000000" w:sz="4" w:space="0"/>
            </w:tcBorders>
          </w:tcPr>
          <w:p>
            <w:pPr>
              <w:ind w:firstLine="444" w:firstLineChars="200"/>
              <w:rPr>
                <w:rFonts w:ascii="宋体" w:hAnsi="宋体" w:cs="宋体"/>
                <w:color w:val="auto"/>
                <w:spacing w:val="6"/>
                <w:sz w:val="21"/>
                <w:szCs w:val="21"/>
                <w:highlight w:val="none"/>
              </w:rPr>
            </w:pP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投（中）标单位名称</w:t>
            </w:r>
          </w:p>
        </w:tc>
        <w:tc>
          <w:tcPr>
            <w:tcW w:w="3332" w:type="dxa"/>
            <w:tcBorders>
              <w:top w:val="single" w:color="000000" w:sz="4" w:space="0"/>
              <w:left w:val="nil"/>
              <w:bottom w:val="single" w:color="000000" w:sz="4" w:space="0"/>
              <w:right w:val="single" w:color="000000" w:sz="4" w:space="0"/>
            </w:tcBorders>
          </w:tcPr>
          <w:p>
            <w:pPr>
              <w:ind w:firstLine="444" w:firstLineChars="200"/>
              <w:rPr>
                <w:rFonts w:ascii="宋体" w:hAnsi="宋体" w:cs="宋体"/>
                <w:color w:val="auto"/>
                <w:spacing w:val="6"/>
                <w:sz w:val="21"/>
                <w:szCs w:val="21"/>
                <w:highlight w:val="none"/>
              </w:rPr>
            </w:pP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是否国内企业</w:t>
            </w:r>
          </w:p>
        </w:tc>
        <w:tc>
          <w:tcPr>
            <w:tcW w:w="3332" w:type="dxa"/>
            <w:tcBorders>
              <w:top w:val="single" w:color="000000" w:sz="4" w:space="0"/>
              <w:left w:val="nil"/>
              <w:bottom w:val="single" w:color="000000" w:sz="4" w:space="0"/>
              <w:right w:val="single" w:color="000000" w:sz="4" w:space="0"/>
            </w:tcBorders>
          </w:tcPr>
          <w:p>
            <w:pPr>
              <w:ind w:firstLine="444" w:firstLineChars="200"/>
              <w:rPr>
                <w:rFonts w:ascii="宋体" w:hAnsi="宋体" w:cs="宋体"/>
                <w:color w:val="auto"/>
                <w:spacing w:val="6"/>
                <w:sz w:val="21"/>
                <w:szCs w:val="21"/>
                <w:highlight w:val="none"/>
              </w:rPr>
            </w:pP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是否宁波企业</w:t>
            </w:r>
          </w:p>
        </w:tc>
        <w:tc>
          <w:tcPr>
            <w:tcW w:w="3332" w:type="dxa"/>
            <w:tcBorders>
              <w:top w:val="single" w:color="000000" w:sz="4" w:space="0"/>
              <w:left w:val="nil"/>
              <w:bottom w:val="single" w:color="000000" w:sz="4" w:space="0"/>
              <w:right w:val="single" w:color="000000" w:sz="4" w:space="0"/>
            </w:tcBorders>
          </w:tcPr>
          <w:p>
            <w:pPr>
              <w:ind w:firstLine="444" w:firstLineChars="200"/>
              <w:rPr>
                <w:rFonts w:ascii="宋体" w:hAnsi="宋体" w:cs="宋体"/>
                <w:color w:val="auto"/>
                <w:spacing w:val="6"/>
                <w:sz w:val="21"/>
                <w:szCs w:val="21"/>
                <w:highlight w:val="none"/>
              </w:rPr>
            </w:pP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企业划分标准类型（大型、中型、小型、微型）</w:t>
            </w:r>
          </w:p>
        </w:tc>
        <w:tc>
          <w:tcPr>
            <w:tcW w:w="3332" w:type="dxa"/>
            <w:tcBorders>
              <w:top w:val="single" w:color="000000" w:sz="4" w:space="0"/>
              <w:left w:val="nil"/>
              <w:bottom w:val="single" w:color="000000" w:sz="4" w:space="0"/>
              <w:right w:val="single" w:color="000000" w:sz="4" w:space="0"/>
            </w:tcBorders>
          </w:tcPr>
          <w:p>
            <w:pPr>
              <w:ind w:firstLine="444" w:firstLineChars="200"/>
              <w:rPr>
                <w:rFonts w:ascii="宋体" w:hAnsi="宋体" w:cs="宋体"/>
                <w:color w:val="auto"/>
                <w:spacing w:val="6"/>
                <w:sz w:val="21"/>
                <w:szCs w:val="21"/>
                <w:highlight w:val="none"/>
              </w:rPr>
            </w:pP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提供的货物是否本企业制造</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货物原产地是否是中国境内</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货物原产地是否是宁波</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是节能清单产品</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提供的货物是否是环境标志清单产品</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承担的工程或服务是否本企业提供</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本项目预算</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本项目是否专门面向中小企业采购</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r>
        <w:tblPrEx>
          <w:tblCellMar>
            <w:top w:w="0" w:type="dxa"/>
            <w:left w:w="108" w:type="dxa"/>
            <w:bottom w:w="0" w:type="dxa"/>
            <w:right w:w="108" w:type="dxa"/>
          </w:tblCellMar>
        </w:tblPrEx>
        <w:trPr>
          <w:trHeight w:val="62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投（中）标金额（万元）</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bl>
    <w:p>
      <w:pPr>
        <w:pStyle w:val="58"/>
        <w:ind w:firstLine="420"/>
        <w:rPr>
          <w:color w:val="auto"/>
          <w:highlight w:val="none"/>
        </w:rPr>
      </w:pPr>
      <w:bookmarkStart w:id="33" w:name="_GoBack"/>
      <w:bookmarkEnd w:id="33"/>
    </w:p>
    <w:p>
      <w:pPr>
        <w:rPr>
          <w:rFonts w:ascii="宋体" w:hAnsi="宋体"/>
          <w:color w:val="auto"/>
          <w:highlight w:val="none"/>
        </w:rPr>
      </w:pPr>
    </w:p>
    <w:p>
      <w:pPr>
        <w:spacing w:before="340" w:line="440" w:lineRule="exact"/>
        <w:rPr>
          <w:rFonts w:ascii="Calibri" w:hAnsi="宋体"/>
          <w:color w:val="auto"/>
          <w:szCs w:val="21"/>
          <w:highlight w:val="none"/>
        </w:rPr>
      </w:pPr>
    </w:p>
    <w:sectPr>
      <w:pgSz w:w="11906" w:h="16838"/>
      <w:pgMar w:top="1417" w:right="1701" w:bottom="1247" w:left="1701" w:header="851"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41"/>
      </w:rPr>
    </w:pPr>
    <w:r>
      <w:fldChar w:fldCharType="begin"/>
    </w:r>
    <w:r>
      <w:rPr>
        <w:rStyle w:val="41"/>
      </w:rPr>
      <w:instrText xml:space="preserve">PAGE  </w:instrTex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pPr>
      <w:pStyle w:val="23"/>
      <w:ind w:left="0" w:leftChars="0" w:firstLine="0" w:firstLineChars="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DC240"/>
    <w:multiLevelType w:val="multilevel"/>
    <w:tmpl w:val="84CDC240"/>
    <w:lvl w:ilvl="0" w:tentative="0">
      <w:start w:val="2"/>
      <w:numFmt w:val="decimal"/>
      <w:suff w:val="nothing"/>
      <w:lvlText w:val="第%1章 "/>
      <w:lvlJc w:val="left"/>
      <w:pPr>
        <w:tabs>
          <w:tab w:val="left" w:pos="0"/>
        </w:tabs>
        <w:ind w:left="432" w:hanging="432"/>
      </w:pPr>
      <w:rPr>
        <w:rFonts w:hint="default" w:ascii="宋体" w:hAnsi="宋体" w:eastAsia="宋体" w:cs="宋体"/>
        <w:b/>
        <w:sz w:val="36"/>
      </w:rPr>
    </w:lvl>
    <w:lvl w:ilvl="1" w:tentative="0">
      <w:start w:val="1"/>
      <w:numFmt w:val="decimal"/>
      <w:isLgl/>
      <w:lvlText w:val="%1.%2 "/>
      <w:lvlJc w:val="left"/>
      <w:pPr>
        <w:tabs>
          <w:tab w:val="left" w:pos="420"/>
        </w:tabs>
        <w:ind w:left="575" w:hanging="575"/>
      </w:pPr>
      <w:rPr>
        <w:rFonts w:hint="default" w:ascii="宋体" w:hAnsi="宋体" w:eastAsia="宋体" w:cs="宋体"/>
        <w:b/>
        <w:sz w:val="32"/>
      </w:rPr>
    </w:lvl>
    <w:lvl w:ilvl="2" w:tentative="0">
      <w:start w:val="1"/>
      <w:numFmt w:val="decimal"/>
      <w:isLgl/>
      <w:lvlText w:val="%1.%2.%3 "/>
      <w:lvlJc w:val="left"/>
      <w:pPr>
        <w:tabs>
          <w:tab w:val="left" w:pos="420"/>
        </w:tabs>
        <w:ind w:left="720" w:hanging="720"/>
      </w:pPr>
      <w:rPr>
        <w:rFonts w:hint="default" w:ascii="宋体" w:hAnsi="宋体" w:eastAsia="宋体" w:cs="宋体"/>
        <w:b/>
        <w:sz w:val="30"/>
      </w:rPr>
    </w:lvl>
    <w:lvl w:ilvl="3" w:tentative="0">
      <w:start w:val="1"/>
      <w:numFmt w:val="decimal"/>
      <w:isLgl/>
      <w:lvlText w:val="%1.%2.%3.%4 "/>
      <w:lvlJc w:val="left"/>
      <w:pPr>
        <w:ind w:left="864" w:hanging="864"/>
      </w:pPr>
      <w:rPr>
        <w:rFonts w:hint="default" w:ascii="宋体" w:hAnsi="宋体" w:eastAsia="宋体" w:cs="宋体"/>
        <w:b/>
        <w:sz w:val="22"/>
        <w:szCs w:val="22"/>
      </w:rPr>
    </w:lvl>
    <w:lvl w:ilvl="4" w:tentative="0">
      <w:start w:val="1"/>
      <w:numFmt w:val="decimal"/>
      <w:pStyle w:val="7"/>
      <w:isLgl/>
      <w:lvlText w:val="%1.%2.%3.%4.%5 "/>
      <w:lvlJc w:val="left"/>
      <w:pPr>
        <w:ind w:left="1008" w:hanging="1008"/>
      </w:pPr>
      <w:rPr>
        <w:rFonts w:hint="default" w:ascii="宋体" w:hAnsi="宋体" w:eastAsia="宋体" w:cs="宋体"/>
        <w:b/>
        <w:sz w:val="24"/>
      </w:rPr>
    </w:lvl>
    <w:lvl w:ilvl="5" w:tentative="0">
      <w:start w:val="1"/>
      <w:numFmt w:val="decimal"/>
      <w:pStyle w:val="8"/>
      <w:isLgl/>
      <w:lvlText w:val="%1.%2.%3.%4.%5.%6 "/>
      <w:lvlJc w:val="left"/>
      <w:pPr>
        <w:ind w:left="1151" w:hanging="1151"/>
      </w:pPr>
      <w:rPr>
        <w:rFonts w:hint="default" w:ascii="宋体" w:hAnsi="宋体" w:eastAsia="宋体" w:cs="宋体"/>
        <w:b/>
        <w:sz w:val="21"/>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8DC570EA"/>
    <w:multiLevelType w:val="singleLevel"/>
    <w:tmpl w:val="8DC570EA"/>
    <w:lvl w:ilvl="0" w:tentative="0">
      <w:start w:val="1"/>
      <w:numFmt w:val="decimal"/>
      <w:suff w:val="nothing"/>
      <w:lvlText w:val="%1．"/>
      <w:lvlJc w:val="left"/>
      <w:pPr>
        <w:ind w:left="0" w:firstLine="400"/>
      </w:pPr>
      <w:rPr>
        <w:rFonts w:hint="default"/>
      </w:rPr>
    </w:lvl>
  </w:abstractNum>
  <w:abstractNum w:abstractNumId="2">
    <w:nsid w:val="92C1DF86"/>
    <w:multiLevelType w:val="singleLevel"/>
    <w:tmpl w:val="92C1DF86"/>
    <w:lvl w:ilvl="0" w:tentative="0">
      <w:start w:val="1"/>
      <w:numFmt w:val="decimal"/>
      <w:suff w:val="nothing"/>
      <w:lvlText w:val="%1．"/>
      <w:lvlJc w:val="left"/>
      <w:pPr>
        <w:ind w:left="0" w:firstLine="400"/>
      </w:pPr>
      <w:rPr>
        <w:rFonts w:hint="default"/>
      </w:rPr>
    </w:lvl>
  </w:abstractNum>
  <w:abstractNum w:abstractNumId="3">
    <w:nsid w:val="AE5FABBE"/>
    <w:multiLevelType w:val="singleLevel"/>
    <w:tmpl w:val="AE5FABBE"/>
    <w:lvl w:ilvl="0" w:tentative="0">
      <w:start w:val="1"/>
      <w:numFmt w:val="decimal"/>
      <w:suff w:val="nothing"/>
      <w:lvlText w:val="%1．"/>
      <w:lvlJc w:val="left"/>
      <w:pPr>
        <w:ind w:left="0" w:firstLine="400"/>
      </w:pPr>
      <w:rPr>
        <w:rFonts w:hint="default"/>
      </w:rPr>
    </w:lvl>
  </w:abstractNum>
  <w:abstractNum w:abstractNumId="4">
    <w:nsid w:val="B426AB6B"/>
    <w:multiLevelType w:val="singleLevel"/>
    <w:tmpl w:val="B426AB6B"/>
    <w:lvl w:ilvl="0" w:tentative="0">
      <w:start w:val="1"/>
      <w:numFmt w:val="decimal"/>
      <w:suff w:val="nothing"/>
      <w:lvlText w:val="%1．"/>
      <w:lvlJc w:val="left"/>
      <w:pPr>
        <w:ind w:left="0" w:firstLine="400"/>
      </w:pPr>
      <w:rPr>
        <w:rFonts w:hint="default"/>
      </w:rPr>
    </w:lvl>
  </w:abstractNum>
  <w:abstractNum w:abstractNumId="5">
    <w:nsid w:val="BA5517B0"/>
    <w:multiLevelType w:val="singleLevel"/>
    <w:tmpl w:val="BA5517B0"/>
    <w:lvl w:ilvl="0" w:tentative="0">
      <w:start w:val="1"/>
      <w:numFmt w:val="decimal"/>
      <w:suff w:val="nothing"/>
      <w:lvlText w:val="%1．"/>
      <w:lvlJc w:val="left"/>
      <w:pPr>
        <w:ind w:left="0" w:firstLine="400"/>
      </w:pPr>
      <w:rPr>
        <w:rFonts w:hint="default"/>
      </w:rPr>
    </w:lvl>
  </w:abstractNum>
  <w:abstractNum w:abstractNumId="6">
    <w:nsid w:val="C4682144"/>
    <w:multiLevelType w:val="singleLevel"/>
    <w:tmpl w:val="C4682144"/>
    <w:lvl w:ilvl="0" w:tentative="0">
      <w:start w:val="1"/>
      <w:numFmt w:val="decimal"/>
      <w:suff w:val="nothing"/>
      <w:lvlText w:val="%1．"/>
      <w:lvlJc w:val="left"/>
      <w:pPr>
        <w:ind w:left="0" w:firstLine="400"/>
      </w:pPr>
      <w:rPr>
        <w:rFonts w:hint="default"/>
      </w:rPr>
    </w:lvl>
  </w:abstractNum>
  <w:abstractNum w:abstractNumId="7">
    <w:nsid w:val="D8C8647D"/>
    <w:multiLevelType w:val="singleLevel"/>
    <w:tmpl w:val="D8C8647D"/>
    <w:lvl w:ilvl="0" w:tentative="0">
      <w:start w:val="1"/>
      <w:numFmt w:val="decimal"/>
      <w:suff w:val="nothing"/>
      <w:lvlText w:val="%1．"/>
      <w:lvlJc w:val="left"/>
      <w:pPr>
        <w:ind w:left="0" w:firstLine="400"/>
      </w:pPr>
      <w:rPr>
        <w:rFonts w:hint="default"/>
      </w:rPr>
    </w:lvl>
  </w:abstractNum>
  <w:abstractNum w:abstractNumId="8">
    <w:nsid w:val="E3DFBACA"/>
    <w:multiLevelType w:val="singleLevel"/>
    <w:tmpl w:val="E3DFBACA"/>
    <w:lvl w:ilvl="0" w:tentative="0">
      <w:start w:val="1"/>
      <w:numFmt w:val="decimal"/>
      <w:suff w:val="nothing"/>
      <w:lvlText w:val="%1．"/>
      <w:lvlJc w:val="left"/>
      <w:pPr>
        <w:ind w:left="0" w:firstLine="400"/>
      </w:pPr>
      <w:rPr>
        <w:rFonts w:hint="default"/>
      </w:rPr>
    </w:lvl>
  </w:abstractNum>
  <w:abstractNum w:abstractNumId="9">
    <w:nsid w:val="E9FBB17A"/>
    <w:multiLevelType w:val="singleLevel"/>
    <w:tmpl w:val="E9FBB17A"/>
    <w:lvl w:ilvl="0" w:tentative="0">
      <w:start w:val="1"/>
      <w:numFmt w:val="decimal"/>
      <w:suff w:val="nothing"/>
      <w:lvlText w:val="%1．"/>
      <w:lvlJc w:val="left"/>
      <w:pPr>
        <w:ind w:left="0" w:firstLine="400"/>
      </w:pPr>
      <w:rPr>
        <w:rFonts w:hint="default"/>
      </w:rPr>
    </w:lvl>
  </w:abstractNum>
  <w:abstractNum w:abstractNumId="10">
    <w:nsid w:val="F92EF814"/>
    <w:multiLevelType w:val="singleLevel"/>
    <w:tmpl w:val="F92EF814"/>
    <w:lvl w:ilvl="0" w:tentative="0">
      <w:start w:val="1"/>
      <w:numFmt w:val="decimal"/>
      <w:suff w:val="nothing"/>
      <w:lvlText w:val="%1．"/>
      <w:lvlJc w:val="left"/>
      <w:pPr>
        <w:ind w:left="0" w:firstLine="400"/>
      </w:pPr>
      <w:rPr>
        <w:rFonts w:hint="default"/>
      </w:rPr>
    </w:lvl>
  </w:abstractNum>
  <w:abstractNum w:abstractNumId="11">
    <w:nsid w:val="FFFFFF7E"/>
    <w:multiLevelType w:val="singleLevel"/>
    <w:tmpl w:val="FFFFFF7E"/>
    <w:lvl w:ilvl="0" w:tentative="0">
      <w:start w:val="1"/>
      <w:numFmt w:val="decimal"/>
      <w:pStyle w:val="16"/>
      <w:lvlText w:val="%1."/>
      <w:lvlJc w:val="left"/>
      <w:pPr>
        <w:tabs>
          <w:tab w:val="left" w:pos="1200"/>
        </w:tabs>
        <w:ind w:left="1200" w:hanging="360"/>
      </w:pPr>
    </w:lvl>
  </w:abstractNum>
  <w:abstractNum w:abstractNumId="12">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3">
    <w:nsid w:val="1FB509F3"/>
    <w:multiLevelType w:val="multilevel"/>
    <w:tmpl w:val="1FB509F3"/>
    <w:lvl w:ilvl="0" w:tentative="0">
      <w:start w:val="1"/>
      <w:numFmt w:val="decimal"/>
      <w:pStyle w:val="55"/>
      <w:lvlText w:val="%1、"/>
      <w:lvlJc w:val="left"/>
      <w:pPr>
        <w:tabs>
          <w:tab w:val="left" w:pos="306"/>
        </w:tabs>
        <w:ind w:left="306" w:hanging="360"/>
      </w:pPr>
      <w:rPr>
        <w:rFonts w:hint="eastAsia"/>
      </w:rPr>
    </w:lvl>
    <w:lvl w:ilvl="1" w:tentative="0">
      <w:start w:val="1"/>
      <w:numFmt w:val="lowerLetter"/>
      <w:lvlText w:val="%2)"/>
      <w:lvlJc w:val="left"/>
      <w:pPr>
        <w:tabs>
          <w:tab w:val="left" w:pos="366"/>
        </w:tabs>
        <w:ind w:left="366" w:hanging="420"/>
      </w:pPr>
    </w:lvl>
    <w:lvl w:ilvl="2" w:tentative="0">
      <w:start w:val="1"/>
      <w:numFmt w:val="lowerRoman"/>
      <w:lvlText w:val="%3."/>
      <w:lvlJc w:val="right"/>
      <w:pPr>
        <w:tabs>
          <w:tab w:val="left" w:pos="786"/>
        </w:tabs>
        <w:ind w:left="786" w:hanging="420"/>
      </w:pPr>
    </w:lvl>
    <w:lvl w:ilvl="3" w:tentative="0">
      <w:start w:val="1"/>
      <w:numFmt w:val="decimal"/>
      <w:lvlText w:val="%4."/>
      <w:lvlJc w:val="left"/>
      <w:pPr>
        <w:tabs>
          <w:tab w:val="left" w:pos="1206"/>
        </w:tabs>
        <w:ind w:left="1206" w:hanging="420"/>
      </w:pPr>
    </w:lvl>
    <w:lvl w:ilvl="4" w:tentative="0">
      <w:start w:val="1"/>
      <w:numFmt w:val="lowerLetter"/>
      <w:lvlText w:val="%5)"/>
      <w:lvlJc w:val="left"/>
      <w:pPr>
        <w:tabs>
          <w:tab w:val="left" w:pos="1626"/>
        </w:tabs>
        <w:ind w:left="1626" w:hanging="420"/>
      </w:pPr>
    </w:lvl>
    <w:lvl w:ilvl="5" w:tentative="0">
      <w:start w:val="1"/>
      <w:numFmt w:val="lowerRoman"/>
      <w:lvlText w:val="%6."/>
      <w:lvlJc w:val="right"/>
      <w:pPr>
        <w:tabs>
          <w:tab w:val="left" w:pos="2046"/>
        </w:tabs>
        <w:ind w:left="2046" w:hanging="420"/>
      </w:pPr>
    </w:lvl>
    <w:lvl w:ilvl="6" w:tentative="0">
      <w:start w:val="1"/>
      <w:numFmt w:val="decimal"/>
      <w:lvlText w:val="%7."/>
      <w:lvlJc w:val="left"/>
      <w:pPr>
        <w:tabs>
          <w:tab w:val="left" w:pos="2466"/>
        </w:tabs>
        <w:ind w:left="2466" w:hanging="420"/>
      </w:pPr>
    </w:lvl>
    <w:lvl w:ilvl="7" w:tentative="0">
      <w:start w:val="1"/>
      <w:numFmt w:val="lowerLetter"/>
      <w:lvlText w:val="%8)"/>
      <w:lvlJc w:val="left"/>
      <w:pPr>
        <w:tabs>
          <w:tab w:val="left" w:pos="2886"/>
        </w:tabs>
        <w:ind w:left="2886" w:hanging="420"/>
      </w:pPr>
    </w:lvl>
    <w:lvl w:ilvl="8" w:tentative="0">
      <w:start w:val="1"/>
      <w:numFmt w:val="lowerRoman"/>
      <w:lvlText w:val="%9."/>
      <w:lvlJc w:val="right"/>
      <w:pPr>
        <w:tabs>
          <w:tab w:val="left" w:pos="3306"/>
        </w:tabs>
        <w:ind w:left="3306" w:hanging="420"/>
      </w:pPr>
    </w:lvl>
  </w:abstractNum>
  <w:abstractNum w:abstractNumId="14">
    <w:nsid w:val="250F9EEB"/>
    <w:multiLevelType w:val="singleLevel"/>
    <w:tmpl w:val="250F9EEB"/>
    <w:lvl w:ilvl="0" w:tentative="0">
      <w:start w:val="1"/>
      <w:numFmt w:val="decimal"/>
      <w:suff w:val="nothing"/>
      <w:lvlText w:val="%1．"/>
      <w:lvlJc w:val="left"/>
      <w:pPr>
        <w:ind w:left="0" w:firstLine="400"/>
      </w:pPr>
      <w:rPr>
        <w:rFonts w:hint="default"/>
      </w:rPr>
    </w:lvl>
  </w:abstractNum>
  <w:abstractNum w:abstractNumId="15">
    <w:nsid w:val="29E02195"/>
    <w:multiLevelType w:val="singleLevel"/>
    <w:tmpl w:val="29E02195"/>
    <w:lvl w:ilvl="0" w:tentative="0">
      <w:start w:val="1"/>
      <w:numFmt w:val="decimal"/>
      <w:suff w:val="nothing"/>
      <w:lvlText w:val="%1．"/>
      <w:lvlJc w:val="left"/>
      <w:pPr>
        <w:ind w:left="0" w:firstLine="400"/>
      </w:pPr>
      <w:rPr>
        <w:rFonts w:hint="default"/>
      </w:rPr>
    </w:lvl>
  </w:abstractNum>
  <w:abstractNum w:abstractNumId="16">
    <w:nsid w:val="2C68D694"/>
    <w:multiLevelType w:val="singleLevel"/>
    <w:tmpl w:val="2C68D694"/>
    <w:lvl w:ilvl="0" w:tentative="0">
      <w:start w:val="1"/>
      <w:numFmt w:val="decimal"/>
      <w:suff w:val="nothing"/>
      <w:lvlText w:val="%1．"/>
      <w:lvlJc w:val="left"/>
      <w:pPr>
        <w:ind w:left="0" w:firstLine="400"/>
      </w:pPr>
      <w:rPr>
        <w:rFonts w:hint="default"/>
      </w:rPr>
    </w:lvl>
  </w:abstractNum>
  <w:abstractNum w:abstractNumId="17">
    <w:nsid w:val="33786843"/>
    <w:multiLevelType w:val="singleLevel"/>
    <w:tmpl w:val="33786843"/>
    <w:lvl w:ilvl="0" w:tentative="0">
      <w:start w:val="1"/>
      <w:numFmt w:val="decimal"/>
      <w:suff w:val="nothing"/>
      <w:lvlText w:val="%1．"/>
      <w:lvlJc w:val="left"/>
      <w:pPr>
        <w:ind w:left="0" w:firstLine="400"/>
      </w:pPr>
      <w:rPr>
        <w:rFonts w:hint="default"/>
      </w:rPr>
    </w:lvl>
  </w:abstractNum>
  <w:abstractNum w:abstractNumId="18">
    <w:nsid w:val="409344D0"/>
    <w:multiLevelType w:val="singleLevel"/>
    <w:tmpl w:val="409344D0"/>
    <w:lvl w:ilvl="0" w:tentative="0">
      <w:start w:val="1"/>
      <w:numFmt w:val="decimal"/>
      <w:suff w:val="nothing"/>
      <w:lvlText w:val="%1．"/>
      <w:lvlJc w:val="left"/>
      <w:pPr>
        <w:ind w:left="0" w:firstLine="400"/>
      </w:pPr>
      <w:rPr>
        <w:rFonts w:hint="default"/>
      </w:rPr>
    </w:lvl>
  </w:abstractNum>
  <w:abstractNum w:abstractNumId="19">
    <w:nsid w:val="553A4600"/>
    <w:multiLevelType w:val="singleLevel"/>
    <w:tmpl w:val="553A4600"/>
    <w:lvl w:ilvl="0" w:tentative="0">
      <w:start w:val="1"/>
      <w:numFmt w:val="decimal"/>
      <w:suff w:val="nothing"/>
      <w:lvlText w:val="%1．"/>
      <w:lvlJc w:val="left"/>
      <w:pPr>
        <w:ind w:left="0" w:firstLine="400"/>
      </w:pPr>
      <w:rPr>
        <w:rFonts w:hint="default"/>
      </w:rPr>
    </w:lvl>
  </w:abstractNum>
  <w:abstractNum w:abstractNumId="20">
    <w:nsid w:val="65F89259"/>
    <w:multiLevelType w:val="singleLevel"/>
    <w:tmpl w:val="65F89259"/>
    <w:lvl w:ilvl="0" w:tentative="0">
      <w:start w:val="1"/>
      <w:numFmt w:val="decimal"/>
      <w:suff w:val="nothing"/>
      <w:lvlText w:val="%1．"/>
      <w:lvlJc w:val="left"/>
      <w:pPr>
        <w:ind w:left="0" w:firstLine="400"/>
      </w:pPr>
      <w:rPr>
        <w:rFonts w:hint="default"/>
      </w:rPr>
    </w:lvl>
  </w:abstractNum>
  <w:abstractNum w:abstractNumId="21">
    <w:nsid w:val="70325E78"/>
    <w:multiLevelType w:val="singleLevel"/>
    <w:tmpl w:val="70325E78"/>
    <w:lvl w:ilvl="0" w:tentative="0">
      <w:start w:val="1"/>
      <w:numFmt w:val="decimal"/>
      <w:suff w:val="nothing"/>
      <w:lvlText w:val="%1、"/>
      <w:lvlJc w:val="left"/>
    </w:lvl>
  </w:abstractNum>
  <w:abstractNum w:abstractNumId="22">
    <w:nsid w:val="7759AA70"/>
    <w:multiLevelType w:val="singleLevel"/>
    <w:tmpl w:val="7759AA70"/>
    <w:lvl w:ilvl="0" w:tentative="0">
      <w:start w:val="1"/>
      <w:numFmt w:val="decimal"/>
      <w:suff w:val="nothing"/>
      <w:lvlText w:val="%1．"/>
      <w:lvlJc w:val="left"/>
      <w:pPr>
        <w:ind w:left="0" w:firstLine="400"/>
      </w:pPr>
      <w:rPr>
        <w:rFonts w:hint="default"/>
      </w:rPr>
    </w:lvl>
  </w:abstractNum>
  <w:num w:numId="1">
    <w:abstractNumId w:val="0"/>
  </w:num>
  <w:num w:numId="2">
    <w:abstractNumId w:val="12"/>
  </w:num>
  <w:num w:numId="3">
    <w:abstractNumId w:val="11"/>
  </w:num>
  <w:num w:numId="4">
    <w:abstractNumId w:val="13"/>
  </w:num>
  <w:num w:numId="5">
    <w:abstractNumId w:val="7"/>
  </w:num>
  <w:num w:numId="6">
    <w:abstractNumId w:val="18"/>
  </w:num>
  <w:num w:numId="7">
    <w:abstractNumId w:val="19"/>
  </w:num>
  <w:num w:numId="8">
    <w:abstractNumId w:val="3"/>
  </w:num>
  <w:num w:numId="9">
    <w:abstractNumId w:val="1"/>
  </w:num>
  <w:num w:numId="10">
    <w:abstractNumId w:val="2"/>
  </w:num>
  <w:num w:numId="11">
    <w:abstractNumId w:val="22"/>
  </w:num>
  <w:num w:numId="12">
    <w:abstractNumId w:val="17"/>
  </w:num>
  <w:num w:numId="13">
    <w:abstractNumId w:val="10"/>
  </w:num>
  <w:num w:numId="14">
    <w:abstractNumId w:val="15"/>
  </w:num>
  <w:num w:numId="15">
    <w:abstractNumId w:val="4"/>
  </w:num>
  <w:num w:numId="16">
    <w:abstractNumId w:val="6"/>
  </w:num>
  <w:num w:numId="17">
    <w:abstractNumId w:val="5"/>
  </w:num>
  <w:num w:numId="18">
    <w:abstractNumId w:val="9"/>
  </w:num>
  <w:num w:numId="19">
    <w:abstractNumId w:val="20"/>
  </w:num>
  <w:num w:numId="20">
    <w:abstractNumId w:val="14"/>
  </w:num>
  <w:num w:numId="21">
    <w:abstractNumId w:val="8"/>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Names" w:val="year1_2;filetype1_2"/>
    <w:docVar w:name="commondata" w:val="eyJoZGlkIjoiZjViNWNmYTljNDAwNjIyNDMwNzRiM2M4YjBmZWY4ZDU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2A75"/>
    <w:rsid w:val="0001213D"/>
    <w:rsid w:val="00015D6F"/>
    <w:rsid w:val="00016536"/>
    <w:rsid w:val="00017174"/>
    <w:rsid w:val="00026535"/>
    <w:rsid w:val="00027550"/>
    <w:rsid w:val="00032F0B"/>
    <w:rsid w:val="000427CB"/>
    <w:rsid w:val="00045AF8"/>
    <w:rsid w:val="00045C7D"/>
    <w:rsid w:val="000516F5"/>
    <w:rsid w:val="0005243F"/>
    <w:rsid w:val="0005273D"/>
    <w:rsid w:val="00053EAA"/>
    <w:rsid w:val="000559EA"/>
    <w:rsid w:val="0005642F"/>
    <w:rsid w:val="00057E77"/>
    <w:rsid w:val="00060D40"/>
    <w:rsid w:val="00061F3D"/>
    <w:rsid w:val="00065DCE"/>
    <w:rsid w:val="00070640"/>
    <w:rsid w:val="000729D4"/>
    <w:rsid w:val="000769F0"/>
    <w:rsid w:val="0007792D"/>
    <w:rsid w:val="00081E4D"/>
    <w:rsid w:val="000821FC"/>
    <w:rsid w:val="00085C2E"/>
    <w:rsid w:val="00087A5B"/>
    <w:rsid w:val="00090242"/>
    <w:rsid w:val="00091A93"/>
    <w:rsid w:val="000A4BF3"/>
    <w:rsid w:val="000A7324"/>
    <w:rsid w:val="000B4ACE"/>
    <w:rsid w:val="000B5568"/>
    <w:rsid w:val="000C0F59"/>
    <w:rsid w:val="000E06D3"/>
    <w:rsid w:val="000E170A"/>
    <w:rsid w:val="000E3059"/>
    <w:rsid w:val="000E6BCA"/>
    <w:rsid w:val="00102F72"/>
    <w:rsid w:val="001031AE"/>
    <w:rsid w:val="001108AB"/>
    <w:rsid w:val="00110B3F"/>
    <w:rsid w:val="001128CF"/>
    <w:rsid w:val="0011387D"/>
    <w:rsid w:val="00113C99"/>
    <w:rsid w:val="00115FC6"/>
    <w:rsid w:val="00127228"/>
    <w:rsid w:val="001272DF"/>
    <w:rsid w:val="00130233"/>
    <w:rsid w:val="0013468D"/>
    <w:rsid w:val="00137512"/>
    <w:rsid w:val="00140C50"/>
    <w:rsid w:val="00142B9F"/>
    <w:rsid w:val="00143F87"/>
    <w:rsid w:val="00161306"/>
    <w:rsid w:val="00161B2F"/>
    <w:rsid w:val="00165BEB"/>
    <w:rsid w:val="001679E6"/>
    <w:rsid w:val="00171889"/>
    <w:rsid w:val="00176187"/>
    <w:rsid w:val="00181A3F"/>
    <w:rsid w:val="001871A0"/>
    <w:rsid w:val="00191C5C"/>
    <w:rsid w:val="00192075"/>
    <w:rsid w:val="00197367"/>
    <w:rsid w:val="001A1395"/>
    <w:rsid w:val="001A2B9B"/>
    <w:rsid w:val="001B0D16"/>
    <w:rsid w:val="001B1653"/>
    <w:rsid w:val="001B1A4D"/>
    <w:rsid w:val="001B1BFC"/>
    <w:rsid w:val="001B27D2"/>
    <w:rsid w:val="001B3777"/>
    <w:rsid w:val="001C115A"/>
    <w:rsid w:val="001D0930"/>
    <w:rsid w:val="001D490F"/>
    <w:rsid w:val="001E0851"/>
    <w:rsid w:val="001E1065"/>
    <w:rsid w:val="001E6511"/>
    <w:rsid w:val="001F3141"/>
    <w:rsid w:val="0020466E"/>
    <w:rsid w:val="00211279"/>
    <w:rsid w:val="0021594F"/>
    <w:rsid w:val="00223548"/>
    <w:rsid w:val="00223C07"/>
    <w:rsid w:val="00230301"/>
    <w:rsid w:val="00236970"/>
    <w:rsid w:val="00237FFA"/>
    <w:rsid w:val="00242FD2"/>
    <w:rsid w:val="00243EC8"/>
    <w:rsid w:val="002539EC"/>
    <w:rsid w:val="00254C39"/>
    <w:rsid w:val="00257880"/>
    <w:rsid w:val="002600B8"/>
    <w:rsid w:val="00266342"/>
    <w:rsid w:val="0026774C"/>
    <w:rsid w:val="00273286"/>
    <w:rsid w:val="00274E01"/>
    <w:rsid w:val="0027703F"/>
    <w:rsid w:val="00280CDF"/>
    <w:rsid w:val="00280D59"/>
    <w:rsid w:val="00285181"/>
    <w:rsid w:val="00290165"/>
    <w:rsid w:val="002927FE"/>
    <w:rsid w:val="00295E09"/>
    <w:rsid w:val="002A5570"/>
    <w:rsid w:val="002C00FD"/>
    <w:rsid w:val="002C11B0"/>
    <w:rsid w:val="002C4FA9"/>
    <w:rsid w:val="002C6877"/>
    <w:rsid w:val="002C7F46"/>
    <w:rsid w:val="002E030B"/>
    <w:rsid w:val="002E2A7B"/>
    <w:rsid w:val="002E50A8"/>
    <w:rsid w:val="002F1CC9"/>
    <w:rsid w:val="002F4560"/>
    <w:rsid w:val="002F4CA4"/>
    <w:rsid w:val="003060D0"/>
    <w:rsid w:val="00312055"/>
    <w:rsid w:val="00312DB4"/>
    <w:rsid w:val="00320773"/>
    <w:rsid w:val="003362E7"/>
    <w:rsid w:val="00337827"/>
    <w:rsid w:val="0034365C"/>
    <w:rsid w:val="003441E2"/>
    <w:rsid w:val="003575FF"/>
    <w:rsid w:val="00361A35"/>
    <w:rsid w:val="003647A3"/>
    <w:rsid w:val="003756CB"/>
    <w:rsid w:val="00375AF7"/>
    <w:rsid w:val="00382066"/>
    <w:rsid w:val="00382D58"/>
    <w:rsid w:val="00390912"/>
    <w:rsid w:val="00391872"/>
    <w:rsid w:val="00392D45"/>
    <w:rsid w:val="0039433A"/>
    <w:rsid w:val="003963AC"/>
    <w:rsid w:val="003A1739"/>
    <w:rsid w:val="003A20CC"/>
    <w:rsid w:val="003A4D32"/>
    <w:rsid w:val="003A4F29"/>
    <w:rsid w:val="003B0C87"/>
    <w:rsid w:val="003B254A"/>
    <w:rsid w:val="003B6500"/>
    <w:rsid w:val="003C2C17"/>
    <w:rsid w:val="003C6172"/>
    <w:rsid w:val="003C6E52"/>
    <w:rsid w:val="003D42EE"/>
    <w:rsid w:val="003D43C1"/>
    <w:rsid w:val="003D61C8"/>
    <w:rsid w:val="003D6537"/>
    <w:rsid w:val="003E09B7"/>
    <w:rsid w:val="003E733C"/>
    <w:rsid w:val="003F1EF9"/>
    <w:rsid w:val="003F2BEB"/>
    <w:rsid w:val="004039A2"/>
    <w:rsid w:val="004045AE"/>
    <w:rsid w:val="00405CA9"/>
    <w:rsid w:val="004134F3"/>
    <w:rsid w:val="00415CE0"/>
    <w:rsid w:val="00417105"/>
    <w:rsid w:val="0043008F"/>
    <w:rsid w:val="00433AEE"/>
    <w:rsid w:val="0043455C"/>
    <w:rsid w:val="00436104"/>
    <w:rsid w:val="00455AED"/>
    <w:rsid w:val="00456AAA"/>
    <w:rsid w:val="00460D84"/>
    <w:rsid w:val="00473E27"/>
    <w:rsid w:val="00475B27"/>
    <w:rsid w:val="00484D22"/>
    <w:rsid w:val="00492A1C"/>
    <w:rsid w:val="00496BE3"/>
    <w:rsid w:val="00497A43"/>
    <w:rsid w:val="004A2C9F"/>
    <w:rsid w:val="004A5703"/>
    <w:rsid w:val="004A5E46"/>
    <w:rsid w:val="004B6092"/>
    <w:rsid w:val="004B721F"/>
    <w:rsid w:val="004C2D0D"/>
    <w:rsid w:val="004C36A0"/>
    <w:rsid w:val="004D2961"/>
    <w:rsid w:val="004D47CC"/>
    <w:rsid w:val="004E2FF1"/>
    <w:rsid w:val="004E6152"/>
    <w:rsid w:val="004E70FF"/>
    <w:rsid w:val="004F24A9"/>
    <w:rsid w:val="004F26F8"/>
    <w:rsid w:val="004F3830"/>
    <w:rsid w:val="004F4142"/>
    <w:rsid w:val="004F709E"/>
    <w:rsid w:val="00504B0A"/>
    <w:rsid w:val="005100FC"/>
    <w:rsid w:val="0051626B"/>
    <w:rsid w:val="00520216"/>
    <w:rsid w:val="005204F0"/>
    <w:rsid w:val="00521130"/>
    <w:rsid w:val="00523305"/>
    <w:rsid w:val="00531D69"/>
    <w:rsid w:val="00535EC3"/>
    <w:rsid w:val="00543929"/>
    <w:rsid w:val="00551D3B"/>
    <w:rsid w:val="0055730C"/>
    <w:rsid w:val="00560D0B"/>
    <w:rsid w:val="0056160B"/>
    <w:rsid w:val="00561C19"/>
    <w:rsid w:val="00564AB2"/>
    <w:rsid w:val="00567897"/>
    <w:rsid w:val="0057178A"/>
    <w:rsid w:val="005772FE"/>
    <w:rsid w:val="00577C3D"/>
    <w:rsid w:val="00580896"/>
    <w:rsid w:val="00586410"/>
    <w:rsid w:val="00586F50"/>
    <w:rsid w:val="0059411E"/>
    <w:rsid w:val="005C1084"/>
    <w:rsid w:val="005D29E6"/>
    <w:rsid w:val="005D36CB"/>
    <w:rsid w:val="005D4A93"/>
    <w:rsid w:val="005D4D11"/>
    <w:rsid w:val="005E0417"/>
    <w:rsid w:val="005F1DB8"/>
    <w:rsid w:val="005F3A90"/>
    <w:rsid w:val="00600668"/>
    <w:rsid w:val="00605959"/>
    <w:rsid w:val="00606B81"/>
    <w:rsid w:val="00607701"/>
    <w:rsid w:val="00610717"/>
    <w:rsid w:val="00613FE6"/>
    <w:rsid w:val="00625415"/>
    <w:rsid w:val="00635BD3"/>
    <w:rsid w:val="00636043"/>
    <w:rsid w:val="00641E35"/>
    <w:rsid w:val="00642770"/>
    <w:rsid w:val="00643BE3"/>
    <w:rsid w:val="006458F3"/>
    <w:rsid w:val="00647F8A"/>
    <w:rsid w:val="006516A3"/>
    <w:rsid w:val="00651E67"/>
    <w:rsid w:val="00652CC9"/>
    <w:rsid w:val="006539D9"/>
    <w:rsid w:val="00654BE1"/>
    <w:rsid w:val="006664FD"/>
    <w:rsid w:val="00670B62"/>
    <w:rsid w:val="00670F28"/>
    <w:rsid w:val="00692E58"/>
    <w:rsid w:val="006932C6"/>
    <w:rsid w:val="00693A77"/>
    <w:rsid w:val="00693E26"/>
    <w:rsid w:val="00694D99"/>
    <w:rsid w:val="006B0740"/>
    <w:rsid w:val="006B4EA6"/>
    <w:rsid w:val="006B7C11"/>
    <w:rsid w:val="006C464E"/>
    <w:rsid w:val="006D36CA"/>
    <w:rsid w:val="006D64E4"/>
    <w:rsid w:val="006D730F"/>
    <w:rsid w:val="006E2822"/>
    <w:rsid w:val="006E6A58"/>
    <w:rsid w:val="0070447F"/>
    <w:rsid w:val="007139B5"/>
    <w:rsid w:val="00717522"/>
    <w:rsid w:val="00717810"/>
    <w:rsid w:val="00724BCA"/>
    <w:rsid w:val="00727A2A"/>
    <w:rsid w:val="00727F06"/>
    <w:rsid w:val="00733FD6"/>
    <w:rsid w:val="00747501"/>
    <w:rsid w:val="007512A0"/>
    <w:rsid w:val="0076048F"/>
    <w:rsid w:val="007615FC"/>
    <w:rsid w:val="00770B05"/>
    <w:rsid w:val="007718EB"/>
    <w:rsid w:val="0077336C"/>
    <w:rsid w:val="00773755"/>
    <w:rsid w:val="007757D2"/>
    <w:rsid w:val="00776358"/>
    <w:rsid w:val="007839DD"/>
    <w:rsid w:val="00784064"/>
    <w:rsid w:val="00786731"/>
    <w:rsid w:val="0079453A"/>
    <w:rsid w:val="00794FBB"/>
    <w:rsid w:val="007A3E2B"/>
    <w:rsid w:val="007A3EE9"/>
    <w:rsid w:val="007A5572"/>
    <w:rsid w:val="007B62C8"/>
    <w:rsid w:val="007B756A"/>
    <w:rsid w:val="007C18F4"/>
    <w:rsid w:val="007C3B23"/>
    <w:rsid w:val="007D0AD7"/>
    <w:rsid w:val="007F3B9D"/>
    <w:rsid w:val="007F4228"/>
    <w:rsid w:val="008004CF"/>
    <w:rsid w:val="00810D87"/>
    <w:rsid w:val="008174C3"/>
    <w:rsid w:val="00817BB2"/>
    <w:rsid w:val="008222CB"/>
    <w:rsid w:val="008265E1"/>
    <w:rsid w:val="008274DF"/>
    <w:rsid w:val="00830507"/>
    <w:rsid w:val="00835D59"/>
    <w:rsid w:val="00837D90"/>
    <w:rsid w:val="00841FCA"/>
    <w:rsid w:val="00845389"/>
    <w:rsid w:val="00856713"/>
    <w:rsid w:val="00860DC7"/>
    <w:rsid w:val="00861DAB"/>
    <w:rsid w:val="0086605E"/>
    <w:rsid w:val="0087206F"/>
    <w:rsid w:val="0087470E"/>
    <w:rsid w:val="00876C5C"/>
    <w:rsid w:val="00877AF2"/>
    <w:rsid w:val="00883AB2"/>
    <w:rsid w:val="00885F4F"/>
    <w:rsid w:val="00887051"/>
    <w:rsid w:val="00892AF1"/>
    <w:rsid w:val="008A7B99"/>
    <w:rsid w:val="008B4566"/>
    <w:rsid w:val="008C1AB8"/>
    <w:rsid w:val="008C35B6"/>
    <w:rsid w:val="008C3DFA"/>
    <w:rsid w:val="008C6004"/>
    <w:rsid w:val="008D3BD0"/>
    <w:rsid w:val="008D5360"/>
    <w:rsid w:val="008E5E78"/>
    <w:rsid w:val="008F546A"/>
    <w:rsid w:val="008F6548"/>
    <w:rsid w:val="008F671A"/>
    <w:rsid w:val="008F78B7"/>
    <w:rsid w:val="00907050"/>
    <w:rsid w:val="00907B93"/>
    <w:rsid w:val="0091190A"/>
    <w:rsid w:val="00913001"/>
    <w:rsid w:val="00920750"/>
    <w:rsid w:val="00922575"/>
    <w:rsid w:val="00940AA8"/>
    <w:rsid w:val="0094160F"/>
    <w:rsid w:val="00955ABC"/>
    <w:rsid w:val="00961796"/>
    <w:rsid w:val="0097152A"/>
    <w:rsid w:val="00972C9B"/>
    <w:rsid w:val="00972FEB"/>
    <w:rsid w:val="00974EC0"/>
    <w:rsid w:val="0098144C"/>
    <w:rsid w:val="0098301B"/>
    <w:rsid w:val="00993A69"/>
    <w:rsid w:val="00995B59"/>
    <w:rsid w:val="0099656D"/>
    <w:rsid w:val="009A5577"/>
    <w:rsid w:val="009C3AD1"/>
    <w:rsid w:val="009D32B9"/>
    <w:rsid w:val="009D476B"/>
    <w:rsid w:val="009E1E76"/>
    <w:rsid w:val="009E255E"/>
    <w:rsid w:val="009E38BC"/>
    <w:rsid w:val="009E7DDF"/>
    <w:rsid w:val="00A01F58"/>
    <w:rsid w:val="00A143EC"/>
    <w:rsid w:val="00A161D5"/>
    <w:rsid w:val="00A22614"/>
    <w:rsid w:val="00A24404"/>
    <w:rsid w:val="00A3040F"/>
    <w:rsid w:val="00A32932"/>
    <w:rsid w:val="00A3425A"/>
    <w:rsid w:val="00A4243B"/>
    <w:rsid w:val="00A45C58"/>
    <w:rsid w:val="00A463A4"/>
    <w:rsid w:val="00A47704"/>
    <w:rsid w:val="00A51252"/>
    <w:rsid w:val="00A53AAD"/>
    <w:rsid w:val="00A5499A"/>
    <w:rsid w:val="00A62FF9"/>
    <w:rsid w:val="00A658F9"/>
    <w:rsid w:val="00A71E10"/>
    <w:rsid w:val="00A72471"/>
    <w:rsid w:val="00A7381E"/>
    <w:rsid w:val="00A83602"/>
    <w:rsid w:val="00A842F4"/>
    <w:rsid w:val="00A84A6A"/>
    <w:rsid w:val="00A857DE"/>
    <w:rsid w:val="00A85A64"/>
    <w:rsid w:val="00A8777D"/>
    <w:rsid w:val="00A90EA0"/>
    <w:rsid w:val="00A96944"/>
    <w:rsid w:val="00A9699F"/>
    <w:rsid w:val="00AA5B75"/>
    <w:rsid w:val="00AB0A5D"/>
    <w:rsid w:val="00AB40E5"/>
    <w:rsid w:val="00AB6C51"/>
    <w:rsid w:val="00AB6FD9"/>
    <w:rsid w:val="00AB7EAF"/>
    <w:rsid w:val="00AC5692"/>
    <w:rsid w:val="00AC757B"/>
    <w:rsid w:val="00AD3BB8"/>
    <w:rsid w:val="00AE3BEA"/>
    <w:rsid w:val="00AF2E9F"/>
    <w:rsid w:val="00AF3E7A"/>
    <w:rsid w:val="00B052F0"/>
    <w:rsid w:val="00B070C1"/>
    <w:rsid w:val="00B1053A"/>
    <w:rsid w:val="00B226EB"/>
    <w:rsid w:val="00B23F15"/>
    <w:rsid w:val="00B27A68"/>
    <w:rsid w:val="00B31AC9"/>
    <w:rsid w:val="00B331EB"/>
    <w:rsid w:val="00B36C27"/>
    <w:rsid w:val="00B370F2"/>
    <w:rsid w:val="00B40D17"/>
    <w:rsid w:val="00B414A6"/>
    <w:rsid w:val="00B4181B"/>
    <w:rsid w:val="00B47726"/>
    <w:rsid w:val="00B64BEE"/>
    <w:rsid w:val="00B800B5"/>
    <w:rsid w:val="00B80A48"/>
    <w:rsid w:val="00B85549"/>
    <w:rsid w:val="00B930F7"/>
    <w:rsid w:val="00BA03C2"/>
    <w:rsid w:val="00BA3A47"/>
    <w:rsid w:val="00BA5738"/>
    <w:rsid w:val="00BB1874"/>
    <w:rsid w:val="00BB2E7F"/>
    <w:rsid w:val="00BB53D3"/>
    <w:rsid w:val="00BB7C95"/>
    <w:rsid w:val="00BC18C9"/>
    <w:rsid w:val="00BC1DCC"/>
    <w:rsid w:val="00BC2A13"/>
    <w:rsid w:val="00BC4D27"/>
    <w:rsid w:val="00BC57CD"/>
    <w:rsid w:val="00BC61E4"/>
    <w:rsid w:val="00BD04E5"/>
    <w:rsid w:val="00BD7EEA"/>
    <w:rsid w:val="00BE3E3E"/>
    <w:rsid w:val="00BE5F2D"/>
    <w:rsid w:val="00BE5F9B"/>
    <w:rsid w:val="00BF6C1A"/>
    <w:rsid w:val="00C04A98"/>
    <w:rsid w:val="00C05BEB"/>
    <w:rsid w:val="00C06CD4"/>
    <w:rsid w:val="00C1257E"/>
    <w:rsid w:val="00C13599"/>
    <w:rsid w:val="00C1359F"/>
    <w:rsid w:val="00C14DF6"/>
    <w:rsid w:val="00C16630"/>
    <w:rsid w:val="00C269E2"/>
    <w:rsid w:val="00C26EBE"/>
    <w:rsid w:val="00C31B60"/>
    <w:rsid w:val="00C335D3"/>
    <w:rsid w:val="00C43069"/>
    <w:rsid w:val="00C44DB8"/>
    <w:rsid w:val="00C46BDA"/>
    <w:rsid w:val="00C47FF9"/>
    <w:rsid w:val="00C55036"/>
    <w:rsid w:val="00C57E01"/>
    <w:rsid w:val="00C76BA2"/>
    <w:rsid w:val="00C90938"/>
    <w:rsid w:val="00C90BE0"/>
    <w:rsid w:val="00C92DBC"/>
    <w:rsid w:val="00C956CF"/>
    <w:rsid w:val="00C96EF6"/>
    <w:rsid w:val="00CB0A70"/>
    <w:rsid w:val="00CB2E57"/>
    <w:rsid w:val="00CB369F"/>
    <w:rsid w:val="00CC47FA"/>
    <w:rsid w:val="00CD3FD7"/>
    <w:rsid w:val="00CD6FE8"/>
    <w:rsid w:val="00CE0D72"/>
    <w:rsid w:val="00CE3418"/>
    <w:rsid w:val="00CE4D75"/>
    <w:rsid w:val="00CE5E88"/>
    <w:rsid w:val="00CF7F31"/>
    <w:rsid w:val="00D0196A"/>
    <w:rsid w:val="00D04C87"/>
    <w:rsid w:val="00D07172"/>
    <w:rsid w:val="00D121B5"/>
    <w:rsid w:val="00D13251"/>
    <w:rsid w:val="00D16CB5"/>
    <w:rsid w:val="00D1715B"/>
    <w:rsid w:val="00D20872"/>
    <w:rsid w:val="00D25E8B"/>
    <w:rsid w:val="00D26B42"/>
    <w:rsid w:val="00D32BDB"/>
    <w:rsid w:val="00D3301A"/>
    <w:rsid w:val="00D33789"/>
    <w:rsid w:val="00D342C4"/>
    <w:rsid w:val="00D34778"/>
    <w:rsid w:val="00D36A69"/>
    <w:rsid w:val="00D42B22"/>
    <w:rsid w:val="00D44F8F"/>
    <w:rsid w:val="00D45381"/>
    <w:rsid w:val="00D609CE"/>
    <w:rsid w:val="00D60C52"/>
    <w:rsid w:val="00D646DA"/>
    <w:rsid w:val="00D66D77"/>
    <w:rsid w:val="00D70B10"/>
    <w:rsid w:val="00D83344"/>
    <w:rsid w:val="00D83A83"/>
    <w:rsid w:val="00D869BF"/>
    <w:rsid w:val="00D91013"/>
    <w:rsid w:val="00D971EC"/>
    <w:rsid w:val="00DA1683"/>
    <w:rsid w:val="00DA2962"/>
    <w:rsid w:val="00DA3F5A"/>
    <w:rsid w:val="00DB0291"/>
    <w:rsid w:val="00DB3156"/>
    <w:rsid w:val="00DB397B"/>
    <w:rsid w:val="00DC19C2"/>
    <w:rsid w:val="00DC3B10"/>
    <w:rsid w:val="00DC5CB9"/>
    <w:rsid w:val="00DC6255"/>
    <w:rsid w:val="00DD7636"/>
    <w:rsid w:val="00DD78D3"/>
    <w:rsid w:val="00DF268D"/>
    <w:rsid w:val="00DF39A9"/>
    <w:rsid w:val="00E06D6C"/>
    <w:rsid w:val="00E130A3"/>
    <w:rsid w:val="00E1469F"/>
    <w:rsid w:val="00E23A97"/>
    <w:rsid w:val="00E32629"/>
    <w:rsid w:val="00E4188C"/>
    <w:rsid w:val="00E44ADD"/>
    <w:rsid w:val="00E53338"/>
    <w:rsid w:val="00E56593"/>
    <w:rsid w:val="00E731B4"/>
    <w:rsid w:val="00E8415F"/>
    <w:rsid w:val="00E8424E"/>
    <w:rsid w:val="00E920CA"/>
    <w:rsid w:val="00EA054D"/>
    <w:rsid w:val="00EA6856"/>
    <w:rsid w:val="00EB20E2"/>
    <w:rsid w:val="00EB28E8"/>
    <w:rsid w:val="00EB2B1C"/>
    <w:rsid w:val="00EB446A"/>
    <w:rsid w:val="00EB516B"/>
    <w:rsid w:val="00EC0103"/>
    <w:rsid w:val="00EC26BE"/>
    <w:rsid w:val="00EC2893"/>
    <w:rsid w:val="00EC6E06"/>
    <w:rsid w:val="00ED0977"/>
    <w:rsid w:val="00ED3097"/>
    <w:rsid w:val="00ED4AE3"/>
    <w:rsid w:val="00ED4B57"/>
    <w:rsid w:val="00EE1E58"/>
    <w:rsid w:val="00EE4CB8"/>
    <w:rsid w:val="00EE55CF"/>
    <w:rsid w:val="00EE688A"/>
    <w:rsid w:val="00EE7774"/>
    <w:rsid w:val="00EE7D90"/>
    <w:rsid w:val="00EF3707"/>
    <w:rsid w:val="00EF5881"/>
    <w:rsid w:val="00EF765B"/>
    <w:rsid w:val="00EF7E1C"/>
    <w:rsid w:val="00F119CA"/>
    <w:rsid w:val="00F14EF8"/>
    <w:rsid w:val="00F162B8"/>
    <w:rsid w:val="00F22899"/>
    <w:rsid w:val="00F22951"/>
    <w:rsid w:val="00F22F74"/>
    <w:rsid w:val="00F25635"/>
    <w:rsid w:val="00F27B7E"/>
    <w:rsid w:val="00F37EF6"/>
    <w:rsid w:val="00F4181C"/>
    <w:rsid w:val="00F50B31"/>
    <w:rsid w:val="00F54BDB"/>
    <w:rsid w:val="00F61EB3"/>
    <w:rsid w:val="00F67869"/>
    <w:rsid w:val="00F737AF"/>
    <w:rsid w:val="00F76115"/>
    <w:rsid w:val="00F7705E"/>
    <w:rsid w:val="00F774AF"/>
    <w:rsid w:val="00F914FF"/>
    <w:rsid w:val="00F972EC"/>
    <w:rsid w:val="00FA150E"/>
    <w:rsid w:val="00FA3AA3"/>
    <w:rsid w:val="00FA3CCA"/>
    <w:rsid w:val="00FA43AC"/>
    <w:rsid w:val="00FB3B88"/>
    <w:rsid w:val="00FB41BE"/>
    <w:rsid w:val="00FC2C4E"/>
    <w:rsid w:val="00FC7AC5"/>
    <w:rsid w:val="00FD011A"/>
    <w:rsid w:val="00FD03CA"/>
    <w:rsid w:val="00FD4306"/>
    <w:rsid w:val="00FE3C3D"/>
    <w:rsid w:val="00FE5DE6"/>
    <w:rsid w:val="00FF0390"/>
    <w:rsid w:val="00FF265C"/>
    <w:rsid w:val="01017688"/>
    <w:rsid w:val="010471F8"/>
    <w:rsid w:val="011A24F4"/>
    <w:rsid w:val="01240571"/>
    <w:rsid w:val="013C690E"/>
    <w:rsid w:val="0176597C"/>
    <w:rsid w:val="018D4CD8"/>
    <w:rsid w:val="018E7169"/>
    <w:rsid w:val="019D115B"/>
    <w:rsid w:val="01A06E9D"/>
    <w:rsid w:val="01BB7833"/>
    <w:rsid w:val="01D4254C"/>
    <w:rsid w:val="01DA002D"/>
    <w:rsid w:val="020A35B3"/>
    <w:rsid w:val="021A1E5F"/>
    <w:rsid w:val="022A6766"/>
    <w:rsid w:val="02346DB8"/>
    <w:rsid w:val="02671A0C"/>
    <w:rsid w:val="02720839"/>
    <w:rsid w:val="028B1A42"/>
    <w:rsid w:val="02A26A79"/>
    <w:rsid w:val="02BF2C1C"/>
    <w:rsid w:val="02CB619B"/>
    <w:rsid w:val="02DA1F3A"/>
    <w:rsid w:val="02DA63DE"/>
    <w:rsid w:val="02E84D32"/>
    <w:rsid w:val="033C2216"/>
    <w:rsid w:val="034848D2"/>
    <w:rsid w:val="035E2B6B"/>
    <w:rsid w:val="036068E4"/>
    <w:rsid w:val="036F2FCB"/>
    <w:rsid w:val="03780DFA"/>
    <w:rsid w:val="039667A9"/>
    <w:rsid w:val="03B46C2F"/>
    <w:rsid w:val="03E12B9A"/>
    <w:rsid w:val="03E9675B"/>
    <w:rsid w:val="04090D29"/>
    <w:rsid w:val="040C25C7"/>
    <w:rsid w:val="041B0A5C"/>
    <w:rsid w:val="041D42E4"/>
    <w:rsid w:val="041F199E"/>
    <w:rsid w:val="045521C0"/>
    <w:rsid w:val="045B1D8C"/>
    <w:rsid w:val="0469394E"/>
    <w:rsid w:val="047563BF"/>
    <w:rsid w:val="048438E4"/>
    <w:rsid w:val="04965983"/>
    <w:rsid w:val="0498252B"/>
    <w:rsid w:val="049D76C3"/>
    <w:rsid w:val="04B70785"/>
    <w:rsid w:val="04B769D7"/>
    <w:rsid w:val="05373674"/>
    <w:rsid w:val="05432019"/>
    <w:rsid w:val="05557E4F"/>
    <w:rsid w:val="055B3F73"/>
    <w:rsid w:val="056A6ABC"/>
    <w:rsid w:val="056F2E0E"/>
    <w:rsid w:val="056F52F7"/>
    <w:rsid w:val="05850883"/>
    <w:rsid w:val="05883ED0"/>
    <w:rsid w:val="059E6729"/>
    <w:rsid w:val="05B2719F"/>
    <w:rsid w:val="05B31BD4"/>
    <w:rsid w:val="05CC3BFF"/>
    <w:rsid w:val="05EC749A"/>
    <w:rsid w:val="05F53469"/>
    <w:rsid w:val="060D2627"/>
    <w:rsid w:val="061614DB"/>
    <w:rsid w:val="065564A8"/>
    <w:rsid w:val="06563FCE"/>
    <w:rsid w:val="069A65B0"/>
    <w:rsid w:val="069B5C91"/>
    <w:rsid w:val="06B531BD"/>
    <w:rsid w:val="07041C7C"/>
    <w:rsid w:val="072A5159"/>
    <w:rsid w:val="073D2C3C"/>
    <w:rsid w:val="0749768F"/>
    <w:rsid w:val="074A1D85"/>
    <w:rsid w:val="074A2413"/>
    <w:rsid w:val="075224F7"/>
    <w:rsid w:val="0768220B"/>
    <w:rsid w:val="07691ADF"/>
    <w:rsid w:val="07720E7E"/>
    <w:rsid w:val="07832BA1"/>
    <w:rsid w:val="07AC64A5"/>
    <w:rsid w:val="07AD40C1"/>
    <w:rsid w:val="07CB4548"/>
    <w:rsid w:val="07D21D7A"/>
    <w:rsid w:val="07DE7496"/>
    <w:rsid w:val="07FF5C22"/>
    <w:rsid w:val="08167EB9"/>
    <w:rsid w:val="08187D50"/>
    <w:rsid w:val="0822685D"/>
    <w:rsid w:val="08274BAD"/>
    <w:rsid w:val="083A6F9C"/>
    <w:rsid w:val="083B334F"/>
    <w:rsid w:val="084700AA"/>
    <w:rsid w:val="0854278F"/>
    <w:rsid w:val="08592B67"/>
    <w:rsid w:val="085A5FF7"/>
    <w:rsid w:val="087911A9"/>
    <w:rsid w:val="088C6950"/>
    <w:rsid w:val="08943866"/>
    <w:rsid w:val="0898050D"/>
    <w:rsid w:val="08B60D54"/>
    <w:rsid w:val="08D87341"/>
    <w:rsid w:val="08F55D20"/>
    <w:rsid w:val="09072842"/>
    <w:rsid w:val="09105748"/>
    <w:rsid w:val="09224B50"/>
    <w:rsid w:val="09572537"/>
    <w:rsid w:val="097D1872"/>
    <w:rsid w:val="099F5C8C"/>
    <w:rsid w:val="09A3577C"/>
    <w:rsid w:val="09AB79F4"/>
    <w:rsid w:val="09D05E45"/>
    <w:rsid w:val="09F064E7"/>
    <w:rsid w:val="0A060DB0"/>
    <w:rsid w:val="0A0B3F98"/>
    <w:rsid w:val="0A124F9F"/>
    <w:rsid w:val="0A7333A0"/>
    <w:rsid w:val="0A7B4003"/>
    <w:rsid w:val="0A9450C5"/>
    <w:rsid w:val="0AB26C67"/>
    <w:rsid w:val="0ABA47C0"/>
    <w:rsid w:val="0AD20566"/>
    <w:rsid w:val="0AE10E84"/>
    <w:rsid w:val="0AE944BC"/>
    <w:rsid w:val="0AEE5DB5"/>
    <w:rsid w:val="0AF0679F"/>
    <w:rsid w:val="0AF23140"/>
    <w:rsid w:val="0AF73FD1"/>
    <w:rsid w:val="0B1A719F"/>
    <w:rsid w:val="0B2226D0"/>
    <w:rsid w:val="0B4B40F9"/>
    <w:rsid w:val="0B523511"/>
    <w:rsid w:val="0B534EAD"/>
    <w:rsid w:val="0B54799E"/>
    <w:rsid w:val="0B651BC6"/>
    <w:rsid w:val="0B854FF4"/>
    <w:rsid w:val="0B867103"/>
    <w:rsid w:val="0B913E97"/>
    <w:rsid w:val="0B9E269F"/>
    <w:rsid w:val="0BBF6171"/>
    <w:rsid w:val="0BC04F97"/>
    <w:rsid w:val="0BCA4384"/>
    <w:rsid w:val="0BF57DE5"/>
    <w:rsid w:val="0BF923A4"/>
    <w:rsid w:val="0C450D6C"/>
    <w:rsid w:val="0C4843B9"/>
    <w:rsid w:val="0C4A6383"/>
    <w:rsid w:val="0C7D22B4"/>
    <w:rsid w:val="0C85560D"/>
    <w:rsid w:val="0CAA4A42"/>
    <w:rsid w:val="0CAF268A"/>
    <w:rsid w:val="0CAF436C"/>
    <w:rsid w:val="0CB97065"/>
    <w:rsid w:val="0CC51EAD"/>
    <w:rsid w:val="0CD820AB"/>
    <w:rsid w:val="0CDA003C"/>
    <w:rsid w:val="0CE00A95"/>
    <w:rsid w:val="0CEE31B2"/>
    <w:rsid w:val="0CF0217F"/>
    <w:rsid w:val="0D0C53E6"/>
    <w:rsid w:val="0D3A05F9"/>
    <w:rsid w:val="0D3D41B1"/>
    <w:rsid w:val="0D3E4BF8"/>
    <w:rsid w:val="0D4873BB"/>
    <w:rsid w:val="0D4E59FF"/>
    <w:rsid w:val="0D6C40D7"/>
    <w:rsid w:val="0D7336B7"/>
    <w:rsid w:val="0D7C07BE"/>
    <w:rsid w:val="0D8E04F1"/>
    <w:rsid w:val="0D98311E"/>
    <w:rsid w:val="0DBA3094"/>
    <w:rsid w:val="0DC21DE7"/>
    <w:rsid w:val="0DD42148"/>
    <w:rsid w:val="0DDC300B"/>
    <w:rsid w:val="0DDE3227"/>
    <w:rsid w:val="0DE835F8"/>
    <w:rsid w:val="0E3E5A73"/>
    <w:rsid w:val="0E456E02"/>
    <w:rsid w:val="0E4B0190"/>
    <w:rsid w:val="0E574D87"/>
    <w:rsid w:val="0E6D784E"/>
    <w:rsid w:val="0E707BF7"/>
    <w:rsid w:val="0E87566C"/>
    <w:rsid w:val="0E8F62CF"/>
    <w:rsid w:val="0E925DBF"/>
    <w:rsid w:val="0E990EFC"/>
    <w:rsid w:val="0EAB5613"/>
    <w:rsid w:val="0EBB70C4"/>
    <w:rsid w:val="0ECA5559"/>
    <w:rsid w:val="0EF32600"/>
    <w:rsid w:val="0F0616D9"/>
    <w:rsid w:val="0F0D215C"/>
    <w:rsid w:val="0F130CAE"/>
    <w:rsid w:val="0F136F00"/>
    <w:rsid w:val="0F1D5319"/>
    <w:rsid w:val="0F455830"/>
    <w:rsid w:val="0F4B5F54"/>
    <w:rsid w:val="0F557518"/>
    <w:rsid w:val="0F9A317D"/>
    <w:rsid w:val="0FA22032"/>
    <w:rsid w:val="0FA93ED9"/>
    <w:rsid w:val="0FB07EA3"/>
    <w:rsid w:val="0FC14BAE"/>
    <w:rsid w:val="10087A61"/>
    <w:rsid w:val="10260F59"/>
    <w:rsid w:val="10321248"/>
    <w:rsid w:val="106D1F9F"/>
    <w:rsid w:val="108547E4"/>
    <w:rsid w:val="10AF1D60"/>
    <w:rsid w:val="10AF2C58"/>
    <w:rsid w:val="10C65213"/>
    <w:rsid w:val="10D70037"/>
    <w:rsid w:val="10E94AC2"/>
    <w:rsid w:val="10EC6DE6"/>
    <w:rsid w:val="10FB7C4C"/>
    <w:rsid w:val="110D76FE"/>
    <w:rsid w:val="111927C8"/>
    <w:rsid w:val="1131366D"/>
    <w:rsid w:val="11542FBA"/>
    <w:rsid w:val="116A0355"/>
    <w:rsid w:val="116C6D9B"/>
    <w:rsid w:val="116E48C1"/>
    <w:rsid w:val="117B2B3A"/>
    <w:rsid w:val="11845E93"/>
    <w:rsid w:val="11A21FA6"/>
    <w:rsid w:val="11A55E09"/>
    <w:rsid w:val="11C10E95"/>
    <w:rsid w:val="11C20769"/>
    <w:rsid w:val="11C6062D"/>
    <w:rsid w:val="11CB5870"/>
    <w:rsid w:val="11DC7A7D"/>
    <w:rsid w:val="11E701D0"/>
    <w:rsid w:val="120449A5"/>
    <w:rsid w:val="12046FD4"/>
    <w:rsid w:val="122E0087"/>
    <w:rsid w:val="12481006"/>
    <w:rsid w:val="124D097B"/>
    <w:rsid w:val="124E024F"/>
    <w:rsid w:val="12717356"/>
    <w:rsid w:val="129C545E"/>
    <w:rsid w:val="12C7072D"/>
    <w:rsid w:val="12E50BB3"/>
    <w:rsid w:val="131B45D5"/>
    <w:rsid w:val="13255042"/>
    <w:rsid w:val="134D7869"/>
    <w:rsid w:val="137D2B9A"/>
    <w:rsid w:val="13822173"/>
    <w:rsid w:val="13B80076"/>
    <w:rsid w:val="13BE226B"/>
    <w:rsid w:val="13DE7BFE"/>
    <w:rsid w:val="13E16E57"/>
    <w:rsid w:val="13E66A37"/>
    <w:rsid w:val="14270D58"/>
    <w:rsid w:val="143F754A"/>
    <w:rsid w:val="14584ED1"/>
    <w:rsid w:val="145C6C53"/>
    <w:rsid w:val="14891B03"/>
    <w:rsid w:val="149F3E82"/>
    <w:rsid w:val="14A609A9"/>
    <w:rsid w:val="14F275B8"/>
    <w:rsid w:val="14F638B6"/>
    <w:rsid w:val="15024ED0"/>
    <w:rsid w:val="15033573"/>
    <w:rsid w:val="15086BE0"/>
    <w:rsid w:val="151B6B0E"/>
    <w:rsid w:val="153674A4"/>
    <w:rsid w:val="153E27FD"/>
    <w:rsid w:val="153E5921"/>
    <w:rsid w:val="15415E49"/>
    <w:rsid w:val="15512530"/>
    <w:rsid w:val="15524C0F"/>
    <w:rsid w:val="156262F2"/>
    <w:rsid w:val="15630FC0"/>
    <w:rsid w:val="156758B0"/>
    <w:rsid w:val="1584492D"/>
    <w:rsid w:val="159D7523"/>
    <w:rsid w:val="15B66808"/>
    <w:rsid w:val="15F35395"/>
    <w:rsid w:val="16183D72"/>
    <w:rsid w:val="16290B59"/>
    <w:rsid w:val="164976AB"/>
    <w:rsid w:val="164E081E"/>
    <w:rsid w:val="16626EBF"/>
    <w:rsid w:val="166E0EC0"/>
    <w:rsid w:val="167F4E7B"/>
    <w:rsid w:val="168B191E"/>
    <w:rsid w:val="168D57EA"/>
    <w:rsid w:val="16922E00"/>
    <w:rsid w:val="16AD19E8"/>
    <w:rsid w:val="16DC051F"/>
    <w:rsid w:val="16E26EA8"/>
    <w:rsid w:val="16E80C72"/>
    <w:rsid w:val="16F74821"/>
    <w:rsid w:val="170830C2"/>
    <w:rsid w:val="17360F2A"/>
    <w:rsid w:val="17364417"/>
    <w:rsid w:val="174D4F79"/>
    <w:rsid w:val="17571954"/>
    <w:rsid w:val="175F7F8D"/>
    <w:rsid w:val="17642F6B"/>
    <w:rsid w:val="17810C39"/>
    <w:rsid w:val="178963E1"/>
    <w:rsid w:val="178B07B6"/>
    <w:rsid w:val="178C784F"/>
    <w:rsid w:val="179B3256"/>
    <w:rsid w:val="179D1B21"/>
    <w:rsid w:val="17AF79E2"/>
    <w:rsid w:val="17C63C83"/>
    <w:rsid w:val="17E05DED"/>
    <w:rsid w:val="17F51899"/>
    <w:rsid w:val="17FB2C27"/>
    <w:rsid w:val="180A4C18"/>
    <w:rsid w:val="181D0DEF"/>
    <w:rsid w:val="181E2472"/>
    <w:rsid w:val="18273A1C"/>
    <w:rsid w:val="183028D1"/>
    <w:rsid w:val="18365A0D"/>
    <w:rsid w:val="18395559"/>
    <w:rsid w:val="183A72AB"/>
    <w:rsid w:val="18574301"/>
    <w:rsid w:val="186715DB"/>
    <w:rsid w:val="186D5802"/>
    <w:rsid w:val="187327BD"/>
    <w:rsid w:val="18784278"/>
    <w:rsid w:val="18844672"/>
    <w:rsid w:val="18992975"/>
    <w:rsid w:val="18D23988"/>
    <w:rsid w:val="18E13BCB"/>
    <w:rsid w:val="18F002B2"/>
    <w:rsid w:val="19042DBF"/>
    <w:rsid w:val="191B532F"/>
    <w:rsid w:val="193D3012"/>
    <w:rsid w:val="194F4FD8"/>
    <w:rsid w:val="19550115"/>
    <w:rsid w:val="19890749"/>
    <w:rsid w:val="199E673F"/>
    <w:rsid w:val="19BD0194"/>
    <w:rsid w:val="19D07257"/>
    <w:rsid w:val="19DB5481"/>
    <w:rsid w:val="19DE594A"/>
    <w:rsid w:val="19F53DD2"/>
    <w:rsid w:val="1A0062D3"/>
    <w:rsid w:val="1A1A2278"/>
    <w:rsid w:val="1A3F504D"/>
    <w:rsid w:val="1A484F3B"/>
    <w:rsid w:val="1A7D02C2"/>
    <w:rsid w:val="1A815666"/>
    <w:rsid w:val="1AB71087"/>
    <w:rsid w:val="1AC15A62"/>
    <w:rsid w:val="1ACE5433"/>
    <w:rsid w:val="1AD804B9"/>
    <w:rsid w:val="1AE16104"/>
    <w:rsid w:val="1AF71484"/>
    <w:rsid w:val="1AFB5BF4"/>
    <w:rsid w:val="1B4B639F"/>
    <w:rsid w:val="1B5F527B"/>
    <w:rsid w:val="1B6C00C4"/>
    <w:rsid w:val="1B6F1962"/>
    <w:rsid w:val="1B731380"/>
    <w:rsid w:val="1B7F1479"/>
    <w:rsid w:val="1B856CC1"/>
    <w:rsid w:val="1B9E2247"/>
    <w:rsid w:val="1B9E5092"/>
    <w:rsid w:val="1BBA3BF3"/>
    <w:rsid w:val="1BE91714"/>
    <w:rsid w:val="1C112A19"/>
    <w:rsid w:val="1C2E5379"/>
    <w:rsid w:val="1C35495A"/>
    <w:rsid w:val="1C381D54"/>
    <w:rsid w:val="1C4508ED"/>
    <w:rsid w:val="1C47643B"/>
    <w:rsid w:val="1C4A5F2B"/>
    <w:rsid w:val="1C5E3000"/>
    <w:rsid w:val="1C7237A6"/>
    <w:rsid w:val="1C7B7E93"/>
    <w:rsid w:val="1C913B5A"/>
    <w:rsid w:val="1CA91D8C"/>
    <w:rsid w:val="1CA93208"/>
    <w:rsid w:val="1CC41839"/>
    <w:rsid w:val="1CC7757C"/>
    <w:rsid w:val="1D1F3DB8"/>
    <w:rsid w:val="1D2B7B0B"/>
    <w:rsid w:val="1D501C9D"/>
    <w:rsid w:val="1D664516"/>
    <w:rsid w:val="1D7E40DE"/>
    <w:rsid w:val="1D976F4E"/>
    <w:rsid w:val="1DBE44DB"/>
    <w:rsid w:val="1DD45AAC"/>
    <w:rsid w:val="1DFF6B1C"/>
    <w:rsid w:val="1E0956E4"/>
    <w:rsid w:val="1E29229C"/>
    <w:rsid w:val="1E3C4ED8"/>
    <w:rsid w:val="1E566E09"/>
    <w:rsid w:val="1E7159F1"/>
    <w:rsid w:val="1E766B63"/>
    <w:rsid w:val="1E845724"/>
    <w:rsid w:val="1E9B0CC0"/>
    <w:rsid w:val="1EC71AB5"/>
    <w:rsid w:val="1ECE2E43"/>
    <w:rsid w:val="1EDA3596"/>
    <w:rsid w:val="1EDB2E6A"/>
    <w:rsid w:val="1EE46D29"/>
    <w:rsid w:val="1EFA1543"/>
    <w:rsid w:val="1EFD1033"/>
    <w:rsid w:val="1F2111C5"/>
    <w:rsid w:val="1F244811"/>
    <w:rsid w:val="1F7F2569"/>
    <w:rsid w:val="1F8B3BE5"/>
    <w:rsid w:val="1F8D0151"/>
    <w:rsid w:val="1FBB33C8"/>
    <w:rsid w:val="1FD74429"/>
    <w:rsid w:val="1FD9384E"/>
    <w:rsid w:val="1FF03F57"/>
    <w:rsid w:val="1FFB1A16"/>
    <w:rsid w:val="20054643"/>
    <w:rsid w:val="2011123A"/>
    <w:rsid w:val="20352367"/>
    <w:rsid w:val="20370574"/>
    <w:rsid w:val="204056B9"/>
    <w:rsid w:val="20533D65"/>
    <w:rsid w:val="20592164"/>
    <w:rsid w:val="206750B4"/>
    <w:rsid w:val="206A61F8"/>
    <w:rsid w:val="207A707D"/>
    <w:rsid w:val="20A43E5C"/>
    <w:rsid w:val="20C04A0E"/>
    <w:rsid w:val="20DD736E"/>
    <w:rsid w:val="20DE4242"/>
    <w:rsid w:val="20F450A1"/>
    <w:rsid w:val="20FA4556"/>
    <w:rsid w:val="21052421"/>
    <w:rsid w:val="210D73EA"/>
    <w:rsid w:val="21240AF9"/>
    <w:rsid w:val="215A3E8B"/>
    <w:rsid w:val="216B2906"/>
    <w:rsid w:val="21761BDC"/>
    <w:rsid w:val="21772E68"/>
    <w:rsid w:val="218A7DF7"/>
    <w:rsid w:val="21941D90"/>
    <w:rsid w:val="21A63C04"/>
    <w:rsid w:val="21A8797C"/>
    <w:rsid w:val="21AD04D0"/>
    <w:rsid w:val="21C244AB"/>
    <w:rsid w:val="21CB5418"/>
    <w:rsid w:val="21E45E44"/>
    <w:rsid w:val="21E8421C"/>
    <w:rsid w:val="21F12020"/>
    <w:rsid w:val="22367CE0"/>
    <w:rsid w:val="224D407F"/>
    <w:rsid w:val="2254540E"/>
    <w:rsid w:val="22631AF5"/>
    <w:rsid w:val="226960E2"/>
    <w:rsid w:val="22761828"/>
    <w:rsid w:val="227F44DD"/>
    <w:rsid w:val="2281060B"/>
    <w:rsid w:val="22853819"/>
    <w:rsid w:val="22D56F29"/>
    <w:rsid w:val="22DD016E"/>
    <w:rsid w:val="230230BC"/>
    <w:rsid w:val="23111551"/>
    <w:rsid w:val="23250B58"/>
    <w:rsid w:val="234150EB"/>
    <w:rsid w:val="23777564"/>
    <w:rsid w:val="23A2083A"/>
    <w:rsid w:val="23B42895"/>
    <w:rsid w:val="23B600CB"/>
    <w:rsid w:val="23F8626D"/>
    <w:rsid w:val="23FA4DA5"/>
    <w:rsid w:val="2432177F"/>
    <w:rsid w:val="24645760"/>
    <w:rsid w:val="247671AB"/>
    <w:rsid w:val="24876A72"/>
    <w:rsid w:val="248C70E1"/>
    <w:rsid w:val="24AD52A9"/>
    <w:rsid w:val="24B86128"/>
    <w:rsid w:val="24C21074"/>
    <w:rsid w:val="24DE36B4"/>
    <w:rsid w:val="25154D3D"/>
    <w:rsid w:val="251A48F4"/>
    <w:rsid w:val="25227A45"/>
    <w:rsid w:val="253B0B07"/>
    <w:rsid w:val="25796F45"/>
    <w:rsid w:val="257D05D9"/>
    <w:rsid w:val="259E03A7"/>
    <w:rsid w:val="25A77F4A"/>
    <w:rsid w:val="25D45AED"/>
    <w:rsid w:val="25DE1FA0"/>
    <w:rsid w:val="25E116AE"/>
    <w:rsid w:val="25EF7CCF"/>
    <w:rsid w:val="25F807A6"/>
    <w:rsid w:val="26061115"/>
    <w:rsid w:val="26183390"/>
    <w:rsid w:val="26431A21"/>
    <w:rsid w:val="26C72687"/>
    <w:rsid w:val="26D45F8B"/>
    <w:rsid w:val="26DD00C8"/>
    <w:rsid w:val="26E31456"/>
    <w:rsid w:val="270F72F6"/>
    <w:rsid w:val="271433BD"/>
    <w:rsid w:val="272E79DF"/>
    <w:rsid w:val="273807F7"/>
    <w:rsid w:val="275D2F5E"/>
    <w:rsid w:val="27895B59"/>
    <w:rsid w:val="279938C3"/>
    <w:rsid w:val="27A50D40"/>
    <w:rsid w:val="27B01338"/>
    <w:rsid w:val="27CC5A46"/>
    <w:rsid w:val="27EF34EB"/>
    <w:rsid w:val="27F154AD"/>
    <w:rsid w:val="27F61698"/>
    <w:rsid w:val="280B48A6"/>
    <w:rsid w:val="280C003E"/>
    <w:rsid w:val="281D62A2"/>
    <w:rsid w:val="2834568E"/>
    <w:rsid w:val="283830DC"/>
    <w:rsid w:val="284677F2"/>
    <w:rsid w:val="286F11F3"/>
    <w:rsid w:val="287405B8"/>
    <w:rsid w:val="287F0D0A"/>
    <w:rsid w:val="28971705"/>
    <w:rsid w:val="28A40771"/>
    <w:rsid w:val="28AD1D1C"/>
    <w:rsid w:val="28C97329"/>
    <w:rsid w:val="28D64DCE"/>
    <w:rsid w:val="28DC62BB"/>
    <w:rsid w:val="28E16DD3"/>
    <w:rsid w:val="291B77AC"/>
    <w:rsid w:val="296E14AB"/>
    <w:rsid w:val="29743BDA"/>
    <w:rsid w:val="297C6975"/>
    <w:rsid w:val="29946A38"/>
    <w:rsid w:val="29A0362E"/>
    <w:rsid w:val="29A31513"/>
    <w:rsid w:val="29AB625B"/>
    <w:rsid w:val="2A04596B"/>
    <w:rsid w:val="2A0C2A72"/>
    <w:rsid w:val="2A2D1D34"/>
    <w:rsid w:val="2A4144C9"/>
    <w:rsid w:val="2A5561C7"/>
    <w:rsid w:val="2A5609F7"/>
    <w:rsid w:val="2A602C2F"/>
    <w:rsid w:val="2A6B7798"/>
    <w:rsid w:val="2A72199D"/>
    <w:rsid w:val="2A8F792B"/>
    <w:rsid w:val="2ACA07CB"/>
    <w:rsid w:val="2ACD3FAF"/>
    <w:rsid w:val="2ADC2444"/>
    <w:rsid w:val="2AE5558D"/>
    <w:rsid w:val="2AFB2BC0"/>
    <w:rsid w:val="2B0472C1"/>
    <w:rsid w:val="2B0674C1"/>
    <w:rsid w:val="2B404781"/>
    <w:rsid w:val="2B4C581C"/>
    <w:rsid w:val="2B554B02"/>
    <w:rsid w:val="2B585F6F"/>
    <w:rsid w:val="2B68316F"/>
    <w:rsid w:val="2B853F79"/>
    <w:rsid w:val="2B8C393E"/>
    <w:rsid w:val="2B9170FE"/>
    <w:rsid w:val="2B9F3B9D"/>
    <w:rsid w:val="2BB37649"/>
    <w:rsid w:val="2BB46F1D"/>
    <w:rsid w:val="2BCB1525"/>
    <w:rsid w:val="2BD575BF"/>
    <w:rsid w:val="2BD83B63"/>
    <w:rsid w:val="2BFD6B16"/>
    <w:rsid w:val="2C0559CB"/>
    <w:rsid w:val="2C0F23A5"/>
    <w:rsid w:val="2C263D52"/>
    <w:rsid w:val="2C2C2F57"/>
    <w:rsid w:val="2C314381"/>
    <w:rsid w:val="2C483F8B"/>
    <w:rsid w:val="2C511B35"/>
    <w:rsid w:val="2C6941A5"/>
    <w:rsid w:val="2C7D37B3"/>
    <w:rsid w:val="2C7F4A6F"/>
    <w:rsid w:val="2C830311"/>
    <w:rsid w:val="2C901738"/>
    <w:rsid w:val="2C974875"/>
    <w:rsid w:val="2C982242"/>
    <w:rsid w:val="2CB438B5"/>
    <w:rsid w:val="2CD71115"/>
    <w:rsid w:val="2D016192"/>
    <w:rsid w:val="2D0363AE"/>
    <w:rsid w:val="2D155BB1"/>
    <w:rsid w:val="2D2A2BE8"/>
    <w:rsid w:val="2D376FAF"/>
    <w:rsid w:val="2D382AA4"/>
    <w:rsid w:val="2D3E4EC7"/>
    <w:rsid w:val="2D4B38B1"/>
    <w:rsid w:val="2D5B1D46"/>
    <w:rsid w:val="2D5C5ABE"/>
    <w:rsid w:val="2D5F05BB"/>
    <w:rsid w:val="2D7579BD"/>
    <w:rsid w:val="2D8F19F0"/>
    <w:rsid w:val="2DDD1E91"/>
    <w:rsid w:val="2DDF3957"/>
    <w:rsid w:val="2DE509F2"/>
    <w:rsid w:val="2DF030A2"/>
    <w:rsid w:val="2DFD4BAB"/>
    <w:rsid w:val="2E136236"/>
    <w:rsid w:val="2E335840"/>
    <w:rsid w:val="2E697EFD"/>
    <w:rsid w:val="2E755089"/>
    <w:rsid w:val="2E8E1CA7"/>
    <w:rsid w:val="2E902470"/>
    <w:rsid w:val="2E9372BE"/>
    <w:rsid w:val="2EDA1029"/>
    <w:rsid w:val="2EE713B8"/>
    <w:rsid w:val="2EEB70FA"/>
    <w:rsid w:val="2F077072"/>
    <w:rsid w:val="2F1C3BAE"/>
    <w:rsid w:val="2F62384B"/>
    <w:rsid w:val="2F664C07"/>
    <w:rsid w:val="2F7B047E"/>
    <w:rsid w:val="2FA02C09"/>
    <w:rsid w:val="2FA16C6A"/>
    <w:rsid w:val="2FB2501E"/>
    <w:rsid w:val="2FD87A81"/>
    <w:rsid w:val="2FE73D65"/>
    <w:rsid w:val="2FF6655B"/>
    <w:rsid w:val="3016447C"/>
    <w:rsid w:val="301B5B78"/>
    <w:rsid w:val="303D5733"/>
    <w:rsid w:val="30433499"/>
    <w:rsid w:val="304B352E"/>
    <w:rsid w:val="305331A8"/>
    <w:rsid w:val="305561E7"/>
    <w:rsid w:val="305F38FB"/>
    <w:rsid w:val="308710A4"/>
    <w:rsid w:val="309D2676"/>
    <w:rsid w:val="30A62585"/>
    <w:rsid w:val="30B33C47"/>
    <w:rsid w:val="30BF083E"/>
    <w:rsid w:val="30C6397A"/>
    <w:rsid w:val="30C714A1"/>
    <w:rsid w:val="30C804B7"/>
    <w:rsid w:val="30CB2D3F"/>
    <w:rsid w:val="30CE282F"/>
    <w:rsid w:val="30D81900"/>
    <w:rsid w:val="30DA5678"/>
    <w:rsid w:val="310B5045"/>
    <w:rsid w:val="31175F84"/>
    <w:rsid w:val="311C17EC"/>
    <w:rsid w:val="311E7F3C"/>
    <w:rsid w:val="3138414C"/>
    <w:rsid w:val="313C59EB"/>
    <w:rsid w:val="314B0324"/>
    <w:rsid w:val="314B20D2"/>
    <w:rsid w:val="3159659D"/>
    <w:rsid w:val="315A40C3"/>
    <w:rsid w:val="315E2A29"/>
    <w:rsid w:val="31603DCF"/>
    <w:rsid w:val="316136A3"/>
    <w:rsid w:val="319770C5"/>
    <w:rsid w:val="31BA5C46"/>
    <w:rsid w:val="31E87EAA"/>
    <w:rsid w:val="31EF0CAF"/>
    <w:rsid w:val="31F91B2E"/>
    <w:rsid w:val="32425283"/>
    <w:rsid w:val="327318E0"/>
    <w:rsid w:val="328C29A2"/>
    <w:rsid w:val="32A001FB"/>
    <w:rsid w:val="32AC4DF2"/>
    <w:rsid w:val="32DE5591"/>
    <w:rsid w:val="32EC744F"/>
    <w:rsid w:val="32F14C27"/>
    <w:rsid w:val="331639CC"/>
    <w:rsid w:val="331F7372"/>
    <w:rsid w:val="3334158F"/>
    <w:rsid w:val="335E60EC"/>
    <w:rsid w:val="33686F6B"/>
    <w:rsid w:val="336D27D3"/>
    <w:rsid w:val="336E0A29"/>
    <w:rsid w:val="33812DC7"/>
    <w:rsid w:val="33926F45"/>
    <w:rsid w:val="3393163E"/>
    <w:rsid w:val="33947D60"/>
    <w:rsid w:val="339A1D96"/>
    <w:rsid w:val="33C7669B"/>
    <w:rsid w:val="33CC7ECB"/>
    <w:rsid w:val="33EC194A"/>
    <w:rsid w:val="33F7209D"/>
    <w:rsid w:val="34594B05"/>
    <w:rsid w:val="34763909"/>
    <w:rsid w:val="34941845"/>
    <w:rsid w:val="34B12D27"/>
    <w:rsid w:val="34B1374D"/>
    <w:rsid w:val="34B8751A"/>
    <w:rsid w:val="34C12DD7"/>
    <w:rsid w:val="34D81ECE"/>
    <w:rsid w:val="34E02B31"/>
    <w:rsid w:val="34E538E1"/>
    <w:rsid w:val="34FA1E45"/>
    <w:rsid w:val="35042CC3"/>
    <w:rsid w:val="35186A4E"/>
    <w:rsid w:val="35213875"/>
    <w:rsid w:val="35245113"/>
    <w:rsid w:val="35553C88"/>
    <w:rsid w:val="35610116"/>
    <w:rsid w:val="357716E7"/>
    <w:rsid w:val="35A70CD4"/>
    <w:rsid w:val="35AD6DBF"/>
    <w:rsid w:val="35B91D00"/>
    <w:rsid w:val="35BE7316"/>
    <w:rsid w:val="35C44201"/>
    <w:rsid w:val="35CB558F"/>
    <w:rsid w:val="35EA010B"/>
    <w:rsid w:val="35F141A5"/>
    <w:rsid w:val="35F44FFF"/>
    <w:rsid w:val="360B400E"/>
    <w:rsid w:val="36145188"/>
    <w:rsid w:val="363B0967"/>
    <w:rsid w:val="363B44C3"/>
    <w:rsid w:val="3652180C"/>
    <w:rsid w:val="36625EF3"/>
    <w:rsid w:val="36A27513"/>
    <w:rsid w:val="36A54032"/>
    <w:rsid w:val="36BA292B"/>
    <w:rsid w:val="36CE3589"/>
    <w:rsid w:val="36D41AA6"/>
    <w:rsid w:val="36FC587A"/>
    <w:rsid w:val="37070849"/>
    <w:rsid w:val="370F05FE"/>
    <w:rsid w:val="371F2036"/>
    <w:rsid w:val="372C6501"/>
    <w:rsid w:val="37362EDC"/>
    <w:rsid w:val="376C3598"/>
    <w:rsid w:val="37755477"/>
    <w:rsid w:val="377A101B"/>
    <w:rsid w:val="377C7C53"/>
    <w:rsid w:val="37D31982"/>
    <w:rsid w:val="37D41585"/>
    <w:rsid w:val="37D664EB"/>
    <w:rsid w:val="37EB016A"/>
    <w:rsid w:val="37F46E66"/>
    <w:rsid w:val="37F52D97"/>
    <w:rsid w:val="3800568F"/>
    <w:rsid w:val="3806772A"/>
    <w:rsid w:val="380F1CC5"/>
    <w:rsid w:val="38117DB1"/>
    <w:rsid w:val="383B0822"/>
    <w:rsid w:val="3848736B"/>
    <w:rsid w:val="385E7306"/>
    <w:rsid w:val="38736CF1"/>
    <w:rsid w:val="387B504A"/>
    <w:rsid w:val="38D33529"/>
    <w:rsid w:val="38FC32E0"/>
    <w:rsid w:val="390C0398"/>
    <w:rsid w:val="39237490"/>
    <w:rsid w:val="392A081F"/>
    <w:rsid w:val="393D67A4"/>
    <w:rsid w:val="394704B1"/>
    <w:rsid w:val="398C3287"/>
    <w:rsid w:val="39A053F0"/>
    <w:rsid w:val="39A86313"/>
    <w:rsid w:val="39AC0D89"/>
    <w:rsid w:val="39B64351"/>
    <w:rsid w:val="39D91E06"/>
    <w:rsid w:val="39DF785B"/>
    <w:rsid w:val="3A110AB3"/>
    <w:rsid w:val="3A157721"/>
    <w:rsid w:val="3A1C460B"/>
    <w:rsid w:val="3A271638"/>
    <w:rsid w:val="3A2E433E"/>
    <w:rsid w:val="3A2F043D"/>
    <w:rsid w:val="3A3556CD"/>
    <w:rsid w:val="3A3A0F35"/>
    <w:rsid w:val="3A3E6C77"/>
    <w:rsid w:val="3A4678DA"/>
    <w:rsid w:val="3A797CAF"/>
    <w:rsid w:val="3A824754"/>
    <w:rsid w:val="3AA00A5D"/>
    <w:rsid w:val="3AA0348E"/>
    <w:rsid w:val="3AA7481D"/>
    <w:rsid w:val="3AD06E4C"/>
    <w:rsid w:val="3AD43138"/>
    <w:rsid w:val="3AD44EE6"/>
    <w:rsid w:val="3AE315CD"/>
    <w:rsid w:val="3AED7D56"/>
    <w:rsid w:val="3AF64E5C"/>
    <w:rsid w:val="3B0E09E5"/>
    <w:rsid w:val="3B292616"/>
    <w:rsid w:val="3B2D73A2"/>
    <w:rsid w:val="3B3E536A"/>
    <w:rsid w:val="3B3F4ABE"/>
    <w:rsid w:val="3B5575D1"/>
    <w:rsid w:val="3B7D00A5"/>
    <w:rsid w:val="3B7D732B"/>
    <w:rsid w:val="3B844B5E"/>
    <w:rsid w:val="3BAF23E6"/>
    <w:rsid w:val="3BBD3BCC"/>
    <w:rsid w:val="3BC431AC"/>
    <w:rsid w:val="3BCE43AD"/>
    <w:rsid w:val="3BF075C1"/>
    <w:rsid w:val="3C002E69"/>
    <w:rsid w:val="3C2974B3"/>
    <w:rsid w:val="3C3A3EEF"/>
    <w:rsid w:val="3C4953F6"/>
    <w:rsid w:val="3C6329C5"/>
    <w:rsid w:val="3C6A30C8"/>
    <w:rsid w:val="3CA31014"/>
    <w:rsid w:val="3CAD1E92"/>
    <w:rsid w:val="3CBA4C68"/>
    <w:rsid w:val="3CBF1A4F"/>
    <w:rsid w:val="3CC05722"/>
    <w:rsid w:val="3CC176EC"/>
    <w:rsid w:val="3CDC5A84"/>
    <w:rsid w:val="3CE37662"/>
    <w:rsid w:val="3CFF3F78"/>
    <w:rsid w:val="3D023F8C"/>
    <w:rsid w:val="3D1B504E"/>
    <w:rsid w:val="3D1E73F6"/>
    <w:rsid w:val="3D31435C"/>
    <w:rsid w:val="3D3837C1"/>
    <w:rsid w:val="3D6A1B31"/>
    <w:rsid w:val="3D950BAB"/>
    <w:rsid w:val="3DA70690"/>
    <w:rsid w:val="3DA738D0"/>
    <w:rsid w:val="3DAB09D8"/>
    <w:rsid w:val="3DB57C8F"/>
    <w:rsid w:val="3DC941D4"/>
    <w:rsid w:val="3DF71617"/>
    <w:rsid w:val="3DFE6F9C"/>
    <w:rsid w:val="3E157830"/>
    <w:rsid w:val="3E1D6BA4"/>
    <w:rsid w:val="3E3143FD"/>
    <w:rsid w:val="3E3D3671"/>
    <w:rsid w:val="3E42660A"/>
    <w:rsid w:val="3E485474"/>
    <w:rsid w:val="3E5F71BC"/>
    <w:rsid w:val="3E7B668B"/>
    <w:rsid w:val="3E7E7642"/>
    <w:rsid w:val="3E8B6203"/>
    <w:rsid w:val="3E8C44CC"/>
    <w:rsid w:val="3EA1096C"/>
    <w:rsid w:val="3EBF3AFF"/>
    <w:rsid w:val="3EC7548D"/>
    <w:rsid w:val="3EF66459"/>
    <w:rsid w:val="3EF67B21"/>
    <w:rsid w:val="3F0F62AB"/>
    <w:rsid w:val="3F2C3542"/>
    <w:rsid w:val="3F516B05"/>
    <w:rsid w:val="3F84512C"/>
    <w:rsid w:val="3F934685"/>
    <w:rsid w:val="3FAA4467"/>
    <w:rsid w:val="3FB62E0C"/>
    <w:rsid w:val="3FB94994"/>
    <w:rsid w:val="3FC25C55"/>
    <w:rsid w:val="3FCA4C58"/>
    <w:rsid w:val="3FD00372"/>
    <w:rsid w:val="3FE61943"/>
    <w:rsid w:val="3FF878C8"/>
    <w:rsid w:val="3FFB2F15"/>
    <w:rsid w:val="3FFC248D"/>
    <w:rsid w:val="400145BA"/>
    <w:rsid w:val="40297A82"/>
    <w:rsid w:val="403A1C8F"/>
    <w:rsid w:val="4093314D"/>
    <w:rsid w:val="40BF3F42"/>
    <w:rsid w:val="40D53766"/>
    <w:rsid w:val="40E73B83"/>
    <w:rsid w:val="40EA7211"/>
    <w:rsid w:val="40F6213F"/>
    <w:rsid w:val="4110479E"/>
    <w:rsid w:val="41197AF6"/>
    <w:rsid w:val="413F175D"/>
    <w:rsid w:val="41405083"/>
    <w:rsid w:val="414F0FC2"/>
    <w:rsid w:val="41735459"/>
    <w:rsid w:val="41B63597"/>
    <w:rsid w:val="41BB0BAE"/>
    <w:rsid w:val="41BB6E00"/>
    <w:rsid w:val="41BD4926"/>
    <w:rsid w:val="41BD778A"/>
    <w:rsid w:val="41D824B6"/>
    <w:rsid w:val="41E41EB2"/>
    <w:rsid w:val="420844F7"/>
    <w:rsid w:val="42095D44"/>
    <w:rsid w:val="42291FBB"/>
    <w:rsid w:val="422C1AAB"/>
    <w:rsid w:val="425067CD"/>
    <w:rsid w:val="42556937"/>
    <w:rsid w:val="42797341"/>
    <w:rsid w:val="427B33ED"/>
    <w:rsid w:val="428E4722"/>
    <w:rsid w:val="42901BBB"/>
    <w:rsid w:val="42A927C0"/>
    <w:rsid w:val="42C81561"/>
    <w:rsid w:val="42CB12BB"/>
    <w:rsid w:val="42DC0DDB"/>
    <w:rsid w:val="42DF47D5"/>
    <w:rsid w:val="42EE49BD"/>
    <w:rsid w:val="43105F3B"/>
    <w:rsid w:val="43156959"/>
    <w:rsid w:val="431810BA"/>
    <w:rsid w:val="434075BC"/>
    <w:rsid w:val="43454BD3"/>
    <w:rsid w:val="435B7EFD"/>
    <w:rsid w:val="43942491"/>
    <w:rsid w:val="44006D4C"/>
    <w:rsid w:val="44054362"/>
    <w:rsid w:val="44202F4A"/>
    <w:rsid w:val="444E1FE5"/>
    <w:rsid w:val="44627A06"/>
    <w:rsid w:val="446430EE"/>
    <w:rsid w:val="446B5B75"/>
    <w:rsid w:val="44775260"/>
    <w:rsid w:val="447B63D2"/>
    <w:rsid w:val="44A75419"/>
    <w:rsid w:val="44B042CE"/>
    <w:rsid w:val="44C61D43"/>
    <w:rsid w:val="44C669F9"/>
    <w:rsid w:val="44CA4516"/>
    <w:rsid w:val="450308A1"/>
    <w:rsid w:val="452A0524"/>
    <w:rsid w:val="4541761C"/>
    <w:rsid w:val="4554734F"/>
    <w:rsid w:val="45594965"/>
    <w:rsid w:val="45637592"/>
    <w:rsid w:val="45723C79"/>
    <w:rsid w:val="457B2B2E"/>
    <w:rsid w:val="45977F0C"/>
    <w:rsid w:val="45A04342"/>
    <w:rsid w:val="45A1630C"/>
    <w:rsid w:val="45A35BE1"/>
    <w:rsid w:val="45AF1601"/>
    <w:rsid w:val="45B24076"/>
    <w:rsid w:val="45CC42D2"/>
    <w:rsid w:val="45D93CF8"/>
    <w:rsid w:val="45E16709"/>
    <w:rsid w:val="45F65156"/>
    <w:rsid w:val="46026DAB"/>
    <w:rsid w:val="461F4288"/>
    <w:rsid w:val="46252A99"/>
    <w:rsid w:val="463A4797"/>
    <w:rsid w:val="465C22A7"/>
    <w:rsid w:val="466C5897"/>
    <w:rsid w:val="466C691A"/>
    <w:rsid w:val="467B6B5D"/>
    <w:rsid w:val="467F664E"/>
    <w:rsid w:val="468E4EA4"/>
    <w:rsid w:val="4694586B"/>
    <w:rsid w:val="46B06807"/>
    <w:rsid w:val="46C8570E"/>
    <w:rsid w:val="46D85D5E"/>
    <w:rsid w:val="46FC14B9"/>
    <w:rsid w:val="4734568A"/>
    <w:rsid w:val="473C009B"/>
    <w:rsid w:val="474A6C5C"/>
    <w:rsid w:val="475A49C5"/>
    <w:rsid w:val="475E25CD"/>
    <w:rsid w:val="47633879"/>
    <w:rsid w:val="476615BC"/>
    <w:rsid w:val="47677CBF"/>
    <w:rsid w:val="47741342"/>
    <w:rsid w:val="477D78BA"/>
    <w:rsid w:val="47A60EA3"/>
    <w:rsid w:val="47BC1C27"/>
    <w:rsid w:val="47C85DD2"/>
    <w:rsid w:val="47F70466"/>
    <w:rsid w:val="47F90F1F"/>
    <w:rsid w:val="48272AF9"/>
    <w:rsid w:val="482E0768"/>
    <w:rsid w:val="482F7BFF"/>
    <w:rsid w:val="48424213"/>
    <w:rsid w:val="485B6C46"/>
    <w:rsid w:val="48786833"/>
    <w:rsid w:val="48802209"/>
    <w:rsid w:val="48825005"/>
    <w:rsid w:val="489348DF"/>
    <w:rsid w:val="489F6B33"/>
    <w:rsid w:val="48AD7823"/>
    <w:rsid w:val="48CB5B7A"/>
    <w:rsid w:val="48EA1132"/>
    <w:rsid w:val="48EE1869"/>
    <w:rsid w:val="48F74BC1"/>
    <w:rsid w:val="48FD7CFE"/>
    <w:rsid w:val="49105C83"/>
    <w:rsid w:val="491D469D"/>
    <w:rsid w:val="492B247D"/>
    <w:rsid w:val="49455803"/>
    <w:rsid w:val="495715E5"/>
    <w:rsid w:val="49691D6D"/>
    <w:rsid w:val="497955D6"/>
    <w:rsid w:val="49890862"/>
    <w:rsid w:val="49953FD0"/>
    <w:rsid w:val="49973CAE"/>
    <w:rsid w:val="499B315F"/>
    <w:rsid w:val="49B26D3A"/>
    <w:rsid w:val="49E10482"/>
    <w:rsid w:val="4A203CA4"/>
    <w:rsid w:val="4A226E60"/>
    <w:rsid w:val="4A274A30"/>
    <w:rsid w:val="4A5327D1"/>
    <w:rsid w:val="4A5A544B"/>
    <w:rsid w:val="4A8C3321"/>
    <w:rsid w:val="4A8F086C"/>
    <w:rsid w:val="4A913B64"/>
    <w:rsid w:val="4AA30431"/>
    <w:rsid w:val="4ACB4AB7"/>
    <w:rsid w:val="4ACE54AE"/>
    <w:rsid w:val="4ACF216A"/>
    <w:rsid w:val="4AD3706A"/>
    <w:rsid w:val="4AF70619"/>
    <w:rsid w:val="4AFB4085"/>
    <w:rsid w:val="4AFC64BF"/>
    <w:rsid w:val="4B0E7FA0"/>
    <w:rsid w:val="4B1A2A45"/>
    <w:rsid w:val="4B257098"/>
    <w:rsid w:val="4B3814C1"/>
    <w:rsid w:val="4B5150CB"/>
    <w:rsid w:val="4B6978CC"/>
    <w:rsid w:val="4B7324F9"/>
    <w:rsid w:val="4B76003F"/>
    <w:rsid w:val="4B8116B9"/>
    <w:rsid w:val="4B840262"/>
    <w:rsid w:val="4B94266B"/>
    <w:rsid w:val="4BA9153A"/>
    <w:rsid w:val="4BC505EE"/>
    <w:rsid w:val="4BC561BE"/>
    <w:rsid w:val="4BDD56CD"/>
    <w:rsid w:val="4BE667F0"/>
    <w:rsid w:val="4BEB208F"/>
    <w:rsid w:val="4C0373D9"/>
    <w:rsid w:val="4C0A4C0B"/>
    <w:rsid w:val="4C1B2975"/>
    <w:rsid w:val="4C1E560B"/>
    <w:rsid w:val="4C231829"/>
    <w:rsid w:val="4C282A7E"/>
    <w:rsid w:val="4C2A705C"/>
    <w:rsid w:val="4C4023DB"/>
    <w:rsid w:val="4C4348C9"/>
    <w:rsid w:val="4C716A38"/>
    <w:rsid w:val="4C7D362F"/>
    <w:rsid w:val="4C98004F"/>
    <w:rsid w:val="4C995F8F"/>
    <w:rsid w:val="4CA26BF2"/>
    <w:rsid w:val="4CD314A1"/>
    <w:rsid w:val="4D007DBC"/>
    <w:rsid w:val="4D055724"/>
    <w:rsid w:val="4D090E8D"/>
    <w:rsid w:val="4D0975DD"/>
    <w:rsid w:val="4D0C49B3"/>
    <w:rsid w:val="4D0C6761"/>
    <w:rsid w:val="4D1B0752"/>
    <w:rsid w:val="4D386DDE"/>
    <w:rsid w:val="4D4C3002"/>
    <w:rsid w:val="4D875DE8"/>
    <w:rsid w:val="4DA1334D"/>
    <w:rsid w:val="4DA8648A"/>
    <w:rsid w:val="4DAC584E"/>
    <w:rsid w:val="4DD30391"/>
    <w:rsid w:val="4E3C6BD2"/>
    <w:rsid w:val="4E7C3473"/>
    <w:rsid w:val="4E7D7917"/>
    <w:rsid w:val="4E802F63"/>
    <w:rsid w:val="4E8A2A5E"/>
    <w:rsid w:val="4E927B13"/>
    <w:rsid w:val="4E93713A"/>
    <w:rsid w:val="4EC72940"/>
    <w:rsid w:val="4EDE5EDB"/>
    <w:rsid w:val="4F010023"/>
    <w:rsid w:val="4F027F87"/>
    <w:rsid w:val="4F1E4979"/>
    <w:rsid w:val="4F6501C5"/>
    <w:rsid w:val="4F8627FB"/>
    <w:rsid w:val="4F9547EC"/>
    <w:rsid w:val="4F9D7B44"/>
    <w:rsid w:val="4FA31367"/>
    <w:rsid w:val="4FB96C72"/>
    <w:rsid w:val="4FF70F62"/>
    <w:rsid w:val="50250266"/>
    <w:rsid w:val="504306EC"/>
    <w:rsid w:val="505E08BB"/>
    <w:rsid w:val="50610B72"/>
    <w:rsid w:val="506D7517"/>
    <w:rsid w:val="50730EFD"/>
    <w:rsid w:val="507765E7"/>
    <w:rsid w:val="508B532C"/>
    <w:rsid w:val="50B05655"/>
    <w:rsid w:val="50BE3824"/>
    <w:rsid w:val="50C23D07"/>
    <w:rsid w:val="50E75ADA"/>
    <w:rsid w:val="50ED42B9"/>
    <w:rsid w:val="50F34660"/>
    <w:rsid w:val="5100482F"/>
    <w:rsid w:val="51143E36"/>
    <w:rsid w:val="51266A33"/>
    <w:rsid w:val="51273ADE"/>
    <w:rsid w:val="51275918"/>
    <w:rsid w:val="5141363B"/>
    <w:rsid w:val="51494DD6"/>
    <w:rsid w:val="516027B0"/>
    <w:rsid w:val="516C5A20"/>
    <w:rsid w:val="51735001"/>
    <w:rsid w:val="517448D5"/>
    <w:rsid w:val="51750D79"/>
    <w:rsid w:val="5181771E"/>
    <w:rsid w:val="518E3BE9"/>
    <w:rsid w:val="519C4558"/>
    <w:rsid w:val="519D2F0D"/>
    <w:rsid w:val="51A06F9F"/>
    <w:rsid w:val="51A72EFC"/>
    <w:rsid w:val="51AA5638"/>
    <w:rsid w:val="51C770FB"/>
    <w:rsid w:val="52170DC8"/>
    <w:rsid w:val="521F2A93"/>
    <w:rsid w:val="52235AA1"/>
    <w:rsid w:val="52275940"/>
    <w:rsid w:val="52287B99"/>
    <w:rsid w:val="52302732"/>
    <w:rsid w:val="523F3135"/>
    <w:rsid w:val="524F15CA"/>
    <w:rsid w:val="52571EDF"/>
    <w:rsid w:val="52663F14"/>
    <w:rsid w:val="52946FDD"/>
    <w:rsid w:val="52A63D26"/>
    <w:rsid w:val="52C5188C"/>
    <w:rsid w:val="52ED0DE3"/>
    <w:rsid w:val="531427A3"/>
    <w:rsid w:val="531B76FE"/>
    <w:rsid w:val="53234805"/>
    <w:rsid w:val="53316F22"/>
    <w:rsid w:val="53400F13"/>
    <w:rsid w:val="535E583D"/>
    <w:rsid w:val="536A15F0"/>
    <w:rsid w:val="538452A3"/>
    <w:rsid w:val="53BA12E3"/>
    <w:rsid w:val="53BA6F17"/>
    <w:rsid w:val="53C64B22"/>
    <w:rsid w:val="53C9715A"/>
    <w:rsid w:val="53E61ABA"/>
    <w:rsid w:val="53EE096F"/>
    <w:rsid w:val="54244390"/>
    <w:rsid w:val="542A3A4D"/>
    <w:rsid w:val="54493DF7"/>
    <w:rsid w:val="54501629"/>
    <w:rsid w:val="545C1D7C"/>
    <w:rsid w:val="545F2D48"/>
    <w:rsid w:val="54680E5E"/>
    <w:rsid w:val="547536BA"/>
    <w:rsid w:val="548117E3"/>
    <w:rsid w:val="548D68EA"/>
    <w:rsid w:val="548E5CAE"/>
    <w:rsid w:val="549D778F"/>
    <w:rsid w:val="549F443D"/>
    <w:rsid w:val="54CE24A4"/>
    <w:rsid w:val="54D222B5"/>
    <w:rsid w:val="54E46ECB"/>
    <w:rsid w:val="54EB4EAE"/>
    <w:rsid w:val="55055F70"/>
    <w:rsid w:val="550A5BAF"/>
    <w:rsid w:val="550E4EF6"/>
    <w:rsid w:val="5513545D"/>
    <w:rsid w:val="551663CF"/>
    <w:rsid w:val="552116CC"/>
    <w:rsid w:val="55222FC6"/>
    <w:rsid w:val="554F4DF6"/>
    <w:rsid w:val="556C0634"/>
    <w:rsid w:val="558B54E2"/>
    <w:rsid w:val="559B4B26"/>
    <w:rsid w:val="559D43FA"/>
    <w:rsid w:val="55B55BE8"/>
    <w:rsid w:val="55C71477"/>
    <w:rsid w:val="55D40011"/>
    <w:rsid w:val="55D842DC"/>
    <w:rsid w:val="55E97640"/>
    <w:rsid w:val="560A4E39"/>
    <w:rsid w:val="560D7527"/>
    <w:rsid w:val="562142DF"/>
    <w:rsid w:val="563C00B7"/>
    <w:rsid w:val="567315FF"/>
    <w:rsid w:val="568E1BDA"/>
    <w:rsid w:val="569246E8"/>
    <w:rsid w:val="569C2904"/>
    <w:rsid w:val="569F41A2"/>
    <w:rsid w:val="56C25558"/>
    <w:rsid w:val="56D8300B"/>
    <w:rsid w:val="56FE35BF"/>
    <w:rsid w:val="571406EC"/>
    <w:rsid w:val="571966E8"/>
    <w:rsid w:val="57346FE0"/>
    <w:rsid w:val="573C336A"/>
    <w:rsid w:val="574048AE"/>
    <w:rsid w:val="57454D4A"/>
    <w:rsid w:val="575146BB"/>
    <w:rsid w:val="575B456D"/>
    <w:rsid w:val="576F7D6A"/>
    <w:rsid w:val="57707A2A"/>
    <w:rsid w:val="57802226"/>
    <w:rsid w:val="579637F7"/>
    <w:rsid w:val="57A9177C"/>
    <w:rsid w:val="57B343A9"/>
    <w:rsid w:val="57B5419A"/>
    <w:rsid w:val="57BD5228"/>
    <w:rsid w:val="57C6216D"/>
    <w:rsid w:val="57F624E8"/>
    <w:rsid w:val="57F86260"/>
    <w:rsid w:val="58020E8D"/>
    <w:rsid w:val="5806097D"/>
    <w:rsid w:val="583B6126"/>
    <w:rsid w:val="583C6FC5"/>
    <w:rsid w:val="583F3E8F"/>
    <w:rsid w:val="586B3E16"/>
    <w:rsid w:val="586E1E1E"/>
    <w:rsid w:val="58823D7B"/>
    <w:rsid w:val="588E44CE"/>
    <w:rsid w:val="58A261CC"/>
    <w:rsid w:val="58AE1087"/>
    <w:rsid w:val="58B008E9"/>
    <w:rsid w:val="58B959EF"/>
    <w:rsid w:val="58BA3B31"/>
    <w:rsid w:val="58BF445B"/>
    <w:rsid w:val="58D639F1"/>
    <w:rsid w:val="58F509F1"/>
    <w:rsid w:val="58FB7AAC"/>
    <w:rsid w:val="590429E2"/>
    <w:rsid w:val="590F1AB3"/>
    <w:rsid w:val="593B33D3"/>
    <w:rsid w:val="593E4146"/>
    <w:rsid w:val="59973972"/>
    <w:rsid w:val="599975CF"/>
    <w:rsid w:val="599F20BC"/>
    <w:rsid w:val="59CE54CA"/>
    <w:rsid w:val="59D67C33"/>
    <w:rsid w:val="5A113973"/>
    <w:rsid w:val="5A2151EA"/>
    <w:rsid w:val="5A2275C4"/>
    <w:rsid w:val="5A2D029A"/>
    <w:rsid w:val="5A3410A5"/>
    <w:rsid w:val="5A3C391D"/>
    <w:rsid w:val="5A5A4FB0"/>
    <w:rsid w:val="5A6C1F97"/>
    <w:rsid w:val="5A8913F1"/>
    <w:rsid w:val="5A932270"/>
    <w:rsid w:val="5A971D60"/>
    <w:rsid w:val="5B0A0784"/>
    <w:rsid w:val="5B0B44FC"/>
    <w:rsid w:val="5B0B62AA"/>
    <w:rsid w:val="5B0E7B48"/>
    <w:rsid w:val="5B294982"/>
    <w:rsid w:val="5B445318"/>
    <w:rsid w:val="5B4517BC"/>
    <w:rsid w:val="5B464CF2"/>
    <w:rsid w:val="5B6E7F11"/>
    <w:rsid w:val="5B767BC7"/>
    <w:rsid w:val="5B8147BE"/>
    <w:rsid w:val="5B896EA8"/>
    <w:rsid w:val="5B991B08"/>
    <w:rsid w:val="5B9D54A6"/>
    <w:rsid w:val="5BAA361A"/>
    <w:rsid w:val="5BBB382C"/>
    <w:rsid w:val="5BC07095"/>
    <w:rsid w:val="5BD163EC"/>
    <w:rsid w:val="5BD60FD7"/>
    <w:rsid w:val="5BEA0B9D"/>
    <w:rsid w:val="5BEC1EFF"/>
    <w:rsid w:val="5BFA65AC"/>
    <w:rsid w:val="5C1D44E7"/>
    <w:rsid w:val="5C2C472A"/>
    <w:rsid w:val="5C4750C0"/>
    <w:rsid w:val="5C595646"/>
    <w:rsid w:val="5C675762"/>
    <w:rsid w:val="5C8A31FF"/>
    <w:rsid w:val="5C8C5906"/>
    <w:rsid w:val="5CD61213"/>
    <w:rsid w:val="5CFA0384"/>
    <w:rsid w:val="5CFB5EAA"/>
    <w:rsid w:val="5CFD1C22"/>
    <w:rsid w:val="5D096ED9"/>
    <w:rsid w:val="5D1D7DB8"/>
    <w:rsid w:val="5D1F428F"/>
    <w:rsid w:val="5D26561D"/>
    <w:rsid w:val="5D295570"/>
    <w:rsid w:val="5D2B2C34"/>
    <w:rsid w:val="5D447851"/>
    <w:rsid w:val="5D480AC5"/>
    <w:rsid w:val="5D4D2BAA"/>
    <w:rsid w:val="5D5B3D24"/>
    <w:rsid w:val="5D6E14C5"/>
    <w:rsid w:val="5D745029"/>
    <w:rsid w:val="5D752101"/>
    <w:rsid w:val="5D775A04"/>
    <w:rsid w:val="5D9A56C3"/>
    <w:rsid w:val="5DA97143"/>
    <w:rsid w:val="5DBE7604"/>
    <w:rsid w:val="5DC54774"/>
    <w:rsid w:val="5DD5494D"/>
    <w:rsid w:val="5DDB1F64"/>
    <w:rsid w:val="5DE03A1E"/>
    <w:rsid w:val="5DFF3671"/>
    <w:rsid w:val="5E2A3532"/>
    <w:rsid w:val="5E361890"/>
    <w:rsid w:val="5E5139AF"/>
    <w:rsid w:val="5E60690D"/>
    <w:rsid w:val="5E6C3474"/>
    <w:rsid w:val="5E714676"/>
    <w:rsid w:val="5E761C8C"/>
    <w:rsid w:val="5E772090"/>
    <w:rsid w:val="5E7E0E34"/>
    <w:rsid w:val="5E8120E4"/>
    <w:rsid w:val="5E914D18"/>
    <w:rsid w:val="5EA07AA3"/>
    <w:rsid w:val="5EB17168"/>
    <w:rsid w:val="5EB2675B"/>
    <w:rsid w:val="5EB32EE1"/>
    <w:rsid w:val="5EB959FB"/>
    <w:rsid w:val="5EE60A3A"/>
    <w:rsid w:val="5EFD23AE"/>
    <w:rsid w:val="5F294F35"/>
    <w:rsid w:val="5F4E6098"/>
    <w:rsid w:val="5F5473DD"/>
    <w:rsid w:val="5F816759"/>
    <w:rsid w:val="5F904FD0"/>
    <w:rsid w:val="5F9525E6"/>
    <w:rsid w:val="5F984863"/>
    <w:rsid w:val="5FC90F45"/>
    <w:rsid w:val="5FD17AC2"/>
    <w:rsid w:val="5FD500A2"/>
    <w:rsid w:val="5FE002E0"/>
    <w:rsid w:val="5FE01AB3"/>
    <w:rsid w:val="5FEB0458"/>
    <w:rsid w:val="5FF217E7"/>
    <w:rsid w:val="5FF27A39"/>
    <w:rsid w:val="60045E06"/>
    <w:rsid w:val="60196D73"/>
    <w:rsid w:val="601B4AB2"/>
    <w:rsid w:val="602120CC"/>
    <w:rsid w:val="604C7149"/>
    <w:rsid w:val="604F273A"/>
    <w:rsid w:val="6051430D"/>
    <w:rsid w:val="60673F83"/>
    <w:rsid w:val="606F595D"/>
    <w:rsid w:val="60716BAF"/>
    <w:rsid w:val="60737710"/>
    <w:rsid w:val="608B0DC0"/>
    <w:rsid w:val="60935202"/>
    <w:rsid w:val="609D1CF7"/>
    <w:rsid w:val="60A32FA2"/>
    <w:rsid w:val="60BE0804"/>
    <w:rsid w:val="60F17CF0"/>
    <w:rsid w:val="610B61FC"/>
    <w:rsid w:val="61137C66"/>
    <w:rsid w:val="6131633F"/>
    <w:rsid w:val="613A3445"/>
    <w:rsid w:val="614B4949"/>
    <w:rsid w:val="617A7CE6"/>
    <w:rsid w:val="619146C6"/>
    <w:rsid w:val="61926DDD"/>
    <w:rsid w:val="61954B1F"/>
    <w:rsid w:val="61B615C5"/>
    <w:rsid w:val="61E41603"/>
    <w:rsid w:val="61E46E6B"/>
    <w:rsid w:val="61F47A98"/>
    <w:rsid w:val="61FE4473"/>
    <w:rsid w:val="6210017A"/>
    <w:rsid w:val="6239194F"/>
    <w:rsid w:val="623936FD"/>
    <w:rsid w:val="62404A8B"/>
    <w:rsid w:val="62724E61"/>
    <w:rsid w:val="62775FD3"/>
    <w:rsid w:val="6279034B"/>
    <w:rsid w:val="62F963C2"/>
    <w:rsid w:val="62FA6A22"/>
    <w:rsid w:val="631A1BE1"/>
    <w:rsid w:val="632E6B29"/>
    <w:rsid w:val="6330635A"/>
    <w:rsid w:val="63360D48"/>
    <w:rsid w:val="63436F39"/>
    <w:rsid w:val="6367429A"/>
    <w:rsid w:val="636855BD"/>
    <w:rsid w:val="63E87188"/>
    <w:rsid w:val="641F4B74"/>
    <w:rsid w:val="642B19C7"/>
    <w:rsid w:val="64353D4A"/>
    <w:rsid w:val="643B19AE"/>
    <w:rsid w:val="64590086"/>
    <w:rsid w:val="647759D6"/>
    <w:rsid w:val="647924D6"/>
    <w:rsid w:val="64892A0D"/>
    <w:rsid w:val="648A46E4"/>
    <w:rsid w:val="64AC274A"/>
    <w:rsid w:val="64B02308"/>
    <w:rsid w:val="64BE7A39"/>
    <w:rsid w:val="64C3364C"/>
    <w:rsid w:val="6525305D"/>
    <w:rsid w:val="65C336DE"/>
    <w:rsid w:val="65DC2D1D"/>
    <w:rsid w:val="65F60782"/>
    <w:rsid w:val="66154481"/>
    <w:rsid w:val="66326DE1"/>
    <w:rsid w:val="663B3B23"/>
    <w:rsid w:val="66567D19"/>
    <w:rsid w:val="665705F5"/>
    <w:rsid w:val="66695436"/>
    <w:rsid w:val="666B5E4F"/>
    <w:rsid w:val="667C005C"/>
    <w:rsid w:val="6684274A"/>
    <w:rsid w:val="66976C44"/>
    <w:rsid w:val="66C57C55"/>
    <w:rsid w:val="66CF3AA7"/>
    <w:rsid w:val="66D9725C"/>
    <w:rsid w:val="66E96683"/>
    <w:rsid w:val="66EC10AB"/>
    <w:rsid w:val="66F450F2"/>
    <w:rsid w:val="67040982"/>
    <w:rsid w:val="670D3226"/>
    <w:rsid w:val="671368B5"/>
    <w:rsid w:val="673E5311"/>
    <w:rsid w:val="67500023"/>
    <w:rsid w:val="675D6494"/>
    <w:rsid w:val="67671B53"/>
    <w:rsid w:val="677F7E04"/>
    <w:rsid w:val="67AF7FBD"/>
    <w:rsid w:val="67CE0D8B"/>
    <w:rsid w:val="67E9731E"/>
    <w:rsid w:val="67ED1A09"/>
    <w:rsid w:val="67F2059C"/>
    <w:rsid w:val="67F307F2"/>
    <w:rsid w:val="68030A35"/>
    <w:rsid w:val="68295FC1"/>
    <w:rsid w:val="682B1D3A"/>
    <w:rsid w:val="68336E40"/>
    <w:rsid w:val="68395EBA"/>
    <w:rsid w:val="683D4047"/>
    <w:rsid w:val="6844104D"/>
    <w:rsid w:val="687A4A6F"/>
    <w:rsid w:val="687E2602"/>
    <w:rsid w:val="688E4077"/>
    <w:rsid w:val="68994715"/>
    <w:rsid w:val="68A8338A"/>
    <w:rsid w:val="68B12AB5"/>
    <w:rsid w:val="68C14AFC"/>
    <w:rsid w:val="68F11668"/>
    <w:rsid w:val="69183E66"/>
    <w:rsid w:val="69256789"/>
    <w:rsid w:val="69324C8C"/>
    <w:rsid w:val="693B3D95"/>
    <w:rsid w:val="69520996"/>
    <w:rsid w:val="699B3AEE"/>
    <w:rsid w:val="69CA4D9F"/>
    <w:rsid w:val="69D550CD"/>
    <w:rsid w:val="69FD3262"/>
    <w:rsid w:val="69FE1C72"/>
    <w:rsid w:val="6A0936F4"/>
    <w:rsid w:val="6A285C3C"/>
    <w:rsid w:val="6A3F7D1E"/>
    <w:rsid w:val="6A81400C"/>
    <w:rsid w:val="6AB029CA"/>
    <w:rsid w:val="6AB204F0"/>
    <w:rsid w:val="6ABC5F4B"/>
    <w:rsid w:val="6AC81AC2"/>
    <w:rsid w:val="6AC963A7"/>
    <w:rsid w:val="6AD044B3"/>
    <w:rsid w:val="6AD27A6A"/>
    <w:rsid w:val="6AD522CF"/>
    <w:rsid w:val="6AEA1A38"/>
    <w:rsid w:val="6AF1726A"/>
    <w:rsid w:val="6AFC5C0F"/>
    <w:rsid w:val="6B0F149F"/>
    <w:rsid w:val="6B122264"/>
    <w:rsid w:val="6B427AC6"/>
    <w:rsid w:val="6B6C68F1"/>
    <w:rsid w:val="6B795B49"/>
    <w:rsid w:val="6B9D6AAA"/>
    <w:rsid w:val="6BD455B4"/>
    <w:rsid w:val="6BE741CA"/>
    <w:rsid w:val="6BF70F2A"/>
    <w:rsid w:val="6BF7466E"/>
    <w:rsid w:val="6C180827"/>
    <w:rsid w:val="6C2D0AE3"/>
    <w:rsid w:val="6C360528"/>
    <w:rsid w:val="6C382C77"/>
    <w:rsid w:val="6C3D33A3"/>
    <w:rsid w:val="6C4D0456"/>
    <w:rsid w:val="6C796FC3"/>
    <w:rsid w:val="6C8859AD"/>
    <w:rsid w:val="6C9672F5"/>
    <w:rsid w:val="6CAD0F6F"/>
    <w:rsid w:val="6CBF4B9D"/>
    <w:rsid w:val="6CD40BF2"/>
    <w:rsid w:val="6CFA617E"/>
    <w:rsid w:val="6D082649"/>
    <w:rsid w:val="6D0D7C60"/>
    <w:rsid w:val="6D19440C"/>
    <w:rsid w:val="6D2E1052"/>
    <w:rsid w:val="6D2E5A27"/>
    <w:rsid w:val="6D3045CA"/>
    <w:rsid w:val="6D374CDD"/>
    <w:rsid w:val="6D392803"/>
    <w:rsid w:val="6D3E250F"/>
    <w:rsid w:val="6D521B17"/>
    <w:rsid w:val="6D582249"/>
    <w:rsid w:val="6D9143ED"/>
    <w:rsid w:val="6D9712CB"/>
    <w:rsid w:val="6D99260C"/>
    <w:rsid w:val="6DA14C71"/>
    <w:rsid w:val="6DA34120"/>
    <w:rsid w:val="6DC04CD2"/>
    <w:rsid w:val="6DD426B1"/>
    <w:rsid w:val="6DD865FD"/>
    <w:rsid w:val="6DE07122"/>
    <w:rsid w:val="6DE07298"/>
    <w:rsid w:val="6DF332FA"/>
    <w:rsid w:val="6DF53038"/>
    <w:rsid w:val="6E1F5493"/>
    <w:rsid w:val="6E897151"/>
    <w:rsid w:val="6E8977BA"/>
    <w:rsid w:val="6EC66318"/>
    <w:rsid w:val="6ED250CB"/>
    <w:rsid w:val="6EDA214C"/>
    <w:rsid w:val="6EE751E2"/>
    <w:rsid w:val="6F0C10BB"/>
    <w:rsid w:val="6F101C89"/>
    <w:rsid w:val="6F1C418A"/>
    <w:rsid w:val="6F232CD0"/>
    <w:rsid w:val="6F415726"/>
    <w:rsid w:val="6F5525A6"/>
    <w:rsid w:val="6F6F0114"/>
    <w:rsid w:val="6F881820"/>
    <w:rsid w:val="6F965193"/>
    <w:rsid w:val="6FA06B69"/>
    <w:rsid w:val="6FBE7937"/>
    <w:rsid w:val="6FCE03D8"/>
    <w:rsid w:val="6FEB0785"/>
    <w:rsid w:val="6FFF11E2"/>
    <w:rsid w:val="700C2451"/>
    <w:rsid w:val="70136A8B"/>
    <w:rsid w:val="702E23C7"/>
    <w:rsid w:val="70482EA2"/>
    <w:rsid w:val="705F6A24"/>
    <w:rsid w:val="70700C31"/>
    <w:rsid w:val="70891CF3"/>
    <w:rsid w:val="70A95EF1"/>
    <w:rsid w:val="70C920F0"/>
    <w:rsid w:val="70D10D03"/>
    <w:rsid w:val="70FD7FEB"/>
    <w:rsid w:val="70FF3D63"/>
    <w:rsid w:val="7104137A"/>
    <w:rsid w:val="712D6B22"/>
    <w:rsid w:val="71542301"/>
    <w:rsid w:val="715E0D9E"/>
    <w:rsid w:val="71665B90"/>
    <w:rsid w:val="717E2EDA"/>
    <w:rsid w:val="718879BC"/>
    <w:rsid w:val="718A5AF2"/>
    <w:rsid w:val="718C4420"/>
    <w:rsid w:val="71CD751C"/>
    <w:rsid w:val="71D22A26"/>
    <w:rsid w:val="71D23226"/>
    <w:rsid w:val="71DB032D"/>
    <w:rsid w:val="71E73175"/>
    <w:rsid w:val="72012485"/>
    <w:rsid w:val="720A0C12"/>
    <w:rsid w:val="72211285"/>
    <w:rsid w:val="72281098"/>
    <w:rsid w:val="72345C8F"/>
    <w:rsid w:val="725B76BF"/>
    <w:rsid w:val="726A7902"/>
    <w:rsid w:val="72783DCD"/>
    <w:rsid w:val="72806980"/>
    <w:rsid w:val="72816635"/>
    <w:rsid w:val="72816BB4"/>
    <w:rsid w:val="728E35F1"/>
    <w:rsid w:val="72A251AF"/>
    <w:rsid w:val="72A93DB0"/>
    <w:rsid w:val="72A9667D"/>
    <w:rsid w:val="72BA0B6E"/>
    <w:rsid w:val="72BE0FB4"/>
    <w:rsid w:val="73497518"/>
    <w:rsid w:val="734E5D79"/>
    <w:rsid w:val="734F0FD2"/>
    <w:rsid w:val="735E1215"/>
    <w:rsid w:val="73707601"/>
    <w:rsid w:val="737E5413"/>
    <w:rsid w:val="73844AB9"/>
    <w:rsid w:val="73B70925"/>
    <w:rsid w:val="73BF77DA"/>
    <w:rsid w:val="73C31078"/>
    <w:rsid w:val="73E87175"/>
    <w:rsid w:val="73F97190"/>
    <w:rsid w:val="73FB4CB6"/>
    <w:rsid w:val="7400407A"/>
    <w:rsid w:val="740718AD"/>
    <w:rsid w:val="740A5F00"/>
    <w:rsid w:val="740F4C52"/>
    <w:rsid w:val="7425398B"/>
    <w:rsid w:val="742C30C1"/>
    <w:rsid w:val="742F2BB2"/>
    <w:rsid w:val="742F4960"/>
    <w:rsid w:val="7431692A"/>
    <w:rsid w:val="74367A9C"/>
    <w:rsid w:val="744C3764"/>
    <w:rsid w:val="746F547D"/>
    <w:rsid w:val="747D6DF6"/>
    <w:rsid w:val="74C4779E"/>
    <w:rsid w:val="74C70898"/>
    <w:rsid w:val="74C8610F"/>
    <w:rsid w:val="74DC4AE7"/>
    <w:rsid w:val="751708E9"/>
    <w:rsid w:val="751F0FEF"/>
    <w:rsid w:val="75273889"/>
    <w:rsid w:val="75365022"/>
    <w:rsid w:val="753D151B"/>
    <w:rsid w:val="753F6E24"/>
    <w:rsid w:val="754937FF"/>
    <w:rsid w:val="754C1C05"/>
    <w:rsid w:val="757C5983"/>
    <w:rsid w:val="75B74C0D"/>
    <w:rsid w:val="75DE3E98"/>
    <w:rsid w:val="760E4CEF"/>
    <w:rsid w:val="76286F0E"/>
    <w:rsid w:val="765C65EC"/>
    <w:rsid w:val="76650B0D"/>
    <w:rsid w:val="766D7DC6"/>
    <w:rsid w:val="768A0573"/>
    <w:rsid w:val="76A553AD"/>
    <w:rsid w:val="76B86E8E"/>
    <w:rsid w:val="76D91E95"/>
    <w:rsid w:val="770245AD"/>
    <w:rsid w:val="7706409E"/>
    <w:rsid w:val="770F0FEE"/>
    <w:rsid w:val="772E53A2"/>
    <w:rsid w:val="773106E6"/>
    <w:rsid w:val="775B2FC4"/>
    <w:rsid w:val="776E1C43"/>
    <w:rsid w:val="77712EE5"/>
    <w:rsid w:val="77732816"/>
    <w:rsid w:val="777621BF"/>
    <w:rsid w:val="77774E17"/>
    <w:rsid w:val="77777C80"/>
    <w:rsid w:val="777C610E"/>
    <w:rsid w:val="777D59E2"/>
    <w:rsid w:val="77B27D81"/>
    <w:rsid w:val="77BA6C36"/>
    <w:rsid w:val="77CD0717"/>
    <w:rsid w:val="77D17A87"/>
    <w:rsid w:val="77E5191E"/>
    <w:rsid w:val="78033DEF"/>
    <w:rsid w:val="784604CA"/>
    <w:rsid w:val="78462278"/>
    <w:rsid w:val="784C1F84"/>
    <w:rsid w:val="78591FAB"/>
    <w:rsid w:val="78786945"/>
    <w:rsid w:val="788F3C1F"/>
    <w:rsid w:val="78A33979"/>
    <w:rsid w:val="78A36AB3"/>
    <w:rsid w:val="78BE4504"/>
    <w:rsid w:val="78C80EDF"/>
    <w:rsid w:val="78D45AD6"/>
    <w:rsid w:val="78E73A5B"/>
    <w:rsid w:val="790A5126"/>
    <w:rsid w:val="793306AE"/>
    <w:rsid w:val="79651F6E"/>
    <w:rsid w:val="79667794"/>
    <w:rsid w:val="797177C8"/>
    <w:rsid w:val="7997722F"/>
    <w:rsid w:val="79C5457F"/>
    <w:rsid w:val="79F04B91"/>
    <w:rsid w:val="7A000594"/>
    <w:rsid w:val="7A03546E"/>
    <w:rsid w:val="7A150154"/>
    <w:rsid w:val="7A6C2A52"/>
    <w:rsid w:val="7A6D7F90"/>
    <w:rsid w:val="7A7B4D00"/>
    <w:rsid w:val="7AAC4F5C"/>
    <w:rsid w:val="7AAF3F63"/>
    <w:rsid w:val="7AB67B89"/>
    <w:rsid w:val="7ABB519F"/>
    <w:rsid w:val="7AF20495"/>
    <w:rsid w:val="7B097FEC"/>
    <w:rsid w:val="7B0A3A31"/>
    <w:rsid w:val="7B152B01"/>
    <w:rsid w:val="7B42141C"/>
    <w:rsid w:val="7B4F1751"/>
    <w:rsid w:val="7B56651E"/>
    <w:rsid w:val="7B580B1A"/>
    <w:rsid w:val="7B5E1F98"/>
    <w:rsid w:val="7B782ABB"/>
    <w:rsid w:val="7B7875FC"/>
    <w:rsid w:val="7BCD518A"/>
    <w:rsid w:val="7C3339F6"/>
    <w:rsid w:val="7C3E7E36"/>
    <w:rsid w:val="7C417926"/>
    <w:rsid w:val="7C442F72"/>
    <w:rsid w:val="7C4F12E3"/>
    <w:rsid w:val="7C572CA5"/>
    <w:rsid w:val="7C705B15"/>
    <w:rsid w:val="7C817D22"/>
    <w:rsid w:val="7CA103C5"/>
    <w:rsid w:val="7CA26617"/>
    <w:rsid w:val="7CBC51FE"/>
    <w:rsid w:val="7CD6006E"/>
    <w:rsid w:val="7CEC1640"/>
    <w:rsid w:val="7CF97EF8"/>
    <w:rsid w:val="7D060228"/>
    <w:rsid w:val="7D3D1E9B"/>
    <w:rsid w:val="7D580A83"/>
    <w:rsid w:val="7D72647E"/>
    <w:rsid w:val="7D7D2BE0"/>
    <w:rsid w:val="7D8F021D"/>
    <w:rsid w:val="7DAC0DCF"/>
    <w:rsid w:val="7DBF0B02"/>
    <w:rsid w:val="7DD10836"/>
    <w:rsid w:val="7DF033B2"/>
    <w:rsid w:val="7E0230E5"/>
    <w:rsid w:val="7E0829F9"/>
    <w:rsid w:val="7E2412AD"/>
    <w:rsid w:val="7E372D8F"/>
    <w:rsid w:val="7E4D25B2"/>
    <w:rsid w:val="7E5E6AAE"/>
    <w:rsid w:val="7E741B85"/>
    <w:rsid w:val="7E814868"/>
    <w:rsid w:val="7EB10D93"/>
    <w:rsid w:val="7EBE07AF"/>
    <w:rsid w:val="7EC47587"/>
    <w:rsid w:val="7ED76320"/>
    <w:rsid w:val="7EEE0CFF"/>
    <w:rsid w:val="7EF944E8"/>
    <w:rsid w:val="7F0A046A"/>
    <w:rsid w:val="7F203823"/>
    <w:rsid w:val="7F2C0C33"/>
    <w:rsid w:val="7F365FF7"/>
    <w:rsid w:val="7F4B1A39"/>
    <w:rsid w:val="7F4F57DA"/>
    <w:rsid w:val="7F5160D2"/>
    <w:rsid w:val="7F5D4A77"/>
    <w:rsid w:val="7F743B6E"/>
    <w:rsid w:val="7FA078F7"/>
    <w:rsid w:val="7FA11B62"/>
    <w:rsid w:val="7FA2248A"/>
    <w:rsid w:val="7FAC4A8E"/>
    <w:rsid w:val="7FC21739"/>
    <w:rsid w:val="7FDA18B1"/>
    <w:rsid w:val="7FF13411"/>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autoRedefine/>
    <w:qFormat/>
    <w:uiPriority w:val="0"/>
    <w:pPr>
      <w:keepNext/>
      <w:keepLines/>
      <w:spacing w:before="260" w:after="260" w:line="240" w:lineRule="auto"/>
      <w:jc w:val="center"/>
      <w:outlineLvl w:val="0"/>
    </w:pPr>
    <w:rPr>
      <w:rFonts w:ascii="Times New Roman" w:hAnsi="Times New Roman" w:eastAsia="微软雅黑"/>
      <w:b/>
      <w:bCs/>
      <w:kern w:val="44"/>
      <w:sz w:val="30"/>
      <w:szCs w:val="44"/>
    </w:rPr>
  </w:style>
  <w:style w:type="paragraph" w:styleId="4">
    <w:name w:val="heading 2"/>
    <w:basedOn w:val="1"/>
    <w:next w:val="1"/>
    <w:link w:val="52"/>
    <w:autoRedefine/>
    <w:qFormat/>
    <w:uiPriority w:val="0"/>
    <w:pPr>
      <w:keepNext/>
      <w:keepLines/>
      <w:spacing w:before="60" w:after="60" w:line="360" w:lineRule="auto"/>
      <w:outlineLvl w:val="1"/>
    </w:pPr>
    <w:rPr>
      <w:rFonts w:ascii="Arial" w:hAnsi="Arial" w:eastAsia="宋体"/>
      <w:b/>
      <w:bCs/>
      <w:szCs w:val="32"/>
    </w:rPr>
  </w:style>
  <w:style w:type="paragraph" w:styleId="5">
    <w:name w:val="heading 3"/>
    <w:basedOn w:val="1"/>
    <w:next w:val="1"/>
    <w:link w:val="85"/>
    <w:autoRedefine/>
    <w:qFormat/>
    <w:uiPriority w:val="0"/>
    <w:pPr>
      <w:keepNext/>
      <w:keepLines/>
      <w:spacing w:before="260" w:after="260" w:line="360" w:lineRule="auto"/>
      <w:outlineLvl w:val="2"/>
    </w:pPr>
    <w:rPr>
      <w:rFonts w:ascii="Times New Roman" w:hAnsi="Times New Roman" w:eastAsia="宋体"/>
      <w:b/>
      <w:bCs/>
      <w:sz w:val="28"/>
      <w:szCs w:val="32"/>
    </w:rPr>
  </w:style>
  <w:style w:type="paragraph" w:styleId="6">
    <w:name w:val="heading 4"/>
    <w:basedOn w:val="1"/>
    <w:next w:val="1"/>
    <w:autoRedefine/>
    <w:qFormat/>
    <w:uiPriority w:val="0"/>
    <w:pPr>
      <w:keepNext/>
      <w:keepLines/>
      <w:tabs>
        <w:tab w:val="left" w:pos="0"/>
      </w:tabs>
      <w:adjustRightInd w:val="0"/>
      <w:spacing w:before="280" w:after="290" w:line="376" w:lineRule="atLeast"/>
      <w:outlineLvl w:val="3"/>
    </w:pPr>
    <w:rPr>
      <w:rFonts w:ascii="Arial" w:hAnsi="Arial" w:eastAsia="黑体"/>
      <w:sz w:val="28"/>
      <w:szCs w:val="28"/>
    </w:rPr>
  </w:style>
  <w:style w:type="paragraph" w:styleId="7">
    <w:name w:val="heading 5"/>
    <w:basedOn w:val="1"/>
    <w:next w:val="1"/>
    <w:autoRedefine/>
    <w:qFormat/>
    <w:uiPriority w:val="0"/>
    <w:pPr>
      <w:keepNext/>
      <w:keepLines/>
      <w:numPr>
        <w:ilvl w:val="4"/>
        <w:numId w:val="1"/>
      </w:numPr>
      <w:spacing w:before="50" w:beforeLines="50" w:beforeAutospacing="0" w:after="50" w:afterLines="50" w:afterAutospacing="0" w:line="360" w:lineRule="auto"/>
      <w:ind w:left="1008" w:right="0" w:rightChars="0" w:hanging="1008" w:firstLineChars="0"/>
      <w:outlineLvl w:val="4"/>
    </w:pPr>
    <w:rPr>
      <w:rFonts w:ascii="Calibri" w:hAnsi="Calibri" w:eastAsia="黑体" w:cs="Times New Roman"/>
      <w:b/>
      <w:spacing w:val="0"/>
      <w:sz w:val="24"/>
      <w:szCs w:val="24"/>
    </w:rPr>
  </w:style>
  <w:style w:type="paragraph" w:styleId="8">
    <w:name w:val="heading 6"/>
    <w:basedOn w:val="1"/>
    <w:next w:val="1"/>
    <w:autoRedefine/>
    <w:qFormat/>
    <w:uiPriority w:val="0"/>
    <w:pPr>
      <w:keepNext/>
      <w:keepLines/>
      <w:numPr>
        <w:ilvl w:val="5"/>
        <w:numId w:val="1"/>
      </w:numPr>
      <w:tabs>
        <w:tab w:val="left" w:pos="0"/>
      </w:tabs>
      <w:spacing w:after="64" w:line="317" w:lineRule="auto"/>
      <w:ind w:left="1151" w:hanging="1151" w:firstLineChars="0"/>
      <w:outlineLvl w:val="5"/>
    </w:pPr>
    <w:rPr>
      <w:rFonts w:eastAsia="黑体" w:cs="Times New Roman"/>
      <w:b/>
      <w:spacing w:val="0"/>
      <w:sz w:val="21"/>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macro"/>
    <w:autoRedefine/>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right="240" w:firstLine="480" w:firstLineChars="200"/>
    </w:pPr>
    <w:rPr>
      <w:rFonts w:ascii="Courier New" w:hAnsi="Courier New" w:eastAsia="宋体" w:cs="Courier New"/>
      <w:kern w:val="2"/>
      <w:sz w:val="24"/>
      <w:szCs w:val="24"/>
      <w:lang w:val="en-US" w:eastAsia="zh-CN" w:bidi="ar-SA"/>
    </w:rPr>
  </w:style>
  <w:style w:type="paragraph" w:styleId="9">
    <w:name w:val="List Number"/>
    <w:basedOn w:val="1"/>
    <w:autoRedefine/>
    <w:qFormat/>
    <w:uiPriority w:val="0"/>
    <w:pPr>
      <w:widowControl/>
      <w:numPr>
        <w:ilvl w:val="0"/>
        <w:numId w:val="2"/>
      </w:numPr>
      <w:tabs>
        <w:tab w:val="left" w:pos="454"/>
        <w:tab w:val="left" w:pos="720"/>
        <w:tab w:val="clear" w:pos="900"/>
      </w:tabs>
      <w:spacing w:after="50" w:afterLines="50"/>
      <w:ind w:left="454" w:hanging="284"/>
      <w:jc w:val="left"/>
    </w:pPr>
    <w:rPr>
      <w:kern w:val="0"/>
      <w:sz w:val="24"/>
      <w:szCs w:val="20"/>
    </w:rPr>
  </w:style>
  <w:style w:type="paragraph" w:styleId="10">
    <w:name w:val="Normal Indent"/>
    <w:basedOn w:val="1"/>
    <w:next w:val="11"/>
    <w:autoRedefine/>
    <w:qFormat/>
    <w:uiPriority w:val="0"/>
    <w:pPr>
      <w:ind w:firstLine="420"/>
    </w:pPr>
    <w:rPr>
      <w:szCs w:val="20"/>
    </w:rPr>
  </w:style>
  <w:style w:type="paragraph" w:styleId="11">
    <w:name w:val="Body Text Indent"/>
    <w:basedOn w:val="1"/>
    <w:next w:val="1"/>
    <w:link w:val="61"/>
    <w:autoRedefine/>
    <w:qFormat/>
    <w:uiPriority w:val="0"/>
    <w:pPr>
      <w:spacing w:line="200" w:lineRule="exact"/>
      <w:ind w:firstLine="301"/>
    </w:pPr>
    <w:rPr>
      <w:rFonts w:ascii="宋体" w:hAnsi="Courier New"/>
      <w:spacing w:val="-4"/>
      <w:sz w:val="18"/>
      <w:szCs w:val="20"/>
    </w:rPr>
  </w:style>
  <w:style w:type="paragraph" w:styleId="12">
    <w:name w:val="caption"/>
    <w:basedOn w:val="1"/>
    <w:next w:val="1"/>
    <w:autoRedefine/>
    <w:qFormat/>
    <w:uiPriority w:val="0"/>
    <w:pPr>
      <w:spacing w:before="152" w:after="160"/>
    </w:pPr>
    <w:rPr>
      <w:rFonts w:ascii="Arial" w:hAnsi="Arial" w:eastAsia="黑体" w:cs="Arial"/>
      <w:sz w:val="20"/>
      <w:szCs w:val="20"/>
    </w:rPr>
  </w:style>
  <w:style w:type="paragraph" w:styleId="13">
    <w:name w:val="annotation text"/>
    <w:basedOn w:val="1"/>
    <w:link w:val="60"/>
    <w:autoRedefine/>
    <w:qFormat/>
    <w:uiPriority w:val="0"/>
    <w:pPr>
      <w:jc w:val="left"/>
    </w:pPr>
  </w:style>
  <w:style w:type="paragraph" w:styleId="14">
    <w:name w:val="Body Text 3"/>
    <w:basedOn w:val="1"/>
    <w:autoRedefine/>
    <w:qFormat/>
    <w:uiPriority w:val="0"/>
    <w:pPr>
      <w:snapToGrid w:val="0"/>
      <w:spacing w:before="50" w:after="50"/>
    </w:pPr>
    <w:rPr>
      <w:rFonts w:hAnsi="宋体" w:eastAsia="仿宋_GB2312"/>
      <w:b/>
      <w:bCs/>
      <w:sz w:val="24"/>
      <w:szCs w:val="20"/>
    </w:rPr>
  </w:style>
  <w:style w:type="paragraph" w:styleId="15">
    <w:name w:val="Body Text"/>
    <w:basedOn w:val="1"/>
    <w:next w:val="1"/>
    <w:autoRedefine/>
    <w:qFormat/>
    <w:uiPriority w:val="0"/>
    <w:pPr>
      <w:spacing w:after="120"/>
    </w:pPr>
    <w:rPr>
      <w:sz w:val="28"/>
    </w:rPr>
  </w:style>
  <w:style w:type="paragraph" w:styleId="16">
    <w:name w:val="List Number 3"/>
    <w:basedOn w:val="1"/>
    <w:autoRedefine/>
    <w:qFormat/>
    <w:uiPriority w:val="0"/>
    <w:pPr>
      <w:numPr>
        <w:ilvl w:val="0"/>
        <w:numId w:val="3"/>
      </w:numPr>
    </w:pPr>
  </w:style>
  <w:style w:type="paragraph" w:styleId="17">
    <w:name w:val="List 2"/>
    <w:basedOn w:val="1"/>
    <w:autoRedefine/>
    <w:qFormat/>
    <w:uiPriority w:val="0"/>
    <w:pPr>
      <w:ind w:left="100" w:leftChars="200" w:hanging="200" w:hangingChars="200"/>
    </w:pPr>
    <w:rPr>
      <w:sz w:val="28"/>
    </w:rPr>
  </w:style>
  <w:style w:type="paragraph" w:styleId="18">
    <w:name w:val="Block Text"/>
    <w:basedOn w:val="1"/>
    <w:autoRedefine/>
    <w:unhideWhenUsed/>
    <w:qFormat/>
    <w:uiPriority w:val="99"/>
    <w:pPr>
      <w:spacing w:after="120"/>
      <w:ind w:left="1440" w:leftChars="700" w:right="1440" w:rightChars="700"/>
    </w:pPr>
  </w:style>
  <w:style w:type="paragraph" w:styleId="19">
    <w:name w:val="Plain Text"/>
    <w:basedOn w:val="1"/>
    <w:next w:val="1"/>
    <w:autoRedefine/>
    <w:qFormat/>
    <w:uiPriority w:val="0"/>
    <w:pPr>
      <w:spacing w:before="156" w:beforeLines="50" w:after="156" w:afterLines="50" w:line="400" w:lineRule="exact"/>
    </w:pPr>
    <w:rPr>
      <w:rFonts w:ascii="宋体" w:hAnsi="Courier New"/>
      <w:sz w:val="24"/>
    </w:rPr>
  </w:style>
  <w:style w:type="paragraph" w:styleId="20">
    <w:name w:val="Date"/>
    <w:basedOn w:val="1"/>
    <w:next w:val="1"/>
    <w:autoRedefine/>
    <w:qFormat/>
    <w:uiPriority w:val="0"/>
    <w:pPr>
      <w:ind w:left="2500" w:leftChars="2500"/>
    </w:pPr>
    <w:rPr>
      <w:rFonts w:eastAsia="楷体_GB2312"/>
      <w:sz w:val="32"/>
      <w:szCs w:val="20"/>
    </w:rPr>
  </w:style>
  <w:style w:type="paragraph" w:styleId="21">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2">
    <w:name w:val="Balloon Text"/>
    <w:basedOn w:val="1"/>
    <w:autoRedefine/>
    <w:semiHidden/>
    <w:qFormat/>
    <w:uiPriority w:val="0"/>
    <w:rPr>
      <w:sz w:val="18"/>
      <w:szCs w:val="18"/>
    </w:rPr>
  </w:style>
  <w:style w:type="paragraph" w:styleId="23">
    <w:name w:val="footer"/>
    <w:basedOn w:val="1"/>
    <w:link w:val="62"/>
    <w:autoRedefine/>
    <w:qFormat/>
    <w:uiPriority w:val="99"/>
    <w:pPr>
      <w:tabs>
        <w:tab w:val="center" w:pos="4153"/>
        <w:tab w:val="right" w:pos="8306"/>
      </w:tabs>
      <w:snapToGrid w:val="0"/>
      <w:ind w:right="360" w:firstLine="360"/>
      <w:jc w:val="center"/>
    </w:pPr>
    <w:rPr>
      <w:rFonts w:eastAsia="黑体"/>
      <w:snapToGrid w:val="0"/>
      <w:kern w:val="0"/>
      <w:sz w:val="18"/>
      <w:szCs w:val="18"/>
    </w:rPr>
  </w:style>
  <w:style w:type="paragraph" w:styleId="24">
    <w:name w:val="header"/>
    <w:basedOn w:val="1"/>
    <w:link w:val="63"/>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5">
    <w:name w:val="toc 1"/>
    <w:basedOn w:val="1"/>
    <w:next w:val="1"/>
    <w:autoRedefine/>
    <w:semiHidden/>
    <w:qFormat/>
    <w:uiPriority w:val="0"/>
  </w:style>
  <w:style w:type="paragraph" w:styleId="26">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7">
    <w:name w:val="List"/>
    <w:basedOn w:val="1"/>
    <w:autoRedefine/>
    <w:qFormat/>
    <w:uiPriority w:val="0"/>
    <w:pPr>
      <w:ind w:left="200" w:hanging="200" w:hangingChars="200"/>
    </w:pPr>
    <w:rPr>
      <w:sz w:val="28"/>
    </w:rPr>
  </w:style>
  <w:style w:type="paragraph" w:styleId="28">
    <w:name w:val="toc 6"/>
    <w:basedOn w:val="1"/>
    <w:next w:val="1"/>
    <w:autoRedefine/>
    <w:qFormat/>
    <w:uiPriority w:val="99"/>
    <w:pPr>
      <w:ind w:left="1050"/>
      <w:jc w:val="left"/>
    </w:pPr>
    <w:rPr>
      <w:kern w:val="0"/>
      <w:sz w:val="18"/>
      <w:szCs w:val="18"/>
    </w:rPr>
  </w:style>
  <w:style w:type="paragraph" w:styleId="29">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0">
    <w:name w:val="Body Text 2"/>
    <w:basedOn w:val="1"/>
    <w:autoRedefine/>
    <w:qFormat/>
    <w:uiPriority w:val="0"/>
    <w:pPr>
      <w:widowControl/>
      <w:snapToGrid w:val="0"/>
      <w:spacing w:before="50" w:after="156" w:afterLines="50" w:line="400" w:lineRule="exact"/>
      <w:jc w:val="left"/>
    </w:pPr>
    <w:rPr>
      <w:rFonts w:ascii="宋体" w:hAnsi="宋体"/>
      <w:color w:val="000000"/>
      <w:sz w:val="24"/>
    </w:rPr>
  </w:style>
  <w:style w:type="paragraph" w:styleId="3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3">
    <w:name w:val="Title"/>
    <w:basedOn w:val="1"/>
    <w:next w:val="1"/>
    <w:autoRedefine/>
    <w:qFormat/>
    <w:uiPriority w:val="99"/>
    <w:pPr>
      <w:spacing w:before="240" w:after="60"/>
      <w:jc w:val="center"/>
      <w:outlineLvl w:val="0"/>
    </w:pPr>
    <w:rPr>
      <w:rFonts w:ascii="Cambria" w:hAnsi="Cambria"/>
      <w:b/>
      <w:bCs/>
      <w:sz w:val="32"/>
      <w:szCs w:val="32"/>
    </w:rPr>
  </w:style>
  <w:style w:type="paragraph" w:styleId="34">
    <w:name w:val="annotation subject"/>
    <w:basedOn w:val="13"/>
    <w:next w:val="13"/>
    <w:link w:val="64"/>
    <w:autoRedefine/>
    <w:qFormat/>
    <w:uiPriority w:val="0"/>
    <w:rPr>
      <w:b/>
      <w:bCs/>
    </w:rPr>
  </w:style>
  <w:style w:type="paragraph" w:styleId="35">
    <w:name w:val="Body Text First Indent"/>
    <w:basedOn w:val="15"/>
    <w:next w:val="28"/>
    <w:autoRedefine/>
    <w:qFormat/>
    <w:uiPriority w:val="0"/>
    <w:pPr>
      <w:ind w:firstLine="420" w:firstLineChars="100"/>
    </w:pPr>
  </w:style>
  <w:style w:type="paragraph" w:styleId="36">
    <w:name w:val="Body Text First Indent 2"/>
    <w:basedOn w:val="11"/>
    <w:next w:val="1"/>
    <w:autoRedefine/>
    <w:unhideWhenUsed/>
    <w:qFormat/>
    <w:uiPriority w:val="0"/>
    <w:pPr>
      <w:spacing w:after="120" w:line="240" w:lineRule="auto"/>
      <w:ind w:left="420" w:leftChars="200" w:firstLine="420" w:firstLineChars="200"/>
    </w:pPr>
    <w:rPr>
      <w:rFonts w:ascii="Times New Roman" w:hAnsi="Times New Roman"/>
      <w:spacing w:val="0"/>
      <w:sz w:val="21"/>
      <w:szCs w:val="24"/>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0"/>
    <w:rPr>
      <w:b/>
      <w:bCs/>
    </w:rPr>
  </w:style>
  <w:style w:type="character" w:styleId="41">
    <w:name w:val="page number"/>
    <w:autoRedefine/>
    <w:qFormat/>
    <w:uiPriority w:val="0"/>
  </w:style>
  <w:style w:type="character" w:styleId="42">
    <w:name w:val="FollowedHyperlink"/>
    <w:basedOn w:val="39"/>
    <w:autoRedefine/>
    <w:qFormat/>
    <w:uiPriority w:val="0"/>
    <w:rPr>
      <w:color w:val="666768"/>
      <w:u w:val="none"/>
    </w:rPr>
  </w:style>
  <w:style w:type="character" w:styleId="43">
    <w:name w:val="Emphasis"/>
    <w:basedOn w:val="39"/>
    <w:autoRedefine/>
    <w:qFormat/>
    <w:uiPriority w:val="0"/>
    <w:rPr>
      <w:b/>
      <w:bCs/>
    </w:rPr>
  </w:style>
  <w:style w:type="character" w:styleId="44">
    <w:name w:val="HTML Definition"/>
    <w:basedOn w:val="39"/>
    <w:autoRedefine/>
    <w:qFormat/>
    <w:uiPriority w:val="0"/>
    <w:rPr>
      <w:u w:val="none"/>
    </w:rPr>
  </w:style>
  <w:style w:type="character" w:styleId="45">
    <w:name w:val="HTML Variable"/>
    <w:basedOn w:val="39"/>
    <w:autoRedefine/>
    <w:qFormat/>
    <w:uiPriority w:val="0"/>
  </w:style>
  <w:style w:type="character" w:styleId="46">
    <w:name w:val="Hyperlink"/>
    <w:basedOn w:val="39"/>
    <w:autoRedefine/>
    <w:qFormat/>
    <w:uiPriority w:val="0"/>
    <w:rPr>
      <w:color w:val="0000FF"/>
      <w:u w:val="single"/>
    </w:rPr>
  </w:style>
  <w:style w:type="character" w:styleId="47">
    <w:name w:val="HTML Code"/>
    <w:basedOn w:val="39"/>
    <w:autoRedefine/>
    <w:qFormat/>
    <w:uiPriority w:val="0"/>
    <w:rPr>
      <w:rFonts w:ascii="Courier New" w:hAnsi="Courier New"/>
      <w:sz w:val="20"/>
    </w:rPr>
  </w:style>
  <w:style w:type="character" w:styleId="48">
    <w:name w:val="annotation reference"/>
    <w:autoRedefine/>
    <w:qFormat/>
    <w:uiPriority w:val="0"/>
    <w:rPr>
      <w:sz w:val="21"/>
      <w:szCs w:val="21"/>
    </w:rPr>
  </w:style>
  <w:style w:type="character" w:styleId="49">
    <w:name w:val="HTML Cite"/>
    <w:basedOn w:val="39"/>
    <w:autoRedefine/>
    <w:qFormat/>
    <w:uiPriority w:val="0"/>
  </w:style>
  <w:style w:type="character" w:styleId="50">
    <w:name w:val="HTML Keyboard"/>
    <w:basedOn w:val="39"/>
    <w:autoRedefine/>
    <w:qFormat/>
    <w:uiPriority w:val="0"/>
    <w:rPr>
      <w:rFonts w:ascii="Courier New" w:hAnsi="Courier New"/>
      <w:sz w:val="20"/>
    </w:rPr>
  </w:style>
  <w:style w:type="character" w:styleId="51">
    <w:name w:val="HTML Sample"/>
    <w:basedOn w:val="39"/>
    <w:autoRedefine/>
    <w:qFormat/>
    <w:uiPriority w:val="0"/>
    <w:rPr>
      <w:rFonts w:ascii="Courier New" w:hAnsi="Courier New"/>
    </w:rPr>
  </w:style>
  <w:style w:type="character" w:customStyle="1" w:styleId="52">
    <w:name w:val="标题 2 Char"/>
    <w:basedOn w:val="39"/>
    <w:link w:val="4"/>
    <w:autoRedefine/>
    <w:qFormat/>
    <w:uiPriority w:val="0"/>
    <w:rPr>
      <w:rFonts w:ascii="Arial" w:hAnsi="Arial" w:eastAsia="宋体"/>
      <w:b/>
      <w:bCs/>
      <w:szCs w:val="32"/>
    </w:rPr>
  </w:style>
  <w:style w:type="character" w:customStyle="1" w:styleId="53">
    <w:name w:val="标题 1 字符"/>
    <w:link w:val="3"/>
    <w:autoRedefine/>
    <w:qFormat/>
    <w:uiPriority w:val="0"/>
    <w:rPr>
      <w:rFonts w:ascii="Times New Roman" w:hAnsi="Times New Roman" w:eastAsia="微软雅黑"/>
      <w:b/>
      <w:bCs/>
      <w:kern w:val="44"/>
      <w:sz w:val="30"/>
      <w:szCs w:val="44"/>
    </w:rPr>
  </w:style>
  <w:style w:type="paragraph" w:customStyle="1" w:styleId="54">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1"/>
    <w:basedOn w:val="1"/>
    <w:next w:val="1"/>
    <w:autoRedefine/>
    <w:qFormat/>
    <w:uiPriority w:val="99"/>
    <w:pPr>
      <w:numPr>
        <w:ilvl w:val="0"/>
        <w:numId w:val="4"/>
      </w:numPr>
      <w:spacing w:line="360" w:lineRule="auto"/>
      <w:jc w:val="left"/>
    </w:pPr>
    <w:rPr>
      <w:rFonts w:ascii="宋体" w:hAnsi="宋体"/>
      <w:spacing w:val="4"/>
      <w:sz w:val="18"/>
      <w:szCs w:val="20"/>
    </w:rPr>
  </w:style>
  <w:style w:type="paragraph" w:customStyle="1" w:styleId="56">
    <w:name w:val="正文缩进1"/>
    <w:basedOn w:val="1"/>
    <w:autoRedefine/>
    <w:qFormat/>
    <w:uiPriority w:val="0"/>
    <w:pPr>
      <w:ind w:firstLine="420"/>
    </w:pPr>
  </w:style>
  <w:style w:type="paragraph" w:styleId="57">
    <w:name w:val="List Paragraph"/>
    <w:basedOn w:val="1"/>
    <w:autoRedefine/>
    <w:qFormat/>
    <w:uiPriority w:val="34"/>
    <w:pPr>
      <w:ind w:firstLine="420" w:firstLineChars="200"/>
    </w:pPr>
  </w:style>
  <w:style w:type="paragraph" w:customStyle="1" w:styleId="58">
    <w:name w:val="列出段落1"/>
    <w:basedOn w:val="1"/>
    <w:autoRedefine/>
    <w:qFormat/>
    <w:uiPriority w:val="99"/>
    <w:pPr>
      <w:ind w:firstLine="200" w:firstLineChars="200"/>
    </w:pPr>
    <w:rPr>
      <w:rFonts w:ascii="Calibri" w:hAnsi="Calibri" w:cs="Arial"/>
    </w:rPr>
  </w:style>
  <w:style w:type="paragraph" w:customStyle="1" w:styleId="59">
    <w:name w:val="表格文字"/>
    <w:basedOn w:val="1"/>
    <w:next w:val="15"/>
    <w:autoRedefine/>
    <w:qFormat/>
    <w:uiPriority w:val="0"/>
    <w:pPr>
      <w:jc w:val="left"/>
    </w:pPr>
    <w:rPr>
      <w:szCs w:val="22"/>
    </w:rPr>
  </w:style>
  <w:style w:type="character" w:customStyle="1" w:styleId="60">
    <w:name w:val="批注文字 字符"/>
    <w:link w:val="13"/>
    <w:autoRedefine/>
    <w:qFormat/>
    <w:uiPriority w:val="0"/>
    <w:rPr>
      <w:kern w:val="2"/>
      <w:sz w:val="21"/>
      <w:szCs w:val="24"/>
    </w:rPr>
  </w:style>
  <w:style w:type="character" w:customStyle="1" w:styleId="61">
    <w:name w:val="正文文本缩进 字符"/>
    <w:link w:val="11"/>
    <w:autoRedefine/>
    <w:qFormat/>
    <w:uiPriority w:val="0"/>
    <w:rPr>
      <w:rFonts w:ascii="宋体" w:hAnsi="Courier New"/>
      <w:spacing w:val="-4"/>
      <w:kern w:val="2"/>
      <w:sz w:val="18"/>
    </w:rPr>
  </w:style>
  <w:style w:type="character" w:customStyle="1" w:styleId="62">
    <w:name w:val="页脚 字符"/>
    <w:link w:val="23"/>
    <w:autoRedefine/>
    <w:qFormat/>
    <w:uiPriority w:val="99"/>
    <w:rPr>
      <w:rFonts w:eastAsia="黑体"/>
      <w:snapToGrid w:val="0"/>
      <w:sz w:val="18"/>
      <w:szCs w:val="18"/>
    </w:rPr>
  </w:style>
  <w:style w:type="character" w:customStyle="1" w:styleId="63">
    <w:name w:val="页眉 字符"/>
    <w:link w:val="24"/>
    <w:autoRedefine/>
    <w:qFormat/>
    <w:uiPriority w:val="0"/>
    <w:rPr>
      <w:rFonts w:eastAsia="仿宋_GB2312"/>
      <w:kern w:val="2"/>
      <w:sz w:val="18"/>
    </w:rPr>
  </w:style>
  <w:style w:type="character" w:customStyle="1" w:styleId="64">
    <w:name w:val="批注主题 字符"/>
    <w:link w:val="34"/>
    <w:autoRedefine/>
    <w:qFormat/>
    <w:uiPriority w:val="0"/>
    <w:rPr>
      <w:b/>
      <w:bCs/>
      <w:kern w:val="2"/>
      <w:sz w:val="21"/>
      <w:szCs w:val="24"/>
    </w:rPr>
  </w:style>
  <w:style w:type="character" w:customStyle="1" w:styleId="65">
    <w:name w:val="标题 1 Char Char"/>
    <w:autoRedefine/>
    <w:qFormat/>
    <w:uiPriority w:val="0"/>
    <w:rPr>
      <w:rFonts w:eastAsia="宋体"/>
      <w:b/>
      <w:spacing w:val="-2"/>
      <w:sz w:val="24"/>
      <w:lang w:val="en-US" w:eastAsia="zh-CN" w:bidi="ar-SA"/>
    </w:rPr>
  </w:style>
  <w:style w:type="paragraph" w:customStyle="1" w:styleId="66">
    <w:name w:val="Char1"/>
    <w:basedOn w:val="1"/>
    <w:autoRedefine/>
    <w:qFormat/>
    <w:uiPriority w:val="0"/>
    <w:rPr>
      <w:rFonts w:ascii="Tahoma" w:hAnsi="Tahoma"/>
      <w:sz w:val="24"/>
      <w:szCs w:val="20"/>
    </w:rPr>
  </w:style>
  <w:style w:type="paragraph" w:customStyle="1" w:styleId="67">
    <w:name w:val="二级标题"/>
    <w:basedOn w:val="19"/>
    <w:autoRedefine/>
    <w:qFormat/>
    <w:uiPriority w:val="0"/>
    <w:pPr>
      <w:snapToGrid w:val="0"/>
      <w:spacing w:before="50" w:after="50" w:line="240" w:lineRule="auto"/>
      <w:ind w:firstLine="200" w:firstLineChars="200"/>
      <w:outlineLvl w:val="1"/>
    </w:pPr>
    <w:rPr>
      <w:rFonts w:hAnsi="宋体"/>
      <w:b/>
      <w:sz w:val="21"/>
      <w:szCs w:val="21"/>
    </w:rPr>
  </w:style>
  <w:style w:type="paragraph" w:customStyle="1" w:styleId="6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9">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70">
    <w:name w:val="Char Char11 Char Char Char Char Char Char Char Char Char Char1"/>
    <w:basedOn w:val="1"/>
    <w:autoRedefine/>
    <w:qFormat/>
    <w:uiPriority w:val="0"/>
  </w:style>
  <w:style w:type="paragraph" w:customStyle="1" w:styleId="71">
    <w:name w:val="默认段落字体 Para Char Char Char Char Char Char Char Char Char1 Char Char Char Char"/>
    <w:basedOn w:val="1"/>
    <w:autoRedefine/>
    <w:qFormat/>
    <w:uiPriority w:val="0"/>
    <w:rPr>
      <w:rFonts w:ascii="Tahoma" w:hAnsi="Tahoma"/>
      <w:sz w:val="24"/>
      <w:szCs w:val="20"/>
    </w:rPr>
  </w:style>
  <w:style w:type="paragraph" w:customStyle="1" w:styleId="72">
    <w:name w:val="首行缩进"/>
    <w:basedOn w:val="1"/>
    <w:autoRedefine/>
    <w:qFormat/>
    <w:uiPriority w:val="0"/>
    <w:pPr>
      <w:spacing w:line="360" w:lineRule="auto"/>
      <w:ind w:firstLine="420"/>
    </w:pPr>
    <w:rPr>
      <w:rFonts w:cs="宋体"/>
      <w:szCs w:val="20"/>
    </w:rPr>
  </w:style>
  <w:style w:type="paragraph" w:customStyle="1" w:styleId="73">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7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7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6">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77">
    <w:name w:val="正文3"/>
    <w:basedOn w:val="1"/>
    <w:autoRedefine/>
    <w:qFormat/>
    <w:uiPriority w:val="0"/>
    <w:pPr>
      <w:adjustRightInd w:val="0"/>
      <w:spacing w:line="318" w:lineRule="atLeast"/>
      <w:ind w:left="369" w:firstLine="369"/>
      <w:textAlignment w:val="baseline"/>
    </w:pPr>
    <w:rPr>
      <w:rFonts w:ascii="宋体"/>
      <w:szCs w:val="20"/>
    </w:rPr>
  </w:style>
  <w:style w:type="character" w:customStyle="1" w:styleId="78">
    <w:name w:val="dxrpheader_metropolis2"/>
    <w:basedOn w:val="39"/>
    <w:autoRedefine/>
    <w:qFormat/>
    <w:uiPriority w:val="0"/>
    <w:rPr>
      <w:b/>
      <w:bCs/>
      <w:color w:val="C0C0C0"/>
    </w:rPr>
  </w:style>
  <w:style w:type="paragraph" w:customStyle="1" w:styleId="7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80">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81">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3">
    <w:name w:val="Body Text First Indent 21"/>
    <w:basedOn w:val="84"/>
    <w:autoRedefine/>
    <w:qFormat/>
    <w:uiPriority w:val="99"/>
    <w:pPr>
      <w:ind w:firstLine="420"/>
    </w:pPr>
  </w:style>
  <w:style w:type="paragraph" w:customStyle="1" w:styleId="84">
    <w:name w:val="Body Text Indent1"/>
    <w:basedOn w:val="1"/>
    <w:autoRedefine/>
    <w:qFormat/>
    <w:uiPriority w:val="99"/>
    <w:pPr>
      <w:ind w:left="420" w:leftChars="200"/>
    </w:pPr>
    <w:rPr>
      <w:rFonts w:ascii="Times New Roman" w:hAnsi="Times New Roman"/>
    </w:rPr>
  </w:style>
  <w:style w:type="character" w:customStyle="1" w:styleId="85">
    <w:name w:val="标题 3 Char"/>
    <w:link w:val="5"/>
    <w:autoRedefine/>
    <w:qFormat/>
    <w:uiPriority w:val="0"/>
    <w:rPr>
      <w:rFonts w:ascii="Times New Roman" w:hAnsi="Times New Roman" w:eastAsia="宋体"/>
      <w:b/>
      <w:bCs/>
      <w:sz w:val="28"/>
      <w:szCs w:val="32"/>
    </w:rPr>
  </w:style>
  <w:style w:type="paragraph" w:customStyle="1" w:styleId="86">
    <w:name w:val="WPSOffice手动目录 1"/>
    <w:autoRedefine/>
    <w:qFormat/>
    <w:uiPriority w:val="0"/>
    <w:pPr>
      <w:ind w:leftChars="0"/>
    </w:pPr>
    <w:rPr>
      <w:rFonts w:ascii="Times New Roman" w:hAnsi="Times New Roman" w:eastAsia="宋体" w:cs="Times New Roman"/>
      <w:sz w:val="20"/>
      <w:szCs w:val="20"/>
    </w:rPr>
  </w:style>
  <w:style w:type="paragraph" w:customStyle="1" w:styleId="87">
    <w:name w:val="图表"/>
    <w:basedOn w:val="1"/>
    <w:autoRedefine/>
    <w:qFormat/>
    <w:uiPriority w:val="0"/>
    <w:pPr>
      <w:spacing w:line="240" w:lineRule="auto"/>
      <w:ind w:firstLine="0" w:firstLineChars="0"/>
      <w:jc w:val="center"/>
    </w:pPr>
    <w:rPr>
      <w:rFonts w:hint="eastAsia"/>
      <w:sz w:val="21"/>
    </w:rPr>
  </w:style>
  <w:style w:type="character" w:customStyle="1" w:styleId="88">
    <w:name w:val="font11"/>
    <w:basedOn w:val="39"/>
    <w:autoRedefine/>
    <w:qFormat/>
    <w:uiPriority w:val="0"/>
    <w:rPr>
      <w:rFonts w:hint="eastAsia" w:ascii="宋体" w:hAnsi="宋体" w:eastAsia="宋体" w:cs="宋体"/>
      <w:color w:val="000000"/>
      <w:sz w:val="21"/>
      <w:szCs w:val="21"/>
      <w:u w:val="none"/>
    </w:rPr>
  </w:style>
  <w:style w:type="paragraph" w:customStyle="1" w:styleId="89">
    <w:name w:val="无间隔1"/>
    <w:autoRedefine/>
    <w:qFormat/>
    <w:uiPriority w:val="0"/>
    <w:rPr>
      <w:rFonts w:ascii="Calibri" w:hAnsi="Calibri" w:eastAsia="宋体" w:cs="Times New Roman"/>
      <w:sz w:val="22"/>
      <w:szCs w:val="22"/>
      <w:lang w:val="en-US" w:eastAsia="en-US" w:bidi="ar-SA"/>
    </w:rPr>
  </w:style>
  <w:style w:type="paragraph" w:customStyle="1" w:styleId="90">
    <w:name w:val="正文空2格  1."/>
    <w:basedOn w:val="1"/>
    <w:autoRedefine/>
    <w:qFormat/>
    <w:uiPriority w:val="0"/>
    <w:pPr>
      <w:autoSpaceDE/>
      <w:autoSpaceDN/>
      <w:adjustRightInd w:val="0"/>
      <w:spacing w:line="360" w:lineRule="auto"/>
      <w:ind w:firstLine="480" w:firstLineChars="200"/>
      <w:jc w:val="both"/>
      <w:textAlignment w:val="baseline"/>
    </w:pPr>
    <w:rPr>
      <w:rFonts w:hAnsi="Times New Roman" w:eastAsia="仿宋"/>
      <w:sz w:val="28"/>
      <w:szCs w:val="20"/>
      <w:lang w:val="en-US" w:bidi="ar-SA"/>
    </w:rPr>
  </w:style>
  <w:style w:type="table" w:customStyle="1" w:styleId="91">
    <w:name w:val="Table Normal"/>
    <w:autoRedefine/>
    <w:semiHidden/>
    <w:unhideWhenUsed/>
    <w:qFormat/>
    <w:uiPriority w:val="0"/>
    <w:tblPr>
      <w:tblCellMar>
        <w:top w:w="0" w:type="dxa"/>
        <w:left w:w="0" w:type="dxa"/>
        <w:bottom w:w="0" w:type="dxa"/>
        <w:right w:w="0" w:type="dxa"/>
      </w:tblCellMar>
    </w:tblPr>
  </w:style>
  <w:style w:type="paragraph" w:customStyle="1" w:styleId="92">
    <w:name w:val="Table Paragraph"/>
    <w:basedOn w:val="1"/>
    <w:autoRedefine/>
    <w:qFormat/>
    <w:uiPriority w:val="1"/>
    <w:rPr>
      <w:rFonts w:ascii="宋体" w:hAnsi="宋体" w:eastAsia="宋体" w:cs="宋体"/>
      <w:lang w:val="zh-CN" w:eastAsia="zh-CN" w:bidi="zh-CN"/>
    </w:rPr>
  </w:style>
  <w:style w:type="paragraph" w:customStyle="1" w:styleId="93">
    <w:name w:val="目录 32"/>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customStyle="1" w:styleId="94">
    <w:name w:val="标准正文"/>
    <w:basedOn w:val="1"/>
    <w:autoRedefine/>
    <w:qFormat/>
    <w:uiPriority w:val="0"/>
    <w:pPr>
      <w:widowControl/>
      <w:ind w:firstLine="200"/>
    </w:pPr>
    <w:rPr>
      <w:kern w:val="0"/>
      <w:szCs w:val="20"/>
      <w:lang w:val="zh-CN"/>
    </w:rPr>
  </w:style>
  <w:style w:type="paragraph" w:customStyle="1" w:styleId="95">
    <w:name w:val="*正文"/>
    <w:basedOn w:val="1"/>
    <w:autoRedefine/>
    <w:qFormat/>
    <w:uiPriority w:val="0"/>
    <w:pPr>
      <w:widowControl/>
      <w:adjustRightInd/>
      <w:snapToGrid/>
      <w:jc w:val="left"/>
    </w:pPr>
    <w:rPr>
      <w:rFonts w:ascii="宋体" w:hAnsi="宋体"/>
      <w:kern w:val="0"/>
      <w:szCs w:val="24"/>
    </w:rPr>
  </w:style>
  <w:style w:type="character" w:customStyle="1" w:styleId="96">
    <w:name w:val="题注 字符1"/>
    <w:autoRedefine/>
    <w:qFormat/>
    <w:uiPriority w:val="35"/>
    <w:rPr>
      <w:rFonts w:ascii="Times New Roman" w:hAnsi="Times New Roman" w:eastAsia="宋体"/>
      <w:kern w:val="2"/>
      <w:sz w:val="21"/>
      <w:szCs w:val="21"/>
    </w:rPr>
  </w:style>
  <w:style w:type="paragraph" w:customStyle="1" w:styleId="97">
    <w:name w:val="表格"/>
    <w:basedOn w:val="1"/>
    <w:next w:val="1"/>
    <w:autoRedefine/>
    <w:qFormat/>
    <w:uiPriority w:val="0"/>
    <w:pPr>
      <w:widowControl/>
      <w:spacing w:line="240" w:lineRule="auto"/>
      <w:ind w:firstLine="0" w:firstLineChars="0"/>
      <w:jc w:val="center"/>
    </w:pPr>
    <w:rPr>
      <w:rFonts w:cs="宋体"/>
      <w:sz w:val="21"/>
      <w:szCs w:val="30"/>
    </w:rPr>
  </w:style>
  <w:style w:type="paragraph" w:customStyle="1" w:styleId="98">
    <w:name w:val="段落文字"/>
    <w:basedOn w:val="1"/>
    <w:autoRedefine/>
    <w:qFormat/>
    <w:uiPriority w:val="0"/>
    <w:pPr>
      <w:ind w:firstLine="200"/>
    </w:pPr>
    <w:rPr>
      <w:sz w:val="22"/>
    </w:rPr>
  </w:style>
  <w:style w:type="paragraph" w:customStyle="1" w:styleId="99">
    <w:name w:val="列表段落1"/>
    <w:basedOn w:val="1"/>
    <w:autoRedefine/>
    <w:semiHidden/>
    <w:qFormat/>
    <w:uiPriority w:val="0"/>
    <w:pPr>
      <w:spacing w:line="240" w:lineRule="auto"/>
      <w:ind w:firstLine="420" w:firstLineChars="200"/>
    </w:pPr>
    <w:rPr>
      <w:rFonts w:ascii="Times New Roman" w:hAnsi="Times New Roman" w:cs="Times New Roman"/>
      <w:sz w:val="21"/>
      <w:szCs w:val="21"/>
    </w:rPr>
  </w:style>
  <w:style w:type="paragraph" w:customStyle="1" w:styleId="100">
    <w:name w:val="p18"/>
    <w:basedOn w:val="1"/>
    <w:autoRedefine/>
    <w:qFormat/>
    <w:uiPriority w:val="0"/>
    <w:pPr>
      <w:widowControl/>
      <w:ind w:firstLine="420"/>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65</Pages>
  <Words>32449</Words>
  <Characters>33728</Characters>
  <Lines>222</Lines>
  <Paragraphs>62</Paragraphs>
  <TotalTime>2</TotalTime>
  <ScaleCrop>false</ScaleCrop>
  <LinksUpToDate>false</LinksUpToDate>
  <CharactersWithSpaces>36709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2022-04-19T15:24:00Z</dcterms:created>
  <dc:creator>Administrator</dc:creator>
  <cp:lastModifiedBy>Alin00</cp:lastModifiedBy>
  <cp:lastPrinted>2024-02-04T02:39:00Z</cp:lastPrinted>
  <dcterms:modified xsi:type="dcterms:W3CDTF">2024-04-26T05:58:09Z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CACA1FC5E0724DBE8D8D2A7B9CA36FEB_13</vt:lpwstr>
  </property>
</Properties>
</file>