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eastAsia="宋体" w:cs="宋体"/>
          <w:color w:val="auto"/>
          <w:sz w:val="24"/>
          <w:highlight w:val="none"/>
          <w:lang w:eastAsia="zh-CN"/>
        </w:rPr>
      </w:pPr>
      <w:r/>
    </w:p>
    <w:p>
      <w:pPr>
        <w:spacing w:line="360" w:lineRule="auto"/>
        <w:rPr>
          <w:rFonts w:hint="eastAsia" w:ascii="宋体" w:hAnsi="宋体"/>
          <w:b/>
          <w:color w:val="auto"/>
          <w:sz w:val="44"/>
          <w:highlight w:val="none"/>
        </w:rPr>
      </w:pPr>
      <w:r/>
    </w:p>
    <w:p>
      <w:pPr>
        <w:spacing w:line="360" w:lineRule="auto"/>
        <w:jc w:val="center"/>
        <w:rPr>
          <w:rFonts w:ascii="宋体" w:hAnsi="宋体"/>
          <w:b/>
          <w:color w:val="auto"/>
          <w:sz w:val="36"/>
          <w:szCs w:val="36"/>
          <w:highlight w:val="none"/>
        </w:rPr>
      </w:pPr>
      <w:r>
        <w:t xml:space="preserve"> </w:t>
      </w:r>
    </w:p>
    <w:p>
      <w:pPr>
        <w:rPr>
          <w:rFonts w:hint="default" w:ascii="宋体" w:hAnsi="宋体" w:eastAsia="宋体" w:cs="宋体"/>
          <w:color w:val="auto"/>
          <w:sz w:val="44"/>
          <w:szCs w:val="36"/>
          <w:highlight w:val="none"/>
        </w:rPr>
      </w:pPr>
      <w:r/>
    </w:p>
    <w:p>
      <w:pPr>
        <w:widowControl/>
        <w:spacing w:before="0" w:beforeLines="0" w:after="0" w:afterLines="0" w:line="360" w:lineRule="auto"/>
        <w:ind w:firstLine="3960" w:firstLineChars="900"/>
        <w:rPr>
          <w:rFonts w:hint="default" w:ascii="宋体" w:hAnsi="宋体" w:eastAsia="宋体" w:cs="宋体"/>
          <w:color w:val="auto"/>
          <w:sz w:val="44"/>
          <w:szCs w:val="36"/>
          <w:highlight w:val="none"/>
        </w:rPr>
      </w:pPr>
      <w:r>
        <w:t>目  录</w:t>
      </w:r>
    </w:p>
    <w:p>
      <w:pPr>
        <w:pStyle w:val="10"/>
        <w:widowControl/>
        <w:spacing w:beforeLines="0" w:afterLines="0"/>
        <w:rPr>
          <w:rFonts w:hint="default" w:ascii="宋体" w:hAnsi="宋体" w:eastAsia="宋体" w:cs="宋体"/>
          <w:color w:val="auto"/>
          <w:sz w:val="44"/>
          <w:szCs w:val="24"/>
          <w:highlight w:val="none"/>
        </w:rPr>
      </w:pPr>
      <w:r/>
    </w:p>
    <w:p>
      <w:pPr>
        <w:pStyle w:val="10"/>
        <w:widowControl/>
        <w:spacing w:before="2" w:beforeLines="0" w:afterLines="0"/>
        <w:rPr>
          <w:rFonts w:hint="default" w:ascii="宋体" w:hAnsi="宋体" w:eastAsia="宋体" w:cs="宋体"/>
          <w:color w:val="auto"/>
          <w:sz w:val="32"/>
          <w:szCs w:val="32"/>
          <w:highlight w:val="none"/>
        </w:rPr>
      </w:pPr>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第一部分  采购公告</w:t>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第二部分  投标资料表</w:t>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第三部分  投标人须知</w:t>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 xml:space="preserve">第四部分  评标办法及评分标准 </w:t>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第五部分  采购内容及要求</w:t>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第六部分  拟签订的合同文本</w:t>
      </w:r>
    </w:p>
    <w:p>
      <w:pPr>
        <w:pStyle w:val="3"/>
        <w:widowControl/>
        <w:numPr>
          <w:ilvl w:val="0"/>
          <w:numId w:val="0"/>
        </w:numPr>
        <w:tabs>
          <w:tab w:val="left" w:pos="1808"/>
        </w:tabs>
        <w:spacing w:before="0" w:beforeLines="0" w:afterLines="0" w:line="396" w:lineRule="auto"/>
        <w:ind w:left="534" w:right="153"/>
        <w:jc w:val="left"/>
        <w:rPr>
          <w:rFonts w:hint="default" w:ascii="宋体" w:hAnsi="宋体" w:eastAsia="宋体" w:cs="宋体"/>
          <w:b w:val="0"/>
          <w:color w:val="auto"/>
          <w:sz w:val="32"/>
          <w:szCs w:val="32"/>
          <w:highlight w:val="none"/>
        </w:rPr>
      </w:pPr>
      <w:r>
        <w:t>第七部分  格式与表格</w:t>
      </w:r>
    </w:p>
    <w:p>
      <w:pPr>
        <w:spacing w:beforeLines="0" w:afterLines="0"/>
        <w:rPr>
          <w:rFonts w:hint="default" w:ascii="宋体"/>
          <w:color w:val="auto"/>
          <w:sz w:val="21"/>
          <w:szCs w:val="24"/>
          <w:highlight w:val="none"/>
        </w:rPr>
      </w:pPr>
      <w:r/>
    </w:p>
    <w:p>
      <w:pPr>
        <w:pStyle w:val="13"/>
        <w:widowControl/>
        <w:adjustRightInd w:val="0"/>
        <w:snapToGrid w:val="0"/>
        <w:spacing w:before="0" w:after="0" w:line="600" w:lineRule="exact"/>
        <w:jc w:val="center"/>
        <w:rPr>
          <w:rFonts w:hint="default" w:hAnsi="宋体" w:cs="宋体"/>
          <w:color w:val="auto"/>
          <w:sz w:val="24"/>
          <w:szCs w:val="24"/>
          <w:highlight w:val="none"/>
        </w:rPr>
      </w:pPr>
      <w:r/>
    </w:p>
    <w:p>
      <w:pPr>
        <w:pStyle w:val="13"/>
        <w:widowControl/>
        <w:spacing w:before="0" w:after="0" w:line="336" w:lineRule="exact"/>
        <w:jc w:val="center"/>
        <w:rPr>
          <w:rFonts w:hint="default" w:hAnsi="宋体" w:cs="宋体"/>
          <w:color w:val="auto"/>
          <w:sz w:val="24"/>
          <w:szCs w:val="24"/>
          <w:highlight w:val="none"/>
        </w:rPr>
      </w:pPr>
      <w:r/>
    </w:p>
    <w:p>
      <w:pPr>
        <w:spacing w:beforeLines="0" w:afterLines="0"/>
        <w:rPr>
          <w:rFonts w:hint="default" w:ascii="宋体" w:hAnsi="宋体" w:cs="宋体"/>
          <w:color w:val="auto"/>
          <w:sz w:val="21"/>
          <w:szCs w:val="24"/>
          <w:highlight w:val="none"/>
        </w:rPr>
      </w:pPr>
      <w:r/>
    </w:p>
    <w:p>
      <w:pPr>
        <w:tabs>
          <w:tab w:val="left" w:pos="1715"/>
        </w:tabs>
        <w:spacing w:beforeLines="0" w:afterLines="0" w:line="440" w:lineRule="exact"/>
        <w:jc w:val="left"/>
        <w:rPr>
          <w:rFonts w:hint="default" w:ascii="宋体" w:hAnsi="宋体" w:cs="宋体"/>
          <w:color w:val="auto"/>
          <w:sz w:val="21"/>
          <w:szCs w:val="24"/>
          <w:highlight w:val="none"/>
        </w:rPr>
      </w:pPr>
      <w:r>
        <w:tab/>
      </w:r>
    </w:p>
    <w:p>
      <w:pPr>
        <w:spacing w:beforeLines="0" w:afterLines="0"/>
        <w:rPr>
          <w:rFonts w:hint="default" w:ascii="宋体" w:hAnsi="宋体" w:cs="宋体"/>
          <w:color w:val="auto"/>
          <w:sz w:val="21"/>
          <w:szCs w:val="24"/>
          <w:highlight w:val="none"/>
          <w:lang w:bidi="ar"/>
        </w:rPr>
        <w:sectPr>
          <w:pgSz w:w="11906" w:h="16838"/>
          <w:pgMar w:top="1247" w:right="1531" w:bottom="1304" w:left="1531" w:header="851" w:footer="992" w:gutter="0"/>
          <w:lnNumType w:countBy="0" w:distance="360"/>
          <w:pgNumType w:start="1"/>
          <w:cols w:space="720" w:num="1"/>
          <w:docGrid w:type="lines" w:linePitch="312" w:charSpace="0"/>
        </w:sectPr>
      </w:pPr>
      <w:r/>
    </w:p>
    <w:p>
      <w:pPr>
        <w:pStyle w:val="3"/>
        <w:widowControl/>
        <w:spacing w:before="0" w:beforeLines="0" w:after="0" w:afterLines="0" w:line="400" w:lineRule="exact"/>
        <w:rPr>
          <w:rFonts w:hint="default" w:ascii="宋体" w:hAnsi="宋体" w:eastAsia="宋体" w:cs="宋体"/>
          <w:color w:val="auto"/>
          <w:sz w:val="32"/>
          <w:szCs w:val="32"/>
          <w:highlight w:val="none"/>
        </w:rPr>
      </w:pPr>
      <w:r>
        <w:t>第一部分  采购公告</w:t>
      </w:r>
    </w:p>
    <w:p>
      <w:pPr>
        <w:pBdr>
          <w:top w:val="single" w:color="auto" w:sz="4" w:space="1"/>
          <w:left w:val="single" w:color="auto" w:sz="4" w:space="4"/>
          <w:bottom w:val="single" w:color="auto" w:sz="4" w:space="1"/>
          <w:right w:val="single" w:color="auto" w:sz="4" w:space="4"/>
        </w:pBdr>
        <w:adjustRightInd w:val="0"/>
        <w:snapToGrid w:val="0"/>
        <w:spacing w:beforeLines="0" w:afterLines="0" w:line="400" w:lineRule="exact"/>
        <w:rPr>
          <w:rFonts w:hint="default" w:ascii="宋体" w:hAnsi="宋体" w:cs="宋体"/>
          <w:color w:val="auto"/>
          <w:sz w:val="21"/>
          <w:szCs w:val="21"/>
          <w:highlight w:val="none"/>
        </w:rPr>
      </w:pPr>
      <w: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val="0"/>
        <w:spacing w:beforeLines="0" w:afterLines="0" w:line="400" w:lineRule="exact"/>
        <w:ind w:firstLine="420" w:firstLineChars="200"/>
        <w:textAlignment w:val="auto"/>
        <w:rPr>
          <w:rFonts w:hint="default" w:ascii="宋体" w:hAnsi="宋体" w:cs="宋体"/>
          <w:color w:val="auto"/>
          <w:sz w:val="21"/>
          <w:szCs w:val="21"/>
          <w:highlight w:val="none"/>
        </w:rPr>
      </w:pPr>
      <w:r>
        <w:t>宁波市海曙区高桥镇劳务外包服务项目的潜在投标人应在政府采购云平台（http://www.zcygov.cn/）获取（下载）招标文件，并于2023年02月02日14点00分（北京时间）前递交（上传）投标文件。</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一、项目基本情况</w:t>
      </w:r>
    </w:p>
    <w:p>
      <w:pPr>
        <w:tabs>
          <w:tab w:val="left" w:pos="7770"/>
          <w:tab w:val="left" w:pos="7980"/>
        </w:tabs>
        <w:spacing w:beforeLines="0" w:afterLines="0" w:line="400" w:lineRule="exact"/>
        <w:ind w:firstLine="420" w:firstLineChars="200"/>
        <w:rPr>
          <w:rFonts w:hint="default" w:ascii="宋体" w:hAnsi="宋体" w:eastAsia="宋体" w:cs="宋体"/>
          <w:color w:val="auto"/>
          <w:sz w:val="21"/>
          <w:szCs w:val="21"/>
          <w:highlight w:val="none"/>
          <w:lang w:val="en-US" w:eastAsia="zh-CN"/>
        </w:rPr>
      </w:pPr>
      <w:r>
        <w:t>项目编号：2023NBHSWT003</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项目名称：宁波市海曙区高桥镇劳务外包服务项目</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预算金额：15300000.00元/三年</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最高限价：15300000.00元/三年</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采购需求：</w:t>
      </w:r>
    </w:p>
    <w:p>
      <w:pPr>
        <w:spacing w:beforeLines="0" w:afterLines="0" w:line="460" w:lineRule="exact"/>
        <w:ind w:firstLine="420" w:firstLineChars="200"/>
        <w:rPr>
          <w:rFonts w:hint="default" w:ascii="宋体" w:hAnsi="宋体" w:cs="宋体"/>
          <w:color w:val="auto"/>
          <w:sz w:val="21"/>
          <w:szCs w:val="21"/>
          <w:highlight w:val="none"/>
        </w:rPr>
      </w:pPr>
      <w:r>
        <w:t xml:space="preserve">标项名称：宁波市海曙区高桥镇劳务外包服务项目 </w:t>
      </w:r>
    </w:p>
    <w:p>
      <w:pPr>
        <w:spacing w:beforeLines="0" w:afterLines="0" w:line="460" w:lineRule="exact"/>
        <w:ind w:firstLine="420" w:firstLineChars="200"/>
        <w:rPr>
          <w:rFonts w:hint="default" w:ascii="宋体" w:hAnsi="宋体" w:cs="宋体"/>
          <w:color w:val="auto"/>
          <w:sz w:val="21"/>
          <w:szCs w:val="21"/>
          <w:highlight w:val="none"/>
        </w:rPr>
      </w:pPr>
      <w:r>
        <w:t xml:space="preserve">数量：1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预算金额（元）：15300000.00元/三年</w:t>
      </w:r>
    </w:p>
    <w:p>
      <w:pPr>
        <w:tabs>
          <w:tab w:val="left" w:pos="7770"/>
          <w:tab w:val="left" w:pos="7980"/>
        </w:tabs>
        <w:spacing w:beforeLines="0" w:afterLines="0" w:line="400" w:lineRule="exact"/>
        <w:ind w:firstLine="420" w:firstLineChars="200"/>
        <w:rPr>
          <w:rFonts w:hint="default" w:ascii="宋体" w:hAnsi="宋体" w:cs="宋体"/>
          <w:color w:val="auto"/>
          <w:kern w:val="0"/>
          <w:sz w:val="21"/>
          <w:szCs w:val="21"/>
          <w:highlight w:val="none"/>
          <w:shd w:val="clear" w:color="auto" w:fill="FFFFFF"/>
        </w:rPr>
      </w:pPr>
      <w:r>
        <w:t>简要规格描述或项目基本概况介绍、用途：宁波市海曙区高桥镇劳务外包服务项目，具体详见“第五部分 采购内容及要求”。</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合同履行期限：三年。</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本项目（否）接受联合体投标。</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二、申请人的资格要求：</w:t>
      </w:r>
    </w:p>
    <w:p>
      <w:pPr>
        <w:keepNext w:val="0"/>
        <w:keepLines w:val="0"/>
        <w:pageBreakBefore w:val="0"/>
        <w:widowControl w:val="0"/>
        <w:tabs>
          <w:tab w:val="left" w:pos="7770"/>
          <w:tab w:val="left" w:pos="7980"/>
        </w:tabs>
        <w:kinsoku/>
        <w:wordWrap w:val="0"/>
        <w:overflowPunct/>
        <w:topLinePunct w:val="0"/>
        <w:autoSpaceDE/>
        <w:autoSpaceDN/>
        <w:bidi w:val="0"/>
        <w:adjustRightInd/>
        <w:snapToGrid/>
        <w:spacing w:beforeLines="0" w:afterLines="0" w:line="400" w:lineRule="exact"/>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bidi="ar"/>
        </w:rPr>
      </w:pPr>
      <w:r>
        <w:t>1.符合《中华人民共和国政府采购法》第二十二条规定；未被“信用中国”（www.creditchina.gov.cn)、中国政府采购网（www.ccgp.gov.cn）列入失信被执行人、重大税收违法案件当事人名单、政府采购严重违法失信行为记录名单。</w:t>
      </w:r>
    </w:p>
    <w:p>
      <w:pPr>
        <w:tabs>
          <w:tab w:val="left" w:pos="7770"/>
          <w:tab w:val="left" w:pos="7980"/>
        </w:tabs>
        <w:spacing w:beforeLines="0" w:afterLines="0" w:line="400" w:lineRule="exact"/>
        <w:ind w:firstLine="420" w:firstLineChars="200"/>
        <w:rPr>
          <w:rFonts w:hint="default" w:ascii="宋体" w:hAnsi="宋体" w:eastAsia="宋体" w:cs="宋体"/>
          <w:color w:val="auto"/>
          <w:kern w:val="0"/>
          <w:sz w:val="21"/>
          <w:szCs w:val="21"/>
          <w:highlight w:val="none"/>
          <w:shd w:val="clear" w:color="auto" w:fill="FFFFFF"/>
          <w:lang w:bidi="ar"/>
        </w:rPr>
      </w:pPr>
      <w:r>
        <w:t>2.落实采购政策需满足的资格要求：本项目为专门面向中小企业招标，供应商须为中型企业或小型企业或微型企业。</w:t>
      </w:r>
    </w:p>
    <w:p>
      <w:pPr>
        <w:tabs>
          <w:tab w:val="left" w:pos="7770"/>
          <w:tab w:val="left" w:pos="7980"/>
        </w:tabs>
        <w:spacing w:beforeLines="0" w:afterLines="0" w:line="400" w:lineRule="exact"/>
        <w:ind w:firstLine="420" w:firstLineChars="200"/>
        <w:rPr>
          <w:rFonts w:hint="default" w:ascii="宋体" w:hAnsi="宋体" w:eastAsia="宋体" w:cs="宋体"/>
          <w:color w:val="auto"/>
          <w:kern w:val="0"/>
          <w:sz w:val="21"/>
          <w:szCs w:val="21"/>
          <w:highlight w:val="none"/>
          <w:shd w:val="clear" w:color="auto" w:fill="FFFFFF"/>
          <w:lang w:bidi="ar"/>
        </w:rPr>
      </w:pPr>
      <w: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供应商须提供政府采购领域商业贿赂行为承诺书（投标文件中须提供《政府采购领域商业贿赂行为承诺书》，详见投标文件格式）。</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三、获取招标文件</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时间： 2023年01月11日 至 2023年02月02日 ，每天上午00:00至12:00，下午12:00至23:59（北京时间，法定节假日除外）；</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 xml:space="preserve">地点（网址）：政府采购云平台（http://www.zcygov.cn/）；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 xml:space="preserve">方式：政府采购云平台→“政采云用户”登录→【项目采购】→【获取采购文件】；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 xml:space="preserve">售价（元）：0 </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四、提交投标文件截止时间、开标时间和地点</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提交投标文件截止时间：2023年02月02日14点00分（北京时间）</w:t>
      </w:r>
    </w:p>
    <w:p>
      <w:pPr>
        <w:pStyle w:val="18"/>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投标地点（网址）：宁波市海曙区公共资源交易中心二楼开标室5（南门上，宁波市海曙区气象路58号），具体受理场所详见当日开标大厅电子公告栏。</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开标时间：2023年02月02日14点00分（北京时间）</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开标地点（网址）：宁波市海曙区公共资源交易中心二楼开标室5（南门上，宁波市海曙区气象路58号），具体受理场所详见当日开标大厅电子公告栏。</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五、公告期限</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自本公告发布之日起5个工作日。</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六、其他补充事宜</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2.其他事项：</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2.1落实的政策：</w:t>
      </w:r>
    </w:p>
    <w:p>
      <w:pPr>
        <w:pStyle w:val="18"/>
        <w:adjustRightInd w:val="0"/>
        <w:snapToGrid w:val="0"/>
        <w:spacing w:before="0" w:beforeLines="0" w:beforeAutospacing="0" w:after="0" w:afterLines="0" w:afterAutospacing="0" w:line="400" w:lineRule="exact"/>
        <w:ind w:firstLine="420" w:firstLineChars="200"/>
        <w:rPr>
          <w:rFonts w:hint="eastAsia" w:ascii="宋体" w:hAnsi="宋体" w:eastAsia="宋体" w:cs="宋体"/>
          <w:color w:val="auto"/>
          <w:sz w:val="21"/>
          <w:szCs w:val="21"/>
          <w:highlight w:val="none"/>
          <w:shd w:val="clear" w:color="auto" w:fill="FFFFFF"/>
        </w:rPr>
      </w:pPr>
      <w:r>
        <w:t>2.1.1执行中小企业扶持政策（监狱企业、残疾人福利性单位视同小微企业）；</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lang w:val="en-US" w:eastAsia="zh-CN"/>
        </w:rPr>
      </w:pPr>
      <w:r>
        <w:t>2.1.2扶持不发达地区和少数民族地区；</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2.2投标与开标注意事项</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2.2.1本项目实行网上投标，采用电子投标文件。若供应商参与投标，自行承担投标一切费用。</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2.2.2标前准备：各供应商应在开标前确保成为浙江政府采购网正式注册入库供应商，并完成CA数字证书办理。因未注册入库、未办理CA数字证书等原因造成无法投标或投标失败等后果由供应商自行承担。</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2.2.3投标文件制作：</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2.2.3.1应按照本项目招标文件和政府采购云平台的要求编制、加密并递交投标文件。供应商在使用系统进行投标的过程中遇到涉及平台使用的任何问题，可致电政府采购云平台技术支持热线咨询，联系方式：400-8817190。</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2.2.3.2供应商通过政府采购云平台电子投标工具制作投标文件，电子投标工具请供应商自行前往浙江政府采购网下载并安装，投标文件制作具体流程详见政府采购云平台。</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2.2.3.3以U盘存储的电子备份投标文件1份，按政府采购云平台要求制作的电子备份文件，以用于异常情况处理。</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2.2.3.4本项目供应商仍应准备纸质投标文件。当电子开评标无法正常进行时，即转为线下评标。若在此种情况下，由于供应商未提交纸质投标文件而导致该供应商放弃投标，由供应商自行承担。</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2.3本招标公告附件中的招标文件仅供阅览使用，供应商应在规定的招标文件获取期限内在政采云平台登录供应商注册的账号后获取招标文件，未按上述方式获取招标文件的，不得对招标文件提起质疑投诉。</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2.4供应商应于投标截止时间前将电子投标文件上传到政府采购云平台www.zcygov.cn，未上传电子投标文件，视为供应商放弃投标。</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2.5供应商如提供备份投标文件的，应于提交投标文件截止时间前，将以U盘存储的电子备份投标文件和纸质备份投标文件分别密封，递交至投标地点，逾期送达或未密封将予以拒收。</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2.7供应商可采用邮寄（含快递）方式或现场方式递交备份投标文件。</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2.7.1采用邮寄方式递交备份投标文件，需按以下要求递交：</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供应商应在2023年02月01日17：00（含）前将备份投标文件邮寄至规定地点，邮寄地址为：宁波市江北区唐虞路319号（创富商业中心） 510室，收件人：王工，联系方式：0574-87636525。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2.7.2采用现场方式送达备份投标文件，需按以下要求递交：</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所有供应商安排“甬行码”为绿色的相关人员（原则上不超过一名）在投标截止时间前将备份投标文件送至投标地点。投标文件递交时需同时递交供应商的法定代表人（或其委托代理人）联系方式，并保证开标期间联系方式的畅通。</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2.8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进行收发。</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电子邮箱：710367977@qq.com</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2.9投标人员须做好佩戴口罩、手套等防护措施，自觉接受体温检测、接受防疫询问，并如实报告相关情况。</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2.10投标人员还需配合做好疫情防控“五个一律”：一律全面消毒、一律体温检测、一律承诺登记、一律按序办事、一律服从管理。</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2.11如投标截止时间前疫情解除，上述第2.7-2.11条内容废止。</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2.12疫情防疫期间，请各供应商遵守宁波市海曙区公共资源交易中心各项防疫措施规定。</w:t>
      </w:r>
    </w:p>
    <w:p>
      <w:pPr>
        <w:pStyle w:val="18"/>
        <w:wordWrap w:val="0"/>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    2.13本公告发布媒体：浙江省公共资源交易服务平台（zjpubservice.zjzwfw.gov.cn/index.html?citycode=3300）、浙江政府采购网（zfcg.czt.zj.gov.cn）、宁波政府采购(www.nbzfcg.cn)、宁波公共资源交易网海曙区分网（http://haishu.nbggzy.cn/）、中国政府采购网（www.ccgp.gov.cn）（不含预算500万元以下项目）。　　　　　</w:t>
      </w:r>
    </w:p>
    <w:p>
      <w:pPr>
        <w:pStyle w:val="18"/>
        <w:adjustRightInd w:val="0"/>
        <w:snapToGrid w:val="0"/>
        <w:spacing w:before="0" w:beforeLines="0" w:beforeAutospacing="0" w:after="0" w:afterLines="0" w:afterAutospacing="0" w:line="400" w:lineRule="exact"/>
        <w:jc w:val="both"/>
        <w:rPr>
          <w:rFonts w:hint="default" w:ascii="宋体" w:hAnsi="宋体" w:eastAsia="宋体" w:cs="宋体"/>
          <w:color w:val="auto"/>
          <w:sz w:val="21"/>
          <w:szCs w:val="21"/>
          <w:highlight w:val="none"/>
        </w:rPr>
      </w:pPr>
      <w:r>
        <w:t xml:space="preserve">七、对本次招标提出询问、质疑、投诉，请按以下方式联系。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1.采购人信息</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 xml:space="preserve">名    称：宁波市海曙区高桥镇人民政府　</w:t>
      </w:r>
    </w:p>
    <w:p>
      <w:pPr>
        <w:pStyle w:val="18"/>
        <w:adjustRightInd w:val="0"/>
        <w:snapToGrid w:val="0"/>
        <w:spacing w:before="0" w:beforeLines="0" w:beforeAutospacing="0" w:after="0" w:afterLines="0" w:afterAutospacing="0" w:line="400" w:lineRule="exact"/>
        <w:ind w:firstLine="420" w:firstLineChars="200"/>
        <w:rPr>
          <w:rFonts w:hint="eastAsia" w:ascii="宋体" w:hAnsi="宋体" w:eastAsia="宋体" w:cs="宋体"/>
          <w:color w:val="auto"/>
          <w:sz w:val="21"/>
          <w:szCs w:val="21"/>
          <w:highlight w:val="none"/>
          <w:shd w:val="clear" w:color="auto" w:fill="FFFFFF"/>
          <w:lang w:eastAsia="zh-CN"/>
        </w:rPr>
      </w:pPr>
      <w:r>
        <w:t>地    址：宁波市海曙区高桥镇商会大厦</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rPr>
      </w:pPr>
      <w:r>
        <w:t xml:space="preserve">传     真：/  </w:t>
      </w:r>
    </w:p>
    <w:p>
      <w:pPr>
        <w:pStyle w:val="18"/>
        <w:adjustRightInd w:val="0"/>
        <w:snapToGrid w:val="0"/>
        <w:spacing w:before="0" w:beforeLines="0" w:beforeAutospacing="0" w:after="0" w:afterLines="0" w:afterAutospacing="0" w:line="400" w:lineRule="exact"/>
        <w:ind w:firstLine="420" w:firstLineChars="200"/>
        <w:rPr>
          <w:rFonts w:hint="eastAsia" w:ascii="宋体" w:hAnsi="宋体" w:eastAsia="宋体" w:cs="宋体"/>
          <w:color w:val="auto"/>
          <w:sz w:val="21"/>
          <w:szCs w:val="21"/>
          <w:highlight w:val="none"/>
          <w:shd w:val="clear" w:color="auto" w:fill="FFFFFF"/>
          <w:lang w:eastAsia="zh-CN"/>
        </w:rPr>
      </w:pPr>
      <w:r>
        <w:t>项目联系人（询问）：詹堃</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lang w:val="en-US" w:eastAsia="zh-CN"/>
        </w:rPr>
      </w:pPr>
      <w:r>
        <w:t>项目联系方式（询问）： 0574-87008951</w:t>
      </w:r>
    </w:p>
    <w:p>
      <w:pPr>
        <w:pStyle w:val="18"/>
        <w:adjustRightInd w:val="0"/>
        <w:snapToGrid w:val="0"/>
        <w:spacing w:before="0" w:beforeLines="0" w:beforeAutospacing="0" w:after="0" w:afterLines="0" w:afterAutospacing="0" w:line="400" w:lineRule="exact"/>
        <w:ind w:firstLine="420" w:firstLineChars="200"/>
        <w:rPr>
          <w:rFonts w:hint="eastAsia" w:ascii="宋体" w:hAnsi="宋体" w:eastAsia="宋体" w:cs="宋体"/>
          <w:color w:val="auto"/>
          <w:sz w:val="21"/>
          <w:szCs w:val="21"/>
          <w:highlight w:val="none"/>
          <w:shd w:val="clear" w:color="auto" w:fill="FFFFFF"/>
          <w:lang w:eastAsia="zh-CN"/>
        </w:rPr>
      </w:pPr>
      <w:r>
        <w:t>质疑联系人： 张迪</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质疑联系方式： 0574-87008951</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2.采购代理机构信息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名    称：宁波市盛达工程管理咨询有限公司　             </w:t>
      </w:r>
    </w:p>
    <w:p>
      <w:pPr>
        <w:pStyle w:val="18"/>
        <w:adjustRightInd w:val="0"/>
        <w:snapToGrid w:val="0"/>
        <w:spacing w:before="0" w:beforeLines="0" w:beforeAutospacing="0" w:after="0" w:afterLines="0" w:afterAutospacing="0" w:line="400" w:lineRule="exact"/>
        <w:ind w:right="-193" w:rightChars="-92" w:firstLine="420" w:firstLineChars="200"/>
        <w:rPr>
          <w:rFonts w:hint="default" w:ascii="宋体" w:hAnsi="宋体" w:eastAsia="宋体" w:cs="宋体"/>
          <w:color w:val="auto"/>
          <w:sz w:val="21"/>
          <w:szCs w:val="21"/>
          <w:highlight w:val="none"/>
          <w:shd w:val="clear" w:color="auto" w:fill="FFFFFF"/>
        </w:rPr>
      </w:pPr>
      <w:r>
        <w:t>地    址：宁波市江北区唐虞路319号（创富商业中心） 510室</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传    真：/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项目联系人（询问）：王瑶红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项目联系方式（询问）：0574-87636525</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质疑联系人：方海杰</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质疑联系方式：0574-87636525</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3.同级政府采购监督管理部门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名    称：宁波市海曙区政府采购办公室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传    真：/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联  系  人 ：邹老师             </w:t>
      </w:r>
    </w:p>
    <w:p>
      <w:pPr>
        <w:pStyle w:val="18"/>
        <w:adjustRightInd w:val="0"/>
        <w:snapToGrid w:val="0"/>
        <w:spacing w:before="0" w:beforeLines="0" w:beforeAutospacing="0" w:after="0" w:afterLines="0" w:afterAutospacing="0" w:line="400" w:lineRule="exact"/>
        <w:ind w:firstLine="420" w:firstLineChars="200"/>
        <w:rPr>
          <w:rFonts w:hint="default" w:ascii="宋体" w:hAnsi="宋体" w:eastAsia="宋体" w:cs="宋体"/>
          <w:color w:val="auto"/>
          <w:sz w:val="21"/>
          <w:szCs w:val="21"/>
          <w:highlight w:val="none"/>
          <w:shd w:val="clear" w:color="auto" w:fill="FFFFFF"/>
        </w:rPr>
      </w:pPr>
      <w:r>
        <w:t xml:space="preserve">监督投诉电话：0574-87194482 </w:t>
      </w:r>
    </w:p>
    <w:p>
      <w:pPr>
        <w:spacing w:beforeLines="0" w:afterLines="0" w:line="400" w:lineRule="exact"/>
        <w:ind w:firstLine="420" w:firstLineChars="200"/>
        <w:rPr>
          <w:rFonts w:hint="default" w:ascii="宋体" w:hAnsi="宋体" w:cs="宋体"/>
          <w:color w:val="auto"/>
          <w:sz w:val="21"/>
          <w:szCs w:val="21"/>
          <w:highlight w:val="none"/>
        </w:rPr>
      </w:pPr>
      <w:r/>
    </w:p>
    <w:p>
      <w:pPr>
        <w:widowControl/>
        <w:spacing w:beforeLines="0" w:afterLines="0" w:line="360" w:lineRule="auto"/>
        <w:ind w:firstLine="420" w:firstLineChars="200"/>
        <w:jc w:val="left"/>
        <w:rPr>
          <w:rFonts w:hint="default" w:ascii="宋体" w:hAnsi="宋体" w:cs="宋体"/>
          <w:color w:val="auto"/>
          <w:sz w:val="21"/>
          <w:szCs w:val="21"/>
          <w:highlight w:val="none"/>
          <w:lang w:bidi="ar"/>
        </w:rPr>
      </w:pPr>
      <w: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beforeLines="0" w:afterLines="0"/>
        <w:rPr>
          <w:rFonts w:hint="default" w:ascii="宋体" w:hAnsi="宋体" w:cs="宋体"/>
          <w:color w:val="auto"/>
          <w:sz w:val="21"/>
          <w:szCs w:val="24"/>
          <w:highlight w:val="none"/>
          <w:lang w:bidi="ar"/>
        </w:rPr>
      </w:pPr>
      <w:r/>
    </w:p>
    <w:p>
      <w:pPr>
        <w:pStyle w:val="19"/>
        <w:spacing w:beforeLines="0" w:afterLines="0"/>
        <w:rPr>
          <w:rFonts w:hint="default" w:ascii="宋体" w:hAnsi="宋体"/>
          <w:color w:val="auto"/>
          <w:sz w:val="32"/>
          <w:szCs w:val="32"/>
          <w:highlight w:val="none"/>
        </w:rPr>
      </w:pPr>
      <w:r>
        <w:t>第二部分 投标资料表</w:t>
      </w:r>
    </w:p>
    <w:tbl>
      <w:tblPr>
        <w:tblStyle w:val="21"/>
        <w:tblW w:w="878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52"/>
        <w:gridCol w:w="803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752" w:type="dxa"/>
            <w:tcBorders>
              <w:top w:val="single" w:color="auto" w:sz="4" w:space="0"/>
              <w:left w:val="single" w:color="auto" w:sz="4" w:space="0"/>
              <w:bottom w:val="single" w:color="auto" w:sz="4" w:space="0"/>
              <w:right w:val="single" w:color="auto" w:sz="2" w:space="0"/>
              <w:tl2br w:val="nil"/>
              <w:tr2bl w:val="nil"/>
            </w:tcBorders>
            <w:noWrap w:val="0"/>
            <w:vAlign w:val="center"/>
          </w:tcPr>
          <w:p>
            <w:r>
              <w:t>序号</w:t>
            </w:r>
          </w:p>
        </w:tc>
        <w:tc>
          <w:tcPr>
            <w:tcW w:w="8032" w:type="dxa"/>
            <w:tcBorders>
              <w:top w:val="single" w:color="auto" w:sz="4" w:space="0"/>
              <w:left w:val="single" w:color="auto" w:sz="2" w:space="0"/>
              <w:bottom w:val="single" w:color="auto" w:sz="4" w:space="0"/>
              <w:right w:val="single" w:color="auto" w:sz="4" w:space="0"/>
              <w:tl2br w:val="nil"/>
              <w:tr2bl w:val="nil"/>
            </w:tcBorders>
            <w:noWrap w:val="0"/>
            <w:vAlign w:val="center"/>
          </w:tcPr>
          <w:p>
            <w:r>
              <w:t>内容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vMerge w:val="restart"/>
            <w:tcBorders>
              <w:top w:val="single" w:color="auto" w:sz="2" w:space="0"/>
              <w:left w:val="single" w:color="auto" w:sz="4" w:space="0"/>
              <w:bottom w:val="single" w:color="auto" w:sz="2" w:space="0"/>
              <w:right w:val="single" w:color="auto" w:sz="2" w:space="0"/>
              <w:tl2br w:val="nil"/>
              <w:tr2bl w:val="nil"/>
            </w:tcBorders>
            <w:noWrap w:val="0"/>
            <w:vAlign w:val="center"/>
          </w:tcPr>
          <w:p>
            <w:r>
              <w:t>1</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采购人：宁波市海曙区高桥镇人民政府</w:t>
              <w:br/>
              <w:t>联系人：詹堃</w:t>
              <w:br/>
              <w:t>联系电话： 0574-87008951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pPr>
              <w:autoSpaceDE w:val="0"/>
              <w:autoSpaceDN w:val="0"/>
              <w:snapToGrid w:val="0"/>
              <w:spacing w:beforeLines="0" w:afterLines="0" w:line="360" w:lineRule="exact"/>
              <w:ind w:left="-95" w:right="-129"/>
              <w:jc w:val="center"/>
              <w:rPr>
                <w:rFonts w:hint="default"/>
                <w:color w:val="auto"/>
                <w:sz w:val="21"/>
                <w:szCs w:val="21"/>
                <w:highlight w:val="none"/>
              </w:rPr>
            </w:pP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采购代理机构：宁波市盛达工程管理咨询有限公司</w:t>
              <w:br/>
              <w:t>联系人：王瑶红、方海杰</w:t>
              <w:br/>
              <w:t>电话：0574-87636525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2" w:space="0"/>
              <w:right w:val="single" w:color="auto" w:sz="2" w:space="0"/>
              <w:tl2br w:val="nil"/>
              <w:tr2bl w:val="nil"/>
            </w:tcBorders>
            <w:noWrap w:val="0"/>
            <w:vAlign w:val="center"/>
          </w:tcPr>
          <w:p>
            <w:r>
              <w:t>2</w:t>
            </w:r>
          </w:p>
        </w:tc>
        <w:tc>
          <w:tcPr>
            <w:tcW w:w="8032" w:type="dxa"/>
            <w:tcBorders>
              <w:top w:val="single" w:color="auto" w:sz="4" w:space="0"/>
              <w:left w:val="single" w:color="auto" w:sz="2" w:space="0"/>
              <w:bottom w:val="single" w:color="auto" w:sz="2" w:space="0"/>
              <w:right w:val="single" w:color="auto" w:sz="4" w:space="0"/>
              <w:tl2br w:val="nil"/>
              <w:tr2bl w:val="nil"/>
            </w:tcBorders>
            <w:noWrap w:val="0"/>
            <w:vAlign w:val="center"/>
          </w:tcPr>
          <w:p>
            <w:r>
              <w:t>经批准的本次采购方式：公开招标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2" w:space="0"/>
              <w:right w:val="single" w:color="auto" w:sz="2" w:space="0"/>
              <w:tl2br w:val="nil"/>
              <w:tr2bl w:val="nil"/>
            </w:tcBorders>
            <w:noWrap w:val="0"/>
            <w:vAlign w:val="center"/>
          </w:tcPr>
          <w:p>
            <w:r>
              <w:t>3</w:t>
            </w:r>
          </w:p>
        </w:tc>
        <w:tc>
          <w:tcPr>
            <w:tcW w:w="8032" w:type="dxa"/>
            <w:tcBorders>
              <w:top w:val="single" w:color="auto" w:sz="4" w:space="0"/>
              <w:left w:val="single" w:color="auto" w:sz="2" w:space="0"/>
              <w:bottom w:val="single" w:color="auto" w:sz="2" w:space="0"/>
              <w:right w:val="single" w:color="auto" w:sz="4" w:space="0"/>
              <w:tl2br w:val="nil"/>
              <w:tr2bl w:val="nil"/>
            </w:tcBorders>
            <w:noWrap w:val="0"/>
            <w:vAlign w:val="center"/>
          </w:tcPr>
          <w:p>
            <w:r>
              <w:t>投标人的资格要求：详见“第一部分 采购公告”。</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2" w:space="0"/>
              <w:right w:val="single" w:color="auto" w:sz="2" w:space="0"/>
              <w:tl2br w:val="nil"/>
              <w:tr2bl w:val="nil"/>
            </w:tcBorders>
            <w:noWrap w:val="0"/>
            <w:vAlign w:val="center"/>
          </w:tcPr>
          <w:p>
            <w:r>
              <w:t>4</w:t>
            </w:r>
          </w:p>
        </w:tc>
        <w:tc>
          <w:tcPr>
            <w:tcW w:w="8032" w:type="dxa"/>
            <w:tcBorders>
              <w:top w:val="single" w:color="auto" w:sz="4" w:space="0"/>
              <w:left w:val="single" w:color="auto" w:sz="2" w:space="0"/>
              <w:bottom w:val="single" w:color="auto" w:sz="2" w:space="0"/>
              <w:right w:val="single" w:color="auto" w:sz="4" w:space="0"/>
              <w:tl2br w:val="nil"/>
              <w:tr2bl w:val="nil"/>
            </w:tcBorders>
            <w:noWrap w:val="0"/>
            <w:vAlign w:val="center"/>
          </w:tcPr>
          <w:p>
            <w:r>
              <w:t>资格审查：本项目采用资格后审</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4" w:space="0"/>
              <w:left w:val="single" w:color="auto" w:sz="4" w:space="0"/>
              <w:bottom w:val="single" w:color="auto" w:sz="2" w:space="0"/>
              <w:right w:val="single" w:color="auto" w:sz="2" w:space="0"/>
              <w:tl2br w:val="nil"/>
              <w:tr2bl w:val="nil"/>
            </w:tcBorders>
            <w:noWrap w:val="0"/>
            <w:vAlign w:val="center"/>
          </w:tcPr>
          <w:p>
            <w:r>
              <w:t>★5</w:t>
            </w:r>
          </w:p>
        </w:tc>
        <w:tc>
          <w:tcPr>
            <w:tcW w:w="8032" w:type="dxa"/>
            <w:tcBorders>
              <w:top w:val="single" w:color="auto" w:sz="4" w:space="0"/>
              <w:left w:val="single" w:color="auto" w:sz="2" w:space="0"/>
              <w:bottom w:val="single" w:color="auto" w:sz="2" w:space="0"/>
              <w:right w:val="single" w:color="auto" w:sz="4" w:space="0"/>
              <w:tl2br w:val="nil"/>
              <w:tr2bl w:val="nil"/>
            </w:tcBorders>
            <w:noWrap w:val="0"/>
            <w:vAlign w:val="center"/>
          </w:tcPr>
          <w:p>
            <w:r>
              <w:t>商务条款要求：见“第五部分 采购内容及要求”</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★6</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投标报价：</w:t>
              <w:br/>
              <w:t>1、本项目最高限价：总价最高限价人民币15300000元/三年；综合单价最高限价人民币85000元/人/年，255000元/人/三年；投标报价超过总价最高限价或综合单价最高限价的作无效投标处理。</w:t>
              <w:br/>
              <w:t>2、投标报价：包括但不限于完成本项目所有服务的人工费【包括人员基本工资、各类福利和补贴（如高温补贴、加班补贴等）、社保（五险）、按规定应缴纳的各类保险、意外伤害险】；人员体检费用；工作服；通讯费；作业工具及耗材；应急或突击任务费用；招标代理服务费、管理费、利润、税费、政策性文件规定及合同包含的所有风险、责任等各项应有的费用，即完成本项目服务涉及的全部费用。</w:t>
              <w:br/>
              <w:t>3、人员基本工资不得低于宁波市人力资源和社会保障局最新发布的宁波市最低劳动工资标准。</w:t>
              <w:br/>
              <w:t>4、合同履约期内，如遇国家最低保障工资和社保基数的政策调整导致合同金额发生变化，中标人可提出申请，经采购人确认和审批同意后方可调整。</w:t>
              <w:br/>
              <w:t>5、不论投标结果如何，投标人均应自行承担所有与投标有关的全部费用。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7</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投标保证金：本项目不需要缴纳投标保证金。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★8</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9</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投标文件组成与份数：</w:t>
              <w:br/>
              <w:t>（1）上传到政府采购云平台的电子加密投标文件（含资格证明文件、技术商务文件、报价文件）1份。</w:t>
              <w:br/>
              <w:t>（2）以U盘存储的电子备份投标文件（含资格证明文件、技术商务文件、报价文件）1份（如有）。</w:t>
              <w:br/>
              <w:t>（3）纸质备份投标文件（如有）：资格证明文件（正本1份，副本1份）、技术商务文件（正本1份，副本1份）、报价文件（正本1份，副本1份）。</w:t>
              <w:br/>
              <w:t>说明：</w:t>
              <w:br/>
              <w:t>（1）“电子加密投标文件”：</w:t>
              <w:br/>
              <w:t>①“电子加密投标文件”是指通过“政采云电子交易客户端”完成投标文件编制后生成并加密的数据电文形式的投标文件。</w:t>
              <w:br/>
              <w:t>②投标人应先安装“政采云电子交易客户端”，并按照本招标文件和“政府采购云平台”的要求，通过“政采云电子交易客户端”编制并加密投标文件。</w:t>
              <w:br/>
              <w:t>（2）“电子备份投标文件”：</w:t>
              <w:br/>
              <w:t>①“电子备份投标文件”是指与“电子加密投标文件”同时生成的数据电文形式的电子文件。</w:t>
              <w:br/>
              <w:t>②投标人可自主选择是否编制“电子备份投标文件”。</w:t>
              <w:br/>
              <w:t>③其他方式编制的备份投标文件视为无效备份投标文件。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★10</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不同投标人的投标文件出自同一终端设备或在相同Internet 主机分配地址（相同IP 地址）网上报名投标的作无效标处理。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11</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开标顺序：先开资格证明文件和技术商务文件，在资格证明文件和技术商务文件评审结束后，公开宣布资格审查情况及技术商务评分分数，接着开启报价文件并唱标。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2" w:space="0"/>
              <w:right w:val="single" w:color="auto" w:sz="2" w:space="0"/>
              <w:tl2br w:val="nil"/>
              <w:tr2bl w:val="nil"/>
            </w:tcBorders>
            <w:noWrap w:val="0"/>
            <w:vAlign w:val="center"/>
          </w:tcPr>
          <w:p>
            <w:r>
              <w:t>12</w:t>
            </w:r>
          </w:p>
        </w:tc>
        <w:tc>
          <w:tcPr>
            <w:tcW w:w="8032" w:type="dxa"/>
            <w:tcBorders>
              <w:top w:val="single" w:color="auto" w:sz="2" w:space="0"/>
              <w:left w:val="single" w:color="auto" w:sz="2" w:space="0"/>
              <w:bottom w:val="single" w:color="auto" w:sz="2" w:space="0"/>
              <w:right w:val="single" w:color="auto" w:sz="4" w:space="0"/>
              <w:tl2br w:val="nil"/>
              <w:tr2bl w:val="nil"/>
            </w:tcBorders>
            <w:noWrap w:val="0"/>
            <w:vAlign w:val="center"/>
          </w:tcPr>
          <w:p>
            <w:r>
              <w:t>按照采购文件确定的事项、采购内容变更的规定、中标人的投标响应、中标人的投标承诺、中标通知书确定的数量和金额签订合同。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4" w:space="0"/>
              <w:right w:val="single" w:color="auto" w:sz="2" w:space="0"/>
              <w:tl2br w:val="nil"/>
              <w:tr2bl w:val="nil"/>
            </w:tcBorders>
            <w:noWrap w:val="0"/>
            <w:vAlign w:val="center"/>
          </w:tcPr>
          <w:p>
            <w:r>
              <w:t>13</w:t>
            </w:r>
          </w:p>
        </w:tc>
        <w:tc>
          <w:tcPr>
            <w:tcW w:w="8032" w:type="dxa"/>
            <w:tcBorders>
              <w:top w:val="single" w:color="auto" w:sz="2" w:space="0"/>
              <w:left w:val="single" w:color="auto" w:sz="2" w:space="0"/>
              <w:bottom w:val="single" w:color="auto" w:sz="4" w:space="0"/>
              <w:right w:val="single" w:color="auto" w:sz="4" w:space="0"/>
              <w:tl2br w:val="nil"/>
              <w:tr2bl w:val="nil"/>
            </w:tcBorders>
            <w:noWrap w:val="0"/>
            <w:vAlign w:val="center"/>
          </w:tcPr>
          <w:p>
            <w:r>
              <w:t>采购公告与中标公告发布网站：浙江省公共资源交易服务平台（zjpubservice.zjzwfw.gov.cn/index.html?citycode=3300）、浙江政府采购网（www.zjzfcg.gov.cn）、宁波政府采购网(www.nbzfcg.cn)、宁波公共资源交易网海曙区分网（http：//haishu.nbggzy.cn/）、中国政府采购网（www.ccgp.gov.cn）（不含预算500万元以下项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52" w:type="dxa"/>
            <w:tcBorders>
              <w:top w:val="single" w:color="auto" w:sz="2" w:space="0"/>
              <w:left w:val="single" w:color="auto" w:sz="4" w:space="0"/>
              <w:bottom w:val="single" w:color="auto" w:sz="4" w:space="0"/>
              <w:right w:val="single" w:color="auto" w:sz="2" w:space="0"/>
              <w:tl2br w:val="nil"/>
              <w:tr2bl w:val="nil"/>
            </w:tcBorders>
            <w:noWrap w:val="0"/>
            <w:vAlign w:val="center"/>
          </w:tcPr>
          <w:p>
            <w:r>
              <w:t>14</w:t>
            </w:r>
          </w:p>
        </w:tc>
        <w:tc>
          <w:tcPr>
            <w:tcW w:w="8032" w:type="dxa"/>
            <w:tcBorders>
              <w:top w:val="single" w:color="auto" w:sz="2" w:space="0"/>
              <w:left w:val="single" w:color="auto" w:sz="2" w:space="0"/>
              <w:bottom w:val="single" w:color="auto" w:sz="4" w:space="0"/>
              <w:right w:val="single" w:color="auto" w:sz="4" w:space="0"/>
              <w:tl2br w:val="nil"/>
              <w:tr2bl w:val="nil"/>
            </w:tcBorders>
            <w:noWrap w:val="0"/>
            <w:vAlign w:val="center"/>
          </w:tcPr>
          <w:p>
            <w:r>
              <w:t>招标服务费：</w:t>
              <w:br/>
              <w:t>1、根据(计价格[2002]1980 号文）计取，以中标通知书确定的金额为基数结合中标下浮率20%计算，由中标人支付。</w:t>
              <w:br/>
              <w:t>2、中标人应在中标结果公示发布之日起5个工作日之内向采购代理机构支付招标服务费。</w:t>
            </w:r>
          </w:p>
        </w:tc>
      </w:tr>
    </w:tbl>
    <w:p>
      <w:pPr>
        <w:widowControl/>
        <w:spacing w:beforeLines="0" w:afterLines="0"/>
        <w:jc w:val="left"/>
        <w:rPr>
          <w:rFonts w:hint="default" w:ascii="宋体" w:hAnsi="宋体" w:cs="宋体"/>
          <w:color w:val="auto"/>
          <w:sz w:val="21"/>
          <w:szCs w:val="24"/>
          <w:highlight w:val="none"/>
          <w:lang w:bidi="ar"/>
        </w:rPr>
      </w:pPr>
      <w:r/>
    </w:p>
    <w:p>
      <w:pPr>
        <w:spacing w:beforeLines="0" w:afterLines="0"/>
        <w:rPr>
          <w:rFonts w:hint="default" w:ascii="宋体" w:hAnsi="宋体"/>
          <w:color w:val="auto"/>
          <w:sz w:val="21"/>
          <w:szCs w:val="24"/>
          <w:highlight w:val="none"/>
        </w:rPr>
      </w:pPr>
      <w:r/>
    </w:p>
    <w:p>
      <w:pPr>
        <w:pStyle w:val="19"/>
        <w:spacing w:beforeLines="0" w:afterLines="0"/>
        <w:rPr>
          <w:rFonts w:hint="default" w:ascii="宋体" w:hAnsi="宋体"/>
          <w:color w:val="auto"/>
          <w:sz w:val="32"/>
          <w:szCs w:val="32"/>
          <w:highlight w:val="none"/>
        </w:rPr>
      </w:pPr>
      <w:r>
        <w:t>第三部分 投标人须知</w:t>
      </w:r>
    </w:p>
    <w:p>
      <w:pPr>
        <w:spacing w:beforeLines="0" w:afterLines="0"/>
        <w:rPr>
          <w:rFonts w:hint="default" w:ascii="宋体" w:hAnsi="宋体"/>
          <w:color w:val="auto"/>
          <w:sz w:val="21"/>
          <w:szCs w:val="24"/>
          <w:highlight w:val="none"/>
        </w:rPr>
      </w:pPr>
      <w:r/>
    </w:p>
    <w:p>
      <w:pPr>
        <w:pStyle w:val="3"/>
        <w:spacing w:beforeLines="0" w:afterLines="0" w:line="360" w:lineRule="auto"/>
        <w:rPr>
          <w:rFonts w:hint="default"/>
          <w:color w:val="auto"/>
          <w:sz w:val="21"/>
          <w:szCs w:val="21"/>
          <w:highlight w:val="none"/>
        </w:rPr>
      </w:pPr>
      <w:r>
        <w:t>一、说明</w:t>
      </w:r>
    </w:p>
    <w:p>
      <w:pPr>
        <w:pStyle w:val="5"/>
        <w:tabs>
          <w:tab w:val="left" w:pos="350"/>
        </w:tabs>
        <w:spacing w:before="0" w:beforeLines="0" w:after="0" w:afterLines="0" w:line="360" w:lineRule="auto"/>
        <w:rPr>
          <w:rFonts w:hint="default"/>
          <w:b w:val="0"/>
          <w:color w:val="auto"/>
          <w:sz w:val="21"/>
          <w:szCs w:val="21"/>
          <w:highlight w:val="none"/>
        </w:rPr>
      </w:pPr>
      <w:r>
        <w:t>1、项目概况</w:t>
      </w:r>
    </w:p>
    <w:p>
      <w:pPr>
        <w:spacing w:beforeLines="0" w:afterLines="0" w:line="360" w:lineRule="auto"/>
        <w:ind w:firstLine="420" w:firstLineChars="200"/>
        <w:rPr>
          <w:rFonts w:hint="default"/>
          <w:color w:val="auto"/>
          <w:sz w:val="21"/>
          <w:szCs w:val="21"/>
          <w:highlight w:val="none"/>
        </w:rPr>
      </w:pPr>
      <w:r>
        <w:t>1.1采购人的项目（载明在《投标资料表》中）已经政府采购行政管理部门批准。采购人委托宁波市盛达工程管理咨询有限公司代理本次招标采购工作。有关采购人、采购代理机构的名称、联系人、电话、传真等信息载明在《投标资料表》中。</w:t>
      </w:r>
    </w:p>
    <w:p>
      <w:pPr>
        <w:spacing w:beforeLines="0" w:afterLines="0" w:line="360" w:lineRule="auto"/>
        <w:ind w:firstLine="420" w:firstLineChars="200"/>
        <w:rPr>
          <w:rFonts w:hint="default"/>
          <w:color w:val="auto"/>
          <w:sz w:val="21"/>
          <w:szCs w:val="21"/>
          <w:highlight w:val="none"/>
        </w:rPr>
      </w:pPr>
      <w:r>
        <w:t>1.2经批准的本次采购方式载明在《投标资料表》中。</w:t>
      </w:r>
    </w:p>
    <w:p>
      <w:pPr>
        <w:pStyle w:val="3"/>
        <w:spacing w:beforeLines="0" w:afterLines="0" w:line="360" w:lineRule="auto"/>
        <w:rPr>
          <w:rFonts w:hint="default"/>
          <w:color w:val="auto"/>
          <w:sz w:val="21"/>
          <w:szCs w:val="21"/>
          <w:highlight w:val="none"/>
        </w:rPr>
      </w:pPr>
      <w:r>
        <w:t>二、投标人</w:t>
      </w:r>
    </w:p>
    <w:p>
      <w:pPr>
        <w:pStyle w:val="5"/>
        <w:tabs>
          <w:tab w:val="left" w:pos="350"/>
        </w:tabs>
        <w:spacing w:before="0" w:beforeLines="0" w:after="0" w:afterLines="0" w:line="360" w:lineRule="auto"/>
        <w:rPr>
          <w:rFonts w:hint="default"/>
          <w:b w:val="0"/>
          <w:color w:val="auto"/>
          <w:sz w:val="21"/>
          <w:szCs w:val="21"/>
          <w:highlight w:val="none"/>
        </w:rPr>
      </w:pPr>
      <w:r>
        <w:t>2、合格的投标人</w:t>
      </w:r>
    </w:p>
    <w:p>
      <w:pPr>
        <w:spacing w:beforeLines="0" w:afterLines="0" w:line="360" w:lineRule="auto"/>
        <w:ind w:firstLine="420" w:firstLineChars="200"/>
        <w:rPr>
          <w:rFonts w:hint="default"/>
          <w:color w:val="auto"/>
          <w:sz w:val="21"/>
          <w:szCs w:val="21"/>
          <w:highlight w:val="none"/>
        </w:rPr>
      </w:pPr>
      <w:r>
        <w:t>2.1投标人应该是符合《投标资料表》的报名条件，符合、承认并承诺履行本采购文件各项要求的具有独立法人资格的中国境内企业或组织。</w:t>
      </w:r>
    </w:p>
    <w:p>
      <w:pPr>
        <w:spacing w:beforeLines="0" w:afterLines="0" w:line="360" w:lineRule="auto"/>
        <w:ind w:firstLine="420" w:firstLineChars="200"/>
        <w:rPr>
          <w:rFonts w:hint="default"/>
          <w:color w:val="auto"/>
          <w:sz w:val="21"/>
          <w:szCs w:val="21"/>
          <w:highlight w:val="none"/>
        </w:rPr>
      </w:pPr>
      <w:r>
        <w:t>2.2参加本次投标活动的投标人应具备以下条件，并遵守国家有关的法律、法令和条例的规定：</w:t>
      </w:r>
    </w:p>
    <w:p>
      <w:pPr>
        <w:tabs>
          <w:tab w:val="left" w:pos="709"/>
        </w:tabs>
        <w:spacing w:beforeLines="0" w:afterLines="0" w:line="360" w:lineRule="auto"/>
        <w:ind w:firstLine="420" w:firstLineChars="200"/>
        <w:rPr>
          <w:rFonts w:hint="default"/>
          <w:color w:val="auto"/>
          <w:sz w:val="21"/>
          <w:szCs w:val="21"/>
          <w:highlight w:val="none"/>
        </w:rPr>
      </w:pPr>
      <w:r>
        <w:t>（1）具有良好的商业信誉和健全的财务会计制度；</w:t>
      </w:r>
    </w:p>
    <w:p>
      <w:pPr>
        <w:tabs>
          <w:tab w:val="left" w:pos="709"/>
        </w:tabs>
        <w:spacing w:beforeLines="0" w:afterLines="0" w:line="360" w:lineRule="auto"/>
        <w:ind w:firstLine="420" w:firstLineChars="200"/>
        <w:rPr>
          <w:rFonts w:hint="default"/>
          <w:color w:val="auto"/>
          <w:sz w:val="21"/>
          <w:szCs w:val="21"/>
          <w:highlight w:val="none"/>
        </w:rPr>
      </w:pPr>
      <w:r>
        <w:t>（2）具有履行合同要求提供服务所必须的设备、人员和专业技术能力；</w:t>
      </w:r>
    </w:p>
    <w:p>
      <w:pPr>
        <w:tabs>
          <w:tab w:val="left" w:pos="709"/>
        </w:tabs>
        <w:spacing w:beforeLines="0" w:afterLines="0" w:line="360" w:lineRule="auto"/>
        <w:ind w:firstLine="420" w:firstLineChars="200"/>
        <w:rPr>
          <w:rFonts w:hint="default"/>
          <w:color w:val="auto"/>
          <w:sz w:val="21"/>
          <w:szCs w:val="21"/>
          <w:highlight w:val="none"/>
        </w:rPr>
      </w:pPr>
      <w:r>
        <w:t>（3）有依法缴纳税收和社会保障资金的良好纪录；</w:t>
      </w:r>
    </w:p>
    <w:p>
      <w:pPr>
        <w:tabs>
          <w:tab w:val="left" w:pos="709"/>
        </w:tabs>
        <w:spacing w:beforeLines="0" w:afterLines="0" w:line="360" w:lineRule="auto"/>
        <w:ind w:firstLine="420" w:firstLineChars="200"/>
        <w:rPr>
          <w:rFonts w:hint="default"/>
          <w:color w:val="auto"/>
          <w:sz w:val="21"/>
          <w:szCs w:val="21"/>
          <w:highlight w:val="none"/>
        </w:rPr>
      </w:pPr>
      <w:r>
        <w:t>（4）参加本次投标活动之前三年内经营活动无重大违法纪录；</w:t>
      </w:r>
    </w:p>
    <w:p>
      <w:pPr>
        <w:tabs>
          <w:tab w:val="left" w:pos="709"/>
        </w:tabs>
        <w:spacing w:beforeLines="0" w:afterLines="0" w:line="360" w:lineRule="auto"/>
        <w:ind w:firstLine="420" w:firstLineChars="200"/>
        <w:rPr>
          <w:rFonts w:hint="default"/>
          <w:color w:val="auto"/>
          <w:sz w:val="21"/>
          <w:szCs w:val="21"/>
          <w:highlight w:val="none"/>
        </w:rPr>
      </w:pPr>
      <w:r>
        <w:t>（5）满足采购人为获得满意服务供应而提出的其他要求。（见采购文件中资格要求）</w:t>
      </w:r>
    </w:p>
    <w:p>
      <w:pPr>
        <w:tabs>
          <w:tab w:val="left" w:pos="709"/>
        </w:tabs>
        <w:spacing w:beforeLines="0" w:afterLines="0" w:line="360" w:lineRule="auto"/>
        <w:ind w:firstLine="420" w:firstLineChars="200"/>
        <w:rPr>
          <w:rFonts w:hint="default"/>
          <w:color w:val="auto"/>
          <w:sz w:val="21"/>
          <w:szCs w:val="21"/>
          <w:highlight w:val="none"/>
        </w:rPr>
      </w:pPr>
      <w:r>
        <w:t>（6）单位负责人为同一人或者存在直接控股、管理关系的不同投标人，不得参加同一合同项下的政府采购活动；</w:t>
      </w:r>
    </w:p>
    <w:p>
      <w:pPr>
        <w:tabs>
          <w:tab w:val="left" w:pos="709"/>
        </w:tabs>
        <w:spacing w:beforeLines="0" w:afterLines="0" w:line="360" w:lineRule="auto"/>
        <w:ind w:firstLine="420" w:firstLineChars="200"/>
        <w:rPr>
          <w:rFonts w:hint="default"/>
          <w:color w:val="auto"/>
          <w:sz w:val="21"/>
          <w:szCs w:val="21"/>
          <w:highlight w:val="none"/>
        </w:rPr>
      </w:pPr>
      <w:r>
        <w:t>（7）除单一来源采购项目外，为采购项目提供整体设计、规范编制或者项目管理、监理、检测等服务的投标人，不得再参加该采购项目的其他采购活动。</w:t>
      </w:r>
    </w:p>
    <w:p>
      <w:pPr>
        <w:tabs>
          <w:tab w:val="left" w:pos="709"/>
        </w:tabs>
        <w:spacing w:beforeLines="0" w:afterLines="0" w:line="360" w:lineRule="auto"/>
        <w:ind w:firstLine="420" w:firstLineChars="200"/>
        <w:rPr>
          <w:rFonts w:hint="default"/>
          <w:color w:val="auto"/>
          <w:sz w:val="21"/>
          <w:szCs w:val="21"/>
          <w:highlight w:val="none"/>
        </w:rPr>
      </w:pPr>
      <w:r>
        <w:t>具体详见第一部分  采购公告。</w:t>
      </w:r>
    </w:p>
    <w:p>
      <w:pPr>
        <w:pStyle w:val="5"/>
        <w:tabs>
          <w:tab w:val="left" w:pos="350"/>
        </w:tabs>
        <w:spacing w:before="0" w:beforeLines="0" w:after="0" w:afterLines="0" w:line="360" w:lineRule="auto"/>
        <w:rPr>
          <w:rFonts w:hint="default"/>
          <w:b w:val="0"/>
          <w:color w:val="auto"/>
          <w:sz w:val="21"/>
          <w:szCs w:val="21"/>
          <w:highlight w:val="none"/>
        </w:rPr>
      </w:pPr>
      <w:r>
        <w:t>3、投标人代表</w:t>
      </w:r>
    </w:p>
    <w:p>
      <w:pPr>
        <w:tabs>
          <w:tab w:val="left" w:pos="709"/>
        </w:tabs>
        <w:spacing w:beforeLines="0" w:afterLines="0" w:line="360" w:lineRule="auto"/>
        <w:ind w:firstLine="420" w:firstLineChars="200"/>
        <w:rPr>
          <w:rFonts w:hint="default"/>
          <w:color w:val="auto"/>
          <w:sz w:val="21"/>
          <w:szCs w:val="21"/>
          <w:highlight w:val="none"/>
        </w:rPr>
      </w:pPr>
      <w:r>
        <w:t>若投标人为具有独立法人资格的中国境内企业或组织必须为该企业或组织的人员，若投标人为自然人必须为中国合法公民。</w:t>
      </w:r>
    </w:p>
    <w:p>
      <w:pPr>
        <w:pStyle w:val="5"/>
        <w:tabs>
          <w:tab w:val="left" w:pos="350"/>
        </w:tabs>
        <w:spacing w:before="0" w:beforeLines="0" w:after="0" w:afterLines="0" w:line="360" w:lineRule="auto"/>
        <w:rPr>
          <w:rFonts w:hint="default"/>
          <w:b w:val="0"/>
          <w:color w:val="auto"/>
          <w:sz w:val="21"/>
          <w:szCs w:val="21"/>
          <w:highlight w:val="none"/>
        </w:rPr>
      </w:pPr>
      <w:r>
        <w:t>4、投标费用</w:t>
      </w:r>
    </w:p>
    <w:p>
      <w:pPr>
        <w:tabs>
          <w:tab w:val="left" w:pos="709"/>
        </w:tabs>
        <w:spacing w:beforeLines="0" w:afterLines="0" w:line="360" w:lineRule="auto"/>
        <w:ind w:firstLine="420" w:firstLineChars="200"/>
        <w:rPr>
          <w:rFonts w:hint="default"/>
          <w:color w:val="auto"/>
          <w:sz w:val="21"/>
          <w:szCs w:val="21"/>
          <w:highlight w:val="none"/>
        </w:rPr>
      </w:pPr>
      <w:r>
        <w:t>不论招标的结果如何，投标人自行承担其参加本次投标有关的全部费用。</w:t>
      </w:r>
    </w:p>
    <w:p>
      <w:pPr>
        <w:pStyle w:val="5"/>
        <w:tabs>
          <w:tab w:val="left" w:pos="350"/>
        </w:tabs>
        <w:spacing w:before="0" w:beforeLines="0" w:after="0" w:afterLines="0" w:line="360" w:lineRule="auto"/>
        <w:rPr>
          <w:rFonts w:hint="default"/>
          <w:b w:val="0"/>
          <w:color w:val="auto"/>
          <w:sz w:val="21"/>
          <w:szCs w:val="21"/>
          <w:highlight w:val="none"/>
        </w:rPr>
      </w:pPr>
      <w:r>
        <w:t>5、特别说明（针对货物采购）：</w:t>
      </w:r>
    </w:p>
    <w:p>
      <w:pPr>
        <w:tabs>
          <w:tab w:val="left" w:pos="709"/>
        </w:tabs>
        <w:spacing w:beforeLines="0" w:afterLines="0" w:line="360" w:lineRule="auto"/>
        <w:ind w:firstLine="420" w:firstLineChars="200"/>
        <w:rPr>
          <w:rFonts w:hint="default"/>
          <w:b/>
          <w:color w:val="auto"/>
          <w:sz w:val="21"/>
          <w:szCs w:val="21"/>
          <w:highlight w:val="none"/>
          <w:u w:val="single"/>
        </w:rPr>
      </w:pP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pStyle w:val="3"/>
        <w:spacing w:beforeLines="0" w:afterLines="0" w:line="360" w:lineRule="auto"/>
        <w:rPr>
          <w:rFonts w:hint="default"/>
          <w:color w:val="auto"/>
          <w:sz w:val="21"/>
          <w:szCs w:val="21"/>
          <w:highlight w:val="none"/>
        </w:rPr>
      </w:pPr>
      <w:r>
        <w:t>三、采购文件</w:t>
      </w:r>
    </w:p>
    <w:p>
      <w:pPr>
        <w:spacing w:beforeLines="0" w:afterLines="0" w:line="360" w:lineRule="auto"/>
        <w:rPr>
          <w:rFonts w:hint="default"/>
          <w:color w:val="auto"/>
          <w:sz w:val="21"/>
          <w:szCs w:val="21"/>
          <w:highlight w:val="none"/>
        </w:rPr>
      </w:pPr>
      <w:r>
        <w:t>6、采购文件的构成</w:t>
      </w:r>
    </w:p>
    <w:p>
      <w:pPr>
        <w:tabs>
          <w:tab w:val="left" w:pos="709"/>
        </w:tabs>
        <w:spacing w:beforeLines="0" w:afterLines="0" w:line="360" w:lineRule="auto"/>
        <w:ind w:firstLine="420" w:firstLineChars="200"/>
        <w:rPr>
          <w:rFonts w:hint="default"/>
          <w:color w:val="auto"/>
          <w:sz w:val="21"/>
          <w:szCs w:val="21"/>
          <w:highlight w:val="none"/>
        </w:rPr>
      </w:pPr>
      <w:r>
        <w:t>采购文件含有以下部分，文本条款装订成册。内容如下：</w:t>
      </w:r>
    </w:p>
    <w:p>
      <w:pPr>
        <w:spacing w:beforeLines="0" w:afterLines="0" w:line="360" w:lineRule="auto"/>
        <w:ind w:firstLine="420" w:firstLineChars="200"/>
        <w:rPr>
          <w:rFonts w:hint="default"/>
          <w:color w:val="auto"/>
          <w:sz w:val="21"/>
          <w:szCs w:val="21"/>
          <w:highlight w:val="none"/>
        </w:rPr>
      </w:pPr>
      <w:r>
        <w:t>第一部分 采购公告</w:t>
      </w:r>
    </w:p>
    <w:p>
      <w:pPr>
        <w:spacing w:beforeLines="0" w:afterLines="0" w:line="360" w:lineRule="auto"/>
        <w:ind w:firstLine="420" w:firstLineChars="200"/>
        <w:rPr>
          <w:rFonts w:hint="default"/>
          <w:color w:val="auto"/>
          <w:sz w:val="21"/>
          <w:szCs w:val="21"/>
          <w:highlight w:val="none"/>
        </w:rPr>
      </w:pPr>
      <w:r>
        <w:t>第二部分 投标资料表</w:t>
      </w:r>
    </w:p>
    <w:p>
      <w:pPr>
        <w:spacing w:beforeLines="0" w:afterLines="0" w:line="360" w:lineRule="auto"/>
        <w:ind w:firstLine="420" w:firstLineChars="200"/>
        <w:rPr>
          <w:rFonts w:hint="default"/>
          <w:color w:val="auto"/>
          <w:sz w:val="21"/>
          <w:szCs w:val="21"/>
          <w:highlight w:val="none"/>
        </w:rPr>
      </w:pPr>
      <w:r>
        <w:t>第三部分 投标人须知</w:t>
      </w:r>
    </w:p>
    <w:p>
      <w:pPr>
        <w:spacing w:beforeLines="0" w:afterLines="0" w:line="360" w:lineRule="auto"/>
        <w:ind w:firstLine="420" w:firstLineChars="200"/>
        <w:rPr>
          <w:rFonts w:hint="default"/>
          <w:color w:val="auto"/>
          <w:sz w:val="21"/>
          <w:szCs w:val="21"/>
          <w:highlight w:val="none"/>
        </w:rPr>
      </w:pPr>
      <w:r>
        <w:t>第四部分 评标办法及标准</w:t>
      </w:r>
    </w:p>
    <w:p>
      <w:pPr>
        <w:spacing w:beforeLines="0" w:afterLines="0" w:line="360" w:lineRule="auto"/>
        <w:ind w:firstLine="420" w:firstLineChars="200"/>
        <w:rPr>
          <w:rFonts w:hint="default"/>
          <w:color w:val="auto"/>
          <w:sz w:val="21"/>
          <w:szCs w:val="21"/>
          <w:highlight w:val="none"/>
        </w:rPr>
      </w:pPr>
      <w:r>
        <w:t>第五部分 采购内容及要求</w:t>
      </w:r>
    </w:p>
    <w:p>
      <w:pPr>
        <w:spacing w:beforeLines="0" w:afterLines="0" w:line="360" w:lineRule="auto"/>
        <w:ind w:firstLine="420" w:firstLineChars="200"/>
        <w:rPr>
          <w:rFonts w:hint="default"/>
          <w:color w:val="auto"/>
          <w:sz w:val="21"/>
          <w:szCs w:val="21"/>
          <w:highlight w:val="none"/>
        </w:rPr>
      </w:pPr>
      <w:r>
        <w:t>第六部分 拟签订的合同文本</w:t>
      </w:r>
    </w:p>
    <w:p>
      <w:pPr>
        <w:spacing w:beforeLines="0" w:afterLines="0" w:line="360" w:lineRule="auto"/>
        <w:ind w:firstLine="420" w:firstLineChars="200"/>
        <w:rPr>
          <w:rFonts w:hint="default"/>
          <w:color w:val="auto"/>
          <w:sz w:val="21"/>
          <w:szCs w:val="21"/>
          <w:highlight w:val="none"/>
        </w:rPr>
      </w:pPr>
      <w:r>
        <w:t>第七部分 格式与表格</w:t>
      </w:r>
    </w:p>
    <w:p>
      <w:pPr>
        <w:tabs>
          <w:tab w:val="left" w:pos="709"/>
        </w:tabs>
        <w:spacing w:beforeLines="0" w:afterLines="0" w:line="360" w:lineRule="auto"/>
        <w:ind w:firstLine="420" w:firstLineChars="200"/>
        <w:rPr>
          <w:rFonts w:hint="default"/>
          <w:color w:val="auto"/>
          <w:sz w:val="21"/>
          <w:szCs w:val="21"/>
          <w:highlight w:val="none"/>
        </w:rPr>
      </w:pPr>
      <w:r>
        <w:t>投标人应详细阅读采购文件的全部内容和要求，不按采购文件的要求递交投标文件和资料导致的风险由投标人承担。</w:t>
      </w:r>
    </w:p>
    <w:p>
      <w:pPr>
        <w:spacing w:beforeLines="0" w:afterLines="0" w:line="360" w:lineRule="auto"/>
        <w:rPr>
          <w:rFonts w:hint="default"/>
          <w:color w:val="auto"/>
          <w:sz w:val="21"/>
          <w:szCs w:val="21"/>
          <w:highlight w:val="none"/>
        </w:rPr>
      </w:pPr>
      <w:r>
        <w:t>7、质疑与投诉</w:t>
      </w:r>
    </w:p>
    <w:p>
      <w:pPr>
        <w:tabs>
          <w:tab w:val="left" w:pos="709"/>
        </w:tabs>
        <w:spacing w:beforeLines="0" w:afterLines="0" w:line="360" w:lineRule="auto"/>
        <w:ind w:firstLine="420" w:firstLineChars="200"/>
        <w:rPr>
          <w:rFonts w:hint="default"/>
          <w:color w:val="auto"/>
          <w:sz w:val="21"/>
          <w:szCs w:val="21"/>
          <w:highlight w:val="none"/>
        </w:rPr>
      </w:pPr>
      <w:r>
        <w:t>7.1</w:t>
        <w:tab/>
        <w:t>投标人认为采购文件、采购过程和中标、成交结果使自己的权益受到损害的，可以在知道或者应知其权益受到损害之日起七个工作日内，以书面形式向采购人、采购机构提出质疑（注：投标人须在法定质疑期内一次性提出针对同一采购程序环节的质疑）。潜在投标人的书面质疑或澄清要求均应加盖单位公章，署明日期。投标人未按规定要求提出的，则视同认可采购文件，但法律法规及规范性文件有明确规定的除外。投标人对采购机构的质疑答复不满意或者采购机构未在规定时间内作出答复的，可以在答复期满后十五个工作日内向同级政府采购监督管理部门投诉。</w:t>
      </w:r>
    </w:p>
    <w:p>
      <w:pPr>
        <w:tabs>
          <w:tab w:val="left" w:pos="709"/>
        </w:tabs>
        <w:spacing w:beforeLines="0" w:afterLines="0" w:line="360" w:lineRule="auto"/>
        <w:ind w:firstLine="420" w:firstLineChars="200"/>
        <w:rPr>
          <w:rFonts w:hint="default"/>
          <w:color w:val="auto"/>
          <w:sz w:val="21"/>
          <w:szCs w:val="21"/>
          <w:highlight w:val="none"/>
        </w:rPr>
      </w:pPr>
      <w:r>
        <w:t>7.2</w:t>
        <w:tab/>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tabs>
          <w:tab w:val="left" w:pos="709"/>
        </w:tabs>
        <w:spacing w:beforeLines="0" w:afterLines="0" w:line="360" w:lineRule="auto"/>
        <w:ind w:firstLine="420" w:firstLineChars="200"/>
        <w:rPr>
          <w:rFonts w:hint="default"/>
          <w:color w:val="auto"/>
          <w:sz w:val="21"/>
          <w:szCs w:val="21"/>
          <w:highlight w:val="none"/>
        </w:rPr>
      </w:pPr>
      <w:r>
        <w:t>7.3</w:t>
        <w:tab/>
        <w:t>采购代理机构发送的答疑文件是采购文件的组成部分，对投标人具有约束力。</w:t>
      </w:r>
    </w:p>
    <w:p>
      <w:pPr>
        <w:tabs>
          <w:tab w:val="left" w:pos="709"/>
        </w:tabs>
        <w:spacing w:beforeLines="0" w:afterLines="0" w:line="360" w:lineRule="auto"/>
        <w:ind w:firstLine="420" w:firstLineChars="200"/>
        <w:rPr>
          <w:rFonts w:hint="default"/>
          <w:color w:val="auto"/>
          <w:sz w:val="21"/>
          <w:szCs w:val="21"/>
          <w:highlight w:val="none"/>
        </w:rPr>
      </w:pPr>
      <w:r>
        <w:t>7.4未尽事宜，见《政府采购质疑和投诉办法》（中华人民共和国财政部令第94号）。</w:t>
      </w:r>
    </w:p>
    <w:bookmarkEnd w:id="56"/>
    <w:p>
      <w:pPr>
        <w:spacing w:beforeLines="0" w:afterLines="0" w:line="360" w:lineRule="auto"/>
        <w:rPr>
          <w:rFonts w:hint="default"/>
          <w:color w:val="auto"/>
          <w:sz w:val="21"/>
          <w:szCs w:val="21"/>
          <w:highlight w:val="none"/>
        </w:rPr>
      </w:pPr>
      <w:r>
        <w:t>8、采购文件的澄清与修改</w:t>
      </w:r>
    </w:p>
    <w:p>
      <w:pPr>
        <w:tabs>
          <w:tab w:val="left" w:pos="709"/>
        </w:tabs>
        <w:spacing w:beforeLines="0" w:afterLines="0" w:line="360" w:lineRule="auto"/>
        <w:ind w:firstLine="420" w:firstLineChars="200"/>
        <w:rPr>
          <w:rFonts w:hint="default"/>
          <w:color w:val="auto"/>
          <w:sz w:val="21"/>
          <w:szCs w:val="21"/>
          <w:highlight w:val="none"/>
        </w:rPr>
      </w:pPr>
      <w: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tabs>
          <w:tab w:val="left" w:pos="709"/>
        </w:tabs>
        <w:spacing w:beforeLines="0" w:afterLines="0" w:line="360" w:lineRule="auto"/>
        <w:ind w:firstLine="420" w:firstLineChars="200"/>
        <w:rPr>
          <w:rFonts w:hint="default"/>
          <w:color w:val="auto"/>
          <w:sz w:val="21"/>
          <w:szCs w:val="21"/>
          <w:highlight w:val="none"/>
        </w:rPr>
      </w:pPr>
      <w: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tabs>
          <w:tab w:val="left" w:pos="709"/>
        </w:tabs>
        <w:spacing w:beforeLines="0" w:afterLines="0" w:line="360" w:lineRule="auto"/>
        <w:ind w:firstLine="420" w:firstLineChars="200"/>
        <w:rPr>
          <w:rFonts w:hint="default"/>
          <w:color w:val="auto"/>
          <w:sz w:val="21"/>
          <w:szCs w:val="21"/>
          <w:highlight w:val="none"/>
        </w:rPr>
      </w:pPr>
      <w:r>
        <w:t>8.2采购代理机构必须以书面形式答复投标人要求澄清的问题，并将不包含问题来源的答复书面通知所有获取采购文件的投标人；除书面答复以外的其他澄清方式及澄清内容均无效。</w:t>
      </w:r>
    </w:p>
    <w:p>
      <w:pPr>
        <w:tabs>
          <w:tab w:val="left" w:pos="709"/>
        </w:tabs>
        <w:spacing w:beforeLines="0" w:afterLines="0" w:line="360" w:lineRule="auto"/>
        <w:ind w:firstLine="420" w:firstLineChars="200"/>
        <w:rPr>
          <w:rFonts w:hint="default"/>
          <w:color w:val="auto"/>
          <w:sz w:val="21"/>
          <w:szCs w:val="21"/>
          <w:highlight w:val="none"/>
        </w:rPr>
      </w:pPr>
      <w:r>
        <w:t>8.3采购文件澄清、答复、修改、补充的内容为采购文件的组成部分。当采购文件与采购文件的答复、澄清、修改、补充通知就同一内容的表述不一致时，以最后发出的书面文件为准。</w:t>
      </w:r>
    </w:p>
    <w:p>
      <w:pPr>
        <w:tabs>
          <w:tab w:val="left" w:pos="709"/>
        </w:tabs>
        <w:spacing w:beforeLines="0" w:afterLines="0" w:line="360" w:lineRule="auto"/>
        <w:ind w:firstLine="420" w:firstLineChars="200"/>
        <w:rPr>
          <w:rFonts w:hint="default"/>
          <w:color w:val="auto"/>
          <w:sz w:val="21"/>
          <w:szCs w:val="21"/>
          <w:highlight w:val="none"/>
        </w:rPr>
      </w:pPr>
      <w:r>
        <w:t>8.4采购文件的澄清、答复、修改或补充都应该通过本代理机构以法定形式发布，采购人非通过本机构，不得擅自澄清、答复、修改或补充采购文件。</w:t>
      </w:r>
    </w:p>
    <w:p>
      <w:pPr>
        <w:tabs>
          <w:tab w:val="left" w:pos="709"/>
        </w:tabs>
        <w:spacing w:beforeLines="0" w:afterLines="0" w:line="360" w:lineRule="auto"/>
        <w:ind w:firstLine="420" w:firstLineChars="200"/>
        <w:rPr>
          <w:rFonts w:hint="default"/>
          <w:color w:val="auto"/>
          <w:sz w:val="21"/>
          <w:szCs w:val="21"/>
          <w:highlight w:val="none"/>
        </w:rPr>
      </w:pPr>
      <w:r>
        <w:t>9、关于分公司投标</w:t>
      </w:r>
    </w:p>
    <w:p>
      <w:pPr>
        <w:tabs>
          <w:tab w:val="left" w:pos="709"/>
        </w:tabs>
        <w:spacing w:beforeLines="0" w:afterLines="0" w:line="360" w:lineRule="auto"/>
        <w:ind w:firstLine="420" w:firstLineChars="200"/>
        <w:rPr>
          <w:rFonts w:hint="default"/>
          <w:color w:val="auto"/>
          <w:sz w:val="21"/>
          <w:szCs w:val="21"/>
          <w:highlight w:val="none"/>
        </w:rPr>
      </w:pPr>
      <w:r>
        <w:t xml:space="preserve">除金融、保险、通讯等特定行业外，法人的分支机构由于不能独立承担民事责任，不能以分支机构的身份参加政府采购，只能法人身份参加。 </w:t>
      </w:r>
    </w:p>
    <w:p>
      <w:pPr>
        <w:tabs>
          <w:tab w:val="left" w:pos="709"/>
        </w:tabs>
        <w:spacing w:beforeLines="0" w:afterLines="0" w:line="360" w:lineRule="auto"/>
        <w:ind w:firstLine="420" w:firstLineChars="200"/>
        <w:rPr>
          <w:rFonts w:hint="default"/>
          <w:color w:val="auto"/>
          <w:sz w:val="21"/>
          <w:szCs w:val="21"/>
          <w:highlight w:val="none"/>
        </w:rPr>
      </w:pPr>
      <w:r>
        <w:t>10、关于知识产权</w:t>
      </w:r>
    </w:p>
    <w:p>
      <w:pPr>
        <w:tabs>
          <w:tab w:val="left" w:pos="709"/>
        </w:tabs>
        <w:spacing w:beforeLines="0" w:afterLines="0" w:line="360" w:lineRule="auto"/>
        <w:ind w:firstLine="420" w:firstLineChars="200"/>
        <w:rPr>
          <w:rFonts w:hint="default"/>
          <w:color w:val="auto"/>
          <w:sz w:val="21"/>
          <w:szCs w:val="21"/>
          <w:highlight w:val="none"/>
        </w:rPr>
      </w:pPr>
      <w:r>
        <w:t>10.1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tabs>
          <w:tab w:val="left" w:pos="709"/>
        </w:tabs>
        <w:spacing w:beforeLines="0" w:afterLines="0" w:line="360" w:lineRule="auto"/>
        <w:ind w:firstLine="420" w:firstLineChars="200"/>
        <w:rPr>
          <w:rFonts w:hint="default"/>
          <w:color w:val="auto"/>
          <w:sz w:val="21"/>
          <w:szCs w:val="21"/>
          <w:highlight w:val="none"/>
        </w:rPr>
      </w:pPr>
      <w:r>
        <w:t>10.2投标报价应包含所有应向所有权人支付的专利权、商标权或其它知识产权的一切相关费用。</w:t>
      </w:r>
    </w:p>
    <w:p>
      <w:pPr>
        <w:tabs>
          <w:tab w:val="left" w:pos="709"/>
        </w:tabs>
        <w:spacing w:beforeLines="0" w:afterLines="0" w:line="360" w:lineRule="auto"/>
        <w:ind w:firstLine="420" w:firstLineChars="200"/>
        <w:rPr>
          <w:rFonts w:hint="default"/>
          <w:color w:val="auto"/>
          <w:sz w:val="21"/>
          <w:szCs w:val="21"/>
          <w:highlight w:val="none"/>
        </w:rPr>
      </w:pPr>
      <w:r>
        <w:t>10.3系统软件、通用软件必须是具有在中国境内的合法使用权或版权的正版软件，涉及到第三方提出侵权或知识产权的起诉及支付版税等费用由投标人承担所有责任及费用。</w:t>
      </w:r>
    </w:p>
    <w:p>
      <w:pPr>
        <w:pStyle w:val="3"/>
        <w:spacing w:beforeLines="0" w:afterLines="0" w:line="360" w:lineRule="auto"/>
        <w:rPr>
          <w:rFonts w:hint="default"/>
          <w:color w:val="auto"/>
          <w:sz w:val="21"/>
          <w:szCs w:val="21"/>
          <w:highlight w:val="none"/>
        </w:rPr>
      </w:pPr>
      <w:r>
        <w:t>四、投标文件</w:t>
      </w:r>
    </w:p>
    <w:p>
      <w:pPr>
        <w:spacing w:beforeLines="0" w:afterLines="0" w:line="360" w:lineRule="auto"/>
        <w:rPr>
          <w:rFonts w:hint="default"/>
          <w:color w:val="auto"/>
          <w:sz w:val="21"/>
          <w:szCs w:val="21"/>
          <w:highlight w:val="none"/>
        </w:rPr>
      </w:pPr>
      <w:r>
        <w:t>11、投标文件的组成</w:t>
      </w:r>
    </w:p>
    <w:p>
      <w:pPr>
        <w:tabs>
          <w:tab w:val="left" w:pos="709"/>
        </w:tabs>
        <w:spacing w:beforeLines="0" w:afterLines="0" w:line="360" w:lineRule="auto"/>
        <w:ind w:firstLine="420" w:firstLineChars="200"/>
        <w:rPr>
          <w:rFonts w:hint="default"/>
          <w:color w:val="auto"/>
          <w:sz w:val="21"/>
          <w:szCs w:val="21"/>
          <w:highlight w:val="none"/>
        </w:rPr>
      </w:pPr>
      <w:r>
        <w:t>11.1投标文件分为资格证明文件、报价文件、技术商务文件三部分；</w:t>
      </w:r>
    </w:p>
    <w:p>
      <w:pPr>
        <w:tabs>
          <w:tab w:val="left" w:pos="1418"/>
        </w:tabs>
        <w:spacing w:beforeLines="0" w:afterLines="0" w:line="360" w:lineRule="auto"/>
        <w:ind w:firstLine="422" w:firstLineChars="200"/>
        <w:rPr>
          <w:rFonts w:hint="default"/>
          <w:b/>
          <w:i/>
          <w:color w:val="auto"/>
          <w:sz w:val="21"/>
          <w:szCs w:val="21"/>
          <w:highlight w:val="none"/>
        </w:rPr>
      </w:pPr>
      <w:r>
        <w:t>资格证明文件包含但不限于以下文件：</w:t>
      </w:r>
    </w:p>
    <w:p>
      <w:pPr>
        <w:tabs>
          <w:tab w:val="left" w:pos="1418"/>
        </w:tabs>
        <w:spacing w:beforeLines="0" w:afterLines="0" w:line="360" w:lineRule="auto"/>
        <w:ind w:firstLine="420" w:firstLineChars="200"/>
        <w:rPr>
          <w:rFonts w:hint="default"/>
          <w:color w:val="auto"/>
          <w:sz w:val="21"/>
          <w:szCs w:val="21"/>
          <w:highlight w:val="none"/>
        </w:rPr>
      </w:pPr>
      <w:r>
        <w:t>（1）供应商资格声明函（格式详见第六章 响应文件格式）；</w:t>
      </w:r>
    </w:p>
    <w:p>
      <w:pPr>
        <w:tabs>
          <w:tab w:val="left" w:pos="1418"/>
        </w:tabs>
        <w:spacing w:beforeLines="0" w:afterLines="0" w:line="360" w:lineRule="auto"/>
        <w:ind w:left="420"/>
        <w:rPr>
          <w:rFonts w:hint="default"/>
          <w:color w:val="auto"/>
          <w:sz w:val="21"/>
          <w:szCs w:val="21"/>
          <w:highlight w:val="none"/>
        </w:rPr>
      </w:pPr>
      <w:r>
        <w:t>（2）有效的企业法人营业执照（或事业法人登记证）、其他组织（个体工商户）的营业执照或者民办非企业单位登记证书复印件（加盖公章）；投标供应商如果有名称变更的，应提供由行政主管部门出具的变更证明文件。若以不具有独立承担民事责任能力的分支机构投标，须取得具有法人资格的总公司的授权书，并提供总公司营业执照副本复印件；</w:t>
      </w:r>
    </w:p>
    <w:p>
      <w:pPr>
        <w:tabs>
          <w:tab w:val="left" w:pos="1418"/>
        </w:tabs>
        <w:spacing w:beforeLines="0" w:afterLines="0" w:line="360" w:lineRule="auto"/>
        <w:ind w:left="420"/>
        <w:rPr>
          <w:rFonts w:hint="default"/>
          <w:color w:val="auto"/>
          <w:sz w:val="21"/>
          <w:szCs w:val="21"/>
          <w:highlight w:val="none"/>
        </w:rPr>
      </w:pPr>
      <w:r>
        <w:t>（3）供应商特定资格条件的证明文件：详见“第一章  采购公告 二、申请人的资格要求：3.本项目的特定资格要求”；</w:t>
      </w:r>
    </w:p>
    <w:p>
      <w:pPr>
        <w:tabs>
          <w:tab w:val="left" w:pos="1418"/>
        </w:tabs>
        <w:spacing w:beforeLines="0" w:afterLines="0" w:line="360" w:lineRule="auto"/>
        <w:ind w:left="420"/>
        <w:rPr>
          <w:rFonts w:hint="default"/>
          <w:color w:val="auto"/>
          <w:sz w:val="21"/>
          <w:szCs w:val="21"/>
          <w:highlight w:val="none"/>
        </w:rPr>
      </w:pPr>
      <w:r>
        <w:t>（4）中小企业声明函【格式见附件。如为残疾人福利性单位，可改为提供残疾人福利性单位声明函；如为监狱企业，可改为提供由省级以上监狱管理局、戒毒管理局（含新疆生产建设兵团）出具的属于监狱企业的证明文件】；</w:t>
      </w:r>
    </w:p>
    <w:p>
      <w:pPr>
        <w:tabs>
          <w:tab w:val="left" w:pos="1418"/>
        </w:tabs>
        <w:spacing w:beforeLines="0" w:afterLines="0" w:line="360" w:lineRule="auto"/>
        <w:ind w:left="420"/>
        <w:rPr>
          <w:rFonts w:hint="default"/>
          <w:color w:val="auto"/>
          <w:sz w:val="21"/>
          <w:szCs w:val="21"/>
          <w:highlight w:val="none"/>
        </w:rPr>
      </w:pPr>
      <w:r>
        <w:t>（5）投标人认为需要提交的其他文件资料。</w:t>
      </w:r>
    </w:p>
    <w:p>
      <w:pPr>
        <w:tabs>
          <w:tab w:val="left" w:pos="1418"/>
        </w:tabs>
        <w:spacing w:beforeLines="0" w:afterLines="0" w:line="360" w:lineRule="auto"/>
        <w:ind w:left="420"/>
        <w:rPr>
          <w:rFonts w:hint="default"/>
          <w:color w:val="auto"/>
          <w:sz w:val="21"/>
          <w:szCs w:val="21"/>
          <w:highlight w:val="none"/>
        </w:rPr>
      </w:pPr>
      <w:r>
        <w:t>注：采购人或采购代理机构在资格审查时，通过“信用中国”网站（www.creditchina.gov.cn）、中国政府采购网（www.ccgp.gov.cn）等渠道查询投标人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bookmarkEnd w:id="63"/>
    <w:bookmarkEnd w:id="69"/>
    <w:p>
      <w:pPr>
        <w:tabs>
          <w:tab w:val="left" w:pos="1418"/>
        </w:tabs>
        <w:spacing w:beforeLines="0" w:afterLines="0" w:line="360" w:lineRule="auto"/>
        <w:ind w:firstLine="422" w:firstLineChars="200"/>
        <w:rPr>
          <w:rFonts w:hint="default"/>
          <w:b/>
          <w:i/>
          <w:color w:val="auto"/>
          <w:sz w:val="21"/>
          <w:szCs w:val="21"/>
          <w:highlight w:val="none"/>
        </w:rPr>
      </w:pPr>
      <w:r>
        <w:t>报价文件包含但不限于以下文件：</w:t>
      </w:r>
    </w:p>
    <w:p>
      <w:pPr>
        <w:tabs>
          <w:tab w:val="left" w:pos="1418"/>
        </w:tabs>
        <w:spacing w:beforeLines="0" w:afterLines="0" w:line="360" w:lineRule="auto"/>
        <w:ind w:firstLine="420" w:firstLineChars="200"/>
        <w:rPr>
          <w:rFonts w:hint="default"/>
          <w:color w:val="auto"/>
          <w:sz w:val="21"/>
          <w:szCs w:val="21"/>
          <w:highlight w:val="none"/>
        </w:rPr>
      </w:pPr>
      <w:r>
        <w:t>（1）投标函（附：招标服务费支付承诺书）（格式见附件）；</w:t>
      </w:r>
    </w:p>
    <w:p>
      <w:pPr>
        <w:tabs>
          <w:tab w:val="left" w:pos="1418"/>
        </w:tabs>
        <w:spacing w:beforeLines="0" w:afterLines="0" w:line="360" w:lineRule="auto"/>
        <w:ind w:firstLine="420" w:firstLineChars="200"/>
        <w:rPr>
          <w:rFonts w:hint="default"/>
          <w:color w:val="auto"/>
          <w:sz w:val="21"/>
          <w:szCs w:val="21"/>
          <w:highlight w:val="none"/>
        </w:rPr>
      </w:pPr>
      <w:r>
        <w:t>（2）开标一览表（格式见附件）；</w:t>
      </w:r>
    </w:p>
    <w:p>
      <w:pPr>
        <w:tabs>
          <w:tab w:val="left" w:pos="1418"/>
        </w:tabs>
        <w:spacing w:beforeLines="0" w:afterLines="0" w:line="360" w:lineRule="auto"/>
        <w:ind w:firstLine="420" w:firstLineChars="200"/>
        <w:rPr>
          <w:rFonts w:hint="default"/>
          <w:color w:val="auto"/>
          <w:sz w:val="21"/>
          <w:szCs w:val="21"/>
          <w:highlight w:val="none"/>
        </w:rPr>
      </w:pPr>
      <w:r>
        <w:t>（3）分项报价表（格式自拟）；</w:t>
      </w:r>
    </w:p>
    <w:p>
      <w:pPr>
        <w:tabs>
          <w:tab w:val="left" w:pos="1418"/>
        </w:tabs>
        <w:spacing w:beforeLines="0" w:afterLines="0" w:line="360" w:lineRule="auto"/>
        <w:ind w:firstLine="420" w:firstLineChars="200"/>
        <w:rPr>
          <w:rFonts w:hint="default"/>
          <w:color w:val="auto"/>
          <w:sz w:val="21"/>
          <w:szCs w:val="21"/>
          <w:highlight w:val="none"/>
        </w:rPr>
      </w:pPr>
      <w:r>
        <w:t>（4）投标人认为需提交的其他文件资料；</w:t>
      </w:r>
    </w:p>
    <w:p>
      <w:pPr>
        <w:tabs>
          <w:tab w:val="left" w:pos="1418"/>
        </w:tabs>
        <w:spacing w:beforeLines="0" w:afterLines="0" w:line="360" w:lineRule="auto"/>
        <w:ind w:firstLine="422" w:firstLineChars="200"/>
        <w:rPr>
          <w:rFonts w:hint="default"/>
          <w:b/>
          <w:i/>
          <w:color w:val="auto"/>
          <w:sz w:val="21"/>
          <w:szCs w:val="21"/>
          <w:highlight w:val="none"/>
        </w:rPr>
      </w:pPr>
      <w:r>
        <w:t>技术商务文件包含但不限于以下文件：</w:t>
      </w:r>
    </w:p>
    <w:p>
      <w:pPr>
        <w:tabs>
          <w:tab w:val="left" w:pos="709"/>
        </w:tabs>
        <w:spacing w:beforeLines="0" w:afterLines="0" w:line="360" w:lineRule="auto"/>
        <w:ind w:firstLine="420" w:firstLineChars="200"/>
        <w:rPr>
          <w:rFonts w:hint="default"/>
          <w:color w:val="auto"/>
          <w:sz w:val="21"/>
          <w:szCs w:val="21"/>
          <w:highlight w:val="none"/>
        </w:rPr>
      </w:pPr>
      <w:r>
        <w:t>（1）符合性自查表（格式见附件）；</w:t>
      </w:r>
    </w:p>
    <w:p>
      <w:pPr>
        <w:tabs>
          <w:tab w:val="left" w:pos="1418"/>
        </w:tabs>
        <w:spacing w:beforeLines="0" w:afterLines="0" w:line="360" w:lineRule="auto"/>
        <w:ind w:left="420"/>
        <w:rPr>
          <w:rFonts w:hint="default" w:ascii="宋体"/>
          <w:color w:val="auto"/>
          <w:sz w:val="21"/>
          <w:szCs w:val="21"/>
          <w:highlight w:val="none"/>
        </w:rPr>
      </w:pPr>
      <w:r>
        <w:t>（2）法定代表人授权书及被授权人身份证复印件（若投标人代表系法定代表人，无需提供授权书，必须提供法定代表人身份证复印件及法定代表人身份证明书（格式见附件））；</w:t>
      </w:r>
    </w:p>
    <w:p>
      <w:pPr>
        <w:tabs>
          <w:tab w:val="left" w:pos="1418"/>
        </w:tabs>
        <w:spacing w:beforeLines="0" w:afterLines="0" w:line="360" w:lineRule="auto"/>
        <w:ind w:left="420"/>
        <w:rPr>
          <w:rFonts w:hint="default" w:ascii="宋体"/>
          <w:color w:val="auto"/>
          <w:sz w:val="21"/>
          <w:szCs w:val="21"/>
          <w:highlight w:val="none"/>
        </w:rPr>
      </w:pPr>
      <w:r>
        <w:t>（3）投标人基本情况表（见格式内容）；</w:t>
      </w:r>
    </w:p>
    <w:p>
      <w:pPr>
        <w:tabs>
          <w:tab w:val="left" w:pos="1418"/>
        </w:tabs>
        <w:spacing w:beforeLines="0" w:afterLines="0" w:line="360" w:lineRule="auto"/>
        <w:ind w:left="420"/>
        <w:rPr>
          <w:rFonts w:hint="default"/>
          <w:color w:val="auto"/>
          <w:sz w:val="21"/>
          <w:szCs w:val="21"/>
          <w:highlight w:val="none"/>
        </w:rPr>
      </w:pPr>
      <w:r>
        <w:t>（4）政府采购统计基础信息表（见格式内容）</w:t>
      </w:r>
    </w:p>
    <w:bookmarkEnd w:id="70"/>
    <w:p>
      <w:pPr>
        <w:tabs>
          <w:tab w:val="left" w:pos="1418"/>
        </w:tabs>
        <w:spacing w:beforeLines="0" w:afterLines="0" w:line="360" w:lineRule="auto"/>
        <w:ind w:left="420"/>
        <w:rPr>
          <w:rFonts w:hint="default"/>
          <w:color w:val="auto"/>
          <w:sz w:val="21"/>
          <w:szCs w:val="21"/>
          <w:highlight w:val="none"/>
        </w:rPr>
      </w:pPr>
      <w:r>
        <w:t>（5）实施方案；</w:t>
      </w:r>
    </w:p>
    <w:p>
      <w:pPr>
        <w:tabs>
          <w:tab w:val="left" w:pos="1418"/>
        </w:tabs>
        <w:spacing w:beforeLines="0" w:afterLines="0" w:line="360" w:lineRule="auto"/>
        <w:ind w:left="420"/>
        <w:rPr>
          <w:rFonts w:hint="default"/>
          <w:color w:val="auto"/>
          <w:sz w:val="21"/>
          <w:szCs w:val="21"/>
          <w:highlight w:val="none"/>
        </w:rPr>
      </w:pPr>
      <w:r>
        <w:t>（6）技术条款偏离表（格式见附件）；</w:t>
      </w:r>
    </w:p>
    <w:p>
      <w:pPr>
        <w:tabs>
          <w:tab w:val="left" w:pos="1418"/>
        </w:tabs>
        <w:spacing w:beforeLines="0" w:afterLines="0" w:line="360" w:lineRule="auto"/>
        <w:ind w:left="420"/>
        <w:rPr>
          <w:rFonts w:hint="default"/>
          <w:color w:val="auto"/>
          <w:sz w:val="21"/>
          <w:szCs w:val="21"/>
          <w:highlight w:val="none"/>
        </w:rPr>
      </w:pPr>
      <w:r>
        <w:t>（7）商务条款偏离表（格式见附件）；</w:t>
      </w:r>
    </w:p>
    <w:p>
      <w:pPr>
        <w:tabs>
          <w:tab w:val="left" w:pos="1418"/>
        </w:tabs>
        <w:spacing w:beforeLines="0" w:afterLines="0" w:line="360" w:lineRule="auto"/>
        <w:ind w:left="420"/>
        <w:rPr>
          <w:rFonts w:hint="default"/>
          <w:color w:val="auto"/>
          <w:sz w:val="21"/>
          <w:szCs w:val="21"/>
          <w:highlight w:val="none"/>
        </w:rPr>
      </w:pPr>
      <w:r>
        <w:t>（8）评分标准或采购文件需要提供的其他技术商务材料；</w:t>
      </w:r>
    </w:p>
    <w:p>
      <w:pPr>
        <w:tabs>
          <w:tab w:val="left" w:pos="1418"/>
        </w:tabs>
        <w:spacing w:beforeLines="0" w:afterLines="0" w:line="360" w:lineRule="auto"/>
        <w:ind w:left="420"/>
        <w:rPr>
          <w:rFonts w:hint="default"/>
          <w:color w:val="auto"/>
          <w:sz w:val="21"/>
          <w:szCs w:val="21"/>
          <w:highlight w:val="none"/>
        </w:rPr>
      </w:pPr>
      <w:r>
        <w:t>（9）投标人认为需提交的其他文件资料。</w:t>
      </w:r>
    </w:p>
    <w:p>
      <w:pPr>
        <w:tabs>
          <w:tab w:val="left" w:pos="1418"/>
        </w:tabs>
        <w:spacing w:beforeLines="0" w:afterLines="0" w:line="360" w:lineRule="auto"/>
        <w:ind w:left="420"/>
        <w:rPr>
          <w:rFonts w:hint="default"/>
          <w:color w:val="auto"/>
          <w:sz w:val="21"/>
          <w:szCs w:val="21"/>
          <w:highlight w:val="none"/>
        </w:rPr>
      </w:pPr>
      <w:r>
        <w:t>11.2本次招标对投标文件组成要求，表述在《投标资料表》中。</w:t>
      </w:r>
    </w:p>
    <w:p>
      <w:pPr>
        <w:spacing w:beforeLines="0" w:afterLines="0" w:line="360" w:lineRule="auto"/>
        <w:rPr>
          <w:rFonts w:hint="default"/>
          <w:color w:val="auto"/>
          <w:sz w:val="21"/>
          <w:szCs w:val="21"/>
          <w:highlight w:val="none"/>
        </w:rPr>
      </w:pPr>
      <w:r>
        <w:t>12、投标报价</w:t>
      </w:r>
    </w:p>
    <w:p>
      <w:pPr>
        <w:tabs>
          <w:tab w:val="left" w:pos="709"/>
        </w:tabs>
        <w:spacing w:beforeLines="0" w:afterLines="0" w:line="360" w:lineRule="auto"/>
        <w:ind w:firstLine="420" w:firstLineChars="200"/>
        <w:rPr>
          <w:rFonts w:hint="default"/>
          <w:color w:val="auto"/>
          <w:sz w:val="21"/>
          <w:szCs w:val="21"/>
          <w:highlight w:val="none"/>
        </w:rPr>
      </w:pPr>
      <w:r>
        <w:t>12.1投标人应全面充分了解本招标项目的全部内容及要求以及服务现场的基本条件，按照《投标资料表》规定与要求报价，并包含服务过程中可能涉及的所有费用。</w:t>
      </w:r>
    </w:p>
    <w:p>
      <w:pPr>
        <w:tabs>
          <w:tab w:val="left" w:pos="709"/>
        </w:tabs>
        <w:spacing w:beforeLines="0" w:afterLines="0" w:line="360" w:lineRule="auto"/>
        <w:ind w:firstLine="420" w:firstLineChars="200"/>
        <w:rPr>
          <w:rFonts w:hint="default"/>
          <w:color w:val="auto"/>
          <w:sz w:val="21"/>
          <w:szCs w:val="21"/>
          <w:highlight w:val="none"/>
        </w:rPr>
      </w:pPr>
      <w:r>
        <w:t>12.2所有投标报价必须以人民币报价，不接受外币报价。</w:t>
      </w:r>
    </w:p>
    <w:p>
      <w:pPr>
        <w:tabs>
          <w:tab w:val="left" w:pos="709"/>
        </w:tabs>
        <w:spacing w:beforeLines="0" w:afterLines="0" w:line="360" w:lineRule="auto"/>
        <w:ind w:firstLine="420" w:firstLineChars="200"/>
        <w:rPr>
          <w:rFonts w:hint="default"/>
          <w:color w:val="auto"/>
          <w:sz w:val="21"/>
          <w:szCs w:val="21"/>
          <w:highlight w:val="none"/>
        </w:rPr>
      </w:pPr>
      <w:r>
        <w:t>12.3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pPr>
        <w:tabs>
          <w:tab w:val="left" w:pos="709"/>
        </w:tabs>
        <w:spacing w:beforeLines="0" w:afterLines="0" w:line="360" w:lineRule="auto"/>
        <w:ind w:firstLine="420" w:firstLineChars="200"/>
        <w:rPr>
          <w:rFonts w:hint="default"/>
          <w:color w:val="auto"/>
          <w:sz w:val="21"/>
          <w:szCs w:val="21"/>
          <w:highlight w:val="none"/>
        </w:rPr>
      </w:pPr>
      <w:r>
        <w:t>12.4投标报价中有关单价在中标后及合同执行过程中是固定不变的，投标人不得以任何理由予以变更。任何包含价格调整要求的投标，将被作无效投标处理。</w:t>
      </w:r>
    </w:p>
    <w:p>
      <w:pPr>
        <w:tabs>
          <w:tab w:val="left" w:pos="709"/>
        </w:tabs>
        <w:spacing w:beforeLines="0" w:afterLines="0" w:line="360" w:lineRule="auto"/>
        <w:ind w:firstLine="420" w:firstLineChars="200"/>
        <w:rPr>
          <w:rFonts w:hint="default"/>
          <w:color w:val="auto"/>
          <w:sz w:val="21"/>
          <w:szCs w:val="21"/>
          <w:highlight w:val="none"/>
        </w:rPr>
      </w:pPr>
      <w:r>
        <w:t>12.5除非采购文件在《投标资料表》中对授予合同的数量增减有约定，投标报价在开标以后直至合同执行过程中是固定不变的，投标人不得以任何理由予以变更。任何包含价格调整要求的投标，将被作无效投标处理。</w:t>
      </w:r>
    </w:p>
    <w:p>
      <w:pPr>
        <w:spacing w:beforeLines="0" w:afterLines="0" w:line="360" w:lineRule="auto"/>
        <w:rPr>
          <w:rFonts w:hint="default"/>
          <w:color w:val="auto"/>
          <w:sz w:val="21"/>
          <w:szCs w:val="21"/>
          <w:highlight w:val="none"/>
        </w:rPr>
      </w:pPr>
      <w:r>
        <w:t>13、投标文件编写</w:t>
      </w:r>
    </w:p>
    <w:p>
      <w:pPr>
        <w:tabs>
          <w:tab w:val="left" w:pos="709"/>
        </w:tabs>
        <w:spacing w:beforeLines="0" w:afterLines="0" w:line="360" w:lineRule="auto"/>
        <w:ind w:firstLine="420" w:firstLineChars="200"/>
        <w:rPr>
          <w:rFonts w:hint="default"/>
          <w:color w:val="auto"/>
          <w:sz w:val="21"/>
          <w:szCs w:val="21"/>
          <w:highlight w:val="none"/>
        </w:rPr>
      </w:pPr>
      <w:r>
        <w:t>13.1投标文件应表述准确、完整、详细，并按统一格式填写。开标一览表系开标仪式上唱标的内容，应按格式完整填写。投标文件因表达不清楚所引起的后果由投标人负责。</w:t>
      </w:r>
    </w:p>
    <w:p>
      <w:pPr>
        <w:tabs>
          <w:tab w:val="left" w:pos="709"/>
        </w:tabs>
        <w:spacing w:beforeLines="0" w:afterLines="0" w:line="360" w:lineRule="auto"/>
        <w:ind w:firstLine="420" w:firstLineChars="200"/>
        <w:rPr>
          <w:rFonts w:hint="default"/>
          <w:color w:val="auto"/>
          <w:sz w:val="21"/>
          <w:szCs w:val="21"/>
          <w:highlight w:val="none"/>
        </w:rPr>
      </w:pPr>
      <w:r>
        <w:t>13.2投标语言：中文。除签名、盖章、专用名称等特殊情形外，以中文汉语以外的文字表述的投标文件视同未提供。</w:t>
      </w:r>
    </w:p>
    <w:p>
      <w:pPr>
        <w:tabs>
          <w:tab w:val="left" w:pos="709"/>
        </w:tabs>
        <w:spacing w:beforeLines="0" w:afterLines="0" w:line="360" w:lineRule="auto"/>
        <w:ind w:firstLine="420" w:firstLineChars="200"/>
        <w:rPr>
          <w:rFonts w:hint="default"/>
          <w:color w:val="auto"/>
          <w:sz w:val="21"/>
          <w:szCs w:val="21"/>
          <w:highlight w:val="none"/>
        </w:rPr>
      </w:pPr>
      <w:r>
        <w:t>13.3投标文件中所使用的计量单位，除非本采购文件“招标内容及要求”有特殊要求，应采用国家法定计量单位。</w:t>
      </w:r>
    </w:p>
    <w:p>
      <w:pPr>
        <w:spacing w:beforeLines="0" w:afterLines="0" w:line="360" w:lineRule="auto"/>
        <w:rPr>
          <w:rFonts w:hint="default"/>
          <w:color w:val="auto"/>
          <w:sz w:val="21"/>
          <w:szCs w:val="21"/>
          <w:highlight w:val="none"/>
        </w:rPr>
      </w:pPr>
      <w:r>
        <w:t>14、投标文件的有效期</w:t>
      </w:r>
    </w:p>
    <w:p>
      <w:pPr>
        <w:tabs>
          <w:tab w:val="left" w:pos="709"/>
        </w:tabs>
        <w:spacing w:beforeLines="0" w:afterLines="0" w:line="360" w:lineRule="auto"/>
        <w:ind w:firstLine="420" w:firstLineChars="200"/>
        <w:rPr>
          <w:rFonts w:hint="default"/>
          <w:color w:val="auto"/>
          <w:sz w:val="21"/>
          <w:szCs w:val="21"/>
          <w:highlight w:val="none"/>
        </w:rPr>
      </w:pPr>
      <w:r>
        <w:t>14.1投标文件应在《投标资料表》规定的投标有效期内保持有效。有效期短于规定期限的，将导致投标无效而被拒绝。</w:t>
      </w:r>
    </w:p>
    <w:p>
      <w:pPr>
        <w:tabs>
          <w:tab w:val="left" w:pos="709"/>
        </w:tabs>
        <w:spacing w:beforeLines="0" w:afterLines="0" w:line="360" w:lineRule="auto"/>
        <w:ind w:firstLine="420" w:firstLineChars="200"/>
        <w:rPr>
          <w:rFonts w:hint="default"/>
          <w:color w:val="auto"/>
          <w:sz w:val="21"/>
          <w:szCs w:val="21"/>
          <w:highlight w:val="none"/>
        </w:rPr>
      </w:pPr>
      <w:r>
        <w:t>14.2在特殊情况下，在原投标有效期截止之前，应采购人的要求，采购代理机构可要求投标人延长投标文件的有效期，这种要求的提出和投标人的答复都应以书面（含传真）的形式进行。</w:t>
      </w:r>
    </w:p>
    <w:p>
      <w:pPr>
        <w:tabs>
          <w:tab w:val="left" w:pos="709"/>
        </w:tabs>
        <w:spacing w:beforeLines="0" w:afterLines="0" w:line="360" w:lineRule="auto"/>
        <w:ind w:firstLine="420" w:firstLineChars="200"/>
        <w:rPr>
          <w:rFonts w:hint="default"/>
          <w:color w:val="auto"/>
          <w:sz w:val="21"/>
          <w:szCs w:val="21"/>
          <w:highlight w:val="none"/>
        </w:rPr>
      </w:pPr>
      <w:r>
        <w:t>14.3中标人的投标文件自开标之日起至合同履行完毕止均应保持有效。</w:t>
      </w:r>
    </w:p>
    <w:p>
      <w:pPr>
        <w:pStyle w:val="3"/>
        <w:spacing w:beforeLines="0" w:afterLines="0" w:line="360" w:lineRule="auto"/>
        <w:rPr>
          <w:rFonts w:hint="default"/>
          <w:color w:val="auto"/>
          <w:sz w:val="21"/>
          <w:szCs w:val="21"/>
          <w:highlight w:val="none"/>
        </w:rPr>
      </w:pPr>
      <w:r>
        <w:t>五、投标文件的递交</w:t>
      </w:r>
    </w:p>
    <w:p>
      <w:pPr>
        <w:spacing w:beforeLines="0" w:afterLines="0" w:line="360" w:lineRule="auto"/>
        <w:rPr>
          <w:rFonts w:hint="default"/>
          <w:color w:val="auto"/>
          <w:sz w:val="21"/>
          <w:szCs w:val="21"/>
          <w:highlight w:val="none"/>
        </w:rPr>
      </w:pPr>
      <w:r>
        <w:t>15、投标文件的签署及装订</w:t>
      </w:r>
    </w:p>
    <w:p>
      <w:pPr>
        <w:tabs>
          <w:tab w:val="left" w:pos="709"/>
        </w:tabs>
        <w:spacing w:beforeLines="0" w:afterLines="0" w:line="360" w:lineRule="auto"/>
        <w:ind w:firstLine="420" w:firstLineChars="200"/>
        <w:rPr>
          <w:rFonts w:hint="default"/>
          <w:color w:val="auto"/>
          <w:sz w:val="21"/>
          <w:szCs w:val="21"/>
          <w:highlight w:val="none"/>
        </w:rPr>
      </w:pPr>
      <w:r>
        <w:t>15.1对本采购文件相关部分提供的各种文件、表格、格式，投标人应按采购文件要求填写、签署和加盖公章。</w:t>
      </w:r>
    </w:p>
    <w:p>
      <w:pPr>
        <w:tabs>
          <w:tab w:val="left" w:pos="709"/>
        </w:tabs>
        <w:spacing w:beforeLines="0" w:afterLines="0" w:line="360" w:lineRule="auto"/>
        <w:ind w:firstLine="420" w:firstLineChars="200"/>
        <w:rPr>
          <w:rFonts w:hint="default"/>
          <w:color w:val="auto"/>
          <w:sz w:val="21"/>
          <w:szCs w:val="21"/>
          <w:highlight w:val="none"/>
        </w:rPr>
      </w:pPr>
      <w:r>
        <w:t>15.2投标文件必须按采购文件规定的格式加盖公章、法定代表人签字（或盖章或电子章）、投标代表人签字（或盖章或电子章）。</w:t>
      </w:r>
    </w:p>
    <w:p>
      <w:pPr>
        <w:tabs>
          <w:tab w:val="left" w:pos="709"/>
        </w:tabs>
        <w:spacing w:beforeLines="0" w:afterLines="0" w:line="360" w:lineRule="auto"/>
        <w:ind w:firstLine="420" w:firstLineChars="200"/>
        <w:rPr>
          <w:rFonts w:hint="default"/>
          <w:color w:val="auto"/>
          <w:sz w:val="21"/>
          <w:szCs w:val="21"/>
          <w:highlight w:val="none"/>
        </w:rPr>
      </w:pPr>
      <w:r>
        <w:t>15.3投标文件应按各组成部分内容进行整理、编排、立目、索引、注明页码，以有利阅读评审。</w:t>
      </w:r>
    </w:p>
    <w:p>
      <w:pPr>
        <w:tabs>
          <w:tab w:val="left" w:pos="709"/>
        </w:tabs>
        <w:spacing w:beforeLines="0" w:afterLines="0" w:line="360" w:lineRule="auto"/>
        <w:ind w:firstLine="420" w:firstLineChars="200"/>
        <w:rPr>
          <w:rFonts w:hint="default"/>
          <w:color w:val="auto"/>
          <w:sz w:val="21"/>
          <w:szCs w:val="21"/>
          <w:highlight w:val="none"/>
        </w:rPr>
      </w:pPr>
      <w:r>
        <w:t>15.4投标文件的份数</w:t>
      </w:r>
    </w:p>
    <w:p>
      <w:pPr>
        <w:tabs>
          <w:tab w:val="left" w:pos="709"/>
        </w:tabs>
        <w:spacing w:beforeLines="0" w:afterLines="0" w:line="360" w:lineRule="auto"/>
        <w:ind w:firstLine="420" w:firstLineChars="200"/>
        <w:rPr>
          <w:rFonts w:hint="default"/>
          <w:color w:val="auto"/>
          <w:sz w:val="21"/>
          <w:szCs w:val="21"/>
          <w:highlight w:val="none"/>
        </w:rPr>
      </w:pPr>
      <w:r>
        <w:t>本项目实行网上电子投标。</w:t>
      </w:r>
    </w:p>
    <w:p>
      <w:pPr>
        <w:tabs>
          <w:tab w:val="left" w:pos="709"/>
        </w:tabs>
        <w:spacing w:beforeLines="0" w:afterLines="0" w:line="360" w:lineRule="auto"/>
        <w:ind w:firstLine="420" w:firstLineChars="200"/>
        <w:rPr>
          <w:rFonts w:hint="default"/>
          <w:color w:val="auto"/>
          <w:sz w:val="21"/>
          <w:szCs w:val="21"/>
          <w:highlight w:val="none"/>
        </w:rPr>
      </w:pPr>
      <w:r>
        <w:t>（1）上传到政府采购云平台的电子加密投标文件（含资格证明文件、技术商务文件、报价文件）1份。</w:t>
      </w:r>
    </w:p>
    <w:p>
      <w:pPr>
        <w:tabs>
          <w:tab w:val="left" w:pos="709"/>
        </w:tabs>
        <w:spacing w:beforeLines="0" w:afterLines="0" w:line="360" w:lineRule="auto"/>
        <w:ind w:firstLine="420" w:firstLineChars="200"/>
        <w:rPr>
          <w:rFonts w:hint="default"/>
          <w:color w:val="auto"/>
          <w:sz w:val="21"/>
          <w:szCs w:val="21"/>
          <w:highlight w:val="none"/>
        </w:rPr>
      </w:pPr>
      <w:r>
        <w:t>（2）以U盘存储的电子备份投标文件（含资格证明文件、技术商务文件、报价文件）1份。</w:t>
      </w:r>
    </w:p>
    <w:p>
      <w:pPr>
        <w:tabs>
          <w:tab w:val="left" w:pos="709"/>
        </w:tabs>
        <w:spacing w:beforeLines="0" w:afterLines="0" w:line="360" w:lineRule="auto"/>
        <w:ind w:firstLine="420" w:firstLineChars="200"/>
        <w:rPr>
          <w:rFonts w:hint="default"/>
          <w:color w:val="auto"/>
          <w:sz w:val="21"/>
          <w:szCs w:val="21"/>
          <w:highlight w:val="none"/>
        </w:rPr>
      </w:pPr>
      <w:r>
        <w:t>（3）纸质备份投标文件：资格证明文件（正本1份，副本1份）、技术商务文件（正本1份，副本1份）、报价文件（正本1份，副本1份）。</w:t>
      </w:r>
    </w:p>
    <w:p>
      <w:pPr>
        <w:tabs>
          <w:tab w:val="left" w:pos="709"/>
        </w:tabs>
        <w:spacing w:beforeLines="0" w:afterLines="0" w:line="360" w:lineRule="auto"/>
        <w:ind w:firstLine="420" w:firstLineChars="200"/>
        <w:rPr>
          <w:rFonts w:hint="default"/>
          <w:color w:val="auto"/>
          <w:sz w:val="21"/>
          <w:szCs w:val="21"/>
          <w:highlight w:val="none"/>
        </w:rPr>
      </w:pPr>
      <w:r>
        <w:t>15.5电子投标文件应根据政府采购云平台的要求及本采购文件规定的格式和顺序编制电子投标文件并进行关联定位。</w:t>
      </w:r>
    </w:p>
    <w:p>
      <w:pPr>
        <w:tabs>
          <w:tab w:val="left" w:pos="709"/>
        </w:tabs>
        <w:spacing w:beforeLines="0" w:afterLines="0" w:line="360" w:lineRule="auto"/>
        <w:ind w:firstLine="420" w:firstLineChars="200"/>
        <w:rPr>
          <w:rFonts w:hint="default"/>
          <w:color w:val="auto"/>
          <w:sz w:val="21"/>
          <w:szCs w:val="21"/>
          <w:highlight w:val="none"/>
        </w:rPr>
      </w:pPr>
      <w:r>
        <w:t>15.6电子备份投标文件应保证同上传至政府采购云平台的电子投标文件内容相一致。</w:t>
      </w:r>
    </w:p>
    <w:p>
      <w:pPr>
        <w:tabs>
          <w:tab w:val="left" w:pos="709"/>
        </w:tabs>
        <w:spacing w:beforeLines="0" w:afterLines="0" w:line="360" w:lineRule="auto"/>
        <w:ind w:firstLine="420" w:firstLineChars="200"/>
        <w:rPr>
          <w:rFonts w:hint="default"/>
          <w:color w:val="auto"/>
          <w:sz w:val="21"/>
          <w:szCs w:val="21"/>
          <w:highlight w:val="none"/>
        </w:rPr>
      </w:pPr>
      <w:r>
        <w:t>15.7纸质备份投标文件：</w:t>
      </w:r>
    </w:p>
    <w:p>
      <w:pPr>
        <w:tabs>
          <w:tab w:val="left" w:pos="709"/>
        </w:tabs>
        <w:spacing w:beforeLines="0" w:afterLines="0" w:line="360" w:lineRule="auto"/>
        <w:ind w:firstLine="420" w:firstLineChars="200"/>
        <w:rPr>
          <w:rFonts w:hint="default"/>
          <w:color w:val="auto"/>
          <w:sz w:val="21"/>
          <w:szCs w:val="21"/>
          <w:highlight w:val="none"/>
        </w:rPr>
      </w:pPr>
      <w:r>
        <w:t>（1）投标文件应按采购文件要求由资格证明文件、技术商务文件和报价文件三部分组成。三部分分别编制并单独装订成册。投标文件的封面应注明“正本”、“副本”字样。</w:t>
      </w:r>
    </w:p>
    <w:p>
      <w:pPr>
        <w:tabs>
          <w:tab w:val="left" w:pos="709"/>
        </w:tabs>
        <w:spacing w:beforeLines="0" w:afterLines="0" w:line="360" w:lineRule="auto"/>
        <w:ind w:firstLine="420" w:firstLineChars="200"/>
        <w:rPr>
          <w:rFonts w:hint="default"/>
          <w:color w:val="auto"/>
          <w:sz w:val="21"/>
          <w:szCs w:val="21"/>
          <w:highlight w:val="none"/>
        </w:rPr>
      </w:pPr>
      <w:r>
        <w:t>（2）若有多个子包，资格证明文件、技术商务文件可装订成一册，报价文件应按子包分别装订、密封、包装，未按规定装订、密封、包装的投标文件将被拒绝。</w:t>
      </w:r>
    </w:p>
    <w:p>
      <w:pPr>
        <w:tabs>
          <w:tab w:val="left" w:pos="709"/>
        </w:tabs>
        <w:spacing w:beforeLines="0" w:afterLines="0" w:line="360" w:lineRule="auto"/>
        <w:ind w:firstLine="420" w:firstLineChars="200"/>
        <w:rPr>
          <w:rFonts w:hint="default"/>
          <w:color w:val="auto"/>
          <w:sz w:val="21"/>
          <w:szCs w:val="21"/>
          <w:highlight w:val="none"/>
        </w:rPr>
      </w:pPr>
      <w:r>
        <w:t>（3）投标文件的正本需打印或用不褪色的墨水填写，投标文件正本除本《供应商须知》中规定的可提供复印件外均须提供原件。副本可以为正本的复印件，投标文件正、副本内容不一致的，以正本为准。</w:t>
      </w:r>
    </w:p>
    <w:p>
      <w:pPr>
        <w:tabs>
          <w:tab w:val="left" w:pos="709"/>
        </w:tabs>
        <w:spacing w:beforeLines="0" w:afterLines="0" w:line="360" w:lineRule="auto"/>
        <w:ind w:firstLine="420" w:firstLineChars="200"/>
        <w:rPr>
          <w:rFonts w:hint="default"/>
          <w:color w:val="auto"/>
          <w:sz w:val="21"/>
          <w:szCs w:val="21"/>
          <w:highlight w:val="none"/>
        </w:rPr>
      </w:pPr>
      <w:r>
        <w:t>（4）投标文件不得涂改，若有修改错漏处，须加盖单位公章或者法定代表人或授权委托人签名或盖章。投标文件因字迹潦草或表达不清所引起的后果由供应商负责。</w:t>
      </w:r>
    </w:p>
    <w:p>
      <w:pPr>
        <w:tabs>
          <w:tab w:val="left" w:pos="709"/>
        </w:tabs>
        <w:spacing w:beforeLines="0" w:afterLines="0" w:line="360" w:lineRule="auto"/>
        <w:ind w:firstLine="420" w:firstLineChars="200"/>
        <w:rPr>
          <w:rFonts w:hint="default"/>
          <w:color w:val="auto"/>
          <w:sz w:val="21"/>
          <w:szCs w:val="21"/>
          <w:highlight w:val="none"/>
        </w:rPr>
      </w:pPr>
      <w:r>
        <w:t>（5）投标文件须由供应商在规定位置盖章并由法定代表人或法定代表人的授权委托人签署，供应商应写全称。</w:t>
      </w:r>
    </w:p>
    <w:p>
      <w:pPr>
        <w:spacing w:beforeLines="0" w:afterLines="0" w:line="360" w:lineRule="auto"/>
        <w:rPr>
          <w:rFonts w:hint="default"/>
          <w:color w:val="auto"/>
          <w:sz w:val="21"/>
          <w:szCs w:val="21"/>
          <w:highlight w:val="none"/>
        </w:rPr>
      </w:pPr>
      <w:r>
        <w:t>16、投标文件的密封、标记和递送</w:t>
      </w:r>
    </w:p>
    <w:p>
      <w:pPr>
        <w:tabs>
          <w:tab w:val="left" w:pos="709"/>
        </w:tabs>
        <w:spacing w:beforeLines="0" w:afterLines="0" w:line="360" w:lineRule="auto"/>
        <w:ind w:firstLine="420" w:firstLineChars="200"/>
        <w:rPr>
          <w:rFonts w:hint="default"/>
          <w:color w:val="auto"/>
          <w:sz w:val="21"/>
          <w:szCs w:val="21"/>
          <w:highlight w:val="none"/>
        </w:rPr>
      </w:pPr>
      <w:r>
        <w:t>16.1以U盘存储的电子备份投标文件密封后递交。</w:t>
      </w:r>
    </w:p>
    <w:p>
      <w:pPr>
        <w:snapToGrid w:val="0"/>
        <w:spacing w:beforeLines="0" w:afterLines="0" w:line="360" w:lineRule="auto"/>
        <w:ind w:firstLine="420"/>
        <w:jc w:val="left"/>
        <w:rPr>
          <w:rFonts w:hint="default" w:cs="宋体"/>
          <w:color w:val="auto"/>
          <w:kern w:val="0"/>
          <w:sz w:val="21"/>
          <w:szCs w:val="21"/>
          <w:highlight w:val="none"/>
        </w:rPr>
      </w:pPr>
      <w:r>
        <w:t>16.2纸质备份投标文件，要求分别按资格证明文件、技术商务文件和报价文件三部分分开包装。</w:t>
      </w:r>
    </w:p>
    <w:p>
      <w:pPr>
        <w:snapToGrid w:val="0"/>
        <w:spacing w:beforeLines="0" w:afterLines="0" w:line="360" w:lineRule="auto"/>
        <w:ind w:firstLine="420"/>
        <w:jc w:val="left"/>
        <w:rPr>
          <w:rFonts w:hint="default" w:cs="宋体"/>
          <w:color w:val="auto"/>
          <w:kern w:val="0"/>
          <w:sz w:val="21"/>
          <w:szCs w:val="21"/>
          <w:highlight w:val="none"/>
        </w:rPr>
      </w:pPr>
      <w:r>
        <w:t>16.3投标文件的包装封面上应注明投标人名称、投标人地址、投标文件名称（电子备份投标文件/资格证明文件/技术商务文件/报价文件）、投标项目名称、项目编号，并加盖投标人公章。</w:t>
      </w:r>
    </w:p>
    <w:p>
      <w:pPr>
        <w:snapToGrid w:val="0"/>
        <w:spacing w:beforeLines="0" w:afterLines="0" w:line="360" w:lineRule="auto"/>
        <w:ind w:firstLine="420"/>
        <w:jc w:val="left"/>
        <w:rPr>
          <w:rFonts w:hint="default" w:cs="宋体"/>
          <w:color w:val="auto"/>
          <w:sz w:val="21"/>
          <w:szCs w:val="21"/>
          <w:highlight w:val="none"/>
        </w:rPr>
      </w:pPr>
      <w:r>
        <w:t>16.4未按规定密封或标记的投标文件将被拒绝，由此造成投标文件被误投或提前拆封的风险由投标人承担。</w:t>
      </w:r>
    </w:p>
    <w:p>
      <w:pPr>
        <w:snapToGrid w:val="0"/>
        <w:spacing w:beforeLines="0" w:afterLines="0" w:line="360" w:lineRule="auto"/>
        <w:ind w:firstLine="420"/>
        <w:jc w:val="left"/>
        <w:rPr>
          <w:rFonts w:hint="default" w:cs="宋体"/>
          <w:color w:val="auto"/>
          <w:sz w:val="21"/>
          <w:szCs w:val="21"/>
          <w:highlight w:val="none"/>
        </w:rPr>
      </w:pPr>
      <w:r>
        <w:t>16.5投标人在投标截止时间之前，可以对已提交的电子备份投标文件进行修改或撤回，并书面通知招标采购单位；投标截止时间后，投标人不得撤销、修改投标文件。修改后重新递交的电子备份投标文件应当按本采购文件的要求签署、盖章和密封。</w:t>
      </w:r>
    </w:p>
    <w:p>
      <w:pPr>
        <w:spacing w:beforeLines="0" w:afterLines="0" w:line="360" w:lineRule="auto"/>
        <w:ind w:firstLine="420" w:firstLineChars="200"/>
        <w:rPr>
          <w:rFonts w:hint="default"/>
          <w:color w:val="auto"/>
          <w:sz w:val="21"/>
          <w:szCs w:val="21"/>
          <w:highlight w:val="none"/>
        </w:rPr>
      </w:pPr>
      <w:r>
        <w:t>16.6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beforeLines="0" w:afterLines="0" w:line="360" w:lineRule="auto"/>
        <w:rPr>
          <w:rFonts w:hint="default"/>
          <w:color w:val="auto"/>
          <w:sz w:val="21"/>
          <w:szCs w:val="21"/>
          <w:highlight w:val="none"/>
        </w:rPr>
      </w:pPr>
      <w:r>
        <w:t>17、投标</w:t>
      </w:r>
    </w:p>
    <w:p>
      <w:pPr>
        <w:tabs>
          <w:tab w:val="left" w:pos="709"/>
        </w:tabs>
        <w:spacing w:beforeLines="0" w:afterLines="0" w:line="360" w:lineRule="auto"/>
        <w:ind w:firstLine="420" w:firstLineChars="200"/>
        <w:rPr>
          <w:rFonts w:hint="default"/>
          <w:color w:val="auto"/>
          <w:sz w:val="21"/>
          <w:szCs w:val="21"/>
          <w:highlight w:val="none"/>
        </w:rPr>
      </w:pPr>
      <w:r>
        <w:t>在采购文件《投标资料表》中规定的投标截止时间前，投标文件必须将电子投标文件上传至政府采购云平台www.zcygov.cn，未上传电子投标文件，视为投标人放弃投标。并在投标截止时间前将电子备份投标文件送至指定的投标地点。在投标截止时间以后送达的投标文件将被拒绝。</w:t>
      </w:r>
    </w:p>
    <w:p>
      <w:pPr>
        <w:spacing w:beforeLines="0" w:afterLines="0" w:line="360" w:lineRule="auto"/>
        <w:rPr>
          <w:rFonts w:hint="default"/>
          <w:color w:val="auto"/>
          <w:sz w:val="21"/>
          <w:szCs w:val="21"/>
          <w:highlight w:val="none"/>
        </w:rPr>
      </w:pPr>
      <w:r>
        <w:t>18、投标文件的修改和撤回</w:t>
      </w:r>
    </w:p>
    <w:p>
      <w:pPr>
        <w:tabs>
          <w:tab w:val="left" w:pos="709"/>
        </w:tabs>
        <w:spacing w:beforeLines="0" w:afterLines="0" w:line="360" w:lineRule="auto"/>
        <w:ind w:firstLine="420" w:firstLineChars="200"/>
        <w:rPr>
          <w:rFonts w:hint="default"/>
          <w:color w:val="auto"/>
          <w:sz w:val="21"/>
          <w:szCs w:val="21"/>
          <w:highlight w:val="none"/>
        </w:rPr>
      </w:pPr>
      <w:r>
        <w:t>18.1投标文件递交以后，在投标截止时间之前，投标人可以要求修改或撤回已上传的电子投标文件。</w:t>
      </w:r>
    </w:p>
    <w:p>
      <w:pPr>
        <w:tabs>
          <w:tab w:val="left" w:pos="709"/>
        </w:tabs>
        <w:spacing w:beforeLines="0" w:afterLines="0" w:line="360" w:lineRule="auto"/>
        <w:ind w:firstLine="420" w:firstLineChars="200"/>
        <w:rPr>
          <w:rFonts w:hint="default"/>
          <w:color w:val="auto"/>
          <w:sz w:val="21"/>
          <w:szCs w:val="21"/>
          <w:highlight w:val="none"/>
        </w:rPr>
      </w:pPr>
      <w:r>
        <w:t>18.2在投标截止时间之后，投标人不得对其投标文件进行修改。</w:t>
      </w:r>
    </w:p>
    <w:bookmarkEnd w:id="88"/>
    <w:bookmarkEnd w:id="89"/>
    <w:bookmarkEnd w:id="90"/>
    <w:bookmarkEnd w:id="91"/>
    <w:p>
      <w:pPr>
        <w:pStyle w:val="3"/>
        <w:spacing w:beforeLines="0" w:afterLines="0" w:line="360" w:lineRule="auto"/>
        <w:rPr>
          <w:rFonts w:hint="default"/>
          <w:color w:val="auto"/>
          <w:sz w:val="21"/>
          <w:szCs w:val="21"/>
          <w:highlight w:val="none"/>
        </w:rPr>
      </w:pPr>
      <w:r>
        <w:t>六、开标</w:t>
      </w:r>
    </w:p>
    <w:p>
      <w:pPr>
        <w:spacing w:beforeLines="0" w:afterLines="0" w:line="360" w:lineRule="auto"/>
        <w:rPr>
          <w:rFonts w:hint="default"/>
          <w:color w:val="auto"/>
          <w:sz w:val="21"/>
          <w:szCs w:val="21"/>
          <w:highlight w:val="none"/>
        </w:rPr>
      </w:pPr>
      <w:r>
        <w:t>19、开标准备</w:t>
      </w:r>
    </w:p>
    <w:p>
      <w:pPr>
        <w:spacing w:beforeLines="0" w:afterLines="0" w:line="360" w:lineRule="auto"/>
        <w:ind w:firstLine="420" w:firstLineChars="200"/>
        <w:rPr>
          <w:rFonts w:hint="default" w:cs="宋体"/>
          <w:color w:val="auto"/>
          <w:sz w:val="21"/>
          <w:szCs w:val="21"/>
          <w:highlight w:val="none"/>
        </w:rPr>
      </w:pPr>
      <w:r>
        <w:t>19.1采购代理机构将组织各投标人法定代表人或其授权代表分别登记、签到，无关人员不得进入现场。投标人的法定代表人或其授权代表应确保手机畅通。投标人未参加开标的，视同认可开标结果。</w:t>
      </w:r>
    </w:p>
    <w:p>
      <w:pPr>
        <w:spacing w:beforeLines="0" w:afterLines="0" w:line="360" w:lineRule="auto"/>
        <w:ind w:firstLine="420" w:firstLineChars="200"/>
        <w:rPr>
          <w:rFonts w:hint="default" w:cs="宋体"/>
          <w:color w:val="auto"/>
          <w:sz w:val="21"/>
          <w:szCs w:val="21"/>
          <w:highlight w:val="none"/>
        </w:rPr>
      </w:pPr>
      <w:r>
        <w:t>19.2采购代理机构接收投标文件并登记，各投标人法定代表人或其授权代表对投标文件的递交记录情况进行签字确认。</w:t>
      </w:r>
    </w:p>
    <w:p>
      <w:pPr>
        <w:spacing w:beforeLines="0" w:afterLines="0" w:line="360" w:lineRule="auto"/>
        <w:ind w:firstLine="420" w:firstLineChars="200"/>
        <w:rPr>
          <w:rFonts w:hint="default" w:cs="宋体"/>
          <w:color w:val="auto"/>
          <w:sz w:val="21"/>
          <w:szCs w:val="21"/>
          <w:highlight w:val="none"/>
        </w:rPr>
      </w:pPr>
      <w:r>
        <w:t>19.3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spacing w:beforeLines="0" w:afterLines="0" w:line="360" w:lineRule="auto"/>
        <w:rPr>
          <w:rFonts w:hint="default"/>
          <w:color w:val="auto"/>
          <w:sz w:val="21"/>
          <w:szCs w:val="21"/>
          <w:highlight w:val="none"/>
        </w:rPr>
      </w:pPr>
      <w:r>
        <w:t>20、开标程序：</w:t>
      </w:r>
    </w:p>
    <w:p>
      <w:pPr>
        <w:spacing w:beforeLines="0" w:afterLines="0" w:line="360" w:lineRule="auto"/>
        <w:ind w:firstLine="420" w:firstLineChars="200"/>
        <w:rPr>
          <w:rFonts w:hint="default" w:cs="宋体"/>
          <w:color w:val="auto"/>
          <w:sz w:val="21"/>
          <w:szCs w:val="21"/>
          <w:highlight w:val="none"/>
        </w:rPr>
      </w:pPr>
      <w:r>
        <w:t>20.1电子招投标开标程序：</w:t>
      </w:r>
    </w:p>
    <w:p>
      <w:pPr>
        <w:spacing w:beforeLines="0" w:afterLines="0" w:line="360" w:lineRule="auto"/>
        <w:ind w:firstLine="420" w:firstLineChars="200"/>
        <w:rPr>
          <w:rFonts w:hint="default" w:cs="宋体"/>
          <w:color w:val="auto"/>
          <w:sz w:val="21"/>
          <w:szCs w:val="21"/>
          <w:highlight w:val="none"/>
        </w:rPr>
      </w:pPr>
      <w:r>
        <w:t>（1）投标截止时间后，投标人登录政府采购云平台，用“项目采购-开标评标”功能对电子投标文件进行在线解密，在线解密电子投标文件时间为开标时间后30分钟内。</w:t>
      </w:r>
    </w:p>
    <w:p>
      <w:pPr>
        <w:spacing w:beforeLines="0" w:afterLines="0" w:line="360" w:lineRule="auto"/>
        <w:ind w:firstLine="420" w:firstLineChars="200"/>
        <w:rPr>
          <w:rFonts w:hint="default" w:cs="宋体"/>
          <w:color w:val="auto"/>
          <w:sz w:val="21"/>
          <w:szCs w:val="21"/>
          <w:highlight w:val="none"/>
        </w:rPr>
      </w:pPr>
      <w:r>
        <w:t>（2）在政府采购云平台开启已解密投标人的“资格证明文件、技术商务文件”，待资格审查、技术商务评审结束并公布资格审查、技术商务评分结果后，再开启已解密投标人的“报价文件”并做开标记录；</w:t>
      </w:r>
    </w:p>
    <w:p>
      <w:pPr>
        <w:spacing w:beforeLines="0" w:afterLines="0" w:line="360" w:lineRule="auto"/>
        <w:ind w:firstLine="420" w:firstLineChars="200"/>
        <w:rPr>
          <w:rFonts w:hint="default" w:cs="宋体"/>
          <w:color w:val="auto"/>
          <w:sz w:val="21"/>
          <w:szCs w:val="21"/>
          <w:highlight w:val="none"/>
        </w:rPr>
      </w:pPr>
      <w:r>
        <w:t>（3）在政府采购云平台公布评审结果。</w:t>
      </w:r>
    </w:p>
    <w:p>
      <w:pPr>
        <w:spacing w:beforeLines="0" w:afterLines="0" w:line="360" w:lineRule="auto"/>
        <w:ind w:firstLine="420" w:firstLineChars="200"/>
        <w:rPr>
          <w:rFonts w:hint="default" w:cs="宋体"/>
          <w:color w:val="auto"/>
          <w:sz w:val="21"/>
          <w:szCs w:val="21"/>
          <w:highlight w:val="none"/>
        </w:rPr>
      </w:pPr>
      <w:r>
        <w:t>（4）开标会议结束。</w:t>
      </w:r>
    </w:p>
    <w:p>
      <w:pPr>
        <w:spacing w:beforeLines="0" w:afterLines="0" w:line="360" w:lineRule="auto"/>
        <w:ind w:firstLine="420" w:firstLineChars="200"/>
        <w:rPr>
          <w:rFonts w:hint="default" w:cs="宋体"/>
          <w:color w:val="auto"/>
          <w:sz w:val="21"/>
          <w:szCs w:val="21"/>
          <w:highlight w:val="none"/>
        </w:rPr>
      </w:pPr>
      <w:r>
        <w:t>20.2特别说明：政府采购云平台如对电子化开标及评审程序有调整的，按调整后的程序操作。</w:t>
      </w:r>
    </w:p>
    <w:p>
      <w:pPr>
        <w:spacing w:beforeLines="0" w:afterLines="0" w:line="360" w:lineRule="auto"/>
        <w:ind w:firstLine="420" w:firstLineChars="200"/>
        <w:rPr>
          <w:rFonts w:hint="default" w:cs="宋体"/>
          <w:color w:val="auto"/>
          <w:sz w:val="21"/>
          <w:szCs w:val="21"/>
          <w:highlight w:val="none"/>
        </w:rPr>
      </w:pPr>
      <w:r>
        <w:t>本项目原则上采用政采云电子招投标开标程序，但有以下情形之一的，按以下处理：</w:t>
      </w:r>
    </w:p>
    <w:p>
      <w:pPr>
        <w:spacing w:beforeLines="0" w:afterLines="0" w:line="360" w:lineRule="auto"/>
        <w:ind w:firstLine="420" w:firstLineChars="200"/>
        <w:rPr>
          <w:rFonts w:hint="default" w:cs="宋体"/>
          <w:color w:val="auto"/>
          <w:sz w:val="21"/>
          <w:szCs w:val="21"/>
          <w:highlight w:val="none"/>
        </w:rPr>
      </w:pPr>
      <w:r>
        <w:t>（1）若有投标人在规定时间内无法解密或解密失败，代理机构将开启该投标人递交的以U盘存储的电子备份投标文件，上传至政采云平台项目采购模块，以完成开标，电子投标文件自动失效。</w:t>
      </w:r>
    </w:p>
    <w:p>
      <w:pPr>
        <w:spacing w:beforeLines="0" w:afterLines="0" w:line="360" w:lineRule="auto"/>
        <w:ind w:firstLine="420" w:firstLineChars="200"/>
        <w:rPr>
          <w:rFonts w:hint="default" w:cs="宋体"/>
          <w:color w:val="auto"/>
          <w:sz w:val="21"/>
          <w:szCs w:val="21"/>
          <w:highlight w:val="none"/>
        </w:rPr>
      </w:pPr>
      <w:r>
        <w:t>（2）若因政府采购云平台原因无法读取或电子开评标无法正常进行，代理机构将开启所有供应商递交的纸质备份投标文件，以完成开标，电子投标文件及以U盘存储的电子备份投标文件自动失效。</w:t>
      </w:r>
    </w:p>
    <w:p>
      <w:pPr>
        <w:spacing w:beforeLines="0" w:afterLines="0" w:line="360" w:lineRule="auto"/>
        <w:ind w:firstLine="420" w:firstLineChars="200"/>
        <w:rPr>
          <w:rFonts w:hint="default" w:cs="宋体"/>
          <w:color w:val="auto"/>
          <w:sz w:val="21"/>
          <w:szCs w:val="21"/>
          <w:highlight w:val="none"/>
        </w:rPr>
      </w:pPr>
      <w:r>
        <w:t>（3）采购过程中出现以下情形，导致电子交易平台无法正常运行，或者无法保证电子交易的公平、公正和安全时，采购人（或代理机构）可中止电子交易活动：</w:t>
      </w:r>
    </w:p>
    <w:p>
      <w:pPr>
        <w:spacing w:beforeLines="0" w:afterLines="0" w:line="360" w:lineRule="auto"/>
        <w:ind w:firstLine="420" w:firstLineChars="200"/>
        <w:rPr>
          <w:rFonts w:hint="default" w:cs="宋体"/>
          <w:color w:val="auto"/>
          <w:sz w:val="21"/>
          <w:szCs w:val="21"/>
          <w:highlight w:val="none"/>
        </w:rPr>
      </w:pPr>
      <w:r>
        <w:t>①电子交易平台发生故障而无法登录访问的；</w:t>
      </w:r>
    </w:p>
    <w:p>
      <w:pPr>
        <w:spacing w:beforeLines="0" w:afterLines="0" w:line="360" w:lineRule="auto"/>
        <w:ind w:firstLine="420" w:firstLineChars="200"/>
        <w:rPr>
          <w:rFonts w:hint="default" w:cs="宋体"/>
          <w:color w:val="auto"/>
          <w:sz w:val="21"/>
          <w:szCs w:val="21"/>
          <w:highlight w:val="none"/>
        </w:rPr>
      </w:pPr>
      <w:r>
        <w:t>②电子交易平台应用或数据库出现错误，不能进行正常操作的；</w:t>
      </w:r>
    </w:p>
    <w:p>
      <w:pPr>
        <w:spacing w:beforeLines="0" w:afterLines="0" w:line="360" w:lineRule="auto"/>
        <w:ind w:firstLine="420" w:firstLineChars="200"/>
        <w:rPr>
          <w:rFonts w:hint="default" w:cs="宋体"/>
          <w:color w:val="auto"/>
          <w:sz w:val="21"/>
          <w:szCs w:val="21"/>
          <w:highlight w:val="none"/>
        </w:rPr>
      </w:pPr>
      <w:r>
        <w:t>③电子交易平台发现严重安全漏洞，有潜在泄密危险的；</w:t>
      </w:r>
    </w:p>
    <w:p>
      <w:pPr>
        <w:spacing w:beforeLines="0" w:afterLines="0" w:line="360" w:lineRule="auto"/>
        <w:ind w:firstLine="420" w:firstLineChars="200"/>
        <w:rPr>
          <w:rFonts w:hint="default" w:cs="宋体"/>
          <w:color w:val="auto"/>
          <w:sz w:val="21"/>
          <w:szCs w:val="21"/>
          <w:highlight w:val="none"/>
        </w:rPr>
      </w:pPr>
      <w:r>
        <w:t>④病毒发作导致不能进行正常操作的；</w:t>
      </w:r>
    </w:p>
    <w:p>
      <w:pPr>
        <w:spacing w:beforeLines="0" w:afterLines="0" w:line="360" w:lineRule="auto"/>
        <w:ind w:firstLine="420" w:firstLineChars="200"/>
        <w:rPr>
          <w:rFonts w:hint="default" w:cs="宋体"/>
          <w:color w:val="auto"/>
          <w:sz w:val="21"/>
          <w:szCs w:val="21"/>
          <w:highlight w:val="none"/>
        </w:rPr>
      </w:pPr>
      <w:r>
        <w:t>⑤其他无法保证电子交易的公平、公正和安全的情况。</w:t>
      </w:r>
    </w:p>
    <w:p>
      <w:pPr>
        <w:spacing w:beforeLines="0" w:afterLines="0" w:line="360" w:lineRule="auto"/>
        <w:ind w:firstLine="420" w:firstLineChars="200"/>
        <w:rPr>
          <w:rFonts w:hint="default" w:cs="宋体"/>
          <w:color w:val="auto"/>
          <w:sz w:val="21"/>
          <w:szCs w:val="21"/>
          <w:highlight w:val="none"/>
        </w:rPr>
      </w:pPr>
      <w:r>
        <w:t>出现前款规定情形，不影响采购公平、公正性的，采购人（或代理机构）可以待上述情形消除后继续组织电子交易活动。</w:t>
      </w:r>
    </w:p>
    <w:p>
      <w:pPr>
        <w:spacing w:beforeLines="0" w:afterLines="0" w:line="360" w:lineRule="auto"/>
        <w:ind w:firstLine="420" w:firstLineChars="200"/>
        <w:rPr>
          <w:rFonts w:hint="default" w:cs="宋体"/>
          <w:color w:val="auto"/>
          <w:sz w:val="21"/>
          <w:szCs w:val="21"/>
          <w:highlight w:val="none"/>
        </w:rPr>
      </w:pPr>
      <w:r>
        <w:t>（4）未开启的备份投标文件现场不予以退还。</w:t>
      </w:r>
    </w:p>
    <w:p>
      <w:pPr>
        <w:pStyle w:val="3"/>
        <w:spacing w:beforeLines="0" w:afterLines="0" w:line="360" w:lineRule="auto"/>
        <w:rPr>
          <w:rFonts w:hint="default"/>
          <w:color w:val="auto"/>
          <w:sz w:val="21"/>
          <w:szCs w:val="21"/>
          <w:highlight w:val="none"/>
        </w:rPr>
      </w:pPr>
      <w:r>
        <w:t>七、评标和定标</w:t>
      </w:r>
    </w:p>
    <w:p>
      <w:pPr>
        <w:spacing w:beforeLines="0" w:afterLines="0" w:line="360" w:lineRule="auto"/>
        <w:rPr>
          <w:rFonts w:hint="default"/>
          <w:color w:val="auto"/>
          <w:sz w:val="21"/>
          <w:szCs w:val="21"/>
          <w:highlight w:val="none"/>
        </w:rPr>
      </w:pPr>
      <w:r>
        <w:t>21、评标委员会</w:t>
      </w:r>
    </w:p>
    <w:p>
      <w:pPr>
        <w:spacing w:beforeLines="0" w:afterLines="0" w:line="360" w:lineRule="auto"/>
        <w:ind w:firstLine="420" w:firstLineChars="200"/>
        <w:rPr>
          <w:rFonts w:hint="default"/>
          <w:color w:val="auto"/>
          <w:sz w:val="21"/>
          <w:szCs w:val="21"/>
          <w:highlight w:val="none"/>
        </w:rPr>
      </w:pPr>
      <w:r>
        <w:t>21.1受采购人的委托，采购代理机构根据《中华人民共和国政府采购法》、财政部第87号令的规定和有关的法律法规组建评标委员会，评标委员会负责评标工作。评标委员会由采购人代表和评审专家组成。评审专家将在开标日之前在管理部门的评审专家库中随机抽取。评标委员会成员名单在评标结果公告前应当保密。</w:t>
      </w:r>
    </w:p>
    <w:p>
      <w:pPr>
        <w:spacing w:beforeLines="0" w:afterLines="0" w:line="360" w:lineRule="auto"/>
        <w:ind w:firstLine="420" w:firstLineChars="200"/>
        <w:rPr>
          <w:rFonts w:hint="default"/>
          <w:color w:val="auto"/>
          <w:sz w:val="21"/>
          <w:szCs w:val="21"/>
          <w:highlight w:val="none"/>
        </w:rPr>
      </w:pPr>
      <w:r>
        <w:t>21.2评标委员会将遵循公平、公正、科学、廉洁的原则和规定的程序进行评标，并且只依据投标文件本身对采购文件的响应情况进行评审，不考虑投标人在开标后提交的任何的补充声明、修正方案。</w:t>
      </w:r>
    </w:p>
    <w:p>
      <w:pPr>
        <w:spacing w:beforeLines="0" w:afterLines="0" w:line="360" w:lineRule="auto"/>
        <w:ind w:firstLine="420" w:firstLineChars="200"/>
        <w:rPr>
          <w:rFonts w:hint="default"/>
          <w:color w:val="auto"/>
          <w:sz w:val="21"/>
          <w:szCs w:val="21"/>
          <w:highlight w:val="none"/>
        </w:rPr>
      </w:pPr>
      <w:r>
        <w:t>21.3评标委员会将核对投标价格和服务内容，对发现的价格计算错误按下述原则处理：</w:t>
      </w:r>
    </w:p>
    <w:p>
      <w:pPr>
        <w:spacing w:beforeLines="0" w:afterLines="0" w:line="360" w:lineRule="auto"/>
        <w:ind w:firstLine="420" w:firstLineChars="200"/>
        <w:rPr>
          <w:rFonts w:hint="default"/>
          <w:color w:val="auto"/>
          <w:sz w:val="21"/>
          <w:szCs w:val="21"/>
          <w:highlight w:val="none"/>
        </w:rPr>
      </w:pPr>
      <w:r>
        <w:t>（1）投标文件中开标一览表内容与投标文件中相应内容不一致的，以开标一览表为准；</w:t>
      </w:r>
    </w:p>
    <w:p>
      <w:pPr>
        <w:spacing w:beforeLines="0" w:afterLines="0" w:line="360" w:lineRule="auto"/>
        <w:ind w:firstLine="420" w:firstLineChars="200"/>
        <w:rPr>
          <w:rFonts w:hint="default"/>
          <w:color w:val="auto"/>
          <w:sz w:val="21"/>
          <w:szCs w:val="21"/>
          <w:highlight w:val="none"/>
        </w:rPr>
      </w:pPr>
      <w:r>
        <w:t>（2）投标文件的大写金额和小写金额不一致的，以大写金额为准；</w:t>
      </w:r>
    </w:p>
    <w:p>
      <w:pPr>
        <w:spacing w:beforeLines="0" w:afterLines="0" w:line="360" w:lineRule="auto"/>
        <w:ind w:firstLine="420" w:firstLineChars="200"/>
        <w:rPr>
          <w:rFonts w:hint="default"/>
          <w:color w:val="auto"/>
          <w:sz w:val="21"/>
          <w:szCs w:val="21"/>
          <w:highlight w:val="none"/>
        </w:rPr>
      </w:pPr>
      <w:r>
        <w:t>（3）单价金额小数点或者百分比有明显错位的，以开标一览表的总价为准，并修改单价；</w:t>
      </w:r>
    </w:p>
    <w:p>
      <w:pPr>
        <w:spacing w:beforeLines="0" w:afterLines="0" w:line="360" w:lineRule="auto"/>
        <w:ind w:firstLine="420" w:firstLineChars="200"/>
        <w:rPr>
          <w:rFonts w:hint="default"/>
          <w:color w:val="auto"/>
          <w:sz w:val="21"/>
          <w:szCs w:val="21"/>
          <w:highlight w:val="none"/>
        </w:rPr>
      </w:pPr>
      <w:r>
        <w:t>（4）总价金额与按单价汇总金额不一致，以单价金额计算结果为准。</w:t>
      </w:r>
    </w:p>
    <w:p>
      <w:pPr>
        <w:spacing w:beforeLines="0" w:afterLines="0" w:line="360" w:lineRule="auto"/>
        <w:ind w:firstLine="422" w:firstLineChars="200"/>
        <w:rPr>
          <w:rFonts w:hint="default"/>
          <w:b/>
          <w:color w:val="auto"/>
          <w:sz w:val="21"/>
          <w:szCs w:val="21"/>
          <w:highlight w:val="none"/>
        </w:rPr>
      </w:pPr>
      <w:r>
        <w:t>（5）客户端填写的报价与以pdf格式上传文件中的报价不一致的，应以pdf格式上传文件中的报价为准。</w:t>
      </w:r>
    </w:p>
    <w:p>
      <w:pPr>
        <w:spacing w:beforeLines="0" w:afterLines="0" w:line="360" w:lineRule="auto"/>
        <w:ind w:firstLine="420" w:firstLineChars="200"/>
        <w:rPr>
          <w:rFonts w:hint="default"/>
          <w:color w:val="auto"/>
          <w:sz w:val="21"/>
          <w:szCs w:val="21"/>
          <w:highlight w:val="none"/>
        </w:rPr>
      </w:pPr>
      <w:r>
        <w:t>同时出现两种以上不一致的，按照前款规定的顺序修正。修正后的报价按照本须知的规定经投标人确认后产生约束力，投标人不确认的，其投标无效。</w:t>
      </w:r>
    </w:p>
    <w:p>
      <w:pPr>
        <w:spacing w:beforeLines="0" w:afterLines="0" w:line="360" w:lineRule="auto"/>
        <w:ind w:firstLine="420" w:firstLineChars="200"/>
        <w:rPr>
          <w:rFonts w:hint="default"/>
          <w:color w:val="auto"/>
          <w:sz w:val="21"/>
          <w:szCs w:val="21"/>
          <w:highlight w:val="none"/>
        </w:rPr>
      </w:pPr>
      <w:r>
        <w:t>21.4评标委员会根据采购文件的《评标办法》及在《投标资料表》和《招标内容和要求》中所列的具体标准，对投标文件进行评审和比较。</w:t>
      </w:r>
    </w:p>
    <w:p>
      <w:pPr>
        <w:spacing w:beforeLines="0" w:afterLines="0" w:line="360" w:lineRule="auto"/>
        <w:rPr>
          <w:rFonts w:hint="default"/>
          <w:color w:val="auto"/>
          <w:sz w:val="21"/>
          <w:szCs w:val="21"/>
          <w:highlight w:val="none"/>
        </w:rPr>
      </w:pPr>
      <w:r>
        <w:t>22、澄清问题的形式</w:t>
      </w:r>
    </w:p>
    <w:p>
      <w:pPr>
        <w:spacing w:beforeLines="0" w:afterLines="0" w:line="360" w:lineRule="auto"/>
        <w:ind w:firstLine="420" w:firstLineChars="200"/>
        <w:rPr>
          <w:rFonts w:hint="default"/>
          <w:color w:val="auto"/>
          <w:sz w:val="21"/>
          <w:szCs w:val="21"/>
          <w:highlight w:val="none"/>
        </w:rPr>
      </w:pPr>
      <w:r>
        <w:t>对于投标文件中含义不明确、同类问题表述不一致或者有明显文字和计算错误的内容，评标委员会应当以书面形式要求投标人作出必要的澄清、说明或者补正。</w:t>
      </w:r>
    </w:p>
    <w:p>
      <w:pPr>
        <w:spacing w:beforeLines="0" w:afterLines="0" w:line="360" w:lineRule="auto"/>
        <w:ind w:firstLine="420" w:firstLineChars="200"/>
        <w:rPr>
          <w:rFonts w:hint="default"/>
          <w:color w:val="auto"/>
          <w:sz w:val="21"/>
          <w:szCs w:val="21"/>
          <w:highlight w:val="none"/>
        </w:rPr>
      </w:pPr>
      <w:r>
        <w:t>投标人的澄清、说明或者补正应当采用书面形式，并加盖公章，或者由法定代表人或其授权的代表签字。投标人的澄清、说明或者补正不得超出投标文件的范围或者改变投标文件的实质性内容。</w:t>
      </w:r>
    </w:p>
    <w:p>
      <w:pPr>
        <w:spacing w:beforeLines="0" w:afterLines="0" w:line="360" w:lineRule="auto"/>
        <w:rPr>
          <w:rFonts w:hint="default"/>
          <w:color w:val="auto"/>
          <w:sz w:val="21"/>
          <w:szCs w:val="21"/>
          <w:highlight w:val="none"/>
        </w:rPr>
      </w:pPr>
      <w:r>
        <w:t>23、评标办法</w:t>
      </w:r>
    </w:p>
    <w:p>
      <w:pPr>
        <w:spacing w:beforeLines="0" w:afterLines="0" w:line="360" w:lineRule="auto"/>
        <w:ind w:firstLine="420" w:firstLineChars="200"/>
        <w:rPr>
          <w:rFonts w:hint="default"/>
          <w:color w:val="auto"/>
          <w:sz w:val="21"/>
          <w:szCs w:val="21"/>
          <w:highlight w:val="none"/>
        </w:rPr>
      </w:pPr>
      <w:r>
        <w:t>23.1本项目采用综合评分法。本次招标采用的评标方法具体说明载明在采购文件“评标办法”部分中。</w:t>
      </w:r>
    </w:p>
    <w:p>
      <w:pPr>
        <w:spacing w:beforeLines="0" w:afterLines="0" w:line="360" w:lineRule="auto"/>
        <w:ind w:firstLine="420" w:firstLineChars="200"/>
        <w:rPr>
          <w:rFonts w:hint="default"/>
          <w:color w:val="auto"/>
          <w:sz w:val="21"/>
          <w:szCs w:val="21"/>
          <w:highlight w:val="none"/>
        </w:rPr>
      </w:pPr>
      <w:r>
        <w:t>23.2综合评分法：</w:t>
      </w:r>
    </w:p>
    <w:p>
      <w:pPr>
        <w:spacing w:beforeLines="0" w:afterLines="0" w:line="360" w:lineRule="auto"/>
        <w:ind w:firstLine="420" w:firstLineChars="200"/>
        <w:rPr>
          <w:rFonts w:hint="default"/>
          <w:color w:val="auto"/>
          <w:sz w:val="21"/>
          <w:szCs w:val="21"/>
          <w:highlight w:val="none"/>
        </w:rPr>
      </w:pPr>
      <w:r>
        <w:t>投标文件满足采购文件全部实质性要求，且按照评审因素的量化指标评审得分最高的投标人为中标候选人的评标方法。</w:t>
      </w:r>
    </w:p>
    <w:p>
      <w:pPr>
        <w:spacing w:beforeLines="0" w:afterLines="0" w:line="360" w:lineRule="auto"/>
        <w:rPr>
          <w:rFonts w:hint="default"/>
          <w:color w:val="auto"/>
          <w:sz w:val="21"/>
          <w:szCs w:val="21"/>
          <w:highlight w:val="none"/>
        </w:rPr>
      </w:pPr>
      <w:r>
        <w:t>24、评标程序和原则</w:t>
      </w:r>
    </w:p>
    <w:p>
      <w:pPr>
        <w:spacing w:beforeLines="0" w:afterLines="0" w:line="360" w:lineRule="auto"/>
        <w:ind w:firstLine="420" w:firstLineChars="200"/>
        <w:rPr>
          <w:rFonts w:hint="default"/>
          <w:color w:val="auto"/>
          <w:sz w:val="21"/>
          <w:szCs w:val="21"/>
          <w:highlight w:val="none"/>
        </w:rPr>
      </w:pPr>
      <w:r>
        <w:t>24.1评标程序：遵循初步审查、澄清有关问题、比较与评价、推荐中标候选人的程序依次进行。</w:t>
      </w:r>
    </w:p>
    <w:p>
      <w:pPr>
        <w:spacing w:beforeLines="0" w:afterLines="0" w:line="360" w:lineRule="auto"/>
        <w:ind w:firstLine="420" w:firstLineChars="200"/>
        <w:rPr>
          <w:rFonts w:hint="default"/>
          <w:color w:val="auto"/>
          <w:sz w:val="21"/>
          <w:szCs w:val="21"/>
          <w:highlight w:val="none"/>
        </w:rPr>
      </w:pPr>
      <w:r>
        <w:t>24.2初步审查：包含资格性审查和符合性审查。初步审查不合格者不进入澄清有关问题及后续的评标程序。</w:t>
      </w:r>
    </w:p>
    <w:p>
      <w:pPr>
        <w:spacing w:beforeLines="0" w:afterLines="0" w:line="360" w:lineRule="auto"/>
        <w:ind w:firstLine="315" w:firstLineChars="150"/>
        <w:rPr>
          <w:rFonts w:hint="default"/>
          <w:color w:val="auto"/>
          <w:sz w:val="21"/>
          <w:szCs w:val="21"/>
          <w:highlight w:val="none"/>
        </w:rPr>
      </w:pPr>
      <w:r>
        <w:t>（1）资格性审查：</w:t>
      </w:r>
    </w:p>
    <w:p>
      <w:pPr>
        <w:spacing w:beforeLines="0" w:afterLines="0" w:line="360" w:lineRule="auto"/>
        <w:ind w:firstLine="420" w:firstLineChars="200"/>
        <w:rPr>
          <w:rFonts w:hint="default"/>
          <w:color w:val="auto"/>
          <w:sz w:val="21"/>
          <w:szCs w:val="21"/>
          <w:highlight w:val="none"/>
        </w:rPr>
      </w:pPr>
      <w:r>
        <w:t>依据法律法规和采购文件的规定，采购人或采购代理机构对其资格证明文件齐全性和有效性等方面进行审查，以确定投标人是否具备投标资格。</w:t>
      </w:r>
    </w:p>
    <w:p>
      <w:pPr>
        <w:spacing w:beforeLines="0" w:afterLines="0" w:line="360" w:lineRule="auto"/>
        <w:ind w:firstLine="420" w:firstLineChars="200"/>
        <w:rPr>
          <w:rFonts w:hint="default"/>
          <w:color w:val="auto"/>
          <w:sz w:val="21"/>
          <w:szCs w:val="21"/>
          <w:highlight w:val="none"/>
        </w:rPr>
      </w:pPr>
      <w:r>
        <w:t>（2）符合性检查：</w:t>
      </w:r>
    </w:p>
    <w:p>
      <w:pPr>
        <w:spacing w:beforeLines="0" w:afterLines="0" w:line="360" w:lineRule="auto"/>
        <w:ind w:firstLine="420" w:firstLineChars="200"/>
        <w:rPr>
          <w:rFonts w:hint="default"/>
          <w:color w:val="auto"/>
          <w:sz w:val="21"/>
          <w:szCs w:val="21"/>
          <w:highlight w:val="none"/>
        </w:rPr>
      </w:pPr>
      <w:r>
        <w:t>依据采购文件的规定，评标委员会从投标文件的有效性、完整性和对采购文件的响应程度进行审查，以确定是否对采购文件的要求作出实质性响应。</w:t>
      </w:r>
    </w:p>
    <w:p>
      <w:pPr>
        <w:spacing w:beforeLines="0" w:afterLines="0" w:line="360" w:lineRule="auto"/>
        <w:ind w:firstLine="420" w:firstLineChars="200"/>
        <w:rPr>
          <w:rFonts w:hint="default"/>
          <w:color w:val="auto"/>
          <w:sz w:val="21"/>
          <w:szCs w:val="21"/>
          <w:highlight w:val="none"/>
        </w:rPr>
      </w:pPr>
      <w:r>
        <w:t>24.3澄清有关问题：按第22条规定进行。</w:t>
      </w:r>
    </w:p>
    <w:p>
      <w:pPr>
        <w:spacing w:beforeLines="0" w:afterLines="0" w:line="360" w:lineRule="auto"/>
        <w:ind w:firstLine="420" w:firstLineChars="200"/>
        <w:rPr>
          <w:rFonts w:hint="default"/>
          <w:color w:val="auto"/>
          <w:sz w:val="21"/>
          <w:szCs w:val="21"/>
          <w:highlight w:val="none"/>
        </w:rPr>
      </w:pPr>
      <w:r>
        <w:t>24.4比较与评价：</w:t>
      </w:r>
    </w:p>
    <w:p>
      <w:pPr>
        <w:spacing w:beforeLines="0" w:afterLines="0" w:line="360" w:lineRule="auto"/>
        <w:ind w:firstLine="420" w:firstLineChars="200"/>
        <w:rPr>
          <w:rFonts w:hint="default"/>
          <w:color w:val="auto"/>
          <w:sz w:val="21"/>
          <w:szCs w:val="21"/>
          <w:highlight w:val="none"/>
        </w:rPr>
      </w:pPr>
      <w:r>
        <w:t>24.4.1技术商务评价：按照采购文件的要求和《评标标准》对照投标文件的响应进行技术商务评价，评定其偏差程度，并计算其相应的技术商务评分分值。</w:t>
      </w:r>
    </w:p>
    <w:p>
      <w:pPr>
        <w:spacing w:beforeLines="0" w:afterLines="0" w:line="360" w:lineRule="auto"/>
        <w:ind w:firstLine="420" w:firstLineChars="200"/>
        <w:rPr>
          <w:rFonts w:hint="default"/>
          <w:color w:val="auto"/>
          <w:sz w:val="21"/>
          <w:szCs w:val="21"/>
          <w:highlight w:val="none"/>
        </w:rPr>
      </w:pPr>
      <w:r>
        <w:t>24.4.2综合评价：对经过技术商务评价的投标，按《评标标准》规定的评价办法进行综合评价，并按以下原则进行评审计算：</w:t>
      </w:r>
    </w:p>
    <w:p>
      <w:pPr>
        <w:spacing w:beforeLines="0" w:afterLines="0" w:line="360" w:lineRule="auto"/>
        <w:ind w:firstLine="420" w:firstLineChars="200"/>
        <w:rPr>
          <w:rFonts w:hint="default"/>
          <w:color w:val="auto"/>
          <w:sz w:val="21"/>
          <w:szCs w:val="21"/>
          <w:highlight w:val="none"/>
        </w:rPr>
      </w:pPr>
      <w:r>
        <w:t>综合评分法的最终得分计算：综合得分=报价得分+技术商务评审得分</w:t>
      </w:r>
    </w:p>
    <w:p>
      <w:pPr>
        <w:spacing w:beforeLines="0" w:afterLines="0" w:line="360" w:lineRule="auto"/>
        <w:ind w:firstLine="420" w:firstLineChars="200"/>
        <w:rPr>
          <w:rFonts w:hint="default"/>
          <w:color w:val="auto"/>
          <w:sz w:val="21"/>
          <w:szCs w:val="21"/>
          <w:highlight w:val="none"/>
        </w:rPr>
      </w:pPr>
      <w:r>
        <w:t>综合评价结束，按照上述第23条规定，列出进入最终评审各投标人排序次序。</w:t>
      </w:r>
    </w:p>
    <w:p>
      <w:pPr>
        <w:spacing w:beforeLines="0" w:afterLines="0" w:line="360" w:lineRule="auto"/>
        <w:ind w:firstLine="420" w:firstLineChars="200"/>
        <w:rPr>
          <w:rFonts w:hint="default"/>
          <w:color w:val="auto"/>
          <w:sz w:val="21"/>
          <w:szCs w:val="21"/>
          <w:highlight w:val="none"/>
        </w:rPr>
      </w:pPr>
      <w:r>
        <w:t>24.5推荐中标候选人：按25条规定推荐中标候选人。</w:t>
      </w:r>
    </w:p>
    <w:p>
      <w:pPr>
        <w:spacing w:beforeLines="0" w:afterLines="0" w:line="360" w:lineRule="auto"/>
        <w:rPr>
          <w:rFonts w:hint="default"/>
          <w:color w:val="auto"/>
          <w:sz w:val="21"/>
          <w:szCs w:val="21"/>
          <w:highlight w:val="none"/>
        </w:rPr>
      </w:pPr>
      <w:r>
        <w:t>25、推荐中标候选人</w:t>
      </w:r>
    </w:p>
    <w:p>
      <w:pPr>
        <w:spacing w:beforeLines="0" w:afterLines="0" w:line="360" w:lineRule="auto"/>
        <w:ind w:firstLine="420" w:firstLineChars="200"/>
        <w:rPr>
          <w:rFonts w:hint="default"/>
          <w:color w:val="auto"/>
          <w:sz w:val="21"/>
          <w:szCs w:val="21"/>
          <w:highlight w:val="none"/>
        </w:rPr>
      </w:pPr>
      <w:r>
        <w:t>评标委员会根据各有效投标人的综合得分由高到低排定顺序，推荐本项目的中标候选人。</w:t>
      </w:r>
    </w:p>
    <w:p>
      <w:pPr>
        <w:spacing w:beforeLines="0" w:afterLines="0" w:line="360" w:lineRule="auto"/>
        <w:rPr>
          <w:rFonts w:hint="default"/>
          <w:color w:val="auto"/>
          <w:sz w:val="21"/>
          <w:szCs w:val="21"/>
          <w:highlight w:val="none"/>
        </w:rPr>
      </w:pPr>
      <w:r>
        <w:t>26、招标方式转换</w:t>
      </w:r>
    </w:p>
    <w:p>
      <w:pPr>
        <w:spacing w:beforeLines="0" w:afterLines="0" w:line="360" w:lineRule="auto"/>
        <w:ind w:firstLine="420" w:firstLineChars="200"/>
        <w:rPr>
          <w:rFonts w:hint="default"/>
          <w:color w:val="auto"/>
          <w:sz w:val="21"/>
          <w:szCs w:val="21"/>
          <w:highlight w:val="none"/>
        </w:rPr>
      </w:pPr>
      <w:r>
        <w:t xml:space="preserve">公开招标数额标准以上的招标项目，投标截止后投标人不足3家或者通过资格审查或符合性审查的投标人不足3家的，除招标任务取消情形外，按照以下方式处理： </w:t>
      </w:r>
    </w:p>
    <w:p>
      <w:pPr>
        <w:spacing w:beforeLines="0" w:afterLines="0" w:line="360" w:lineRule="auto"/>
        <w:ind w:firstLine="420" w:firstLineChars="200"/>
        <w:rPr>
          <w:rFonts w:hint="default"/>
          <w:color w:val="auto"/>
          <w:sz w:val="21"/>
          <w:szCs w:val="21"/>
          <w:highlight w:val="none"/>
        </w:rPr>
      </w:pPr>
      <w:r>
        <w:t xml:space="preserve">26.1采购文件存在不合理条款或者招标程序不符合规定的，采购人、采购代理机构改正后依法重新招标; </w:t>
      </w:r>
    </w:p>
    <w:p>
      <w:pPr>
        <w:spacing w:beforeLines="0" w:afterLines="0" w:line="360" w:lineRule="auto"/>
        <w:ind w:firstLine="420" w:firstLineChars="200"/>
        <w:rPr>
          <w:rFonts w:hint="default"/>
          <w:color w:val="auto"/>
          <w:sz w:val="21"/>
          <w:szCs w:val="21"/>
          <w:highlight w:val="none"/>
        </w:rPr>
      </w:pPr>
      <w:r>
        <w:t xml:space="preserve">26.2采购文件没有不合理条款、招标程序符合规定，需要采用其他招标方式招标的，采购人依法报监管部门批准。 </w:t>
      </w:r>
    </w:p>
    <w:p>
      <w:pPr>
        <w:spacing w:beforeLines="0" w:afterLines="0" w:line="360" w:lineRule="auto"/>
        <w:rPr>
          <w:rFonts w:hint="default"/>
          <w:color w:val="auto"/>
          <w:sz w:val="21"/>
          <w:szCs w:val="21"/>
          <w:highlight w:val="none"/>
        </w:rPr>
      </w:pPr>
      <w:r>
        <w:t>27、评标过程的监控与保密</w:t>
      </w:r>
    </w:p>
    <w:p>
      <w:pPr>
        <w:spacing w:beforeLines="0" w:afterLines="0" w:line="360" w:lineRule="auto"/>
        <w:ind w:firstLine="420" w:firstLineChars="200"/>
        <w:rPr>
          <w:rFonts w:hint="default"/>
          <w:color w:val="auto"/>
          <w:sz w:val="21"/>
          <w:szCs w:val="21"/>
          <w:highlight w:val="none"/>
        </w:rPr>
      </w:pPr>
      <w:r>
        <w:t>27.1本项目评标过程实行全程录音、录像监控，投标人在评标过程中所进行的试图影响评标结果的不公正活动，可能导致其投标被拒绝。</w:t>
      </w:r>
    </w:p>
    <w:p>
      <w:pPr>
        <w:spacing w:beforeLines="0" w:afterLines="0" w:line="360" w:lineRule="auto"/>
        <w:ind w:firstLine="420" w:firstLineChars="200"/>
        <w:rPr>
          <w:rFonts w:hint="default"/>
          <w:color w:val="auto"/>
          <w:sz w:val="21"/>
          <w:szCs w:val="21"/>
          <w:highlight w:val="none"/>
        </w:rPr>
      </w:pPr>
      <w:r>
        <w:t>27.2开标后到中标通知书发出之前，所有涉及评标委员会名单以及对投标文件的澄清、评价、比较等情况，评标委员会成员、采购人和采购代理机构的有关人员均不得向投标人或其他无关人员透露。</w:t>
      </w:r>
    </w:p>
    <w:p>
      <w:pPr>
        <w:spacing w:beforeLines="0" w:afterLines="0" w:line="360" w:lineRule="auto"/>
        <w:rPr>
          <w:rFonts w:hint="default"/>
          <w:color w:val="auto"/>
          <w:sz w:val="21"/>
          <w:szCs w:val="21"/>
          <w:highlight w:val="none"/>
        </w:rPr>
      </w:pPr>
      <w:r>
        <w:t>28、确定中标人、评标结果公示与质疑</w:t>
      </w:r>
    </w:p>
    <w:p>
      <w:pPr>
        <w:spacing w:beforeLines="0" w:afterLines="0" w:line="360" w:lineRule="auto"/>
        <w:ind w:firstLine="420" w:firstLineChars="200"/>
        <w:rPr>
          <w:rFonts w:hint="default"/>
          <w:color w:val="auto"/>
          <w:sz w:val="21"/>
          <w:szCs w:val="21"/>
          <w:highlight w:val="none"/>
        </w:rPr>
      </w:pPr>
      <w:r>
        <w:t>28.1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beforeLines="0" w:afterLines="0" w:line="360" w:lineRule="auto"/>
        <w:ind w:firstLine="420" w:firstLineChars="200"/>
        <w:rPr>
          <w:rFonts w:hint="default"/>
          <w:color w:val="auto"/>
          <w:sz w:val="21"/>
          <w:szCs w:val="21"/>
          <w:highlight w:val="none"/>
        </w:rPr>
      </w:pPr>
      <w:r>
        <w:t>28.2代理机构自中标人确定之日起2个工作日内，在发布招标公告的网站上对中标结果进行公示，中标结果公告期限为1个工作日。</w:t>
      </w:r>
    </w:p>
    <w:p>
      <w:pPr>
        <w:spacing w:beforeLines="0" w:afterLines="0" w:line="360" w:lineRule="auto"/>
        <w:ind w:firstLine="420" w:firstLineChars="200"/>
        <w:rPr>
          <w:rFonts w:hint="default"/>
          <w:color w:val="auto"/>
          <w:sz w:val="21"/>
          <w:szCs w:val="21"/>
          <w:highlight w:val="none"/>
        </w:rPr>
      </w:pPr>
      <w:r>
        <w:t>28.3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122"/>
    <w:bookmarkEnd w:id="123"/>
    <w:bookmarkEnd w:id="124"/>
    <w:bookmarkEnd w:id="125"/>
    <w:p>
      <w:pPr>
        <w:pStyle w:val="3"/>
        <w:spacing w:beforeLines="0" w:afterLines="0" w:line="360" w:lineRule="auto"/>
        <w:rPr>
          <w:rFonts w:hint="default"/>
          <w:color w:val="auto"/>
          <w:sz w:val="21"/>
          <w:szCs w:val="21"/>
          <w:highlight w:val="none"/>
        </w:rPr>
      </w:pPr>
      <w:r>
        <w:t>八、无效投标认定</w:t>
      </w:r>
    </w:p>
    <w:p>
      <w:pPr>
        <w:spacing w:beforeLines="0" w:afterLines="0" w:line="360" w:lineRule="auto"/>
        <w:rPr>
          <w:rFonts w:hint="default"/>
          <w:color w:val="auto"/>
          <w:sz w:val="21"/>
          <w:szCs w:val="21"/>
          <w:highlight w:val="none"/>
        </w:rPr>
      </w:pPr>
      <w:r>
        <w:t>29、实质上没有响应采购文件要求的投标将被视为无效投标。</w:t>
      </w:r>
    </w:p>
    <w:p>
      <w:pPr>
        <w:spacing w:beforeLines="0" w:afterLines="0" w:line="360" w:lineRule="auto"/>
        <w:ind w:firstLine="420" w:firstLineChars="200"/>
        <w:rPr>
          <w:rFonts w:hint="default"/>
          <w:color w:val="auto"/>
          <w:sz w:val="21"/>
          <w:szCs w:val="21"/>
          <w:highlight w:val="none"/>
        </w:rPr>
      </w:pPr>
      <w:r>
        <w:t>29.1在资格审查时，不具备采购文件中规定的资格要求的，或者资格证明文件不全的，投标文件将被视为无效。</w:t>
      </w:r>
    </w:p>
    <w:p>
      <w:pPr>
        <w:spacing w:beforeLines="0" w:afterLines="0" w:line="360" w:lineRule="auto"/>
        <w:ind w:firstLine="420" w:firstLineChars="200"/>
        <w:rPr>
          <w:rFonts w:hint="default"/>
          <w:color w:val="auto"/>
          <w:sz w:val="21"/>
          <w:szCs w:val="21"/>
          <w:highlight w:val="none"/>
        </w:rPr>
      </w:pPr>
      <w:r>
        <w:t>29.2在符合性审查时，如发现下列情形之一的，投标文件将被视为无效：</w:t>
      </w:r>
    </w:p>
    <w:p>
      <w:pPr>
        <w:pStyle w:val="12"/>
        <w:spacing w:beforeLines="0" w:afterLines="0" w:line="360" w:lineRule="auto"/>
        <w:ind w:right="-252"/>
        <w:rPr>
          <w:rFonts w:hint="default"/>
          <w:color w:val="auto"/>
          <w:sz w:val="21"/>
          <w:szCs w:val="21"/>
          <w:highlight w:val="none"/>
        </w:rPr>
      </w:pPr>
      <w:r>
        <w:t>（1）投标文件未按采购文件要求签署、签章的；</w:t>
      </w:r>
    </w:p>
    <w:p>
      <w:pPr>
        <w:pStyle w:val="12"/>
        <w:spacing w:beforeLines="0" w:afterLines="0" w:line="360" w:lineRule="auto"/>
        <w:ind w:right="-252"/>
        <w:rPr>
          <w:rFonts w:hint="default"/>
          <w:color w:val="auto"/>
          <w:sz w:val="21"/>
          <w:szCs w:val="21"/>
          <w:highlight w:val="none"/>
        </w:rPr>
      </w:pPr>
      <w:r>
        <w:t>（2）投标有效期不满足采购文件要求的；</w:t>
      </w:r>
    </w:p>
    <w:p>
      <w:pPr>
        <w:pStyle w:val="12"/>
        <w:spacing w:beforeLines="0" w:afterLines="0" w:line="360" w:lineRule="auto"/>
        <w:ind w:right="-252"/>
        <w:rPr>
          <w:rFonts w:hint="default"/>
          <w:color w:val="auto"/>
          <w:sz w:val="21"/>
          <w:szCs w:val="21"/>
          <w:highlight w:val="none"/>
        </w:rPr>
      </w:pPr>
      <w:r>
        <w:t>（3）明显不符合采购文件要求的，或者与采购文件中标注“★”的条款发生实质性偏离的；</w:t>
      </w:r>
    </w:p>
    <w:p>
      <w:pPr>
        <w:pStyle w:val="12"/>
        <w:spacing w:beforeLines="0" w:afterLines="0" w:line="360" w:lineRule="auto"/>
        <w:ind w:right="-252"/>
        <w:rPr>
          <w:rFonts w:hint="default"/>
          <w:color w:val="auto"/>
          <w:sz w:val="21"/>
          <w:szCs w:val="21"/>
          <w:highlight w:val="none"/>
        </w:rPr>
      </w:pPr>
      <w:r>
        <w:t>（4）投标文件中含有采购人不能接受的附加条件的；</w:t>
      </w:r>
    </w:p>
    <w:p>
      <w:pPr>
        <w:pStyle w:val="12"/>
        <w:spacing w:beforeLines="0" w:afterLines="0" w:line="360" w:lineRule="auto"/>
        <w:ind w:right="-252"/>
        <w:rPr>
          <w:rFonts w:hint="default"/>
          <w:color w:val="auto"/>
          <w:sz w:val="21"/>
          <w:szCs w:val="21"/>
          <w:highlight w:val="none"/>
        </w:rPr>
      </w:pPr>
      <w:r>
        <w:t>（5）委托人未提供法定代表人授权委托书、填写项目不齐全的；</w:t>
      </w:r>
    </w:p>
    <w:p>
      <w:pPr>
        <w:pStyle w:val="12"/>
        <w:spacing w:beforeLines="0" w:afterLines="0" w:line="360" w:lineRule="auto"/>
        <w:ind w:right="-252"/>
        <w:rPr>
          <w:rFonts w:hint="default"/>
          <w:color w:val="auto"/>
          <w:sz w:val="21"/>
          <w:szCs w:val="21"/>
          <w:highlight w:val="none"/>
        </w:rPr>
      </w:pPr>
      <w:r>
        <w:t>（6）投标文件格式不规范、提供资料不齐全或者内容虚假的；</w:t>
      </w:r>
    </w:p>
    <w:p>
      <w:pPr>
        <w:pStyle w:val="12"/>
        <w:spacing w:beforeLines="0" w:afterLines="0" w:line="360" w:lineRule="auto"/>
        <w:ind w:right="-252"/>
        <w:rPr>
          <w:rFonts w:hint="default"/>
          <w:color w:val="auto"/>
          <w:sz w:val="21"/>
          <w:szCs w:val="21"/>
          <w:highlight w:val="none"/>
        </w:rPr>
      </w:pPr>
      <w:r>
        <w:t>（7）投标文件的实质性内容未使用中文表述、表述不明确、前后矛盾或者使用计量单位不符合采购文件要求的（经评标委员会认定并允许其当场更正的笔误除外）；</w:t>
      </w:r>
    </w:p>
    <w:p>
      <w:pPr>
        <w:pStyle w:val="12"/>
        <w:spacing w:beforeLines="0" w:afterLines="0" w:line="360" w:lineRule="auto"/>
        <w:ind w:right="-252"/>
        <w:rPr>
          <w:rFonts w:hint="default"/>
          <w:color w:val="auto"/>
          <w:sz w:val="21"/>
          <w:szCs w:val="21"/>
          <w:highlight w:val="none"/>
        </w:rPr>
      </w:pPr>
      <w:r>
        <w:t>（8）投标文件的关键内容字迹模糊、无法辨认的，或者投标文件中经修正的内容字迹模糊难以辨认或者修改处未按规定签署、盖章的；</w:t>
      </w:r>
    </w:p>
    <w:p>
      <w:pPr>
        <w:pStyle w:val="12"/>
        <w:spacing w:beforeLines="0" w:afterLines="0" w:line="360" w:lineRule="auto"/>
        <w:ind w:right="-252"/>
        <w:rPr>
          <w:rFonts w:hint="default"/>
          <w:color w:val="auto"/>
          <w:sz w:val="21"/>
          <w:szCs w:val="21"/>
          <w:highlight w:val="none"/>
        </w:rPr>
      </w:pPr>
      <w:r>
        <w:t>（9）法律、法规和采购文件规定的其他无效情形。</w:t>
      </w:r>
    </w:p>
    <w:p>
      <w:pPr>
        <w:spacing w:beforeLines="0" w:afterLines="0" w:line="360" w:lineRule="auto"/>
        <w:ind w:firstLine="420" w:firstLineChars="200"/>
        <w:rPr>
          <w:rFonts w:hint="default"/>
          <w:color w:val="auto"/>
          <w:sz w:val="21"/>
          <w:szCs w:val="21"/>
          <w:highlight w:val="none"/>
        </w:rPr>
      </w:pPr>
      <w:r>
        <w:t>29.3在技术商务评审时，如发现下列情形之一的，投标文件将被视为无效：</w:t>
      </w:r>
    </w:p>
    <w:p>
      <w:pPr>
        <w:pStyle w:val="12"/>
        <w:spacing w:beforeLines="0" w:afterLines="0" w:line="360" w:lineRule="auto"/>
        <w:ind w:right="-252"/>
        <w:rPr>
          <w:rFonts w:hint="default"/>
          <w:color w:val="auto"/>
          <w:sz w:val="21"/>
          <w:szCs w:val="21"/>
          <w:highlight w:val="none"/>
        </w:rPr>
      </w:pPr>
      <w:r>
        <w:t>（1）未提供或未如实提供投标货物的技术参数，或者投标文件标明的响应或偏离与事实不符或虚假投标的；</w:t>
      </w:r>
    </w:p>
    <w:p>
      <w:pPr>
        <w:pStyle w:val="12"/>
        <w:spacing w:beforeLines="0" w:afterLines="0" w:line="360" w:lineRule="auto"/>
        <w:ind w:right="-252"/>
        <w:rPr>
          <w:rFonts w:hint="default"/>
          <w:color w:val="auto"/>
          <w:sz w:val="21"/>
          <w:szCs w:val="21"/>
          <w:highlight w:val="none"/>
        </w:rPr>
      </w:pPr>
      <w:r>
        <w:t>（2）明显不符合采购文件要求的规格型号、质量标准，或者与采购文件中标“★”的技术指标、主要功能项目发生实质性偏离的；</w:t>
      </w:r>
    </w:p>
    <w:p>
      <w:pPr>
        <w:pStyle w:val="12"/>
        <w:spacing w:beforeLines="0" w:afterLines="0" w:line="360" w:lineRule="auto"/>
        <w:ind w:right="-252"/>
        <w:rPr>
          <w:rFonts w:hint="default"/>
          <w:color w:val="auto"/>
          <w:sz w:val="21"/>
          <w:szCs w:val="21"/>
          <w:highlight w:val="none"/>
        </w:rPr>
      </w:pPr>
      <w:r>
        <w:t>（3）投标技术方案不明确，存在一个或一个以上备选（替代）投标方案的。</w:t>
      </w:r>
    </w:p>
    <w:p>
      <w:pPr>
        <w:spacing w:beforeLines="0" w:afterLines="0" w:line="360" w:lineRule="auto"/>
        <w:ind w:firstLine="420" w:firstLineChars="200"/>
        <w:rPr>
          <w:rFonts w:hint="default"/>
          <w:color w:val="auto"/>
          <w:sz w:val="21"/>
          <w:szCs w:val="21"/>
          <w:highlight w:val="none"/>
        </w:rPr>
      </w:pPr>
      <w:r>
        <w:t>29.4在报价评审时，如发现下列情形之一的，投标文件将被视为无效：</w:t>
      </w:r>
    </w:p>
    <w:p>
      <w:pPr>
        <w:pStyle w:val="12"/>
        <w:spacing w:beforeLines="0" w:afterLines="0" w:line="360" w:lineRule="auto"/>
        <w:ind w:right="-252"/>
        <w:rPr>
          <w:rFonts w:hint="default"/>
          <w:color w:val="auto"/>
          <w:sz w:val="21"/>
          <w:szCs w:val="21"/>
          <w:highlight w:val="none"/>
        </w:rPr>
      </w:pPr>
      <w:r>
        <w:t>（1）报价超过采购文件中规定的预算金额或者最高限价的；</w:t>
      </w:r>
    </w:p>
    <w:p>
      <w:pPr>
        <w:pStyle w:val="12"/>
        <w:spacing w:beforeLines="0" w:afterLines="0" w:line="360" w:lineRule="auto"/>
        <w:ind w:right="-252"/>
        <w:rPr>
          <w:rFonts w:hint="default"/>
          <w:color w:val="auto"/>
          <w:sz w:val="21"/>
          <w:szCs w:val="21"/>
          <w:highlight w:val="none"/>
        </w:rPr>
      </w:pPr>
      <w:r>
        <w:t>（2）未采用采购文件要求的报价形式报价的；</w:t>
      </w:r>
    </w:p>
    <w:p>
      <w:pPr>
        <w:pStyle w:val="12"/>
        <w:spacing w:beforeLines="0" w:afterLines="0" w:line="360" w:lineRule="auto"/>
        <w:ind w:right="-252"/>
        <w:rPr>
          <w:rFonts w:hint="default"/>
          <w:color w:val="auto"/>
          <w:sz w:val="21"/>
          <w:szCs w:val="21"/>
          <w:highlight w:val="none"/>
        </w:rPr>
      </w:pPr>
      <w:r>
        <w:t>（3）投标报价具有选择性的；</w:t>
      </w:r>
    </w:p>
    <w:p>
      <w:pPr>
        <w:pStyle w:val="12"/>
        <w:spacing w:beforeLines="0" w:afterLines="0" w:line="360" w:lineRule="auto"/>
        <w:ind w:right="-252"/>
        <w:rPr>
          <w:rFonts w:hint="default"/>
          <w:color w:val="auto"/>
          <w:sz w:val="21"/>
          <w:szCs w:val="21"/>
          <w:highlight w:val="none"/>
        </w:rPr>
      </w:pPr>
      <w:r>
        <w:t>（4）投标人的报价低于其他通过符合性审查投标人的报价，评标委员会认为有可能影响产品质量或者不能诚信履约，要求其在评标现场合理的时间内提供书面说明，必要时提交相关证明材料，投标人不能证明其报价合理性的；</w:t>
      </w:r>
    </w:p>
    <w:p>
      <w:pPr>
        <w:pStyle w:val="12"/>
        <w:spacing w:beforeLines="0" w:afterLines="0" w:line="360" w:lineRule="auto"/>
        <w:ind w:right="-252"/>
        <w:rPr>
          <w:rFonts w:hint="default"/>
          <w:color w:val="auto"/>
          <w:sz w:val="21"/>
          <w:szCs w:val="21"/>
          <w:highlight w:val="none"/>
        </w:rPr>
      </w:pPr>
      <w:r>
        <w:t>（5）投标报价中出现重大缺项、漏项或被评标委员会认为投标人的报价明显低于其他通过符合性审查投标人的报价，且投标人不能证明其报价合理性的；</w:t>
      </w:r>
    </w:p>
    <w:p>
      <w:pPr>
        <w:pStyle w:val="12"/>
        <w:spacing w:beforeLines="0" w:afterLines="0" w:line="360" w:lineRule="auto"/>
        <w:ind w:right="-252"/>
        <w:rPr>
          <w:rFonts w:hint="default"/>
          <w:color w:val="auto"/>
          <w:sz w:val="21"/>
          <w:szCs w:val="21"/>
          <w:highlight w:val="none"/>
        </w:rPr>
      </w:pPr>
      <w:r>
        <w:t>（6）采购文件规定的其他无效情形。</w:t>
      </w:r>
    </w:p>
    <w:p>
      <w:pPr>
        <w:spacing w:beforeLines="0" w:afterLines="0" w:line="360" w:lineRule="auto"/>
        <w:ind w:firstLine="420" w:firstLineChars="200"/>
        <w:rPr>
          <w:rFonts w:hint="default"/>
          <w:color w:val="auto"/>
          <w:sz w:val="21"/>
          <w:szCs w:val="21"/>
          <w:highlight w:val="none"/>
        </w:rPr>
      </w:pPr>
      <w:r>
        <w:t>29.5被拒绝的投标文件为无效。</w:t>
      </w:r>
    </w:p>
    <w:bookmarkEnd w:id="139"/>
    <w:bookmarkEnd w:id="140"/>
    <w:bookmarkEnd w:id="141"/>
    <w:bookmarkEnd w:id="142"/>
    <w:p>
      <w:pPr>
        <w:pStyle w:val="3"/>
        <w:spacing w:beforeLines="0" w:afterLines="0" w:line="360" w:lineRule="auto"/>
        <w:rPr>
          <w:rFonts w:hint="default"/>
          <w:color w:val="auto"/>
          <w:sz w:val="21"/>
          <w:szCs w:val="21"/>
          <w:highlight w:val="none"/>
        </w:rPr>
      </w:pPr>
      <w:r>
        <w:t>九、授予合同</w:t>
      </w:r>
    </w:p>
    <w:p>
      <w:pPr>
        <w:spacing w:beforeLines="0" w:afterLines="0" w:line="360" w:lineRule="auto"/>
        <w:rPr>
          <w:rFonts w:hint="default"/>
          <w:color w:val="auto"/>
          <w:sz w:val="21"/>
          <w:szCs w:val="21"/>
          <w:highlight w:val="none"/>
        </w:rPr>
      </w:pPr>
      <w:r>
        <w:t>30、数量变更</w:t>
      </w:r>
    </w:p>
    <w:p>
      <w:pPr>
        <w:spacing w:beforeLines="0" w:afterLines="0" w:line="360" w:lineRule="auto"/>
        <w:ind w:firstLine="420" w:firstLineChars="200"/>
        <w:rPr>
          <w:rFonts w:hint="default"/>
          <w:color w:val="auto"/>
          <w:sz w:val="21"/>
          <w:szCs w:val="21"/>
          <w:highlight w:val="none"/>
        </w:rPr>
      </w:pPr>
      <w:r>
        <w:t>采购人在授予合同时具有变更数量的权力，可以在采购文件《投标资料表》中规定的合同金额变更范围内，变更招标的数量和服务内容，但不能对单价或其他条款和条件作任何改变。</w:t>
      </w:r>
    </w:p>
    <w:p>
      <w:pPr>
        <w:spacing w:beforeLines="0" w:afterLines="0" w:line="360" w:lineRule="auto"/>
        <w:rPr>
          <w:rFonts w:hint="default"/>
          <w:color w:val="auto"/>
          <w:sz w:val="21"/>
          <w:szCs w:val="21"/>
          <w:highlight w:val="none"/>
        </w:rPr>
      </w:pPr>
      <w:r>
        <w:t>31、中标通知</w:t>
      </w:r>
    </w:p>
    <w:p>
      <w:pPr>
        <w:spacing w:beforeLines="0" w:afterLines="0" w:line="360" w:lineRule="auto"/>
        <w:ind w:firstLine="420" w:firstLineChars="200"/>
        <w:rPr>
          <w:rFonts w:hint="default"/>
          <w:color w:val="auto"/>
          <w:sz w:val="21"/>
          <w:szCs w:val="21"/>
          <w:highlight w:val="none"/>
        </w:rPr>
      </w:pPr>
      <w:r>
        <w:t>31.1在发布中标公告的同时本采购代理机构向中标人发出中标通知书，向其他投标人发出招标结果通知书，中标通知书对采购人和中标人具有同等法律效力。</w:t>
      </w:r>
    </w:p>
    <w:p>
      <w:pPr>
        <w:spacing w:beforeLines="0" w:afterLines="0" w:line="360" w:lineRule="auto"/>
        <w:ind w:firstLine="420" w:firstLineChars="200"/>
        <w:rPr>
          <w:rFonts w:hint="default"/>
          <w:color w:val="auto"/>
          <w:sz w:val="21"/>
          <w:szCs w:val="21"/>
          <w:highlight w:val="none"/>
        </w:rPr>
      </w:pPr>
      <w:r>
        <w:t>31.2中标人按下述第30条规定与采购人签订合同，中标通知书是合同的组成部分。</w:t>
      </w:r>
    </w:p>
    <w:p>
      <w:pPr>
        <w:spacing w:beforeLines="0" w:afterLines="0" w:line="360" w:lineRule="auto"/>
        <w:rPr>
          <w:rFonts w:hint="default"/>
          <w:color w:val="auto"/>
          <w:sz w:val="21"/>
          <w:szCs w:val="21"/>
          <w:highlight w:val="none"/>
        </w:rPr>
      </w:pPr>
      <w:r>
        <w:t>32、签订合同</w:t>
      </w:r>
    </w:p>
    <w:p>
      <w:pPr>
        <w:spacing w:beforeLines="0" w:afterLines="0" w:line="360" w:lineRule="auto"/>
        <w:ind w:firstLine="420" w:firstLineChars="200"/>
        <w:rPr>
          <w:rFonts w:hint="default"/>
          <w:color w:val="auto"/>
          <w:sz w:val="21"/>
          <w:szCs w:val="21"/>
          <w:highlight w:val="none"/>
        </w:rPr>
      </w:pPr>
      <w:r>
        <w:t>32.1中标人在本采购代理机构发出中标通知书的30日内，应与采购人按照采购文件和中标人的投标文件的约定内容签订书面合同。否则，采购人可按本须知第25条的规定处理，撤销其中标资格并按本须知规定另选中标人或重新招标。</w:t>
      </w:r>
    </w:p>
    <w:p>
      <w:pPr>
        <w:spacing w:beforeLines="0" w:afterLines="0" w:line="360" w:lineRule="auto"/>
        <w:ind w:firstLine="420" w:firstLineChars="200"/>
        <w:rPr>
          <w:rFonts w:hint="default"/>
          <w:color w:val="auto"/>
          <w:sz w:val="21"/>
          <w:szCs w:val="21"/>
          <w:highlight w:val="none"/>
        </w:rPr>
      </w:pPr>
      <w:r>
        <w:t>32.2采购文件、中标人的投标文件及在评标过程中提交的澄清文件均应作为合同附件。</w:t>
      </w:r>
    </w:p>
    <w:p>
      <w:pPr>
        <w:spacing w:beforeLines="0" w:afterLines="0" w:line="360" w:lineRule="auto"/>
        <w:rPr>
          <w:rFonts w:hint="default"/>
          <w:color w:val="auto"/>
          <w:sz w:val="21"/>
          <w:szCs w:val="21"/>
          <w:highlight w:val="none"/>
        </w:rPr>
      </w:pPr>
      <w:r>
        <w:t>33、履约保证金</w:t>
      </w:r>
    </w:p>
    <w:p>
      <w:pPr>
        <w:spacing w:beforeLines="0" w:afterLines="0" w:line="360" w:lineRule="auto"/>
        <w:ind w:firstLine="420" w:firstLineChars="200"/>
        <w:rPr>
          <w:rFonts w:hint="default" w:ascii="宋体"/>
          <w:color w:val="auto"/>
          <w:sz w:val="21"/>
          <w:szCs w:val="21"/>
          <w:highlight w:val="none"/>
        </w:rPr>
      </w:pPr>
      <w:r>
        <w:t>无</w:t>
      </w:r>
    </w:p>
    <w:p>
      <w:pPr>
        <w:spacing w:beforeLines="0" w:afterLines="0" w:line="360" w:lineRule="auto"/>
        <w:rPr>
          <w:rFonts w:hint="default"/>
          <w:color w:val="auto"/>
          <w:sz w:val="21"/>
          <w:szCs w:val="21"/>
          <w:highlight w:val="none"/>
        </w:rPr>
      </w:pPr>
      <w:r/>
    </w:p>
    <w:bookmarkEnd w:id="152"/>
    <w:bookmarkEnd w:id="153"/>
    <w:bookmarkEnd w:id="154"/>
    <w:bookmarkEnd w:id="155"/>
    <w:p>
      <w:pPr>
        <w:pStyle w:val="3"/>
        <w:spacing w:beforeLines="0" w:afterLines="0" w:line="360" w:lineRule="auto"/>
        <w:rPr>
          <w:rFonts w:hint="default"/>
          <w:color w:val="auto"/>
          <w:sz w:val="21"/>
          <w:szCs w:val="21"/>
          <w:highlight w:val="none"/>
        </w:rPr>
      </w:pPr>
      <w:r>
        <w:t>十、履约验收</w:t>
      </w:r>
    </w:p>
    <w:p>
      <w:pPr>
        <w:spacing w:beforeLines="0" w:afterLines="0" w:line="360" w:lineRule="auto"/>
        <w:rPr>
          <w:rFonts w:hint="default"/>
          <w:color w:val="auto"/>
          <w:sz w:val="21"/>
          <w:szCs w:val="21"/>
          <w:highlight w:val="none"/>
        </w:rPr>
      </w:pPr>
      <w:r>
        <w:t>34、采购人负责对中标人的履约行为进行验收，验收标准为本项目的采购文件以及中标人的投标文件，要求验收必须符合相关政策法规和地方标准。</w:t>
      </w:r>
    </w:p>
    <w:p>
      <w:pPr>
        <w:spacing w:beforeLines="0" w:afterLines="0" w:line="360" w:lineRule="auto"/>
        <w:rPr>
          <w:rFonts w:hint="default"/>
          <w:color w:val="auto"/>
          <w:sz w:val="21"/>
          <w:szCs w:val="21"/>
          <w:highlight w:val="none"/>
        </w:rPr>
      </w:pPr>
      <w: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pPr>
        <w:pStyle w:val="10"/>
        <w:spacing w:beforeLines="0" w:after="0" w:afterLines="0" w:line="360" w:lineRule="auto"/>
        <w:rPr>
          <w:rFonts w:hint="default"/>
          <w:b/>
          <w:color w:val="auto"/>
          <w:sz w:val="21"/>
          <w:szCs w:val="21"/>
          <w:highlight w:val="none"/>
        </w:rPr>
      </w:pPr>
      <w:r/>
    </w:p>
    <w:p>
      <w:pPr>
        <w:pStyle w:val="3"/>
        <w:spacing w:beforeLines="0" w:afterLines="0" w:line="360" w:lineRule="auto"/>
        <w:rPr>
          <w:rFonts w:hint="default"/>
          <w:color w:val="auto"/>
          <w:sz w:val="21"/>
          <w:szCs w:val="21"/>
          <w:highlight w:val="none"/>
        </w:rPr>
      </w:pPr>
      <w:r>
        <w:t>十一、招标服务费用</w:t>
      </w:r>
    </w:p>
    <w:p>
      <w:pPr>
        <w:spacing w:beforeLines="0" w:afterLines="0" w:line="360" w:lineRule="auto"/>
        <w:rPr>
          <w:rFonts w:hint="default"/>
          <w:color w:val="auto"/>
          <w:sz w:val="21"/>
          <w:szCs w:val="21"/>
          <w:highlight w:val="none"/>
        </w:rPr>
      </w:pPr>
      <w:r>
        <w:t>37、招标服务费</w:t>
      </w:r>
    </w:p>
    <w:p>
      <w:pPr>
        <w:spacing w:beforeLines="0" w:afterLines="0" w:line="360" w:lineRule="auto"/>
        <w:ind w:firstLine="420" w:firstLineChars="200"/>
        <w:rPr>
          <w:rFonts w:hint="default"/>
          <w:color w:val="auto"/>
          <w:sz w:val="21"/>
          <w:szCs w:val="21"/>
          <w:highlight w:val="none"/>
        </w:rPr>
      </w:pPr>
      <w:r>
        <w:t>中标人应向本采购代理机构支付招标服务费。招标服务费的收费依据及相关规定载明在采购文件《投标资料表》中。</w:t>
      </w:r>
    </w:p>
    <w:bookmarkEnd w:id="156"/>
    <w:p>
      <w:pPr>
        <w:pStyle w:val="3"/>
        <w:spacing w:beforeLines="0" w:afterLines="0" w:line="360" w:lineRule="auto"/>
        <w:rPr>
          <w:rFonts w:hint="default"/>
          <w:color w:val="auto"/>
          <w:sz w:val="21"/>
          <w:szCs w:val="21"/>
          <w:highlight w:val="none"/>
        </w:rPr>
      </w:pPr>
      <w:r>
        <w:t>十二、政府采购活动中有关中小企业的相关规定（采购进口产品的项目不适用）</w:t>
      </w:r>
    </w:p>
    <w:bookmarkEnd w:id="68"/>
    <w:bookmarkEnd w:id="166"/>
    <w:p>
      <w:pPr>
        <w:spacing w:beforeLines="0" w:afterLines="0" w:line="360" w:lineRule="auto"/>
        <w:ind w:firstLine="420" w:firstLineChars="200"/>
        <w:rPr>
          <w:rFonts w:hint="default"/>
          <w:color w:val="auto"/>
          <w:sz w:val="21"/>
          <w:szCs w:val="21"/>
          <w:highlight w:val="none"/>
        </w:rPr>
      </w:pPr>
      <w:r>
        <w:t>38、本项目 是 专门面向中小企业采购。</w:t>
      </w:r>
    </w:p>
    <w:p>
      <w:pPr>
        <w:spacing w:beforeLines="0" w:afterLines="0" w:line="360" w:lineRule="auto"/>
        <w:ind w:firstLine="420" w:firstLineChars="200"/>
        <w:rPr>
          <w:rFonts w:hint="default"/>
          <w:color w:val="auto"/>
          <w:sz w:val="21"/>
          <w:szCs w:val="21"/>
          <w:highlight w:val="none"/>
        </w:rPr>
      </w:pPr>
      <w:r>
        <w:t>39、本项目对应的中小企业划型标准所属行业：其他未列明行业。</w:t>
      </w:r>
    </w:p>
    <w:p>
      <w:pPr>
        <w:spacing w:beforeLines="0" w:afterLines="0" w:line="360" w:lineRule="auto"/>
        <w:ind w:firstLine="420" w:firstLineChars="200"/>
        <w:rPr>
          <w:rFonts w:hint="default"/>
          <w:color w:val="auto"/>
          <w:sz w:val="21"/>
          <w:szCs w:val="21"/>
          <w:highlight w:val="none"/>
        </w:rPr>
      </w:pPr>
      <w:r>
        <w:t>40、小微企业是指中华人民共和国境内依法设立，依据国务院批准的中小企业划分标准确定的小型企业和微型企业，但与大企业的负责人为同一人，或者与大企业存在直接控股、管理关系的除外。</w:t>
      </w:r>
    </w:p>
    <w:p>
      <w:pPr>
        <w:spacing w:beforeLines="0" w:afterLines="0" w:line="360" w:lineRule="auto"/>
        <w:ind w:firstLine="420" w:firstLineChars="200"/>
        <w:rPr>
          <w:rFonts w:hint="default"/>
          <w:color w:val="auto"/>
          <w:sz w:val="21"/>
          <w:szCs w:val="21"/>
          <w:highlight w:val="none"/>
        </w:rPr>
      </w:pPr>
      <w:r>
        <w:t>符合中小企业划分标准的个体工商户，在政府采购活动中视同中小企业。</w:t>
      </w:r>
    </w:p>
    <w:p>
      <w:pPr>
        <w:spacing w:beforeLines="0" w:afterLines="0" w:line="360" w:lineRule="auto"/>
        <w:ind w:firstLine="420" w:firstLineChars="200"/>
        <w:rPr>
          <w:rFonts w:hint="default"/>
          <w:color w:val="auto"/>
          <w:sz w:val="21"/>
          <w:szCs w:val="21"/>
          <w:highlight w:val="none"/>
        </w:rPr>
      </w:pPr>
      <w:r>
        <w:t>国务院批准的中小企业划分标准：具体见工信部联企业[2011]300号。</w:t>
      </w:r>
    </w:p>
    <w:p>
      <w:pPr>
        <w:shd w:val="clear" w:color="auto" w:fill="auto"/>
        <w:adjustRightInd/>
        <w:snapToGrid w:val="0"/>
        <w:spacing w:line="348" w:lineRule="auto"/>
        <w:ind w:firstLine="420"/>
        <w:jc w:val="left"/>
        <w:textAlignment w:val="auto"/>
        <w:rPr>
          <w:rFonts w:hint="eastAsia" w:hAnsi="宋体" w:eastAsia="宋体" w:cs="宋体"/>
          <w:color w:val="auto"/>
          <w:kern w:val="2"/>
          <w:sz w:val="21"/>
          <w:highlight w:val="none"/>
          <w:shd w:val="clear" w:color="auto" w:fill="auto"/>
          <w:lang w:val="zh-CN"/>
        </w:rPr>
      </w:pPr>
      <w:r>
        <w:t>41、在政府采购活动中，投标人提供的货物、工程或者服务符合下列情形的，符合本项目落实政府采购政策需满足的资格要求：</w:t>
      </w:r>
    </w:p>
    <w:p>
      <w:pPr>
        <w:spacing w:beforeLines="0" w:afterLines="0" w:line="360" w:lineRule="auto"/>
        <w:ind w:firstLine="420" w:firstLineChars="200"/>
        <w:rPr>
          <w:rFonts w:hint="default" w:ascii="宋体"/>
          <w:color w:val="auto"/>
          <w:sz w:val="21"/>
          <w:szCs w:val="21"/>
          <w:highlight w:val="none"/>
        </w:rPr>
      </w:pPr>
      <w:r>
        <w:t>①在货物采购项目中，货物由中小企业制造，即货物由中小企业生产且使用该中小企业商号或者注册商标；</w:t>
      </w:r>
    </w:p>
    <w:p>
      <w:pPr>
        <w:spacing w:beforeLines="0" w:afterLines="0" w:line="360" w:lineRule="auto"/>
        <w:ind w:firstLine="420" w:firstLineChars="200"/>
        <w:rPr>
          <w:rFonts w:hint="default" w:ascii="宋体"/>
          <w:color w:val="auto"/>
          <w:sz w:val="21"/>
          <w:szCs w:val="21"/>
          <w:highlight w:val="none"/>
        </w:rPr>
      </w:pPr>
      <w:r>
        <w:t>②在工程采购项目中，工程由中小企业承建，即工程施工单位为中小企业；</w:t>
      </w:r>
    </w:p>
    <w:p>
      <w:pPr>
        <w:spacing w:beforeLines="0" w:afterLines="0" w:line="360" w:lineRule="auto"/>
        <w:ind w:firstLine="420" w:firstLineChars="200"/>
        <w:rPr>
          <w:rFonts w:hint="default" w:ascii="宋体"/>
          <w:color w:val="auto"/>
          <w:sz w:val="21"/>
          <w:szCs w:val="21"/>
          <w:highlight w:val="none"/>
        </w:rPr>
      </w:pPr>
      <w:r>
        <w:t>③在服务采购项目中，服务由中小企业承接，即提供服务的人员为中小企业依照《中华人民共和国劳动合同法》订立劳动合同的从业人员。</w:t>
      </w:r>
    </w:p>
    <w:p>
      <w:pPr>
        <w:shd w:val="clear" w:color="auto" w:fill="auto"/>
        <w:adjustRightInd/>
        <w:snapToGrid w:val="0"/>
        <w:spacing w:line="348" w:lineRule="auto"/>
        <w:ind w:firstLine="420"/>
        <w:jc w:val="left"/>
        <w:textAlignment w:val="auto"/>
        <w:rPr>
          <w:rFonts w:hint="default" w:ascii="宋体"/>
          <w:color w:val="auto"/>
          <w:sz w:val="21"/>
          <w:szCs w:val="21"/>
          <w:highlight w:val="none"/>
        </w:rPr>
      </w:pPr>
      <w:r>
        <w:t>以联合体形式参加政府采购活动，联合体各方均为中小企业的，联合体视同中小企业。</w:t>
      </w:r>
    </w:p>
    <w:p>
      <w:pPr>
        <w:shd w:val="clear" w:color="auto" w:fill="auto"/>
        <w:adjustRightInd/>
        <w:snapToGrid w:val="0"/>
        <w:spacing w:line="348" w:lineRule="auto"/>
        <w:ind w:firstLine="420"/>
        <w:jc w:val="left"/>
        <w:textAlignment w:val="auto"/>
        <w:rPr>
          <w:rFonts w:hint="eastAsia" w:ascii="宋体" w:hAnsi="宋体" w:eastAsia="宋体" w:cs="宋体"/>
          <w:color w:val="auto"/>
          <w:kern w:val="2"/>
          <w:sz w:val="21"/>
          <w:highlight w:val="none"/>
          <w:shd w:val="clear" w:color="auto" w:fill="auto"/>
          <w:lang w:val="zh-CN"/>
        </w:rPr>
      </w:pPr>
      <w:r>
        <w:t>42、中小微企业应按照采购文件格式要求提供《中小企业声明函》。</w:t>
      </w:r>
    </w:p>
    <w:p>
      <w:pPr>
        <w:shd w:val="clear" w:color="auto" w:fill="auto"/>
        <w:adjustRightInd/>
        <w:snapToGrid w:val="0"/>
        <w:spacing w:line="348" w:lineRule="auto"/>
        <w:ind w:firstLine="420"/>
        <w:jc w:val="left"/>
        <w:textAlignment w:val="auto"/>
        <w:rPr>
          <w:rFonts w:hint="eastAsia" w:ascii="宋体" w:hAnsi="宋体" w:eastAsia="宋体" w:cs="宋体"/>
          <w:color w:val="auto"/>
          <w:kern w:val="2"/>
          <w:sz w:val="21"/>
          <w:highlight w:val="none"/>
          <w:shd w:val="clear" w:color="auto" w:fill="auto"/>
          <w:lang w:val="zh-CN"/>
        </w:rPr>
      </w:pPr>
      <w:r>
        <w:t>43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hd w:val="clear" w:color="auto" w:fill="auto"/>
        <w:adjustRightInd/>
        <w:snapToGrid w:val="0"/>
        <w:spacing w:line="348" w:lineRule="auto"/>
        <w:ind w:firstLine="420"/>
        <w:jc w:val="left"/>
        <w:textAlignment w:val="auto"/>
        <w:rPr>
          <w:rFonts w:hint="eastAsia" w:ascii="宋体" w:hAnsi="宋体" w:eastAsia="宋体" w:cs="宋体"/>
          <w:color w:val="auto"/>
          <w:kern w:val="2"/>
          <w:sz w:val="21"/>
          <w:highlight w:val="none"/>
          <w:shd w:val="clear" w:color="auto" w:fill="auto"/>
          <w:lang w:val="zh-CN"/>
        </w:rPr>
      </w:pPr>
      <w:r>
        <w:t>44、根据《关于促进残疾人就业政府采购政策的通知》（财库[2017]141号）规定，在政府采购活动中，残疾人福利性单位视同小型、微型企业。残疾人福利性单位参加政府采购活动时，提供《残疾人福利性单位声明函》。</w:t>
      </w:r>
    </w:p>
    <w:p>
      <w:pPr>
        <w:shd w:val="clear" w:color="auto" w:fill="auto"/>
        <w:adjustRightInd/>
        <w:snapToGrid w:val="0"/>
        <w:spacing w:line="348" w:lineRule="auto"/>
        <w:ind w:firstLine="420"/>
        <w:jc w:val="left"/>
        <w:textAlignment w:val="auto"/>
        <w:rPr>
          <w:rFonts w:hint="eastAsia" w:ascii="宋体" w:hAnsi="宋体" w:eastAsia="宋体" w:cs="宋体"/>
          <w:color w:val="auto"/>
          <w:kern w:val="2"/>
          <w:sz w:val="21"/>
          <w:highlight w:val="none"/>
          <w:shd w:val="clear" w:color="auto" w:fill="auto"/>
          <w:lang w:val="zh-CN"/>
        </w:rPr>
      </w:pPr>
      <w:r>
        <w:t>45、按规定享受扶持政策获得政府采购合同的，小微企业不得将合同分包给大中型企业，中型企业不得将合同分包给大型企业。</w:t>
      </w:r>
    </w:p>
    <w:p>
      <w:pPr>
        <w:shd w:val="clear" w:color="auto" w:fill="auto"/>
        <w:adjustRightInd/>
        <w:snapToGrid w:val="0"/>
        <w:spacing w:line="348" w:lineRule="auto"/>
        <w:ind w:firstLine="420"/>
        <w:jc w:val="left"/>
        <w:textAlignment w:val="auto"/>
        <w:rPr>
          <w:rFonts w:hint="eastAsia" w:ascii="宋体" w:hAnsi="宋体" w:eastAsia="宋体" w:cs="宋体"/>
          <w:color w:val="auto"/>
          <w:kern w:val="2"/>
          <w:sz w:val="21"/>
          <w:highlight w:val="none"/>
          <w:shd w:val="clear" w:color="auto" w:fill="auto"/>
          <w:lang w:val="zh-CN"/>
        </w:rPr>
      </w:pPr>
      <w:r>
        <w:t>46、供应商按照《政府采购促进中小企业发展管理办法》（财库﹝2020﹞46号）规定提供声明函内容不实的，属于提供虚假材料谋取中标、成交，依照《中华人民共和国政府采购法》等国家有关规定追究相应责任。</w:t>
      </w:r>
    </w:p>
    <w:p>
      <w:pPr>
        <w:spacing w:beforeLines="0" w:afterLines="0" w:line="360" w:lineRule="auto"/>
        <w:ind w:firstLine="420" w:firstLineChars="200"/>
        <w:rPr>
          <w:rFonts w:hint="default"/>
          <w:color w:val="auto"/>
          <w:sz w:val="21"/>
          <w:szCs w:val="21"/>
          <w:highlight w:val="none"/>
        </w:rPr>
      </w:pPr>
      <w:r/>
    </w:p>
    <w:p>
      <w:pPr>
        <w:spacing w:beforeLines="0" w:afterLines="0" w:line="360" w:lineRule="auto"/>
        <w:ind w:firstLine="420" w:firstLineChars="200"/>
        <w:rPr>
          <w:rFonts w:hint="default"/>
          <w:color w:val="auto"/>
          <w:sz w:val="21"/>
          <w:szCs w:val="21"/>
          <w:highlight w:val="none"/>
        </w:rPr>
        <w:sectPr>
          <w:pgSz w:w="11907" w:h="16840"/>
          <w:pgMar w:top="1247" w:right="1531" w:bottom="1304" w:left="1531" w:header="284" w:footer="705" w:gutter="0"/>
          <w:lnNumType w:countBy="0" w:distance="360"/>
          <w:cols w:space="720" w:num="1"/>
          <w:docGrid w:linePitch="285" w:charSpace="0"/>
        </w:sectPr>
      </w:pPr>
      <w:r>
        <w:t xml:space="preserve"> </w:t>
      </w:r>
    </w:p>
    <w:p>
      <w:pPr>
        <w:pStyle w:val="19"/>
        <w:spacing w:beforeLines="0" w:afterLines="0"/>
        <w:rPr>
          <w:rFonts w:hint="default" w:ascii="宋体" w:hAnsi="宋体"/>
          <w:color w:val="auto"/>
          <w:sz w:val="32"/>
          <w:szCs w:val="32"/>
          <w:highlight w:val="none"/>
        </w:rPr>
      </w:pPr>
      <w:r>
        <w:t>第四部分 评标办法及标准</w:t>
      </w:r>
    </w:p>
    <w:p>
      <w:pPr>
        <w:spacing w:beforeLines="0" w:afterLines="0"/>
        <w:rPr>
          <w:rFonts w:hint="default" w:ascii="宋体" w:hAnsi="宋体"/>
          <w:color w:val="auto"/>
          <w:sz w:val="21"/>
          <w:szCs w:val="24"/>
          <w:highlight w:val="none"/>
        </w:rPr>
      </w:pPr>
      <w:r/>
    </w:p>
    <w:p>
      <w:pPr>
        <w:pStyle w:val="13"/>
        <w:widowControl/>
        <w:spacing w:line="360" w:lineRule="auto"/>
        <w:ind w:firstLine="453" w:firstLineChars="188"/>
        <w:rPr>
          <w:rFonts w:hAnsi="宋体" w:cs="宋体"/>
          <w:b/>
          <w:color w:val="auto"/>
          <w:highlight w:val="none"/>
        </w:rPr>
      </w:pPr>
      <w:r>
        <w:t>本办法严格遵照《中华人民共和国政府采购法》、《政府采购货物和服务招标投标管理办法》、《宁波市政府采购招标采购方式暂行实施规程》，结合项目所在地政府有关政府采购规定和项目的实际情况制定。</w:t>
      </w:r>
    </w:p>
    <w:p>
      <w:pPr>
        <w:pStyle w:val="13"/>
        <w:spacing w:line="360" w:lineRule="auto"/>
        <w:ind w:firstLine="482" w:firstLineChars="200"/>
        <w:outlineLvl w:val="0"/>
        <w:rPr>
          <w:rFonts w:hAnsi="宋体" w:cs="宋体"/>
          <w:b/>
          <w:color w:val="auto"/>
          <w:highlight w:val="none"/>
        </w:rPr>
      </w:pPr>
      <w:r>
        <w:t>一、总则</w:t>
      </w:r>
    </w:p>
    <w:p>
      <w:pPr>
        <w:widowControl/>
        <w:spacing w:line="360" w:lineRule="auto"/>
        <w:ind w:firstLine="420" w:firstLineChars="200"/>
        <w:rPr>
          <w:rFonts w:ascii="宋体" w:hAnsi="宋体" w:cs="宋体"/>
          <w:color w:val="auto"/>
          <w:szCs w:val="21"/>
          <w:highlight w:val="none"/>
        </w:rPr>
      </w:pPr>
      <w:r>
        <w:t>招标活动遵循公平、公正、科学、择优的原则依法进行，招标活动及当事人接受依法实施的监督。</w:t>
      </w:r>
    </w:p>
    <w:p>
      <w:pPr>
        <w:widowControl/>
        <w:spacing w:line="360" w:lineRule="auto"/>
        <w:ind w:firstLine="420" w:firstLineChars="200"/>
        <w:rPr>
          <w:rFonts w:ascii="宋体" w:hAnsi="宋体" w:cs="宋体"/>
          <w:color w:val="auto"/>
          <w:szCs w:val="21"/>
          <w:highlight w:val="none"/>
        </w:rPr>
      </w:pPr>
      <w:r>
        <w:t>综合评分法，采用百分制，总分100分。供应商的综合得分为技术商务得分与报价得分之和。按综合得分由高到低的排序，推荐中标候选人。若供应商的综合得分相等，则投标报价低者列前；若投标报价也相同时，采取随机抽签的方式确定排序。</w:t>
      </w:r>
    </w:p>
    <w:p>
      <w:pPr>
        <w:widowControl/>
        <w:spacing w:line="360" w:lineRule="auto"/>
        <w:ind w:firstLine="420" w:firstLineChars="200"/>
        <w:rPr>
          <w:rFonts w:ascii="宋体" w:hAnsi="宋体" w:cs="宋体"/>
          <w:color w:val="auto"/>
          <w:szCs w:val="21"/>
          <w:highlight w:val="none"/>
        </w:rPr>
      </w:pPr>
      <w:r>
        <w:t>本项目需要落实的政府采购政策：《关于促进残疾人就业政府采购政策的通知》（财库[2017]141号）、《政府采购促进中小企业发展暂行办法》（财库[2011]181号）、《关于政府采购支持监狱企业发展有关问题的通知》（财库[2014]68号）</w:t>
      </w:r>
    </w:p>
    <w:p>
      <w:pPr>
        <w:widowControl/>
        <w:spacing w:line="360" w:lineRule="auto"/>
        <w:ind w:firstLine="420" w:firstLineChars="200"/>
        <w:rPr>
          <w:rFonts w:ascii="宋体" w:hAnsi="宋体" w:cs="宋体"/>
          <w:color w:val="auto"/>
          <w:szCs w:val="21"/>
          <w:highlight w:val="none"/>
        </w:rPr>
      </w:pPr>
      <w:r>
        <w:t>评标委员会成员对需要共同认定的事项存在争议的，应当按照少数服从多数的原则作出结论。</w:t>
      </w:r>
    </w:p>
    <w:p>
      <w:pPr>
        <w:pStyle w:val="13"/>
        <w:spacing w:line="360" w:lineRule="auto"/>
        <w:ind w:firstLine="482" w:firstLineChars="200"/>
        <w:outlineLvl w:val="0"/>
        <w:rPr>
          <w:rFonts w:hAnsi="宋体" w:cs="宋体"/>
          <w:b/>
          <w:color w:val="auto"/>
          <w:highlight w:val="none"/>
        </w:rPr>
      </w:pPr>
      <w:r>
        <w:t>二、评标过程</w:t>
      </w:r>
    </w:p>
    <w:p>
      <w:pPr>
        <w:widowControl/>
        <w:spacing w:line="360" w:lineRule="auto"/>
        <w:ind w:left="420" w:leftChars="200"/>
        <w:rPr>
          <w:rFonts w:ascii="宋体" w:hAnsi="宋体" w:cs="宋体"/>
          <w:b/>
          <w:color w:val="auto"/>
          <w:szCs w:val="21"/>
          <w:highlight w:val="none"/>
        </w:rPr>
      </w:pPr>
      <w:r>
        <w:t>（一）资格条件审查</w:t>
      </w:r>
    </w:p>
    <w:p>
      <w:pPr>
        <w:widowControl/>
        <w:spacing w:line="360" w:lineRule="auto"/>
        <w:ind w:firstLine="420" w:firstLineChars="200"/>
        <w:rPr>
          <w:rFonts w:ascii="宋体" w:hAnsi="宋体" w:cs="宋体"/>
          <w:color w:val="auto"/>
          <w:szCs w:val="21"/>
          <w:highlight w:val="none"/>
        </w:rPr>
      </w:pPr>
      <w:r>
        <w:t>由采购人或采购代理机构对投标人的资格进行审查。</w:t>
      </w:r>
    </w:p>
    <w:p>
      <w:pPr>
        <w:widowControl/>
        <w:spacing w:line="360" w:lineRule="auto"/>
        <w:ind w:firstLine="420" w:firstLineChars="200"/>
        <w:rPr>
          <w:rFonts w:ascii="宋体" w:hAnsi="宋体" w:cs="宋体"/>
          <w:color w:val="auto"/>
          <w:szCs w:val="21"/>
          <w:highlight w:val="none"/>
        </w:rPr>
      </w:pPr>
      <w:r>
        <w:t>评标委员会负责对采购代理机构提交的关联性审查复核。</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56" w:type="dxa"/>
            <w:vAlign w:val="center"/>
          </w:tcPr>
          <w:p>
            <w:r>
              <w:t>审查类别</w:t>
            </w:r>
          </w:p>
        </w:tc>
        <w:tc>
          <w:tcPr>
            <w:tcW w:w="7401" w:type="dxa"/>
            <w:vAlign w:val="center"/>
          </w:tcPr>
          <w:p>
            <w: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vMerge w:val="restart"/>
            <w:vAlign w:val="center"/>
          </w:tcPr>
          <w:p>
            <w:r>
              <w:t>资格条件审查</w:t>
            </w:r>
          </w:p>
        </w:tc>
        <w:tc>
          <w:tcPr>
            <w:tcW w:w="7401" w:type="dxa"/>
            <w:vAlign w:val="center"/>
          </w:tcPr>
          <w:p>
            <w:r>
              <w:t>符合《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vMerge w:val="continue"/>
            <w:vAlign w:val="center"/>
          </w:tcPr>
          <w:p>
            <w:pPr>
              <w:spacing w:line="360" w:lineRule="auto"/>
              <w:jc w:val="center"/>
              <w:rPr>
                <w:rFonts w:ascii="宋体" w:hAnsi="宋体" w:cs="宋体"/>
                <w:color w:val="auto"/>
                <w:szCs w:val="21"/>
                <w:highlight w:val="none"/>
              </w:rPr>
            </w:pPr>
          </w:p>
        </w:tc>
        <w:tc>
          <w:tcPr>
            <w:tcW w:w="7401" w:type="dxa"/>
            <w:vAlign w:val="center"/>
          </w:tcPr>
          <w:p>
            <w:r>
              <w:t>落实采购政策需满足的资格要求：本项目为专门面向中小企业招标，供应商须为中型企业或小型企业或微型企业。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56" w:type="dxa"/>
            <w:vMerge w:val="continue"/>
            <w:vAlign w:val="center"/>
          </w:tcPr>
          <w:p>
            <w:pPr>
              <w:spacing w:line="360" w:lineRule="auto"/>
              <w:rPr>
                <w:rFonts w:ascii="宋体" w:hAnsi="宋体" w:cs="宋体"/>
                <w:color w:val="auto"/>
                <w:szCs w:val="21"/>
                <w:highlight w:val="none"/>
              </w:rPr>
            </w:pPr>
          </w:p>
        </w:tc>
        <w:tc>
          <w:tcPr>
            <w:tcW w:w="7401" w:type="dxa"/>
            <w:vAlign w:val="center"/>
          </w:tcPr>
          <w:p>
            <w:r>
              <w:t>本项目的特定资格要求：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2、供应商须提供政府采购领域商业贿赂行为承诺书（投标文件中须提供《政府采购领域商业贿赂行为承诺书》，详见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56" w:type="dxa"/>
            <w:vMerge w:val="continue"/>
            <w:vAlign w:val="center"/>
          </w:tcPr>
          <w:p>
            <w:pPr>
              <w:spacing w:line="360" w:lineRule="auto"/>
              <w:rPr>
                <w:rFonts w:ascii="宋体" w:hAnsi="宋体" w:cs="宋体"/>
                <w:color w:val="auto"/>
                <w:szCs w:val="21"/>
                <w:highlight w:val="none"/>
              </w:rPr>
            </w:pPr>
          </w:p>
        </w:tc>
        <w:tc>
          <w:tcPr>
            <w:tcW w:w="7401" w:type="dxa"/>
            <w:vAlign w:val="center"/>
          </w:tcPr>
          <w:p>
            <w:r>
              <w:t>本项目联合体投标：□接受   ☑不接受。</w:t>
            </w:r>
          </w:p>
        </w:tc>
      </w:tr>
    </w:tbl>
    <w:p>
      <w:pPr>
        <w:widowControl/>
        <w:spacing w:line="360" w:lineRule="auto"/>
        <w:ind w:firstLine="422" w:firstLineChars="200"/>
        <w:rPr>
          <w:rFonts w:ascii="宋体" w:hAnsi="宋体" w:cs="宋体"/>
          <w:b/>
          <w:bCs/>
          <w:color w:val="auto"/>
          <w:szCs w:val="21"/>
          <w:highlight w:val="none"/>
        </w:rPr>
      </w:pPr>
      <w:r/>
    </w:p>
    <w:p>
      <w:pPr>
        <w:widowControl/>
        <w:spacing w:line="360" w:lineRule="auto"/>
        <w:ind w:firstLine="422" w:firstLineChars="200"/>
        <w:rPr>
          <w:rFonts w:ascii="宋体" w:hAnsi="宋体" w:cs="宋体"/>
          <w:b/>
          <w:bCs/>
          <w:color w:val="auto"/>
          <w:szCs w:val="21"/>
          <w:highlight w:val="none"/>
        </w:rPr>
      </w:pPr>
      <w:r>
        <w:t>（二）符合性审查</w:t>
      </w:r>
    </w:p>
    <w:p>
      <w:pPr>
        <w:spacing w:line="360" w:lineRule="auto"/>
        <w:ind w:firstLine="420" w:firstLineChars="200"/>
        <w:rPr>
          <w:rFonts w:ascii="宋体" w:hAnsi="宋体" w:cs="宋体"/>
          <w:color w:val="auto"/>
          <w:szCs w:val="21"/>
          <w:highlight w:val="none"/>
        </w:rPr>
      </w:pPr>
      <w:r>
        <w:t>评标委员会应当对符合资格的投标人的投标文件进行符合性审查，以确定其是否满足采购文件的实质性要求。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Align w:val="center"/>
          </w:tcPr>
          <w:p>
            <w:r>
              <w:t>审查类别</w:t>
            </w:r>
          </w:p>
        </w:tc>
        <w:tc>
          <w:tcPr>
            <w:tcW w:w="6895" w:type="dxa"/>
            <w:vAlign w:val="center"/>
          </w:tcPr>
          <w:p>
            <w: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vMerge w:val="restart"/>
            <w:vAlign w:val="center"/>
          </w:tcPr>
          <w:p>
            <w:r>
              <w:t>符合性审查</w:t>
              <w:br/>
              <w:t>（技术商务文件）</w:t>
            </w:r>
          </w:p>
        </w:tc>
        <w:tc>
          <w:tcPr>
            <w:tcW w:w="6895" w:type="dxa"/>
            <w:vAlign w:val="center"/>
          </w:tcPr>
          <w:p>
            <w:r>
              <w:t>具备招标文件中规定的资格要求；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投标文件有法定代表人（负责人）签署本人姓名（或印盖本人姓名章），或签署人提供有效的法定代表人（负责人）授权委托书且授权委托书填写项目齐全的；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带“▲”的条款满足采购文件要求、已实质性响应采购文件要求且投标文件无采购人不能接受的附加条件的；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技术商务文件中未出现报价或单价的；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jc w:val="center"/>
              <w:rPr>
                <w:rFonts w:ascii="宋体" w:hAnsi="宋体" w:cs="宋体"/>
                <w:color w:val="auto"/>
                <w:szCs w:val="21"/>
                <w:highlight w:val="none"/>
              </w:rPr>
            </w:pPr>
          </w:p>
        </w:tc>
        <w:tc>
          <w:tcPr>
            <w:tcW w:w="6895" w:type="dxa"/>
            <w:vAlign w:val="center"/>
          </w:tcPr>
          <w:p>
            <w:r>
              <w:t>技术商务文件不存在采购文件所规定的其它无效投标条款要求。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restart"/>
            <w:vAlign w:val="center"/>
          </w:tcPr>
          <w:p>
            <w:r>
              <w:t>符合性审查</w:t>
              <w:br/>
              <w:t>（报价文件）</w:t>
            </w:r>
          </w:p>
        </w:tc>
        <w:tc>
          <w:tcPr>
            <w:tcW w:w="6895" w:type="dxa"/>
            <w:vAlign w:val="center"/>
          </w:tcPr>
          <w:p>
            <w:r>
              <w:t>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投标文件（报价文件）内容与投标文件（技术商务文件）内容不存在重大差异的；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61" w:type="dxa"/>
            <w:vMerge w:val="continue"/>
            <w:vAlign w:val="center"/>
          </w:tcPr>
          <w:p>
            <w:pPr>
              <w:spacing w:line="360" w:lineRule="auto"/>
              <w:ind w:firstLine="210" w:firstLineChars="100"/>
              <w:rPr>
                <w:rFonts w:ascii="宋体" w:hAnsi="宋体" w:cs="宋体"/>
                <w:color w:val="auto"/>
                <w:szCs w:val="21"/>
                <w:highlight w:val="none"/>
              </w:rPr>
            </w:pPr>
          </w:p>
        </w:tc>
        <w:tc>
          <w:tcPr>
            <w:tcW w:w="6895" w:type="dxa"/>
            <w:vAlign w:val="center"/>
          </w:tcPr>
          <w:p>
            <w:r>
              <w:t>报价文件不存在采购文件所规定的其它无效投标条款要求。</w:t>
            </w:r>
          </w:p>
        </w:tc>
      </w:tr>
    </w:tbl>
    <w:p>
      <w:pPr>
        <w:widowControl/>
        <w:spacing w:line="360" w:lineRule="auto"/>
        <w:ind w:firstLine="422" w:firstLineChars="200"/>
        <w:rPr>
          <w:rFonts w:ascii="宋体" w:hAnsi="宋体" w:cs="宋体"/>
          <w:b/>
          <w:bCs/>
          <w:color w:val="auto"/>
          <w:szCs w:val="21"/>
          <w:highlight w:val="none"/>
        </w:rPr>
      </w:pPr>
      <w:r>
        <w:t>（三）投标无效的情形</w:t>
      </w:r>
    </w:p>
    <w:p>
      <w:pPr>
        <w:spacing w:line="360" w:lineRule="auto"/>
        <w:ind w:firstLine="420" w:firstLineChars="200"/>
        <w:contextualSpacing/>
        <w:rPr>
          <w:rFonts w:ascii="宋体" w:hAnsi="宋体" w:cs="宋体"/>
          <w:b/>
          <w:bCs/>
          <w:color w:val="auto"/>
          <w:szCs w:val="21"/>
          <w:highlight w:val="none"/>
        </w:rPr>
      </w:pPr>
      <w: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360" w:lineRule="auto"/>
        <w:ind w:firstLine="422" w:firstLineChars="200"/>
        <w:contextualSpacing/>
        <w:rPr>
          <w:rFonts w:ascii="宋体" w:hAnsi="宋体" w:cs="宋体"/>
          <w:b/>
          <w:bCs/>
          <w:color w:val="auto"/>
          <w:szCs w:val="21"/>
          <w:highlight w:val="none"/>
        </w:rPr>
      </w:pPr>
      <w:r>
        <w:t>A、在符合性审查（技术商务文件）时，如发现下列情形之一的，将被视为无效投标文件：</w:t>
      </w:r>
    </w:p>
    <w:p>
      <w:pPr>
        <w:spacing w:line="360" w:lineRule="auto"/>
        <w:ind w:firstLine="420" w:firstLineChars="200"/>
        <w:contextualSpacing/>
        <w:rPr>
          <w:rFonts w:ascii="宋体" w:hAnsi="宋体" w:cs="宋体"/>
          <w:color w:val="auto"/>
          <w:szCs w:val="21"/>
          <w:highlight w:val="none"/>
        </w:rPr>
      </w:pPr>
      <w:r>
        <w:t>1、资格证明文件不全的或者不符合采购文件标明的资格要求的；</w:t>
      </w:r>
    </w:p>
    <w:p>
      <w:pPr>
        <w:spacing w:line="360" w:lineRule="auto"/>
        <w:ind w:firstLine="420" w:firstLineChars="200"/>
        <w:contextualSpacing/>
        <w:rPr>
          <w:rFonts w:ascii="宋体" w:hAnsi="宋体" w:cs="宋体"/>
          <w:color w:val="auto"/>
          <w:szCs w:val="21"/>
          <w:highlight w:val="none"/>
        </w:rPr>
      </w:pPr>
      <w:r>
        <w:t>2、未按照采购文件规定要求签署或盖章；</w:t>
      </w:r>
    </w:p>
    <w:p>
      <w:pPr>
        <w:spacing w:line="360" w:lineRule="auto"/>
        <w:ind w:firstLine="420" w:firstLineChars="200"/>
        <w:contextualSpacing/>
        <w:rPr>
          <w:rFonts w:ascii="宋体" w:hAnsi="宋体" w:cs="宋体"/>
          <w:color w:val="auto"/>
          <w:szCs w:val="21"/>
          <w:highlight w:val="none"/>
        </w:rPr>
      </w:pPr>
      <w:r>
        <w:t>3、投标文件无法定代表人（负责人）签署本人姓名（或印盖本人姓名章），或签署人未提供有效的法定代表人（负责人）授权委托书或授权委托书填写项目不齐全的；</w:t>
      </w:r>
    </w:p>
    <w:p>
      <w:pPr>
        <w:spacing w:line="360" w:lineRule="auto"/>
        <w:ind w:firstLine="420" w:firstLineChars="200"/>
        <w:contextualSpacing/>
        <w:rPr>
          <w:rFonts w:ascii="宋体" w:hAnsi="宋体" w:cs="宋体"/>
          <w:color w:val="auto"/>
          <w:szCs w:val="21"/>
          <w:highlight w:val="none"/>
        </w:rPr>
      </w:pPr>
      <w:r>
        <w:t>4、投标文件项目不齐全；</w:t>
      </w:r>
    </w:p>
    <w:p>
      <w:pPr>
        <w:spacing w:line="360" w:lineRule="auto"/>
        <w:ind w:firstLine="420" w:firstLineChars="200"/>
        <w:contextualSpacing/>
        <w:rPr>
          <w:rFonts w:ascii="宋体" w:hAnsi="宋体" w:cs="宋体"/>
          <w:color w:val="auto"/>
          <w:szCs w:val="21"/>
          <w:highlight w:val="none"/>
        </w:rPr>
      </w:pPr>
      <w:r>
        <w:t>5、投标文件标明的响应或偏离与事实不符或虚假投标的；</w:t>
      </w:r>
    </w:p>
    <w:p>
      <w:pPr>
        <w:spacing w:line="360" w:lineRule="auto"/>
        <w:ind w:firstLine="420" w:firstLineChars="200"/>
        <w:contextualSpacing/>
        <w:rPr>
          <w:rFonts w:ascii="宋体" w:hAnsi="宋体" w:cs="宋体"/>
          <w:color w:val="auto"/>
          <w:szCs w:val="21"/>
          <w:highlight w:val="none"/>
        </w:rPr>
      </w:pPr>
      <w:r>
        <w:t>6、投标文件的实质性内容未使用中文表述、意思表述不明确、前后矛盾或者使用计量单位不符合采购文件要求的（经评标委员会认定并允许其当场更正的笔误除外）；</w:t>
      </w:r>
    </w:p>
    <w:p>
      <w:pPr>
        <w:spacing w:line="360" w:lineRule="auto"/>
        <w:ind w:firstLine="420" w:firstLineChars="200"/>
        <w:contextualSpacing/>
        <w:rPr>
          <w:rFonts w:ascii="宋体" w:hAnsi="宋体" w:cs="宋体"/>
          <w:color w:val="auto"/>
          <w:szCs w:val="21"/>
          <w:highlight w:val="none"/>
        </w:rPr>
      </w:pPr>
      <w:r>
        <w:t>7、带“▲”的条款不能满足采购文件要求、未实质性响应采购文件要求或者投标文件有采购人不能接受的附加条件的；</w:t>
      </w:r>
    </w:p>
    <w:p>
      <w:pPr>
        <w:spacing w:line="360" w:lineRule="auto"/>
        <w:ind w:firstLine="420" w:firstLineChars="200"/>
        <w:contextualSpacing/>
        <w:rPr>
          <w:rFonts w:ascii="宋体" w:hAnsi="宋体" w:cs="宋体"/>
          <w:color w:val="auto"/>
          <w:szCs w:val="21"/>
          <w:highlight w:val="none"/>
        </w:rPr>
      </w:pPr>
      <w:r>
        <w:t>8、投标技术方案不明确，存在一个或一个以上备选（替代）投标方案的；</w:t>
      </w:r>
    </w:p>
    <w:p>
      <w:pPr>
        <w:spacing w:line="360" w:lineRule="auto"/>
        <w:ind w:firstLine="420" w:firstLineChars="200"/>
        <w:contextualSpacing/>
        <w:rPr>
          <w:rFonts w:ascii="宋体" w:hAnsi="宋体" w:cs="宋体"/>
          <w:color w:val="auto"/>
          <w:kern w:val="1"/>
          <w:szCs w:val="21"/>
          <w:highlight w:val="none"/>
        </w:rPr>
      </w:pPr>
      <w:r>
        <w:t>9、技术商务文件中出现报价或单价的；</w:t>
      </w:r>
    </w:p>
    <w:p>
      <w:pPr>
        <w:spacing w:line="360" w:lineRule="auto"/>
        <w:ind w:firstLine="420" w:firstLineChars="200"/>
        <w:contextualSpacing/>
        <w:rPr>
          <w:rFonts w:ascii="宋体" w:hAnsi="宋体" w:cs="宋体"/>
          <w:color w:val="auto"/>
          <w:kern w:val="1"/>
          <w:szCs w:val="21"/>
          <w:highlight w:val="none"/>
        </w:rPr>
      </w:pPr>
      <w:r>
        <w:t>10、法律、法规和采购文件规定的其他无效情形；</w:t>
      </w:r>
    </w:p>
    <w:p>
      <w:pPr>
        <w:spacing w:line="360" w:lineRule="auto"/>
        <w:ind w:firstLine="420" w:firstLineChars="200"/>
        <w:contextualSpacing/>
        <w:rPr>
          <w:rFonts w:ascii="宋体" w:hAnsi="宋体" w:cs="宋体"/>
          <w:color w:val="auto"/>
          <w:kern w:val="1"/>
          <w:szCs w:val="21"/>
          <w:highlight w:val="none"/>
        </w:rPr>
      </w:pPr>
      <w:r>
        <w:t>11、投标文件的有效期不满足采购文件要求；</w:t>
      </w:r>
    </w:p>
    <w:p>
      <w:pPr>
        <w:spacing w:line="360" w:lineRule="auto"/>
        <w:ind w:firstLine="420" w:firstLineChars="200"/>
        <w:contextualSpacing/>
        <w:rPr>
          <w:rFonts w:ascii="宋体" w:hAnsi="宋体" w:cs="宋体"/>
          <w:color w:val="auto"/>
          <w:kern w:val="1"/>
          <w:szCs w:val="21"/>
          <w:highlight w:val="none"/>
        </w:rPr>
      </w:pPr>
      <w:r>
        <w:t>12、技术商务文件存在采购文件所规定的其它无效投标条款要求。</w:t>
      </w:r>
    </w:p>
    <w:p>
      <w:pPr>
        <w:spacing w:line="360" w:lineRule="auto"/>
        <w:ind w:firstLine="422" w:firstLineChars="200"/>
        <w:contextualSpacing/>
        <w:rPr>
          <w:rFonts w:ascii="宋体" w:hAnsi="宋体" w:cs="宋体"/>
          <w:b/>
          <w:bCs/>
          <w:color w:val="auto"/>
          <w:szCs w:val="21"/>
          <w:highlight w:val="none"/>
        </w:rPr>
      </w:pPr>
      <w:r>
        <w:t>B、在符合性审查（报价文件）时，如发现下列情形之一的，将被视为无效投标文件：</w:t>
      </w:r>
    </w:p>
    <w:p>
      <w:pPr>
        <w:spacing w:line="360" w:lineRule="auto"/>
        <w:ind w:firstLine="420" w:firstLineChars="200"/>
        <w:contextualSpacing/>
        <w:rPr>
          <w:rFonts w:ascii="宋体" w:hAnsi="宋体" w:cs="宋体"/>
          <w:color w:val="auto"/>
          <w:szCs w:val="21"/>
          <w:highlight w:val="none"/>
        </w:rPr>
      </w:pPr>
      <w:r>
        <w:t>1、未按照采购文件规定要求签署或盖章；</w:t>
      </w:r>
    </w:p>
    <w:p>
      <w:pPr>
        <w:spacing w:line="360" w:lineRule="auto"/>
        <w:ind w:firstLine="420" w:firstLineChars="200"/>
        <w:contextualSpacing/>
        <w:rPr>
          <w:rFonts w:ascii="宋体" w:hAnsi="宋体" w:cs="宋体"/>
          <w:color w:val="auto"/>
          <w:szCs w:val="21"/>
          <w:highlight w:val="none"/>
        </w:rPr>
      </w:pPr>
      <w:r>
        <w:t>2、投标文件项目不齐全；</w:t>
      </w:r>
    </w:p>
    <w:p>
      <w:pPr>
        <w:spacing w:line="360" w:lineRule="auto"/>
        <w:ind w:firstLine="420" w:firstLineChars="200"/>
        <w:contextualSpacing/>
        <w:rPr>
          <w:rFonts w:ascii="宋体" w:hAnsi="宋体" w:cs="宋体"/>
          <w:color w:val="auto"/>
          <w:szCs w:val="21"/>
          <w:highlight w:val="none"/>
        </w:rPr>
      </w:pPr>
      <w:r>
        <w:t>3、未采用人民币报价或者未按照采购文件标明的币种报价的；</w:t>
      </w:r>
    </w:p>
    <w:p>
      <w:pPr>
        <w:spacing w:line="360" w:lineRule="auto"/>
        <w:ind w:firstLine="420" w:firstLineChars="200"/>
        <w:contextualSpacing/>
        <w:rPr>
          <w:rFonts w:ascii="宋体" w:hAnsi="宋体" w:cs="宋体"/>
          <w:color w:val="auto"/>
          <w:szCs w:val="21"/>
          <w:highlight w:val="none"/>
        </w:rPr>
      </w:pPr>
      <w:r>
        <w:t>4、报价超出最高限价，或者超出采购预算金额，采购人不能支付的；</w:t>
      </w:r>
    </w:p>
    <w:p>
      <w:pPr>
        <w:spacing w:line="360" w:lineRule="auto"/>
        <w:ind w:firstLine="420" w:firstLineChars="200"/>
        <w:contextualSpacing/>
        <w:rPr>
          <w:rFonts w:ascii="宋体" w:hAnsi="宋体" w:cs="宋体"/>
          <w:color w:val="auto"/>
          <w:szCs w:val="21"/>
          <w:highlight w:val="none"/>
        </w:rPr>
      </w:pPr>
      <w:r>
        <w:t>5、投标报价具有选择性的；</w:t>
      </w:r>
    </w:p>
    <w:p>
      <w:pPr>
        <w:spacing w:line="360" w:lineRule="auto"/>
        <w:ind w:firstLine="420" w:firstLineChars="200"/>
        <w:contextualSpacing/>
        <w:rPr>
          <w:rFonts w:ascii="宋体" w:hAnsi="宋体" w:cs="宋体"/>
          <w:color w:val="auto"/>
          <w:szCs w:val="21"/>
          <w:highlight w:val="none"/>
        </w:rPr>
      </w:pPr>
      <w:r>
        <w:t>6、投标报价中出现重大缺项、漏项；</w:t>
      </w:r>
    </w:p>
    <w:p>
      <w:pPr>
        <w:spacing w:line="360" w:lineRule="auto"/>
        <w:ind w:firstLine="420" w:firstLineChars="200"/>
        <w:contextualSpacing/>
        <w:rPr>
          <w:rFonts w:ascii="宋体" w:hAnsi="宋体" w:cs="宋体"/>
          <w:color w:val="auto"/>
          <w:szCs w:val="21"/>
          <w:highlight w:val="none"/>
        </w:rPr>
      </w:pPr>
      <w:r>
        <w:t>7、评标委员会认为投标人的报价明显低于其他通过符合性审查投标人的报价，有可能影响产品质量或者不能诚信履约的，且不能在评标现场合理时间内提供相关证明材料说明其报价的合理性的；</w:t>
      </w:r>
    </w:p>
    <w:p>
      <w:pPr>
        <w:spacing w:line="360" w:lineRule="auto"/>
        <w:ind w:firstLine="420" w:firstLineChars="200"/>
        <w:contextualSpacing/>
        <w:rPr>
          <w:rFonts w:ascii="宋体" w:hAnsi="宋体" w:cs="宋体"/>
          <w:color w:val="auto"/>
          <w:szCs w:val="21"/>
          <w:highlight w:val="none"/>
        </w:rPr>
      </w:pPr>
      <w:r>
        <w:t>8、投标文件（报价文件）内容与投标文件（技术商务文件）内容有重大差异的；</w:t>
      </w:r>
    </w:p>
    <w:p>
      <w:pPr>
        <w:spacing w:line="360" w:lineRule="auto"/>
        <w:ind w:firstLine="420" w:firstLineChars="200"/>
        <w:contextualSpacing/>
        <w:rPr>
          <w:rFonts w:ascii="宋体" w:hAnsi="宋体" w:cs="宋体"/>
          <w:color w:val="auto"/>
          <w:szCs w:val="21"/>
          <w:highlight w:val="none"/>
        </w:rPr>
      </w:pPr>
      <w:r>
        <w:t>9、法律、法规和采购文件规定的其他无效情形；</w:t>
      </w:r>
    </w:p>
    <w:p>
      <w:pPr>
        <w:tabs>
          <w:tab w:val="left" w:pos="0"/>
          <w:tab w:val="left" w:pos="723"/>
        </w:tabs>
        <w:spacing w:line="360" w:lineRule="auto"/>
        <w:ind w:firstLine="420" w:firstLineChars="200"/>
        <w:contextualSpacing/>
        <w:rPr>
          <w:rFonts w:ascii="宋体" w:hAnsi="宋体" w:cs="宋体"/>
          <w:color w:val="auto"/>
          <w:kern w:val="1"/>
          <w:szCs w:val="21"/>
          <w:highlight w:val="none"/>
        </w:rPr>
      </w:pPr>
      <w:r>
        <w:t>10、报价文件存在采购文件所规定的其它无效投标条款要求。</w:t>
      </w:r>
    </w:p>
    <w:p>
      <w:pPr>
        <w:spacing w:line="360" w:lineRule="auto"/>
        <w:ind w:firstLine="422" w:firstLineChars="200"/>
        <w:rPr>
          <w:rFonts w:ascii="宋体" w:hAnsi="宋体" w:cs="宋体"/>
          <w:b/>
          <w:bCs/>
          <w:color w:val="auto"/>
          <w:szCs w:val="21"/>
          <w:highlight w:val="none"/>
        </w:rPr>
      </w:pPr>
      <w:r>
        <w:t>C、评审时如发现下列情形之一的，视为投标人串通投标，其投标无效：</w:t>
      </w:r>
    </w:p>
    <w:p>
      <w:pPr>
        <w:spacing w:line="360" w:lineRule="auto"/>
        <w:ind w:firstLine="420" w:firstLineChars="200"/>
        <w:rPr>
          <w:rFonts w:ascii="宋体" w:hAnsi="宋体" w:cs="宋体"/>
          <w:color w:val="auto"/>
          <w:szCs w:val="21"/>
          <w:highlight w:val="none"/>
        </w:rPr>
      </w:pPr>
      <w:r>
        <w:t>1、不同投标人的投标文件由同一单位或者个人编制；</w:t>
      </w:r>
    </w:p>
    <w:p>
      <w:pPr>
        <w:spacing w:line="360" w:lineRule="auto"/>
        <w:ind w:firstLine="420" w:firstLineChars="200"/>
        <w:rPr>
          <w:rFonts w:ascii="宋体" w:hAnsi="宋体" w:cs="宋体"/>
          <w:color w:val="auto"/>
          <w:szCs w:val="21"/>
          <w:highlight w:val="none"/>
        </w:rPr>
      </w:pPr>
      <w:r>
        <w:t>2、不同投标人委托同一单位或者个人办理投标事宜；</w:t>
      </w:r>
    </w:p>
    <w:p>
      <w:pPr>
        <w:spacing w:line="360" w:lineRule="auto"/>
        <w:ind w:firstLine="420" w:firstLineChars="200"/>
        <w:rPr>
          <w:rFonts w:ascii="宋体" w:hAnsi="宋体" w:cs="宋体"/>
          <w:color w:val="auto"/>
          <w:szCs w:val="21"/>
          <w:highlight w:val="none"/>
        </w:rPr>
      </w:pPr>
      <w:r>
        <w:t>3、不同投标人的投标文件载明的项目管理成员或者联系人员为同一人；</w:t>
      </w:r>
    </w:p>
    <w:p>
      <w:pPr>
        <w:spacing w:line="360" w:lineRule="auto"/>
        <w:ind w:firstLine="420" w:firstLineChars="200"/>
        <w:rPr>
          <w:rFonts w:ascii="宋体" w:hAnsi="宋体" w:cs="宋体"/>
          <w:color w:val="auto"/>
          <w:szCs w:val="21"/>
          <w:highlight w:val="none"/>
        </w:rPr>
      </w:pPr>
      <w:r>
        <w:t>4、不同投标人的投标文件异常一致或者投标报价呈规律性差异；</w:t>
      </w:r>
    </w:p>
    <w:p>
      <w:pPr>
        <w:spacing w:line="360" w:lineRule="auto"/>
        <w:ind w:firstLine="420" w:firstLineChars="200"/>
        <w:rPr>
          <w:rFonts w:ascii="宋体" w:hAnsi="宋体" w:cs="宋体"/>
          <w:color w:val="auto"/>
          <w:szCs w:val="21"/>
          <w:highlight w:val="none"/>
        </w:rPr>
      </w:pPr>
      <w:r>
        <w:t>5、不同投标人的投标文件相互混装；</w:t>
      </w:r>
    </w:p>
    <w:p>
      <w:pPr>
        <w:widowControl/>
        <w:spacing w:line="360" w:lineRule="auto"/>
        <w:ind w:firstLine="422" w:firstLineChars="200"/>
        <w:rPr>
          <w:rFonts w:ascii="宋体" w:hAnsi="宋体" w:cs="宋体"/>
          <w:b/>
          <w:bCs/>
          <w:color w:val="auto"/>
          <w:szCs w:val="21"/>
          <w:highlight w:val="none"/>
        </w:rPr>
      </w:pPr>
      <w:r>
        <w:t>（四）澄清问题</w:t>
      </w:r>
    </w:p>
    <w:p>
      <w:pPr>
        <w:widowControl/>
        <w:spacing w:line="360" w:lineRule="auto"/>
        <w:ind w:firstLine="420" w:firstLineChars="200"/>
        <w:rPr>
          <w:rFonts w:ascii="宋体" w:hAnsi="宋体" w:cs="宋体"/>
          <w:color w:val="auto"/>
          <w:szCs w:val="21"/>
          <w:highlight w:val="none"/>
        </w:rPr>
      </w:pPr>
      <w: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widowControl/>
        <w:spacing w:line="360" w:lineRule="auto"/>
        <w:ind w:firstLine="422" w:firstLineChars="200"/>
        <w:rPr>
          <w:rFonts w:ascii="宋体" w:hAnsi="宋体" w:cs="宋体"/>
          <w:b/>
          <w:bCs/>
          <w:color w:val="auto"/>
          <w:szCs w:val="21"/>
          <w:highlight w:val="none"/>
        </w:rPr>
      </w:pPr>
      <w:r>
        <w:t>（五）详细评审</w:t>
      </w:r>
    </w:p>
    <w:p>
      <w:pPr>
        <w:widowControl/>
        <w:spacing w:line="360" w:lineRule="auto"/>
        <w:ind w:firstLine="420" w:firstLineChars="200"/>
        <w:rPr>
          <w:rFonts w:ascii="宋体" w:hAnsi="宋体" w:cs="宋体"/>
          <w:color w:val="auto"/>
          <w:szCs w:val="21"/>
          <w:highlight w:val="none"/>
        </w:rPr>
      </w:pPr>
      <w:r>
        <w:t>评标委员会对初步评审合格的投标文件，依照本办法对投标文件作进一步评审、比较。评标委员会成员经过阅标、审标和询标，对各投标人进行打分。</w:t>
      </w:r>
    </w:p>
    <w:p>
      <w:pPr>
        <w:widowControl/>
        <w:spacing w:line="360" w:lineRule="auto"/>
        <w:ind w:firstLine="420" w:firstLineChars="200"/>
        <w:rPr>
          <w:rFonts w:ascii="宋体" w:hAnsi="宋体" w:cs="宋体"/>
          <w:color w:val="auto"/>
          <w:szCs w:val="21"/>
          <w:highlight w:val="none"/>
        </w:rPr>
      </w:pPr>
      <w:r>
        <w:t>评委打分参照：评分标准。评委打分采用记名方式进行独立打分，汇总所有评委会成员评分取算术平均值（小数点后保留二位数）为该投标人的商务技术得分。报价文件经评标委员会评审后按评分标准表进行统一计算（小数点后保留二位小数）。最终汇总商务技术得分和报价得分（小数点后保留二位小数）。</w:t>
      </w:r>
    </w:p>
    <w:p>
      <w:pPr>
        <w:widowControl/>
        <w:spacing w:line="360" w:lineRule="auto"/>
        <w:ind w:firstLine="422" w:firstLineChars="200"/>
        <w:rPr>
          <w:rFonts w:ascii="宋体" w:hAnsi="宋体" w:cs="宋体"/>
          <w:b/>
          <w:bCs/>
          <w:color w:val="auto"/>
          <w:szCs w:val="21"/>
          <w:highlight w:val="none"/>
        </w:rPr>
      </w:pPr>
      <w:r>
        <w:t>（六）推荐中标候选人原则</w:t>
      </w:r>
    </w:p>
    <w:p>
      <w:pPr>
        <w:widowControl/>
        <w:spacing w:line="360" w:lineRule="auto"/>
        <w:ind w:firstLine="420" w:firstLineChars="200"/>
        <w:rPr>
          <w:rFonts w:ascii="宋体" w:hAnsi="宋体" w:cs="宋体"/>
          <w:color w:val="auto"/>
          <w:szCs w:val="21"/>
          <w:highlight w:val="none"/>
        </w:rPr>
      </w:pPr>
      <w:r>
        <w:t>评标委员会根据投标人的综合得分由高到低的排序，推荐中标候选人。若供应商的综合得分相等，则投标报价低者列前；若投标报价也相同时，采取随机抽签的方式确定排序。</w:t>
      </w:r>
    </w:p>
    <w:p>
      <w:pPr>
        <w:widowControl/>
        <w:spacing w:line="360" w:lineRule="auto"/>
        <w:ind w:firstLine="422" w:firstLineChars="200"/>
        <w:rPr>
          <w:rFonts w:ascii="宋体" w:hAnsi="宋体" w:cs="宋体"/>
          <w:b/>
          <w:bCs/>
          <w:color w:val="auto"/>
          <w:szCs w:val="21"/>
          <w:highlight w:val="none"/>
        </w:rPr>
      </w:pPr>
      <w:r>
        <w:t>（七）中标结果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宋体" w:hAnsi="宋体"/>
          <w:b/>
          <w:color w:val="auto"/>
          <w:sz w:val="30"/>
          <w:szCs w:val="30"/>
          <w:highlight w:val="none"/>
        </w:rPr>
      </w:pPr>
      <w: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评分标准</w:t>
      </w:r>
    </w:p>
    <w:tbl>
      <w:tblPr>
        <w:tblStyle w:val="21"/>
        <w:tblW w:w="8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68"/>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r>
              <w:t>评审项目</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r>
              <w:t>技</w:t>
              <w:br/>
              <w:t>术商务</w:t>
              <w:br/>
              <w:t>分</w:t>
              <w:br/>
              <w:t>90分</w:t>
            </w:r>
          </w:p>
        </w:tc>
        <w:tc>
          <w:tcPr>
            <w:tcW w:w="19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r>
              <w:t>服务方案（40分）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实施方案（8分）：</w:t>
              <w:br/>
              <w:t>根据投标人针对本项目服务的实施方案，从方案的合理情况、全面情况进行综合评分，最高得8分。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重难点及解决措施（8分）：</w:t>
              <w:br/>
              <w:t>根据投标人对本项目实施地点现场考察、调研后提出的服务实施的重点、难点和解决措施的方案进行综合评议，最高得8分。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应急措施（8分）：</w:t>
              <w:br/>
              <w:t>评委根据投标人针对本项目特殊时期的应急措施，从符合实际情况考虑进行综合评议，最高得8分。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安全保障措施（8分）：</w:t>
              <w:br/>
              <w:t>评委根据投标人针对本项目合同履行期间的安全保障措施进行综合评议，最高得8分。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履约风险分析及解决措施（8分）：</w:t>
              <w:br/>
              <w:t>评委根据投标人针对本项目提出的可能存在的履约风险及相应的解决措施进行综合评议，最高得8分。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tcBorders>
              <w:top w:val="single" w:color="auto" w:sz="4" w:space="0"/>
              <w:left w:val="single" w:color="auto" w:sz="4" w:space="0"/>
              <w:bottom w:val="single" w:color="auto" w:sz="4" w:space="0"/>
              <w:right w:val="single" w:color="auto" w:sz="4" w:space="0"/>
              <w:tl2br w:val="nil"/>
              <w:tr2bl w:val="nil"/>
            </w:tcBorders>
            <w:noWrap w:val="0"/>
            <w:vAlign w:val="center"/>
          </w:tcPr>
          <w:p>
            <w:r>
              <w:t>企业证书（3分）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投标供应商具有公安机关核发的《保安服务许可证》的得1分。</w:t>
              <w:br/>
              <w:t>投标供应商具有《劳务派遣经营许可证》的得1分。</w:t>
              <w:br/>
              <w:t>投标供应商具有《人力资源服务许可证》的得1分。</w:t>
              <w:br/>
              <w:t>（投标文件中提供在有效期内的相关证书复印件并加盖公章，未提供或提供不全或提供无效的，不得分。）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r>
              <w:t>人员配置方案</w:t>
              <w:br/>
              <w:t>（10分）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top"/>
          </w:tcPr>
          <w:p>
            <w:r>
              <w:t>拟派本项目负责人同时具有二级及以上保安员资格证书和原民警工作证的得3分；具有退役证明的得1分。</w:t>
              <w:br/>
              <w:t>（投标文件中提供在有效期内的相关证书复印件并加盖公章，未提供或提供不全或提供无效的，不得分。）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宋体" w:hAnsi="宋体" w:cs="宋体"/>
                <w:color w:val="auto"/>
                <w:sz w:val="21"/>
                <w:szCs w:val="21"/>
                <w:highlight w:val="none"/>
                <w:lang w:bidi="ar"/>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top"/>
          </w:tcPr>
          <w:p>
            <w:r>
              <w:t>评委根据投标人针对本项目服务拟投入人员情况，包括人员数量、人员年龄、人员素质等进行综合评议，最高得6分。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r>
              <w:t>管理方案</w:t>
              <w:br/>
              <w:t>（14分）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top"/>
          </w:tcPr>
          <w:p>
            <w:r>
              <w:t>人员管理（7分）：</w:t>
              <w:br/>
              <w:t>评委根据投标人针对本项目配置人员的管理方案，从符合实际、合理情况、可行情况进行综合评议，最高得7分。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top"/>
          </w:tcPr>
          <w:p>
            <w:r>
              <w:t>内部管理制度（7分）：</w:t>
              <w:br/>
              <w:t>评委根据投标人针对本项目的管理制度，包括机构的设置、人事管理制度、工器具管理制度、安全管理制度等进行综合评议，最高得7分。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tcBorders>
              <w:top w:val="single" w:color="auto" w:sz="4" w:space="0"/>
              <w:left w:val="single" w:color="auto" w:sz="4" w:space="0"/>
              <w:bottom w:val="single" w:color="auto" w:sz="4" w:space="0"/>
              <w:right w:val="single" w:color="auto" w:sz="4" w:space="0"/>
              <w:tl2br w:val="nil"/>
              <w:tr2bl w:val="nil"/>
            </w:tcBorders>
            <w:noWrap w:val="0"/>
            <w:vAlign w:val="center"/>
          </w:tcPr>
          <w:p>
            <w:r>
              <w:t>培训方案</w:t>
              <w:br/>
              <w:t>（6分）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评委根据投标人针对本项目配置人员的培训方案，从符合实际、合理情况及可行情况进行综合评分，最高得6分。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r>
              <w:t>服务响应及承诺（13分）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评委根据投标人提供的服务场所就近的地理区域、快速的交通优势提供最省时的服务响应，并根据投标人的相关服务承诺进行综合评议，最高得8分。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评委根据投标人涉及到业主对服务的考核要求作出的相应方案及对业主的相关承诺，从是否符合实际情况考虑进行综合评分，最高得5分。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tcBorders>
              <w:top w:val="single" w:color="auto" w:sz="4" w:space="0"/>
              <w:left w:val="single" w:color="auto" w:sz="4" w:space="0"/>
              <w:bottom w:val="single" w:color="auto" w:sz="4" w:space="0"/>
              <w:right w:val="single" w:color="auto" w:sz="4" w:space="0"/>
              <w:tl2br w:val="nil"/>
              <w:tr2bl w:val="nil"/>
            </w:tcBorders>
            <w:noWrap w:val="0"/>
            <w:vAlign w:val="center"/>
          </w:tcPr>
          <w:p>
            <w:r>
              <w:t>管理体系</w:t>
              <w:br/>
              <w:t>认证</w:t>
              <w:br/>
              <w:t>（3分）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投标人具有有效的质量管理体系认证证书、环境管理体系认证证书、职业健康安全管理体系认证证书的且认证范围必须含有“保安服务（门卫、巡逻、守护）或相近表述的”，每项认证证书得1分，最高得3分。</w:t>
              <w:br/>
              <w:t>注：投标文件中提供认证证书复印件加盖单位公章。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ascii="Times New Roman" w:hAnsi="Times New Roman" w:eastAsia="Times New Roman"/>
                <w:color w:val="auto"/>
                <w:sz w:val="21"/>
                <w:szCs w:val="21"/>
                <w:highlight w:val="none"/>
              </w:rPr>
            </w:pPr>
          </w:p>
        </w:tc>
        <w:tc>
          <w:tcPr>
            <w:tcW w:w="1968" w:type="dxa"/>
            <w:tcBorders>
              <w:top w:val="single" w:color="auto" w:sz="4" w:space="0"/>
              <w:left w:val="single" w:color="auto" w:sz="4" w:space="0"/>
              <w:bottom w:val="single" w:color="auto" w:sz="4" w:space="0"/>
              <w:right w:val="single" w:color="auto" w:sz="4" w:space="0"/>
              <w:tl2br w:val="nil"/>
              <w:tr2bl w:val="nil"/>
            </w:tcBorders>
            <w:noWrap w:val="0"/>
            <w:vAlign w:val="center"/>
          </w:tcPr>
          <w:p>
            <w:r>
              <w:t>政策加分（1分）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投标人是国家认定的不发达地区或少数民族地区企业的加1分。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7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r>
              <w:t>报价分10分</w:t>
            </w:r>
          </w:p>
        </w:tc>
        <w:tc>
          <w:tcPr>
            <w:tcW w:w="6060" w:type="dxa"/>
            <w:tcBorders>
              <w:top w:val="single" w:color="auto" w:sz="4" w:space="0"/>
              <w:left w:val="single" w:color="auto" w:sz="4" w:space="0"/>
              <w:bottom w:val="single" w:color="auto" w:sz="4" w:space="0"/>
              <w:right w:val="single" w:color="auto" w:sz="4" w:space="0"/>
              <w:tl2br w:val="nil"/>
              <w:tr2bl w:val="nil"/>
            </w:tcBorders>
            <w:noWrap w:val="0"/>
            <w:vAlign w:val="center"/>
          </w:tcPr>
          <w:p>
            <w:r>
              <w:t>评标基准价指的是满足招标文件要求且最低的参与评审的价格。</w:t>
              <w:br/>
              <w:t>参与评审的价格＝投标报价</w:t>
              <w:br/>
              <w:t>参与评审的价格最低的为评标基准价的其价格得满分10分。</w:t>
              <w:br/>
              <w:t>其他投标单位的价格分按照下列公式计算：</w:t>
              <w:br/>
              <w:t>计算方法：各投标单位的投标报价得分=（基准价/供应商参与评审的价格）×10×100％</w:t>
            </w:r>
          </w:p>
        </w:tc>
      </w:tr>
    </w:tbl>
    <w:p>
      <w:pPr>
        <w:spacing w:before="120" w:beforeLines="50" w:afterLines="0"/>
        <w:ind w:right="-210" w:rightChars="-100"/>
        <w:rPr>
          <w:rFonts w:hint="default" w:ascii="宋体" w:hAnsi="宋体"/>
          <w:color w:val="auto"/>
          <w:sz w:val="21"/>
          <w:szCs w:val="24"/>
          <w:highlight w:val="none"/>
        </w:rPr>
      </w:pPr>
      <w:r>
        <w:t>投标人应提供真实有效的相关证明，采购人有权利调查其真实性，若提供的相关证明存在造假情况，将取消中标资格。</w:t>
      </w:r>
    </w:p>
    <w:p>
      <w:pPr>
        <w:numPr>
          <w:ilvl w:val="0"/>
          <w:numId w:val="0"/>
        </w:numPr>
        <w:spacing w:beforeLines="0" w:afterLines="0"/>
        <w:jc w:val="center"/>
        <w:rPr>
          <w:rFonts w:hint="default" w:ascii="宋体" w:hAnsi="宋体"/>
          <w:b/>
          <w:color w:val="auto"/>
          <w:sz w:val="32"/>
          <w:szCs w:val="32"/>
          <w:highlight w:val="none"/>
        </w:rPr>
      </w:pPr>
      <w:r>
        <w:t>第五部分 采购内容及要求</w:t>
      </w:r>
    </w:p>
    <w:p>
      <w:pPr>
        <w:spacing w:beforeLines="0" w:afterLines="0" w:line="360" w:lineRule="auto"/>
        <w:outlineLvl w:val="1"/>
        <w:rPr>
          <w:rFonts w:hint="default" w:ascii="宋体" w:cs="宋体"/>
          <w:b/>
          <w:color w:val="auto"/>
          <w:kern w:val="0"/>
          <w:sz w:val="21"/>
          <w:szCs w:val="24"/>
          <w:highlight w:val="none"/>
        </w:rPr>
      </w:pPr>
      <w:r/>
    </w:p>
    <w:p>
      <w:pPr>
        <w:spacing w:beforeLines="0" w:afterLines="0" w:line="360" w:lineRule="auto"/>
        <w:outlineLvl w:val="1"/>
        <w:rPr>
          <w:rFonts w:hint="default" w:cs="宋体"/>
          <w:b/>
          <w:color w:val="auto"/>
          <w:kern w:val="0"/>
          <w:sz w:val="21"/>
          <w:szCs w:val="21"/>
          <w:highlight w:val="none"/>
        </w:rPr>
      </w:pPr>
      <w:r>
        <w:t>一、项目概况：</w:t>
      </w:r>
    </w:p>
    <w:p>
      <w:pPr>
        <w:spacing w:beforeLines="0" w:afterLines="0" w:line="360" w:lineRule="auto"/>
        <w:ind w:firstLine="420" w:firstLineChars="200"/>
        <w:rPr>
          <w:rFonts w:hint="default"/>
          <w:color w:val="auto"/>
          <w:sz w:val="21"/>
          <w:szCs w:val="21"/>
          <w:highlight w:val="none"/>
        </w:rPr>
      </w:pPr>
      <w:r>
        <w:t>（一）项目名称：宁波市海曙区高桥镇劳务外包服务项目。</w:t>
      </w:r>
    </w:p>
    <w:p>
      <w:pPr>
        <w:spacing w:beforeLines="0" w:afterLines="0" w:line="360" w:lineRule="auto"/>
        <w:ind w:firstLine="420" w:firstLineChars="200"/>
        <w:rPr>
          <w:rFonts w:hint="default"/>
          <w:color w:val="auto"/>
          <w:sz w:val="21"/>
          <w:szCs w:val="21"/>
          <w:highlight w:val="none"/>
        </w:rPr>
      </w:pPr>
      <w:r>
        <w:t>（二）服务期限：三年。</w:t>
      </w:r>
    </w:p>
    <w:p>
      <w:pPr>
        <w:spacing w:beforeLines="0" w:afterLines="0" w:line="360" w:lineRule="auto"/>
        <w:ind w:firstLine="420" w:firstLineChars="200"/>
        <w:rPr>
          <w:rFonts w:hint="default"/>
          <w:b/>
          <w:color w:val="auto"/>
          <w:kern w:val="0"/>
          <w:sz w:val="21"/>
          <w:szCs w:val="21"/>
          <w:highlight w:val="none"/>
        </w:rPr>
      </w:pPr>
      <w:r>
        <w:t>（三）项目人员需求</w:t>
      </w:r>
    </w:p>
    <w:tbl>
      <w:tblPr>
        <w:tblStyle w:val="21"/>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0"/>
        <w:gridCol w:w="1226"/>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noWrap w:val="0"/>
            <w:vAlign w:val="top"/>
          </w:tcPr>
          <w:p>
            <w:r>
              <w:t>序号</w:t>
            </w:r>
          </w:p>
        </w:tc>
        <w:tc>
          <w:tcPr>
            <w:tcW w:w="2120" w:type="dxa"/>
            <w:tcBorders>
              <w:top w:val="single" w:color="auto" w:sz="4" w:space="0"/>
              <w:left w:val="single" w:color="auto" w:sz="4" w:space="0"/>
              <w:bottom w:val="single" w:color="auto" w:sz="4" w:space="0"/>
              <w:right w:val="single" w:color="auto" w:sz="4" w:space="0"/>
              <w:tl2br w:val="nil"/>
              <w:tr2bl w:val="nil"/>
            </w:tcBorders>
            <w:noWrap w:val="0"/>
            <w:vAlign w:val="top"/>
          </w:tcPr>
          <w:p>
            <w:r>
              <w:t>人员</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top"/>
          </w:tcPr>
          <w:p>
            <w:r>
              <w:t>人数</w:t>
            </w:r>
          </w:p>
        </w:tc>
        <w:tc>
          <w:tcPr>
            <w:tcW w:w="4301" w:type="dxa"/>
            <w:tcBorders>
              <w:top w:val="single" w:color="auto" w:sz="4" w:space="0"/>
              <w:left w:val="single" w:color="auto" w:sz="4" w:space="0"/>
              <w:bottom w:val="single" w:color="auto" w:sz="4" w:space="0"/>
              <w:right w:val="single" w:color="auto" w:sz="4" w:space="0"/>
              <w:tl2br w:val="nil"/>
              <w:tr2bl w:val="nil"/>
            </w:tcBorders>
            <w:noWrap w:val="0"/>
            <w:vAlign w:val="top"/>
          </w:tcPr>
          <w:p>
            <w: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r>
              <w:t>1</w:t>
            </w:r>
          </w:p>
        </w:tc>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r>
              <w:t>高桥镇劳务外包人员</w:t>
            </w:r>
          </w:p>
        </w:tc>
        <w:tc>
          <w:tcPr>
            <w:tcW w:w="1226" w:type="dxa"/>
            <w:tcBorders>
              <w:top w:val="single" w:color="auto" w:sz="4" w:space="0"/>
              <w:left w:val="single" w:color="auto" w:sz="4" w:space="0"/>
              <w:bottom w:val="single" w:color="auto" w:sz="4" w:space="0"/>
              <w:right w:val="single" w:color="auto" w:sz="4" w:space="0"/>
              <w:tl2br w:val="nil"/>
              <w:tr2bl w:val="nil"/>
            </w:tcBorders>
            <w:noWrap w:val="0"/>
            <w:vAlign w:val="center"/>
          </w:tcPr>
          <w:p>
            <w:r>
              <w:t>60人</w:t>
            </w:r>
          </w:p>
        </w:tc>
        <w:tc>
          <w:tcPr>
            <w:tcW w:w="4301" w:type="dxa"/>
            <w:tcBorders>
              <w:top w:val="single" w:color="auto" w:sz="4" w:space="0"/>
              <w:left w:val="single" w:color="auto" w:sz="4" w:space="0"/>
              <w:bottom w:val="single" w:color="auto" w:sz="4" w:space="0"/>
              <w:right w:val="single" w:color="auto" w:sz="4" w:space="0"/>
              <w:tl2br w:val="nil"/>
              <w:tr2bl w:val="nil"/>
            </w:tcBorders>
            <w:noWrap w:val="0"/>
            <w:vAlign w:val="top"/>
          </w:tcPr>
          <w:p>
            <w:r>
              <w:t>55周岁以下，初中以上文化水平，其中至少1人具有C1及以上驾驶证</w:t>
            </w:r>
          </w:p>
        </w:tc>
      </w:tr>
    </w:tbl>
    <w:p>
      <w:pPr>
        <w:spacing w:beforeLines="0" w:afterLines="0" w:line="360" w:lineRule="auto"/>
        <w:rPr>
          <w:rFonts w:hint="default"/>
          <w:b/>
          <w:color w:val="auto"/>
          <w:kern w:val="0"/>
          <w:sz w:val="21"/>
          <w:szCs w:val="21"/>
          <w:highlight w:val="none"/>
        </w:rPr>
      </w:pPr>
      <w:r>
        <w:t>二、工作时间</w:t>
      </w:r>
    </w:p>
    <w:p>
      <w:pPr>
        <w:spacing w:beforeLines="0" w:afterLines="0" w:line="360" w:lineRule="auto"/>
        <w:ind w:firstLine="420" w:firstLineChars="200"/>
        <w:rPr>
          <w:rFonts w:hint="default"/>
          <w:color w:val="auto"/>
          <w:kern w:val="0"/>
          <w:sz w:val="21"/>
          <w:szCs w:val="21"/>
          <w:highlight w:val="none"/>
        </w:rPr>
      </w:pPr>
      <w:r>
        <w:t>1、根据岗位需要合理排班。按单位要求时间在岗工作，岗位的交接班必须无缝对接。</w:t>
      </w:r>
    </w:p>
    <w:p>
      <w:pPr>
        <w:spacing w:beforeLines="0" w:afterLines="0" w:line="360" w:lineRule="auto"/>
        <w:ind w:firstLine="420" w:firstLineChars="200"/>
        <w:rPr>
          <w:rFonts w:hint="default"/>
          <w:color w:val="auto"/>
          <w:kern w:val="0"/>
          <w:sz w:val="21"/>
          <w:szCs w:val="21"/>
          <w:highlight w:val="none"/>
        </w:rPr>
      </w:pPr>
      <w:r>
        <w:t>2、工作时间：按采购方要求时间工作。</w:t>
      </w:r>
    </w:p>
    <w:p>
      <w:pPr>
        <w:spacing w:beforeLines="0" w:afterLines="0" w:line="360" w:lineRule="auto"/>
        <w:ind w:firstLine="420" w:firstLineChars="200"/>
        <w:rPr>
          <w:rFonts w:hint="default"/>
          <w:color w:val="auto"/>
          <w:kern w:val="0"/>
          <w:sz w:val="21"/>
          <w:szCs w:val="21"/>
          <w:highlight w:val="none"/>
        </w:rPr>
      </w:pPr>
      <w:r>
        <w:t>3、不得迟到早退旷班，事假病假要提前报告，绝不能出现空岗现象。</w:t>
      </w:r>
    </w:p>
    <w:p>
      <w:pPr>
        <w:spacing w:beforeLines="0" w:afterLines="0"/>
        <w:rPr>
          <w:rFonts w:hint="default"/>
          <w:b/>
          <w:color w:val="auto"/>
          <w:sz w:val="21"/>
          <w:szCs w:val="21"/>
          <w:highlight w:val="none"/>
        </w:rPr>
      </w:pPr>
      <w:r>
        <w:t>三、人员要求</w:t>
      </w:r>
    </w:p>
    <w:p>
      <w:pPr>
        <w:tabs>
          <w:tab w:val="left" w:pos="0"/>
        </w:tabs>
        <w:spacing w:beforeLines="0" w:afterLines="0" w:line="360" w:lineRule="auto"/>
        <w:rPr>
          <w:rFonts w:hint="default"/>
          <w:color w:val="auto"/>
          <w:sz w:val="21"/>
          <w:szCs w:val="21"/>
          <w:highlight w:val="none"/>
          <w:lang w:bidi="ar"/>
        </w:rPr>
      </w:pPr>
      <w:r>
        <w:t>1、基本条件：</w:t>
      </w:r>
    </w:p>
    <w:p>
      <w:pPr>
        <w:tabs>
          <w:tab w:val="left" w:pos="0"/>
        </w:tabs>
        <w:spacing w:beforeLines="0" w:afterLines="0" w:line="360" w:lineRule="auto"/>
        <w:rPr>
          <w:rFonts w:hint="default"/>
          <w:color w:val="auto"/>
          <w:sz w:val="21"/>
          <w:szCs w:val="21"/>
          <w:highlight w:val="none"/>
          <w:lang w:bidi="ar"/>
        </w:rPr>
      </w:pPr>
      <w:r>
        <w:t>①具有中华人民共和国国籍；</w:t>
      </w:r>
    </w:p>
    <w:p>
      <w:pPr>
        <w:tabs>
          <w:tab w:val="left" w:pos="0"/>
        </w:tabs>
        <w:spacing w:beforeLines="0" w:afterLines="0" w:line="360" w:lineRule="auto"/>
        <w:rPr>
          <w:rFonts w:hint="default"/>
          <w:color w:val="auto"/>
          <w:sz w:val="21"/>
          <w:szCs w:val="21"/>
          <w:highlight w:val="none"/>
          <w:lang w:bidi="ar"/>
        </w:rPr>
      </w:pPr>
      <w:r>
        <w:t>②拥护宪法，遵守法律、法规和社会公德，纪律观念强；</w:t>
      </w:r>
    </w:p>
    <w:p>
      <w:pPr>
        <w:tabs>
          <w:tab w:val="left" w:pos="0"/>
        </w:tabs>
        <w:spacing w:beforeLines="0" w:afterLines="0" w:line="360" w:lineRule="auto"/>
        <w:rPr>
          <w:rFonts w:hint="default"/>
          <w:color w:val="auto"/>
          <w:sz w:val="21"/>
          <w:szCs w:val="21"/>
          <w:highlight w:val="none"/>
          <w:lang w:bidi="ar"/>
        </w:rPr>
      </w:pPr>
      <w:r>
        <w:t>③热爱公安事业，具有较强的奉献和吃苦耐劳精神；</w:t>
      </w:r>
    </w:p>
    <w:p>
      <w:pPr>
        <w:tabs>
          <w:tab w:val="left" w:pos="0"/>
        </w:tabs>
        <w:spacing w:beforeLines="0" w:afterLines="0" w:line="360" w:lineRule="auto"/>
        <w:rPr>
          <w:rFonts w:hint="default"/>
          <w:color w:val="auto"/>
          <w:sz w:val="21"/>
          <w:szCs w:val="21"/>
          <w:highlight w:val="none"/>
          <w:lang w:bidi="ar"/>
        </w:rPr>
      </w:pPr>
      <w:r>
        <w:t>④身心健康,没有传染病及精神疾病等不能控制自己行为能力的疾病病史，体貌端正，无纹身，具有履行职责的身体条件和工作能力, 没有违法犯罪记录；</w:t>
      </w:r>
    </w:p>
    <w:p>
      <w:pPr>
        <w:tabs>
          <w:tab w:val="left" w:pos="0"/>
        </w:tabs>
        <w:spacing w:beforeLines="0" w:afterLines="0" w:line="360" w:lineRule="auto"/>
        <w:rPr>
          <w:rFonts w:hint="default"/>
          <w:color w:val="auto"/>
          <w:sz w:val="21"/>
          <w:szCs w:val="21"/>
          <w:highlight w:val="none"/>
          <w:lang w:bidi="ar"/>
        </w:rPr>
      </w:pPr>
      <w:r>
        <w:t>⑤初中及以上学历，年龄55周岁以下；</w:t>
      </w:r>
    </w:p>
    <w:p>
      <w:pPr>
        <w:tabs>
          <w:tab w:val="left" w:pos="0"/>
        </w:tabs>
        <w:spacing w:beforeLines="0" w:afterLines="0" w:line="360" w:lineRule="auto"/>
        <w:rPr>
          <w:rFonts w:hint="default"/>
          <w:color w:val="auto"/>
          <w:sz w:val="21"/>
          <w:szCs w:val="21"/>
          <w:highlight w:val="none"/>
          <w:lang w:bidi="ar"/>
        </w:rPr>
      </w:pPr>
      <w:r>
        <w:t>⑥具有特殊技能、专业特长的人员和曾在服役期间受到表彰奖励的退伍军人，及条件艰苦岗位急需的人员可适当放宽条件；</w:t>
      </w:r>
    </w:p>
    <w:p>
      <w:pPr>
        <w:tabs>
          <w:tab w:val="left" w:pos="0"/>
        </w:tabs>
        <w:spacing w:beforeLines="0" w:afterLines="0" w:line="360" w:lineRule="auto"/>
        <w:rPr>
          <w:rFonts w:hint="default"/>
          <w:color w:val="auto"/>
          <w:sz w:val="21"/>
          <w:szCs w:val="21"/>
          <w:highlight w:val="none"/>
          <w:lang w:bidi="ar"/>
        </w:rPr>
      </w:pPr>
      <w:r>
        <w:t>⑦人员要求比较固定，半年内不能更换，确因特殊原因须更换人员，须提前与高桥镇协商，经高桥镇同意才能更换。</w:t>
      </w:r>
    </w:p>
    <w:p>
      <w:pPr>
        <w:tabs>
          <w:tab w:val="left" w:pos="0"/>
        </w:tabs>
        <w:spacing w:beforeLines="0" w:afterLines="0" w:line="360" w:lineRule="auto"/>
        <w:rPr>
          <w:rFonts w:hint="default"/>
          <w:color w:val="auto"/>
          <w:sz w:val="21"/>
          <w:szCs w:val="21"/>
          <w:highlight w:val="none"/>
          <w:lang w:bidi="ar"/>
        </w:rPr>
      </w:pPr>
      <w:r>
        <w:t>不得有下列任一情形：</w:t>
      </w:r>
    </w:p>
    <w:p>
      <w:pPr>
        <w:tabs>
          <w:tab w:val="left" w:pos="0"/>
        </w:tabs>
        <w:spacing w:beforeLines="0" w:afterLines="0" w:line="360" w:lineRule="auto"/>
        <w:rPr>
          <w:rFonts w:hint="default"/>
          <w:color w:val="auto"/>
          <w:sz w:val="21"/>
          <w:szCs w:val="21"/>
          <w:highlight w:val="none"/>
          <w:lang w:bidi="ar"/>
        </w:rPr>
      </w:pPr>
      <w:r>
        <w:t>①受过刑事处罚、行政拘留以上处罚或者司法拘留处罚的；</w:t>
      </w:r>
    </w:p>
    <w:p>
      <w:pPr>
        <w:tabs>
          <w:tab w:val="left" w:pos="0"/>
        </w:tabs>
        <w:spacing w:beforeLines="0" w:afterLines="0" w:line="360" w:lineRule="auto"/>
        <w:rPr>
          <w:rFonts w:hint="default"/>
          <w:color w:val="auto"/>
          <w:sz w:val="21"/>
          <w:szCs w:val="21"/>
          <w:highlight w:val="none"/>
          <w:lang w:bidi="ar"/>
        </w:rPr>
      </w:pPr>
      <w:r>
        <w:t>②有较为严重的个人不良信用记录、因违纪违规被开除辞退解聘的；</w:t>
      </w:r>
    </w:p>
    <w:p>
      <w:pPr>
        <w:tabs>
          <w:tab w:val="left" w:pos="0"/>
        </w:tabs>
        <w:spacing w:beforeLines="0" w:afterLines="0" w:line="360" w:lineRule="auto"/>
        <w:rPr>
          <w:rFonts w:hint="default"/>
          <w:color w:val="auto"/>
          <w:sz w:val="21"/>
          <w:szCs w:val="21"/>
          <w:highlight w:val="none"/>
          <w:lang w:bidi="ar"/>
        </w:rPr>
      </w:pPr>
      <w:r>
        <w:t>③本人家庭成员或近亲属被判处刑罚的；</w:t>
      </w:r>
    </w:p>
    <w:p>
      <w:pPr>
        <w:tabs>
          <w:tab w:val="left" w:pos="0"/>
        </w:tabs>
        <w:spacing w:beforeLines="0" w:afterLines="0" w:line="360" w:lineRule="auto"/>
        <w:rPr>
          <w:rFonts w:hint="default"/>
          <w:color w:val="auto"/>
          <w:sz w:val="21"/>
          <w:szCs w:val="21"/>
          <w:highlight w:val="none"/>
          <w:lang w:bidi="ar"/>
        </w:rPr>
      </w:pPr>
      <w:r>
        <w:t>④本人或家庭成员、近亲属参加非法组织、邪教组织或从事其他危害国家安全活动的；</w:t>
      </w:r>
    </w:p>
    <w:p>
      <w:pPr>
        <w:tabs>
          <w:tab w:val="left" w:pos="0"/>
        </w:tabs>
        <w:spacing w:beforeLines="0" w:afterLines="0" w:line="360" w:lineRule="auto"/>
        <w:rPr>
          <w:rFonts w:hint="default"/>
          <w:color w:val="auto"/>
          <w:sz w:val="21"/>
          <w:szCs w:val="21"/>
          <w:highlight w:val="none"/>
          <w:lang w:bidi="ar"/>
        </w:rPr>
      </w:pPr>
      <w:r>
        <w:t>⑤曾有辅助服务工作经历，在合同期未满情况下自行离职的；</w:t>
      </w:r>
    </w:p>
    <w:p>
      <w:pPr>
        <w:tabs>
          <w:tab w:val="left" w:pos="0"/>
        </w:tabs>
        <w:spacing w:beforeLines="0" w:afterLines="0" w:line="360" w:lineRule="auto"/>
        <w:rPr>
          <w:rFonts w:hint="default"/>
          <w:color w:val="auto"/>
          <w:sz w:val="21"/>
          <w:szCs w:val="21"/>
          <w:highlight w:val="none"/>
          <w:lang w:bidi="ar"/>
        </w:rPr>
      </w:pPr>
      <w:r>
        <w:t>⑥其他不宜从事工作的。</w:t>
      </w:r>
    </w:p>
    <w:p>
      <w:pPr>
        <w:spacing w:beforeLines="0" w:afterLines="0" w:line="360" w:lineRule="auto"/>
        <w:rPr>
          <w:rFonts w:hint="default"/>
          <w:b/>
          <w:color w:val="auto"/>
          <w:kern w:val="0"/>
          <w:sz w:val="21"/>
          <w:szCs w:val="21"/>
          <w:highlight w:val="none"/>
        </w:rPr>
      </w:pPr>
      <w:r>
        <w:t>四、工作内容</w:t>
      </w:r>
    </w:p>
    <w:p>
      <w:pPr>
        <w:spacing w:beforeLines="0" w:afterLines="0" w:line="360" w:lineRule="auto"/>
        <w:ind w:firstLine="420" w:firstLineChars="200"/>
        <w:rPr>
          <w:rFonts w:hint="default" w:ascii="宋体" w:hAnsi="宋体" w:cs="宋体"/>
          <w:color w:val="auto"/>
          <w:kern w:val="0"/>
          <w:sz w:val="21"/>
          <w:szCs w:val="21"/>
          <w:highlight w:val="none"/>
        </w:rPr>
      </w:pPr>
      <w:r>
        <w:t>包含窗口服务、调解、流动人员管理服务、食堂、保洁、门卫、采购人确认的其他辅助性活动等服务需求。</w:t>
      </w:r>
    </w:p>
    <w:p>
      <w:pPr>
        <w:spacing w:beforeLines="0" w:afterLines="0" w:line="360" w:lineRule="auto"/>
        <w:ind w:firstLine="420" w:firstLineChars="200"/>
        <w:rPr>
          <w:rFonts w:hint="default" w:ascii="宋体" w:hAnsi="宋体" w:cs="宋体"/>
          <w:color w:val="auto"/>
          <w:kern w:val="0"/>
          <w:sz w:val="21"/>
          <w:szCs w:val="21"/>
          <w:highlight w:val="none"/>
        </w:rPr>
      </w:pPr>
      <w:r>
        <w:t>★投标人中标后在合同签订前按照采购人要求，配备60名***劳务外包人员，承担采购人指定的工作任务，并报招标人审核，否则中标无效，服务期限为3年,薪资金额参照人员单价按实按人结算。</w:t>
      </w:r>
    </w:p>
    <w:p>
      <w:pPr>
        <w:spacing w:beforeLines="0" w:afterLines="0" w:line="360" w:lineRule="auto"/>
        <w:rPr>
          <w:rFonts w:hint="default"/>
          <w:b/>
          <w:color w:val="auto"/>
          <w:kern w:val="0"/>
          <w:sz w:val="21"/>
          <w:szCs w:val="21"/>
          <w:highlight w:val="none"/>
        </w:rPr>
      </w:pPr>
      <w:r>
        <w:t>五、岗位要求</w:t>
      </w:r>
    </w:p>
    <w:p>
      <w:pPr>
        <w:spacing w:beforeLines="0" w:afterLines="0" w:line="360" w:lineRule="auto"/>
        <w:ind w:firstLine="420" w:firstLineChars="200"/>
        <w:rPr>
          <w:rFonts w:hint="default"/>
          <w:color w:val="auto"/>
          <w:kern w:val="0"/>
          <w:sz w:val="21"/>
          <w:szCs w:val="21"/>
          <w:highlight w:val="none"/>
        </w:rPr>
      </w:pPr>
      <w:r>
        <w:t>1、上岗工作应着统一服装，着装整洁，精神饱满，文明工作，礼仪规范，热情服务。</w:t>
      </w:r>
    </w:p>
    <w:p>
      <w:pPr>
        <w:spacing w:beforeLines="0" w:afterLines="0" w:line="360" w:lineRule="auto"/>
        <w:ind w:firstLine="420" w:firstLineChars="200"/>
        <w:rPr>
          <w:rFonts w:hint="default"/>
          <w:color w:val="auto"/>
          <w:kern w:val="0"/>
          <w:sz w:val="21"/>
          <w:szCs w:val="21"/>
          <w:highlight w:val="none"/>
        </w:rPr>
      </w:pPr>
      <w:r>
        <w:t>2、到岗人员应严格遵守国家法律、法规和道德规范，在工作中应严格遵守***的各项规章制度和工作规范。</w:t>
      </w:r>
    </w:p>
    <w:p>
      <w:pPr>
        <w:spacing w:beforeLines="0" w:afterLines="0" w:line="360" w:lineRule="auto"/>
        <w:ind w:firstLine="420" w:firstLineChars="200"/>
        <w:rPr>
          <w:rFonts w:hint="default"/>
          <w:color w:val="auto"/>
          <w:kern w:val="0"/>
          <w:sz w:val="21"/>
          <w:szCs w:val="21"/>
          <w:highlight w:val="none"/>
        </w:rPr>
      </w:pPr>
      <w:r>
        <w:t>3、服从***领导，听从指挥，坚守岗位，恪尽职守；保持岗位及周边环境整洁、有序。</w:t>
      </w:r>
    </w:p>
    <w:p>
      <w:pPr>
        <w:spacing w:beforeLines="0" w:afterLines="0" w:line="360" w:lineRule="auto"/>
        <w:ind w:firstLine="420" w:firstLineChars="200"/>
        <w:rPr>
          <w:rFonts w:hint="default"/>
          <w:color w:val="auto"/>
          <w:kern w:val="0"/>
          <w:sz w:val="21"/>
          <w:szCs w:val="21"/>
          <w:highlight w:val="none"/>
        </w:rPr>
      </w:pPr>
      <w:r>
        <w:t>4、认真履行岗位职责，做好防火、防盗、防伤害、防意外，切实维护公共秩序，保证单位安全有序。</w:t>
      </w:r>
    </w:p>
    <w:p>
      <w:pPr>
        <w:spacing w:beforeLines="0" w:afterLines="0" w:line="360" w:lineRule="auto"/>
        <w:ind w:firstLine="420" w:firstLineChars="200"/>
        <w:rPr>
          <w:rFonts w:hint="default"/>
          <w:color w:val="auto"/>
          <w:kern w:val="0"/>
          <w:sz w:val="21"/>
          <w:szCs w:val="21"/>
          <w:highlight w:val="none"/>
        </w:rPr>
      </w:pPr>
      <w:r>
        <w:t>5、自觉接受单位的检查、监督和业务指导。</w:t>
      </w:r>
    </w:p>
    <w:p>
      <w:pPr>
        <w:spacing w:beforeLines="0" w:afterLines="0" w:line="360" w:lineRule="auto"/>
        <w:ind w:firstLine="420" w:firstLineChars="200"/>
        <w:rPr>
          <w:rFonts w:hint="default"/>
          <w:color w:val="auto"/>
          <w:kern w:val="0"/>
          <w:sz w:val="21"/>
          <w:szCs w:val="21"/>
          <w:highlight w:val="none"/>
        </w:rPr>
      </w:pPr>
      <w:r>
        <w:t>6、积极完成其它属于服务范围内的工作以及单位交办的临时性任务。</w:t>
      </w:r>
    </w:p>
    <w:p>
      <w:pPr>
        <w:spacing w:beforeLines="0" w:afterLines="0" w:line="360" w:lineRule="auto"/>
        <w:ind w:firstLine="420" w:firstLineChars="200"/>
        <w:rPr>
          <w:rFonts w:hint="default"/>
          <w:color w:val="auto"/>
          <w:kern w:val="0"/>
          <w:sz w:val="21"/>
          <w:szCs w:val="21"/>
          <w:highlight w:val="none"/>
        </w:rPr>
      </w:pPr>
      <w:r>
        <w:t>7、做好疫情防控工作。</w:t>
      </w:r>
    </w:p>
    <w:p>
      <w:pPr>
        <w:spacing w:beforeLines="0" w:afterLines="0" w:line="360" w:lineRule="auto"/>
        <w:rPr>
          <w:rFonts w:hint="default"/>
          <w:b/>
          <w:color w:val="auto"/>
          <w:kern w:val="0"/>
          <w:sz w:val="21"/>
          <w:szCs w:val="21"/>
          <w:highlight w:val="none"/>
        </w:rPr>
      </w:pPr>
      <w:r>
        <w:t>六、培训要求：</w:t>
      </w:r>
    </w:p>
    <w:p>
      <w:pPr>
        <w:spacing w:beforeLines="0" w:afterLines="0" w:line="360" w:lineRule="auto"/>
        <w:ind w:firstLine="420" w:firstLineChars="200"/>
        <w:rPr>
          <w:rFonts w:hint="default"/>
          <w:color w:val="auto"/>
          <w:kern w:val="0"/>
          <w:sz w:val="21"/>
          <w:szCs w:val="21"/>
          <w:highlight w:val="none"/>
        </w:rPr>
      </w:pPr>
      <w:r>
        <w:t>1、中标单位必须定期自行组织人员技术培训，达到上岗标准后方能上岗。</w:t>
      </w:r>
    </w:p>
    <w:p>
      <w:pPr>
        <w:spacing w:beforeLines="0" w:afterLines="0" w:line="360" w:lineRule="auto"/>
        <w:rPr>
          <w:rFonts w:hint="default"/>
          <w:b/>
          <w:color w:val="auto"/>
          <w:sz w:val="21"/>
          <w:szCs w:val="21"/>
          <w:highlight w:val="none"/>
        </w:rPr>
      </w:pPr>
      <w:r>
        <w:t>七、其他要求</w:t>
      </w:r>
    </w:p>
    <w:p>
      <w:pPr>
        <w:spacing w:beforeLines="0" w:afterLines="0" w:line="360" w:lineRule="auto"/>
        <w:ind w:firstLine="420" w:firstLineChars="200"/>
        <w:jc w:val="left"/>
        <w:rPr>
          <w:rFonts w:hint="default" w:ascii="宋体" w:hAnsi="宋体"/>
          <w:color w:val="auto"/>
          <w:sz w:val="21"/>
          <w:szCs w:val="21"/>
          <w:highlight w:val="none"/>
        </w:rPr>
      </w:pPr>
      <w:r>
        <w:t>1、 对第三人或第三方造成安全事故的所有责任和损失由供应商承担；</w:t>
      </w:r>
    </w:p>
    <w:p>
      <w:pPr>
        <w:spacing w:beforeLines="0" w:afterLines="0" w:line="360" w:lineRule="auto"/>
        <w:ind w:firstLine="420" w:firstLineChars="200"/>
        <w:jc w:val="left"/>
        <w:rPr>
          <w:rFonts w:hint="default" w:ascii="宋体" w:hAnsi="宋体"/>
          <w:color w:val="auto"/>
          <w:sz w:val="21"/>
          <w:szCs w:val="21"/>
          <w:highlight w:val="none"/>
        </w:rPr>
      </w:pPr>
      <w:r>
        <w:t>2 、中标单位所属员工在工作期间发生的各类受伤、致残、身亡等事故的一切责任及费用由中标单位全部负责；</w:t>
      </w:r>
    </w:p>
    <w:p>
      <w:pPr>
        <w:spacing w:beforeLines="0" w:afterLines="0" w:line="360" w:lineRule="auto"/>
        <w:ind w:firstLine="420" w:firstLineChars="200"/>
        <w:jc w:val="left"/>
        <w:rPr>
          <w:rFonts w:hint="default" w:ascii="宋体" w:hAnsi="宋体"/>
          <w:color w:val="auto"/>
          <w:sz w:val="21"/>
          <w:szCs w:val="21"/>
          <w:highlight w:val="none"/>
        </w:rPr>
      </w:pPr>
      <w:r>
        <w:t>3 、在服务期内，因员工安全意识欠缺、安全技能培训不到位从而造成事故的，所有损失由中标单位承担；</w:t>
      </w:r>
    </w:p>
    <w:p>
      <w:pPr>
        <w:spacing w:beforeLines="0" w:afterLines="0" w:line="360" w:lineRule="auto"/>
        <w:ind w:firstLine="420" w:firstLineChars="200"/>
        <w:jc w:val="left"/>
        <w:rPr>
          <w:rFonts w:hint="default" w:ascii="宋体" w:hAnsi="宋体"/>
          <w:color w:val="auto"/>
          <w:sz w:val="21"/>
          <w:szCs w:val="21"/>
          <w:highlight w:val="none"/>
        </w:rPr>
      </w:pPr>
      <w:r>
        <w:t>4、 中标单位与员工之间；员工与员工之间的各种纠纷，由中标单位自行解决；</w:t>
      </w:r>
    </w:p>
    <w:p>
      <w:pPr>
        <w:spacing w:beforeLines="0" w:afterLines="0" w:line="360" w:lineRule="auto"/>
        <w:ind w:firstLine="420" w:firstLineChars="200"/>
        <w:jc w:val="left"/>
        <w:rPr>
          <w:rFonts w:hint="default" w:ascii="宋体" w:hAnsi="宋体"/>
          <w:color w:val="auto"/>
          <w:sz w:val="21"/>
          <w:szCs w:val="21"/>
          <w:highlight w:val="none"/>
        </w:rPr>
      </w:pPr>
      <w:r>
        <w:t>5 、中标单位因违规操作或失职等造成高桥镇方设备、设施损坏以及中标单位员工工伤事故发生的，一切责任由中标单位负责，并承担由此给高桥镇造成的全部经济损失；</w:t>
      </w:r>
    </w:p>
    <w:p>
      <w:pPr>
        <w:spacing w:beforeLines="0" w:afterLines="0" w:line="360" w:lineRule="auto"/>
        <w:ind w:firstLine="420" w:firstLineChars="200"/>
        <w:jc w:val="left"/>
        <w:rPr>
          <w:rFonts w:hint="default" w:ascii="宋体" w:hAnsi="宋体"/>
          <w:color w:val="auto"/>
          <w:sz w:val="21"/>
          <w:szCs w:val="21"/>
          <w:highlight w:val="none"/>
        </w:rPr>
      </w:pPr>
      <w:r>
        <w:t>6、本招标文件未尽事宜，中标人在与采购人签订合同时，在不超过相关规定之内协商解决。</w:t>
      </w:r>
    </w:p>
    <w:p>
      <w:pPr>
        <w:spacing w:beforeLines="0" w:afterLines="0" w:line="360" w:lineRule="auto"/>
        <w:ind w:firstLine="420" w:firstLineChars="200"/>
        <w:jc w:val="left"/>
        <w:rPr>
          <w:rFonts w:hint="default"/>
          <w:color w:val="auto"/>
          <w:sz w:val="21"/>
          <w:szCs w:val="21"/>
          <w:highlight w:val="none"/>
        </w:rPr>
      </w:pPr>
      <w:r>
        <w:t>7、具体人员数量按采购人要求，如与招标人数不符的，按中标单价结合实际人数进行计算。</w:t>
      </w:r>
    </w:p>
    <w:bookmarkEnd w:id="172"/>
    <w:p>
      <w:pPr>
        <w:spacing w:beforeLines="0" w:afterLines="0" w:line="360" w:lineRule="auto"/>
        <w:rPr>
          <w:rFonts w:hint="default" w:ascii="宋体" w:cs="宋体"/>
          <w:color w:val="auto"/>
          <w:sz w:val="21"/>
          <w:szCs w:val="21"/>
          <w:highlight w:val="none"/>
        </w:rPr>
      </w:pPr>
      <w:r>
        <w:t>商务要求：</w:t>
      </w:r>
    </w:p>
    <w:tbl>
      <w:tblPr>
        <w:tblStyle w:val="21"/>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51"/>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项目</w:t>
            </w:r>
          </w:p>
        </w:tc>
        <w:tc>
          <w:tcPr>
            <w:tcW w:w="7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★1、服务期</w:t>
            </w:r>
          </w:p>
        </w:tc>
        <w:tc>
          <w:tcPr>
            <w:tcW w:w="7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2、服务地点</w:t>
            </w:r>
          </w:p>
        </w:tc>
        <w:tc>
          <w:tcPr>
            <w:tcW w:w="7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宁波市海曙区高桥镇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19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★3、付款条件</w:t>
            </w:r>
          </w:p>
        </w:tc>
        <w:tc>
          <w:tcPr>
            <w:tcW w:w="7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1、服务费用由采购人根据人数变化等确认费用后按月支付服务费。</w:t>
              <w:br/>
              <w:t>2、经采购人考评合格后，在次月10日前支付当月费用。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4、履约保证金</w:t>
            </w:r>
          </w:p>
        </w:tc>
        <w:tc>
          <w:tcPr>
            <w:tcW w:w="7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无</w:t>
            </w:r>
          </w:p>
        </w:tc>
      </w:tr>
    </w:tbl>
    <w:p>
      <w:pPr>
        <w:spacing w:beforeLines="0" w:afterLines="0"/>
        <w:rPr>
          <w:rFonts w:hint="default" w:ascii="宋体" w:hAnsi="宋体"/>
          <w:color w:val="auto"/>
          <w:sz w:val="32"/>
          <w:szCs w:val="32"/>
          <w:highlight w:val="none"/>
        </w:rPr>
      </w:pPr>
      <w:r/>
    </w:p>
    <w:p>
      <w:pPr>
        <w:spacing w:beforeLines="0" w:afterLines="0"/>
        <w:rPr>
          <w:rFonts w:hint="default" w:ascii="宋体" w:hAnsi="宋体"/>
          <w:color w:val="auto"/>
          <w:sz w:val="32"/>
          <w:szCs w:val="32"/>
          <w:highlight w:val="none"/>
        </w:rPr>
      </w:pPr>
      <w:r/>
    </w:p>
    <w:p>
      <w:pPr>
        <w:pStyle w:val="19"/>
        <w:spacing w:beforeLines="0" w:afterLines="0"/>
        <w:rPr>
          <w:rFonts w:hint="default" w:ascii="宋体" w:hAnsi="宋体"/>
          <w:color w:val="auto"/>
          <w:sz w:val="32"/>
          <w:szCs w:val="32"/>
          <w:highlight w:val="none"/>
        </w:rPr>
      </w:pPr>
      <w:r>
        <w:t>第六部分 拟签订的合同文本</w:t>
      </w:r>
    </w:p>
    <w:p>
      <w:pPr>
        <w:spacing w:beforeLines="0" w:afterLines="0" w:line="400" w:lineRule="exact"/>
        <w:jc w:val="center"/>
        <w:rPr>
          <w:rFonts w:hint="default" w:ascii="宋体" w:hAnsi="宋体" w:cs="宋体"/>
          <w:color w:val="auto"/>
          <w:sz w:val="21"/>
          <w:szCs w:val="21"/>
          <w:highlight w:val="none"/>
        </w:rPr>
      </w:pPr>
      <w:r/>
    </w:p>
    <w:p>
      <w:pPr>
        <w:spacing w:beforeLines="0" w:afterLines="0" w:line="400" w:lineRule="exact"/>
        <w:rPr>
          <w:rFonts w:hint="default" w:ascii="宋体" w:hAnsi="宋体" w:cs="宋体"/>
          <w:color w:val="auto"/>
          <w:sz w:val="21"/>
          <w:szCs w:val="21"/>
          <w:highlight w:val="none"/>
        </w:rPr>
      </w:pPr>
      <w:r>
        <w:t>甲方：宁波市海曙区高桥镇人民政府 （以下简称甲方）</w:t>
      </w:r>
    </w:p>
    <w:p>
      <w:pPr>
        <w:pStyle w:val="13"/>
        <w:snapToGrid w:val="0"/>
        <w:spacing w:before="0" w:beforeLines="0" w:after="0" w:afterLines="0"/>
        <w:jc w:val="left"/>
        <w:rPr>
          <w:rFonts w:hint="default" w:hAnsi="宋体" w:cs="宋体"/>
          <w:color w:val="auto"/>
          <w:sz w:val="21"/>
          <w:szCs w:val="21"/>
          <w:highlight w:val="none"/>
        </w:rPr>
      </w:pPr>
      <w:r>
        <w:t>乙方：                            （以下简称乙方）</w:t>
      </w:r>
    </w:p>
    <w:p>
      <w:pPr>
        <w:pStyle w:val="13"/>
        <w:snapToGrid w:val="0"/>
        <w:spacing w:before="0" w:beforeLines="0" w:after="0" w:afterLines="0"/>
        <w:ind w:firstLine="357"/>
        <w:jc w:val="left"/>
        <w:rPr>
          <w:rFonts w:hint="default" w:hAnsi="宋体" w:cs="宋体"/>
          <w:color w:val="auto"/>
          <w:sz w:val="21"/>
          <w:szCs w:val="21"/>
          <w:highlight w:val="none"/>
        </w:rPr>
      </w:pPr>
      <w:r>
        <w:t>依照《中华人民共和国民法典》和相关法律、法规及宁波市海曙区高桥镇劳务外包服务项目（招标编号：       ）公开采购的结果，在自愿、平等、协商一致的基础上，订立本合同。</w:t>
      </w:r>
    </w:p>
    <w:p>
      <w:pPr>
        <w:pStyle w:val="13"/>
        <w:snapToGrid w:val="0"/>
        <w:spacing w:line="360" w:lineRule="auto"/>
        <w:rPr>
          <w:rFonts w:hint="default" w:hAnsi="宋体" w:cs="宋体"/>
          <w:color w:val="auto"/>
          <w:sz w:val="21"/>
          <w:szCs w:val="21"/>
          <w:highlight w:val="none"/>
        </w:rPr>
      </w:pPr>
      <w:r>
        <w:t>一、采购内容及要求：详见招标文件“第五部分 采购内容及要求”及乙方的投标承诺；</w:t>
      </w:r>
    </w:p>
    <w:p>
      <w:pPr>
        <w:spacing w:beforeLines="0" w:afterLines="0" w:line="360" w:lineRule="auto"/>
        <w:outlineLvl w:val="0"/>
        <w:rPr>
          <w:rFonts w:hint="default" w:ascii="宋体"/>
          <w:color w:val="auto"/>
          <w:sz w:val="21"/>
          <w:szCs w:val="21"/>
          <w:highlight w:val="none"/>
        </w:rPr>
      </w:pPr>
      <w:r>
        <w:t>服务内容：宁波市海曙区高桥镇劳务外包服务。</w:t>
      </w:r>
    </w:p>
    <w:p>
      <w:pPr>
        <w:pStyle w:val="13"/>
        <w:snapToGrid w:val="0"/>
        <w:spacing w:line="360" w:lineRule="auto"/>
        <w:rPr>
          <w:rFonts w:hint="default"/>
          <w:b/>
          <w:color w:val="auto"/>
          <w:sz w:val="21"/>
          <w:szCs w:val="21"/>
          <w:highlight w:val="none"/>
        </w:rPr>
      </w:pPr>
      <w:r>
        <w:t>二、合同金额：</w:t>
      </w:r>
    </w:p>
    <w:tbl>
      <w:tblPr>
        <w:tblStyle w:val="21"/>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279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12" w:type="dxa"/>
            <w:tcBorders>
              <w:top w:val="single" w:color="auto" w:sz="4" w:space="0"/>
              <w:left w:val="single" w:color="auto" w:sz="4" w:space="0"/>
              <w:bottom w:val="single" w:color="auto" w:sz="4" w:space="0"/>
              <w:right w:val="single" w:color="auto" w:sz="4" w:space="0"/>
              <w:tl2br w:val="nil"/>
              <w:tr2bl w:val="nil"/>
            </w:tcBorders>
            <w:noWrap w:val="0"/>
            <w:vAlign w:val="center"/>
          </w:tcPr>
          <w:p>
            <w:r>
              <w:t>标的名称</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r>
              <w:t>服务时间</w:t>
            </w:r>
          </w:p>
        </w:tc>
        <w:tc>
          <w:tcPr>
            <w:tcW w:w="2824" w:type="dxa"/>
            <w:tcBorders>
              <w:top w:val="single" w:color="auto" w:sz="4" w:space="0"/>
              <w:left w:val="single" w:color="auto" w:sz="4" w:space="0"/>
              <w:bottom w:val="single" w:color="auto" w:sz="4" w:space="0"/>
              <w:right w:val="single" w:color="auto" w:sz="4" w:space="0"/>
              <w:tl2br w:val="nil"/>
              <w:tr2bl w:val="nil"/>
            </w:tcBorders>
            <w:noWrap w:val="0"/>
            <w:vAlign w:val="center"/>
          </w:tcPr>
          <w:p>
            <w:r>
              <w:t>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912" w:type="dxa"/>
            <w:tcBorders>
              <w:top w:val="single" w:color="auto" w:sz="4" w:space="0"/>
              <w:left w:val="single" w:color="auto" w:sz="4" w:space="0"/>
              <w:bottom w:val="single" w:color="auto" w:sz="4" w:space="0"/>
              <w:right w:val="single" w:color="auto" w:sz="4" w:space="0"/>
              <w:tl2br w:val="nil"/>
              <w:tr2bl w:val="nil"/>
            </w:tcBorders>
            <w:noWrap w:val="0"/>
            <w:vAlign w:val="center"/>
          </w:tcPr>
          <w:p>
            <w:r>
              <w:t>宁波市海曙区高桥镇劳务外包服务项目</w:t>
            </w:r>
          </w:p>
        </w:tc>
        <w:tc>
          <w:tcPr>
            <w:tcW w:w="2794" w:type="dxa"/>
            <w:tcBorders>
              <w:top w:val="single" w:color="auto" w:sz="4" w:space="0"/>
              <w:left w:val="single" w:color="auto" w:sz="4" w:space="0"/>
              <w:bottom w:val="single" w:color="auto" w:sz="4" w:space="0"/>
              <w:right w:val="single" w:color="auto" w:sz="4" w:space="0"/>
              <w:tl2br w:val="nil"/>
              <w:tr2bl w:val="nil"/>
            </w:tcBorders>
            <w:noWrap w:val="0"/>
            <w:vAlign w:val="center"/>
          </w:tcPr>
          <w:p>
            <w:r>
              <w:t>3年</w:t>
            </w:r>
          </w:p>
        </w:tc>
        <w:tc>
          <w:tcPr>
            <w:tcW w:w="2824" w:type="dxa"/>
            <w:tcBorders>
              <w:top w:val="single" w:color="auto" w:sz="4" w:space="0"/>
              <w:left w:val="single" w:color="auto" w:sz="4" w:space="0"/>
              <w:bottom w:val="single" w:color="auto" w:sz="4" w:space="0"/>
              <w:right w:val="single" w:color="auto" w:sz="4" w:space="0"/>
              <w:tl2br w:val="nil"/>
              <w:tr2bl w:val="nil"/>
            </w:tcBorders>
            <w:noWrap w:val="0"/>
            <w:vAlign w:val="center"/>
          </w:tcPr>
          <w:p>
            <w:r>
              <w:t xml:space="preserve">           元/三年</w:t>
              <w:br/>
              <w:t>（     元/人/年，    元/人/三年）</w:t>
            </w:r>
          </w:p>
        </w:tc>
      </w:tr>
    </w:tbl>
    <w:p>
      <w:pPr>
        <w:pStyle w:val="13"/>
        <w:snapToGrid w:val="0"/>
        <w:spacing w:line="360" w:lineRule="auto"/>
        <w:rPr>
          <w:rFonts w:hint="default"/>
          <w:b/>
          <w:color w:val="auto"/>
          <w:sz w:val="21"/>
          <w:szCs w:val="21"/>
          <w:highlight w:val="none"/>
        </w:rPr>
      </w:pPr>
      <w:r>
        <w:t>三、技术资料：</w:t>
      </w:r>
    </w:p>
    <w:p>
      <w:pPr>
        <w:spacing w:beforeLines="0" w:afterLines="0" w:line="360" w:lineRule="auto"/>
        <w:rPr>
          <w:rFonts w:hint="default" w:ascii="宋体"/>
          <w:color w:val="auto"/>
          <w:sz w:val="21"/>
          <w:szCs w:val="21"/>
          <w:highlight w:val="none"/>
        </w:rPr>
      </w:pPr>
      <w:r>
        <w:t>3.1乙方应按招标文件规定的时间向甲方提供有关（齐全的）技术资料（具体按甲方要求）。</w:t>
      </w:r>
    </w:p>
    <w:p>
      <w:pPr>
        <w:spacing w:beforeLines="0" w:afterLines="0" w:line="360" w:lineRule="auto"/>
        <w:rPr>
          <w:rFonts w:hint="default" w:ascii="宋体"/>
          <w:color w:val="auto"/>
          <w:sz w:val="21"/>
          <w:szCs w:val="21"/>
          <w:highlight w:val="none"/>
        </w:rPr>
      </w:pPr>
      <w: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3"/>
        <w:snapToGrid w:val="0"/>
        <w:spacing w:line="360" w:lineRule="auto"/>
        <w:rPr>
          <w:rFonts w:hint="default"/>
          <w:b/>
          <w:color w:val="auto"/>
          <w:sz w:val="21"/>
          <w:szCs w:val="21"/>
          <w:highlight w:val="none"/>
        </w:rPr>
      </w:pPr>
      <w:r>
        <w:t>四、产权及保密约定</w:t>
      </w:r>
    </w:p>
    <w:p>
      <w:pPr>
        <w:spacing w:beforeLines="0" w:afterLines="0" w:line="360" w:lineRule="auto"/>
        <w:rPr>
          <w:rFonts w:hint="default" w:ascii="宋体"/>
          <w:color w:val="auto"/>
          <w:sz w:val="21"/>
          <w:szCs w:val="21"/>
          <w:highlight w:val="none"/>
        </w:rPr>
      </w:pPr>
      <w:r>
        <w:t>4.1 提供服务过程中不会侵犯任何第三方的知识产权。</w:t>
      </w:r>
    </w:p>
    <w:p>
      <w:pPr>
        <w:spacing w:beforeLines="0" w:afterLines="0" w:line="360" w:lineRule="auto"/>
        <w:rPr>
          <w:rFonts w:hint="default" w:ascii="宋体"/>
          <w:color w:val="auto"/>
          <w:sz w:val="21"/>
          <w:szCs w:val="21"/>
          <w:highlight w:val="none"/>
        </w:rPr>
      </w:pPr>
      <w:r>
        <w:t>4.2 资料使用和管理</w:t>
      </w:r>
    </w:p>
    <w:p>
      <w:pPr>
        <w:spacing w:beforeLines="0" w:afterLines="0" w:line="360" w:lineRule="auto"/>
        <w:rPr>
          <w:rFonts w:hint="default" w:ascii="宋体"/>
          <w:color w:val="auto"/>
          <w:sz w:val="21"/>
          <w:szCs w:val="21"/>
          <w:highlight w:val="none"/>
        </w:rPr>
      </w:pPr>
      <w:r>
        <w:t>4.2.1甲方提供的既有资料只能用于本合同约定的项目，不得扩展到其他项目或其它单位。项目完成后，相关数据应交回甲方。乙方对甲方所提供资料的使用权在合同项目完成后自行终止。</w:t>
      </w:r>
    </w:p>
    <w:p>
      <w:pPr>
        <w:spacing w:beforeLines="0" w:afterLines="0" w:line="360" w:lineRule="auto"/>
        <w:rPr>
          <w:rFonts w:hint="default" w:ascii="宋体"/>
          <w:color w:val="auto"/>
          <w:sz w:val="21"/>
          <w:szCs w:val="21"/>
          <w:highlight w:val="none"/>
        </w:rPr>
      </w:pPr>
      <w:r>
        <w:t>4.2.2 乙方应根据国家有关保密法律法规要求，承担对相关资料保密的法律义务。</w:t>
      </w:r>
    </w:p>
    <w:p>
      <w:pPr>
        <w:spacing w:beforeLines="0" w:afterLines="0" w:line="400" w:lineRule="exact"/>
        <w:rPr>
          <w:rFonts w:hint="default"/>
          <w:b/>
          <w:color w:val="auto"/>
          <w:sz w:val="21"/>
          <w:szCs w:val="21"/>
          <w:highlight w:val="none"/>
        </w:rPr>
      </w:pPr>
      <w:r>
        <w:t>五、履约保证金：</w:t>
      </w:r>
    </w:p>
    <w:p>
      <w:pPr>
        <w:spacing w:beforeLines="0" w:afterLines="0" w:line="400" w:lineRule="exact"/>
        <w:rPr>
          <w:rFonts w:hint="default" w:ascii="宋体" w:hAnsi="宋体"/>
          <w:color w:val="auto"/>
          <w:sz w:val="21"/>
          <w:szCs w:val="21"/>
          <w:highlight w:val="none"/>
        </w:rPr>
      </w:pPr>
      <w:r>
        <w:t>无</w:t>
      </w:r>
    </w:p>
    <w:p>
      <w:pPr>
        <w:pStyle w:val="13"/>
        <w:snapToGrid w:val="0"/>
        <w:spacing w:line="360" w:lineRule="auto"/>
        <w:rPr>
          <w:rFonts w:hint="default"/>
          <w:b/>
          <w:color w:val="auto"/>
          <w:sz w:val="21"/>
          <w:szCs w:val="21"/>
          <w:highlight w:val="none"/>
        </w:rPr>
      </w:pPr>
      <w:r>
        <w:t>六、转包或分包：</w:t>
      </w:r>
    </w:p>
    <w:p>
      <w:pPr>
        <w:snapToGrid w:val="0"/>
        <w:spacing w:beforeLines="0" w:afterLines="0" w:line="360" w:lineRule="auto"/>
        <w:rPr>
          <w:rFonts w:hint="default" w:ascii="宋体"/>
          <w:color w:val="auto"/>
          <w:sz w:val="21"/>
          <w:szCs w:val="21"/>
          <w:highlight w:val="none"/>
        </w:rPr>
      </w:pPr>
      <w:r>
        <w:t>6.1 本合同范围的服务，应由乙方直接提供，不得转让他人提供；</w:t>
      </w:r>
    </w:p>
    <w:p>
      <w:pPr>
        <w:snapToGrid w:val="0"/>
        <w:spacing w:beforeLines="0" w:afterLines="0" w:line="360" w:lineRule="auto"/>
        <w:rPr>
          <w:rFonts w:hint="default" w:ascii="宋体"/>
          <w:color w:val="auto"/>
          <w:sz w:val="21"/>
          <w:szCs w:val="21"/>
          <w:highlight w:val="none"/>
        </w:rPr>
      </w:pPr>
      <w:r>
        <w:t>6.2 除非得到甲方的书面同意，乙方不得将本合同范围的服务全部或部分分包给他人供应；</w:t>
      </w:r>
    </w:p>
    <w:p>
      <w:pPr>
        <w:snapToGrid w:val="0"/>
        <w:spacing w:beforeLines="0" w:afterLines="0" w:line="360" w:lineRule="auto"/>
        <w:rPr>
          <w:rFonts w:hint="default" w:ascii="宋体"/>
          <w:color w:val="auto"/>
          <w:spacing w:val="-4"/>
          <w:sz w:val="21"/>
          <w:szCs w:val="21"/>
          <w:highlight w:val="none"/>
        </w:rPr>
      </w:pPr>
      <w:r>
        <w:t>6.3 如有转让和未经甲方同意的分包行为，甲方有权解除合同，并追究乙方的违约责任。</w:t>
      </w:r>
    </w:p>
    <w:p>
      <w:pPr>
        <w:pStyle w:val="13"/>
        <w:snapToGrid w:val="0"/>
        <w:spacing w:line="360" w:lineRule="auto"/>
        <w:rPr>
          <w:rFonts w:hint="default"/>
          <w:b/>
          <w:color w:val="auto"/>
          <w:sz w:val="21"/>
          <w:szCs w:val="21"/>
          <w:highlight w:val="none"/>
        </w:rPr>
      </w:pPr>
      <w:r>
        <w:t>七、合同履行时间:</w:t>
      </w:r>
    </w:p>
    <w:p>
      <w:pPr>
        <w:pStyle w:val="13"/>
        <w:snapToGrid w:val="0"/>
        <w:spacing w:line="360" w:lineRule="auto"/>
        <w:rPr>
          <w:rFonts w:hint="default" w:hAnsi="Times New Roman"/>
          <w:color w:val="auto"/>
          <w:sz w:val="21"/>
          <w:szCs w:val="21"/>
          <w:highlight w:val="none"/>
        </w:rPr>
      </w:pPr>
      <w:r>
        <w:t>3年（即    年   月   日至   年   月   日止）</w:t>
      </w:r>
    </w:p>
    <w:p>
      <w:pPr>
        <w:pStyle w:val="13"/>
        <w:snapToGrid w:val="0"/>
        <w:spacing w:line="360" w:lineRule="auto"/>
        <w:rPr>
          <w:rFonts w:hint="default"/>
          <w:b/>
          <w:color w:val="auto"/>
          <w:sz w:val="21"/>
          <w:szCs w:val="21"/>
          <w:highlight w:val="none"/>
        </w:rPr>
      </w:pPr>
      <w:r>
        <w:t>八、款项支付及结算办法：</w:t>
      </w:r>
    </w:p>
    <w:p>
      <w:pPr>
        <w:spacing w:beforeLines="0" w:afterLines="0" w:line="360" w:lineRule="auto"/>
        <w:rPr>
          <w:rFonts w:hint="default"/>
          <w:color w:val="auto"/>
          <w:sz w:val="21"/>
          <w:szCs w:val="24"/>
          <w:highlight w:val="none"/>
        </w:rPr>
      </w:pPr>
      <w:r>
        <w:t>1、服务费用由采购人根据人数变化等确认费用后按月支付服务费。</w:t>
      </w:r>
    </w:p>
    <w:p>
      <w:pPr>
        <w:spacing w:beforeLines="0" w:afterLines="0" w:line="360" w:lineRule="auto"/>
        <w:rPr>
          <w:rFonts w:hint="default" w:ascii="宋体"/>
          <w:color w:val="auto"/>
          <w:sz w:val="21"/>
          <w:szCs w:val="21"/>
          <w:highlight w:val="none"/>
        </w:rPr>
      </w:pPr>
      <w:r>
        <w:t>2、经采购人考评合格后，在次月10日前支付当月费用。</w:t>
      </w:r>
    </w:p>
    <w:p>
      <w:pPr>
        <w:pStyle w:val="13"/>
        <w:snapToGrid w:val="0"/>
        <w:spacing w:line="360" w:lineRule="auto"/>
        <w:rPr>
          <w:rFonts w:hint="default" w:cs="Arial"/>
          <w:b/>
          <w:color w:val="auto"/>
          <w:sz w:val="21"/>
          <w:szCs w:val="21"/>
          <w:highlight w:val="none"/>
        </w:rPr>
      </w:pPr>
      <w:r>
        <w:t>九、税费：</w:t>
      </w:r>
    </w:p>
    <w:p>
      <w:pPr>
        <w:spacing w:beforeLines="0" w:afterLines="0" w:line="360" w:lineRule="auto"/>
        <w:rPr>
          <w:rFonts w:hint="default" w:ascii="宋体" w:cs="Arial"/>
          <w:color w:val="auto"/>
          <w:sz w:val="21"/>
          <w:szCs w:val="21"/>
          <w:highlight w:val="none"/>
        </w:rPr>
      </w:pPr>
      <w:r>
        <w:t>本合同执行中相关的一切税费均由乙方负担。</w:t>
      </w:r>
    </w:p>
    <w:p>
      <w:pPr>
        <w:pStyle w:val="13"/>
        <w:snapToGrid w:val="0"/>
        <w:spacing w:line="360" w:lineRule="auto"/>
        <w:rPr>
          <w:rFonts w:hint="default" w:cs="Arial"/>
          <w:b/>
          <w:color w:val="auto"/>
          <w:sz w:val="21"/>
          <w:szCs w:val="21"/>
          <w:highlight w:val="none"/>
        </w:rPr>
      </w:pPr>
      <w:r>
        <w:t>十、质量保证及后续服务：</w:t>
      </w:r>
    </w:p>
    <w:p>
      <w:pPr>
        <w:spacing w:beforeLines="0" w:afterLines="0" w:line="360" w:lineRule="auto"/>
        <w:rPr>
          <w:rFonts w:hint="default" w:ascii="宋体"/>
          <w:color w:val="auto"/>
          <w:sz w:val="21"/>
          <w:szCs w:val="21"/>
          <w:highlight w:val="none"/>
        </w:rPr>
      </w:pPr>
      <w:r>
        <w:t>10.1 质量保证金：无。</w:t>
      </w:r>
    </w:p>
    <w:p>
      <w:pPr>
        <w:spacing w:beforeLines="0" w:afterLines="0" w:line="360" w:lineRule="auto"/>
        <w:rPr>
          <w:rFonts w:hint="default" w:ascii="宋体"/>
          <w:color w:val="auto"/>
          <w:sz w:val="21"/>
          <w:szCs w:val="21"/>
          <w:highlight w:val="none"/>
        </w:rPr>
      </w:pPr>
      <w:r>
        <w:t>10.2 如因乙方工作失误或服务质量不符合要求而造成损失的，乙方除负责采取补救措施外，还需承担由此造成的全部损失，经甲方指出后仍未有改进的，甲方可单方解除合同，并按乙方违约处理。</w:t>
      </w:r>
    </w:p>
    <w:p>
      <w:pPr>
        <w:pStyle w:val="13"/>
        <w:snapToGrid w:val="0"/>
        <w:spacing w:line="360" w:lineRule="auto"/>
        <w:rPr>
          <w:rFonts w:hint="default"/>
          <w:b/>
          <w:color w:val="auto"/>
          <w:sz w:val="21"/>
          <w:szCs w:val="21"/>
          <w:highlight w:val="none"/>
        </w:rPr>
      </w:pPr>
      <w:r>
        <w:t>十一、违约责任：</w:t>
      </w:r>
    </w:p>
    <w:p>
      <w:pPr>
        <w:spacing w:beforeLines="0" w:afterLines="0" w:line="360" w:lineRule="auto"/>
        <w:rPr>
          <w:rFonts w:hint="default" w:ascii="宋体"/>
          <w:color w:val="auto"/>
          <w:sz w:val="21"/>
          <w:szCs w:val="21"/>
          <w:highlight w:val="none"/>
        </w:rPr>
      </w:pPr>
      <w:r>
        <w:t>11.1甲方无正当理由拒收接受服务的，甲方向乙方偿付对应合同款项百分之五作为违约金。</w:t>
      </w:r>
    </w:p>
    <w:p>
      <w:pPr>
        <w:spacing w:beforeLines="0" w:afterLines="0" w:line="360" w:lineRule="auto"/>
        <w:rPr>
          <w:rFonts w:hint="default" w:ascii="宋体"/>
          <w:color w:val="auto"/>
          <w:sz w:val="21"/>
          <w:szCs w:val="21"/>
          <w:highlight w:val="none"/>
        </w:rPr>
      </w:pPr>
      <w:r>
        <w:t>11.2甲方无故逾期考核或办理款项支付手续的，甲方应按逾期付款总额每日万分之五向乙方支付违约金。</w:t>
      </w:r>
    </w:p>
    <w:p>
      <w:pPr>
        <w:spacing w:beforeLines="0" w:afterLines="0" w:line="360" w:lineRule="auto"/>
        <w:rPr>
          <w:rFonts w:hint="default" w:ascii="宋体"/>
          <w:color w:val="auto"/>
          <w:sz w:val="21"/>
          <w:szCs w:val="21"/>
          <w:highlight w:val="none"/>
        </w:rPr>
      </w:pPr>
      <w:r>
        <w:t>11.3乙方未能如期提供服务的，按1000元/天向甲方支付违约金。乙方超过约定日期5个工作日仍不能提供服务的，甲方可解除本合同。乙方因未能如期提供服务导致甲方解除合同的，乙方应向甲方支付合同总值5%的违约金，如造成甲方损失超过违约金的，超出部分由乙方继续承担赔偿责任，且不予支付剩余款项。</w:t>
      </w:r>
    </w:p>
    <w:p>
      <w:pPr>
        <w:spacing w:beforeLines="0" w:afterLines="0" w:line="360" w:lineRule="auto"/>
        <w:rPr>
          <w:rFonts w:hint="default" w:ascii="宋体"/>
          <w:color w:val="auto"/>
          <w:sz w:val="21"/>
          <w:szCs w:val="21"/>
          <w:highlight w:val="none"/>
        </w:rPr>
      </w:pPr>
      <w:r>
        <w:t>11.4在合同期内，如因乙方退出承包的，甲方在终止合同的同时乙方须向甲方支付合同总值5%的违约金，如造成甲方损失超过违约金的，超出部分由乙方继续承担赔偿责任，且不予支付剩余款项。</w:t>
      </w:r>
    </w:p>
    <w:p>
      <w:pPr>
        <w:pStyle w:val="13"/>
        <w:snapToGrid w:val="0"/>
        <w:spacing w:line="360" w:lineRule="auto"/>
        <w:rPr>
          <w:rFonts w:hint="default"/>
          <w:b/>
          <w:color w:val="auto"/>
          <w:sz w:val="21"/>
          <w:szCs w:val="21"/>
          <w:highlight w:val="none"/>
        </w:rPr>
      </w:pPr>
      <w:r>
        <w:t>十二、不可抗力事件处理：</w:t>
      </w:r>
    </w:p>
    <w:p>
      <w:pPr>
        <w:spacing w:beforeLines="0" w:afterLines="0" w:line="360" w:lineRule="auto"/>
        <w:rPr>
          <w:rFonts w:hint="default" w:ascii="宋体"/>
          <w:color w:val="auto"/>
          <w:sz w:val="21"/>
          <w:szCs w:val="21"/>
          <w:highlight w:val="none"/>
        </w:rPr>
      </w:pPr>
      <w:r>
        <w:t>12.1在合同有效期内，任何一方因不可抗力事件导致不能履行合同，则合同终止。</w:t>
      </w:r>
    </w:p>
    <w:p>
      <w:pPr>
        <w:spacing w:beforeLines="0" w:afterLines="0" w:line="360" w:lineRule="auto"/>
        <w:rPr>
          <w:rFonts w:hint="default" w:ascii="宋体"/>
          <w:color w:val="auto"/>
          <w:sz w:val="21"/>
          <w:szCs w:val="21"/>
          <w:highlight w:val="none"/>
        </w:rPr>
      </w:pPr>
      <w:r>
        <w:t>12.2 不可抗力事件发生后，应立即通知对方，并寄送有关权威机构出具的证明。</w:t>
      </w:r>
    </w:p>
    <w:p>
      <w:pPr>
        <w:spacing w:beforeLines="0" w:afterLines="0" w:line="360" w:lineRule="auto"/>
        <w:rPr>
          <w:rFonts w:hint="default" w:ascii="宋体"/>
          <w:color w:val="auto"/>
          <w:sz w:val="21"/>
          <w:szCs w:val="21"/>
          <w:highlight w:val="none"/>
        </w:rPr>
      </w:pPr>
      <w:r>
        <w:t>12.3 不可抗力事件延续120天以上，双方应通过友好协商，确定是否继续履行合同。</w:t>
      </w:r>
    </w:p>
    <w:p>
      <w:pPr>
        <w:pStyle w:val="13"/>
        <w:snapToGrid w:val="0"/>
        <w:spacing w:line="360" w:lineRule="auto"/>
        <w:rPr>
          <w:rFonts w:hint="default"/>
          <w:b/>
          <w:color w:val="auto"/>
          <w:sz w:val="21"/>
          <w:szCs w:val="21"/>
          <w:highlight w:val="none"/>
        </w:rPr>
      </w:pPr>
      <w:r>
        <w:t>十三、特别约定：</w:t>
      </w:r>
    </w:p>
    <w:p>
      <w:pPr>
        <w:spacing w:beforeLines="0" w:afterLines="0" w:line="360" w:lineRule="auto"/>
        <w:rPr>
          <w:rFonts w:hint="default" w:ascii="宋体"/>
          <w:color w:val="auto"/>
          <w:sz w:val="21"/>
          <w:szCs w:val="21"/>
          <w:highlight w:val="none"/>
        </w:rPr>
      </w:pPr>
      <w:r>
        <w:t>13.1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pPr>
        <w:pStyle w:val="13"/>
        <w:snapToGrid w:val="0"/>
        <w:spacing w:line="360" w:lineRule="auto"/>
        <w:rPr>
          <w:rFonts w:hint="default"/>
          <w:b/>
          <w:color w:val="auto"/>
          <w:sz w:val="21"/>
          <w:szCs w:val="21"/>
          <w:highlight w:val="none"/>
        </w:rPr>
      </w:pPr>
      <w:r>
        <w:t>十四、争议解决办法：</w:t>
      </w:r>
    </w:p>
    <w:p>
      <w:pPr>
        <w:spacing w:beforeLines="0" w:afterLines="0" w:line="360" w:lineRule="auto"/>
        <w:rPr>
          <w:rFonts w:hint="default" w:ascii="宋体"/>
          <w:color w:val="auto"/>
          <w:sz w:val="21"/>
          <w:szCs w:val="21"/>
          <w:highlight w:val="none"/>
        </w:rPr>
      </w:pPr>
      <w:r>
        <w:t>双方在执行合同中所发生的一切争议，应通过协商解决。如协商不成，可向甲方所在地法院起诉。</w:t>
      </w:r>
    </w:p>
    <w:p>
      <w:pPr>
        <w:pStyle w:val="13"/>
        <w:snapToGrid w:val="0"/>
        <w:spacing w:line="360" w:lineRule="auto"/>
        <w:rPr>
          <w:rFonts w:hint="default"/>
          <w:b/>
          <w:color w:val="auto"/>
          <w:sz w:val="21"/>
          <w:szCs w:val="21"/>
          <w:highlight w:val="none"/>
        </w:rPr>
      </w:pPr>
      <w:r>
        <w:t>十五、合同生效及其它：</w:t>
      </w:r>
    </w:p>
    <w:p>
      <w:pPr>
        <w:spacing w:beforeLines="0" w:afterLines="0" w:line="360" w:lineRule="auto"/>
        <w:rPr>
          <w:rFonts w:hint="default" w:ascii="宋体"/>
          <w:color w:val="auto"/>
          <w:sz w:val="21"/>
          <w:szCs w:val="21"/>
          <w:highlight w:val="none"/>
        </w:rPr>
      </w:pPr>
      <w:r>
        <w:t>15.1招标文件、投标文件及评标过程中的澄清、修改均为合同的有效组成部分。</w:t>
      </w:r>
    </w:p>
    <w:p>
      <w:pPr>
        <w:spacing w:beforeLines="0" w:afterLines="0" w:line="360" w:lineRule="auto"/>
        <w:rPr>
          <w:rFonts w:hint="default" w:ascii="宋体"/>
          <w:color w:val="auto"/>
          <w:sz w:val="21"/>
          <w:szCs w:val="21"/>
          <w:highlight w:val="none"/>
        </w:rPr>
      </w:pPr>
      <w:r>
        <w:t>15.2合同经双方法定代表人或授权代表签字并加盖单位公章后生效。</w:t>
      </w:r>
    </w:p>
    <w:p>
      <w:pPr>
        <w:spacing w:beforeLines="0" w:afterLines="0" w:line="360" w:lineRule="auto"/>
        <w:rPr>
          <w:rFonts w:hint="default" w:ascii="宋体"/>
          <w:color w:val="auto"/>
          <w:sz w:val="21"/>
          <w:szCs w:val="21"/>
          <w:highlight w:val="none"/>
        </w:rPr>
      </w:pPr>
      <w:r>
        <w:t>15.3本合同正本一式陆份，具有同等法律效力，甲乙双方各执叁份。</w:t>
      </w:r>
    </w:p>
    <w:p>
      <w:pPr>
        <w:spacing w:beforeLines="0" w:afterLines="0" w:line="360" w:lineRule="auto"/>
        <w:rPr>
          <w:rFonts w:hint="default" w:ascii="宋体"/>
          <w:color w:val="auto"/>
          <w:sz w:val="21"/>
          <w:szCs w:val="21"/>
          <w:highlight w:val="none"/>
        </w:rPr>
      </w:pPr>
      <w:r/>
    </w:p>
    <w:p>
      <w:pPr>
        <w:spacing w:beforeLines="0" w:afterLines="0" w:line="480" w:lineRule="auto"/>
        <w:rPr>
          <w:rFonts w:hint="default" w:ascii="宋体"/>
          <w:color w:val="auto"/>
          <w:sz w:val="21"/>
          <w:szCs w:val="21"/>
          <w:highlight w:val="none"/>
        </w:rPr>
      </w:pPr>
      <w:r>
        <w:t>甲方（盖章）：　　　　　　               乙方（盖章）：</w:t>
      </w:r>
    </w:p>
    <w:p>
      <w:pPr>
        <w:tabs>
          <w:tab w:val="left" w:pos="2310"/>
        </w:tabs>
        <w:spacing w:beforeLines="0" w:afterLines="0" w:line="480" w:lineRule="auto"/>
        <w:rPr>
          <w:rFonts w:hint="default" w:ascii="宋体"/>
          <w:color w:val="auto"/>
          <w:sz w:val="21"/>
          <w:szCs w:val="21"/>
          <w:highlight w:val="none"/>
        </w:rPr>
      </w:pPr>
      <w:r>
        <w:t xml:space="preserve">单位负责人                              法定代表人（或企业负责人或经营者）                 </w:t>
      </w:r>
    </w:p>
    <w:p>
      <w:pPr>
        <w:snapToGrid w:val="0"/>
        <w:spacing w:beforeLines="0" w:afterLines="0" w:line="480" w:lineRule="auto"/>
        <w:rPr>
          <w:rFonts w:hint="default" w:ascii="宋体"/>
          <w:color w:val="auto"/>
          <w:sz w:val="21"/>
          <w:szCs w:val="21"/>
          <w:highlight w:val="none"/>
        </w:rPr>
      </w:pPr>
      <w:r>
        <w:t xml:space="preserve">或委托代理人 （签字）：                 或委托代理人             （签字）：     </w:t>
      </w:r>
    </w:p>
    <w:p>
      <w:pPr>
        <w:spacing w:beforeLines="0" w:afterLines="0" w:line="480" w:lineRule="auto"/>
        <w:rPr>
          <w:rFonts w:hint="default" w:ascii="宋体"/>
          <w:color w:val="auto"/>
          <w:sz w:val="21"/>
          <w:szCs w:val="21"/>
          <w:highlight w:val="none"/>
        </w:rPr>
      </w:pPr>
      <w:r>
        <w:t xml:space="preserve">电  话：                                电  话：                   </w:t>
      </w:r>
    </w:p>
    <w:p>
      <w:pPr>
        <w:spacing w:beforeLines="0" w:afterLines="0" w:line="480" w:lineRule="auto"/>
        <w:rPr>
          <w:rFonts w:hint="default" w:ascii="宋体"/>
          <w:color w:val="auto"/>
          <w:sz w:val="21"/>
          <w:szCs w:val="21"/>
          <w:highlight w:val="none"/>
        </w:rPr>
      </w:pPr>
      <w:r>
        <w:t>开户银行：                              开户银行：</w:t>
      </w:r>
    </w:p>
    <w:p>
      <w:pPr>
        <w:spacing w:beforeLines="0" w:afterLines="0" w:line="480" w:lineRule="auto"/>
        <w:rPr>
          <w:rFonts w:hint="default" w:ascii="宋体"/>
          <w:color w:val="auto"/>
          <w:sz w:val="21"/>
          <w:szCs w:val="21"/>
          <w:highlight w:val="none"/>
        </w:rPr>
      </w:pPr>
      <w:r>
        <w:t>帐  号：                                帐  号：</w:t>
      </w:r>
    </w:p>
    <w:p>
      <w:pPr>
        <w:spacing w:beforeLines="0" w:afterLines="0" w:line="480" w:lineRule="auto"/>
        <w:rPr>
          <w:rFonts w:hint="default"/>
          <w:color w:val="auto"/>
          <w:sz w:val="21"/>
          <w:szCs w:val="21"/>
          <w:highlight w:val="none"/>
        </w:rPr>
      </w:pPr>
      <w:r>
        <w:t>单位地址：                              单位地址：</w:t>
      </w:r>
    </w:p>
    <w:p>
      <w:pPr>
        <w:spacing w:beforeLines="0" w:afterLines="0" w:line="480" w:lineRule="auto"/>
        <w:rPr>
          <w:rFonts w:hint="default"/>
          <w:color w:val="auto"/>
          <w:sz w:val="21"/>
          <w:szCs w:val="21"/>
          <w:highlight w:val="none"/>
        </w:rPr>
      </w:pPr>
      <w:r>
        <w:t>签订地点：                               签订时间：   年   月   日</w:t>
      </w:r>
    </w:p>
    <w:p>
      <w:pPr>
        <w:adjustRightInd w:val="0"/>
        <w:snapToGrid w:val="0"/>
        <w:spacing w:beforeLines="0" w:afterLines="0" w:line="400" w:lineRule="exact"/>
        <w:rPr>
          <w:rFonts w:hint="default" w:ascii="宋体" w:hAnsi="宋体" w:cs="宋体"/>
          <w:color w:val="auto"/>
          <w:sz w:val="21"/>
          <w:szCs w:val="21"/>
          <w:highlight w:val="none"/>
        </w:rPr>
      </w:pPr>
      <w:r/>
    </w:p>
    <w:p>
      <w:pPr>
        <w:adjustRightInd w:val="0"/>
        <w:snapToGrid w:val="0"/>
        <w:spacing w:beforeLines="0" w:afterLines="0" w:line="400" w:lineRule="exact"/>
        <w:rPr>
          <w:rFonts w:hint="default" w:ascii="宋体" w:hAnsi="宋体" w:cs="宋体"/>
          <w:color w:val="auto"/>
          <w:sz w:val="21"/>
          <w:szCs w:val="21"/>
          <w:highlight w:val="none"/>
        </w:rPr>
      </w:pPr>
      <w:r/>
    </w:p>
    <w:p>
      <w:pPr>
        <w:spacing w:beforeLines="0" w:afterLines="0"/>
        <w:rPr>
          <w:rFonts w:hint="default" w:ascii="宋体" w:hAnsi="宋体"/>
          <w:color w:val="auto"/>
          <w:sz w:val="21"/>
          <w:szCs w:val="24"/>
          <w:highlight w:val="none"/>
        </w:rPr>
      </w:pPr>
      <w:r/>
    </w:p>
    <w:p>
      <w:pPr>
        <w:pStyle w:val="19"/>
        <w:spacing w:beforeLines="0" w:afterLines="0"/>
        <w:rPr>
          <w:rFonts w:hint="default" w:ascii="宋体" w:hAnsi="宋体"/>
          <w:color w:val="auto"/>
          <w:sz w:val="32"/>
          <w:szCs w:val="32"/>
          <w:highlight w:val="none"/>
        </w:rPr>
      </w:pPr>
      <w:r>
        <w:t>第七部分 格式与表格</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t>1、所有投标文件的外包装封面格式：（可选用）</w:t>
      </w:r>
    </w:p>
    <w:p>
      <w:pPr>
        <w:spacing w:beforeLines="0" w:afterLines="0" w:line="360" w:lineRule="auto"/>
        <w:rPr>
          <w:rFonts w:hint="default" w:ascii="宋体" w:hAnsi="宋体"/>
          <w:color w:val="auto"/>
          <w:sz w:val="21"/>
          <w:szCs w:val="21"/>
          <w:highlight w:val="none"/>
        </w:rPr>
      </w:pPr>
      <w:r/>
    </w:p>
    <w:p>
      <w:pPr>
        <w:spacing w:beforeLines="0" w:afterLines="0" w:line="360" w:lineRule="auto"/>
        <w:jc w:val="center"/>
        <w:rPr>
          <w:rFonts w:hint="default" w:ascii="宋体" w:hAnsi="宋体"/>
          <w:b/>
          <w:color w:val="auto"/>
          <w:sz w:val="21"/>
          <w:szCs w:val="21"/>
          <w:highlight w:val="none"/>
        </w:rPr>
      </w:pPr>
      <w:r>
        <w:t>投标文件</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p>
    <w:p>
      <w:pPr>
        <w:spacing w:beforeLines="0" w:afterLines="0" w:line="360" w:lineRule="auto"/>
        <w:ind w:firstLine="1785" w:firstLineChars="850"/>
        <w:rPr>
          <w:rFonts w:hint="default" w:ascii="宋体" w:hAnsi="宋体"/>
          <w:color w:val="auto"/>
          <w:sz w:val="21"/>
          <w:szCs w:val="21"/>
          <w:highlight w:val="none"/>
        </w:rPr>
      </w:pPr>
      <w:r>
        <w:t>项目名称：</w:t>
      </w:r>
    </w:p>
    <w:p>
      <w:pPr>
        <w:spacing w:beforeLines="0" w:afterLines="0" w:line="360" w:lineRule="auto"/>
        <w:ind w:firstLine="1785" w:firstLineChars="850"/>
        <w:rPr>
          <w:rFonts w:hint="default" w:ascii="宋体" w:hAnsi="宋体"/>
          <w:color w:val="auto"/>
          <w:sz w:val="21"/>
          <w:szCs w:val="21"/>
          <w:highlight w:val="none"/>
        </w:rPr>
      </w:pPr>
      <w:r>
        <w:t>项目编号：</w:t>
      </w:r>
    </w:p>
    <w:p>
      <w:pPr>
        <w:spacing w:beforeLines="0" w:afterLines="0" w:line="360" w:lineRule="auto"/>
        <w:ind w:firstLine="1785" w:firstLineChars="850"/>
        <w:rPr>
          <w:rFonts w:hint="default" w:ascii="宋体" w:hAnsi="宋体"/>
          <w:color w:val="auto"/>
          <w:sz w:val="21"/>
          <w:szCs w:val="21"/>
          <w:highlight w:val="none"/>
        </w:rPr>
      </w:pPr>
      <w:r>
        <w:t>投标文件名称：资格证明文件/报价文件/技术商务文件/电子备份文件</w:t>
      </w:r>
    </w:p>
    <w:p>
      <w:pPr>
        <w:pStyle w:val="7"/>
        <w:spacing w:beforeLines="0" w:afterLines="0" w:line="360" w:lineRule="auto"/>
        <w:ind w:firstLine="1785" w:firstLineChars="850"/>
        <w:rPr>
          <w:rFonts w:hint="default" w:hAnsi="宋体"/>
          <w:color w:val="auto"/>
          <w:sz w:val="21"/>
          <w:szCs w:val="21"/>
          <w:highlight w:val="none"/>
        </w:rPr>
      </w:pPr>
      <w:r>
        <w:t>投标人名称（盖章）：</w:t>
      </w:r>
    </w:p>
    <w:p>
      <w:pPr>
        <w:pStyle w:val="7"/>
        <w:spacing w:beforeLines="0" w:afterLines="0" w:line="360" w:lineRule="auto"/>
        <w:ind w:firstLine="1785" w:firstLineChars="850"/>
        <w:rPr>
          <w:rFonts w:hint="default" w:hAnsi="宋体"/>
          <w:color w:val="auto"/>
          <w:sz w:val="21"/>
          <w:szCs w:val="21"/>
          <w:highlight w:val="none"/>
        </w:rPr>
      </w:pPr>
      <w:r>
        <w:t>投标人地址：</w:t>
      </w:r>
    </w:p>
    <w:p>
      <w:pPr>
        <w:pStyle w:val="7"/>
        <w:spacing w:beforeLines="0" w:afterLines="0" w:line="360" w:lineRule="auto"/>
        <w:ind w:firstLine="1785" w:firstLineChars="850"/>
        <w:rPr>
          <w:rFonts w:hint="default" w:hAnsi="宋体"/>
          <w:color w:val="auto"/>
          <w:sz w:val="21"/>
          <w:szCs w:val="21"/>
          <w:highlight w:val="none"/>
        </w:rPr>
      </w:pPr>
      <w:r>
        <w:t>法定代表人或授权代表人（签字或盖章）</w:t>
      </w:r>
    </w:p>
    <w:p>
      <w:pPr>
        <w:pStyle w:val="7"/>
        <w:spacing w:beforeLines="0" w:afterLines="0" w:line="360" w:lineRule="auto"/>
        <w:ind w:firstLine="1785" w:firstLineChars="850"/>
        <w:rPr>
          <w:rFonts w:hint="default" w:hAnsi="宋体"/>
          <w:color w:val="auto"/>
          <w:sz w:val="21"/>
          <w:szCs w:val="21"/>
          <w:highlight w:val="none"/>
        </w:rPr>
      </w:pPr>
      <w:r>
        <w:t xml:space="preserve">                  开标时启封</w:t>
      </w:r>
    </w:p>
    <w:p>
      <w:pPr>
        <w:spacing w:beforeLines="0" w:afterLines="0" w:line="360" w:lineRule="auto"/>
        <w:rPr>
          <w:rFonts w:hint="default" w:ascii="宋体" w:hAnsi="宋体"/>
          <w:color w:val="auto"/>
          <w:sz w:val="21"/>
          <w:szCs w:val="21"/>
          <w:highlight w:val="none"/>
        </w:rPr>
      </w:pPr>
      <w:r/>
    </w:p>
    <w:p>
      <w:pPr>
        <w:spacing w:beforeLines="0" w:afterLines="0" w:line="360" w:lineRule="auto"/>
        <w:ind w:firstLine="645"/>
        <w:jc w:val="center"/>
        <w:rPr>
          <w:rFonts w:hint="default" w:ascii="宋体" w:hAnsi="宋体"/>
          <w:color w:val="auto"/>
          <w:sz w:val="21"/>
          <w:szCs w:val="21"/>
          <w:highlight w:val="none"/>
        </w:rPr>
      </w:pPr>
      <w:r>
        <w:t>年月日</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t>2、封面格式：（可选用）</w:t>
      </w:r>
    </w:p>
    <w:p>
      <w:pPr>
        <w:spacing w:beforeLines="0" w:afterLines="0" w:line="360" w:lineRule="auto"/>
        <w:rPr>
          <w:rFonts w:hint="default" w:ascii="宋体" w:hAnsi="宋体"/>
          <w:b/>
          <w:color w:val="auto"/>
          <w:sz w:val="21"/>
          <w:szCs w:val="21"/>
          <w:highlight w:val="none"/>
        </w:rPr>
      </w:pPr>
      <w:r>
        <w:t>正本/或副本</w:t>
      </w:r>
    </w:p>
    <w:p>
      <w:pPr>
        <w:spacing w:beforeLines="0" w:afterLines="0" w:line="360" w:lineRule="auto"/>
        <w:rPr>
          <w:rFonts w:hint="default" w:ascii="宋体" w:hAnsi="宋体"/>
          <w:color w:val="auto"/>
          <w:sz w:val="21"/>
          <w:szCs w:val="21"/>
          <w:highlight w:val="none"/>
        </w:rPr>
      </w:pPr>
      <w:r/>
    </w:p>
    <w:p>
      <w:pPr>
        <w:spacing w:beforeLines="0" w:afterLines="0" w:line="360" w:lineRule="auto"/>
        <w:jc w:val="center"/>
        <w:rPr>
          <w:rFonts w:hint="default" w:ascii="宋体" w:hAnsi="宋体"/>
          <w:b/>
          <w:color w:val="auto"/>
          <w:sz w:val="21"/>
          <w:szCs w:val="21"/>
          <w:highlight w:val="none"/>
        </w:rPr>
      </w:pPr>
      <w:r>
        <w:t>投 标 文 件</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p>
    <w:p>
      <w:pPr>
        <w:spacing w:beforeLines="0" w:afterLines="0" w:line="360" w:lineRule="auto"/>
        <w:ind w:firstLine="1575" w:firstLineChars="750"/>
        <w:rPr>
          <w:rFonts w:hint="default" w:ascii="宋体" w:hAnsi="宋体"/>
          <w:color w:val="auto"/>
          <w:sz w:val="21"/>
          <w:szCs w:val="21"/>
          <w:highlight w:val="none"/>
        </w:rPr>
      </w:pPr>
      <w:r>
        <w:t>项目名称：</w:t>
      </w:r>
    </w:p>
    <w:p>
      <w:pPr>
        <w:spacing w:beforeLines="0" w:afterLines="0" w:line="360" w:lineRule="auto"/>
        <w:ind w:firstLine="1575" w:firstLineChars="750"/>
        <w:rPr>
          <w:rFonts w:hint="default" w:ascii="宋体" w:hAnsi="宋体"/>
          <w:color w:val="auto"/>
          <w:sz w:val="21"/>
          <w:szCs w:val="21"/>
          <w:highlight w:val="none"/>
        </w:rPr>
      </w:pPr>
      <w:r>
        <w:t>项目编号：</w:t>
      </w:r>
    </w:p>
    <w:p>
      <w:pPr>
        <w:spacing w:beforeLines="0" w:afterLines="0" w:line="360" w:lineRule="auto"/>
        <w:ind w:firstLine="1575" w:firstLineChars="750"/>
        <w:rPr>
          <w:rFonts w:hint="default" w:ascii="宋体" w:hAnsi="宋体"/>
          <w:color w:val="auto"/>
          <w:sz w:val="21"/>
          <w:szCs w:val="21"/>
          <w:highlight w:val="none"/>
        </w:rPr>
      </w:pPr>
      <w:r>
        <w:t>投标文件名称：资格证明文件/报价文件/技术商务文件</w:t>
      </w:r>
    </w:p>
    <w:p>
      <w:pPr>
        <w:pStyle w:val="7"/>
        <w:spacing w:beforeLines="0" w:afterLines="0" w:line="360" w:lineRule="auto"/>
        <w:ind w:firstLine="1575" w:firstLineChars="750"/>
        <w:rPr>
          <w:rFonts w:hint="default" w:hAnsi="宋体"/>
          <w:color w:val="auto"/>
          <w:sz w:val="21"/>
          <w:szCs w:val="21"/>
          <w:highlight w:val="none"/>
        </w:rPr>
      </w:pPr>
      <w:r>
        <w:t>投标人名称（盖章）：</w:t>
      </w:r>
    </w:p>
    <w:p>
      <w:pPr>
        <w:pStyle w:val="7"/>
        <w:spacing w:beforeLines="0" w:afterLines="0" w:line="360" w:lineRule="auto"/>
        <w:ind w:firstLine="1575" w:firstLineChars="750"/>
        <w:rPr>
          <w:rFonts w:hint="default" w:hAnsi="宋体"/>
          <w:color w:val="auto"/>
          <w:sz w:val="21"/>
          <w:szCs w:val="21"/>
          <w:highlight w:val="none"/>
        </w:rPr>
      </w:pPr>
      <w:r>
        <w:t>投标人地址：</w:t>
      </w:r>
    </w:p>
    <w:p>
      <w:pPr>
        <w:pStyle w:val="7"/>
        <w:spacing w:beforeLines="0" w:afterLines="0" w:line="360" w:lineRule="auto"/>
        <w:ind w:firstLine="1558" w:firstLineChars="742"/>
        <w:rPr>
          <w:rFonts w:hint="default" w:hAnsi="宋体"/>
          <w:color w:val="auto"/>
          <w:sz w:val="21"/>
          <w:szCs w:val="21"/>
          <w:highlight w:val="none"/>
        </w:rPr>
      </w:pPr>
      <w:r>
        <w:t>法定代表人或授权代表人（签字或盖章）</w:t>
      </w:r>
    </w:p>
    <w:p>
      <w:pPr>
        <w:pStyle w:val="7"/>
        <w:spacing w:beforeLines="0" w:afterLines="0" w:line="360" w:lineRule="auto"/>
        <w:ind w:firstLine="0"/>
        <w:rPr>
          <w:rFonts w:hint="default" w:hAnsi="宋体"/>
          <w:color w:val="auto"/>
          <w:sz w:val="21"/>
          <w:szCs w:val="21"/>
          <w:highlight w:val="none"/>
        </w:rPr>
      </w:pPr>
      <w:r/>
    </w:p>
    <w:p>
      <w:pPr>
        <w:spacing w:beforeLines="0" w:afterLines="0" w:line="360" w:lineRule="auto"/>
        <w:ind w:firstLine="645"/>
        <w:jc w:val="center"/>
        <w:rPr>
          <w:rFonts w:hint="default" w:ascii="宋体" w:hAnsi="宋体"/>
          <w:color w:val="auto"/>
          <w:sz w:val="21"/>
          <w:szCs w:val="21"/>
          <w:highlight w:val="none"/>
        </w:rPr>
      </w:pPr>
      <w:r>
        <w:t>年月日</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4"/>
          <w:highlight w:val="none"/>
        </w:rPr>
      </w:pPr>
      <w:r/>
    </w:p>
    <w:p>
      <w:pPr>
        <w:pStyle w:val="12"/>
        <w:spacing w:beforeLines="0" w:afterLines="0"/>
        <w:ind w:left="0" w:leftChars="0" w:right="420"/>
        <w:jc w:val="left"/>
        <w:rPr>
          <w:rFonts w:hint="default" w:ascii="宋体" w:hAnsi="宋体"/>
          <w:color w:val="auto"/>
          <w:sz w:val="21"/>
          <w:szCs w:val="21"/>
          <w:highlight w:val="none"/>
        </w:rPr>
      </w:pPr>
      <w:r>
        <w:t>格式  供应商资格声明函</w:t>
      </w:r>
    </w:p>
    <w:p>
      <w:pPr>
        <w:snapToGrid w:val="0"/>
        <w:spacing w:before="120" w:beforeLines="50" w:after="20" w:afterLines="0"/>
        <w:jc w:val="center"/>
        <w:rPr>
          <w:rFonts w:hint="eastAsia" w:ascii="宋体" w:hAnsi="宋体" w:eastAsia="宋体" w:cs="宋体"/>
          <w:b/>
          <w:color w:val="auto"/>
          <w:sz w:val="32"/>
          <w:szCs w:val="32"/>
          <w:highlight w:val="none"/>
        </w:rPr>
      </w:pPr>
      <w:r>
        <w:t>供应商资格声明函</w:t>
      </w:r>
    </w:p>
    <w:p>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hAnsi="宋体" w:eastAsia="宋体" w:cs="宋体"/>
          <w:b/>
          <w:color w:val="auto"/>
          <w:kern w:val="2"/>
          <w:sz w:val="21"/>
          <w:szCs w:val="24"/>
          <w:highlight w:val="none"/>
          <w:shd w:val="clear" w:color="auto" w:fill="auto"/>
          <w:lang w:eastAsia="zh-CN"/>
        </w:rPr>
      </w:pPr>
      <w:r/>
    </w:p>
    <w:p>
      <w:pPr>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eastAsia" w:hAnsi="宋体" w:eastAsia="宋体" w:cs="宋体"/>
          <w:b/>
          <w:color w:val="auto"/>
          <w:kern w:val="2"/>
          <w:sz w:val="21"/>
          <w:szCs w:val="24"/>
          <w:highlight w:val="none"/>
          <w:shd w:val="clear" w:color="auto" w:fill="auto"/>
        </w:rPr>
      </w:pPr>
      <w:r>
        <w:t>宁波市盛达工程管理咨询有限公司：</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关于贵司     年   月   日发布  XXXXXXXXXXXXXXXXXXXXX  项目（项目编号：        ）的邀请公告，本公司（企业）愿意参加投标，并声明：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1、本公司（企业）具备《中华人民共和国政府采购法》第二十二条资格条件，并已清楚采购文件的要求及有关文件规定。</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1.1、具有独立承担民事责任的能力；</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1.2、具有良好的商业信誉和健全的财务会计制度；</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1.3、具有履行合同所必需的设备和专业技术能力；</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1.4、有依法缴纳税收和社会保障资金的良好记录；</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1.5、参加政府采购活动前三年内，在经营活动中没有重大违法记录；</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1.6、法律、行政法规规定的其他条件。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2、本公司（企业）的法定代表人或单位负责人与所参投的本采购项目的其他供应商的法定代表人或单位负责人不为同一人且与其他供应商之间不存在直接控股、管理关系。</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4、本公司（企业）具有履行合同所必需的设备和专业技术能力，且本公司（企业）参加政府采购活动前3年内在经营活动中没有重大违法记录。否则，由此所造成的损失、不良后果及法律责任，一律由我公司（企业）承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5、本公司（企业）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4" w:firstLineChars="202"/>
        <w:textAlignment w:val="auto"/>
        <w:rPr>
          <w:rFonts w:hint="eastAsia" w:hAnsi="宋体" w:eastAsia="宋体" w:cs="宋体"/>
          <w:color w:val="auto"/>
          <w:kern w:val="2"/>
          <w:sz w:val="21"/>
          <w:szCs w:val="24"/>
          <w:highlight w:val="none"/>
          <w:shd w:val="clear" w:color="auto" w:fill="auto"/>
        </w:rPr>
      </w:pPr>
      <w:r>
        <w:t>本次采购活动中，如有违法、违规、弄虚作假行为，所造成的损失、不良后果及法律责任，一律由我公司（企业）承担。</w:t>
      </w:r>
    </w:p>
    <w:p>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360" w:lineRule="auto"/>
        <w:ind w:firstLine="424" w:firstLineChars="202"/>
        <w:textAlignment w:val="auto"/>
        <w:rPr>
          <w:rFonts w:hint="eastAsia" w:hAnsi="宋体" w:eastAsia="宋体" w:cs="宋体"/>
          <w:color w:val="auto"/>
          <w:kern w:val="2"/>
          <w:sz w:val="21"/>
          <w:szCs w:val="24"/>
          <w:highlight w:val="none"/>
          <w:shd w:val="clear" w:color="auto" w:fill="auto"/>
        </w:rPr>
      </w:pPr>
      <w:r>
        <w:t>特此声明！</w:t>
      </w:r>
    </w:p>
    <w:p>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360" w:lineRule="auto"/>
        <w:ind w:firstLine="424" w:firstLineChars="202"/>
        <w:textAlignment w:val="auto"/>
        <w:rPr>
          <w:rFonts w:hint="eastAsia" w:hAnsi="宋体" w:eastAsia="宋体" w:cs="宋体"/>
          <w:color w:val="auto"/>
          <w:kern w:val="2"/>
          <w:sz w:val="21"/>
          <w:szCs w:val="24"/>
          <w:highlight w:val="none"/>
          <w:shd w:val="clear" w:color="auto" w:fill="auto"/>
        </w:rPr>
      </w:pPr>
      <w:r>
        <w:t>法定代表人或授权代表（签名或印章）：</w:t>
      </w:r>
    </w:p>
    <w:p>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360" w:lineRule="auto"/>
        <w:ind w:firstLine="424" w:firstLineChars="202"/>
        <w:textAlignment w:val="auto"/>
        <w:rPr>
          <w:rFonts w:hint="eastAsia" w:hAnsi="宋体" w:eastAsia="宋体" w:cs="宋体"/>
          <w:color w:val="auto"/>
          <w:kern w:val="2"/>
          <w:sz w:val="21"/>
          <w:szCs w:val="24"/>
          <w:highlight w:val="none"/>
          <w:shd w:val="clear" w:color="auto" w:fill="auto"/>
        </w:rPr>
      </w:pPr>
      <w:r>
        <w:t>供应商名称（公章）：</w:t>
      </w:r>
    </w:p>
    <w:p>
      <w:pPr>
        <w:keepNext w:val="0"/>
        <w:keepLines w:val="0"/>
        <w:pageBreakBefore w:val="0"/>
        <w:widowControl w:val="0"/>
        <w:shd w:val="clear" w:color="auto" w:fill="auto"/>
        <w:kinsoku/>
        <w:wordWrap/>
        <w:overflowPunct/>
        <w:topLinePunct w:val="0"/>
        <w:autoSpaceDE/>
        <w:autoSpaceDN/>
        <w:bidi w:val="0"/>
        <w:adjustRightInd/>
        <w:snapToGrid w:val="0"/>
        <w:spacing w:before="156" w:beforeLines="50" w:line="360" w:lineRule="auto"/>
        <w:ind w:firstLine="424" w:firstLineChars="202"/>
        <w:textAlignment w:val="auto"/>
        <w:rPr>
          <w:rFonts w:hint="eastAsia" w:hAnsi="宋体" w:eastAsia="宋体" w:cs="宋体"/>
          <w:color w:val="auto"/>
          <w:kern w:val="2"/>
          <w:sz w:val="21"/>
          <w:szCs w:val="24"/>
          <w:highlight w:val="none"/>
          <w:shd w:val="clear" w:color="auto" w:fill="auto"/>
        </w:rPr>
      </w:pPr>
      <w:r>
        <w:t>年    月    日</w:t>
      </w:r>
    </w:p>
    <w:p>
      <w:pPr>
        <w:spacing w:beforeLines="0" w:afterLines="0" w:line="360" w:lineRule="auto"/>
        <w:outlineLvl w:val="1"/>
        <w:rPr>
          <w:rFonts w:hint="default" w:ascii="宋体" w:hAnsi="宋体"/>
          <w:color w:val="auto"/>
          <w:sz w:val="21"/>
          <w:szCs w:val="21"/>
          <w:highlight w:val="none"/>
        </w:rPr>
      </w:pPr>
      <w:r>
        <w:t xml:space="preserve">    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pStyle w:val="11"/>
        <w:spacing w:beforeLines="0" w:afterLines="0"/>
        <w:ind w:firstLine="210"/>
        <w:rPr>
          <w:rFonts w:hint="default"/>
          <w:color w:val="auto"/>
          <w:sz w:val="21"/>
          <w:szCs w:val="21"/>
          <w:highlight w:val="none"/>
        </w:rPr>
      </w:pPr>
      <w:r/>
    </w:p>
    <w:p>
      <w:pPr>
        <w:pStyle w:val="13"/>
        <w:shd w:val="clear" w:color="auto" w:fill="auto"/>
        <w:snapToGrid w:val="0"/>
        <w:rPr>
          <w:rFonts w:hint="eastAsia" w:hAnsi="宋体" w:eastAsia="宋体" w:cs="宋体"/>
          <w:color w:val="auto"/>
          <w:sz w:val="21"/>
          <w:highlight w:val="none"/>
          <w:shd w:val="clear" w:color="auto" w:fill="auto"/>
        </w:rPr>
      </w:pPr>
      <w:r>
        <w:t>（3）供应商的特定条件的证明文件：详见“第一章  采购公告 二、申请人的资格要求：3.本项目的特定资格要求”；</w:t>
      </w:r>
    </w:p>
    <w:p>
      <w:pPr>
        <w:shd w:val="clear" w:color="auto" w:fill="auto"/>
        <w:spacing w:line="480" w:lineRule="exact"/>
        <w:jc w:val="center"/>
        <w:rPr>
          <w:rFonts w:hint="eastAsia" w:hAnsi="宋体" w:eastAsia="宋体" w:cs="宋体"/>
          <w:b/>
          <w:bCs/>
          <w:color w:val="auto"/>
          <w:sz w:val="36"/>
          <w:szCs w:val="36"/>
          <w:highlight w:val="none"/>
          <w:shd w:val="clear" w:color="auto" w:fill="auto"/>
        </w:rPr>
      </w:pPr>
      <w:r>
        <w:t>政府采购领域商业贿赂行为承诺书</w:t>
      </w:r>
    </w:p>
    <w:p>
      <w:pPr>
        <w:shd w:val="clear" w:color="auto" w:fill="auto"/>
        <w:adjustRightInd/>
        <w:rPr>
          <w:rFonts w:hint="eastAsia" w:hAnsi="宋体" w:eastAsia="宋体" w:cs="宋体"/>
          <w:b/>
          <w:color w:val="auto"/>
          <w:sz w:val="21"/>
          <w:highlight w:val="none"/>
          <w:shd w:val="clear" w:color="auto" w:fill="auto"/>
        </w:rPr>
      </w:pPr>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rPr>
          <w:rFonts w:hint="eastAsia" w:hAnsi="宋体" w:eastAsia="宋体" w:cs="宋体"/>
          <w:b/>
          <w:bCs/>
          <w:color w:val="auto"/>
          <w:sz w:val="21"/>
          <w:highlight w:val="none"/>
          <w:shd w:val="clear" w:color="auto" w:fill="auto"/>
          <w:lang w:eastAsia="zh-CN"/>
        </w:rPr>
      </w:pPr>
      <w:r>
        <w:t>致：宁波市盛达工程管理咨询有限公司</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lang w:eastAsia="zh-TW"/>
        </w:rPr>
      </w:pPr>
      <w: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一、依法参与政府采购活动，遵纪守法，诚信经营，公平竞争。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二、不向采购单位、采购代理机构和政府采购评审专家提供任何形式的商业贿赂；对索取或接受商业贿赂的单位和个人，及时向财政部门和纪检监察机关举报。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三、不以提供虚假资质文件等形式参与政府采购活动，不以虚假材料谋取中标。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四、不采取不正当手段诋毁、排挤其他供应商，与其他参与政府采购活动供应商保持良性的竞争关系。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五、不与采购单位、采购代理机构和政府采购评审专家恶意串通，自觉维护政府采购公平竞争的市场秩序。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六、不与其他供应商串通采取围标、陪标等商业欺诈手段谋取中标，积极维护国家利益、社会公共利益和采购单位的合法权益。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七、严格履行政府采购合同约定义务，不在政府采购合同执行过程中采取降低质量或标准、减少数量、拖延交付时间等方式损害采购单位的利益，并自觉承担违约责任。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rPr>
          <w:rFonts w:hint="eastAsia" w:hAnsi="宋体" w:eastAsia="宋体" w:cs="宋体"/>
          <w:color w:val="auto"/>
          <w:sz w:val="21"/>
          <w:highlight w:val="none"/>
          <w:shd w:val="clear" w:color="auto" w:fill="auto"/>
        </w:rPr>
      </w:pPr>
      <w:r>
        <w:t>八、自觉接受并积极配合财政部门和纪检监察机关依法实施的监督检查，如实反映情况，及时提供有关证明材料。</w:t>
      </w:r>
    </w:p>
    <w:p>
      <w:pPr>
        <w:pStyle w:val="43"/>
        <w:keepNext w:val="0"/>
        <w:keepLines w:val="0"/>
        <w:pageBreakBefore w:val="0"/>
        <w:widowControl w:val="0"/>
        <w:shd w:val="clear" w:color="auto" w:fill="auto"/>
        <w:kinsoku/>
        <w:wordWrap/>
        <w:overflowPunct/>
        <w:topLinePunct w:val="0"/>
        <w:autoSpaceDE/>
        <w:autoSpaceDN/>
        <w:bidi w:val="0"/>
        <w:adjustRightInd/>
        <w:snapToGrid/>
        <w:spacing w:line="360" w:lineRule="auto"/>
        <w:ind w:left="0"/>
        <w:rPr>
          <w:rFonts w:hint="eastAsia"/>
          <w:color w:val="auto"/>
          <w:highlight w:val="none"/>
          <w:shd w:val="clear" w:color="auto" w:fill="auto"/>
        </w:rPr>
      </w:pPr>
      <w:r/>
    </w:p>
    <w:p>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rPr>
          <w:rFonts w:hint="eastAsia" w:ascii="宋体" w:hAnsi="宋体" w:cs="宋体"/>
          <w:color w:val="auto"/>
          <w:sz w:val="21"/>
          <w:highlight w:val="none"/>
          <w:u w:val="single"/>
          <w:shd w:val="clear" w:color="auto" w:fill="auto"/>
        </w:rPr>
      </w:pPr>
      <w:r>
        <w:t xml:space="preserve">供应商名称（并加盖公章）：                             </w:t>
      </w:r>
    </w:p>
    <w:p>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rPr>
          <w:rFonts w:hint="eastAsia" w:ascii="宋体" w:hAnsi="宋体" w:cs="宋体"/>
          <w:color w:val="auto"/>
          <w:sz w:val="21"/>
          <w:highlight w:val="none"/>
          <w:shd w:val="clear" w:color="auto" w:fill="auto"/>
        </w:rPr>
      </w:pPr>
      <w:r>
        <w:t xml:space="preserve">法定代表人或其授权委托人（签名或印章）：                   </w:t>
      </w:r>
    </w:p>
    <w:p>
      <w:pPr>
        <w:pStyle w:val="7"/>
        <w:keepNext w:val="0"/>
        <w:keepLines w:val="0"/>
        <w:pageBreakBefore w:val="0"/>
        <w:widowControl w:val="0"/>
        <w:shd w:val="clear" w:color="auto" w:fill="auto"/>
        <w:kinsoku/>
        <w:wordWrap/>
        <w:overflowPunct/>
        <w:topLinePunct w:val="0"/>
        <w:autoSpaceDE/>
        <w:autoSpaceDN/>
        <w:bidi w:val="0"/>
        <w:adjustRightInd/>
        <w:snapToGrid/>
        <w:spacing w:line="360" w:lineRule="auto"/>
        <w:rPr>
          <w:rFonts w:hint="eastAsia" w:ascii="宋体" w:hAnsi="宋体" w:cs="宋体"/>
          <w:color w:val="auto"/>
          <w:sz w:val="21"/>
          <w:highlight w:val="none"/>
          <w:shd w:val="clear" w:color="auto" w:fill="auto"/>
        </w:rPr>
      </w:pPr>
      <w:r>
        <w:t>签署日期：          年        月        日</w:t>
      </w:r>
    </w:p>
    <w:p>
      <w:pPr>
        <w:pStyle w:val="6"/>
        <w:numPr>
          <w:ilvl w:val="0"/>
          <w:numId w:val="0"/>
        </w:numPr>
        <w:shd w:val="clear" w:color="auto" w:fill="auto"/>
        <w:tabs>
          <w:tab w:val="clear" w:pos="454"/>
        </w:tabs>
        <w:snapToGrid w:val="0"/>
        <w:spacing w:before="156" w:beforeLines="50"/>
        <w:rPr>
          <w:rFonts w:hint="eastAsia" w:ascii="宋体" w:hAnsi="宋体" w:cs="宋体"/>
          <w:color w:val="auto"/>
          <w:sz w:val="21"/>
          <w:highlight w:val="none"/>
          <w:shd w:val="clear" w:color="auto" w:fill="auto"/>
        </w:rPr>
      </w:pPr>
      <w:r>
        <w:t>（4）中小企业声明函</w:t>
      </w:r>
    </w:p>
    <w:p>
      <w:pPr>
        <w:pStyle w:val="6"/>
        <w:numPr>
          <w:ilvl w:val="0"/>
          <w:numId w:val="0"/>
        </w:numPr>
        <w:shd w:val="clear" w:color="auto" w:fill="auto"/>
        <w:tabs>
          <w:tab w:val="clear" w:pos="454"/>
        </w:tabs>
        <w:snapToGrid w:val="0"/>
        <w:spacing w:before="156" w:beforeLines="50"/>
        <w:rPr>
          <w:rFonts w:hint="eastAsia" w:ascii="宋体" w:hAnsi="宋体" w:cs="宋体"/>
          <w:color w:val="auto"/>
          <w:sz w:val="21"/>
          <w:highlight w:val="none"/>
          <w:shd w:val="clear" w:color="auto" w:fill="auto"/>
        </w:rPr>
      </w:pPr>
      <w:r/>
    </w:p>
    <w:p>
      <w:pPr>
        <w:spacing w:beforeLines="0" w:afterLines="0" w:line="360" w:lineRule="auto"/>
        <w:jc w:val="center"/>
        <w:rPr>
          <w:rFonts w:hint="eastAsia" w:ascii="宋体" w:hAnsi="宋体" w:eastAsia="宋体" w:cs="宋体"/>
          <w:b/>
          <w:color w:val="auto"/>
          <w:spacing w:val="-4"/>
          <w:sz w:val="32"/>
          <w:szCs w:val="32"/>
          <w:highlight w:val="none"/>
        </w:rPr>
      </w:pPr>
      <w:r>
        <w:t>中小企业声明函</w:t>
      </w:r>
    </w:p>
    <w:p>
      <w:pPr>
        <w:widowControl w:val="0"/>
        <w:shd w:val="clear" w:color="auto" w:fill="auto"/>
        <w:adjustRightInd/>
        <w:spacing w:line="500" w:lineRule="exact"/>
        <w:ind w:firstLine="420" w:firstLineChars="200"/>
        <w:jc w:val="both"/>
        <w:textAlignment w:val="auto"/>
        <w:rPr>
          <w:rFonts w:hint="eastAsia" w:ascii="宋体" w:hAnsi="宋体" w:eastAsia="宋体" w:cs="宋体"/>
          <w:color w:val="auto"/>
          <w:kern w:val="2"/>
          <w:sz w:val="21"/>
          <w:szCs w:val="21"/>
          <w:highlight w:val="none"/>
          <w:shd w:val="clear" w:color="auto" w:fill="auto"/>
        </w:rPr>
      </w:pPr>
      <w:r>
        <w:t>本公司郑重声明，根据《政府采购促进中小企业发展管理办法》（财库﹝2020﹞46 号）的规定，本公司参加（单位名称）的（项目名称）采购活动，服务全部由符合政策要求的中小企业承接。相关企业（含联合体中的中小企业、签订分包意向协议的中小企业）的具体情况如下：</w:t>
      </w:r>
    </w:p>
    <w:p>
      <w:pPr>
        <w:widowControl w:val="0"/>
        <w:shd w:val="clear" w:color="auto" w:fill="auto"/>
        <w:adjustRightInd/>
        <w:spacing w:line="500" w:lineRule="exact"/>
        <w:ind w:firstLine="420" w:firstLineChars="200"/>
        <w:jc w:val="both"/>
        <w:textAlignment w:val="auto"/>
        <w:rPr>
          <w:rFonts w:hint="eastAsia" w:ascii="宋体" w:hAnsi="宋体" w:eastAsia="宋体" w:cs="宋体"/>
          <w:color w:val="auto"/>
          <w:kern w:val="2"/>
          <w:sz w:val="21"/>
          <w:szCs w:val="21"/>
          <w:highlight w:val="none"/>
          <w:shd w:val="clear" w:color="auto" w:fill="auto"/>
        </w:rPr>
      </w:pPr>
      <w:r>
        <w:t>1. （标的名称） ，属于（其他未列明行业）；承接企业为（企业名称），从业人员      人，营业收入为      万元，资产总额为    万元，属于（中型企业、小型企业、微型企业）；</w:t>
      </w:r>
    </w:p>
    <w:p>
      <w:pPr>
        <w:widowControl w:val="0"/>
        <w:shd w:val="clear" w:color="auto" w:fill="auto"/>
        <w:adjustRightInd/>
        <w:spacing w:line="500" w:lineRule="exact"/>
        <w:ind w:firstLine="420" w:firstLineChars="200"/>
        <w:jc w:val="both"/>
        <w:textAlignment w:val="auto"/>
        <w:rPr>
          <w:rFonts w:hint="eastAsia" w:ascii="宋体" w:hAnsi="宋体" w:eastAsia="宋体" w:cs="宋体"/>
          <w:color w:val="auto"/>
          <w:kern w:val="2"/>
          <w:sz w:val="21"/>
          <w:szCs w:val="21"/>
          <w:highlight w:val="none"/>
          <w:shd w:val="clear" w:color="auto" w:fill="auto"/>
        </w:rPr>
      </w:pPr>
      <w:r>
        <w:t>2. （标的名称） ，属于（其他未列明行业）；承接企业为（企业名称），从业人员     人，营业收入为    万元，资产总额为    万元，属于（中型企业、小型企业、微型企业）；</w:t>
      </w:r>
    </w:p>
    <w:p>
      <w:pPr>
        <w:widowControl w:val="0"/>
        <w:shd w:val="clear" w:color="auto" w:fill="auto"/>
        <w:adjustRightInd/>
        <w:spacing w:line="500" w:lineRule="exact"/>
        <w:ind w:firstLine="420" w:firstLineChars="200"/>
        <w:jc w:val="both"/>
        <w:textAlignment w:val="auto"/>
        <w:rPr>
          <w:rFonts w:hint="eastAsia" w:ascii="宋体" w:hAnsi="宋体" w:eastAsia="宋体" w:cs="宋体"/>
          <w:color w:val="auto"/>
          <w:kern w:val="2"/>
          <w:sz w:val="21"/>
          <w:szCs w:val="21"/>
          <w:highlight w:val="none"/>
          <w:shd w:val="clear" w:color="auto" w:fill="auto"/>
        </w:rPr>
      </w:pPr>
      <w:r>
        <w:t>……</w:t>
      </w:r>
    </w:p>
    <w:p>
      <w:pPr>
        <w:widowControl w:val="0"/>
        <w:shd w:val="clear" w:color="auto" w:fill="auto"/>
        <w:adjustRightInd/>
        <w:spacing w:line="500" w:lineRule="exact"/>
        <w:ind w:firstLine="420" w:firstLineChars="200"/>
        <w:jc w:val="both"/>
        <w:textAlignment w:val="auto"/>
        <w:rPr>
          <w:rFonts w:hint="eastAsia" w:ascii="宋体" w:hAnsi="宋体" w:eastAsia="宋体" w:cs="宋体"/>
          <w:color w:val="auto"/>
          <w:kern w:val="2"/>
          <w:sz w:val="21"/>
          <w:szCs w:val="21"/>
          <w:highlight w:val="none"/>
          <w:shd w:val="clear" w:color="auto" w:fill="auto"/>
        </w:rPr>
      </w:pPr>
      <w:r>
        <w:t>以上企业，不属于大企业的分支机构，不存在控股股东为大企业的情形，也不存在与大企业的负责人为同一人的情形。</w:t>
      </w:r>
    </w:p>
    <w:p>
      <w:pPr>
        <w:widowControl w:val="0"/>
        <w:shd w:val="clear" w:color="auto" w:fill="auto"/>
        <w:adjustRightInd/>
        <w:spacing w:line="500" w:lineRule="exact"/>
        <w:ind w:firstLine="420" w:firstLineChars="200"/>
        <w:jc w:val="both"/>
        <w:textAlignment w:val="auto"/>
        <w:rPr>
          <w:rFonts w:hint="eastAsia" w:ascii="宋体" w:hAnsi="宋体" w:eastAsia="宋体" w:cs="宋体"/>
          <w:color w:val="auto"/>
          <w:kern w:val="2"/>
          <w:sz w:val="21"/>
          <w:szCs w:val="21"/>
          <w:highlight w:val="none"/>
          <w:shd w:val="clear" w:color="auto" w:fill="auto"/>
        </w:rPr>
      </w:pPr>
      <w:r>
        <w:t>本企业对上述声明内容的真实性负责。如有虚假，将依法承担相应责任。</w:t>
      </w:r>
    </w:p>
    <w:p>
      <w:pPr>
        <w:widowControl w:val="0"/>
        <w:shd w:val="clear" w:color="auto" w:fill="auto"/>
        <w:adjustRightInd/>
        <w:spacing w:line="500" w:lineRule="exact"/>
        <w:jc w:val="both"/>
        <w:textAlignment w:val="auto"/>
        <w:rPr>
          <w:rFonts w:hint="eastAsia" w:ascii="宋体" w:hAnsi="宋体" w:eastAsia="宋体" w:cs="宋体"/>
          <w:color w:val="auto"/>
          <w:kern w:val="2"/>
          <w:sz w:val="21"/>
          <w:szCs w:val="21"/>
          <w:highlight w:val="none"/>
          <w:shd w:val="clear" w:color="auto" w:fill="auto"/>
        </w:rPr>
      </w:pPr>
      <w:r>
        <w:t xml:space="preserve">                        企业名称（盖章）：</w:t>
      </w:r>
    </w:p>
    <w:p>
      <w:pPr>
        <w:widowControl w:val="0"/>
        <w:shd w:val="clear" w:color="auto" w:fill="auto"/>
        <w:adjustRightInd/>
        <w:spacing w:line="500" w:lineRule="exact"/>
        <w:jc w:val="both"/>
        <w:textAlignment w:val="auto"/>
        <w:rPr>
          <w:rFonts w:hint="eastAsia" w:ascii="宋体" w:hAnsi="宋体" w:eastAsia="宋体" w:cs="宋体"/>
          <w:color w:val="auto"/>
          <w:kern w:val="2"/>
          <w:sz w:val="21"/>
          <w:szCs w:val="21"/>
          <w:highlight w:val="none"/>
          <w:shd w:val="clear" w:color="auto" w:fill="auto"/>
        </w:rPr>
      </w:pPr>
      <w:r>
        <w:t xml:space="preserve">                        日期：</w:t>
      </w:r>
    </w:p>
    <w:p>
      <w:pPr>
        <w:widowControl w:val="0"/>
        <w:shd w:val="clear" w:color="auto" w:fill="auto"/>
        <w:adjustRightInd/>
        <w:spacing w:line="500" w:lineRule="exact"/>
        <w:jc w:val="both"/>
        <w:textAlignment w:val="auto"/>
        <w:rPr>
          <w:rFonts w:hint="eastAsia" w:ascii="宋体" w:hAnsi="宋体" w:eastAsia="宋体" w:cs="宋体"/>
          <w:color w:val="auto"/>
          <w:kern w:val="2"/>
          <w:sz w:val="21"/>
          <w:szCs w:val="21"/>
          <w:highlight w:val="none"/>
          <w:shd w:val="clear" w:color="auto" w:fill="auto"/>
        </w:rPr>
      </w:pPr>
      <w:r/>
    </w:p>
    <w:p>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shd w:val="clear" w:color="auto" w:fill="auto"/>
          <w:lang w:val="en-US" w:eastAsia="zh-CN" w:bidi="ar-SA"/>
        </w:rPr>
      </w:pPr>
      <w:r>
        <w:t>说明：</w:t>
      </w:r>
    </w:p>
    <w:p>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shd w:val="clear" w:color="auto" w:fill="auto"/>
          <w:lang w:val="en-US" w:eastAsia="zh-CN" w:bidi="ar-SA"/>
        </w:rPr>
      </w:pPr>
      <w:r>
        <w:t>1、从业人员、营业收入、资产总额填报上一年度数据，无上一年度数据的新成立企业可不填报。</w:t>
      </w:r>
    </w:p>
    <w:p>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shd w:val="clear" w:color="auto" w:fill="auto"/>
          <w:lang w:val="en-US" w:eastAsia="zh-CN" w:bidi="ar-SA"/>
        </w:rPr>
      </w:pPr>
      <w:r>
        <w:t>2、根据工信部联企业[2011]300号规定。其他未列明行业：从业人员300人以下的为中小微型企业。其中，从业人员100人及以上的为中型企业；从业人员10人及以上的为小型企业；从业人员10人以下的为微型企业。</w:t>
      </w:r>
    </w:p>
    <w:p>
      <w:pPr>
        <w:widowControl w:val="0"/>
        <w:shd w:val="clear" w:color="auto" w:fill="auto"/>
        <w:adjustRightInd w:val="0"/>
        <w:spacing w:line="360" w:lineRule="auto"/>
        <w:ind w:firstLine="0"/>
        <w:jc w:val="both"/>
        <w:textAlignment w:val="baseline"/>
        <w:rPr>
          <w:rFonts w:hint="eastAsia" w:ascii="宋体" w:hAnsi="宋体" w:eastAsia="宋体" w:cs="宋体"/>
          <w:color w:val="auto"/>
          <w:spacing w:val="-4"/>
          <w:kern w:val="2"/>
          <w:sz w:val="18"/>
          <w:szCs w:val="21"/>
          <w:highlight w:val="none"/>
          <w:shd w:val="clear" w:color="auto" w:fill="auto"/>
          <w:lang w:val="en-US" w:eastAsia="zh-CN" w:bidi="ar-SA"/>
        </w:rPr>
      </w:pPr>
      <w:r>
        <w:t>风险提示：</w:t>
      </w:r>
    </w:p>
    <w:p>
      <w:pPr>
        <w:widowControl w:val="0"/>
        <w:shd w:val="clear" w:color="auto" w:fill="auto"/>
        <w:adjustRightInd w:val="0"/>
        <w:spacing w:line="360" w:lineRule="auto"/>
        <w:ind w:firstLine="0"/>
        <w:jc w:val="both"/>
        <w:textAlignment w:val="baseline"/>
        <w:rPr>
          <w:rFonts w:hint="default" w:ascii="宋体" w:hAnsi="宋体" w:cs="宋体"/>
          <w:b/>
          <w:color w:val="auto"/>
          <w:spacing w:val="-4"/>
          <w:sz w:val="32"/>
          <w:szCs w:val="32"/>
          <w:highlight w:val="none"/>
        </w:rPr>
        <w:sectPr>
          <w:pgSz w:w="11907" w:h="16840"/>
          <w:pgMar w:top="1134" w:right="1531" w:bottom="1134" w:left="1531" w:header="425" w:footer="709" w:gutter="0"/>
          <w:lnNumType w:countBy="0" w:distance="360"/>
          <w:cols w:space="720" w:num="1"/>
          <w:docGrid w:linePitch="286" w:charSpace="0"/>
        </w:sectPr>
      </w:pPr>
      <w:r>
        <w:t>1.供应商应当对其出具的《中小企业声明函》真实性负责，供应商出具的《中小企业声明函》内容不实的，属于提供虚假材料谋取中标。在实际操作中，供应商希望获得政策支持的，应从制造商处获得充分、准确的信息。对相关制造商信息了解不充分，或者不能确定相关信息真实、准确的，不建议出具《中小企业声明函》。</w:t>
      </w:r>
    </w:p>
    <w:p>
      <w:pPr>
        <w:spacing w:beforeLines="0" w:afterLines="0" w:line="360" w:lineRule="auto"/>
        <w:jc w:val="both"/>
        <w:rPr>
          <w:rFonts w:hint="default" w:ascii="宋体" w:hAnsi="宋体" w:cs="宋体"/>
          <w:b/>
          <w:color w:val="auto"/>
          <w:spacing w:val="-4"/>
          <w:sz w:val="32"/>
          <w:szCs w:val="32"/>
          <w:highlight w:val="none"/>
        </w:rPr>
      </w:pPr>
      <w:r/>
    </w:p>
    <w:tbl>
      <w:tblPr>
        <w:tblStyle w:val="21"/>
        <w:tblpPr w:leftFromText="180" w:rightFromText="180" w:vertAnchor="page" w:horzAnchor="margin" w:tblpXSpec="center" w:tblpY="1291"/>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4"/>
        <w:gridCol w:w="1455"/>
        <w:gridCol w:w="1681"/>
        <w:gridCol w:w="1586"/>
        <w:gridCol w:w="1183"/>
        <w:gridCol w:w="1412"/>
        <w:gridCol w:w="1452"/>
        <w:gridCol w:w="1226"/>
        <w:gridCol w:w="1216"/>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4535" w:type="dxa"/>
            <w:gridSpan w:val="10"/>
            <w:tcBorders>
              <w:top w:val="nil"/>
              <w:left w:val="nil"/>
              <w:bottom w:val="nil"/>
              <w:right w:val="nil"/>
              <w:tl2br w:val="nil"/>
              <w:tr2bl w:val="nil"/>
            </w:tcBorders>
            <w:noWrap w:val="0"/>
            <w:vAlign w:val="bottom"/>
          </w:tcPr>
          <w:p>
            <w:r>
              <w:t>中小微行业划型标准规定（根据工信部联企业〔2011〕300号制定）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154" w:type="dxa"/>
            <w:vMerge w:val="restart"/>
            <w:tcBorders>
              <w:top w:val="single" w:color="auto" w:sz="8" w:space="0"/>
              <w:left w:val="single" w:color="auto" w:sz="8" w:space="0"/>
              <w:bottom w:val="single" w:color="000000" w:sz="4" w:space="0"/>
              <w:right w:val="single" w:color="auto" w:sz="8" w:space="0"/>
              <w:tl2br w:val="nil"/>
              <w:tr2bl w:val="nil"/>
            </w:tcBorders>
            <w:noWrap w:val="0"/>
            <w:vAlign w:val="center"/>
          </w:tcPr>
          <w:p>
            <w:r>
              <w:t>行业</w:t>
            </w:r>
          </w:p>
        </w:tc>
        <w:tc>
          <w:tcPr>
            <w:tcW w:w="4722" w:type="dxa"/>
            <w:gridSpan w:val="3"/>
            <w:tcBorders>
              <w:top w:val="single" w:color="auto" w:sz="8" w:space="0"/>
              <w:left w:val="nil"/>
              <w:bottom w:val="single" w:color="auto" w:sz="4" w:space="0"/>
              <w:right w:val="single" w:color="000000" w:sz="8" w:space="0"/>
              <w:tl2br w:val="nil"/>
              <w:tr2bl w:val="nil"/>
            </w:tcBorders>
            <w:noWrap w:val="0"/>
            <w:vAlign w:val="bottom"/>
          </w:tcPr>
          <w:p>
            <w:r>
              <w:t>中型企业</w:t>
            </w:r>
          </w:p>
        </w:tc>
        <w:tc>
          <w:tcPr>
            <w:tcW w:w="4047" w:type="dxa"/>
            <w:gridSpan w:val="3"/>
            <w:tcBorders>
              <w:top w:val="single" w:color="auto" w:sz="8" w:space="0"/>
              <w:left w:val="nil"/>
              <w:bottom w:val="single" w:color="auto" w:sz="4" w:space="0"/>
              <w:right w:val="single" w:color="000000" w:sz="8" w:space="0"/>
              <w:tl2br w:val="nil"/>
              <w:tr2bl w:val="nil"/>
            </w:tcBorders>
            <w:noWrap w:val="0"/>
            <w:vAlign w:val="bottom"/>
          </w:tcPr>
          <w:p>
            <w:r>
              <w:t>小型企业</w:t>
            </w:r>
          </w:p>
        </w:tc>
        <w:tc>
          <w:tcPr>
            <w:tcW w:w="3612" w:type="dxa"/>
            <w:gridSpan w:val="3"/>
            <w:tcBorders>
              <w:top w:val="single" w:color="auto" w:sz="8" w:space="0"/>
              <w:left w:val="nil"/>
              <w:bottom w:val="single" w:color="auto" w:sz="4" w:space="0"/>
              <w:right w:val="single" w:color="000000" w:sz="8" w:space="0"/>
              <w:tl2br w:val="nil"/>
              <w:tr2bl w:val="nil"/>
            </w:tcBorders>
            <w:noWrap w:val="0"/>
            <w:vAlign w:val="bottom"/>
          </w:tcPr>
          <w:p>
            <w: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154" w:type="dxa"/>
            <w:vMerge w:val="continue"/>
            <w:tcBorders>
              <w:top w:val="single" w:color="auto" w:sz="8" w:space="0"/>
              <w:left w:val="single" w:color="auto" w:sz="8" w:space="0"/>
              <w:bottom w:val="single" w:color="000000" w:sz="4" w:space="0"/>
              <w:right w:val="single" w:color="auto" w:sz="8" w:space="0"/>
              <w:tl2br w:val="nil"/>
              <w:tr2bl w:val="nil"/>
            </w:tcBorders>
            <w:noWrap w:val="0"/>
            <w:vAlign w:val="center"/>
          </w:tcPr>
          <w:p>
            <w:pPr>
              <w:widowControl/>
              <w:spacing w:beforeLines="0" w:afterLines="0"/>
              <w:jc w:val="left"/>
              <w:rPr>
                <w:rFonts w:hint="default" w:ascii="宋体" w:hAnsi="宋体" w:cs="宋体"/>
                <w:b/>
                <w:color w:val="auto"/>
                <w:kern w:val="0"/>
                <w:sz w:val="18"/>
                <w:szCs w:val="18"/>
                <w:highlight w:val="none"/>
              </w:rPr>
            </w:pPr>
          </w:p>
        </w:tc>
        <w:tc>
          <w:tcPr>
            <w:tcW w:w="1455" w:type="dxa"/>
            <w:tcBorders>
              <w:top w:val="nil"/>
              <w:left w:val="nil"/>
              <w:bottom w:val="single" w:color="auto" w:sz="4" w:space="0"/>
              <w:right w:val="single" w:color="auto" w:sz="4" w:space="0"/>
              <w:tl2br w:val="nil"/>
              <w:tr2bl w:val="nil"/>
            </w:tcBorders>
            <w:noWrap w:val="0"/>
            <w:vAlign w:val="bottom"/>
          </w:tcPr>
          <w:p>
            <w:r>
              <w:t>从业人员X（人）</w:t>
            </w:r>
          </w:p>
        </w:tc>
        <w:tc>
          <w:tcPr>
            <w:tcW w:w="1681" w:type="dxa"/>
            <w:tcBorders>
              <w:top w:val="nil"/>
              <w:left w:val="nil"/>
              <w:bottom w:val="single" w:color="auto" w:sz="4" w:space="0"/>
              <w:right w:val="single" w:color="auto" w:sz="4" w:space="0"/>
              <w:tl2br w:val="nil"/>
              <w:tr2bl w:val="nil"/>
            </w:tcBorders>
            <w:noWrap w:val="0"/>
            <w:vAlign w:val="bottom"/>
          </w:tcPr>
          <w:p>
            <w:r>
              <w:t>营业收入Y</w:t>
              <w:br/>
              <w:t>（万元）</w:t>
            </w:r>
          </w:p>
        </w:tc>
        <w:tc>
          <w:tcPr>
            <w:tcW w:w="1586" w:type="dxa"/>
            <w:tcBorders>
              <w:top w:val="nil"/>
              <w:left w:val="nil"/>
              <w:bottom w:val="single" w:color="auto" w:sz="4" w:space="0"/>
              <w:right w:val="single" w:color="auto" w:sz="8" w:space="0"/>
              <w:tl2br w:val="nil"/>
              <w:tr2bl w:val="nil"/>
            </w:tcBorders>
            <w:noWrap w:val="0"/>
            <w:vAlign w:val="bottom"/>
          </w:tcPr>
          <w:p>
            <w:r>
              <w:t>资产总额Z</w:t>
              <w:br/>
              <w:t>（万元）</w:t>
            </w:r>
          </w:p>
        </w:tc>
        <w:tc>
          <w:tcPr>
            <w:tcW w:w="1183" w:type="dxa"/>
            <w:tcBorders>
              <w:top w:val="nil"/>
              <w:left w:val="nil"/>
              <w:bottom w:val="single" w:color="auto" w:sz="4" w:space="0"/>
              <w:right w:val="single" w:color="auto" w:sz="4" w:space="0"/>
              <w:tl2br w:val="nil"/>
              <w:tr2bl w:val="nil"/>
            </w:tcBorders>
            <w:noWrap w:val="0"/>
            <w:vAlign w:val="bottom"/>
          </w:tcPr>
          <w:p>
            <w:r>
              <w:t>从业人员X（人）</w:t>
            </w:r>
          </w:p>
        </w:tc>
        <w:tc>
          <w:tcPr>
            <w:tcW w:w="1412" w:type="dxa"/>
            <w:tcBorders>
              <w:top w:val="nil"/>
              <w:left w:val="nil"/>
              <w:bottom w:val="single" w:color="auto" w:sz="4" w:space="0"/>
              <w:right w:val="single" w:color="auto" w:sz="4" w:space="0"/>
              <w:tl2br w:val="nil"/>
              <w:tr2bl w:val="nil"/>
            </w:tcBorders>
            <w:noWrap w:val="0"/>
            <w:vAlign w:val="bottom"/>
          </w:tcPr>
          <w:p>
            <w:r>
              <w:t>营业收入Y</w:t>
              <w:br/>
              <w:t>（万元）</w:t>
            </w:r>
          </w:p>
        </w:tc>
        <w:tc>
          <w:tcPr>
            <w:tcW w:w="1452" w:type="dxa"/>
            <w:tcBorders>
              <w:top w:val="nil"/>
              <w:left w:val="nil"/>
              <w:bottom w:val="single" w:color="auto" w:sz="4" w:space="0"/>
              <w:right w:val="single" w:color="auto" w:sz="8" w:space="0"/>
              <w:tl2br w:val="nil"/>
              <w:tr2bl w:val="nil"/>
            </w:tcBorders>
            <w:noWrap w:val="0"/>
            <w:vAlign w:val="bottom"/>
          </w:tcPr>
          <w:p>
            <w:r>
              <w:t>资产总额Z</w:t>
              <w:br/>
              <w:t>（万元）</w:t>
            </w:r>
          </w:p>
        </w:tc>
        <w:tc>
          <w:tcPr>
            <w:tcW w:w="1226" w:type="dxa"/>
            <w:tcBorders>
              <w:top w:val="nil"/>
              <w:left w:val="nil"/>
              <w:bottom w:val="single" w:color="auto" w:sz="4" w:space="0"/>
              <w:right w:val="single" w:color="auto" w:sz="4" w:space="0"/>
              <w:tl2br w:val="nil"/>
              <w:tr2bl w:val="nil"/>
            </w:tcBorders>
            <w:noWrap w:val="0"/>
            <w:vAlign w:val="bottom"/>
          </w:tcPr>
          <w:p>
            <w:r>
              <w:t>从业人员X（人）</w:t>
            </w:r>
          </w:p>
        </w:tc>
        <w:tc>
          <w:tcPr>
            <w:tcW w:w="1216" w:type="dxa"/>
            <w:tcBorders>
              <w:top w:val="nil"/>
              <w:left w:val="nil"/>
              <w:bottom w:val="single" w:color="auto" w:sz="4" w:space="0"/>
              <w:right w:val="single" w:color="auto" w:sz="4" w:space="0"/>
              <w:tl2br w:val="nil"/>
              <w:tr2bl w:val="nil"/>
            </w:tcBorders>
            <w:noWrap w:val="0"/>
            <w:vAlign w:val="bottom"/>
          </w:tcPr>
          <w:p>
            <w:r>
              <w:t>营业收入Y（万元）</w:t>
            </w:r>
          </w:p>
        </w:tc>
        <w:tc>
          <w:tcPr>
            <w:tcW w:w="1170" w:type="dxa"/>
            <w:tcBorders>
              <w:top w:val="nil"/>
              <w:left w:val="nil"/>
              <w:bottom w:val="single" w:color="auto" w:sz="4" w:space="0"/>
              <w:right w:val="single" w:color="auto" w:sz="8" w:space="0"/>
              <w:tl2br w:val="nil"/>
              <w:tr2bl w:val="nil"/>
            </w:tcBorders>
            <w:noWrap w:val="0"/>
            <w:vAlign w:val="bottom"/>
          </w:tcPr>
          <w:p>
            <w: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1、农林牧渔业</w:t>
            </w:r>
          </w:p>
        </w:tc>
        <w:tc>
          <w:tcPr>
            <w:tcW w:w="1455"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681" w:type="dxa"/>
            <w:tcBorders>
              <w:top w:val="nil"/>
              <w:left w:val="nil"/>
              <w:bottom w:val="single" w:color="auto" w:sz="4" w:space="0"/>
              <w:right w:val="single" w:color="auto" w:sz="4" w:space="0"/>
              <w:tl2br w:val="nil"/>
              <w:tr2bl w:val="nil"/>
            </w:tcBorders>
            <w:noWrap w:val="0"/>
            <w:vAlign w:val="bottom"/>
          </w:tcPr>
          <w:p>
            <w:r>
              <w:t xml:space="preserve"> 500≤Y＜20000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412" w:type="dxa"/>
            <w:tcBorders>
              <w:top w:val="nil"/>
              <w:left w:val="nil"/>
              <w:bottom w:val="single" w:color="auto" w:sz="4" w:space="0"/>
              <w:right w:val="single" w:color="auto" w:sz="4" w:space="0"/>
              <w:tl2br w:val="nil"/>
              <w:tr2bl w:val="nil"/>
            </w:tcBorders>
            <w:noWrap w:val="0"/>
            <w:vAlign w:val="bottom"/>
          </w:tcPr>
          <w:p>
            <w:r>
              <w:t xml:space="preserve"> 50≤Y＜500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16" w:type="dxa"/>
            <w:tcBorders>
              <w:top w:val="nil"/>
              <w:left w:val="nil"/>
              <w:bottom w:val="single" w:color="auto" w:sz="4" w:space="0"/>
              <w:right w:val="single" w:color="auto" w:sz="4" w:space="0"/>
              <w:tl2br w:val="nil"/>
              <w:tr2bl w:val="nil"/>
            </w:tcBorders>
            <w:noWrap w:val="0"/>
            <w:vAlign w:val="bottom"/>
          </w:tcPr>
          <w:p>
            <w:r>
              <w:t>Y＜50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2、工业</w:t>
            </w:r>
          </w:p>
        </w:tc>
        <w:tc>
          <w:tcPr>
            <w:tcW w:w="1455" w:type="dxa"/>
            <w:tcBorders>
              <w:top w:val="nil"/>
              <w:left w:val="nil"/>
              <w:bottom w:val="single" w:color="auto" w:sz="4" w:space="0"/>
              <w:right w:val="single" w:color="auto" w:sz="4" w:space="0"/>
              <w:tl2br w:val="nil"/>
              <w:tr2bl w:val="nil"/>
            </w:tcBorders>
            <w:noWrap w:val="0"/>
            <w:vAlign w:val="bottom"/>
          </w:tcPr>
          <w:p>
            <w:r>
              <w:t>300≤X＜1000</w:t>
            </w:r>
          </w:p>
        </w:tc>
        <w:tc>
          <w:tcPr>
            <w:tcW w:w="1681" w:type="dxa"/>
            <w:tcBorders>
              <w:top w:val="nil"/>
              <w:left w:val="nil"/>
              <w:bottom w:val="single" w:color="auto" w:sz="4" w:space="0"/>
              <w:right w:val="single" w:color="auto" w:sz="4" w:space="0"/>
              <w:tl2br w:val="nil"/>
              <w:tr2bl w:val="nil"/>
            </w:tcBorders>
            <w:noWrap w:val="0"/>
            <w:vAlign w:val="bottom"/>
          </w:tcPr>
          <w:p>
            <w:r>
              <w:t>2000≤Y＜40000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20≤X＜300</w:t>
            </w:r>
          </w:p>
        </w:tc>
        <w:tc>
          <w:tcPr>
            <w:tcW w:w="1412" w:type="dxa"/>
            <w:tcBorders>
              <w:top w:val="nil"/>
              <w:left w:val="nil"/>
              <w:bottom w:val="single" w:color="auto" w:sz="4" w:space="0"/>
              <w:right w:val="single" w:color="auto" w:sz="4" w:space="0"/>
              <w:tl2br w:val="nil"/>
              <w:tr2bl w:val="nil"/>
            </w:tcBorders>
            <w:noWrap w:val="0"/>
            <w:vAlign w:val="bottom"/>
          </w:tcPr>
          <w:p>
            <w:r>
              <w:t>300≤Y＜2000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X＜20</w:t>
            </w:r>
          </w:p>
        </w:tc>
        <w:tc>
          <w:tcPr>
            <w:tcW w:w="1216" w:type="dxa"/>
            <w:tcBorders>
              <w:top w:val="nil"/>
              <w:left w:val="nil"/>
              <w:bottom w:val="single" w:color="auto" w:sz="4" w:space="0"/>
              <w:right w:val="single" w:color="auto" w:sz="4" w:space="0"/>
              <w:tl2br w:val="nil"/>
              <w:tr2bl w:val="nil"/>
            </w:tcBorders>
            <w:noWrap w:val="0"/>
            <w:vAlign w:val="bottom"/>
          </w:tcPr>
          <w:p>
            <w:r>
              <w:t>Y＜300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b/>
                <w:color w:val="auto"/>
                <w:kern w:val="0"/>
                <w:sz w:val="18"/>
                <w:szCs w:val="18"/>
                <w:highlight w:val="none"/>
              </w:rPr>
            </w:pPr>
            <w:r>
              <w:rPr>
                <w:rFonts w:hint="default" w:ascii="宋体" w:hAnsi="宋体" w:cs="宋体"/>
                <w:b/>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3、建筑业</w:t>
            </w:r>
          </w:p>
        </w:tc>
        <w:tc>
          <w:tcPr>
            <w:tcW w:w="1455"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681" w:type="dxa"/>
            <w:tcBorders>
              <w:top w:val="nil"/>
              <w:left w:val="nil"/>
              <w:bottom w:val="single" w:color="auto" w:sz="4" w:space="0"/>
              <w:right w:val="single" w:color="auto" w:sz="4" w:space="0"/>
              <w:tl2br w:val="nil"/>
              <w:tr2bl w:val="nil"/>
            </w:tcBorders>
            <w:noWrap w:val="0"/>
            <w:vAlign w:val="bottom"/>
          </w:tcPr>
          <w:p>
            <w:r>
              <w:t>6000≤Y＜80000</w:t>
            </w:r>
          </w:p>
        </w:tc>
        <w:tc>
          <w:tcPr>
            <w:tcW w:w="1586" w:type="dxa"/>
            <w:tcBorders>
              <w:top w:val="nil"/>
              <w:left w:val="nil"/>
              <w:bottom w:val="single" w:color="auto" w:sz="4" w:space="0"/>
              <w:right w:val="single" w:color="auto" w:sz="8" w:space="0"/>
              <w:tl2br w:val="nil"/>
              <w:tr2bl w:val="nil"/>
            </w:tcBorders>
            <w:noWrap w:val="0"/>
            <w:vAlign w:val="bottom"/>
          </w:tcPr>
          <w:p>
            <w:r>
              <w:t>5000≤Z＜80000</w:t>
            </w:r>
          </w:p>
        </w:tc>
        <w:tc>
          <w:tcPr>
            <w:tcW w:w="1183"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412" w:type="dxa"/>
            <w:tcBorders>
              <w:top w:val="nil"/>
              <w:left w:val="nil"/>
              <w:bottom w:val="single" w:color="auto" w:sz="4" w:space="0"/>
              <w:right w:val="single" w:color="auto" w:sz="4" w:space="0"/>
              <w:tl2br w:val="nil"/>
              <w:tr2bl w:val="nil"/>
            </w:tcBorders>
            <w:noWrap w:val="0"/>
            <w:vAlign w:val="bottom"/>
          </w:tcPr>
          <w:p>
            <w:r>
              <w:t>300≤Y＜6000</w:t>
            </w:r>
          </w:p>
        </w:tc>
        <w:tc>
          <w:tcPr>
            <w:tcW w:w="1452" w:type="dxa"/>
            <w:tcBorders>
              <w:top w:val="nil"/>
              <w:left w:val="nil"/>
              <w:bottom w:val="single" w:color="auto" w:sz="4" w:space="0"/>
              <w:right w:val="single" w:color="auto" w:sz="8" w:space="0"/>
              <w:tl2br w:val="nil"/>
              <w:tr2bl w:val="nil"/>
            </w:tcBorders>
            <w:noWrap w:val="0"/>
            <w:vAlign w:val="bottom"/>
          </w:tcPr>
          <w:p>
            <w:r>
              <w:t xml:space="preserve"> 300≤Z＜5000</w:t>
            </w:r>
          </w:p>
        </w:tc>
        <w:tc>
          <w:tcPr>
            <w:tcW w:w="1226"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16" w:type="dxa"/>
            <w:tcBorders>
              <w:top w:val="nil"/>
              <w:left w:val="nil"/>
              <w:bottom w:val="single" w:color="auto" w:sz="4" w:space="0"/>
              <w:right w:val="single" w:color="auto" w:sz="4" w:space="0"/>
              <w:tl2br w:val="nil"/>
              <w:tr2bl w:val="nil"/>
            </w:tcBorders>
            <w:noWrap w:val="0"/>
            <w:vAlign w:val="bottom"/>
          </w:tcPr>
          <w:p>
            <w:r>
              <w:t>Y＜300</w:t>
            </w:r>
          </w:p>
        </w:tc>
        <w:tc>
          <w:tcPr>
            <w:tcW w:w="1170" w:type="dxa"/>
            <w:tcBorders>
              <w:top w:val="nil"/>
              <w:left w:val="nil"/>
              <w:bottom w:val="single" w:color="auto" w:sz="4" w:space="0"/>
              <w:right w:val="single" w:color="auto" w:sz="8" w:space="0"/>
              <w:tl2br w:val="nil"/>
              <w:tr2bl w:val="nil"/>
            </w:tcBorders>
            <w:noWrap w:val="0"/>
            <w:vAlign w:val="bottom"/>
          </w:tcPr>
          <w:p>
            <w: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4、批发业</w:t>
            </w:r>
          </w:p>
        </w:tc>
        <w:tc>
          <w:tcPr>
            <w:tcW w:w="1455" w:type="dxa"/>
            <w:tcBorders>
              <w:top w:val="nil"/>
              <w:left w:val="nil"/>
              <w:bottom w:val="single" w:color="auto" w:sz="4" w:space="0"/>
              <w:right w:val="single" w:color="auto" w:sz="4" w:space="0"/>
              <w:tl2br w:val="nil"/>
              <w:tr2bl w:val="nil"/>
            </w:tcBorders>
            <w:noWrap w:val="0"/>
            <w:vAlign w:val="bottom"/>
          </w:tcPr>
          <w:p>
            <w:r>
              <w:t xml:space="preserve"> 20≤X＜200</w:t>
            </w:r>
          </w:p>
        </w:tc>
        <w:tc>
          <w:tcPr>
            <w:tcW w:w="1681" w:type="dxa"/>
            <w:tcBorders>
              <w:top w:val="nil"/>
              <w:left w:val="nil"/>
              <w:bottom w:val="single" w:color="auto" w:sz="4" w:space="0"/>
              <w:right w:val="single" w:color="auto" w:sz="4" w:space="0"/>
              <w:tl2br w:val="nil"/>
              <w:tr2bl w:val="nil"/>
            </w:tcBorders>
            <w:noWrap w:val="0"/>
            <w:vAlign w:val="bottom"/>
          </w:tcPr>
          <w:p>
            <w:r>
              <w:t>5000≤Y＜40000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 xml:space="preserve"> 5≤X＜20</w:t>
            </w:r>
          </w:p>
        </w:tc>
        <w:tc>
          <w:tcPr>
            <w:tcW w:w="1412" w:type="dxa"/>
            <w:tcBorders>
              <w:top w:val="nil"/>
              <w:left w:val="nil"/>
              <w:bottom w:val="single" w:color="auto" w:sz="4" w:space="0"/>
              <w:right w:val="single" w:color="auto" w:sz="4" w:space="0"/>
              <w:tl2br w:val="nil"/>
              <w:tr2bl w:val="nil"/>
            </w:tcBorders>
            <w:noWrap w:val="0"/>
            <w:vAlign w:val="bottom"/>
          </w:tcPr>
          <w:p>
            <w:r>
              <w:t>1000≤Y＜5000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X＜5</w:t>
            </w:r>
          </w:p>
        </w:tc>
        <w:tc>
          <w:tcPr>
            <w:tcW w:w="1216" w:type="dxa"/>
            <w:tcBorders>
              <w:top w:val="nil"/>
              <w:left w:val="nil"/>
              <w:bottom w:val="single" w:color="auto" w:sz="4" w:space="0"/>
              <w:right w:val="single" w:color="auto" w:sz="4" w:space="0"/>
              <w:tl2br w:val="nil"/>
              <w:tr2bl w:val="nil"/>
            </w:tcBorders>
            <w:noWrap w:val="0"/>
            <w:vAlign w:val="bottom"/>
          </w:tcPr>
          <w:p>
            <w:r>
              <w:t>Y＜1000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5、零售业</w:t>
            </w:r>
          </w:p>
        </w:tc>
        <w:tc>
          <w:tcPr>
            <w:tcW w:w="1455" w:type="dxa"/>
            <w:tcBorders>
              <w:top w:val="nil"/>
              <w:left w:val="nil"/>
              <w:bottom w:val="single" w:color="auto" w:sz="4" w:space="0"/>
              <w:right w:val="single" w:color="auto" w:sz="4" w:space="0"/>
              <w:tl2br w:val="nil"/>
              <w:tr2bl w:val="nil"/>
            </w:tcBorders>
            <w:noWrap w:val="0"/>
            <w:vAlign w:val="bottom"/>
          </w:tcPr>
          <w:p>
            <w:r>
              <w:t xml:space="preserve"> 50≤X＜300</w:t>
            </w:r>
          </w:p>
        </w:tc>
        <w:tc>
          <w:tcPr>
            <w:tcW w:w="1681" w:type="dxa"/>
            <w:tcBorders>
              <w:top w:val="nil"/>
              <w:left w:val="nil"/>
              <w:bottom w:val="single" w:color="auto" w:sz="4" w:space="0"/>
              <w:right w:val="single" w:color="auto" w:sz="4" w:space="0"/>
              <w:tl2br w:val="nil"/>
              <w:tr2bl w:val="nil"/>
            </w:tcBorders>
            <w:noWrap w:val="0"/>
            <w:vAlign w:val="bottom"/>
          </w:tcPr>
          <w:p>
            <w:r>
              <w:t xml:space="preserve"> 500≤Y＜20000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10≤X＜50</w:t>
            </w:r>
          </w:p>
        </w:tc>
        <w:tc>
          <w:tcPr>
            <w:tcW w:w="1412" w:type="dxa"/>
            <w:tcBorders>
              <w:top w:val="nil"/>
              <w:left w:val="nil"/>
              <w:bottom w:val="single" w:color="auto" w:sz="4" w:space="0"/>
              <w:right w:val="single" w:color="auto" w:sz="4" w:space="0"/>
              <w:tl2br w:val="nil"/>
              <w:tr2bl w:val="nil"/>
            </w:tcBorders>
            <w:noWrap w:val="0"/>
            <w:vAlign w:val="bottom"/>
          </w:tcPr>
          <w:p>
            <w:r>
              <w:t>100≤Y＜500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X＜10</w:t>
            </w:r>
          </w:p>
        </w:tc>
        <w:tc>
          <w:tcPr>
            <w:tcW w:w="1216" w:type="dxa"/>
            <w:tcBorders>
              <w:top w:val="nil"/>
              <w:left w:val="nil"/>
              <w:bottom w:val="single" w:color="auto" w:sz="4" w:space="0"/>
              <w:right w:val="single" w:color="auto" w:sz="4" w:space="0"/>
              <w:tl2br w:val="nil"/>
              <w:tr2bl w:val="nil"/>
            </w:tcBorders>
            <w:noWrap w:val="0"/>
            <w:vAlign w:val="bottom"/>
          </w:tcPr>
          <w:p>
            <w:r>
              <w:t>Y＜100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6、交通运输业</w:t>
            </w:r>
          </w:p>
        </w:tc>
        <w:tc>
          <w:tcPr>
            <w:tcW w:w="1455" w:type="dxa"/>
            <w:tcBorders>
              <w:top w:val="nil"/>
              <w:left w:val="nil"/>
              <w:bottom w:val="single" w:color="auto" w:sz="4" w:space="0"/>
              <w:right w:val="single" w:color="auto" w:sz="4" w:space="0"/>
              <w:tl2br w:val="nil"/>
              <w:tr2bl w:val="nil"/>
            </w:tcBorders>
            <w:noWrap w:val="0"/>
            <w:vAlign w:val="bottom"/>
          </w:tcPr>
          <w:p>
            <w:r>
              <w:t>300≤X＜1000</w:t>
            </w:r>
          </w:p>
        </w:tc>
        <w:tc>
          <w:tcPr>
            <w:tcW w:w="1681" w:type="dxa"/>
            <w:tcBorders>
              <w:top w:val="nil"/>
              <w:left w:val="nil"/>
              <w:bottom w:val="single" w:color="auto" w:sz="4" w:space="0"/>
              <w:right w:val="single" w:color="auto" w:sz="4" w:space="0"/>
              <w:tl2br w:val="nil"/>
              <w:tr2bl w:val="nil"/>
            </w:tcBorders>
            <w:noWrap w:val="0"/>
            <w:vAlign w:val="bottom"/>
          </w:tcPr>
          <w:p>
            <w:r>
              <w:t>3000≤Y＜30000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20≤X＜300</w:t>
            </w:r>
          </w:p>
        </w:tc>
        <w:tc>
          <w:tcPr>
            <w:tcW w:w="1412" w:type="dxa"/>
            <w:tcBorders>
              <w:top w:val="nil"/>
              <w:left w:val="nil"/>
              <w:bottom w:val="single" w:color="auto" w:sz="4" w:space="0"/>
              <w:right w:val="single" w:color="auto" w:sz="4" w:space="0"/>
              <w:tl2br w:val="nil"/>
              <w:tr2bl w:val="nil"/>
            </w:tcBorders>
            <w:noWrap w:val="0"/>
            <w:vAlign w:val="bottom"/>
          </w:tcPr>
          <w:p>
            <w:r>
              <w:t>200≤Y＜3000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X＜20</w:t>
            </w:r>
          </w:p>
        </w:tc>
        <w:tc>
          <w:tcPr>
            <w:tcW w:w="1216" w:type="dxa"/>
            <w:tcBorders>
              <w:top w:val="nil"/>
              <w:left w:val="nil"/>
              <w:bottom w:val="single" w:color="auto" w:sz="4" w:space="0"/>
              <w:right w:val="single" w:color="auto" w:sz="4" w:space="0"/>
              <w:tl2br w:val="nil"/>
              <w:tr2bl w:val="nil"/>
            </w:tcBorders>
            <w:noWrap w:val="0"/>
            <w:vAlign w:val="bottom"/>
          </w:tcPr>
          <w:p>
            <w:r>
              <w:t>V＜200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7、仓储业</w:t>
            </w:r>
          </w:p>
        </w:tc>
        <w:tc>
          <w:tcPr>
            <w:tcW w:w="1455" w:type="dxa"/>
            <w:tcBorders>
              <w:top w:val="nil"/>
              <w:left w:val="nil"/>
              <w:bottom w:val="single" w:color="auto" w:sz="4" w:space="0"/>
              <w:right w:val="single" w:color="auto" w:sz="4" w:space="0"/>
              <w:tl2br w:val="nil"/>
              <w:tr2bl w:val="nil"/>
            </w:tcBorders>
            <w:noWrap w:val="0"/>
            <w:vAlign w:val="bottom"/>
          </w:tcPr>
          <w:p>
            <w:r>
              <w:t>100≤X＜200</w:t>
            </w:r>
          </w:p>
        </w:tc>
        <w:tc>
          <w:tcPr>
            <w:tcW w:w="1681" w:type="dxa"/>
            <w:tcBorders>
              <w:top w:val="nil"/>
              <w:left w:val="nil"/>
              <w:bottom w:val="single" w:color="auto" w:sz="4" w:space="0"/>
              <w:right w:val="single" w:color="auto" w:sz="4" w:space="0"/>
              <w:tl2br w:val="nil"/>
              <w:tr2bl w:val="nil"/>
            </w:tcBorders>
            <w:noWrap w:val="0"/>
            <w:vAlign w:val="bottom"/>
          </w:tcPr>
          <w:p>
            <w:r>
              <w:t>1000≤Y＜30000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20≤X＜100</w:t>
            </w:r>
          </w:p>
        </w:tc>
        <w:tc>
          <w:tcPr>
            <w:tcW w:w="1412" w:type="dxa"/>
            <w:tcBorders>
              <w:top w:val="nil"/>
              <w:left w:val="nil"/>
              <w:bottom w:val="single" w:color="auto" w:sz="4" w:space="0"/>
              <w:right w:val="single" w:color="auto" w:sz="4" w:space="0"/>
              <w:tl2br w:val="nil"/>
              <w:tr2bl w:val="nil"/>
            </w:tcBorders>
            <w:noWrap w:val="0"/>
            <w:vAlign w:val="bottom"/>
          </w:tcPr>
          <w:p>
            <w:r>
              <w:t>100≤Y＜1000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X＜20</w:t>
            </w:r>
          </w:p>
        </w:tc>
        <w:tc>
          <w:tcPr>
            <w:tcW w:w="1216" w:type="dxa"/>
            <w:tcBorders>
              <w:top w:val="nil"/>
              <w:left w:val="nil"/>
              <w:bottom w:val="single" w:color="auto" w:sz="4" w:space="0"/>
              <w:right w:val="single" w:color="auto" w:sz="4" w:space="0"/>
              <w:tl2br w:val="nil"/>
              <w:tr2bl w:val="nil"/>
            </w:tcBorders>
            <w:noWrap w:val="0"/>
            <w:vAlign w:val="bottom"/>
          </w:tcPr>
          <w:p>
            <w:r>
              <w:t>Y＜100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8、邮政业</w:t>
            </w:r>
          </w:p>
        </w:tc>
        <w:tc>
          <w:tcPr>
            <w:tcW w:w="1455" w:type="dxa"/>
            <w:tcBorders>
              <w:top w:val="nil"/>
              <w:left w:val="nil"/>
              <w:bottom w:val="single" w:color="auto" w:sz="4" w:space="0"/>
              <w:right w:val="single" w:color="auto" w:sz="4" w:space="0"/>
              <w:tl2br w:val="nil"/>
              <w:tr2bl w:val="nil"/>
            </w:tcBorders>
            <w:noWrap w:val="0"/>
            <w:vAlign w:val="bottom"/>
          </w:tcPr>
          <w:p>
            <w:r>
              <w:t>300≤X＜1000</w:t>
            </w:r>
          </w:p>
        </w:tc>
        <w:tc>
          <w:tcPr>
            <w:tcW w:w="1681" w:type="dxa"/>
            <w:tcBorders>
              <w:top w:val="nil"/>
              <w:left w:val="nil"/>
              <w:bottom w:val="single" w:color="auto" w:sz="4" w:space="0"/>
              <w:right w:val="single" w:color="auto" w:sz="4" w:space="0"/>
              <w:tl2br w:val="nil"/>
              <w:tr2bl w:val="nil"/>
            </w:tcBorders>
            <w:noWrap w:val="0"/>
            <w:vAlign w:val="bottom"/>
          </w:tcPr>
          <w:p>
            <w:r>
              <w:t>2000≤Y＜30000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20≤X＜300</w:t>
            </w:r>
          </w:p>
        </w:tc>
        <w:tc>
          <w:tcPr>
            <w:tcW w:w="1412" w:type="dxa"/>
            <w:tcBorders>
              <w:top w:val="nil"/>
              <w:left w:val="nil"/>
              <w:bottom w:val="single" w:color="auto" w:sz="4" w:space="0"/>
              <w:right w:val="single" w:color="auto" w:sz="4" w:space="0"/>
              <w:tl2br w:val="nil"/>
              <w:tr2bl w:val="nil"/>
            </w:tcBorders>
            <w:noWrap w:val="0"/>
            <w:vAlign w:val="bottom"/>
          </w:tcPr>
          <w:p>
            <w:r>
              <w:t>100≤Y＜2000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X＜20</w:t>
            </w:r>
          </w:p>
        </w:tc>
        <w:tc>
          <w:tcPr>
            <w:tcW w:w="1216" w:type="dxa"/>
            <w:tcBorders>
              <w:top w:val="nil"/>
              <w:left w:val="nil"/>
              <w:bottom w:val="single" w:color="auto" w:sz="4" w:space="0"/>
              <w:right w:val="single" w:color="auto" w:sz="4" w:space="0"/>
              <w:tl2br w:val="nil"/>
              <w:tr2bl w:val="nil"/>
            </w:tcBorders>
            <w:noWrap w:val="0"/>
            <w:vAlign w:val="bottom"/>
          </w:tcPr>
          <w:p>
            <w:r>
              <w:t>Y＜100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 xml:space="preserve"> 9、住宿业</w:t>
            </w:r>
          </w:p>
        </w:tc>
        <w:tc>
          <w:tcPr>
            <w:tcW w:w="1455" w:type="dxa"/>
            <w:tcBorders>
              <w:top w:val="nil"/>
              <w:left w:val="nil"/>
              <w:bottom w:val="single" w:color="auto" w:sz="4" w:space="0"/>
              <w:right w:val="single" w:color="auto" w:sz="4" w:space="0"/>
              <w:tl2br w:val="nil"/>
              <w:tr2bl w:val="nil"/>
            </w:tcBorders>
            <w:noWrap w:val="0"/>
            <w:vAlign w:val="bottom"/>
          </w:tcPr>
          <w:p>
            <w:r>
              <w:t>100≤X＜300</w:t>
            </w:r>
          </w:p>
        </w:tc>
        <w:tc>
          <w:tcPr>
            <w:tcW w:w="1681" w:type="dxa"/>
            <w:tcBorders>
              <w:top w:val="nil"/>
              <w:left w:val="nil"/>
              <w:bottom w:val="single" w:color="auto" w:sz="4" w:space="0"/>
              <w:right w:val="single" w:color="auto" w:sz="4" w:space="0"/>
              <w:tl2br w:val="nil"/>
              <w:tr2bl w:val="nil"/>
            </w:tcBorders>
            <w:noWrap w:val="0"/>
            <w:vAlign w:val="bottom"/>
          </w:tcPr>
          <w:p>
            <w:r>
              <w:t>2000≤Y＜10000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10≤X＜100</w:t>
            </w:r>
          </w:p>
        </w:tc>
        <w:tc>
          <w:tcPr>
            <w:tcW w:w="1412" w:type="dxa"/>
            <w:tcBorders>
              <w:top w:val="nil"/>
              <w:left w:val="nil"/>
              <w:bottom w:val="single" w:color="auto" w:sz="4" w:space="0"/>
              <w:right w:val="single" w:color="auto" w:sz="4" w:space="0"/>
              <w:tl2br w:val="nil"/>
              <w:tr2bl w:val="nil"/>
            </w:tcBorders>
            <w:noWrap w:val="0"/>
            <w:vAlign w:val="bottom"/>
          </w:tcPr>
          <w:p>
            <w:r>
              <w:t>100≤Y＜2000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X＜10</w:t>
            </w:r>
          </w:p>
        </w:tc>
        <w:tc>
          <w:tcPr>
            <w:tcW w:w="1216" w:type="dxa"/>
            <w:tcBorders>
              <w:top w:val="nil"/>
              <w:left w:val="nil"/>
              <w:bottom w:val="single" w:color="auto" w:sz="4" w:space="0"/>
              <w:right w:val="single" w:color="auto" w:sz="4" w:space="0"/>
              <w:tl2br w:val="nil"/>
              <w:tr2bl w:val="nil"/>
            </w:tcBorders>
            <w:noWrap w:val="0"/>
            <w:vAlign w:val="bottom"/>
          </w:tcPr>
          <w:p>
            <w:r>
              <w:t>Y＜100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10、餐饮业</w:t>
            </w:r>
          </w:p>
        </w:tc>
        <w:tc>
          <w:tcPr>
            <w:tcW w:w="1455" w:type="dxa"/>
            <w:tcBorders>
              <w:top w:val="nil"/>
              <w:left w:val="nil"/>
              <w:bottom w:val="single" w:color="auto" w:sz="4" w:space="0"/>
              <w:right w:val="single" w:color="auto" w:sz="4" w:space="0"/>
              <w:tl2br w:val="nil"/>
              <w:tr2bl w:val="nil"/>
            </w:tcBorders>
            <w:noWrap w:val="0"/>
            <w:vAlign w:val="bottom"/>
          </w:tcPr>
          <w:p>
            <w:r>
              <w:t>100≤X＜300</w:t>
            </w:r>
          </w:p>
        </w:tc>
        <w:tc>
          <w:tcPr>
            <w:tcW w:w="1681" w:type="dxa"/>
            <w:tcBorders>
              <w:top w:val="nil"/>
              <w:left w:val="nil"/>
              <w:bottom w:val="single" w:color="auto" w:sz="4" w:space="0"/>
              <w:right w:val="single" w:color="auto" w:sz="4" w:space="0"/>
              <w:tl2br w:val="nil"/>
              <w:tr2bl w:val="nil"/>
            </w:tcBorders>
            <w:noWrap w:val="0"/>
            <w:vAlign w:val="bottom"/>
          </w:tcPr>
          <w:p>
            <w:r>
              <w:t>2000≤Y＜10000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10≤X＜100</w:t>
            </w:r>
          </w:p>
        </w:tc>
        <w:tc>
          <w:tcPr>
            <w:tcW w:w="1412" w:type="dxa"/>
            <w:tcBorders>
              <w:top w:val="nil"/>
              <w:left w:val="nil"/>
              <w:bottom w:val="single" w:color="auto" w:sz="4" w:space="0"/>
              <w:right w:val="single" w:color="auto" w:sz="4" w:space="0"/>
              <w:tl2br w:val="nil"/>
              <w:tr2bl w:val="nil"/>
            </w:tcBorders>
            <w:noWrap w:val="0"/>
            <w:vAlign w:val="bottom"/>
          </w:tcPr>
          <w:p>
            <w:r>
              <w:t>100≤Y＜2000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X＜10</w:t>
            </w:r>
          </w:p>
        </w:tc>
        <w:tc>
          <w:tcPr>
            <w:tcW w:w="1216" w:type="dxa"/>
            <w:tcBorders>
              <w:top w:val="nil"/>
              <w:left w:val="nil"/>
              <w:bottom w:val="single" w:color="auto" w:sz="4" w:space="0"/>
              <w:right w:val="single" w:color="auto" w:sz="4" w:space="0"/>
              <w:tl2br w:val="nil"/>
              <w:tr2bl w:val="nil"/>
            </w:tcBorders>
            <w:noWrap w:val="0"/>
            <w:vAlign w:val="bottom"/>
          </w:tcPr>
          <w:p>
            <w:r>
              <w:t>V＜100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11、信息传输业</w:t>
            </w:r>
          </w:p>
        </w:tc>
        <w:tc>
          <w:tcPr>
            <w:tcW w:w="1455" w:type="dxa"/>
            <w:tcBorders>
              <w:top w:val="nil"/>
              <w:left w:val="nil"/>
              <w:bottom w:val="single" w:color="auto" w:sz="4" w:space="0"/>
              <w:right w:val="single" w:color="auto" w:sz="4" w:space="0"/>
              <w:tl2br w:val="nil"/>
              <w:tr2bl w:val="nil"/>
            </w:tcBorders>
            <w:noWrap w:val="0"/>
            <w:vAlign w:val="bottom"/>
          </w:tcPr>
          <w:p>
            <w:r>
              <w:t>100≤X＜2000</w:t>
            </w:r>
          </w:p>
        </w:tc>
        <w:tc>
          <w:tcPr>
            <w:tcW w:w="1681" w:type="dxa"/>
            <w:tcBorders>
              <w:top w:val="nil"/>
              <w:left w:val="nil"/>
              <w:bottom w:val="single" w:color="auto" w:sz="4" w:space="0"/>
              <w:right w:val="single" w:color="auto" w:sz="4" w:space="0"/>
              <w:tl2br w:val="nil"/>
              <w:tr2bl w:val="nil"/>
            </w:tcBorders>
            <w:noWrap w:val="0"/>
            <w:vAlign w:val="bottom"/>
          </w:tcPr>
          <w:p>
            <w:r>
              <w:t>1000≤Y＜100000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10≤X＜100</w:t>
            </w:r>
          </w:p>
        </w:tc>
        <w:tc>
          <w:tcPr>
            <w:tcW w:w="1412" w:type="dxa"/>
            <w:tcBorders>
              <w:top w:val="nil"/>
              <w:left w:val="nil"/>
              <w:bottom w:val="single" w:color="auto" w:sz="4" w:space="0"/>
              <w:right w:val="single" w:color="auto" w:sz="4" w:space="0"/>
              <w:tl2br w:val="nil"/>
              <w:tr2bl w:val="nil"/>
            </w:tcBorders>
            <w:noWrap w:val="0"/>
            <w:vAlign w:val="bottom"/>
          </w:tcPr>
          <w:p>
            <w:r>
              <w:t>100≤Y＜1000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X＜10</w:t>
            </w:r>
          </w:p>
        </w:tc>
        <w:tc>
          <w:tcPr>
            <w:tcW w:w="1216" w:type="dxa"/>
            <w:tcBorders>
              <w:top w:val="nil"/>
              <w:left w:val="nil"/>
              <w:bottom w:val="single" w:color="auto" w:sz="4" w:space="0"/>
              <w:right w:val="single" w:color="auto" w:sz="4" w:space="0"/>
              <w:tl2br w:val="nil"/>
              <w:tr2bl w:val="nil"/>
            </w:tcBorders>
            <w:noWrap w:val="0"/>
            <w:vAlign w:val="bottom"/>
          </w:tcPr>
          <w:p>
            <w:r>
              <w:t>Y＜100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12、软件和信息技术服务业</w:t>
            </w:r>
          </w:p>
        </w:tc>
        <w:tc>
          <w:tcPr>
            <w:tcW w:w="1455" w:type="dxa"/>
            <w:tcBorders>
              <w:top w:val="nil"/>
              <w:left w:val="nil"/>
              <w:bottom w:val="single" w:color="auto" w:sz="4" w:space="0"/>
              <w:right w:val="single" w:color="auto" w:sz="4" w:space="0"/>
              <w:tl2br w:val="nil"/>
              <w:tr2bl w:val="nil"/>
            </w:tcBorders>
            <w:noWrap w:val="0"/>
            <w:vAlign w:val="bottom"/>
          </w:tcPr>
          <w:p>
            <w:r>
              <w:t>100≤X＜300</w:t>
            </w:r>
          </w:p>
        </w:tc>
        <w:tc>
          <w:tcPr>
            <w:tcW w:w="1681" w:type="dxa"/>
            <w:tcBorders>
              <w:top w:val="nil"/>
              <w:left w:val="nil"/>
              <w:bottom w:val="single" w:color="auto" w:sz="4" w:space="0"/>
              <w:right w:val="single" w:color="auto" w:sz="4" w:space="0"/>
              <w:tl2br w:val="nil"/>
              <w:tr2bl w:val="nil"/>
            </w:tcBorders>
            <w:noWrap w:val="0"/>
            <w:vAlign w:val="bottom"/>
          </w:tcPr>
          <w:p>
            <w:r>
              <w:t>1000≤Y＜10000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10≤X＜100</w:t>
            </w:r>
          </w:p>
        </w:tc>
        <w:tc>
          <w:tcPr>
            <w:tcW w:w="1412" w:type="dxa"/>
            <w:tcBorders>
              <w:top w:val="nil"/>
              <w:left w:val="nil"/>
              <w:bottom w:val="single" w:color="auto" w:sz="4" w:space="0"/>
              <w:right w:val="single" w:color="auto" w:sz="4" w:space="0"/>
              <w:tl2br w:val="nil"/>
              <w:tr2bl w:val="nil"/>
            </w:tcBorders>
            <w:noWrap w:val="0"/>
            <w:vAlign w:val="bottom"/>
          </w:tcPr>
          <w:p>
            <w:r>
              <w:t xml:space="preserve"> 50≤Y＜1000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X＜10</w:t>
            </w:r>
          </w:p>
        </w:tc>
        <w:tc>
          <w:tcPr>
            <w:tcW w:w="1216" w:type="dxa"/>
            <w:tcBorders>
              <w:top w:val="nil"/>
              <w:left w:val="nil"/>
              <w:bottom w:val="single" w:color="auto" w:sz="4" w:space="0"/>
              <w:right w:val="single" w:color="auto" w:sz="4" w:space="0"/>
              <w:tl2br w:val="nil"/>
              <w:tr2bl w:val="nil"/>
            </w:tcBorders>
            <w:noWrap w:val="0"/>
            <w:vAlign w:val="bottom"/>
          </w:tcPr>
          <w:p>
            <w:r>
              <w:t>Y＜50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13、房地产开发经营</w:t>
            </w:r>
          </w:p>
        </w:tc>
        <w:tc>
          <w:tcPr>
            <w:tcW w:w="1455"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681" w:type="dxa"/>
            <w:tcBorders>
              <w:top w:val="nil"/>
              <w:left w:val="nil"/>
              <w:bottom w:val="single" w:color="auto" w:sz="4" w:space="0"/>
              <w:right w:val="single" w:color="auto" w:sz="4" w:space="0"/>
              <w:tl2br w:val="nil"/>
              <w:tr2bl w:val="nil"/>
            </w:tcBorders>
            <w:noWrap w:val="0"/>
            <w:vAlign w:val="bottom"/>
          </w:tcPr>
          <w:p>
            <w:r>
              <w:t>1000≤Y＜200000</w:t>
            </w:r>
          </w:p>
        </w:tc>
        <w:tc>
          <w:tcPr>
            <w:tcW w:w="1586" w:type="dxa"/>
            <w:tcBorders>
              <w:top w:val="nil"/>
              <w:left w:val="nil"/>
              <w:bottom w:val="single" w:color="auto" w:sz="4" w:space="0"/>
              <w:right w:val="single" w:color="auto" w:sz="8" w:space="0"/>
              <w:tl2br w:val="nil"/>
              <w:tr2bl w:val="nil"/>
            </w:tcBorders>
            <w:noWrap w:val="0"/>
            <w:vAlign w:val="bottom"/>
          </w:tcPr>
          <w:p>
            <w:r>
              <w:t>5000≤Z＜10000</w:t>
            </w:r>
          </w:p>
        </w:tc>
        <w:tc>
          <w:tcPr>
            <w:tcW w:w="1183"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412" w:type="dxa"/>
            <w:tcBorders>
              <w:top w:val="nil"/>
              <w:left w:val="nil"/>
              <w:bottom w:val="single" w:color="auto" w:sz="4" w:space="0"/>
              <w:right w:val="single" w:color="auto" w:sz="4" w:space="0"/>
              <w:tl2br w:val="nil"/>
              <w:tr2bl w:val="nil"/>
            </w:tcBorders>
            <w:noWrap w:val="0"/>
            <w:vAlign w:val="bottom"/>
          </w:tcPr>
          <w:p>
            <w:r>
              <w:t>100≤Y＜1000</w:t>
            </w:r>
          </w:p>
        </w:tc>
        <w:tc>
          <w:tcPr>
            <w:tcW w:w="1452" w:type="dxa"/>
            <w:tcBorders>
              <w:top w:val="nil"/>
              <w:left w:val="nil"/>
              <w:bottom w:val="single" w:color="auto" w:sz="4" w:space="0"/>
              <w:right w:val="single" w:color="auto" w:sz="8" w:space="0"/>
              <w:tl2br w:val="nil"/>
              <w:tr2bl w:val="nil"/>
            </w:tcBorders>
            <w:noWrap w:val="0"/>
            <w:vAlign w:val="bottom"/>
          </w:tcPr>
          <w:p>
            <w:r>
              <w:t>2000≤Z＜5000</w:t>
            </w:r>
          </w:p>
        </w:tc>
        <w:tc>
          <w:tcPr>
            <w:tcW w:w="1226"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16" w:type="dxa"/>
            <w:tcBorders>
              <w:top w:val="nil"/>
              <w:left w:val="nil"/>
              <w:bottom w:val="single" w:color="auto" w:sz="4" w:space="0"/>
              <w:right w:val="single" w:color="auto" w:sz="4" w:space="0"/>
              <w:tl2br w:val="nil"/>
              <w:tr2bl w:val="nil"/>
            </w:tcBorders>
            <w:noWrap w:val="0"/>
            <w:vAlign w:val="bottom"/>
          </w:tcPr>
          <w:p>
            <w:r>
              <w:t>Y＜100</w:t>
            </w:r>
          </w:p>
        </w:tc>
        <w:tc>
          <w:tcPr>
            <w:tcW w:w="1170" w:type="dxa"/>
            <w:tcBorders>
              <w:top w:val="nil"/>
              <w:left w:val="nil"/>
              <w:bottom w:val="single" w:color="auto" w:sz="4" w:space="0"/>
              <w:right w:val="single" w:color="auto" w:sz="8" w:space="0"/>
              <w:tl2br w:val="nil"/>
              <w:tr2bl w:val="nil"/>
            </w:tcBorders>
            <w:noWrap w:val="0"/>
            <w:vAlign w:val="bottom"/>
          </w:tcPr>
          <w:p>
            <w: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14、物业管理</w:t>
            </w:r>
          </w:p>
        </w:tc>
        <w:tc>
          <w:tcPr>
            <w:tcW w:w="1455" w:type="dxa"/>
            <w:tcBorders>
              <w:top w:val="nil"/>
              <w:left w:val="nil"/>
              <w:bottom w:val="single" w:color="auto" w:sz="4" w:space="0"/>
              <w:right w:val="single" w:color="auto" w:sz="4" w:space="0"/>
              <w:tl2br w:val="nil"/>
              <w:tr2bl w:val="nil"/>
            </w:tcBorders>
            <w:noWrap w:val="0"/>
            <w:vAlign w:val="bottom"/>
          </w:tcPr>
          <w:p>
            <w:r>
              <w:t>300≤X＜1000</w:t>
            </w:r>
          </w:p>
        </w:tc>
        <w:tc>
          <w:tcPr>
            <w:tcW w:w="1681" w:type="dxa"/>
            <w:tcBorders>
              <w:top w:val="nil"/>
              <w:left w:val="nil"/>
              <w:bottom w:val="single" w:color="auto" w:sz="4" w:space="0"/>
              <w:right w:val="single" w:color="auto" w:sz="4" w:space="0"/>
              <w:tl2br w:val="nil"/>
              <w:tr2bl w:val="nil"/>
            </w:tcBorders>
            <w:noWrap w:val="0"/>
            <w:vAlign w:val="bottom"/>
          </w:tcPr>
          <w:p>
            <w:r>
              <w:t>1000≤Y＜5000</w:t>
            </w:r>
          </w:p>
        </w:tc>
        <w:tc>
          <w:tcPr>
            <w:tcW w:w="1586"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4" w:space="0"/>
              <w:right w:val="single" w:color="auto" w:sz="4" w:space="0"/>
              <w:tl2br w:val="nil"/>
              <w:tr2bl w:val="nil"/>
            </w:tcBorders>
            <w:noWrap w:val="0"/>
            <w:vAlign w:val="bottom"/>
          </w:tcPr>
          <w:p>
            <w:r>
              <w:t>100≤X＜300</w:t>
            </w:r>
          </w:p>
        </w:tc>
        <w:tc>
          <w:tcPr>
            <w:tcW w:w="1412" w:type="dxa"/>
            <w:tcBorders>
              <w:top w:val="nil"/>
              <w:left w:val="nil"/>
              <w:bottom w:val="single" w:color="auto" w:sz="4" w:space="0"/>
              <w:right w:val="single" w:color="auto" w:sz="4" w:space="0"/>
              <w:tl2br w:val="nil"/>
              <w:tr2bl w:val="nil"/>
            </w:tcBorders>
            <w:noWrap w:val="0"/>
            <w:vAlign w:val="bottom"/>
          </w:tcPr>
          <w:p>
            <w:r>
              <w:t>500≤Y＜1000</w:t>
            </w:r>
          </w:p>
        </w:tc>
        <w:tc>
          <w:tcPr>
            <w:tcW w:w="1452"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4" w:space="0"/>
              <w:right w:val="single" w:color="auto" w:sz="4" w:space="0"/>
              <w:tl2br w:val="nil"/>
              <w:tr2bl w:val="nil"/>
            </w:tcBorders>
            <w:noWrap w:val="0"/>
            <w:vAlign w:val="bottom"/>
          </w:tcPr>
          <w:p>
            <w:r>
              <w:t>X＜100</w:t>
            </w:r>
          </w:p>
        </w:tc>
        <w:tc>
          <w:tcPr>
            <w:tcW w:w="1216" w:type="dxa"/>
            <w:tcBorders>
              <w:top w:val="nil"/>
              <w:left w:val="nil"/>
              <w:bottom w:val="single" w:color="auto" w:sz="4" w:space="0"/>
              <w:right w:val="single" w:color="auto" w:sz="4" w:space="0"/>
              <w:tl2br w:val="nil"/>
              <w:tr2bl w:val="nil"/>
            </w:tcBorders>
            <w:noWrap w:val="0"/>
            <w:vAlign w:val="bottom"/>
          </w:tcPr>
          <w:p>
            <w:r>
              <w:t>Y＜500</w:t>
            </w:r>
          </w:p>
        </w:tc>
        <w:tc>
          <w:tcPr>
            <w:tcW w:w="1170" w:type="dxa"/>
            <w:tcBorders>
              <w:top w:val="nil"/>
              <w:left w:val="nil"/>
              <w:bottom w:val="single" w:color="auto" w:sz="4"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4" w:space="0"/>
              <w:right w:val="single" w:color="auto" w:sz="8" w:space="0"/>
              <w:tl2br w:val="nil"/>
              <w:tr2bl w:val="nil"/>
            </w:tcBorders>
            <w:noWrap w:val="0"/>
            <w:vAlign w:val="bottom"/>
          </w:tcPr>
          <w:p>
            <w:r>
              <w:t>15、租赁和商务服务业</w:t>
            </w:r>
          </w:p>
        </w:tc>
        <w:tc>
          <w:tcPr>
            <w:tcW w:w="1455" w:type="dxa"/>
            <w:tcBorders>
              <w:top w:val="nil"/>
              <w:left w:val="nil"/>
              <w:bottom w:val="single" w:color="auto" w:sz="4" w:space="0"/>
              <w:right w:val="single" w:color="auto" w:sz="4" w:space="0"/>
              <w:tl2br w:val="nil"/>
              <w:tr2bl w:val="nil"/>
            </w:tcBorders>
            <w:noWrap w:val="0"/>
            <w:vAlign w:val="bottom"/>
          </w:tcPr>
          <w:p>
            <w:r>
              <w:t>100≤X＜300</w:t>
            </w:r>
          </w:p>
        </w:tc>
        <w:tc>
          <w:tcPr>
            <w:tcW w:w="1681"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586" w:type="dxa"/>
            <w:tcBorders>
              <w:top w:val="nil"/>
              <w:left w:val="nil"/>
              <w:bottom w:val="single" w:color="auto" w:sz="4" w:space="0"/>
              <w:right w:val="single" w:color="auto" w:sz="8" w:space="0"/>
              <w:tl2br w:val="nil"/>
              <w:tr2bl w:val="nil"/>
            </w:tcBorders>
            <w:noWrap w:val="0"/>
            <w:vAlign w:val="bottom"/>
          </w:tcPr>
          <w:p>
            <w:r>
              <w:t>8000≤Z＜120000</w:t>
            </w:r>
          </w:p>
        </w:tc>
        <w:tc>
          <w:tcPr>
            <w:tcW w:w="1183" w:type="dxa"/>
            <w:tcBorders>
              <w:top w:val="nil"/>
              <w:left w:val="nil"/>
              <w:bottom w:val="single" w:color="auto" w:sz="4" w:space="0"/>
              <w:right w:val="single" w:color="auto" w:sz="4" w:space="0"/>
              <w:tl2br w:val="nil"/>
              <w:tr2bl w:val="nil"/>
            </w:tcBorders>
            <w:noWrap w:val="0"/>
            <w:vAlign w:val="bottom"/>
          </w:tcPr>
          <w:p>
            <w:r>
              <w:t>10≤X＜100</w:t>
            </w:r>
          </w:p>
        </w:tc>
        <w:tc>
          <w:tcPr>
            <w:tcW w:w="1412"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452" w:type="dxa"/>
            <w:tcBorders>
              <w:top w:val="nil"/>
              <w:left w:val="nil"/>
              <w:bottom w:val="single" w:color="auto" w:sz="4" w:space="0"/>
              <w:right w:val="single" w:color="auto" w:sz="8" w:space="0"/>
              <w:tl2br w:val="nil"/>
              <w:tr2bl w:val="nil"/>
            </w:tcBorders>
            <w:noWrap w:val="0"/>
            <w:vAlign w:val="bottom"/>
          </w:tcPr>
          <w:p>
            <w:r>
              <w:t xml:space="preserve"> 100≤Z＜8000</w:t>
            </w:r>
          </w:p>
        </w:tc>
        <w:tc>
          <w:tcPr>
            <w:tcW w:w="1226" w:type="dxa"/>
            <w:tcBorders>
              <w:top w:val="nil"/>
              <w:left w:val="nil"/>
              <w:bottom w:val="single" w:color="auto" w:sz="4" w:space="0"/>
              <w:right w:val="single" w:color="auto" w:sz="4" w:space="0"/>
              <w:tl2br w:val="nil"/>
              <w:tr2bl w:val="nil"/>
            </w:tcBorders>
            <w:noWrap w:val="0"/>
            <w:vAlign w:val="bottom"/>
          </w:tcPr>
          <w:p>
            <w:r>
              <w:t>X＜10</w:t>
            </w:r>
          </w:p>
        </w:tc>
        <w:tc>
          <w:tcPr>
            <w:tcW w:w="1216" w:type="dxa"/>
            <w:tcBorders>
              <w:top w:val="nil"/>
              <w:left w:val="nil"/>
              <w:bottom w:val="single" w:color="auto" w:sz="4"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70" w:type="dxa"/>
            <w:tcBorders>
              <w:top w:val="nil"/>
              <w:left w:val="nil"/>
              <w:bottom w:val="single" w:color="auto" w:sz="4" w:space="0"/>
              <w:right w:val="single" w:color="auto" w:sz="8" w:space="0"/>
              <w:tl2br w:val="nil"/>
              <w:tr2bl w:val="nil"/>
            </w:tcBorders>
            <w:noWrap w:val="0"/>
            <w:vAlign w:val="bottom"/>
          </w:tcPr>
          <w:p>
            <w: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2154" w:type="dxa"/>
            <w:tcBorders>
              <w:top w:val="nil"/>
              <w:left w:val="single" w:color="auto" w:sz="8" w:space="0"/>
              <w:bottom w:val="single" w:color="auto" w:sz="8" w:space="0"/>
              <w:right w:val="single" w:color="auto" w:sz="8" w:space="0"/>
              <w:tl2br w:val="nil"/>
              <w:tr2bl w:val="nil"/>
            </w:tcBorders>
            <w:noWrap w:val="0"/>
            <w:vAlign w:val="bottom"/>
          </w:tcPr>
          <w:p>
            <w:r>
              <w:t>16、其他未列明行业</w:t>
            </w:r>
          </w:p>
        </w:tc>
        <w:tc>
          <w:tcPr>
            <w:tcW w:w="1455" w:type="dxa"/>
            <w:tcBorders>
              <w:top w:val="nil"/>
              <w:left w:val="nil"/>
              <w:bottom w:val="single" w:color="auto" w:sz="8" w:space="0"/>
              <w:right w:val="single" w:color="auto" w:sz="4" w:space="0"/>
              <w:tl2br w:val="nil"/>
              <w:tr2bl w:val="nil"/>
            </w:tcBorders>
            <w:noWrap w:val="0"/>
            <w:vAlign w:val="bottom"/>
          </w:tcPr>
          <w:p>
            <w:r>
              <w:t>100≤X＜300</w:t>
            </w:r>
          </w:p>
        </w:tc>
        <w:tc>
          <w:tcPr>
            <w:tcW w:w="1681" w:type="dxa"/>
            <w:tcBorders>
              <w:top w:val="nil"/>
              <w:left w:val="nil"/>
              <w:bottom w:val="single" w:color="auto" w:sz="8"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586" w:type="dxa"/>
            <w:tcBorders>
              <w:top w:val="nil"/>
              <w:left w:val="nil"/>
              <w:bottom w:val="single" w:color="auto" w:sz="8"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183" w:type="dxa"/>
            <w:tcBorders>
              <w:top w:val="nil"/>
              <w:left w:val="nil"/>
              <w:bottom w:val="single" w:color="auto" w:sz="8" w:space="0"/>
              <w:right w:val="single" w:color="auto" w:sz="4" w:space="0"/>
              <w:tl2br w:val="nil"/>
              <w:tr2bl w:val="nil"/>
            </w:tcBorders>
            <w:noWrap w:val="0"/>
            <w:vAlign w:val="bottom"/>
          </w:tcPr>
          <w:p>
            <w:r>
              <w:t>10≤X＜100</w:t>
            </w:r>
          </w:p>
        </w:tc>
        <w:tc>
          <w:tcPr>
            <w:tcW w:w="1412" w:type="dxa"/>
            <w:tcBorders>
              <w:top w:val="nil"/>
              <w:left w:val="nil"/>
              <w:bottom w:val="single" w:color="auto" w:sz="8" w:space="0"/>
              <w:right w:val="single" w:color="auto" w:sz="4"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452" w:type="dxa"/>
            <w:tcBorders>
              <w:top w:val="nil"/>
              <w:left w:val="nil"/>
              <w:bottom w:val="single" w:color="auto" w:sz="8" w:space="0"/>
              <w:right w:val="single" w:color="auto" w:sz="8" w:space="0"/>
              <w:tl2br w:val="nil"/>
              <w:tr2bl w:val="nil"/>
            </w:tcBorders>
            <w:noWrap w:val="0"/>
            <w:vAlign w:val="bottom"/>
          </w:tcPr>
          <w:p>
            <w:pPr>
              <w:widowControl/>
              <w:spacing w:beforeLines="0" w:afterLines="0"/>
              <w:jc w:val="left"/>
              <w:rPr>
                <w:rFonts w:hint="default" w:ascii="宋体" w:hAnsi="宋体" w:cs="宋体"/>
                <w:color w:val="auto"/>
                <w:kern w:val="0"/>
                <w:sz w:val="18"/>
                <w:szCs w:val="18"/>
                <w:highlight w:val="none"/>
              </w:rPr>
            </w:pPr>
            <w:r>
              <w:rPr>
                <w:rFonts w:hint="default" w:ascii="宋体" w:hAnsi="宋体" w:cs="宋体"/>
                <w:color w:val="auto"/>
                <w:kern w:val="0"/>
                <w:sz w:val="18"/>
                <w:szCs w:val="18"/>
                <w:highlight w:val="none"/>
              </w:rPr>
              <w:t>　</w:t>
            </w:r>
          </w:p>
        </w:tc>
        <w:tc>
          <w:tcPr>
            <w:tcW w:w="1226" w:type="dxa"/>
            <w:tcBorders>
              <w:top w:val="nil"/>
              <w:left w:val="nil"/>
              <w:bottom w:val="single" w:color="auto" w:sz="8" w:space="0"/>
              <w:right w:val="single" w:color="auto" w:sz="4" w:space="0"/>
              <w:tl2br w:val="nil"/>
              <w:tr2bl w:val="nil"/>
            </w:tcBorders>
            <w:noWrap w:val="0"/>
            <w:vAlign w:val="bottom"/>
          </w:tcPr>
          <w:p>
            <w:r>
              <w:t>X＜10</w:t>
            </w:r>
          </w:p>
        </w:tc>
        <w:tc>
          <w:tcPr>
            <w:tcW w:w="1216" w:type="dxa"/>
            <w:tcBorders>
              <w:top w:val="nil"/>
              <w:left w:val="nil"/>
              <w:bottom w:val="single" w:color="auto" w:sz="8" w:space="0"/>
              <w:right w:val="single" w:color="auto" w:sz="4" w:space="0"/>
              <w:tl2br w:val="nil"/>
              <w:tr2bl w:val="nil"/>
            </w:tcBorders>
            <w:noWrap w:val="0"/>
            <w:vAlign w:val="bottom"/>
          </w:tcPr>
          <w:p>
            <w:pPr>
              <w:widowControl/>
              <w:spacing w:beforeLines="0" w:afterLines="0"/>
              <w:jc w:val="left"/>
              <w:rPr>
                <w:rFonts w:hint="default" w:ascii="宋体" w:hAnsi="宋体" w:cs="宋体"/>
                <w:b/>
                <w:color w:val="auto"/>
                <w:kern w:val="0"/>
                <w:sz w:val="18"/>
                <w:szCs w:val="18"/>
                <w:highlight w:val="none"/>
              </w:rPr>
            </w:pPr>
            <w:r>
              <w:rPr>
                <w:rFonts w:hint="default" w:ascii="宋体" w:hAnsi="宋体" w:cs="宋体"/>
                <w:b/>
                <w:color w:val="auto"/>
                <w:kern w:val="0"/>
                <w:sz w:val="18"/>
                <w:szCs w:val="18"/>
                <w:highlight w:val="none"/>
              </w:rPr>
              <w:t>　</w:t>
            </w:r>
          </w:p>
        </w:tc>
        <w:tc>
          <w:tcPr>
            <w:tcW w:w="1170" w:type="dxa"/>
            <w:tcBorders>
              <w:top w:val="nil"/>
              <w:left w:val="nil"/>
              <w:bottom w:val="single" w:color="auto" w:sz="8" w:space="0"/>
              <w:right w:val="single" w:color="auto" w:sz="8" w:space="0"/>
              <w:tl2br w:val="nil"/>
              <w:tr2bl w:val="nil"/>
            </w:tcBorders>
            <w:noWrap w:val="0"/>
            <w:vAlign w:val="bottom"/>
          </w:tcPr>
          <w:p>
            <w:pPr>
              <w:widowControl/>
              <w:spacing w:beforeLines="0" w:afterLines="0"/>
              <w:jc w:val="left"/>
              <w:rPr>
                <w:rFonts w:hint="default" w:ascii="宋体" w:hAnsi="宋体" w:cs="宋体"/>
                <w:b/>
                <w:color w:val="auto"/>
                <w:kern w:val="0"/>
                <w:sz w:val="18"/>
                <w:szCs w:val="18"/>
                <w:highlight w:val="none"/>
              </w:rPr>
            </w:pPr>
            <w:r>
              <w:rPr>
                <w:rFonts w:hint="default" w:ascii="宋体" w:hAnsi="宋体" w:cs="宋体"/>
                <w:b/>
                <w:color w:val="auto"/>
                <w:kern w:val="0"/>
                <w:sz w:val="18"/>
                <w:szCs w:val="18"/>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14535" w:type="dxa"/>
            <w:gridSpan w:val="10"/>
            <w:tcBorders>
              <w:top w:val="nil"/>
              <w:left w:val="nil"/>
              <w:bottom w:val="nil"/>
              <w:right w:val="nil"/>
              <w:tl2br w:val="nil"/>
              <w:tr2bl w:val="nil"/>
            </w:tcBorders>
            <w:noWrap w:val="0"/>
            <w:vAlign w:val="bottom"/>
          </w:tcPr>
          <w:p>
            <w:r>
              <w:t>说明　1、企业类型的划分以统计部门的统计数据为依据。</w:t>
              <w:br/>
              <w:t>2、个体工商户和本规定以外的行业，参照本规定进行划型。</w:t>
              <w:br/>
              <w:t>3、本规定的中型企业标准上限即为大型企业标准的下限。</w:t>
            </w:r>
          </w:p>
        </w:tc>
      </w:tr>
      <w:bookmarkEnd w:id="176"/>
    </w:tbl>
    <w:p>
      <w:pPr>
        <w:spacing w:beforeLines="0" w:afterLines="0" w:line="360" w:lineRule="auto"/>
        <w:jc w:val="center"/>
        <w:rPr>
          <w:rFonts w:hint="eastAsia" w:ascii="宋体" w:hAnsi="宋体" w:eastAsia="宋体" w:cs="宋体"/>
          <w:b/>
          <w:color w:val="auto"/>
          <w:spacing w:val="-4"/>
          <w:sz w:val="32"/>
          <w:szCs w:val="32"/>
          <w:highlight w:val="none"/>
        </w:rPr>
        <w:sectPr>
          <w:pgSz w:w="16840" w:h="11907" w:orient="landscape"/>
          <w:pgMar w:top="1531" w:right="1134" w:bottom="1531" w:left="1134" w:header="425" w:footer="709" w:gutter="0"/>
          <w:lnNumType w:countBy="0" w:distance="360"/>
          <w:cols w:space="720" w:num="1"/>
          <w:docGrid w:linePitch="286" w:charSpace="0"/>
        </w:sectPr>
      </w:pPr>
      <w:r/>
    </w:p>
    <w:p>
      <w:pPr>
        <w:spacing w:beforeLines="0" w:afterLines="0" w:line="360" w:lineRule="auto"/>
        <w:jc w:val="center"/>
        <w:rPr>
          <w:rFonts w:hint="eastAsia" w:ascii="宋体" w:hAnsi="宋体" w:eastAsia="宋体" w:cs="宋体"/>
          <w:b/>
          <w:color w:val="auto"/>
          <w:spacing w:val="-4"/>
          <w:sz w:val="32"/>
          <w:szCs w:val="32"/>
          <w:highlight w:val="none"/>
        </w:rPr>
      </w:pPr>
      <w:r>
        <w:t>残疾人福利性单位声明函</w:t>
      </w:r>
    </w:p>
    <w:p>
      <w:pPr>
        <w:shd w:val="clear" w:color="auto" w:fill="auto"/>
        <w:spacing w:line="588" w:lineRule="exact"/>
        <w:rPr>
          <w:rFonts w:hint="eastAsia" w:hAnsi="宋体" w:eastAsia="宋体" w:cs="宋体"/>
          <w:b/>
          <w:color w:val="auto"/>
          <w:spacing w:val="6"/>
          <w:sz w:val="21"/>
          <w:highlight w:val="none"/>
          <w:shd w:val="clear" w:color="auto" w:fill="auto"/>
        </w:rPr>
      </w:pPr>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textAlignment w:val="auto"/>
        <w:rPr>
          <w:rFonts w:hint="eastAsia" w:hAnsi="宋体" w:eastAsia="宋体" w:cs="宋体"/>
          <w:color w:val="auto"/>
          <w:spacing w:val="6"/>
          <w:sz w:val="21"/>
          <w:highlight w:val="none"/>
          <w:shd w:val="clear" w:color="auto" w:fill="auto"/>
        </w:rPr>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textAlignment w:val="auto"/>
        <w:rPr>
          <w:rFonts w:hint="eastAsia" w:hAnsi="宋体" w:eastAsia="宋体" w:cs="宋体"/>
          <w:color w:val="auto"/>
          <w:spacing w:val="6"/>
          <w:sz w:val="21"/>
          <w:highlight w:val="none"/>
          <w:shd w:val="clear" w:color="auto" w:fill="auto"/>
        </w:rPr>
      </w:pPr>
      <w:r>
        <w:t>本单位对上述声明的真实性负责。如有虚假，将依法承担相应责任。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textAlignment w:val="auto"/>
        <w:rPr>
          <w:rFonts w:hint="eastAsia" w:hAnsi="宋体" w:eastAsia="宋体" w:cs="宋体"/>
          <w:color w:val="auto"/>
          <w:spacing w:val="6"/>
          <w:sz w:val="21"/>
          <w:highlight w:val="none"/>
          <w:shd w:val="clear" w:color="auto" w:fill="auto"/>
        </w:rPr>
      </w:pPr>
      <w:r/>
    </w:p>
    <w:p>
      <w:pPr>
        <w:keepNext w:val="0"/>
        <w:keepLines w:val="0"/>
        <w:pageBreakBefore w:val="0"/>
        <w:widowControl w:val="0"/>
        <w:shd w:val="clear" w:color="auto" w:fill="auto"/>
        <w:tabs>
          <w:tab w:val="left" w:pos="4860"/>
        </w:tabs>
        <w:kinsoku/>
        <w:wordWrap/>
        <w:overflowPunct/>
        <w:topLinePunct w:val="0"/>
        <w:autoSpaceDE/>
        <w:autoSpaceDN/>
        <w:bidi w:val="0"/>
        <w:adjustRightInd/>
        <w:snapToGrid/>
        <w:spacing w:line="360" w:lineRule="auto"/>
        <w:ind w:right="1560" w:firstLine="444" w:firstLineChars="200"/>
        <w:jc w:val="center"/>
        <w:textAlignment w:val="auto"/>
        <w:rPr>
          <w:rFonts w:hint="eastAsia" w:hAnsi="宋体" w:eastAsia="宋体" w:cs="宋体"/>
          <w:color w:val="auto"/>
          <w:spacing w:val="6"/>
          <w:sz w:val="21"/>
          <w:highlight w:val="none"/>
          <w:shd w:val="clear" w:color="auto" w:fill="auto"/>
        </w:rPr>
      </w:pPr>
      <w:r>
        <w:t xml:space="preserve">               单位名称（盖章）：</w:t>
      </w:r>
    </w:p>
    <w:p>
      <w:pPr>
        <w:keepNext w:val="0"/>
        <w:keepLines w:val="0"/>
        <w:pageBreakBefore w:val="0"/>
        <w:widowControl w:val="0"/>
        <w:shd w:val="clear" w:color="auto" w:fill="auto"/>
        <w:tabs>
          <w:tab w:val="left" w:pos="4860"/>
        </w:tabs>
        <w:kinsoku/>
        <w:wordWrap/>
        <w:overflowPunct/>
        <w:topLinePunct w:val="0"/>
        <w:autoSpaceDE/>
        <w:autoSpaceDN/>
        <w:bidi w:val="0"/>
        <w:adjustRightInd/>
        <w:snapToGrid/>
        <w:spacing w:line="360" w:lineRule="auto"/>
        <w:ind w:right="1560" w:firstLine="444" w:firstLineChars="200"/>
        <w:jc w:val="center"/>
        <w:textAlignment w:val="auto"/>
        <w:rPr>
          <w:rFonts w:hint="eastAsia" w:hAnsi="宋体" w:eastAsia="宋体" w:cs="宋体"/>
          <w:color w:val="auto"/>
          <w:spacing w:val="6"/>
          <w:sz w:val="21"/>
          <w:highlight w:val="none"/>
          <w:shd w:val="clear" w:color="auto" w:fill="auto"/>
        </w:rPr>
      </w:pPr>
      <w:r>
        <w:t xml:space="preserve">      日  期：</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注：1、如供应商为非残疾人福利性单位的可不提供本声明函。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2、享受政府采购支持政策的残疾人福利性单位应当同时满足以下条件：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（一）安置的残疾人占本单位在职职工人数的比例不低于25%（含25%），并且安置的残疾人人数不少于10人（含10人）；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（二）依法与安置的每位残疾人签订了一年以上（含一年）的劳动合同或服务协议；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（三）为安置的每位残疾人按月足额缴纳了基本养老保险、基本医疗保险、失业保险、工伤保险和生育保险等社会保险费；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（四）通过银行等金融机构向安置的每位残疾人，按月支付了不低于单位所在区县适用的经省级人民政府批准的月最低工资标准的工资；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hAnsi="宋体" w:eastAsia="宋体" w:cs="宋体"/>
          <w:color w:val="auto"/>
          <w:sz w:val="21"/>
          <w:highlight w:val="none"/>
          <w:shd w:val="clear" w:color="auto" w:fill="auto"/>
          <w:lang w:bidi="ar"/>
        </w:rPr>
      </w:pPr>
      <w:r>
        <w:t>（五）提供本单位制造的货物、承担的工程或者服务（以下简称产品），或者提供其他残疾人福利性单位制造的货物（不包括使用非残疾人福利性单位注册商标的货物）。</w:t>
      </w:r>
    </w:p>
    <w:p>
      <w:pPr>
        <w:pStyle w:val="4"/>
        <w:spacing w:before="0" w:beforeLines="0" w:after="0" w:afterLines="0" w:line="240" w:lineRule="auto"/>
        <w:ind w:right="-567"/>
        <w:jc w:val="left"/>
        <w:rPr>
          <w:rFonts w:hint="default" w:ascii="宋体" w:hAnsi="宋体" w:eastAsia="宋体"/>
          <w:b w:val="0"/>
          <w:color w:val="auto"/>
          <w:sz w:val="18"/>
          <w:szCs w:val="18"/>
          <w:highlight w:val="none"/>
        </w:rPr>
      </w:pPr>
      <w: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格式  投标函</w:t>
      </w:r>
    </w:p>
    <w:p>
      <w:pPr>
        <w:pStyle w:val="3"/>
        <w:spacing w:beforeLines="0" w:afterLines="0" w:line="360" w:lineRule="exact"/>
        <w:rPr>
          <w:rFonts w:hint="default" w:hAnsi="宋体"/>
          <w:color w:val="auto"/>
          <w:sz w:val="32"/>
          <w:szCs w:val="32"/>
          <w:highlight w:val="none"/>
        </w:rPr>
      </w:pPr>
      <w:r>
        <w:t>投标函</w:t>
      </w:r>
    </w:p>
    <w:p>
      <w:pPr>
        <w:spacing w:beforeLines="0" w:afterLines="0" w:line="360" w:lineRule="exact"/>
        <w:rPr>
          <w:rFonts w:hint="default" w:ascii="宋体" w:hAnsi="宋体"/>
          <w:color w:val="auto"/>
          <w:sz w:val="21"/>
          <w:szCs w:val="24"/>
          <w:highlight w:val="none"/>
        </w:rPr>
      </w:pPr>
      <w:r/>
    </w:p>
    <w:p>
      <w:pPr>
        <w:pStyle w:val="12"/>
        <w:spacing w:beforeLines="0" w:afterLines="0" w:line="360" w:lineRule="auto"/>
        <w:rPr>
          <w:rFonts w:hint="default" w:ascii="宋体" w:hAnsi="宋体"/>
          <w:color w:val="auto"/>
          <w:sz w:val="21"/>
          <w:szCs w:val="21"/>
          <w:highlight w:val="none"/>
        </w:rPr>
      </w:pPr>
      <w:r>
        <w:t>致：宁波市盛达工程管理咨询有限公司</w:t>
      </w:r>
    </w:p>
    <w:p>
      <w:pPr>
        <w:pStyle w:val="12"/>
        <w:spacing w:beforeLines="0" w:afterLines="0" w:line="360" w:lineRule="auto"/>
        <w:ind w:firstLine="490"/>
        <w:rPr>
          <w:rFonts w:hint="default" w:ascii="宋体" w:hAnsi="宋体"/>
          <w:color w:val="auto"/>
          <w:sz w:val="21"/>
          <w:szCs w:val="21"/>
          <w:highlight w:val="none"/>
          <w:u w:val="single"/>
        </w:rPr>
      </w:pPr>
      <w:r>
        <w:t>（投标人全称）授权（全权代表姓名、职务）为本公司合法代理人，参加贵方组织的（项目编号、项目名称）招投标活动，代表本公司处理招投标活动中的一切事宜。在此：</w:t>
      </w:r>
    </w:p>
    <w:p>
      <w:pPr>
        <w:pStyle w:val="12"/>
        <w:tabs>
          <w:tab w:val="left" w:pos="426"/>
        </w:tabs>
        <w:spacing w:beforeLines="0" w:afterLines="0" w:line="360" w:lineRule="auto"/>
        <w:rPr>
          <w:rFonts w:hint="default" w:ascii="宋体" w:hAnsi="宋体"/>
          <w:color w:val="auto"/>
          <w:sz w:val="21"/>
          <w:szCs w:val="21"/>
          <w:highlight w:val="none"/>
        </w:rPr>
      </w:pPr>
      <w:r>
        <w:t>1、提供采购文件中“投标须知”规定的全部投标文件资料。</w:t>
      </w:r>
    </w:p>
    <w:p>
      <w:pPr>
        <w:pStyle w:val="12"/>
        <w:tabs>
          <w:tab w:val="left" w:pos="426"/>
        </w:tabs>
        <w:spacing w:beforeLines="0" w:afterLines="0" w:line="360" w:lineRule="auto"/>
        <w:rPr>
          <w:rFonts w:hint="default" w:ascii="宋体" w:hAnsi="宋体"/>
          <w:color w:val="auto"/>
          <w:sz w:val="21"/>
          <w:szCs w:val="21"/>
          <w:highlight w:val="none"/>
        </w:rPr>
      </w:pPr>
      <w:r>
        <w:t>2、据此函，签字代表宣布并承诺如下：</w:t>
      </w:r>
    </w:p>
    <w:p>
      <w:pPr>
        <w:pStyle w:val="12"/>
        <w:spacing w:beforeLines="0" w:afterLines="0" w:line="360" w:lineRule="auto"/>
        <w:ind w:firstLine="420" w:firstLineChars="200"/>
        <w:rPr>
          <w:rFonts w:hint="default" w:ascii="宋体" w:hAnsi="宋体"/>
          <w:color w:val="auto"/>
          <w:sz w:val="21"/>
          <w:szCs w:val="21"/>
          <w:highlight w:val="none"/>
        </w:rPr>
      </w:pPr>
      <w: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pStyle w:val="12"/>
        <w:spacing w:beforeLines="0" w:afterLines="0" w:line="360" w:lineRule="auto"/>
        <w:ind w:firstLine="420" w:firstLineChars="200"/>
        <w:rPr>
          <w:rFonts w:hint="default" w:ascii="宋体" w:hAnsi="宋体"/>
          <w:color w:val="auto"/>
          <w:sz w:val="21"/>
          <w:szCs w:val="21"/>
          <w:highlight w:val="none"/>
        </w:rPr>
      </w:pPr>
      <w:r>
        <w:t>（2）本投标自开标之日起天内有效。</w:t>
      </w:r>
    </w:p>
    <w:p>
      <w:pPr>
        <w:pStyle w:val="12"/>
        <w:spacing w:beforeLines="0" w:afterLines="0" w:line="360" w:lineRule="auto"/>
        <w:ind w:firstLine="420" w:firstLineChars="200"/>
        <w:rPr>
          <w:rFonts w:hint="default" w:ascii="宋体" w:hAnsi="宋体"/>
          <w:color w:val="auto"/>
          <w:sz w:val="21"/>
          <w:szCs w:val="21"/>
          <w:highlight w:val="none"/>
        </w:rPr>
      </w:pPr>
      <w:r>
        <w:t>（3）保证遵守采购文件有关条款规定。</w:t>
      </w:r>
    </w:p>
    <w:p>
      <w:pPr>
        <w:pStyle w:val="12"/>
        <w:spacing w:beforeLines="0" w:afterLines="0" w:line="360" w:lineRule="auto"/>
        <w:ind w:firstLine="420" w:firstLineChars="200"/>
        <w:rPr>
          <w:rFonts w:hint="default" w:ascii="宋体" w:hAnsi="宋体"/>
          <w:color w:val="auto"/>
          <w:sz w:val="21"/>
          <w:szCs w:val="21"/>
          <w:highlight w:val="none"/>
        </w:rPr>
      </w:pPr>
      <w:r>
        <w:t>（4）保证在中标后忠实地执行与采购人所签署的合同，并承担合同规定的责任义务。保证在中标后按照采购文件的规定支付招标服务费。</w:t>
      </w:r>
    </w:p>
    <w:p>
      <w:pPr>
        <w:pStyle w:val="12"/>
        <w:spacing w:beforeLines="0" w:afterLines="0" w:line="360" w:lineRule="auto"/>
        <w:ind w:firstLine="420" w:firstLineChars="200"/>
        <w:rPr>
          <w:rFonts w:hint="default" w:ascii="宋体" w:hAnsi="宋体"/>
          <w:color w:val="auto"/>
          <w:sz w:val="21"/>
          <w:szCs w:val="21"/>
          <w:highlight w:val="none"/>
        </w:rPr>
      </w:pPr>
      <w:r>
        <w:t>（5）承诺应贵方要求提供任何与该项目投标有关的数据、情况和技术资料。</w:t>
      </w:r>
    </w:p>
    <w:p>
      <w:pPr>
        <w:pStyle w:val="12"/>
        <w:tabs>
          <w:tab w:val="left" w:pos="426"/>
        </w:tabs>
        <w:spacing w:beforeLines="0" w:afterLines="0" w:line="360" w:lineRule="auto"/>
        <w:rPr>
          <w:rFonts w:hint="default" w:ascii="宋体" w:hAnsi="宋体"/>
          <w:color w:val="auto"/>
          <w:sz w:val="21"/>
          <w:szCs w:val="21"/>
          <w:highlight w:val="none"/>
        </w:rPr>
      </w:pPr>
      <w:r>
        <w:t>3、与本项目有关的澄清、补充文件请发送至：</w:t>
      </w:r>
    </w:p>
    <w:p>
      <w:pPr>
        <w:pStyle w:val="12"/>
        <w:spacing w:beforeLines="0" w:afterLines="0" w:line="360" w:lineRule="auto"/>
        <w:ind w:firstLine="420" w:firstLineChars="200"/>
        <w:rPr>
          <w:rFonts w:hint="default" w:ascii="宋体" w:hAnsi="宋体" w:cs="宋体"/>
          <w:color w:val="auto"/>
          <w:sz w:val="21"/>
          <w:szCs w:val="21"/>
          <w:highlight w:val="none"/>
        </w:rPr>
      </w:pPr>
      <w:r>
        <w:t>电子邮箱：  传真号码：</w:t>
      </w:r>
    </w:p>
    <w:p>
      <w:pPr>
        <w:pStyle w:val="12"/>
        <w:tabs>
          <w:tab w:val="left" w:pos="426"/>
        </w:tabs>
        <w:spacing w:beforeLines="0" w:afterLines="0" w:line="360" w:lineRule="auto"/>
        <w:rPr>
          <w:rFonts w:hint="default" w:ascii="宋体" w:hAnsi="宋体"/>
          <w:color w:val="auto"/>
          <w:sz w:val="21"/>
          <w:szCs w:val="21"/>
          <w:highlight w:val="none"/>
        </w:rPr>
      </w:pPr>
      <w:r>
        <w:t>4、与本投标有关的一切往来通讯请寄：</w:t>
      </w:r>
    </w:p>
    <w:p>
      <w:pPr>
        <w:pStyle w:val="12"/>
        <w:spacing w:beforeLines="0" w:afterLines="0" w:line="360" w:lineRule="auto"/>
        <w:ind w:left="480"/>
        <w:rPr>
          <w:rFonts w:hint="default" w:ascii="宋体" w:hAnsi="宋体"/>
          <w:color w:val="auto"/>
          <w:sz w:val="21"/>
          <w:szCs w:val="21"/>
          <w:highlight w:val="none"/>
          <w:u w:val="single"/>
        </w:rPr>
      </w:pPr>
      <w:r>
        <w:t>地址：</w:t>
      </w:r>
    </w:p>
    <w:p>
      <w:pPr>
        <w:pStyle w:val="12"/>
        <w:spacing w:beforeLines="0" w:afterLines="0" w:line="360" w:lineRule="auto"/>
        <w:ind w:left="480"/>
        <w:rPr>
          <w:rFonts w:hint="default" w:ascii="宋体" w:hAnsi="宋体"/>
          <w:color w:val="auto"/>
          <w:sz w:val="21"/>
          <w:szCs w:val="21"/>
          <w:highlight w:val="none"/>
          <w:u w:val="single"/>
        </w:rPr>
      </w:pPr>
      <w:r>
        <w:t>邮编：电话：传真：</w:t>
      </w:r>
    </w:p>
    <w:p>
      <w:pPr>
        <w:pStyle w:val="12"/>
        <w:spacing w:beforeLines="0" w:afterLines="0" w:line="360" w:lineRule="auto"/>
        <w:rPr>
          <w:rFonts w:hint="default" w:ascii="宋体" w:hAnsi="宋体"/>
          <w:color w:val="auto"/>
          <w:sz w:val="21"/>
          <w:szCs w:val="21"/>
          <w:highlight w:val="none"/>
        </w:rPr>
      </w:pPr>
      <w:r/>
    </w:p>
    <w:p>
      <w:pPr>
        <w:pStyle w:val="12"/>
        <w:tabs>
          <w:tab w:val="left" w:pos="4185"/>
        </w:tabs>
        <w:spacing w:beforeLines="0" w:afterLines="0" w:line="360" w:lineRule="auto"/>
        <w:rPr>
          <w:rFonts w:hint="default" w:ascii="宋体" w:hAnsi="宋体"/>
          <w:color w:val="auto"/>
          <w:sz w:val="21"/>
          <w:szCs w:val="21"/>
          <w:highlight w:val="none"/>
        </w:rPr>
      </w:pPr>
      <w:r>
        <w:t>投标人（盖章）：</w:t>
      </w:r>
    </w:p>
    <w:p>
      <w:pPr>
        <w:pStyle w:val="12"/>
        <w:tabs>
          <w:tab w:val="left" w:pos="4185"/>
        </w:tabs>
        <w:spacing w:beforeLines="0" w:afterLines="0" w:line="360" w:lineRule="auto"/>
        <w:rPr>
          <w:rFonts w:hint="default" w:ascii="宋体" w:hAnsi="宋体"/>
          <w:color w:val="auto"/>
          <w:sz w:val="21"/>
          <w:szCs w:val="21"/>
          <w:highlight w:val="none"/>
        </w:rPr>
      </w:pPr>
      <w:r>
        <w:t>法定代表人或授权代表人（签字或盖章）：</w:t>
      </w:r>
    </w:p>
    <w:p>
      <w:pPr>
        <w:pStyle w:val="12"/>
        <w:tabs>
          <w:tab w:val="left" w:pos="4841"/>
        </w:tabs>
        <w:spacing w:beforeLines="0" w:afterLines="0" w:line="360" w:lineRule="auto"/>
        <w:rPr>
          <w:rFonts w:hint="default" w:ascii="宋体" w:hAnsi="宋体"/>
          <w:color w:val="auto"/>
          <w:sz w:val="21"/>
          <w:szCs w:val="21"/>
          <w:highlight w:val="none"/>
        </w:rPr>
      </w:pPr>
      <w:r>
        <w:t>日期：</w:t>
      </w:r>
    </w:p>
    <w:p>
      <w:pPr>
        <w:widowControl/>
        <w:snapToGrid w:val="0"/>
        <w:spacing w:beforeLines="0" w:afterLines="0" w:line="360" w:lineRule="auto"/>
        <w:rPr>
          <w:rFonts w:hint="default" w:ascii="宋体" w:hAnsi="宋体"/>
          <w:b/>
          <w:color w:val="auto"/>
          <w:sz w:val="21"/>
          <w:szCs w:val="21"/>
          <w:highlight w:val="none"/>
        </w:rPr>
      </w:pPr>
      <w:r>
        <w:t>附：招标服务费支付承诺书</w:t>
      </w:r>
    </w:p>
    <w:p>
      <w:pPr>
        <w:widowControl/>
        <w:snapToGrid w:val="0"/>
        <w:spacing w:beforeLines="0" w:afterLines="0" w:line="360" w:lineRule="auto"/>
        <w:jc w:val="center"/>
        <w:rPr>
          <w:rFonts w:hint="default" w:ascii="宋体" w:hAnsi="宋体"/>
          <w:b/>
          <w:color w:val="auto"/>
          <w:sz w:val="32"/>
          <w:szCs w:val="24"/>
          <w:highlight w:val="none"/>
        </w:rPr>
      </w:pPr>
      <w:r>
        <w:t>招标服务费支付承诺书</w:t>
      </w:r>
    </w:p>
    <w:p>
      <w:pPr>
        <w:widowControl/>
        <w:snapToGrid w:val="0"/>
        <w:spacing w:beforeLines="0" w:afterLines="0" w:line="360" w:lineRule="auto"/>
        <w:jc w:val="center"/>
        <w:rPr>
          <w:rFonts w:hint="default" w:ascii="宋体" w:hAnsi="宋体"/>
          <w:b/>
          <w:color w:val="auto"/>
          <w:sz w:val="28"/>
          <w:szCs w:val="28"/>
          <w:highlight w:val="none"/>
        </w:rPr>
      </w:pPr>
      <w:r/>
    </w:p>
    <w:p>
      <w:pPr>
        <w:widowControl/>
        <w:snapToGrid w:val="0"/>
        <w:spacing w:beforeLines="0" w:afterLines="0" w:line="360" w:lineRule="auto"/>
        <w:rPr>
          <w:rFonts w:hint="default" w:ascii="宋体" w:hAnsi="宋体"/>
          <w:b/>
          <w:color w:val="auto"/>
          <w:sz w:val="21"/>
          <w:szCs w:val="24"/>
          <w:highlight w:val="none"/>
          <w:u w:val="single"/>
        </w:rPr>
      </w:pPr>
      <w:r>
        <w:t>致：宁波市盛达工程管理咨询有限公司</w:t>
      </w:r>
    </w:p>
    <w:p>
      <w:pPr>
        <w:widowControl/>
        <w:snapToGrid w:val="0"/>
        <w:spacing w:beforeLines="0" w:afterLines="0" w:line="360" w:lineRule="auto"/>
        <w:ind w:firstLine="420" w:firstLineChars="200"/>
        <w:rPr>
          <w:rFonts w:hint="default" w:ascii="宋体" w:hAnsi="宋体"/>
          <w:color w:val="auto"/>
          <w:sz w:val="21"/>
          <w:szCs w:val="24"/>
          <w:highlight w:val="none"/>
        </w:rPr>
      </w:pPr>
      <w:r>
        <w:t>我公司已认真阅读了项目招标文件并在此承诺：</w:t>
      </w:r>
    </w:p>
    <w:p>
      <w:pPr>
        <w:widowControl/>
        <w:snapToGrid w:val="0"/>
        <w:spacing w:beforeLines="0" w:afterLines="0" w:line="360" w:lineRule="auto"/>
        <w:ind w:firstLine="420" w:firstLineChars="200"/>
        <w:rPr>
          <w:rFonts w:hint="default" w:ascii="宋体" w:hAnsi="宋体"/>
          <w:color w:val="auto"/>
          <w:sz w:val="21"/>
          <w:szCs w:val="24"/>
          <w:highlight w:val="none"/>
        </w:rPr>
      </w:pPr>
      <w:r>
        <w:t>如在本项目中标，我公司将在结果公示发布之日起5个工作日之内按招标文件规定的标准（金额）一次性向贵公司支付招标服务费。</w:t>
      </w:r>
    </w:p>
    <w:p>
      <w:pPr>
        <w:widowControl/>
        <w:snapToGrid w:val="0"/>
        <w:spacing w:beforeLines="0" w:afterLines="0" w:line="360" w:lineRule="auto"/>
        <w:ind w:firstLine="420" w:firstLineChars="200"/>
        <w:rPr>
          <w:rFonts w:hint="default" w:ascii="宋体" w:hAnsi="宋体"/>
          <w:color w:val="auto"/>
          <w:sz w:val="21"/>
          <w:szCs w:val="21"/>
          <w:highlight w:val="none"/>
        </w:rPr>
      </w:pPr>
      <w:r>
        <w:t>若我司未按上述承诺内容执行，我司自愿承担本项目招标服务费200%的违约金，且在中标通知书领取后5个工作日内支付上述违约金，否则由此引起的一切法律责任和经济责任由我公司承担。</w:t>
      </w:r>
    </w:p>
    <w:p>
      <w:pPr>
        <w:widowControl/>
        <w:snapToGrid w:val="0"/>
        <w:spacing w:beforeLines="0" w:afterLines="0" w:line="360" w:lineRule="auto"/>
        <w:rPr>
          <w:rFonts w:hint="default" w:ascii="宋体" w:hAnsi="宋体"/>
          <w:b/>
          <w:color w:val="auto"/>
          <w:sz w:val="21"/>
          <w:szCs w:val="24"/>
          <w:highlight w:val="none"/>
        </w:rPr>
      </w:pPr>
      <w:r/>
    </w:p>
    <w:p>
      <w:pPr>
        <w:widowControl/>
        <w:snapToGrid w:val="0"/>
        <w:spacing w:beforeLines="0" w:afterLines="0" w:line="360" w:lineRule="auto"/>
        <w:rPr>
          <w:rFonts w:hint="default" w:ascii="宋体" w:hAnsi="宋体"/>
          <w:color w:val="auto"/>
          <w:sz w:val="21"/>
          <w:szCs w:val="24"/>
          <w:highlight w:val="none"/>
        </w:rPr>
      </w:pPr>
      <w:r/>
    </w:p>
    <w:p>
      <w:pPr>
        <w:widowControl/>
        <w:snapToGrid w:val="0"/>
        <w:spacing w:beforeLines="0" w:afterLines="0" w:line="360" w:lineRule="auto"/>
        <w:rPr>
          <w:rFonts w:hint="default" w:ascii="宋体" w:hAnsi="宋体"/>
          <w:color w:val="auto"/>
          <w:sz w:val="21"/>
          <w:szCs w:val="24"/>
          <w:highlight w:val="none"/>
        </w:rPr>
      </w:pPr>
      <w:r/>
    </w:p>
    <w:p>
      <w:pPr>
        <w:widowControl/>
        <w:snapToGrid w:val="0"/>
        <w:spacing w:beforeLines="0" w:afterLines="0" w:line="360" w:lineRule="auto"/>
        <w:rPr>
          <w:rFonts w:hint="default" w:ascii="宋体" w:hAnsi="宋体"/>
          <w:color w:val="auto"/>
          <w:sz w:val="21"/>
          <w:szCs w:val="24"/>
          <w:highlight w:val="none"/>
        </w:rPr>
      </w:pPr>
      <w:r/>
    </w:p>
    <w:p>
      <w:pPr>
        <w:spacing w:beforeLines="0" w:afterLines="0" w:line="360" w:lineRule="auto"/>
        <w:rPr>
          <w:rFonts w:hint="default" w:ascii="宋体" w:hAnsi="宋体"/>
          <w:color w:val="auto"/>
          <w:sz w:val="21"/>
          <w:szCs w:val="21"/>
          <w:highlight w:val="none"/>
        </w:rPr>
      </w:pPr>
      <w:r>
        <w:t>投标人（盖章）：</w:t>
      </w:r>
    </w:p>
    <w:p>
      <w:pPr>
        <w:spacing w:beforeLines="0" w:afterLines="0" w:line="360" w:lineRule="auto"/>
        <w:rPr>
          <w:rFonts w:hint="default" w:ascii="宋体" w:hAnsi="宋体"/>
          <w:color w:val="auto"/>
          <w:sz w:val="21"/>
          <w:szCs w:val="21"/>
          <w:highlight w:val="none"/>
        </w:rPr>
      </w:pPr>
      <w:r>
        <w:t>法定代表人或授权代表人（签字或盖章）：</w:t>
      </w:r>
    </w:p>
    <w:p>
      <w:pPr>
        <w:widowControl/>
        <w:snapToGrid w:val="0"/>
        <w:spacing w:beforeLines="0" w:afterLines="0" w:line="360" w:lineRule="auto"/>
        <w:ind w:right="375"/>
        <w:rPr>
          <w:rFonts w:hint="default" w:ascii="宋体" w:hAnsi="宋体"/>
          <w:color w:val="auto"/>
          <w:sz w:val="21"/>
          <w:szCs w:val="24"/>
          <w:highlight w:val="none"/>
        </w:rPr>
      </w:pPr>
      <w:r>
        <w:t>日期：</w:t>
      </w:r>
    </w:p>
    <w:p>
      <w:pPr>
        <w:widowControl/>
        <w:snapToGrid w:val="0"/>
        <w:spacing w:beforeLines="0" w:afterLines="0" w:line="360" w:lineRule="auto"/>
        <w:ind w:right="480"/>
        <w:rPr>
          <w:rFonts w:hint="default" w:ascii="宋体" w:hAnsi="宋体"/>
          <w:color w:val="auto"/>
          <w:sz w:val="21"/>
          <w:szCs w:val="24"/>
          <w:highlight w:val="none"/>
        </w:rPr>
      </w:pPr>
      <w:r/>
    </w:p>
    <w:p>
      <w:pPr>
        <w:widowControl/>
        <w:snapToGrid w:val="0"/>
        <w:spacing w:beforeLines="0" w:afterLines="0" w:line="360" w:lineRule="auto"/>
        <w:ind w:right="480"/>
        <w:rPr>
          <w:rFonts w:hint="default" w:ascii="宋体" w:hAnsi="宋体"/>
          <w:color w:val="auto"/>
          <w:sz w:val="21"/>
          <w:szCs w:val="24"/>
          <w:highlight w:val="none"/>
        </w:rPr>
      </w:pPr>
      <w:r/>
    </w:p>
    <w:p>
      <w:pPr>
        <w:widowControl/>
        <w:snapToGrid w:val="0"/>
        <w:spacing w:beforeLines="0" w:afterLines="0" w:line="360" w:lineRule="auto"/>
        <w:ind w:right="480"/>
        <w:rPr>
          <w:rFonts w:hint="default" w:ascii="宋体" w:hAnsi="宋体"/>
          <w:color w:val="auto"/>
          <w:sz w:val="21"/>
          <w:szCs w:val="24"/>
          <w:highlight w:val="none"/>
        </w:rPr>
      </w:pPr>
      <w:r/>
    </w:p>
    <w:p>
      <w:pPr>
        <w:widowControl/>
        <w:snapToGrid w:val="0"/>
        <w:spacing w:beforeLines="0" w:afterLines="0" w:line="360" w:lineRule="auto"/>
        <w:ind w:right="480"/>
        <w:rPr>
          <w:rFonts w:hint="default" w:ascii="宋体" w:hAnsi="宋体"/>
          <w:color w:val="auto"/>
          <w:sz w:val="21"/>
          <w:szCs w:val="24"/>
          <w:highlight w:val="none"/>
        </w:rPr>
      </w:pPr>
      <w:r/>
    </w:p>
    <w:p>
      <w:pPr>
        <w:widowControl/>
        <w:snapToGrid w:val="0"/>
        <w:spacing w:beforeLines="0" w:afterLines="0" w:line="360" w:lineRule="auto"/>
        <w:jc w:val="left"/>
        <w:rPr>
          <w:rFonts w:hint="default" w:ascii="宋体" w:hAnsi="宋体"/>
          <w:color w:val="auto"/>
          <w:sz w:val="21"/>
          <w:szCs w:val="24"/>
          <w:highlight w:val="none"/>
        </w:rPr>
      </w:pPr>
      <w:r>
        <w:t>宁波市盛达工程管理咨询有限公司招标服务费收取账号信息：</w:t>
      </w:r>
    </w:p>
    <w:p>
      <w:pPr>
        <w:widowControl/>
        <w:snapToGrid w:val="0"/>
        <w:spacing w:beforeLines="0" w:afterLines="0" w:line="360" w:lineRule="auto"/>
        <w:jc w:val="left"/>
        <w:rPr>
          <w:rFonts w:hint="default" w:ascii="宋体" w:hAnsi="宋体"/>
          <w:color w:val="auto"/>
          <w:sz w:val="21"/>
          <w:szCs w:val="24"/>
          <w:highlight w:val="none"/>
        </w:rPr>
      </w:pPr>
      <w:r/>
    </w:p>
    <w:bookmarkEnd w:id="180"/>
    <w:p>
      <w:pPr>
        <w:pStyle w:val="12"/>
        <w:tabs>
          <w:tab w:val="left" w:pos="4841"/>
        </w:tabs>
        <w:spacing w:beforeLines="0" w:afterLines="0" w:line="360" w:lineRule="auto"/>
        <w:ind w:left="0" w:leftChars="0"/>
        <w:rPr>
          <w:rFonts w:hint="default" w:ascii="宋体" w:hAnsi="宋体"/>
          <w:color w:val="auto"/>
          <w:sz w:val="21"/>
          <w:szCs w:val="22"/>
          <w:highlight w:val="none"/>
        </w:rPr>
      </w:pPr>
      <w:r>
        <w:t>户名：宁波市盛达工程管理咨询有限公司</w:t>
      </w:r>
    </w:p>
    <w:p>
      <w:pPr>
        <w:pStyle w:val="12"/>
        <w:tabs>
          <w:tab w:val="left" w:pos="4841"/>
        </w:tabs>
        <w:spacing w:beforeLines="0" w:afterLines="0" w:line="360" w:lineRule="auto"/>
        <w:ind w:left="0" w:leftChars="0"/>
        <w:rPr>
          <w:rFonts w:hint="default" w:ascii="宋体" w:hAnsi="宋体"/>
          <w:color w:val="auto"/>
          <w:sz w:val="21"/>
          <w:szCs w:val="22"/>
          <w:highlight w:val="none"/>
        </w:rPr>
      </w:pPr>
      <w:r>
        <w:t>开户银行：宁波银行南苑支行</w:t>
      </w:r>
    </w:p>
    <w:p>
      <w:pPr>
        <w:pStyle w:val="12"/>
        <w:tabs>
          <w:tab w:val="left" w:pos="4841"/>
        </w:tabs>
        <w:spacing w:beforeLines="0" w:afterLines="0" w:line="360" w:lineRule="auto"/>
        <w:ind w:left="0" w:leftChars="0"/>
        <w:rPr>
          <w:rFonts w:hint="default" w:ascii="宋体" w:hAnsi="宋体"/>
          <w:color w:val="auto"/>
          <w:sz w:val="21"/>
          <w:szCs w:val="24"/>
          <w:highlight w:val="none"/>
        </w:rPr>
        <w:sectPr>
          <w:headerReference r:id="rId4" w:type="default"/>
          <w:footerReference r:id="rId5" w:type="default"/>
          <w:pgSz w:w="11907" w:h="16840"/>
          <w:pgMar w:top="1134" w:right="1531" w:bottom="1276" w:left="1531" w:header="425" w:footer="709" w:gutter="0"/>
          <w:lnNumType w:countBy="0" w:distance="360"/>
          <w:cols w:space="720" w:num="1"/>
          <w:docGrid w:linePitch="285" w:charSpace="0"/>
        </w:sectPr>
      </w:pPr>
      <w:r>
        <w:t>账号：24040122000059033</w:t>
      </w:r>
    </w:p>
    <w:p>
      <w:pPr>
        <w:pStyle w:val="4"/>
        <w:spacing w:before="0" w:beforeLines="0" w:after="0" w:afterLines="0" w:line="240" w:lineRule="auto"/>
        <w:ind w:right="-567"/>
        <w:jc w:val="left"/>
        <w:rPr>
          <w:rFonts w:hint="default" w:ascii="宋体" w:hAnsi="宋体" w:eastAsia="宋体"/>
          <w:b w:val="0"/>
          <w:color w:val="auto"/>
          <w:sz w:val="21"/>
          <w:szCs w:val="21"/>
          <w:highlight w:val="none"/>
        </w:rPr>
      </w:pPr>
      <w:r>
        <w:t>格式  开标一览表</w:t>
      </w:r>
    </w:p>
    <w:p>
      <w:pPr>
        <w:spacing w:beforeLines="0" w:afterLines="0"/>
        <w:rPr>
          <w:rFonts w:hint="default" w:ascii="宋体" w:hAnsi="宋体"/>
          <w:color w:val="auto"/>
          <w:sz w:val="21"/>
          <w:szCs w:val="24"/>
          <w:highlight w:val="none"/>
        </w:rPr>
      </w:pPr>
      <w:r/>
    </w:p>
    <w:p>
      <w:pPr>
        <w:snapToGrid w:val="0"/>
        <w:spacing w:before="120" w:beforeLines="50" w:after="20" w:afterLines="0"/>
        <w:jc w:val="center"/>
        <w:rPr>
          <w:rFonts w:hint="default" w:ascii="宋体" w:hAnsi="宋体" w:cs="宋体"/>
          <w:b/>
          <w:color w:val="auto"/>
          <w:sz w:val="32"/>
          <w:szCs w:val="32"/>
          <w:highlight w:val="none"/>
        </w:rPr>
      </w:pPr>
      <w:r>
        <w:t>开标一览表</w:t>
      </w:r>
    </w:p>
    <w:p>
      <w:pPr>
        <w:snapToGrid w:val="0"/>
        <w:spacing w:before="50" w:beforeLines="0" w:after="50" w:afterLines="0" w:line="360" w:lineRule="auto"/>
        <w:rPr>
          <w:rFonts w:hint="default" w:ascii="宋体" w:hAnsi="宋体" w:cs="宋体"/>
          <w:color w:val="auto"/>
          <w:sz w:val="21"/>
          <w:szCs w:val="21"/>
          <w:highlight w:val="none"/>
        </w:rPr>
      </w:pPr>
      <w:r>
        <w:t xml:space="preserve">项目编号：                                                      </w:t>
      </w:r>
    </w:p>
    <w:p>
      <w:pPr>
        <w:snapToGrid w:val="0"/>
        <w:spacing w:before="50" w:beforeLines="0" w:after="50" w:afterLines="0" w:line="360" w:lineRule="auto"/>
        <w:rPr>
          <w:rFonts w:hint="default" w:ascii="宋体" w:hAnsi="宋体" w:cs="宋体"/>
          <w:color w:val="auto"/>
          <w:sz w:val="21"/>
          <w:szCs w:val="21"/>
          <w:highlight w:val="none"/>
        </w:rPr>
      </w:pPr>
      <w:r>
        <w:t>项目名称：宁波市海曙区高桥镇劳务外包服务项目</w:t>
      </w:r>
    </w:p>
    <w:tbl>
      <w:tblPr>
        <w:tblStyle w:val="21"/>
        <w:tblW w:w="94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2137"/>
        <w:gridCol w:w="725"/>
        <w:gridCol w:w="1080"/>
        <w:gridCol w:w="1763"/>
        <w:gridCol w:w="1250"/>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r>
              <w:t>序号</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r>
              <w:t>项目名称</w:t>
            </w:r>
          </w:p>
        </w:tc>
        <w:tc>
          <w:tcPr>
            <w:tcW w:w="180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r>
              <w:t>投标综合单价</w:t>
              <w:br/>
              <w:t>（元/人/年）</w:t>
            </w: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center"/>
          </w:tcPr>
          <w:p>
            <w:r>
              <w:t>投标综合单价</w:t>
              <w:br/>
              <w:t>（元/人/三年）</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r>
              <w:t>人数</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r>
              <w:t>投标总报价</w:t>
              <w:br/>
              <w:t>（元/三年）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r>
              <w:t>1</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r>
              <w:t>宁波市海曙区高桥镇劳务外包服务项目</w:t>
            </w:r>
          </w:p>
        </w:tc>
        <w:tc>
          <w:tcPr>
            <w:tcW w:w="180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r>
              <w:t xml:space="preserve">小写：        </w:t>
              <w:br/>
              <w:br/>
              <w:t xml:space="preserve">大写：       </w:t>
            </w: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center"/>
          </w:tcPr>
          <w:p>
            <w:r>
              <w:t xml:space="preserve">小写：        </w:t>
              <w:br/>
              <w:br/>
              <w:t xml:space="preserve">大写：       </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r>
              <w:t>60人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r>
              <w:t xml:space="preserve">小写：        </w:t>
              <w:br/>
              <w:br/>
              <w:t xml:space="preserve">大写：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r>
              <w:t>服务期</w:t>
            </w:r>
          </w:p>
        </w:tc>
        <w:tc>
          <w:tcPr>
            <w:tcW w:w="28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rPr>
                <w:rFonts w:hint="eastAsia" w:ascii="宋体" w:hAnsi="宋体" w:cs="宋体"/>
                <w:color w:val="auto"/>
                <w:sz w:val="21"/>
                <w:szCs w:val="21"/>
                <w:highlight w:val="none"/>
                <w:lang w:eastAsia="zh-CN"/>
              </w:rPr>
            </w:pPr>
          </w:p>
        </w:tc>
        <w:tc>
          <w:tcPr>
            <w:tcW w:w="590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r>
              <w:t>投标</w:t>
              <w:br/>
              <w:t>声明</w:t>
            </w:r>
          </w:p>
        </w:tc>
        <w:tc>
          <w:tcPr>
            <w:tcW w:w="286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ascii="宋体" w:hAnsi="宋体" w:cs="宋体"/>
                <w:color w:val="auto"/>
                <w:sz w:val="21"/>
                <w:szCs w:val="21"/>
                <w:highlight w:val="none"/>
              </w:rPr>
            </w:pPr>
          </w:p>
        </w:tc>
        <w:tc>
          <w:tcPr>
            <w:tcW w:w="590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ascii="宋体" w:hAnsi="宋体" w:cs="宋体"/>
                <w:color w:val="auto"/>
                <w:sz w:val="21"/>
                <w:szCs w:val="21"/>
                <w:highlight w:val="none"/>
              </w:rPr>
            </w:pPr>
          </w:p>
        </w:tc>
      </w:tr>
    </w:tbl>
    <w:p>
      <w:pPr>
        <w:pStyle w:val="12"/>
        <w:spacing w:beforeLines="0" w:afterLines="0"/>
        <w:ind w:right="420"/>
        <w:jc w:val="left"/>
        <w:rPr>
          <w:rFonts w:hint="default" w:ascii="宋体" w:hAnsi="宋体"/>
          <w:color w:val="auto"/>
          <w:sz w:val="21"/>
          <w:szCs w:val="24"/>
          <w:highlight w:val="none"/>
        </w:rPr>
      </w:pPr>
      <w:r>
        <w:t>注：1、报价一经涂改，应在涂改处加盖单位公章或者由法定代表人或授权委托方签字或盖章，否则其投标作无效标处理；2、报价四舍五入保留到整数位；3、投标报价若超出限价（投标总报价最高限价15300000元/三年；综合单价最高限价：85000元/人/年，255000元/人/三年）的将作无效标处理。</w:t>
      </w:r>
    </w:p>
    <w:p>
      <w:pPr>
        <w:pStyle w:val="12"/>
        <w:spacing w:beforeLines="0" w:afterLines="0"/>
        <w:ind w:right="420"/>
        <w:jc w:val="left"/>
        <w:rPr>
          <w:rFonts w:hint="default" w:ascii="宋体" w:hAnsi="宋体"/>
          <w:color w:val="auto"/>
          <w:sz w:val="21"/>
          <w:szCs w:val="24"/>
          <w:highlight w:val="none"/>
        </w:rPr>
      </w:pPr>
      <w:r/>
    </w:p>
    <w:p>
      <w:pPr>
        <w:pStyle w:val="12"/>
        <w:spacing w:beforeLines="0" w:afterLines="0"/>
        <w:ind w:right="420"/>
        <w:jc w:val="left"/>
        <w:rPr>
          <w:rFonts w:hint="default" w:ascii="宋体" w:hAnsi="宋体"/>
          <w:color w:val="auto"/>
          <w:sz w:val="21"/>
          <w:szCs w:val="24"/>
          <w:highlight w:val="none"/>
        </w:rPr>
      </w:pPr>
      <w:r/>
    </w:p>
    <w:p>
      <w:pPr>
        <w:pStyle w:val="12"/>
        <w:spacing w:beforeLines="0" w:afterLines="0"/>
        <w:ind w:right="420" w:firstLine="420" w:firstLineChars="200"/>
        <w:jc w:val="left"/>
        <w:rPr>
          <w:rFonts w:hint="default" w:ascii="宋体" w:hAnsi="宋体"/>
          <w:color w:val="auto"/>
          <w:sz w:val="21"/>
          <w:szCs w:val="24"/>
          <w:highlight w:val="none"/>
        </w:rPr>
      </w:pPr>
      <w:r>
        <w:t>投标人（盖章）：</w:t>
      </w:r>
    </w:p>
    <w:p>
      <w:pPr>
        <w:pStyle w:val="12"/>
        <w:spacing w:beforeLines="0" w:afterLines="0"/>
        <w:ind w:right="420" w:firstLineChars="200"/>
        <w:jc w:val="left"/>
        <w:rPr>
          <w:rFonts w:hint="default" w:ascii="宋体" w:hAnsi="宋体"/>
          <w:color w:val="auto"/>
          <w:sz w:val="21"/>
          <w:szCs w:val="24"/>
          <w:highlight w:val="none"/>
        </w:rPr>
      </w:pPr>
      <w:r/>
    </w:p>
    <w:p>
      <w:pPr>
        <w:pStyle w:val="12"/>
        <w:spacing w:beforeLines="0" w:afterLines="0"/>
        <w:ind w:right="420" w:firstLineChars="200"/>
        <w:jc w:val="left"/>
        <w:rPr>
          <w:rFonts w:hint="default" w:ascii="宋体" w:hAnsi="宋体"/>
          <w:color w:val="auto"/>
          <w:sz w:val="21"/>
          <w:szCs w:val="24"/>
          <w:highlight w:val="none"/>
        </w:rPr>
      </w:pPr>
      <w:r>
        <w:t>法定代表人或授权代表人（签字或盖章）：</w:t>
      </w:r>
    </w:p>
    <w:p>
      <w:pPr>
        <w:pStyle w:val="12"/>
        <w:spacing w:beforeLines="0" w:afterLines="0"/>
        <w:ind w:right="420" w:firstLineChars="200"/>
        <w:jc w:val="left"/>
        <w:rPr>
          <w:rFonts w:hint="default" w:ascii="宋体" w:hAnsi="宋体"/>
          <w:color w:val="auto"/>
          <w:sz w:val="21"/>
          <w:szCs w:val="24"/>
          <w:highlight w:val="none"/>
        </w:rPr>
      </w:pPr>
      <w:r/>
    </w:p>
    <w:p>
      <w:pPr>
        <w:pStyle w:val="12"/>
        <w:spacing w:beforeLines="0" w:afterLines="0"/>
        <w:ind w:right="420" w:firstLineChars="200"/>
        <w:jc w:val="left"/>
        <w:rPr>
          <w:rFonts w:hint="default" w:ascii="宋体" w:hAnsi="宋体"/>
          <w:color w:val="auto"/>
          <w:sz w:val="21"/>
          <w:szCs w:val="24"/>
          <w:highlight w:val="none"/>
        </w:rPr>
      </w:pPr>
      <w:r>
        <w:t>日期：</w:t>
      </w:r>
    </w:p>
    <w:p>
      <w:pPr>
        <w:pStyle w:val="12"/>
        <w:spacing w:beforeLines="0" w:afterLines="0"/>
        <w:ind w:right="420" w:firstLineChars="200"/>
        <w:jc w:val="left"/>
        <w:rPr>
          <w:rFonts w:hint="default" w:ascii="宋体" w:hAnsi="宋体"/>
          <w:color w:val="auto"/>
          <w:sz w:val="21"/>
          <w:szCs w:val="24"/>
          <w:highlight w:val="none"/>
        </w:rPr>
      </w:pPr>
      <w:r/>
    </w:p>
    <w:p>
      <w:pPr>
        <w:pStyle w:val="12"/>
        <w:spacing w:beforeLines="0" w:afterLines="0"/>
        <w:ind w:right="420"/>
        <w:jc w:val="left"/>
        <w:rPr>
          <w:rFonts w:hint="default" w:ascii="宋体" w:hAnsi="宋体"/>
          <w:color w:val="auto"/>
          <w:sz w:val="21"/>
          <w:szCs w:val="24"/>
          <w:highlight w:val="none"/>
        </w:rPr>
      </w:pPr>
      <w:r/>
    </w:p>
    <w:p>
      <w:pPr>
        <w:pStyle w:val="12"/>
        <w:spacing w:beforeLines="0" w:afterLines="0"/>
        <w:ind w:right="420" w:firstLineChars="200"/>
        <w:jc w:val="left"/>
        <w:rPr>
          <w:rFonts w:hint="default" w:ascii="宋体" w:hAnsi="宋体"/>
          <w:color w:val="auto"/>
          <w:sz w:val="21"/>
          <w:szCs w:val="24"/>
          <w:highlight w:val="none"/>
        </w:rPr>
        <w:sectPr>
          <w:pgSz w:w="11907" w:h="16840"/>
          <w:pgMar w:top="1134" w:right="1531" w:bottom="1134" w:left="1531" w:header="425" w:footer="709" w:gutter="0"/>
          <w:lnNumType w:countBy="0" w:distance="360"/>
          <w:cols w:space="720" w:num="1"/>
          <w:docGrid w:linePitch="285" w:charSpace="0"/>
        </w:sectPr>
      </w:pPr>
      <w:r/>
    </w:p>
    <w:p>
      <w:pPr>
        <w:spacing w:beforeLines="0" w:afterLines="0"/>
        <w:rPr>
          <w:rFonts w:hint="default" w:ascii="宋体" w:hAnsi="宋体"/>
          <w:color w:val="auto"/>
          <w:sz w:val="18"/>
          <w:szCs w:val="18"/>
          <w:highlight w:val="none"/>
        </w:rPr>
      </w:pPr>
      <w:r/>
    </w:p>
    <w:bookmarkEnd w:id="184"/>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cs="宋体"/>
          <w:color w:val="auto"/>
          <w:sz w:val="32"/>
          <w:szCs w:val="32"/>
          <w:highlight w:val="none"/>
        </w:rPr>
      </w:pPr>
      <w:r>
        <w:t>符合性自查表</w:t>
      </w:r>
    </w:p>
    <w:tbl>
      <w:tblPr>
        <w:tblStyle w:val="21"/>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49"/>
        <w:gridCol w:w="4826"/>
        <w:gridCol w:w="1448"/>
        <w:gridCol w:w="20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tcBorders>
              <w:top w:val="single" w:color="auto" w:sz="12" w:space="0"/>
              <w:left w:val="single" w:color="auto" w:sz="12" w:space="0"/>
              <w:bottom w:val="outset" w:color="000000" w:sz="6" w:space="0"/>
              <w:right w:val="outset" w:color="000000" w:sz="6" w:space="0"/>
              <w:tl2br w:val="nil"/>
              <w:tr2bl w:val="nil"/>
            </w:tcBorders>
            <w:noWrap w:val="0"/>
            <w:vAlign w:val="center"/>
          </w:tcPr>
          <w:p>
            <w:r>
              <w:t>评审内容</w:t>
            </w:r>
          </w:p>
        </w:tc>
        <w:tc>
          <w:tcPr>
            <w:tcW w:w="4826" w:type="dxa"/>
            <w:tcBorders>
              <w:top w:val="single" w:color="auto" w:sz="12" w:space="0"/>
              <w:left w:val="outset" w:color="000000" w:sz="6" w:space="0"/>
              <w:bottom w:val="outset" w:color="000000" w:sz="6" w:space="0"/>
              <w:right w:val="outset" w:color="000000" w:sz="6" w:space="0"/>
              <w:tl2br w:val="nil"/>
              <w:tr2bl w:val="nil"/>
            </w:tcBorders>
            <w:noWrap w:val="0"/>
            <w:vAlign w:val="center"/>
          </w:tcPr>
          <w:p>
            <w:r>
              <w:t>采购文件要求</w:t>
            </w:r>
          </w:p>
        </w:tc>
        <w:tc>
          <w:tcPr>
            <w:tcW w:w="1448" w:type="dxa"/>
            <w:tcBorders>
              <w:top w:val="single" w:color="auto" w:sz="12" w:space="0"/>
              <w:left w:val="outset" w:color="000000" w:sz="6" w:space="0"/>
              <w:bottom w:val="outset" w:color="000000" w:sz="6" w:space="0"/>
              <w:right w:val="outset" w:color="000000" w:sz="6" w:space="0"/>
              <w:tl2br w:val="nil"/>
              <w:tr2bl w:val="nil"/>
            </w:tcBorders>
            <w:noWrap w:val="0"/>
            <w:vAlign w:val="center"/>
          </w:tcPr>
          <w:p>
            <w:r>
              <w:t>自查结论</w:t>
            </w:r>
          </w:p>
        </w:tc>
        <w:tc>
          <w:tcPr>
            <w:tcW w:w="2001" w:type="dxa"/>
            <w:tcBorders>
              <w:top w:val="single" w:color="auto" w:sz="12" w:space="0"/>
              <w:left w:val="outset" w:color="000000" w:sz="6" w:space="0"/>
              <w:bottom w:val="outset" w:color="000000" w:sz="6" w:space="0"/>
              <w:right w:val="single" w:color="auto" w:sz="12" w:space="0"/>
              <w:tl2br w:val="nil"/>
              <w:tr2bl w:val="nil"/>
            </w:tcBorders>
            <w:noWrap w:val="0"/>
            <w:vAlign w:val="center"/>
          </w:tcPr>
          <w:p>
            <w: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restart"/>
            <w:tcBorders>
              <w:top w:val="outset" w:color="000000" w:sz="6" w:space="0"/>
              <w:left w:val="single" w:color="auto" w:sz="12" w:space="0"/>
              <w:bottom w:val="nil"/>
              <w:right w:val="outset" w:color="000000" w:sz="6" w:space="0"/>
              <w:tl2br w:val="nil"/>
              <w:tr2bl w:val="nil"/>
            </w:tcBorders>
            <w:noWrap w:val="0"/>
            <w:vAlign w:val="center"/>
          </w:tcPr>
          <w:p>
            <w:r>
              <w:t>符</w:t>
              <w:br/>
              <w:t>合</w:t>
              <w:br/>
              <w:t>性</w:t>
              <w:br/>
              <w:t>审</w:t>
              <w:br/>
              <w:t>查</w:t>
            </w:r>
          </w:p>
        </w:tc>
        <w:tc>
          <w:tcPr>
            <w:tcW w:w="4826" w:type="dxa"/>
            <w:tcBorders>
              <w:top w:val="outset" w:color="000000" w:sz="6" w:space="0"/>
              <w:left w:val="outset" w:color="000000" w:sz="6" w:space="0"/>
              <w:bottom w:val="nil"/>
              <w:right w:val="outset" w:color="000000" w:sz="6" w:space="0"/>
              <w:tl2br w:val="nil"/>
              <w:tr2bl w:val="nil"/>
            </w:tcBorders>
            <w:noWrap w:val="0"/>
            <w:vAlign w:val="center"/>
          </w:tcPr>
          <w:p>
            <w:r>
              <w:t>1、投标人按招标文件要求签署、签章；</w:t>
            </w:r>
          </w:p>
        </w:tc>
        <w:tc>
          <w:tcPr>
            <w:tcW w:w="1448" w:type="dxa"/>
            <w:tcBorders>
              <w:top w:val="outset" w:color="000000" w:sz="6" w:space="0"/>
              <w:left w:val="outset" w:color="000000" w:sz="6" w:space="0"/>
              <w:bottom w:val="nil"/>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nil"/>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2、投标有效期满足招标文件要求；</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3、投标文件完全满足招标文件的实质性条款（即标注★号条款）无负偏离的；</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4、投标文件没有采购人不能接受的附加的条件；</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5、委托人提供法定代表人授权委托书，填写项目齐全；</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6、投标文件提供资料齐全并且不存在内容虚假；</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77"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7、投标文件的实质性内容使用中文表述、表述明确、前后不存在矛盾且使用计量单位均符合招标文件要求；</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21"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8、投标文件的关键内容字迹清晰、能够辨认，且投标文件中经修正的内容（如有）字迹清晰可以辩认并且修改处均按规定签署、盖章；</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9、不含法律、法规和招标文件规定的其他无效情形；</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10、报价未超过采购文件中规定的预算金额或者最高限价的；</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nil"/>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11、采用招标文件要求的报价形式报价的；</w:t>
            </w:r>
          </w:p>
        </w:tc>
        <w:tc>
          <w:tcPr>
            <w:tcW w:w="1448" w:type="dxa"/>
            <w:tcBorders>
              <w:top w:val="outset" w:color="000000" w:sz="6" w:space="0"/>
              <w:left w:val="outset" w:color="000000" w:sz="6" w:space="0"/>
              <w:bottom w:val="outset" w:color="000000" w:sz="6"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outset" w:color="000000" w:sz="6" w:space="0"/>
              <w:right w:val="single" w:color="auto" w:sz="12" w:space="0"/>
              <w:tl2br w:val="nil"/>
              <w:tr2bl w:val="nil"/>
            </w:tcBorders>
            <w:noWrap w:val="0"/>
            <w:vAlign w:val="center"/>
          </w:tcPr>
          <w:p>
            <w: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794" w:hRule="exact"/>
          <w:jc w:val="center"/>
        </w:trPr>
        <w:tc>
          <w:tcPr>
            <w:tcW w:w="849" w:type="dxa"/>
            <w:vMerge w:val="continue"/>
            <w:tcBorders>
              <w:top w:val="nil"/>
              <w:left w:val="single" w:color="auto" w:sz="12" w:space="0"/>
              <w:bottom w:val="single" w:color="auto" w:sz="12" w:space="0"/>
              <w:right w:val="outset" w:color="000000" w:sz="6" w:space="0"/>
              <w:tl2br w:val="nil"/>
              <w:tr2bl w:val="nil"/>
            </w:tcBorders>
            <w:noWrap w:val="0"/>
            <w:vAlign w:val="center"/>
          </w:tcPr>
          <w:p>
            <w:pPr>
              <w:spacing w:beforeLines="0" w:afterLines="0" w:line="300" w:lineRule="exact"/>
              <w:rPr>
                <w:rFonts w:hint="default" w:cs="宋体"/>
                <w:color w:val="auto"/>
                <w:sz w:val="21"/>
                <w:szCs w:val="21"/>
                <w:highlight w:val="none"/>
              </w:rPr>
            </w:pPr>
          </w:p>
        </w:tc>
        <w:tc>
          <w:tcPr>
            <w:tcW w:w="4826" w:type="dxa"/>
            <w:tcBorders>
              <w:top w:val="outset" w:color="000000" w:sz="6" w:space="0"/>
              <w:left w:val="outset" w:color="000000" w:sz="6" w:space="0"/>
              <w:bottom w:val="single" w:color="auto" w:sz="12" w:space="0"/>
              <w:right w:val="outset" w:color="000000" w:sz="6" w:space="0"/>
              <w:tl2br w:val="nil"/>
              <w:tr2bl w:val="nil"/>
            </w:tcBorders>
            <w:noWrap w:val="0"/>
            <w:vAlign w:val="center"/>
          </w:tcPr>
          <w:p>
            <w:r>
              <w:t>12、投标报价不具有选择性的。</w:t>
            </w:r>
          </w:p>
        </w:tc>
        <w:tc>
          <w:tcPr>
            <w:tcW w:w="1448" w:type="dxa"/>
            <w:tcBorders>
              <w:top w:val="outset" w:color="000000" w:sz="6" w:space="0"/>
              <w:left w:val="outset" w:color="000000" w:sz="6" w:space="0"/>
              <w:bottom w:val="single" w:color="auto" w:sz="12" w:space="0"/>
              <w:right w:val="outset" w:color="000000" w:sz="6" w:space="0"/>
              <w:tl2br w:val="nil"/>
              <w:tr2bl w:val="nil"/>
            </w:tcBorders>
            <w:noWrap w:val="0"/>
            <w:vAlign w:val="center"/>
          </w:tcPr>
          <w:p>
            <w:r>
              <w:t xml:space="preserve">□通过 </w:t>
              <w:br/>
              <w:t>□不通过</w:t>
            </w:r>
          </w:p>
        </w:tc>
        <w:tc>
          <w:tcPr>
            <w:tcW w:w="2001" w:type="dxa"/>
            <w:tcBorders>
              <w:top w:val="outset" w:color="000000" w:sz="6" w:space="0"/>
              <w:left w:val="outset" w:color="000000" w:sz="6" w:space="0"/>
              <w:bottom w:val="single" w:color="auto" w:sz="12" w:space="0"/>
              <w:right w:val="single" w:color="auto" w:sz="12" w:space="0"/>
              <w:tl2br w:val="nil"/>
              <w:tr2bl w:val="nil"/>
            </w:tcBorders>
            <w:noWrap w:val="0"/>
            <w:vAlign w:val="center"/>
          </w:tcPr>
          <w:p>
            <w:r>
              <w:t>/</w:t>
            </w:r>
          </w:p>
        </w:tc>
      </w:tr>
    </w:tbl>
    <w:p>
      <w:pPr>
        <w:spacing w:beforeLines="0" w:afterLines="0" w:line="360" w:lineRule="auto"/>
        <w:outlineLvl w:val="1"/>
        <w:rPr>
          <w:rFonts w:hint="default" w:ascii="宋体" w:hAnsi="宋体"/>
          <w:color w:val="auto"/>
          <w:sz w:val="21"/>
          <w:szCs w:val="21"/>
          <w:highlight w:val="none"/>
        </w:rPr>
      </w:pPr>
      <w:r>
        <w:t>备注：投标人自查表将作为投标投标人有效性审查的重要内容之一，投标投标人请按照其内容及序列要求在投标文件中对应如实提供。</w:t>
      </w:r>
    </w:p>
    <w:p>
      <w:pPr>
        <w:pStyle w:val="11"/>
        <w:spacing w:beforeLines="0" w:afterLines="0"/>
        <w:ind w:firstLine="210"/>
        <w:rPr>
          <w:rFonts w:hint="default" w:hAnsi="宋体"/>
          <w:color w:val="auto"/>
          <w:sz w:val="28"/>
          <w:szCs w:val="24"/>
          <w:highlight w:val="none"/>
        </w:rPr>
        <w:sectPr>
          <w:pgSz w:w="11907" w:h="16840"/>
          <w:pgMar w:top="1134" w:right="1531" w:bottom="1134" w:left="1531" w:header="425" w:footer="709" w:gutter="0"/>
          <w:lnNumType w:countBy="0" w:distance="360"/>
          <w:cols w:space="720" w:num="1"/>
          <w:docGrid w:linePitch="286" w:charSpace="0"/>
        </w:sectPr>
      </w:pPr>
      <w:r/>
    </w:p>
    <w:p>
      <w:pPr>
        <w:pStyle w:val="4"/>
        <w:spacing w:before="0" w:beforeLines="0" w:after="0" w:afterLines="0" w:line="240" w:lineRule="auto"/>
        <w:ind w:right="-567"/>
        <w:jc w:val="left"/>
        <w:rPr>
          <w:rFonts w:hint="default" w:ascii="宋体" w:hAnsi="宋体" w:eastAsia="宋体"/>
          <w:color w:val="auto"/>
          <w:sz w:val="32"/>
          <w:szCs w:val="32"/>
          <w:highlight w:val="none"/>
        </w:rPr>
      </w:pPr>
      <w:r>
        <w:t>格式  法定代表人授权书</w:t>
      </w:r>
    </w:p>
    <w:p>
      <w:pPr>
        <w:pStyle w:val="12"/>
        <w:spacing w:beforeLines="0" w:afterLines="0"/>
        <w:jc w:val="center"/>
        <w:rPr>
          <w:rFonts w:hint="default" w:ascii="宋体" w:hAnsi="宋体"/>
          <w:color w:val="auto"/>
          <w:sz w:val="28"/>
          <w:szCs w:val="24"/>
          <w:highlight w:val="none"/>
        </w:rPr>
      </w:pPr>
      <w:r/>
    </w:p>
    <w:p>
      <w:pPr>
        <w:pStyle w:val="3"/>
        <w:spacing w:beforeLines="0" w:after="120" w:afterLines="50" w:line="360" w:lineRule="exact"/>
        <w:rPr>
          <w:rFonts w:hint="default" w:hAnsi="宋体"/>
          <w:color w:val="auto"/>
          <w:sz w:val="32"/>
          <w:szCs w:val="32"/>
          <w:highlight w:val="none"/>
        </w:rPr>
      </w:pPr>
      <w:r>
        <w:t>法定代表人授权书</w:t>
      </w:r>
    </w:p>
    <w:p>
      <w:pPr>
        <w:pStyle w:val="12"/>
        <w:spacing w:beforeLines="0" w:afterLines="0"/>
        <w:jc w:val="center"/>
        <w:rPr>
          <w:rFonts w:hint="default" w:ascii="宋体" w:hAnsi="宋体"/>
          <w:color w:val="auto"/>
          <w:sz w:val="21"/>
          <w:szCs w:val="24"/>
          <w:highlight w:val="none"/>
        </w:rPr>
      </w:pPr>
      <w:r/>
    </w:p>
    <w:p>
      <w:pPr>
        <w:pStyle w:val="12"/>
        <w:spacing w:beforeLines="0" w:afterLines="0"/>
        <w:rPr>
          <w:rFonts w:hint="default" w:ascii="宋体" w:hAnsi="宋体"/>
          <w:color w:val="auto"/>
          <w:sz w:val="21"/>
          <w:szCs w:val="24"/>
          <w:highlight w:val="none"/>
        </w:rPr>
      </w:pPr>
      <w:r/>
    </w:p>
    <w:p>
      <w:pPr>
        <w:pStyle w:val="12"/>
        <w:spacing w:beforeLines="0" w:afterLines="0" w:line="360" w:lineRule="auto"/>
        <w:rPr>
          <w:rFonts w:hint="default" w:ascii="宋体" w:hAnsi="宋体"/>
          <w:color w:val="auto"/>
          <w:sz w:val="21"/>
          <w:szCs w:val="21"/>
          <w:highlight w:val="none"/>
        </w:rPr>
      </w:pPr>
      <w:r>
        <w:t>致：宁波市盛达工程管理咨询有限公司</w:t>
      </w:r>
    </w:p>
    <w:p>
      <w:pPr>
        <w:pStyle w:val="12"/>
        <w:spacing w:beforeLines="0" w:afterLines="0" w:line="360" w:lineRule="auto"/>
        <w:rPr>
          <w:rFonts w:hint="default" w:ascii="宋体" w:hAnsi="宋体"/>
          <w:color w:val="auto"/>
          <w:sz w:val="21"/>
          <w:szCs w:val="21"/>
          <w:highlight w:val="none"/>
        </w:rPr>
      </w:pPr>
      <w:r/>
    </w:p>
    <w:p>
      <w:pPr>
        <w:pStyle w:val="12"/>
        <w:spacing w:before="120" w:beforeLines="50" w:afterLines="50" w:line="360" w:lineRule="auto"/>
        <w:ind w:right="340" w:firstLine="516"/>
        <w:rPr>
          <w:rFonts w:hint="default" w:ascii="宋体" w:hAnsi="宋体"/>
          <w:color w:val="auto"/>
          <w:sz w:val="21"/>
          <w:szCs w:val="21"/>
          <w:highlight w:val="none"/>
        </w:rPr>
      </w:pPr>
      <w:r>
        <w:t>（投标人全称）法定代表人（姓名、职务）授权（被授权代表姓名、职务）为本公司合法代理人，参加贵采购代理机构组织的   （项目编号）（项目名称）                      项目的招标投标活动，全权代表本公司处理招标投标活动中的一切事宜。</w:t>
      </w:r>
    </w:p>
    <w:p>
      <w:pPr>
        <w:pStyle w:val="12"/>
        <w:spacing w:before="120" w:beforeLines="50" w:afterLines="50" w:line="360" w:lineRule="auto"/>
        <w:ind w:firstLine="426"/>
        <w:rPr>
          <w:rFonts w:hint="default" w:ascii="宋体" w:hAnsi="宋体"/>
          <w:color w:val="auto"/>
          <w:sz w:val="21"/>
          <w:szCs w:val="21"/>
          <w:highlight w:val="none"/>
          <w:u w:val="single"/>
        </w:rPr>
      </w:pPr>
      <w:r>
        <w:t>本授权书于年月日签字（或盖章）生效，特此声明。</w:t>
      </w:r>
    </w:p>
    <w:p>
      <w:pPr>
        <w:spacing w:beforeLines="0" w:afterLines="0" w:line="360" w:lineRule="auto"/>
        <w:rPr>
          <w:rFonts w:hint="default" w:ascii="宋体" w:hAnsi="宋体"/>
          <w:color w:val="auto"/>
          <w:sz w:val="21"/>
          <w:szCs w:val="21"/>
          <w:highlight w:val="none"/>
        </w:rPr>
      </w:pPr>
      <w:r>
        <w:t>（后附被授权人身份证正反面复印件）</w:t>
      </w:r>
    </w:p>
    <w:p>
      <w:pPr>
        <w:pStyle w:val="12"/>
        <w:spacing w:beforeLines="0" w:afterLines="0" w:line="360" w:lineRule="auto"/>
        <w:rPr>
          <w:rFonts w:hint="default" w:ascii="宋体" w:hAnsi="宋体"/>
          <w:color w:val="auto"/>
          <w:sz w:val="21"/>
          <w:szCs w:val="21"/>
          <w:highlight w:val="none"/>
        </w:rPr>
      </w:pPr>
      <w:r/>
    </w:p>
    <w:p>
      <w:pPr>
        <w:pStyle w:val="12"/>
        <w:spacing w:beforeLines="0" w:afterLines="0" w:line="360" w:lineRule="auto"/>
        <w:rPr>
          <w:rFonts w:hint="default" w:ascii="宋体" w:hAnsi="宋体"/>
          <w:color w:val="auto"/>
          <w:sz w:val="21"/>
          <w:szCs w:val="21"/>
          <w:highlight w:val="none"/>
        </w:rPr>
      </w:pPr>
      <w:r/>
    </w:p>
    <w:p>
      <w:pPr>
        <w:pStyle w:val="12"/>
        <w:spacing w:beforeLines="0" w:afterLines="0" w:line="360" w:lineRule="auto"/>
        <w:ind w:left="3969"/>
        <w:rPr>
          <w:rFonts w:hint="default" w:ascii="宋体" w:hAnsi="宋体"/>
          <w:color w:val="auto"/>
          <w:sz w:val="21"/>
          <w:szCs w:val="21"/>
          <w:highlight w:val="none"/>
        </w:rPr>
      </w:pPr>
      <w:r>
        <w:t>法定代表人（签字或盖章）：</w:t>
      </w:r>
    </w:p>
    <w:p>
      <w:pPr>
        <w:pStyle w:val="12"/>
        <w:spacing w:beforeLines="0" w:afterLines="0" w:line="360" w:lineRule="auto"/>
        <w:rPr>
          <w:rFonts w:hint="default" w:ascii="宋体" w:hAnsi="宋体"/>
          <w:color w:val="auto"/>
          <w:sz w:val="21"/>
          <w:szCs w:val="21"/>
          <w:highlight w:val="none"/>
        </w:rPr>
      </w:pPr>
      <w:r/>
    </w:p>
    <w:p>
      <w:pPr>
        <w:pStyle w:val="12"/>
        <w:spacing w:beforeLines="0" w:afterLines="0" w:line="360" w:lineRule="auto"/>
        <w:ind w:left="3969"/>
        <w:rPr>
          <w:rFonts w:hint="default" w:ascii="宋体" w:hAnsi="宋体"/>
          <w:color w:val="auto"/>
          <w:sz w:val="21"/>
          <w:szCs w:val="21"/>
          <w:highlight w:val="none"/>
        </w:rPr>
      </w:pPr>
      <w:r>
        <w:t>投标人（盖章）：</w:t>
      </w:r>
    </w:p>
    <w:p>
      <w:pPr>
        <w:pStyle w:val="12"/>
        <w:spacing w:beforeLines="0" w:afterLines="0" w:line="360" w:lineRule="auto"/>
        <w:rPr>
          <w:rFonts w:hint="default" w:ascii="宋体" w:hAnsi="宋体"/>
          <w:color w:val="auto"/>
          <w:sz w:val="21"/>
          <w:szCs w:val="21"/>
          <w:highlight w:val="none"/>
        </w:rPr>
      </w:pPr>
      <w:r/>
    </w:p>
    <w:p>
      <w:pPr>
        <w:pStyle w:val="12"/>
        <w:spacing w:beforeLines="0" w:afterLines="0" w:line="360" w:lineRule="auto"/>
        <w:ind w:left="3969"/>
        <w:rPr>
          <w:rFonts w:hint="default" w:ascii="宋体" w:hAnsi="宋体"/>
          <w:color w:val="auto"/>
          <w:sz w:val="21"/>
          <w:szCs w:val="21"/>
          <w:highlight w:val="none"/>
        </w:rPr>
      </w:pPr>
      <w:r>
        <w:t>日期：</w:t>
      </w:r>
    </w:p>
    <w:p>
      <w:pPr>
        <w:pStyle w:val="12"/>
        <w:spacing w:beforeLines="0" w:afterLines="0" w:line="360" w:lineRule="auto"/>
        <w:rPr>
          <w:rFonts w:hint="default" w:ascii="宋体" w:hAnsi="宋体"/>
          <w:color w:val="auto"/>
          <w:sz w:val="21"/>
          <w:szCs w:val="21"/>
          <w:highlight w:val="none"/>
        </w:rPr>
      </w:pPr>
      <w:r/>
    </w:p>
    <w:p>
      <w:pPr>
        <w:pStyle w:val="12"/>
        <w:spacing w:beforeLines="0" w:afterLines="0" w:line="360" w:lineRule="auto"/>
        <w:rPr>
          <w:rFonts w:hint="default" w:ascii="宋体" w:hAnsi="宋体"/>
          <w:color w:val="auto"/>
          <w:sz w:val="21"/>
          <w:szCs w:val="21"/>
          <w:highlight w:val="none"/>
        </w:rPr>
      </w:pPr>
      <w:r>
        <w:t>附：</w:t>
      </w:r>
    </w:p>
    <w:p>
      <w:pPr>
        <w:pStyle w:val="12"/>
        <w:spacing w:before="60" w:beforeLines="0" w:after="60" w:afterLines="0" w:line="360" w:lineRule="auto"/>
        <w:ind w:left="306"/>
        <w:rPr>
          <w:rFonts w:hint="default" w:ascii="宋体" w:hAnsi="宋体"/>
          <w:color w:val="auto"/>
          <w:sz w:val="21"/>
          <w:szCs w:val="21"/>
          <w:highlight w:val="none"/>
        </w:rPr>
      </w:pPr>
      <w:r>
        <w:t>被授权人姓名（印刷体）：</w:t>
      </w:r>
    </w:p>
    <w:p>
      <w:pPr>
        <w:pStyle w:val="12"/>
        <w:spacing w:before="60" w:beforeLines="0" w:after="60" w:afterLines="0" w:line="360" w:lineRule="auto"/>
        <w:ind w:left="306"/>
        <w:rPr>
          <w:rFonts w:hint="default" w:ascii="宋体" w:hAnsi="宋体"/>
          <w:color w:val="auto"/>
          <w:sz w:val="21"/>
          <w:szCs w:val="21"/>
          <w:highlight w:val="none"/>
        </w:rPr>
      </w:pPr>
      <w:r>
        <w:t>职务：</w:t>
      </w:r>
    </w:p>
    <w:p>
      <w:pPr>
        <w:pStyle w:val="12"/>
        <w:spacing w:before="60" w:beforeLines="0" w:after="60" w:afterLines="0" w:line="360" w:lineRule="auto"/>
        <w:ind w:left="306"/>
        <w:rPr>
          <w:rFonts w:hint="default" w:ascii="宋体" w:hAnsi="宋体"/>
          <w:color w:val="auto"/>
          <w:sz w:val="21"/>
          <w:szCs w:val="21"/>
          <w:highlight w:val="none"/>
        </w:rPr>
      </w:pPr>
      <w:r>
        <w:t>被授权人（签字或盖章）：</w:t>
      </w:r>
    </w:p>
    <w:p>
      <w:pPr>
        <w:pStyle w:val="12"/>
        <w:spacing w:before="60" w:beforeLines="0" w:after="60" w:afterLines="0" w:line="360" w:lineRule="auto"/>
        <w:ind w:left="306"/>
        <w:rPr>
          <w:rFonts w:hint="default" w:ascii="宋体" w:hAnsi="宋体"/>
          <w:color w:val="auto"/>
          <w:sz w:val="21"/>
          <w:szCs w:val="21"/>
          <w:highlight w:val="none"/>
        </w:rPr>
      </w:pPr>
      <w:r>
        <w:t>详细通讯地址：</w:t>
      </w:r>
    </w:p>
    <w:p>
      <w:pPr>
        <w:pStyle w:val="12"/>
        <w:spacing w:before="60" w:beforeLines="0" w:after="60" w:afterLines="0" w:line="360" w:lineRule="auto"/>
        <w:ind w:left="306"/>
        <w:rPr>
          <w:rFonts w:hint="default" w:ascii="宋体" w:hAnsi="宋体"/>
          <w:color w:val="auto"/>
          <w:sz w:val="21"/>
          <w:szCs w:val="21"/>
          <w:highlight w:val="none"/>
        </w:rPr>
      </w:pPr>
      <w:r>
        <w:t>传真：</w:t>
      </w:r>
    </w:p>
    <w:p>
      <w:pPr>
        <w:pStyle w:val="12"/>
        <w:spacing w:before="60" w:beforeLines="0" w:after="60" w:afterLines="0" w:line="360" w:lineRule="auto"/>
        <w:ind w:left="306"/>
        <w:rPr>
          <w:rFonts w:hint="default" w:ascii="宋体" w:hAnsi="宋体"/>
          <w:color w:val="auto"/>
          <w:sz w:val="21"/>
          <w:szCs w:val="21"/>
          <w:highlight w:val="none"/>
        </w:rPr>
      </w:pPr>
      <w:r>
        <w:t>电话：</w:t>
      </w:r>
    </w:p>
    <w:p>
      <w:pPr>
        <w:pStyle w:val="3"/>
        <w:spacing w:beforeLines="0" w:after="120" w:afterLines="50" w:line="360" w:lineRule="exact"/>
        <w:rPr>
          <w:rFonts w:hint="default" w:hAnsi="宋体"/>
          <w:b w:val="0"/>
          <w:color w:val="auto"/>
          <w:sz w:val="24"/>
          <w:szCs w:val="44"/>
          <w:highlight w:val="none"/>
        </w:rPr>
      </w:pPr>
      <w:r>
        <w:t>法定代表人身份证明书</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u w:val="single"/>
        </w:rPr>
      </w:pPr>
      <w:r>
        <w:t>单位名称：</w:t>
      </w:r>
    </w:p>
    <w:p>
      <w:pPr>
        <w:spacing w:beforeLines="0" w:afterLines="0" w:line="360" w:lineRule="auto"/>
        <w:rPr>
          <w:rFonts w:hint="default" w:ascii="宋体" w:hAnsi="宋体"/>
          <w:color w:val="auto"/>
          <w:sz w:val="21"/>
          <w:szCs w:val="21"/>
          <w:highlight w:val="none"/>
        </w:rPr>
      </w:pPr>
      <w:r>
        <w:t>地    址：</w:t>
      </w:r>
    </w:p>
    <w:p>
      <w:pPr>
        <w:spacing w:beforeLines="0" w:afterLines="0" w:line="360" w:lineRule="auto"/>
        <w:rPr>
          <w:rFonts w:hint="default" w:ascii="宋体" w:hAnsi="宋体"/>
          <w:color w:val="auto"/>
          <w:sz w:val="21"/>
          <w:szCs w:val="21"/>
          <w:highlight w:val="none"/>
        </w:rPr>
      </w:pPr>
      <w:r>
        <w:t>姓    名：  性    别：</w:t>
      </w:r>
    </w:p>
    <w:p>
      <w:pPr>
        <w:spacing w:beforeLines="0" w:afterLines="0" w:line="360" w:lineRule="auto"/>
        <w:rPr>
          <w:rFonts w:hint="default" w:ascii="宋体" w:hAnsi="宋体"/>
          <w:color w:val="auto"/>
          <w:sz w:val="21"/>
          <w:szCs w:val="21"/>
          <w:highlight w:val="none"/>
        </w:rPr>
      </w:pPr>
      <w:r>
        <w:t>年    龄：  职    务：</w:t>
      </w:r>
    </w:p>
    <w:p>
      <w:pPr>
        <w:spacing w:beforeLines="0" w:afterLines="0" w:line="360" w:lineRule="auto"/>
        <w:rPr>
          <w:rFonts w:hint="default" w:ascii="宋体" w:hAnsi="宋体"/>
          <w:color w:val="auto"/>
          <w:sz w:val="21"/>
          <w:szCs w:val="21"/>
          <w:highlight w:val="none"/>
        </w:rPr>
      </w:pPr>
      <w:r>
        <w:t>身份证号码：系（投标人单位全称）的法定代表人。</w:t>
      </w:r>
    </w:p>
    <w:p>
      <w:pPr>
        <w:spacing w:beforeLines="0" w:afterLines="0" w:line="360" w:lineRule="auto"/>
        <w:rPr>
          <w:rFonts w:hint="default" w:ascii="宋体" w:hAnsi="宋体"/>
          <w:color w:val="auto"/>
          <w:sz w:val="21"/>
          <w:szCs w:val="21"/>
          <w:highlight w:val="none"/>
        </w:rPr>
      </w:pPr>
      <w:r>
        <w:t xml:space="preserve">    特此证明。</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t>（后附法定代表人身份证正反面复印件）</w:t>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p>
    <w:p>
      <w:pPr>
        <w:spacing w:beforeLines="0" w:afterLines="0" w:line="360" w:lineRule="auto"/>
        <w:rPr>
          <w:rFonts w:hint="default" w:ascii="宋体" w:hAnsi="宋体"/>
          <w:color w:val="auto"/>
          <w:sz w:val="21"/>
          <w:szCs w:val="21"/>
          <w:highlight w:val="none"/>
        </w:rPr>
      </w:pPr>
      <w:r>
        <w:t>投标人（盖章）：</w:t>
      </w:r>
    </w:p>
    <w:p>
      <w:pPr>
        <w:spacing w:beforeLines="0" w:afterLines="0" w:line="360" w:lineRule="auto"/>
        <w:rPr>
          <w:rFonts w:hint="default" w:ascii="宋体" w:hAnsi="宋体"/>
          <w:color w:val="auto"/>
          <w:sz w:val="21"/>
          <w:szCs w:val="21"/>
          <w:highlight w:val="none"/>
        </w:rPr>
      </w:pPr>
      <w:r>
        <w:t>法定代表人（签字或盖章）：</w:t>
      </w:r>
    </w:p>
    <w:p>
      <w:pPr>
        <w:spacing w:beforeLines="0" w:afterLines="0" w:line="360" w:lineRule="auto"/>
        <w:rPr>
          <w:rFonts w:hint="default" w:ascii="宋体" w:hAnsi="宋体"/>
          <w:color w:val="auto"/>
          <w:sz w:val="21"/>
          <w:szCs w:val="21"/>
          <w:highlight w:val="none"/>
        </w:rPr>
      </w:pPr>
      <w:r>
        <w:t>日期：</w:t>
      </w:r>
    </w:p>
    <w:p>
      <w:pPr>
        <w:pStyle w:val="4"/>
        <w:spacing w:before="0" w:beforeLines="0" w:after="0" w:afterLines="0" w:line="240" w:lineRule="auto"/>
        <w:ind w:right="-567"/>
        <w:jc w:val="left"/>
        <w:rPr>
          <w:rFonts w:hint="default" w:ascii="宋体" w:hAnsi="宋体" w:eastAsia="宋体"/>
          <w:color w:val="auto"/>
          <w:sz w:val="21"/>
          <w:szCs w:val="21"/>
          <w:highlight w:val="none"/>
        </w:rPr>
      </w:pPr>
      <w:r>
        <w:t>格式   技术条款偏离表</w:t>
      </w:r>
    </w:p>
    <w:p>
      <w:pPr>
        <w:spacing w:beforeLines="0" w:afterLines="0"/>
        <w:rPr>
          <w:rFonts w:hint="default" w:ascii="宋体" w:hAnsi="宋体"/>
          <w:color w:val="auto"/>
          <w:sz w:val="21"/>
          <w:szCs w:val="24"/>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pStyle w:val="3"/>
        <w:spacing w:beforeLines="0" w:after="120" w:afterLines="50" w:line="360" w:lineRule="exact"/>
        <w:rPr>
          <w:rFonts w:hint="default" w:ascii="宋体" w:hAnsi="宋体" w:eastAsia="宋体"/>
          <w:color w:val="auto"/>
          <w:sz w:val="32"/>
          <w:szCs w:val="32"/>
          <w:highlight w:val="none"/>
        </w:rPr>
      </w:pPr>
      <w:r/>
    </w:p>
    <w:p>
      <w:pPr>
        <w:rPr>
          <w:rFonts w:hint="default" w:ascii="宋体" w:hAnsi="宋体" w:eastAsia="宋体"/>
          <w:color w:val="auto"/>
          <w:sz w:val="32"/>
          <w:szCs w:val="32"/>
          <w:highlight w:val="none"/>
        </w:rPr>
      </w:pPr>
      <w:r/>
    </w:p>
    <w:p>
      <w:pPr>
        <w:snapToGrid w:val="0"/>
        <w:spacing w:beforeLines="0" w:afterLines="0" w:line="440" w:lineRule="exact"/>
        <w:outlineLvl w:val="1"/>
        <w:rPr>
          <w:rFonts w:hint="default" w:ascii="宋体" w:hAnsi="宋体" w:cs="宋体"/>
          <w:b/>
          <w:color w:val="auto"/>
          <w:sz w:val="21"/>
          <w:szCs w:val="21"/>
          <w:highlight w:val="none"/>
        </w:rPr>
      </w:pPr>
      <w:r>
        <w:t>格式  投标人基本情况表</w:t>
      </w:r>
    </w:p>
    <w:p>
      <w:pPr>
        <w:snapToGrid w:val="0"/>
        <w:spacing w:before="120" w:beforeLines="50" w:after="20" w:afterLines="0"/>
        <w:jc w:val="center"/>
        <w:rPr>
          <w:rFonts w:hint="default" w:ascii="宋体" w:hAnsi="宋体" w:cs="宋体"/>
          <w:b/>
          <w:color w:val="auto"/>
          <w:sz w:val="32"/>
          <w:szCs w:val="32"/>
          <w:highlight w:val="none"/>
        </w:rPr>
      </w:pPr>
      <w:r>
        <w:t>投标人基本情况表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申请人名称</w:t>
            </w:r>
          </w:p>
        </w:tc>
        <w:tc>
          <w:tcPr>
            <w:tcW w:w="7264" w:type="dxa"/>
            <w:gridSpan w:val="11"/>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注册地址</w:t>
            </w:r>
          </w:p>
        </w:tc>
        <w:tc>
          <w:tcPr>
            <w:tcW w:w="3736" w:type="dxa"/>
            <w:gridSpan w:val="5"/>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21"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邮政编码</w:t>
            </w:r>
          </w:p>
        </w:tc>
        <w:tc>
          <w:tcPr>
            <w:tcW w:w="2507" w:type="dxa"/>
            <w:gridSpan w:val="4"/>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联系方式</w:t>
            </w:r>
          </w:p>
        </w:tc>
        <w:tc>
          <w:tcPr>
            <w:tcW w:w="908"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联系人</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21"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电话</w:t>
            </w:r>
          </w:p>
        </w:tc>
        <w:tc>
          <w:tcPr>
            <w:tcW w:w="2507" w:type="dxa"/>
            <w:gridSpan w:val="4"/>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908"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传真</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21"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网址</w:t>
            </w:r>
          </w:p>
        </w:tc>
        <w:tc>
          <w:tcPr>
            <w:tcW w:w="2507" w:type="dxa"/>
            <w:gridSpan w:val="4"/>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组织结构</w:t>
            </w:r>
          </w:p>
        </w:tc>
        <w:tc>
          <w:tcPr>
            <w:tcW w:w="7264" w:type="dxa"/>
            <w:gridSpan w:val="11"/>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法定代表人</w:t>
            </w:r>
          </w:p>
        </w:tc>
        <w:tc>
          <w:tcPr>
            <w:tcW w:w="916"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姓名</w:t>
            </w:r>
          </w:p>
        </w:tc>
        <w:tc>
          <w:tcPr>
            <w:tcW w:w="156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279"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技术职称</w:t>
            </w:r>
          </w:p>
        </w:tc>
        <w:tc>
          <w:tcPr>
            <w:tcW w:w="1010"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6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电话</w:t>
            </w:r>
          </w:p>
        </w:tc>
        <w:tc>
          <w:tcPr>
            <w:tcW w:w="173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技术负责人</w:t>
            </w:r>
          </w:p>
        </w:tc>
        <w:tc>
          <w:tcPr>
            <w:tcW w:w="916"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姓名</w:t>
            </w:r>
          </w:p>
        </w:tc>
        <w:tc>
          <w:tcPr>
            <w:tcW w:w="156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279"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技术职称</w:t>
            </w:r>
          </w:p>
        </w:tc>
        <w:tc>
          <w:tcPr>
            <w:tcW w:w="1010"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6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电话</w:t>
            </w:r>
          </w:p>
        </w:tc>
        <w:tc>
          <w:tcPr>
            <w:tcW w:w="173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成立时间</w:t>
            </w:r>
          </w:p>
        </w:tc>
        <w:tc>
          <w:tcPr>
            <w:tcW w:w="2477"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4787" w:type="dxa"/>
            <w:gridSpan w:val="8"/>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企业资质等级</w:t>
            </w:r>
          </w:p>
        </w:tc>
        <w:tc>
          <w:tcPr>
            <w:tcW w:w="2477"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952" w:type="dxa"/>
            <w:vMerge w:val="restart"/>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其中</w:t>
            </w:r>
          </w:p>
        </w:tc>
        <w:tc>
          <w:tcPr>
            <w:tcW w:w="1837" w:type="dxa"/>
            <w:gridSpan w:val="5"/>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高级职称人员</w:t>
            </w:r>
          </w:p>
        </w:tc>
        <w:tc>
          <w:tcPr>
            <w:tcW w:w="199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营业执照号</w:t>
            </w:r>
          </w:p>
        </w:tc>
        <w:tc>
          <w:tcPr>
            <w:tcW w:w="2477"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837" w:type="dxa"/>
            <w:gridSpan w:val="5"/>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中级职称人员</w:t>
            </w:r>
          </w:p>
        </w:tc>
        <w:tc>
          <w:tcPr>
            <w:tcW w:w="199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注册资金</w:t>
            </w:r>
          </w:p>
        </w:tc>
        <w:tc>
          <w:tcPr>
            <w:tcW w:w="2477"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837" w:type="dxa"/>
            <w:gridSpan w:val="5"/>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初级职称人员</w:t>
            </w:r>
          </w:p>
        </w:tc>
        <w:tc>
          <w:tcPr>
            <w:tcW w:w="199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开户银行</w:t>
            </w:r>
          </w:p>
        </w:tc>
        <w:tc>
          <w:tcPr>
            <w:tcW w:w="2477"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837" w:type="dxa"/>
            <w:gridSpan w:val="5"/>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99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账号</w:t>
            </w:r>
          </w:p>
        </w:tc>
        <w:tc>
          <w:tcPr>
            <w:tcW w:w="2477" w:type="dxa"/>
            <w:gridSpan w:val="3"/>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952" w:type="dxa"/>
            <w:vMerge w:val="continue"/>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837" w:type="dxa"/>
            <w:gridSpan w:val="5"/>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998" w:type="dxa"/>
            <w:gridSpan w:val="2"/>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经营范围</w:t>
            </w:r>
          </w:p>
        </w:tc>
        <w:tc>
          <w:tcPr>
            <w:tcW w:w="7264" w:type="dxa"/>
            <w:gridSpan w:val="11"/>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备注</w:t>
            </w:r>
          </w:p>
        </w:tc>
        <w:tc>
          <w:tcPr>
            <w:tcW w:w="7264" w:type="dxa"/>
            <w:gridSpan w:val="11"/>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bl>
    <w:p>
      <w:pPr>
        <w:snapToGrid w:val="0"/>
        <w:spacing w:before="120" w:beforeLines="50" w:after="20" w:afterLines="0"/>
        <w:jc w:val="center"/>
        <w:rPr>
          <w:rFonts w:hint="default" w:ascii="宋体" w:hAnsi="宋体" w:cs="宋体"/>
          <w:b/>
          <w:color w:val="auto"/>
          <w:sz w:val="21"/>
          <w:szCs w:val="21"/>
          <w:highlight w:val="none"/>
        </w:rPr>
      </w:pPr>
      <w:r/>
    </w:p>
    <w:p>
      <w:pPr>
        <w:snapToGrid w:val="0"/>
        <w:spacing w:before="120" w:beforeLines="50" w:after="20" w:afterLines="0"/>
        <w:jc w:val="center"/>
        <w:rPr>
          <w:rFonts w:hint="default" w:ascii="宋体" w:hAnsi="宋体" w:cs="宋体"/>
          <w:b/>
          <w:color w:val="auto"/>
          <w:sz w:val="21"/>
          <w:szCs w:val="21"/>
          <w:highlight w:val="none"/>
        </w:rPr>
      </w:pPr>
      <w:r/>
    </w:p>
    <w:p>
      <w:pPr>
        <w:snapToGrid w:val="0"/>
        <w:spacing w:before="120" w:beforeLines="50" w:after="20" w:afterLines="0"/>
        <w:jc w:val="center"/>
        <w:rPr>
          <w:rFonts w:hint="default" w:ascii="宋体" w:hAnsi="宋体" w:cs="宋体"/>
          <w:b/>
          <w:color w:val="auto"/>
          <w:sz w:val="21"/>
          <w:szCs w:val="21"/>
          <w:highlight w:val="none"/>
        </w:rPr>
      </w:pPr>
      <w:r/>
    </w:p>
    <w:p>
      <w:pPr>
        <w:spacing w:beforeLines="0" w:afterLines="0"/>
        <w:rPr>
          <w:rFonts w:hint="default" w:ascii="宋体" w:hAnsi="宋体"/>
          <w:color w:val="auto"/>
          <w:sz w:val="18"/>
          <w:szCs w:val="18"/>
          <w:highlight w:val="none"/>
        </w:rPr>
      </w:pPr>
      <w:r/>
    </w:p>
    <w:p>
      <w:pPr>
        <w:snapToGrid w:val="0"/>
        <w:spacing w:before="120" w:beforeLines="50" w:after="20" w:afterLines="0"/>
        <w:outlineLvl w:val="1"/>
        <w:rPr>
          <w:rFonts w:hint="default" w:ascii="宋体" w:hAnsi="宋体" w:cs="宋体"/>
          <w:b/>
          <w:color w:val="auto"/>
          <w:sz w:val="21"/>
          <w:szCs w:val="21"/>
          <w:highlight w:val="none"/>
        </w:rPr>
      </w:pPr>
      <w:r>
        <w:t>格式  政府采购统计基础信息表</w:t>
      </w:r>
    </w:p>
    <w:p>
      <w:pPr>
        <w:snapToGrid w:val="0"/>
        <w:spacing w:before="120" w:beforeLines="50" w:after="20" w:afterLines="0"/>
        <w:jc w:val="center"/>
        <w:rPr>
          <w:rFonts w:hint="default" w:ascii="宋体" w:hAnsi="宋体" w:cs="宋体"/>
          <w:b/>
          <w:color w:val="auto"/>
          <w:sz w:val="32"/>
          <w:szCs w:val="32"/>
          <w:highlight w:val="none"/>
        </w:rPr>
      </w:pPr>
      <w:r>
        <w:t>政府采购统计基础信息表</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2"/>
        <w:gridCol w:w="3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采购人及采购项目名称</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投（中）标单位名称</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是否国内企业</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是否宁波企业</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企业划分标准类型（大型、中型、小型、微型）</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提供的货物是否本企业制造</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货物原产地是否是中国境内</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货物原产地是否是宁波</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是节能清单产品</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提供的货物是否是环境标志清单产品</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承担的工程或服务是否本企业提供</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pPr>
              <w:spacing w:beforeLines="0" w:afterLines="0"/>
              <w:ind w:firstLine="444" w:firstLineChars="200"/>
              <w:jc w:val="center"/>
              <w:rPr>
                <w:rFonts w:hint="default" w:ascii="宋体" w:hAnsi="宋体" w:cs="宋体"/>
                <w:color w:val="auto"/>
                <w:spacing w:val="6"/>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本项目预算</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r>
              <w:t>/（无须填写）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本项目是否专门面向中小企业采购</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r>
              <w:t>/（无须填写）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r>
              <w:t>投（中）标金额（万元）</w:t>
            </w:r>
          </w:p>
        </w:tc>
        <w:tc>
          <w:tcPr>
            <w:tcW w:w="3886" w:type="dxa"/>
            <w:tcBorders>
              <w:top w:val="single" w:color="000000" w:sz="4" w:space="0"/>
              <w:left w:val="nil"/>
              <w:bottom w:val="single" w:color="000000" w:sz="4" w:space="0"/>
              <w:right w:val="single" w:color="000000" w:sz="4" w:space="0"/>
              <w:tl2br w:val="nil"/>
              <w:tr2bl w:val="nil"/>
            </w:tcBorders>
            <w:noWrap w:val="0"/>
            <w:vAlign w:val="center"/>
          </w:tcPr>
          <w:p>
            <w:r>
              <w:t>/（无须填写）</w:t>
            </w:r>
          </w:p>
        </w:tc>
      </w:tr>
    </w:tbl>
    <w:p>
      <w:pPr>
        <w:spacing w:before="20" w:beforeLines="0" w:after="20" w:afterLines="0"/>
        <w:rPr>
          <w:rFonts w:hint="default" w:ascii="宋体" w:hAnsi="宋体" w:cs="宋体"/>
          <w:b/>
          <w:color w:val="auto"/>
          <w:sz w:val="21"/>
          <w:szCs w:val="21"/>
          <w:highlight w:val="none"/>
        </w:rPr>
      </w:pPr>
      <w:r>
        <w:t>备注：请各投标人务必填写此表作为投标文件的组成部分。</w:t>
      </w:r>
    </w:p>
    <w:p>
      <w:pPr>
        <w:pStyle w:val="3"/>
        <w:spacing w:beforeLines="0" w:after="120" w:afterLines="50" w:line="360" w:lineRule="exact"/>
        <w:jc w:val="center"/>
        <w:rPr>
          <w:rFonts w:hint="default" w:ascii="宋体" w:hAnsi="宋体" w:eastAsia="宋体"/>
          <w:color w:val="auto"/>
          <w:sz w:val="32"/>
          <w:szCs w:val="32"/>
          <w:highlight w:val="none"/>
        </w:rPr>
      </w:pPr>
      <w:r/>
    </w:p>
    <w:p>
      <w:pPr>
        <w:pStyle w:val="3"/>
        <w:spacing w:beforeLines="0" w:after="120" w:afterLines="50" w:line="360" w:lineRule="exact"/>
        <w:jc w:val="center"/>
        <w:rPr>
          <w:rFonts w:hint="default" w:ascii="宋体" w:hAnsi="宋体" w:eastAsia="宋体"/>
          <w:color w:val="auto"/>
          <w:sz w:val="32"/>
          <w:szCs w:val="32"/>
          <w:highlight w:val="none"/>
        </w:rPr>
      </w:pPr>
      <w:r/>
    </w:p>
    <w:p>
      <w:pPr>
        <w:pStyle w:val="3"/>
        <w:spacing w:beforeLines="0" w:after="120" w:afterLines="50" w:line="360" w:lineRule="exact"/>
        <w:jc w:val="both"/>
        <w:rPr>
          <w:rFonts w:hint="default" w:ascii="宋体" w:hAnsi="宋体" w:eastAsia="宋体"/>
          <w:color w:val="auto"/>
          <w:sz w:val="32"/>
          <w:szCs w:val="32"/>
          <w:highlight w:val="none"/>
        </w:rPr>
      </w:pPr>
      <w:r/>
    </w:p>
    <w:p>
      <w:pPr>
        <w:rPr>
          <w:rFonts w:hint="default" w:ascii="宋体" w:hAnsi="宋体" w:eastAsia="宋体"/>
          <w:color w:val="auto"/>
          <w:sz w:val="32"/>
          <w:szCs w:val="32"/>
          <w:highlight w:val="none"/>
        </w:rPr>
      </w:pPr>
      <w:r/>
    </w:p>
    <w:p>
      <w:pPr>
        <w:pStyle w:val="3"/>
        <w:spacing w:beforeLines="0" w:after="120" w:afterLines="50" w:line="360" w:lineRule="exact"/>
        <w:jc w:val="center"/>
        <w:rPr>
          <w:rFonts w:hint="default" w:hAnsi="宋体"/>
          <w:color w:val="auto"/>
          <w:sz w:val="32"/>
          <w:szCs w:val="32"/>
          <w:highlight w:val="none"/>
        </w:rPr>
      </w:pPr>
      <w:r>
        <w:t>技术条款偏离表</w:t>
      </w:r>
    </w:p>
    <w:p>
      <w:pPr>
        <w:spacing w:beforeLines="0" w:afterLines="0"/>
        <w:rPr>
          <w:rFonts w:hint="default" w:ascii="宋体" w:hAnsi="宋体"/>
          <w:color w:val="auto"/>
          <w:sz w:val="21"/>
          <w:szCs w:val="24"/>
          <w:highlight w:val="none"/>
        </w:rPr>
      </w:pPr>
      <w:r/>
    </w:p>
    <w:p>
      <w:pPr>
        <w:pStyle w:val="12"/>
        <w:tabs>
          <w:tab w:val="right" w:pos="8847"/>
        </w:tabs>
        <w:spacing w:beforeLines="0" w:afterLines="0"/>
        <w:rPr>
          <w:rFonts w:hint="default" w:ascii="宋体" w:hAnsi="宋体"/>
          <w:color w:val="auto"/>
          <w:sz w:val="21"/>
          <w:szCs w:val="21"/>
          <w:highlight w:val="none"/>
          <w:u w:val="single"/>
        </w:rPr>
      </w:pPr>
      <w:r>
        <w:t>项目编号：                         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820"/>
        <w:gridCol w:w="2693"/>
        <w:gridCol w:w="9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left w:val="single" w:color="auto" w:sz="4" w:space="0"/>
              <w:bottom w:val="single" w:color="auto" w:sz="4" w:space="0"/>
              <w:right w:val="single" w:color="auto" w:sz="2" w:space="0"/>
              <w:tl2br w:val="nil"/>
              <w:tr2bl w:val="nil"/>
            </w:tcBorders>
            <w:noWrap w:val="0"/>
            <w:tcMar>
              <w:left w:w="0" w:type="dxa"/>
              <w:right w:w="0" w:type="dxa"/>
            </w:tcMar>
            <w:vAlign w:val="center"/>
          </w:tcPr>
          <w:p>
            <w:r>
              <w:t>序号</w:t>
            </w:r>
          </w:p>
        </w:tc>
        <w:tc>
          <w:tcPr>
            <w:tcW w:w="4820"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《采购文件》技术要求</w:t>
            </w:r>
          </w:p>
        </w:tc>
        <w:tc>
          <w:tcPr>
            <w:tcW w:w="2693"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《投标文件》技术响应</w:t>
            </w:r>
          </w:p>
        </w:tc>
        <w:tc>
          <w:tcPr>
            <w:tcW w:w="992" w:type="dxa"/>
            <w:tcBorders>
              <w:top w:val="single" w:color="auto" w:sz="4" w:space="0"/>
              <w:left w:val="single" w:color="auto" w:sz="2" w:space="0"/>
              <w:bottom w:val="single" w:color="auto" w:sz="4" w:space="0"/>
              <w:right w:val="single" w:color="auto" w:sz="4" w:space="0"/>
              <w:tl2br w:val="nil"/>
              <w:tr2bl w:val="nil"/>
            </w:tcBorders>
            <w:noWrap w:val="0"/>
            <w:tcMar>
              <w:left w:w="0" w:type="dxa"/>
              <w:right w:w="0" w:type="dxa"/>
            </w:tcMar>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left w:val="single" w:color="auto" w:sz="4" w:space="0"/>
              <w:bottom w:val="single" w:color="auto" w:sz="2" w:space="0"/>
              <w:right w:val="single" w:color="auto" w:sz="2" w:space="0"/>
              <w:tl2br w:val="nil"/>
              <w:tr2bl w:val="nil"/>
            </w:tcBorders>
            <w:noWrap w:val="0"/>
            <w:tcMar>
              <w:left w:w="0" w:type="dxa"/>
              <w:right w:w="0" w:type="dxa"/>
            </w:tcMar>
            <w:vAlign w:val="center"/>
          </w:tcPr>
          <w:p>
            <w:r>
              <w:t>1</w:t>
            </w:r>
          </w:p>
        </w:tc>
        <w:tc>
          <w:tcPr>
            <w:tcW w:w="4820"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4"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2</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3</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4</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tabs>
                <w:tab w:val="left" w:pos="851"/>
              </w:tabs>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5</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6</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r>
              <w:t>……</w:t>
            </w: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7</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8</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9</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4" w:space="0"/>
              <w:right w:val="single" w:color="auto" w:sz="2" w:space="0"/>
              <w:tl2br w:val="nil"/>
              <w:tr2bl w:val="nil"/>
            </w:tcBorders>
            <w:noWrap w:val="0"/>
            <w:tcMar>
              <w:left w:w="0" w:type="dxa"/>
              <w:right w:w="0" w:type="dxa"/>
            </w:tcMar>
            <w:vAlign w:val="center"/>
          </w:tcPr>
          <w:p>
            <w:r>
              <w:t>……</w:t>
            </w:r>
          </w:p>
        </w:tc>
        <w:tc>
          <w:tcPr>
            <w:tcW w:w="4820"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4"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bl>
    <w:p>
      <w:pPr>
        <w:pStyle w:val="12"/>
        <w:spacing w:beforeLines="0" w:afterLines="0"/>
        <w:rPr>
          <w:rFonts w:hint="default" w:ascii="宋体" w:hAnsi="宋体"/>
          <w:color w:val="auto"/>
          <w:sz w:val="21"/>
          <w:szCs w:val="21"/>
          <w:highlight w:val="none"/>
        </w:rPr>
      </w:pPr>
      <w:r>
        <w:t>备注：1、列明采购文件的技术要求与投标文件对应响应，并说明偏离状况（正偏离或负偏离）；2、无偏离应在本表“说明”处醒目地注明“无条款偏离”的字样。3、本表格供参考，投标人可根据项目实际情况自拟（增减）表格。4、投标人应在投标文件中对《第五部分 采购内容及要求》中的技术条款作一对一应答，应答必须有具体内容，不得仅以“符合”、“满足”等词语作简单回答。</w:t>
      </w:r>
    </w:p>
    <w:p>
      <w:pPr>
        <w:spacing w:beforeLines="0" w:afterLines="0"/>
        <w:ind w:right="420"/>
        <w:rPr>
          <w:rFonts w:hint="default" w:ascii="宋体" w:hAnsi="宋体"/>
          <w:color w:val="auto"/>
          <w:sz w:val="21"/>
          <w:szCs w:val="21"/>
          <w:highlight w:val="none"/>
        </w:rPr>
      </w:pPr>
      <w:r/>
    </w:p>
    <w:p>
      <w:pPr>
        <w:spacing w:beforeLines="0" w:afterLines="0"/>
        <w:ind w:right="420"/>
        <w:rPr>
          <w:rFonts w:hint="default" w:ascii="宋体" w:hAnsi="宋体"/>
          <w:color w:val="auto"/>
          <w:sz w:val="21"/>
          <w:szCs w:val="21"/>
          <w:highlight w:val="none"/>
        </w:rPr>
      </w:pPr>
      <w:r>
        <w:t>投标人（盖章）：</w:t>
      </w:r>
    </w:p>
    <w:p>
      <w:pPr>
        <w:spacing w:beforeLines="0" w:afterLines="0"/>
        <w:rPr>
          <w:rFonts w:hint="default" w:ascii="宋体" w:hAnsi="宋体"/>
          <w:color w:val="auto"/>
          <w:sz w:val="21"/>
          <w:szCs w:val="21"/>
          <w:highlight w:val="none"/>
        </w:rPr>
      </w:pPr>
      <w:r/>
    </w:p>
    <w:p>
      <w:pPr>
        <w:spacing w:beforeLines="0" w:afterLines="0"/>
        <w:rPr>
          <w:rFonts w:hint="default" w:ascii="宋体" w:hAnsi="宋体"/>
          <w:color w:val="auto"/>
          <w:sz w:val="21"/>
          <w:szCs w:val="21"/>
          <w:highlight w:val="none"/>
          <w:u w:val="single"/>
        </w:rPr>
      </w:pPr>
      <w:r>
        <w:t>法定代表人或授权代表人（签字或盖章）：</w:t>
      </w:r>
    </w:p>
    <w:p>
      <w:pPr>
        <w:spacing w:beforeLines="0" w:afterLines="0"/>
        <w:rPr>
          <w:rFonts w:hint="default" w:ascii="宋体" w:hAnsi="宋体"/>
          <w:color w:val="auto"/>
          <w:sz w:val="21"/>
          <w:szCs w:val="21"/>
          <w:highlight w:val="none"/>
        </w:rPr>
      </w:pPr>
      <w:r/>
    </w:p>
    <w:p>
      <w:pPr>
        <w:spacing w:beforeLines="0" w:afterLines="0"/>
        <w:rPr>
          <w:rFonts w:hint="default" w:ascii="宋体" w:hAnsi="宋体"/>
          <w:color w:val="auto"/>
          <w:sz w:val="21"/>
          <w:szCs w:val="21"/>
          <w:highlight w:val="none"/>
        </w:rPr>
      </w:pPr>
      <w:r>
        <w:t>日期：</w:t>
      </w:r>
    </w:p>
    <w:p>
      <w:pPr>
        <w:pStyle w:val="4"/>
        <w:spacing w:before="0" w:beforeLines="0" w:after="0" w:afterLines="0" w:line="240" w:lineRule="auto"/>
        <w:ind w:right="-567"/>
        <w:jc w:val="left"/>
        <w:rPr>
          <w:rFonts w:hint="default" w:ascii="宋体" w:hAnsi="宋体" w:eastAsia="宋体"/>
          <w:b w:val="0"/>
          <w:color w:val="auto"/>
          <w:sz w:val="21"/>
          <w:szCs w:val="21"/>
          <w:highlight w:val="none"/>
        </w:rPr>
      </w:pPr>
      <w:r/>
    </w:p>
    <w:p>
      <w:pPr>
        <w:spacing w:beforeLines="0" w:afterLines="0"/>
        <w:rPr>
          <w:rFonts w:hint="default" w:ascii="宋体" w:hAnsi="宋体"/>
          <w:color w:val="auto"/>
          <w:sz w:val="18"/>
          <w:szCs w:val="18"/>
          <w:highlight w:val="none"/>
        </w:rPr>
      </w:pPr>
      <w:r>
        <w:t>格式   技术、商务条款偏离表</w:t>
      </w:r>
    </w:p>
    <w:p>
      <w:pPr>
        <w:spacing w:beforeLines="0" w:afterLines="0"/>
        <w:rPr>
          <w:rFonts w:hint="default" w:ascii="宋体" w:hAnsi="宋体"/>
          <w:color w:val="auto"/>
          <w:sz w:val="21"/>
          <w:szCs w:val="24"/>
          <w:highlight w:val="none"/>
        </w:rPr>
      </w:pPr>
      <w:r/>
    </w:p>
    <w:p>
      <w:pPr>
        <w:pStyle w:val="3"/>
        <w:spacing w:beforeLines="0" w:after="120" w:afterLines="50" w:line="360" w:lineRule="exact"/>
        <w:rPr>
          <w:rFonts w:hint="default" w:hAnsi="宋体"/>
          <w:color w:val="auto"/>
          <w:sz w:val="32"/>
          <w:szCs w:val="32"/>
          <w:highlight w:val="none"/>
        </w:rPr>
      </w:pPr>
      <w:r>
        <w:t>商务条款偏离表</w:t>
      </w:r>
    </w:p>
    <w:p>
      <w:pPr>
        <w:spacing w:beforeLines="0" w:afterLines="0"/>
        <w:rPr>
          <w:rFonts w:hint="default" w:ascii="宋体" w:hAnsi="宋体"/>
          <w:color w:val="auto"/>
          <w:sz w:val="21"/>
          <w:szCs w:val="24"/>
          <w:highlight w:val="none"/>
        </w:rPr>
      </w:pPr>
      <w:r/>
    </w:p>
    <w:p>
      <w:pPr>
        <w:pStyle w:val="12"/>
        <w:tabs>
          <w:tab w:val="right" w:pos="8847"/>
        </w:tabs>
        <w:spacing w:beforeLines="0" w:afterLines="0"/>
        <w:rPr>
          <w:rFonts w:hint="default" w:ascii="宋体" w:hAnsi="宋体"/>
          <w:color w:val="auto"/>
          <w:sz w:val="21"/>
          <w:szCs w:val="21"/>
          <w:highlight w:val="none"/>
          <w:u w:val="single"/>
        </w:rPr>
      </w:pPr>
      <w:r>
        <w:t>项目编号：                            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820"/>
        <w:gridCol w:w="2693"/>
        <w:gridCol w:w="9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left w:val="single" w:color="auto" w:sz="4" w:space="0"/>
              <w:bottom w:val="single" w:color="auto" w:sz="4" w:space="0"/>
              <w:right w:val="single" w:color="auto" w:sz="2" w:space="0"/>
              <w:tl2br w:val="nil"/>
              <w:tr2bl w:val="nil"/>
            </w:tcBorders>
            <w:noWrap w:val="0"/>
            <w:tcMar>
              <w:left w:w="0" w:type="dxa"/>
              <w:right w:w="0" w:type="dxa"/>
            </w:tcMar>
            <w:vAlign w:val="center"/>
          </w:tcPr>
          <w:p>
            <w:r>
              <w:t>序号</w:t>
            </w:r>
          </w:p>
        </w:tc>
        <w:tc>
          <w:tcPr>
            <w:tcW w:w="4820"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《采购文件》商务要求</w:t>
            </w:r>
          </w:p>
        </w:tc>
        <w:tc>
          <w:tcPr>
            <w:tcW w:w="2693"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《投标文件》商务响应</w:t>
            </w:r>
          </w:p>
        </w:tc>
        <w:tc>
          <w:tcPr>
            <w:tcW w:w="992" w:type="dxa"/>
            <w:tcBorders>
              <w:top w:val="single" w:color="auto" w:sz="4" w:space="0"/>
              <w:left w:val="single" w:color="auto" w:sz="2" w:space="0"/>
              <w:bottom w:val="single" w:color="auto" w:sz="4" w:space="0"/>
              <w:right w:val="single" w:color="auto" w:sz="4" w:space="0"/>
              <w:tl2br w:val="nil"/>
              <w:tr2bl w:val="nil"/>
            </w:tcBorders>
            <w:noWrap w:val="0"/>
            <w:tcMar>
              <w:left w:w="0" w:type="dxa"/>
              <w:right w:w="0" w:type="dxa"/>
            </w:tcMar>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left w:val="single" w:color="auto" w:sz="4" w:space="0"/>
              <w:bottom w:val="single" w:color="auto" w:sz="2" w:space="0"/>
              <w:right w:val="single" w:color="auto" w:sz="2" w:space="0"/>
              <w:tl2br w:val="nil"/>
              <w:tr2bl w:val="nil"/>
            </w:tcBorders>
            <w:noWrap w:val="0"/>
            <w:tcMar>
              <w:left w:w="0" w:type="dxa"/>
              <w:right w:w="0" w:type="dxa"/>
            </w:tcMar>
            <w:vAlign w:val="center"/>
          </w:tcPr>
          <w:p>
            <w:r>
              <w:t>1</w:t>
            </w:r>
          </w:p>
        </w:tc>
        <w:tc>
          <w:tcPr>
            <w:tcW w:w="4820"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4"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2</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3</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4</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tabs>
                <w:tab w:val="left" w:pos="851"/>
              </w:tabs>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5</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6</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r>
              <w:t>……</w:t>
            </w: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7</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8</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9</w:t>
            </w:r>
          </w:p>
        </w:tc>
        <w:tc>
          <w:tcPr>
            <w:tcW w:w="482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2" w:space="0"/>
              <w:left w:val="single" w:color="auto" w:sz="4" w:space="0"/>
              <w:bottom w:val="single" w:color="auto" w:sz="4" w:space="0"/>
              <w:right w:val="single" w:color="auto" w:sz="2" w:space="0"/>
              <w:tl2br w:val="nil"/>
              <w:tr2bl w:val="nil"/>
            </w:tcBorders>
            <w:noWrap w:val="0"/>
            <w:tcMar>
              <w:left w:w="0" w:type="dxa"/>
              <w:right w:w="0" w:type="dxa"/>
            </w:tcMar>
            <w:vAlign w:val="center"/>
          </w:tcPr>
          <w:p>
            <w:r>
              <w:t>……</w:t>
            </w:r>
          </w:p>
        </w:tc>
        <w:tc>
          <w:tcPr>
            <w:tcW w:w="4820"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340" w:lineRule="exact"/>
              <w:rPr>
                <w:rFonts w:hint="default" w:ascii="宋体" w:hAnsi="宋体"/>
                <w:color w:val="auto"/>
                <w:sz w:val="21"/>
                <w:szCs w:val="21"/>
                <w:highlight w:val="none"/>
              </w:rPr>
            </w:pPr>
          </w:p>
        </w:tc>
        <w:tc>
          <w:tcPr>
            <w:tcW w:w="2693"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c>
          <w:tcPr>
            <w:tcW w:w="992" w:type="dxa"/>
            <w:tcBorders>
              <w:top w:val="single" w:color="auto" w:sz="2" w:space="0"/>
              <w:left w:val="single" w:color="auto" w:sz="2" w:space="0"/>
              <w:bottom w:val="single" w:color="auto" w:sz="4" w:space="0"/>
              <w:right w:val="single" w:color="auto" w:sz="4" w:space="0"/>
              <w:tl2br w:val="nil"/>
              <w:tr2bl w:val="nil"/>
            </w:tcBorders>
            <w:noWrap w:val="0"/>
            <w:tcMar>
              <w:left w:w="0" w:type="dxa"/>
              <w:right w:w="0" w:type="dxa"/>
            </w:tcMar>
            <w:vAlign w:val="center"/>
          </w:tcPr>
          <w:p>
            <w:pPr>
              <w:spacing w:beforeLines="0" w:afterLines="0" w:line="340" w:lineRule="exact"/>
              <w:jc w:val="center"/>
              <w:rPr>
                <w:rFonts w:hint="default" w:ascii="宋体" w:hAnsi="宋体"/>
                <w:color w:val="auto"/>
                <w:sz w:val="21"/>
                <w:szCs w:val="21"/>
                <w:highlight w:val="none"/>
              </w:rPr>
            </w:pPr>
          </w:p>
        </w:tc>
      </w:tr>
    </w:tbl>
    <w:p>
      <w:pPr>
        <w:pStyle w:val="12"/>
        <w:spacing w:beforeLines="0" w:afterLines="0"/>
        <w:rPr>
          <w:rFonts w:hint="default" w:ascii="宋体" w:hAnsi="宋体"/>
          <w:color w:val="auto"/>
          <w:sz w:val="21"/>
          <w:szCs w:val="21"/>
          <w:highlight w:val="none"/>
        </w:rPr>
      </w:pPr>
      <w:r>
        <w:t>备注：1、列明采购文件的商务要求与投标文件对应响应，并说明偏离状况（正偏离或负偏离）；2、无偏离应在本表“说明”处醒目地注明“无条款偏离”的字样。3、本表格供参考，投标人可根据项目实际情况自拟（增减）表格。4、投标人应在投标文件中对招标文件中商务条款作一对一应答，应答必须有具体内容，不得仅以“符合”、“满足”等词语作简单回答。</w:t>
      </w:r>
    </w:p>
    <w:p>
      <w:pPr>
        <w:spacing w:beforeLines="0" w:afterLines="0"/>
        <w:ind w:right="420"/>
        <w:rPr>
          <w:rFonts w:hint="default" w:ascii="宋体" w:hAnsi="宋体"/>
          <w:color w:val="auto"/>
          <w:sz w:val="21"/>
          <w:szCs w:val="21"/>
          <w:highlight w:val="none"/>
        </w:rPr>
      </w:pPr>
      <w:r/>
    </w:p>
    <w:p>
      <w:pPr>
        <w:spacing w:beforeLines="0" w:afterLines="0"/>
        <w:ind w:right="420"/>
        <w:rPr>
          <w:rFonts w:hint="default" w:ascii="宋体" w:hAnsi="宋体"/>
          <w:color w:val="auto"/>
          <w:sz w:val="21"/>
          <w:szCs w:val="21"/>
          <w:highlight w:val="none"/>
        </w:rPr>
      </w:pPr>
      <w:r>
        <w:t>投标人（盖章）：</w:t>
      </w:r>
    </w:p>
    <w:p>
      <w:pPr>
        <w:spacing w:beforeLines="0" w:afterLines="0"/>
        <w:rPr>
          <w:rFonts w:hint="default" w:ascii="宋体" w:hAnsi="宋体"/>
          <w:color w:val="auto"/>
          <w:sz w:val="21"/>
          <w:szCs w:val="21"/>
          <w:highlight w:val="none"/>
        </w:rPr>
      </w:pPr>
      <w:r/>
    </w:p>
    <w:p>
      <w:pPr>
        <w:spacing w:beforeLines="0" w:afterLines="0"/>
        <w:rPr>
          <w:rFonts w:hint="default" w:ascii="宋体" w:hAnsi="宋体"/>
          <w:color w:val="auto"/>
          <w:sz w:val="21"/>
          <w:szCs w:val="21"/>
          <w:highlight w:val="none"/>
          <w:u w:val="single"/>
        </w:rPr>
      </w:pPr>
      <w:r>
        <w:t>法定代表人或授权代表人（签字或盖章）：</w:t>
      </w:r>
    </w:p>
    <w:p>
      <w:pPr>
        <w:spacing w:beforeLines="0" w:afterLines="0"/>
        <w:rPr>
          <w:rFonts w:hint="default" w:ascii="宋体" w:hAnsi="宋体"/>
          <w:color w:val="auto"/>
          <w:sz w:val="21"/>
          <w:szCs w:val="21"/>
          <w:highlight w:val="none"/>
        </w:rPr>
      </w:pPr>
      <w:r/>
    </w:p>
    <w:p>
      <w:pPr>
        <w:spacing w:beforeLines="0" w:afterLines="0"/>
        <w:rPr>
          <w:rFonts w:hint="default" w:ascii="宋体" w:hAnsi="宋体"/>
          <w:color w:val="auto"/>
          <w:sz w:val="21"/>
          <w:szCs w:val="21"/>
          <w:highlight w:val="none"/>
        </w:rPr>
      </w:pPr>
      <w:r>
        <w:t>日期：</w:t>
      </w:r>
    </w:p>
    <w:bookmarkEnd w:id="194"/>
    <w:p>
      <w:pPr>
        <w:spacing w:beforeLines="0" w:afterLines="0" w:line="360" w:lineRule="auto"/>
        <w:rPr>
          <w:rFonts w:hint="default" w:ascii="宋体" w:hAnsi="宋体" w:cs="宋体"/>
          <w:b/>
          <w:color w:val="auto"/>
          <w:sz w:val="21"/>
          <w:szCs w:val="21"/>
          <w:highlight w:val="none"/>
        </w:rPr>
      </w:pPr>
      <w:r/>
    </w:p>
    <w:p>
      <w:pPr>
        <w:pStyle w:val="4"/>
        <w:spacing w:before="120" w:beforeLines="0" w:after="60" w:afterLines="0" w:line="240" w:lineRule="auto"/>
        <w:rPr>
          <w:rFonts w:hint="eastAsia" w:ascii="宋体" w:hAnsi="宋体" w:eastAsia="宋体" w:cs="宋体"/>
          <w:color w:val="auto"/>
          <w:sz w:val="21"/>
          <w:szCs w:val="21"/>
          <w:highlight w:val="none"/>
          <w:lang w:eastAsia="zh-CN"/>
        </w:rPr>
      </w:pPr>
      <w:r>
        <w:t>格式  评分标准或采购文件需要体用的其他技术商务材料</w:t>
      </w:r>
    </w:p>
    <w:p>
      <w:pPr>
        <w:snapToGrid w:val="0"/>
        <w:spacing w:before="120" w:beforeLines="50" w:after="120" w:afterLines="50"/>
        <w:jc w:val="center"/>
        <w:rPr>
          <w:rFonts w:hint="default" w:ascii="宋体" w:hAnsi="宋体" w:cs="宋体"/>
          <w:b/>
          <w:color w:val="auto"/>
          <w:sz w:val="32"/>
          <w:szCs w:val="32"/>
          <w:highlight w:val="none"/>
        </w:rPr>
      </w:pPr>
      <w:r>
        <w:t>类似项目业绩表</w:t>
      </w:r>
    </w:p>
    <w:tbl>
      <w:tblPr>
        <w:tblStyle w:val="21"/>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left w:val="single" w:color="auto" w:sz="4" w:space="0"/>
              <w:bottom w:val="single" w:color="auto" w:sz="4" w:space="0"/>
              <w:right w:val="single" w:color="auto" w:sz="2" w:space="0"/>
              <w:tl2br w:val="nil"/>
              <w:tr2bl w:val="nil"/>
            </w:tcBorders>
            <w:noWrap w:val="0"/>
            <w:tcMar>
              <w:left w:w="0" w:type="dxa"/>
              <w:right w:w="0" w:type="dxa"/>
            </w:tcMar>
            <w:vAlign w:val="center"/>
          </w:tcPr>
          <w:p>
            <w:r>
              <w:t>序号</w:t>
            </w:r>
          </w:p>
        </w:tc>
        <w:tc>
          <w:tcPr>
            <w:tcW w:w="1702"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项目名称</w:t>
            </w:r>
          </w:p>
        </w:tc>
        <w:tc>
          <w:tcPr>
            <w:tcW w:w="2028"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采购人名称</w:t>
            </w:r>
          </w:p>
        </w:tc>
        <w:tc>
          <w:tcPr>
            <w:tcW w:w="1143"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合同金额</w:t>
            </w:r>
          </w:p>
        </w:tc>
        <w:tc>
          <w:tcPr>
            <w:tcW w:w="1260" w:type="dxa"/>
            <w:tcBorders>
              <w:top w:val="single" w:color="auto" w:sz="4" w:space="0"/>
              <w:left w:val="single" w:color="auto" w:sz="2" w:space="0"/>
              <w:bottom w:val="single" w:color="auto" w:sz="4" w:space="0"/>
              <w:right w:val="single" w:color="auto" w:sz="2" w:space="0"/>
              <w:tl2br w:val="nil"/>
              <w:tr2bl w:val="nil"/>
            </w:tcBorders>
            <w:noWrap w:val="0"/>
            <w:tcMar>
              <w:left w:w="0" w:type="dxa"/>
              <w:right w:w="0" w:type="dxa"/>
            </w:tcMar>
            <w:vAlign w:val="center"/>
          </w:tcPr>
          <w:p>
            <w:r>
              <w:t>合同签订时间</w:t>
            </w:r>
          </w:p>
        </w:tc>
        <w:tc>
          <w:tcPr>
            <w:tcW w:w="2052" w:type="dxa"/>
            <w:tcBorders>
              <w:top w:val="single" w:color="auto" w:sz="4" w:space="0"/>
              <w:left w:val="single" w:color="auto" w:sz="2" w:space="0"/>
              <w:bottom w:val="single" w:color="auto" w:sz="4" w:space="0"/>
              <w:right w:val="single" w:color="auto" w:sz="4" w:space="0"/>
              <w:tl2br w:val="nil"/>
              <w:tr2bl w:val="nil"/>
            </w:tcBorders>
            <w:noWrap w:val="0"/>
            <w:tcMar>
              <w:left w:w="0" w:type="dxa"/>
              <w:right w:w="0" w:type="dxa"/>
            </w:tcMar>
            <w:vAlign w:val="center"/>
          </w:tcPr>
          <w:p>
            <w: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4" w:space="0"/>
              <w:left w:val="single" w:color="auto" w:sz="4" w:space="0"/>
              <w:bottom w:val="single" w:color="auto" w:sz="2" w:space="0"/>
              <w:right w:val="single" w:color="auto" w:sz="2" w:space="0"/>
              <w:tl2br w:val="nil"/>
              <w:tr2bl w:val="nil"/>
            </w:tcBorders>
            <w:noWrap w:val="0"/>
            <w:tcMar>
              <w:left w:w="0" w:type="dxa"/>
              <w:right w:w="0" w:type="dxa"/>
            </w:tcMar>
            <w:vAlign w:val="center"/>
          </w:tcPr>
          <w:p>
            <w:r>
              <w:t>1</w:t>
            </w:r>
          </w:p>
        </w:tc>
        <w:tc>
          <w:tcPr>
            <w:tcW w:w="1702"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4"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4"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2</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3</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4</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5</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6</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7</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8</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9</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2" w:space="0"/>
              <w:right w:val="single" w:color="auto" w:sz="2" w:space="0"/>
              <w:tl2br w:val="nil"/>
              <w:tr2bl w:val="nil"/>
            </w:tcBorders>
            <w:noWrap w:val="0"/>
            <w:tcMar>
              <w:left w:w="0" w:type="dxa"/>
              <w:right w:w="0" w:type="dxa"/>
            </w:tcMar>
            <w:vAlign w:val="center"/>
          </w:tcPr>
          <w:p>
            <w:r>
              <w:t>10</w:t>
            </w:r>
          </w:p>
        </w:tc>
        <w:tc>
          <w:tcPr>
            <w:tcW w:w="1702"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2"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2"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2" w:space="0"/>
              <w:left w:val="single" w:color="auto" w:sz="4" w:space="0"/>
              <w:bottom w:val="single" w:color="auto" w:sz="4" w:space="0"/>
              <w:right w:val="single" w:color="auto" w:sz="2" w:space="0"/>
              <w:tl2br w:val="nil"/>
              <w:tr2bl w:val="nil"/>
            </w:tcBorders>
            <w:noWrap w:val="0"/>
            <w:tcMar>
              <w:left w:w="0" w:type="dxa"/>
              <w:right w:w="0" w:type="dxa"/>
            </w:tcMar>
            <w:vAlign w:val="center"/>
          </w:tcPr>
          <w:p>
            <w:r>
              <w:t>11</w:t>
            </w:r>
          </w:p>
        </w:tc>
        <w:tc>
          <w:tcPr>
            <w:tcW w:w="1702"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28"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143"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1260" w:type="dxa"/>
            <w:tcBorders>
              <w:top w:val="single" w:color="auto" w:sz="2" w:space="0"/>
              <w:left w:val="single" w:color="auto" w:sz="2" w:space="0"/>
              <w:bottom w:val="single" w:color="auto" w:sz="4" w:space="0"/>
              <w:right w:val="single" w:color="auto" w:sz="2"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c>
          <w:tcPr>
            <w:tcW w:w="2052" w:type="dxa"/>
            <w:tcBorders>
              <w:top w:val="single" w:color="auto" w:sz="2" w:space="0"/>
              <w:left w:val="single" w:color="auto" w:sz="2" w:space="0"/>
              <w:bottom w:val="single" w:color="auto" w:sz="4" w:space="0"/>
              <w:right w:val="single" w:color="auto" w:sz="4" w:space="0"/>
              <w:tl2br w:val="nil"/>
              <w:tr2bl w:val="nil"/>
            </w:tcBorders>
            <w:noWrap w:val="0"/>
            <w:tcMar>
              <w:left w:w="0" w:type="dxa"/>
              <w:right w:w="0" w:type="dxa"/>
            </w:tcMar>
            <w:vAlign w:val="center"/>
          </w:tcPr>
          <w:p>
            <w:pPr>
              <w:spacing w:beforeLines="0" w:afterLines="0" w:line="240" w:lineRule="atLeast"/>
              <w:jc w:val="center"/>
              <w:rPr>
                <w:rFonts w:hint="default" w:ascii="宋体" w:hAnsi="宋体" w:cs="宋体"/>
                <w:color w:val="auto"/>
                <w:sz w:val="21"/>
                <w:szCs w:val="21"/>
                <w:highlight w:val="none"/>
              </w:rPr>
            </w:pPr>
          </w:p>
        </w:tc>
      </w:tr>
    </w:tbl>
    <w:p>
      <w:pPr>
        <w:spacing w:before="20" w:beforeLines="0" w:after="20" w:afterLines="0"/>
        <w:rPr>
          <w:rFonts w:hint="default" w:ascii="宋体" w:hAnsi="宋体" w:cs="宋体"/>
          <w:b/>
          <w:color w:val="auto"/>
          <w:sz w:val="21"/>
          <w:szCs w:val="21"/>
          <w:highlight w:val="none"/>
        </w:rPr>
      </w:pPr>
      <w:r>
        <w:t>注：根据评分标准要求（如有）提供相关证明材料。</w:t>
      </w:r>
    </w:p>
    <w:p>
      <w:pPr>
        <w:snapToGrid w:val="0"/>
        <w:spacing w:before="120" w:beforeLines="50" w:afterLines="0"/>
        <w:ind w:firstLine="200"/>
        <w:rPr>
          <w:rFonts w:hint="default" w:ascii="宋体" w:hAnsi="宋体" w:cs="宋体"/>
          <w:color w:val="auto"/>
          <w:sz w:val="21"/>
          <w:szCs w:val="21"/>
          <w:highlight w:val="none"/>
        </w:rPr>
      </w:pPr>
      <w:r/>
    </w:p>
    <w:p>
      <w:pPr>
        <w:snapToGrid w:val="0"/>
        <w:spacing w:before="120" w:beforeLines="50" w:afterLines="0" w:line="560" w:lineRule="exact"/>
        <w:ind w:firstLine="210" w:firstLineChars="100"/>
        <w:rPr>
          <w:rFonts w:hint="default" w:ascii="宋体" w:hAnsi="宋体" w:cs="宋体"/>
          <w:color w:val="auto"/>
          <w:sz w:val="21"/>
          <w:szCs w:val="21"/>
          <w:highlight w:val="none"/>
          <w:u w:val="single"/>
        </w:rPr>
      </w:pPr>
      <w:r>
        <w:t xml:space="preserve">                       投标人名称（加盖公章）：                        </w:t>
      </w:r>
    </w:p>
    <w:p>
      <w:pPr>
        <w:snapToGrid w:val="0"/>
        <w:spacing w:before="120" w:beforeLines="50" w:afterLines="0" w:line="560" w:lineRule="exact"/>
        <w:ind w:firstLine="200"/>
        <w:rPr>
          <w:rFonts w:hint="default" w:ascii="宋体" w:hAnsi="宋体" w:cs="宋体"/>
          <w:color w:val="auto"/>
          <w:sz w:val="21"/>
          <w:szCs w:val="21"/>
          <w:highlight w:val="none"/>
          <w:u w:val="single"/>
        </w:rPr>
      </w:pPr>
      <w:r>
        <w:t xml:space="preserve">                       法定代表人或其委托代理人（签字或盖章）：             </w:t>
      </w:r>
    </w:p>
    <w:p>
      <w:pPr>
        <w:snapToGrid w:val="0"/>
        <w:spacing w:before="120" w:beforeLines="50" w:afterLines="0" w:line="560" w:lineRule="exact"/>
        <w:ind w:firstLine="210" w:firstLineChars="100"/>
        <w:rPr>
          <w:rFonts w:hint="default" w:ascii="宋体" w:hAnsi="宋体" w:cs="宋体"/>
          <w:color w:val="auto"/>
          <w:sz w:val="21"/>
          <w:szCs w:val="21"/>
          <w:highlight w:val="none"/>
        </w:rPr>
      </w:pPr>
      <w:r>
        <w:t xml:space="preserve">                                              年    月    日</w:t>
      </w:r>
    </w:p>
    <w:p>
      <w:pPr>
        <w:spacing w:beforeLines="0" w:afterLines="0"/>
        <w:rPr>
          <w:rFonts w:hint="default" w:ascii="宋体" w:hAnsi="宋体" w:cs="宋体"/>
          <w:color w:val="auto"/>
          <w:sz w:val="21"/>
          <w:szCs w:val="21"/>
          <w:highlight w:val="none"/>
        </w:rPr>
      </w:pPr>
      <w:r/>
    </w:p>
    <w:p>
      <w:pPr>
        <w:snapToGrid w:val="0"/>
        <w:spacing w:before="120" w:beforeLines="50" w:after="20" w:afterLines="0"/>
        <w:jc w:val="center"/>
        <w:rPr>
          <w:rFonts w:hint="default" w:ascii="宋体" w:hAnsi="宋体" w:cs="宋体"/>
          <w:b/>
          <w:color w:val="auto"/>
          <w:sz w:val="32"/>
          <w:szCs w:val="32"/>
          <w:highlight w:val="none"/>
        </w:rPr>
      </w:pPr>
      <w:r>
        <w:t>拟派本项目人员配备汇总表</w:t>
      </w:r>
    </w:p>
    <w:tbl>
      <w:tblPr>
        <w:tblStyle w:val="2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序号</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姓名</w:t>
            </w: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年龄</w:t>
            </w: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身份证号码</w:t>
            </w: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职称</w:t>
            </w: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本项目拟担任职务</w:t>
            </w: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1</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2</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3</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4</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5</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83"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6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pacing w:beforeLines="0" w:afterLines="0"/>
              <w:jc w:val="center"/>
              <w:rPr>
                <w:rFonts w:hint="default" w:ascii="宋体" w:hAnsi="宋体" w:cs="宋体"/>
                <w:color w:val="auto"/>
                <w:sz w:val="21"/>
                <w:szCs w:val="21"/>
                <w:highlight w:val="none"/>
              </w:rPr>
            </w:pPr>
          </w:p>
        </w:tc>
      </w:tr>
    </w:tbl>
    <w:p>
      <w:pPr>
        <w:spacing w:beforeLines="0" w:afterLines="0" w:line="440" w:lineRule="exact"/>
        <w:rPr>
          <w:rFonts w:hint="default" w:ascii="宋体" w:hAnsi="宋体" w:cs="宋体"/>
          <w:color w:val="auto"/>
          <w:sz w:val="21"/>
          <w:szCs w:val="21"/>
          <w:highlight w:val="none"/>
        </w:rPr>
      </w:pPr>
      <w:r>
        <w:t>注：以上表格中如为现有正式在职员工的，后附人员的身份证、经验证明（如有）等资料复印件；非现有员工的，只需注明各岗位人员配备数量；如评分标准另有要求的则按照评分标准要求提供相关证明材料。</w:t>
      </w:r>
    </w:p>
    <w:p>
      <w:pPr>
        <w:snapToGrid w:val="0"/>
        <w:spacing w:beforeLines="0" w:afterLines="0" w:line="440" w:lineRule="exact"/>
        <w:rPr>
          <w:rFonts w:hint="default" w:ascii="宋体" w:hAnsi="宋体" w:cs="宋体"/>
          <w:color w:val="auto"/>
          <w:sz w:val="21"/>
          <w:szCs w:val="21"/>
          <w:highlight w:val="none"/>
          <w:shd w:val="pct10" w:color="auto" w:fill="FFFFFF"/>
        </w:rPr>
      </w:pPr>
      <w:r/>
    </w:p>
    <w:p>
      <w:pPr>
        <w:snapToGrid w:val="0"/>
        <w:spacing w:beforeLines="0" w:afterLines="0" w:line="440" w:lineRule="exact"/>
        <w:ind w:right="2190" w:rightChars="1043"/>
        <w:jc w:val="right"/>
        <w:rPr>
          <w:rFonts w:hint="default" w:ascii="宋体" w:hAnsi="宋体" w:cs="宋体"/>
          <w:color w:val="auto"/>
          <w:sz w:val="21"/>
          <w:szCs w:val="21"/>
          <w:highlight w:val="none"/>
        </w:rPr>
      </w:pPr>
      <w:r/>
    </w:p>
    <w:p>
      <w:pPr>
        <w:tabs>
          <w:tab w:val="left" w:pos="5760"/>
          <w:tab w:val="left" w:pos="6120"/>
        </w:tabs>
        <w:wordWrap w:val="0"/>
        <w:snapToGrid w:val="0"/>
        <w:spacing w:beforeLines="0" w:afterLines="0" w:line="440" w:lineRule="exact"/>
        <w:ind w:right="2190" w:rightChars="1043"/>
        <w:jc w:val="right"/>
        <w:rPr>
          <w:rFonts w:hint="default" w:ascii="宋体" w:hAnsi="宋体" w:cs="宋体"/>
          <w:color w:val="auto"/>
          <w:sz w:val="21"/>
          <w:szCs w:val="21"/>
          <w:highlight w:val="none"/>
        </w:rPr>
      </w:pPr>
      <w:r>
        <w:t xml:space="preserve">投标人名称（加盖公章）：    </w:t>
      </w:r>
    </w:p>
    <w:p>
      <w:pPr>
        <w:snapToGrid w:val="0"/>
        <w:spacing w:beforeLines="0" w:afterLines="0" w:line="440" w:lineRule="exact"/>
        <w:ind w:right="930" w:rightChars="443"/>
        <w:jc w:val="right"/>
        <w:rPr>
          <w:rFonts w:hint="default" w:ascii="宋体" w:hAnsi="宋体" w:cs="宋体"/>
          <w:color w:val="auto"/>
          <w:sz w:val="21"/>
          <w:szCs w:val="21"/>
          <w:highlight w:val="none"/>
          <w:u w:val="single"/>
        </w:rPr>
      </w:pPr>
      <w:r>
        <w:t>法定代表人或其委托代理人（签字或盖章）：</w:t>
      </w:r>
    </w:p>
    <w:p>
      <w:pPr>
        <w:snapToGrid w:val="0"/>
        <w:spacing w:beforeLines="0" w:afterLines="0" w:line="440" w:lineRule="exact"/>
        <w:ind w:right="752" w:rightChars="358"/>
        <w:jc w:val="right"/>
        <w:rPr>
          <w:rFonts w:hint="default" w:ascii="宋体" w:hAnsi="宋体" w:cs="宋体"/>
          <w:color w:val="auto"/>
          <w:sz w:val="21"/>
          <w:szCs w:val="21"/>
          <w:highlight w:val="none"/>
        </w:rPr>
      </w:pPr>
      <w:r>
        <w:t>年    月    日</w:t>
      </w:r>
    </w:p>
    <w:p>
      <w:pPr>
        <w:snapToGrid w:val="0"/>
        <w:spacing w:before="60" w:beforeLines="0" w:after="60" w:afterLines="0" w:line="360" w:lineRule="auto"/>
        <w:ind w:right="752" w:rightChars="358"/>
        <w:rPr>
          <w:rFonts w:hint="default" w:ascii="宋体" w:hAnsi="宋体" w:cs="宋体"/>
          <w:color w:val="auto"/>
          <w:sz w:val="21"/>
          <w:szCs w:val="21"/>
          <w:highlight w:val="none"/>
        </w:rPr>
      </w:pPr>
      <w:r/>
    </w:p>
    <w:p>
      <w:pPr>
        <w:snapToGrid w:val="0"/>
        <w:spacing w:before="60" w:beforeLines="0" w:after="60" w:afterLines="0" w:line="360" w:lineRule="auto"/>
        <w:ind w:right="752" w:rightChars="358"/>
        <w:jc w:val="right"/>
        <w:rPr>
          <w:rFonts w:hint="default" w:ascii="宋体" w:hAnsi="宋体" w:cs="宋体"/>
          <w:color w:val="auto"/>
          <w:sz w:val="21"/>
          <w:szCs w:val="21"/>
          <w:highlight w:val="none"/>
          <w:shd w:val="pct10" w:color="auto" w:fill="FFFFFF"/>
        </w:rPr>
      </w:pPr>
      <w:r/>
    </w:p>
    <w:p>
      <w:pPr>
        <w:pStyle w:val="4"/>
        <w:spacing w:before="120" w:beforeLines="0" w:after="60" w:afterLines="0" w:line="240" w:lineRule="auto"/>
        <w:rPr>
          <w:rFonts w:hint="default" w:ascii="宋体" w:hAnsi="宋体" w:eastAsia="宋体" w:cs="宋体"/>
          <w:color w:val="auto"/>
          <w:sz w:val="21"/>
          <w:szCs w:val="21"/>
          <w:highlight w:val="none"/>
        </w:rPr>
        <w:sectPr>
          <w:pgSz w:w="11906" w:h="16838"/>
          <w:pgMar w:top="1247" w:right="1531" w:bottom="1304" w:left="1531" w:header="851" w:footer="851" w:gutter="0"/>
          <w:lnNumType w:countBy="0" w:distance="360"/>
          <w:cols w:space="720" w:num="1"/>
          <w:titlePg/>
          <w:docGrid w:linePitch="312" w:charSpace="0"/>
        </w:sectPr>
      </w:pPr>
      <w:r/>
    </w:p>
    <w:p>
      <w:pPr>
        <w:snapToGrid w:val="0"/>
        <w:spacing w:before="120" w:beforeLines="50" w:after="20" w:afterLines="0"/>
        <w:jc w:val="center"/>
        <w:rPr>
          <w:rFonts w:hint="default" w:ascii="宋体" w:hAnsi="宋体" w:cs="宋体"/>
          <w:b/>
          <w:color w:val="auto"/>
          <w:sz w:val="32"/>
          <w:szCs w:val="32"/>
          <w:highlight w:val="none"/>
        </w:rPr>
      </w:pPr>
      <w:r>
        <w:t>拟派项目负责人简历表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913"/>
        <w:gridCol w:w="365"/>
        <w:gridCol w:w="730"/>
        <w:gridCol w:w="1278"/>
        <w:gridCol w:w="914"/>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4" w:space="0"/>
              <w:left w:val="single" w:color="auto" w:sz="4" w:space="0"/>
              <w:bottom w:val="single" w:color="auto" w:sz="2" w:space="0"/>
              <w:right w:val="single" w:color="auto" w:sz="2" w:space="0"/>
              <w:tl2br w:val="nil"/>
              <w:tr2bl w:val="nil"/>
            </w:tcBorders>
            <w:noWrap w:val="0"/>
            <w:vAlign w:val="center"/>
          </w:tcPr>
          <w:p>
            <w:r>
              <w:t>姓名</w:t>
            </w:r>
          </w:p>
        </w:tc>
        <w:tc>
          <w:tcPr>
            <w:tcW w:w="1824" w:type="dxa"/>
            <w:tcBorders>
              <w:top w:val="single" w:color="auto" w:sz="4"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gridSpan w:val="2"/>
            <w:tcBorders>
              <w:top w:val="single" w:color="auto" w:sz="4" w:space="0"/>
              <w:left w:val="single" w:color="auto" w:sz="2" w:space="0"/>
              <w:bottom w:val="single" w:color="auto" w:sz="2" w:space="0"/>
              <w:right w:val="single" w:color="auto" w:sz="2" w:space="0"/>
              <w:tl2br w:val="nil"/>
              <w:tr2bl w:val="nil"/>
            </w:tcBorders>
            <w:noWrap w:val="0"/>
            <w:vAlign w:val="center"/>
          </w:tcPr>
          <w:p>
            <w:r>
              <w:t>性别</w:t>
            </w:r>
          </w:p>
        </w:tc>
        <w:tc>
          <w:tcPr>
            <w:tcW w:w="2008" w:type="dxa"/>
            <w:gridSpan w:val="2"/>
            <w:tcBorders>
              <w:top w:val="single" w:color="auto" w:sz="4"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color w:val="auto"/>
                <w:sz w:val="21"/>
                <w:szCs w:val="21"/>
                <w:highlight w:val="none"/>
              </w:rPr>
            </w:pPr>
          </w:p>
        </w:tc>
        <w:tc>
          <w:tcPr>
            <w:tcW w:w="914" w:type="dxa"/>
            <w:tcBorders>
              <w:top w:val="single" w:color="auto" w:sz="4" w:space="0"/>
              <w:left w:val="single" w:color="auto" w:sz="2" w:space="0"/>
              <w:bottom w:val="single" w:color="auto" w:sz="2" w:space="0"/>
              <w:right w:val="single" w:color="auto" w:sz="2" w:space="0"/>
              <w:tl2br w:val="nil"/>
              <w:tr2bl w:val="nil"/>
            </w:tcBorders>
            <w:noWrap w:val="0"/>
            <w:vAlign w:val="center"/>
          </w:tcPr>
          <w:p>
            <w:r>
              <w:t>年龄</w:t>
            </w:r>
          </w:p>
        </w:tc>
        <w:tc>
          <w:tcPr>
            <w:tcW w:w="1728" w:type="dxa"/>
            <w:tcBorders>
              <w:top w:val="single" w:color="auto" w:sz="4"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r>
              <w:t>职务</w:t>
            </w:r>
          </w:p>
        </w:tc>
        <w:tc>
          <w:tcPr>
            <w:tcW w:w="182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r>
              <w:t>技术职称</w:t>
            </w:r>
          </w:p>
        </w:tc>
        <w:tc>
          <w:tcPr>
            <w:tcW w:w="2008"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r>
              <w:t>学历</w:t>
            </w: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r>
              <w:t>参加工作</w:t>
              <w:br/>
              <w:t>时间</w:t>
            </w:r>
          </w:p>
        </w:tc>
        <w:tc>
          <w:tcPr>
            <w:tcW w:w="3102" w:type="dxa"/>
            <w:gridSpan w:val="3"/>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008"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r>
              <w:t>取得技术职称时间</w:t>
            </w:r>
          </w:p>
        </w:tc>
        <w:tc>
          <w:tcPr>
            <w:tcW w:w="2642" w:type="dxa"/>
            <w:gridSpan w:val="2"/>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8"/>
            <w:tcBorders>
              <w:top w:val="single" w:color="auto" w:sz="2" w:space="0"/>
              <w:left w:val="single" w:color="auto" w:sz="4" w:space="0"/>
              <w:bottom w:val="single" w:color="auto" w:sz="2" w:space="0"/>
              <w:right w:val="single" w:color="auto" w:sz="4" w:space="0"/>
              <w:tl2br w:val="nil"/>
              <w:tr2bl w:val="nil"/>
            </w:tcBorders>
            <w:noWrap w:val="0"/>
            <w:vAlign w:val="center"/>
          </w:tcPr>
          <w:p>
            <w: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r>
              <w:t>时间</w:t>
            </w: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r>
              <w:t>参加过的类似项目</w:t>
            </w: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r>
              <w:t>项目</w:t>
              <w:br/>
              <w:t>规模</w:t>
            </w: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r>
              <w:t>担任职务</w:t>
            </w: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r>
              <w:t>在建或已完</w:t>
            </w: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r>
              <w:t>采购人及</w:t>
              <w:b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2"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2"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tcBorders>
              <w:top w:val="single" w:color="auto" w:sz="2" w:space="0"/>
              <w:left w:val="single" w:color="auto" w:sz="4" w:space="0"/>
              <w:bottom w:val="single" w:color="auto" w:sz="4"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2737" w:type="dxa"/>
            <w:gridSpan w:val="2"/>
            <w:tcBorders>
              <w:top w:val="single" w:color="auto" w:sz="2" w:space="0"/>
              <w:left w:val="single" w:color="auto" w:sz="2" w:space="0"/>
              <w:bottom w:val="single" w:color="auto" w:sz="4"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095" w:type="dxa"/>
            <w:gridSpan w:val="2"/>
            <w:tcBorders>
              <w:top w:val="single" w:color="auto" w:sz="2" w:space="0"/>
              <w:left w:val="single" w:color="auto" w:sz="2" w:space="0"/>
              <w:bottom w:val="single" w:color="auto" w:sz="4"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278" w:type="dxa"/>
            <w:tcBorders>
              <w:top w:val="single" w:color="auto" w:sz="2" w:space="0"/>
              <w:left w:val="single" w:color="auto" w:sz="2" w:space="0"/>
              <w:bottom w:val="single" w:color="auto" w:sz="4"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914" w:type="dxa"/>
            <w:tcBorders>
              <w:top w:val="single" w:color="auto" w:sz="2" w:space="0"/>
              <w:left w:val="single" w:color="auto" w:sz="2" w:space="0"/>
              <w:bottom w:val="single" w:color="auto" w:sz="4" w:space="0"/>
              <w:right w:val="single" w:color="auto" w:sz="2"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c>
          <w:tcPr>
            <w:tcW w:w="1728" w:type="dxa"/>
            <w:tcBorders>
              <w:top w:val="single" w:color="auto" w:sz="2" w:space="0"/>
              <w:left w:val="single" w:color="auto" w:sz="2"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cs="宋体"/>
                <w:b/>
                <w:color w:val="auto"/>
                <w:sz w:val="21"/>
                <w:szCs w:val="21"/>
                <w:highlight w:val="none"/>
              </w:rPr>
            </w:pPr>
          </w:p>
        </w:tc>
      </w:tr>
    </w:tbl>
    <w:p>
      <w:pPr>
        <w:snapToGrid w:val="0"/>
        <w:spacing w:before="50" w:beforeLines="0" w:after="120" w:afterLines="50"/>
        <w:ind w:left="339" w:hanging="339" w:hangingChars="161"/>
        <w:jc w:val="left"/>
        <w:rPr>
          <w:rFonts w:hint="default" w:ascii="宋体" w:hAnsi="宋体" w:cs="宋体"/>
          <w:b/>
          <w:color w:val="auto"/>
          <w:sz w:val="21"/>
          <w:szCs w:val="21"/>
          <w:highlight w:val="none"/>
        </w:rPr>
      </w:pPr>
      <w:r>
        <w:t>注：根据评分标准要求（如有）提供相关证明材料。</w:t>
      </w:r>
    </w:p>
    <w:p>
      <w:pPr>
        <w:snapToGrid w:val="0"/>
        <w:spacing w:before="60" w:beforeLines="0" w:after="60" w:afterLines="0" w:line="360" w:lineRule="auto"/>
        <w:ind w:right="752" w:rightChars="358"/>
        <w:jc w:val="right"/>
        <w:rPr>
          <w:rFonts w:hint="default" w:ascii="宋体" w:hAnsi="宋体" w:cs="宋体"/>
          <w:color w:val="auto"/>
          <w:sz w:val="21"/>
          <w:szCs w:val="21"/>
          <w:highlight w:val="none"/>
        </w:rPr>
      </w:pPr>
      <w:r/>
    </w:p>
    <w:p>
      <w:pPr>
        <w:tabs>
          <w:tab w:val="left" w:pos="5760"/>
          <w:tab w:val="left" w:pos="6120"/>
        </w:tabs>
        <w:snapToGrid w:val="0"/>
        <w:spacing w:before="60" w:beforeLines="0" w:after="60" w:afterLines="0" w:line="360" w:lineRule="auto"/>
        <w:ind w:right="2190" w:rightChars="1043"/>
        <w:jc w:val="right"/>
        <w:rPr>
          <w:rFonts w:hint="default" w:ascii="宋体" w:hAnsi="宋体" w:cs="宋体"/>
          <w:color w:val="auto"/>
          <w:sz w:val="21"/>
          <w:szCs w:val="21"/>
          <w:highlight w:val="none"/>
        </w:rPr>
      </w:pPr>
      <w:r>
        <w:t>投标人全称（加盖公章）：</w:t>
      </w:r>
    </w:p>
    <w:p>
      <w:pPr>
        <w:snapToGrid w:val="0"/>
        <w:spacing w:before="60" w:beforeLines="0" w:after="60" w:afterLines="0" w:line="360" w:lineRule="auto"/>
        <w:ind w:right="930" w:rightChars="443"/>
        <w:jc w:val="right"/>
        <w:rPr>
          <w:rFonts w:hint="default" w:ascii="宋体" w:hAnsi="宋体" w:cs="宋体"/>
          <w:color w:val="auto"/>
          <w:sz w:val="21"/>
          <w:szCs w:val="21"/>
          <w:highlight w:val="none"/>
          <w:u w:val="single"/>
        </w:rPr>
      </w:pPr>
      <w:r>
        <w:t>法定代表人或授权代表（签字或盖章）：</w:t>
      </w:r>
    </w:p>
    <w:p>
      <w:pPr>
        <w:snapToGrid w:val="0"/>
        <w:spacing w:before="60" w:beforeLines="0" w:after="60" w:afterLines="0" w:line="360" w:lineRule="auto"/>
        <w:ind w:right="752" w:rightChars="358" w:firstLine="3990" w:firstLineChars="1900"/>
        <w:jc w:val="left"/>
        <w:rPr>
          <w:rFonts w:hint="default" w:ascii="宋体" w:hAnsi="宋体" w:eastAsia="宋体" w:cs="宋体"/>
          <w:color w:val="auto"/>
          <w:sz w:val="21"/>
          <w:szCs w:val="21"/>
          <w:highlight w:val="none"/>
        </w:rPr>
      </w:pPr>
      <w:r>
        <w:t>年    月    日</w:t>
      </w:r>
    </w:p>
    <w:p>
      <w:pPr>
        <w:snapToGrid w:val="0"/>
        <w:spacing w:before="240" w:beforeLines="100" w:after="60" w:afterLines="0"/>
        <w:jc w:val="center"/>
        <w:rPr>
          <w:rFonts w:hint="default" w:ascii="宋体" w:hAnsi="宋体" w:cs="宋体"/>
          <w:b/>
          <w:color w:val="auto"/>
          <w:sz w:val="32"/>
          <w:szCs w:val="32"/>
          <w:highlight w:val="none"/>
        </w:rPr>
      </w:pPr>
      <w:r>
        <w:t>作业工具配置表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76"/>
        <w:gridCol w:w="605"/>
        <w:gridCol w:w="2301"/>
        <w:gridCol w:w="144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序号</w:t>
            </w: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设备名称</w:t>
            </w: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数量</w:t>
            </w: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品牌、型号规格</w:t>
            </w: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用途</w:t>
            </w: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r>
              <w:t>备注</w:t>
              <w:b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07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605"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2301"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top"/>
          </w:tcPr>
          <w:p>
            <w:pPr>
              <w:snapToGrid w:val="0"/>
              <w:spacing w:beforeLines="0" w:afterLines="0"/>
              <w:jc w:val="center"/>
              <w:rPr>
                <w:rFonts w:hint="default" w:ascii="宋体" w:hAnsi="宋体" w:cs="宋体"/>
                <w:color w:val="auto"/>
                <w:sz w:val="21"/>
                <w:szCs w:val="21"/>
                <w:highlight w:val="none"/>
              </w:rPr>
            </w:pPr>
          </w:p>
        </w:tc>
        <w:tc>
          <w:tcPr>
            <w:tcW w:w="1586" w:type="dxa"/>
            <w:tcBorders>
              <w:top w:val="single" w:color="auto" w:sz="4" w:space="0"/>
              <w:left w:val="single" w:color="auto" w:sz="4" w:space="0"/>
              <w:bottom w:val="single" w:color="auto" w:sz="4" w:space="0"/>
              <w:right w:val="single" w:color="auto" w:sz="4" w:space="0"/>
              <w:tl2br w:val="nil"/>
              <w:tr2bl w:val="nil"/>
            </w:tcBorders>
            <w:noWrap w:val="0"/>
            <w:tcMar>
              <w:left w:w="28" w:type="dxa"/>
              <w:right w:w="28" w:type="dxa"/>
            </w:tcMar>
            <w:vAlign w:val="center"/>
          </w:tcPr>
          <w:p>
            <w:pPr>
              <w:snapToGrid w:val="0"/>
              <w:spacing w:beforeLines="0" w:afterLines="0"/>
              <w:jc w:val="center"/>
              <w:rPr>
                <w:rFonts w:hint="default" w:ascii="宋体" w:hAnsi="宋体" w:cs="宋体"/>
                <w:color w:val="auto"/>
                <w:sz w:val="21"/>
                <w:szCs w:val="21"/>
                <w:highlight w:val="none"/>
              </w:rPr>
            </w:pPr>
          </w:p>
        </w:tc>
      </w:tr>
    </w:tbl>
    <w:p>
      <w:pPr>
        <w:snapToGrid w:val="0"/>
        <w:spacing w:before="60" w:beforeLines="0" w:after="60" w:afterLines="0" w:line="360" w:lineRule="auto"/>
        <w:ind w:right="2190" w:rightChars="1043"/>
        <w:jc w:val="left"/>
        <w:rPr>
          <w:rFonts w:hint="default" w:ascii="宋体" w:hAnsi="宋体" w:cs="宋体"/>
          <w:color w:val="auto"/>
          <w:sz w:val="21"/>
          <w:szCs w:val="21"/>
          <w:highlight w:val="none"/>
        </w:rPr>
      </w:pPr>
      <w:r>
        <w:t>注：相关证明材料根据评分标准要求（如有）提供。</w:t>
      </w:r>
    </w:p>
    <w:p>
      <w:pPr>
        <w:snapToGrid w:val="0"/>
        <w:spacing w:before="120" w:beforeLines="50" w:afterLines="0" w:line="560" w:lineRule="exact"/>
        <w:ind w:firstLine="210" w:firstLineChars="100"/>
        <w:rPr>
          <w:rFonts w:hint="default" w:ascii="宋体" w:hAnsi="宋体" w:cs="宋体"/>
          <w:color w:val="auto"/>
          <w:sz w:val="21"/>
          <w:szCs w:val="21"/>
          <w:highlight w:val="none"/>
          <w:u w:val="single"/>
        </w:rPr>
      </w:pPr>
      <w:r>
        <w:t xml:space="preserve">                       投标人名称（加盖公章）：                        </w:t>
      </w:r>
    </w:p>
    <w:p>
      <w:pPr>
        <w:snapToGrid w:val="0"/>
        <w:spacing w:before="120" w:beforeLines="50" w:afterLines="0" w:line="560" w:lineRule="exact"/>
        <w:ind w:firstLine="200"/>
        <w:rPr>
          <w:rFonts w:hint="default" w:ascii="宋体" w:hAnsi="宋体" w:cs="宋体"/>
          <w:color w:val="auto"/>
          <w:sz w:val="21"/>
          <w:szCs w:val="21"/>
          <w:highlight w:val="none"/>
          <w:u w:val="single"/>
        </w:rPr>
      </w:pPr>
      <w:r>
        <w:t xml:space="preserve">                       法定代表人或其委托代理人（签字或盖章）：             </w:t>
      </w:r>
    </w:p>
    <w:p>
      <w:pPr>
        <w:pStyle w:val="20"/>
        <w:spacing w:beforeLines="0" w:afterLines="0"/>
        <w:ind w:left="0" w:leftChars="0" w:firstLine="0"/>
        <w:rPr>
          <w:rFonts w:hint="default" w:ascii="宋体" w:hAnsi="宋体" w:cs="宋体"/>
          <w:color w:val="auto"/>
          <w:sz w:val="21"/>
          <w:szCs w:val="21"/>
          <w:highlight w:val="none"/>
        </w:rPr>
      </w:pPr>
      <w:r/>
    </w:p>
    <w:p>
      <w:pPr>
        <w:pStyle w:val="20"/>
        <w:spacing w:beforeLines="0" w:afterLines="0"/>
        <w:ind w:left="0" w:leftChars="0" w:firstLine="2626" w:firstLineChars="1300"/>
        <w:rPr>
          <w:rFonts w:hint="default"/>
          <w:color w:val="auto"/>
          <w:sz w:val="21"/>
          <w:szCs w:val="21"/>
          <w:highlight w:val="none"/>
        </w:rPr>
      </w:pPr>
      <w:r>
        <w:t>年    月    日</w:t>
      </w:r>
    </w:p>
    <w:sectPr>
      <w:headerReference r:id="rId6" w:type="default"/>
      <w:footerReference r:id="rId7"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Lines="0" w:afterLines="0"/>
      <w:jc w:val="center"/>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val="zh-CN"/>
      </w:rPr>
      <w:t>22</w:t>
    </w:r>
    <w:r>
      <w:rPr>
        <w:rFonts w:hint="default"/>
        <w:sz w:val="18"/>
        <w:szCs w:val="24"/>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Lines="0" w:afterLines="0"/>
      <w:jc w:val="center"/>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lang w:val="zh-CN"/>
      </w:rPr>
      <w:t>53</w:t>
    </w:r>
    <w:r>
      <w:rPr>
        <w:rFonts w:hint="default"/>
        <w:sz w:val="18"/>
        <w:szCs w:val="24"/>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Lines="0" w:afterLines="0"/>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N2QwZjVkNTRhY2M2ZmFlZDUwNzk3M2IwMmYwNjYifQ=="/>
  </w:docVars>
  <w:rsids>
    <w:rsidRoot w:val="00172A27"/>
    <w:rsid w:val="00E05DDF"/>
    <w:rsid w:val="021E66F3"/>
    <w:rsid w:val="064C5279"/>
    <w:rsid w:val="066E0294"/>
    <w:rsid w:val="075A189C"/>
    <w:rsid w:val="07D7433F"/>
    <w:rsid w:val="0A852609"/>
    <w:rsid w:val="0B4708F4"/>
    <w:rsid w:val="0B70168E"/>
    <w:rsid w:val="0BA24924"/>
    <w:rsid w:val="0C505E68"/>
    <w:rsid w:val="11B53703"/>
    <w:rsid w:val="138323AE"/>
    <w:rsid w:val="147C012B"/>
    <w:rsid w:val="16C26003"/>
    <w:rsid w:val="197C6663"/>
    <w:rsid w:val="1B736A0E"/>
    <w:rsid w:val="1EF07B87"/>
    <w:rsid w:val="1FBD3CF5"/>
    <w:rsid w:val="252E63EA"/>
    <w:rsid w:val="25C7286F"/>
    <w:rsid w:val="25E85795"/>
    <w:rsid w:val="2619502F"/>
    <w:rsid w:val="26C111B8"/>
    <w:rsid w:val="278B060F"/>
    <w:rsid w:val="27D47410"/>
    <w:rsid w:val="27EF6CAF"/>
    <w:rsid w:val="2E403290"/>
    <w:rsid w:val="300B5857"/>
    <w:rsid w:val="35C44201"/>
    <w:rsid w:val="37971A36"/>
    <w:rsid w:val="39671A73"/>
    <w:rsid w:val="43F605E6"/>
    <w:rsid w:val="447660E8"/>
    <w:rsid w:val="473F0D5E"/>
    <w:rsid w:val="47DB4EB7"/>
    <w:rsid w:val="48862FD0"/>
    <w:rsid w:val="4B2C3E41"/>
    <w:rsid w:val="4C354C56"/>
    <w:rsid w:val="4E0D7261"/>
    <w:rsid w:val="511652C1"/>
    <w:rsid w:val="51821C07"/>
    <w:rsid w:val="52D15DFE"/>
    <w:rsid w:val="572323F4"/>
    <w:rsid w:val="5A6269F6"/>
    <w:rsid w:val="5B52597D"/>
    <w:rsid w:val="63DF02C9"/>
    <w:rsid w:val="6B3857CE"/>
    <w:rsid w:val="6E02452A"/>
    <w:rsid w:val="6E191EA2"/>
    <w:rsid w:val="70AE4F53"/>
    <w:rsid w:val="70DE203F"/>
    <w:rsid w:val="71B40FF2"/>
    <w:rsid w:val="73C92F8B"/>
    <w:rsid w:val="740F250F"/>
    <w:rsid w:val="74734AD8"/>
    <w:rsid w:val="7B336868"/>
    <w:rsid w:val="7BA43E85"/>
    <w:rsid w:val="7C5E7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1"/>
    <w:basedOn w:val="1"/>
    <w:next w:val="1"/>
    <w:link w:val="34"/>
    <w:unhideWhenUsed/>
    <w:qFormat/>
    <w:uiPriority w:val="0"/>
    <w:pPr>
      <w:keepNext/>
      <w:keepLines/>
      <w:spacing w:before="340" w:beforeLines="0" w:after="330" w:afterLines="0" w:line="576" w:lineRule="auto"/>
      <w:jc w:val="center"/>
      <w:outlineLvl w:val="0"/>
    </w:pPr>
    <w:rPr>
      <w:rFonts w:hint="default" w:ascii="Times New Roman" w:hAnsi="Times New Roman" w:eastAsia="Times New Roman"/>
      <w:b/>
      <w:kern w:val="44"/>
      <w:sz w:val="30"/>
      <w:szCs w:val="44"/>
      <w:lang w:bidi="ar"/>
    </w:rPr>
  </w:style>
  <w:style w:type="paragraph" w:styleId="4">
    <w:name w:val="heading 2"/>
    <w:basedOn w:val="1"/>
    <w:next w:val="1"/>
    <w:unhideWhenUsed/>
    <w:qFormat/>
    <w:uiPriority w:val="0"/>
    <w:pPr>
      <w:keepNext/>
      <w:keepLines/>
      <w:spacing w:before="260" w:beforeLines="0" w:after="260" w:afterLines="0" w:line="416" w:lineRule="auto"/>
      <w:outlineLvl w:val="1"/>
    </w:pPr>
    <w:rPr>
      <w:rFonts w:hint="default" w:ascii="Arial" w:hAnsi="Arial" w:eastAsia="黑体"/>
      <w:b/>
      <w:sz w:val="32"/>
      <w:szCs w:val="32"/>
    </w:rPr>
  </w:style>
  <w:style w:type="paragraph" w:styleId="5">
    <w:name w:val="heading 3"/>
    <w:basedOn w:val="1"/>
    <w:next w:val="1"/>
    <w:unhideWhenUsed/>
    <w:qFormat/>
    <w:uiPriority w:val="0"/>
    <w:pPr>
      <w:keepNext/>
      <w:keepLines/>
      <w:spacing w:before="260" w:beforeLines="0" w:after="260" w:afterLines="0" w:line="416" w:lineRule="auto"/>
      <w:outlineLvl w:val="2"/>
    </w:pPr>
    <w:rPr>
      <w:rFonts w:hint="default"/>
      <w:b/>
      <w:sz w:val="32"/>
      <w:szCs w:val="32"/>
    </w:rPr>
  </w:style>
  <w:style w:type="paragraph" w:styleId="2">
    <w:name w:val="heading 4"/>
    <w:basedOn w:val="1"/>
    <w:next w:val="1"/>
    <w:link w:val="40"/>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22">
    <w:name w:val="Default Paragraph Font"/>
    <w:unhideWhenUsed/>
    <w:qFormat/>
    <w:uiPriority w:val="0"/>
    <w:rPr>
      <w:rFonts w:hint="default"/>
      <w:sz w:val="24"/>
      <w:szCs w:val="24"/>
    </w:rPr>
  </w:style>
  <w:style w:type="table" w:default="1" w:styleId="21">
    <w:name w:val="Normal Table"/>
    <w:qFormat/>
    <w:uiPriority w:val="99"/>
    <w:tblPr>
      <w:tblCellMar>
        <w:top w:w="0" w:type="dxa"/>
        <w:left w:w="108" w:type="dxa"/>
        <w:bottom w:w="0" w:type="dxa"/>
        <w:right w:w="108" w:type="dxa"/>
      </w:tblCellMar>
    </w:tblPr>
  </w:style>
  <w:style w:type="paragraph" w:styleId="6">
    <w:name w:val="List Number"/>
    <w:basedOn w:val="1"/>
    <w:unhideWhenUsed/>
    <w:qFormat/>
    <w:uiPriority w:val="0"/>
    <w:pPr>
      <w:widowControl/>
      <w:tabs>
        <w:tab w:val="left" w:pos="454"/>
        <w:tab w:val="left" w:pos="720"/>
      </w:tabs>
      <w:spacing w:beforeLines="0" w:after="156" w:afterLines="50"/>
      <w:ind w:left="454" w:hanging="284"/>
      <w:jc w:val="left"/>
    </w:pPr>
    <w:rPr>
      <w:rFonts w:hint="default" w:ascii="Times New Roman" w:hAnsi="Times New Roman" w:eastAsia="Times New Roman"/>
      <w:kern w:val="0"/>
      <w:sz w:val="24"/>
      <w:szCs w:val="20"/>
      <w:lang w:bidi="ar"/>
    </w:rPr>
  </w:style>
  <w:style w:type="paragraph" w:styleId="7">
    <w:name w:val="Normal Indent"/>
    <w:basedOn w:val="1"/>
    <w:next w:val="1"/>
    <w:unhideWhenUsed/>
    <w:qFormat/>
    <w:uiPriority w:val="0"/>
    <w:pPr>
      <w:spacing w:beforeLines="0" w:afterLines="0"/>
      <w:ind w:firstLine="420" w:firstLineChars="200"/>
    </w:pPr>
    <w:rPr>
      <w:rFonts w:hint="default" w:ascii="Times New Roman" w:hAnsi="Times New Roman" w:eastAsia="Times New Roman"/>
      <w:sz w:val="21"/>
      <w:szCs w:val="24"/>
      <w:lang w:bidi="ar"/>
    </w:rPr>
  </w:style>
  <w:style w:type="paragraph" w:styleId="8">
    <w:name w:val="toa heading"/>
    <w:basedOn w:val="1"/>
    <w:next w:val="1"/>
    <w:unhideWhenUsed/>
    <w:qFormat/>
    <w:uiPriority w:val="0"/>
    <w:pPr>
      <w:spacing w:before="120" w:beforeLines="0" w:afterLines="0"/>
    </w:pPr>
    <w:rPr>
      <w:rFonts w:hint="default" w:ascii="Arial" w:hAnsi="Arial"/>
      <w:sz w:val="24"/>
      <w:szCs w:val="24"/>
    </w:rPr>
  </w:style>
  <w:style w:type="paragraph" w:styleId="9">
    <w:name w:val="annotation text"/>
    <w:basedOn w:val="1"/>
    <w:qFormat/>
    <w:uiPriority w:val="0"/>
    <w:pPr>
      <w:jc w:val="left"/>
    </w:pPr>
  </w:style>
  <w:style w:type="paragraph" w:styleId="10">
    <w:name w:val="Body Text"/>
    <w:basedOn w:val="1"/>
    <w:next w:val="11"/>
    <w:link w:val="38"/>
    <w:unhideWhenUsed/>
    <w:qFormat/>
    <w:uiPriority w:val="0"/>
    <w:pPr>
      <w:spacing w:beforeLines="0" w:after="120" w:afterLines="0"/>
    </w:pPr>
    <w:rPr>
      <w:rFonts w:hint="default" w:ascii="Times New Roman" w:hAnsi="Times New Roman" w:eastAsia="Times New Roman"/>
      <w:sz w:val="28"/>
      <w:szCs w:val="24"/>
      <w:lang w:bidi="ar"/>
    </w:rPr>
  </w:style>
  <w:style w:type="paragraph" w:styleId="11">
    <w:name w:val="Body Text First Indent"/>
    <w:basedOn w:val="10"/>
    <w:next w:val="1"/>
    <w:unhideWhenUsed/>
    <w:qFormat/>
    <w:uiPriority w:val="0"/>
    <w:pPr>
      <w:spacing w:beforeLines="0" w:afterLines="0"/>
      <w:ind w:firstLine="420" w:firstLineChars="100"/>
    </w:pPr>
    <w:rPr>
      <w:rFonts w:hint="default" w:ascii="宋体"/>
      <w:sz w:val="28"/>
      <w:szCs w:val="24"/>
    </w:rPr>
  </w:style>
  <w:style w:type="paragraph" w:styleId="12">
    <w:name w:val="Body Text Indent"/>
    <w:basedOn w:val="1"/>
    <w:next w:val="1"/>
    <w:link w:val="35"/>
    <w:unhideWhenUsed/>
    <w:qFormat/>
    <w:uiPriority w:val="0"/>
    <w:pPr>
      <w:spacing w:beforeLines="0" w:after="120" w:afterLines="0"/>
      <w:ind w:left="420" w:leftChars="200"/>
    </w:pPr>
    <w:rPr>
      <w:rFonts w:hint="default"/>
      <w:sz w:val="21"/>
      <w:szCs w:val="24"/>
    </w:rPr>
  </w:style>
  <w:style w:type="paragraph" w:styleId="13">
    <w:name w:val="Plain Text"/>
    <w:basedOn w:val="1"/>
    <w:next w:val="1"/>
    <w:link w:val="41"/>
    <w:unhideWhenUsed/>
    <w:qFormat/>
    <w:uiPriority w:val="0"/>
    <w:pPr>
      <w:spacing w:before="156" w:beforeLines="50" w:after="156" w:afterLines="50" w:line="400" w:lineRule="exact"/>
    </w:pPr>
    <w:rPr>
      <w:rFonts w:hint="default" w:ascii="宋体" w:hAnsi="Courier New"/>
      <w:sz w:val="24"/>
      <w:szCs w:val="24"/>
      <w:lang w:bidi="ar"/>
    </w:rPr>
  </w:style>
  <w:style w:type="paragraph" w:styleId="14">
    <w:name w:val="Body Text Indent 2"/>
    <w:basedOn w:val="1"/>
    <w:qFormat/>
    <w:uiPriority w:val="0"/>
    <w:pPr>
      <w:spacing w:after="120" w:line="480" w:lineRule="auto"/>
      <w:ind w:left="420" w:leftChars="200"/>
    </w:pPr>
  </w:style>
  <w:style w:type="paragraph" w:styleId="15">
    <w:name w:val="footer"/>
    <w:basedOn w:val="1"/>
    <w:link w:val="39"/>
    <w:unhideWhenUsed/>
    <w:qFormat/>
    <w:uiPriority w:val="0"/>
    <w:pPr>
      <w:tabs>
        <w:tab w:val="center" w:pos="4153"/>
        <w:tab w:val="right" w:pos="8306"/>
      </w:tabs>
      <w:snapToGrid w:val="0"/>
      <w:spacing w:beforeLines="0" w:afterLines="0"/>
      <w:jc w:val="left"/>
    </w:pPr>
    <w:rPr>
      <w:rFonts w:hint="default"/>
      <w:sz w:val="18"/>
      <w:szCs w:val="24"/>
    </w:rPr>
  </w:style>
  <w:style w:type="paragraph" w:styleId="16">
    <w:name w:val="header"/>
    <w:basedOn w:val="1"/>
    <w:link w:val="42"/>
    <w:unhideWhenUsed/>
    <w:qFormat/>
    <w:uiPriority w:val="0"/>
    <w:pPr>
      <w:tabs>
        <w:tab w:val="center" w:pos="4153"/>
        <w:tab w:val="right" w:pos="8306"/>
      </w:tabs>
      <w:snapToGrid w:val="0"/>
      <w:spacing w:beforeLines="0" w:afterLines="0"/>
    </w:pPr>
    <w:rPr>
      <w:rFonts w:hint="default"/>
      <w:sz w:val="18"/>
      <w:szCs w:val="24"/>
    </w:rPr>
  </w:style>
  <w:style w:type="paragraph" w:styleId="17">
    <w:name w:val="toc 6"/>
    <w:basedOn w:val="1"/>
    <w:next w:val="1"/>
    <w:unhideWhenUsed/>
    <w:qFormat/>
    <w:uiPriority w:val="99"/>
    <w:pPr>
      <w:spacing w:beforeLines="0" w:afterLines="0"/>
      <w:ind w:left="2100" w:leftChars="1000"/>
    </w:pPr>
    <w:rPr>
      <w:rFonts w:hint="default"/>
      <w:sz w:val="21"/>
      <w:szCs w:val="24"/>
    </w:rPr>
  </w:style>
  <w:style w:type="paragraph" w:styleId="18">
    <w:name w:val="Normal (Web)"/>
    <w:basedOn w:val="1"/>
    <w:unhideWhenUsed/>
    <w:qFormat/>
    <w:uiPriority w:val="0"/>
    <w:pPr>
      <w:widowControl/>
      <w:spacing w:before="100" w:beforeLines="0" w:beforeAutospacing="1" w:after="100" w:afterLines="0" w:afterAutospacing="1"/>
      <w:jc w:val="left"/>
    </w:pPr>
    <w:rPr>
      <w:rFonts w:hint="default" w:ascii="Times New Roman" w:hAnsi="Times New Roman" w:eastAsia="Times New Roman"/>
      <w:kern w:val="0"/>
      <w:sz w:val="24"/>
      <w:szCs w:val="24"/>
      <w:lang w:bidi="ar"/>
    </w:rPr>
  </w:style>
  <w:style w:type="paragraph" w:styleId="19">
    <w:name w:val="Title"/>
    <w:basedOn w:val="1"/>
    <w:next w:val="1"/>
    <w:unhideWhenUsed/>
    <w:qFormat/>
    <w:uiPriority w:val="0"/>
    <w:pPr>
      <w:spacing w:before="240" w:beforeLines="0" w:after="60" w:afterLines="0"/>
      <w:jc w:val="center"/>
      <w:outlineLvl w:val="0"/>
    </w:pPr>
    <w:rPr>
      <w:rFonts w:hint="default" w:ascii="Cambria" w:hAnsi="Cambria"/>
      <w:b/>
      <w:sz w:val="32"/>
      <w:szCs w:val="32"/>
    </w:rPr>
  </w:style>
  <w:style w:type="paragraph" w:styleId="20">
    <w:name w:val="Body Text First Indent 2"/>
    <w:basedOn w:val="12"/>
    <w:next w:val="1"/>
    <w:link w:val="36"/>
    <w:unhideWhenUsed/>
    <w:qFormat/>
    <w:uiPriority w:val="0"/>
    <w:pPr>
      <w:spacing w:beforeLines="0" w:afterLines="0"/>
      <w:ind w:firstLine="420"/>
    </w:pPr>
    <w:rPr>
      <w:rFonts w:hint="default" w:ascii="宋体" w:hAnsi="Courier New" w:cs="宋体"/>
      <w:spacing w:val="-4"/>
      <w:sz w:val="21"/>
      <w:szCs w:val="21"/>
      <w:lang w:bidi="ar"/>
    </w:rPr>
  </w:style>
  <w:style w:type="character" w:styleId="23">
    <w:name w:val="Strong"/>
    <w:basedOn w:val="22"/>
    <w:unhideWhenUsed/>
    <w:qFormat/>
    <w:uiPriority w:val="0"/>
    <w:rPr>
      <w:rFonts w:hint="default" w:ascii="Tahoma" w:hAnsi="Tahoma" w:eastAsia="Tahoma" w:cs="Tahoma"/>
      <w:b/>
      <w:sz w:val="24"/>
      <w:szCs w:val="20"/>
    </w:rPr>
  </w:style>
  <w:style w:type="character" w:styleId="24">
    <w:name w:val="page number"/>
    <w:basedOn w:val="22"/>
    <w:unhideWhenUsed/>
    <w:qFormat/>
    <w:uiPriority w:val="0"/>
    <w:rPr>
      <w:rFonts w:hint="default"/>
      <w:sz w:val="24"/>
      <w:szCs w:val="24"/>
    </w:rPr>
  </w:style>
  <w:style w:type="character" w:styleId="25">
    <w:name w:val="FollowedHyperlink"/>
    <w:basedOn w:val="22"/>
    <w:qFormat/>
    <w:uiPriority w:val="0"/>
    <w:rPr>
      <w:color w:val="333333"/>
      <w:u w:val="none"/>
    </w:rPr>
  </w:style>
  <w:style w:type="character" w:styleId="26">
    <w:name w:val="Hyperlink"/>
    <w:basedOn w:val="22"/>
    <w:qFormat/>
    <w:uiPriority w:val="0"/>
    <w:rPr>
      <w:color w:val="333333"/>
      <w:u w:val="none"/>
    </w:rPr>
  </w:style>
  <w:style w:type="paragraph" w:customStyle="1" w:styleId="27">
    <w:name w:val="表格文字"/>
    <w:basedOn w:val="28"/>
    <w:next w:val="10"/>
    <w:qFormat/>
    <w:uiPriority w:val="0"/>
    <w:pPr>
      <w:jc w:val="left"/>
    </w:pPr>
    <w:rPr>
      <w:szCs w:val="22"/>
    </w:rPr>
  </w:style>
  <w:style w:type="paragraph" w:customStyle="1" w:styleId="28">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段"/>
    <w:basedOn w:val="1"/>
    <w:unhideWhenUsed/>
    <w:qFormat/>
    <w:uiPriority w:val="0"/>
    <w:pPr>
      <w:widowControl/>
      <w:snapToGrid w:val="0"/>
      <w:spacing w:beforeLines="0" w:after="156" w:afterLines="50"/>
      <w:ind w:firstLine="200" w:firstLineChars="200"/>
    </w:pPr>
    <w:rPr>
      <w:rFonts w:hint="default" w:ascii="Times New Roman" w:hAnsi="Times New Roman" w:eastAsia="Times New Roman"/>
      <w:kern w:val="0"/>
      <w:sz w:val="24"/>
      <w:szCs w:val="20"/>
      <w:lang w:bidi="ar"/>
    </w:rPr>
  </w:style>
  <w:style w:type="paragraph" w:customStyle="1" w:styleId="31">
    <w:name w:val="普通(网站)1"/>
    <w:basedOn w:val="1"/>
    <w:unhideWhenUsed/>
    <w:qFormat/>
    <w:uiPriority w:val="0"/>
    <w:pPr>
      <w:widowControl/>
      <w:spacing w:before="100" w:beforeLines="0" w:beforeAutospacing="1" w:after="100" w:afterLines="0" w:afterAutospacing="1"/>
      <w:jc w:val="left"/>
    </w:pPr>
    <w:rPr>
      <w:rFonts w:hint="default" w:ascii="宋体" w:hAnsi="宋体"/>
      <w:kern w:val="0"/>
      <w:sz w:val="24"/>
      <w:szCs w:val="24"/>
    </w:rPr>
  </w:style>
  <w:style w:type="paragraph" w:customStyle="1" w:styleId="32">
    <w:name w:val="正文1"/>
    <w:basedOn w:val="1"/>
    <w:next w:val="1"/>
    <w:unhideWhenUsed/>
    <w:qFormat/>
    <w:uiPriority w:val="0"/>
    <w:pPr>
      <w:spacing w:before="156" w:beforeLines="0" w:afterLines="0"/>
      <w:ind w:firstLine="668" w:firstLineChars="257"/>
    </w:pPr>
    <w:rPr>
      <w:rFonts w:hint="default" w:ascii="宋体" w:hAnsi="宋体"/>
      <w:sz w:val="21"/>
      <w:szCs w:val="24"/>
      <w:lang w:bidi="ar"/>
    </w:rPr>
  </w:style>
  <w:style w:type="paragraph" w:customStyle="1" w:styleId="33">
    <w:name w:val="Other|1"/>
    <w:basedOn w:val="1"/>
    <w:unhideWhenUsed/>
    <w:qFormat/>
    <w:uiPriority w:val="0"/>
    <w:pPr>
      <w:spacing w:beforeLines="0" w:afterLines="0" w:line="322" w:lineRule="exact"/>
    </w:pPr>
    <w:rPr>
      <w:rFonts w:hint="eastAsia" w:ascii="MingLiU" w:hAnsi="MingLiU" w:eastAsia="MingLiU" w:cs="MingLiU"/>
      <w:sz w:val="19"/>
      <w:szCs w:val="19"/>
      <w:lang w:val="zh-TW" w:eastAsia="zh-TW" w:bidi="zh-TW"/>
    </w:rPr>
  </w:style>
  <w:style w:type="character" w:customStyle="1" w:styleId="34">
    <w:name w:val="标题 1 字符"/>
    <w:basedOn w:val="22"/>
    <w:link w:val="3"/>
    <w:unhideWhenUsed/>
    <w:qFormat/>
    <w:uiPriority w:val="0"/>
    <w:rPr>
      <w:rFonts w:hint="default" w:ascii="Tahoma" w:hAnsi="Tahoma" w:eastAsia="Tahoma" w:cs="Tahoma"/>
      <w:b/>
      <w:kern w:val="44"/>
      <w:sz w:val="30"/>
      <w:szCs w:val="44"/>
    </w:rPr>
  </w:style>
  <w:style w:type="character" w:customStyle="1" w:styleId="35">
    <w:name w:val="正文文本缩进 字符"/>
    <w:basedOn w:val="22"/>
    <w:link w:val="12"/>
    <w:unhideWhenUsed/>
    <w:qFormat/>
    <w:uiPriority w:val="0"/>
    <w:rPr>
      <w:rFonts w:hint="default" w:ascii="Tahoma" w:hAnsi="Tahoma" w:eastAsia="Tahoma" w:cs="Tahoma"/>
      <w:kern w:val="2"/>
      <w:sz w:val="21"/>
      <w:szCs w:val="24"/>
    </w:rPr>
  </w:style>
  <w:style w:type="character" w:customStyle="1" w:styleId="36">
    <w:name w:val="正文文本首行缩进 2 字符"/>
    <w:basedOn w:val="35"/>
    <w:link w:val="20"/>
    <w:unhideWhenUsed/>
    <w:qFormat/>
    <w:uiPriority w:val="0"/>
    <w:rPr>
      <w:rFonts w:hint="default" w:ascii="宋体" w:hAnsi="Courier New" w:eastAsia="宋体" w:cs="宋体"/>
      <w:spacing w:val="-4"/>
      <w:sz w:val="21"/>
      <w:szCs w:val="21"/>
    </w:rPr>
  </w:style>
  <w:style w:type="character" w:customStyle="1" w:styleId="37">
    <w:name w:val="正文文本首行缩进 字符"/>
    <w:basedOn w:val="38"/>
    <w:unhideWhenUsed/>
    <w:qFormat/>
    <w:uiPriority w:val="0"/>
    <w:rPr>
      <w:rFonts w:hint="default"/>
      <w:sz w:val="28"/>
      <w:szCs w:val="24"/>
    </w:rPr>
  </w:style>
  <w:style w:type="character" w:customStyle="1" w:styleId="38">
    <w:name w:val="正文文本 字符"/>
    <w:basedOn w:val="22"/>
    <w:link w:val="10"/>
    <w:unhideWhenUsed/>
    <w:qFormat/>
    <w:uiPriority w:val="0"/>
    <w:rPr>
      <w:rFonts w:hint="default" w:ascii="Tahoma" w:hAnsi="Tahoma" w:eastAsia="Tahoma" w:cs="Tahoma"/>
      <w:kern w:val="2"/>
      <w:sz w:val="28"/>
      <w:szCs w:val="24"/>
    </w:rPr>
  </w:style>
  <w:style w:type="character" w:customStyle="1" w:styleId="39">
    <w:name w:val="页脚 字符"/>
    <w:basedOn w:val="22"/>
    <w:link w:val="15"/>
    <w:unhideWhenUsed/>
    <w:qFormat/>
    <w:uiPriority w:val="0"/>
    <w:rPr>
      <w:rFonts w:hint="default" w:ascii="Tahoma" w:hAnsi="Tahoma" w:eastAsia="黑体" w:cs="Tahoma"/>
      <w:sz w:val="18"/>
      <w:szCs w:val="18"/>
    </w:rPr>
  </w:style>
  <w:style w:type="character" w:customStyle="1" w:styleId="40">
    <w:name w:val="标题 4 字符"/>
    <w:basedOn w:val="22"/>
    <w:link w:val="2"/>
    <w:unhideWhenUsed/>
    <w:qFormat/>
    <w:uiPriority w:val="0"/>
    <w:rPr>
      <w:rFonts w:hint="eastAsia" w:ascii="等线 Light" w:hAnsi="等线 Light" w:eastAsia="等线 Light" w:cs="Times New Roman"/>
      <w:b/>
      <w:sz w:val="28"/>
      <w:szCs w:val="28"/>
      <w:lang w:val="zh-CN" w:bidi="zh-CN"/>
    </w:rPr>
  </w:style>
  <w:style w:type="character" w:customStyle="1" w:styleId="41">
    <w:name w:val="纯文本 字符"/>
    <w:basedOn w:val="22"/>
    <w:link w:val="13"/>
    <w:unhideWhenUsed/>
    <w:qFormat/>
    <w:uiPriority w:val="0"/>
    <w:rPr>
      <w:rFonts w:hint="default" w:ascii="宋体" w:hAnsi="Courier New" w:eastAsia="宋体" w:cs="宋体"/>
      <w:kern w:val="2"/>
      <w:sz w:val="24"/>
      <w:szCs w:val="24"/>
    </w:rPr>
  </w:style>
  <w:style w:type="character" w:customStyle="1" w:styleId="42">
    <w:name w:val="页眉 字符"/>
    <w:basedOn w:val="22"/>
    <w:link w:val="16"/>
    <w:unhideWhenUsed/>
    <w:qFormat/>
    <w:uiPriority w:val="0"/>
    <w:rPr>
      <w:rFonts w:hint="default" w:ascii="Tahoma" w:hAnsi="Tahoma" w:eastAsia="仿宋_GB2312" w:cs="Tahoma"/>
      <w:kern w:val="2"/>
      <w:sz w:val="18"/>
      <w:szCs w:val="20"/>
    </w:rPr>
  </w:style>
  <w:style w:type="paragraph" w:customStyle="1" w:styleId="43">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paragraph" w:customStyle="1" w:styleId="44">
    <w:name w:val="列出段落1"/>
    <w:basedOn w:val="1"/>
    <w:qFormat/>
    <w:uiPriority w:val="99"/>
    <w:pPr>
      <w:ind w:firstLine="200" w:firstLineChars="200"/>
    </w:pPr>
    <w:rPr>
      <w:rFonts w:ascii="Calibri" w:hAnsi="Calibri" w:cs="Arial"/>
    </w:rPr>
  </w:style>
  <w:style w:type="character" w:customStyle="1" w:styleId="45">
    <w:name w:val="layui-laypage-curr"/>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54</Pages>
  <Words>30252</Words>
  <Characters>32024</Characters>
  <TotalTime>12</TotalTime>
  <ScaleCrop>false</ScaleCrop>
  <LinksUpToDate>false</LinksUpToDate>
  <CharactersWithSpaces>33511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2022-09-19T07:18:00Z</dcterms:created>
  <dc:creator>86180</dc:creator>
  <cp:lastModifiedBy>. 왕아름답다붉은</cp:lastModifiedBy>
  <cp:lastPrinted>2023-01-05T05:43:00Z</cp:lastPrinted>
  <dcterms:modified xsi:type="dcterms:W3CDTF">2023-01-10T05:19:15Z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702301CBE0D2430D931E98F788C4E2B3</vt:lpwstr>
  </property>
</Properties>
</file>