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b/>
          <w:sz w:val="44"/>
          <w:highlight w:val="none"/>
        </w:rPr>
      </w:pPr>
    </w:p>
    <w:p>
      <w:pPr>
        <w:jc w:val="center"/>
        <w:rPr>
          <w:rFonts w:ascii="宋体" w:hAnsi="宋体"/>
          <w:b/>
          <w:sz w:val="44"/>
          <w:highlight w:val="none"/>
        </w:rPr>
        <w:sectPr>
          <w:footerReference r:id="rId3" w:type="default"/>
          <w:pgSz w:w="11906" w:h="16838"/>
          <w:pgMar w:top="1417" w:right="1701" w:bottom="1417" w:left="1701" w:header="737" w:footer="850" w:gutter="0"/>
          <w:pgNumType w:start="1"/>
          <w:cols w:space="0" w:num="1"/>
        </w:sectPr>
      </w:pPr>
      <w:r>
        <w:drawing>
          <wp:inline distT="0" distB="0" distL="114300" distR="114300">
            <wp:extent cx="5688330" cy="7995285"/>
            <wp:effectExtent l="0" t="0" r="762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688330" cy="7995285"/>
                    </a:xfrm>
                    <a:prstGeom prst="rect">
                      <a:avLst/>
                    </a:prstGeom>
                    <a:noFill/>
                    <a:ln>
                      <a:noFill/>
                    </a:ln>
                  </pic:spPr>
                </pic:pic>
              </a:graphicData>
            </a:graphic>
          </wp:inline>
        </w:drawing>
      </w:r>
    </w:p>
    <w:p>
      <w:pPr>
        <w:jc w:val="center"/>
        <w:rPr>
          <w:rFonts w:ascii="宋体" w:hAnsi="宋体"/>
          <w:b/>
          <w:sz w:val="44"/>
          <w:highlight w:val="none"/>
        </w:rPr>
      </w:pPr>
      <w:r>
        <w:rPr>
          <w:rFonts w:hint="eastAsia" w:ascii="宋体" w:hAnsi="宋体"/>
          <w:b/>
          <w:sz w:val="44"/>
          <w:highlight w:val="none"/>
        </w:rPr>
        <w:t>目录</w:t>
      </w:r>
    </w:p>
    <w:p>
      <w:pPr>
        <w:pStyle w:val="22"/>
        <w:rPr>
          <w:highlight w:val="none"/>
        </w:rPr>
      </w:pPr>
    </w:p>
    <w:p>
      <w:pPr>
        <w:spacing w:line="500" w:lineRule="exact"/>
        <w:jc w:val="center"/>
        <w:rPr>
          <w:rFonts w:ascii="宋体" w:hAnsi="宋体"/>
          <w:b/>
          <w:sz w:val="44"/>
          <w:highlight w:val="none"/>
        </w:rPr>
      </w:pPr>
    </w:p>
    <w:p>
      <w:pPr>
        <w:numPr>
          <w:ilvl w:val="0"/>
          <w:numId w:val="7"/>
        </w:numPr>
        <w:spacing w:before="120" w:beforeLines="50" w:line="480" w:lineRule="exact"/>
        <w:rPr>
          <w:rFonts w:ascii="宋体" w:hAnsi="宋体"/>
          <w:sz w:val="30"/>
          <w:szCs w:val="20"/>
          <w:highlight w:val="none"/>
        </w:rPr>
      </w:pPr>
      <w:r>
        <w:rPr>
          <w:rFonts w:hint="eastAsia" w:ascii="宋体" w:hAnsi="宋体"/>
          <w:sz w:val="30"/>
          <w:highlight w:val="none"/>
        </w:rPr>
        <w:t>公开招标采购公告</w:t>
      </w:r>
    </w:p>
    <w:p>
      <w:pPr>
        <w:numPr>
          <w:ilvl w:val="0"/>
          <w:numId w:val="7"/>
        </w:numPr>
        <w:spacing w:before="120" w:beforeLines="50" w:line="480" w:lineRule="exact"/>
        <w:rPr>
          <w:rFonts w:ascii="宋体" w:hAnsi="宋体"/>
          <w:sz w:val="30"/>
          <w:szCs w:val="20"/>
          <w:highlight w:val="none"/>
        </w:rPr>
      </w:pPr>
      <w:r>
        <w:rPr>
          <w:rFonts w:hint="eastAsia" w:ascii="宋体" w:hAnsi="宋体"/>
          <w:sz w:val="30"/>
          <w:highlight w:val="none"/>
        </w:rPr>
        <w:t>招标需求</w:t>
      </w:r>
    </w:p>
    <w:p>
      <w:pPr>
        <w:numPr>
          <w:ilvl w:val="0"/>
          <w:numId w:val="7"/>
        </w:numPr>
        <w:spacing w:before="120" w:beforeLines="50" w:line="480" w:lineRule="exact"/>
        <w:rPr>
          <w:rFonts w:ascii="宋体" w:hAnsi="宋体"/>
          <w:sz w:val="30"/>
          <w:szCs w:val="20"/>
          <w:highlight w:val="none"/>
        </w:rPr>
      </w:pPr>
      <w:r>
        <w:rPr>
          <w:rFonts w:hint="eastAsia" w:ascii="宋体" w:hAnsi="宋体"/>
          <w:sz w:val="30"/>
          <w:highlight w:val="none"/>
        </w:rPr>
        <w:t>投标人须知</w:t>
      </w:r>
    </w:p>
    <w:p>
      <w:pPr>
        <w:numPr>
          <w:ilvl w:val="0"/>
          <w:numId w:val="7"/>
        </w:numPr>
        <w:spacing w:before="120" w:beforeLines="50" w:line="480" w:lineRule="exact"/>
        <w:rPr>
          <w:rFonts w:ascii="宋体" w:hAnsi="宋体"/>
          <w:sz w:val="30"/>
          <w:szCs w:val="20"/>
          <w:highlight w:val="none"/>
        </w:rPr>
      </w:pPr>
      <w:r>
        <w:rPr>
          <w:rFonts w:hint="eastAsia" w:ascii="宋体" w:hAnsi="宋体"/>
          <w:sz w:val="30"/>
          <w:highlight w:val="none"/>
        </w:rPr>
        <w:t>评标办法及评分标准</w:t>
      </w:r>
    </w:p>
    <w:p>
      <w:pPr>
        <w:numPr>
          <w:ilvl w:val="0"/>
          <w:numId w:val="7"/>
        </w:numPr>
        <w:spacing w:before="120" w:beforeLines="50" w:line="480" w:lineRule="exact"/>
        <w:rPr>
          <w:rFonts w:ascii="宋体" w:hAnsi="宋体"/>
          <w:sz w:val="30"/>
          <w:szCs w:val="20"/>
          <w:highlight w:val="none"/>
        </w:rPr>
      </w:pPr>
      <w:r>
        <w:rPr>
          <w:rFonts w:hint="eastAsia" w:ascii="宋体" w:hAnsi="宋体"/>
          <w:sz w:val="30"/>
          <w:highlight w:val="none"/>
        </w:rPr>
        <w:t>政府采购合同主要条款</w:t>
      </w:r>
    </w:p>
    <w:p>
      <w:pPr>
        <w:numPr>
          <w:ilvl w:val="0"/>
          <w:numId w:val="7"/>
        </w:numPr>
        <w:spacing w:before="120" w:beforeLines="50" w:line="480" w:lineRule="exact"/>
        <w:rPr>
          <w:rFonts w:ascii="宋体" w:hAnsi="宋体"/>
          <w:sz w:val="30"/>
          <w:szCs w:val="20"/>
          <w:highlight w:val="none"/>
        </w:rPr>
      </w:pPr>
      <w:r>
        <w:rPr>
          <w:rFonts w:hint="eastAsia" w:ascii="宋体" w:hAnsi="宋体"/>
          <w:sz w:val="30"/>
          <w:highlight w:val="none"/>
        </w:rPr>
        <w:t>投标文件格式</w:t>
      </w:r>
    </w:p>
    <w:p>
      <w:pPr>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sectPr>
          <w:footerReference r:id="rId4" w:type="default"/>
          <w:pgSz w:w="11906" w:h="16838"/>
          <w:pgMar w:top="1417" w:right="1701" w:bottom="1417" w:left="1701" w:header="737" w:footer="850" w:gutter="0"/>
          <w:pgNumType w:start="1"/>
          <w:cols w:space="0" w:num="1"/>
        </w:sectPr>
      </w:pPr>
      <w:bookmarkStart w:id="214" w:name="_GoBack"/>
      <w:bookmarkEnd w:id="214"/>
    </w:p>
    <w:p>
      <w:pPr>
        <w:pStyle w:val="29"/>
        <w:snapToGrid w:val="0"/>
        <w:spacing w:before="120" w:after="120" w:line="360" w:lineRule="auto"/>
        <w:jc w:val="center"/>
        <w:outlineLvl w:val="0"/>
        <w:rPr>
          <w:rFonts w:hAnsi="宋体" w:cs="宋体"/>
          <w:b/>
          <w:sz w:val="28"/>
          <w:szCs w:val="28"/>
          <w:highlight w:val="none"/>
        </w:rPr>
      </w:pPr>
      <w:r>
        <w:rPr>
          <w:rFonts w:hint="eastAsia" w:hAnsi="宋体" w:cs="宋体"/>
          <w:b/>
          <w:sz w:val="28"/>
          <w:szCs w:val="28"/>
          <w:highlight w:val="none"/>
        </w:rPr>
        <w:t>第一章  公开招标采购公告</w:t>
      </w:r>
    </w:p>
    <w:tbl>
      <w:tblPr>
        <w:tblStyle w:val="51"/>
        <w:tblW w:w="894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9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17" w:hRule="atLeast"/>
        </w:trPr>
        <w:tc>
          <w:tcPr>
            <w:tcW w:w="8940" w:type="dxa"/>
            <w:tcBorders>
              <w:tl2br w:val="nil"/>
              <w:tr2bl w:val="nil"/>
            </w:tcBorders>
          </w:tcPr>
          <w:p>
            <w:pPr>
              <w:pStyle w:val="6"/>
              <w:outlineLvl w:val="2"/>
              <w:rPr>
                <w:highlight w:val="none"/>
              </w:rPr>
            </w:pPr>
            <w:r>
              <w:rPr>
                <w:rFonts w:hint="eastAsia"/>
                <w:highlight w:val="none"/>
              </w:rPr>
              <w:t>项目概况</w:t>
            </w:r>
          </w:p>
          <w:p>
            <w:pPr>
              <w:wordWrap w:val="0"/>
              <w:spacing w:line="360" w:lineRule="auto"/>
              <w:ind w:firstLine="420" w:firstLineChars="200"/>
              <w:rPr>
                <w:highlight w:val="none"/>
              </w:rPr>
            </w:pPr>
            <w:r>
              <w:rPr>
                <w:rFonts w:hint="eastAsia" w:ascii="宋体" w:hAnsi="宋体" w:cs="宋体"/>
                <w:szCs w:val="21"/>
                <w:highlight w:val="none"/>
                <w:u w:val="single"/>
                <w:shd w:val="clear" w:color="auto" w:fill="FFFFFF"/>
                <w:lang w:eastAsia="zh-CN"/>
              </w:rPr>
              <w:t>江北区城乡排水管网数字化智能化管控平台（智慧排水工程）项目</w:t>
            </w:r>
            <w:r>
              <w:rPr>
                <w:rFonts w:hint="eastAsia" w:ascii="宋体" w:hAnsi="宋体" w:cs="宋体"/>
                <w:szCs w:val="21"/>
                <w:highlight w:val="none"/>
              </w:rPr>
              <w:t>的潜在投标人应在浙江政府采购网（http://zfcg.czt.zj.gov.cn）获取（下载）招标文件，并于</w:t>
            </w:r>
            <w:r>
              <w:rPr>
                <w:rFonts w:hint="eastAsia" w:ascii="宋体" w:hAnsi="宋体" w:cs="宋体"/>
                <w:szCs w:val="21"/>
                <w:highlight w:val="none"/>
                <w:u w:val="single"/>
              </w:rPr>
              <w:t>2022年</w:t>
            </w:r>
            <w:r>
              <w:rPr>
                <w:rFonts w:hint="eastAsia" w:ascii="宋体" w:hAnsi="宋体" w:cs="宋体"/>
                <w:szCs w:val="21"/>
                <w:highlight w:val="none"/>
                <w:u w:val="single"/>
                <w:lang w:val="en-US" w:eastAsia="zh-CN"/>
              </w:rPr>
              <w:t>08</w:t>
            </w:r>
            <w:r>
              <w:rPr>
                <w:rFonts w:hint="eastAsia" w:ascii="宋体" w:hAnsi="宋体" w:cs="宋体"/>
                <w:szCs w:val="21"/>
                <w:highlight w:val="none"/>
                <w:u w:val="single"/>
              </w:rPr>
              <w:t>月</w:t>
            </w:r>
            <w:r>
              <w:rPr>
                <w:rFonts w:hint="eastAsia" w:ascii="宋体" w:hAnsi="宋体" w:cs="宋体"/>
                <w:szCs w:val="21"/>
                <w:highlight w:val="none"/>
                <w:u w:val="single"/>
                <w:lang w:val="en-US" w:eastAsia="zh-CN"/>
              </w:rPr>
              <w:t>29</w:t>
            </w:r>
            <w:r>
              <w:rPr>
                <w:rFonts w:hint="eastAsia" w:ascii="宋体" w:hAnsi="宋体" w:cs="宋体"/>
                <w:szCs w:val="21"/>
                <w:highlight w:val="none"/>
                <w:u w:val="single"/>
              </w:rPr>
              <w:t xml:space="preserve">日 </w:t>
            </w:r>
            <w:r>
              <w:rPr>
                <w:rFonts w:hint="eastAsia" w:ascii="宋体" w:hAnsi="宋体" w:cs="宋体"/>
                <w:szCs w:val="21"/>
                <w:highlight w:val="none"/>
                <w:u w:val="single"/>
                <w:lang w:val="en-US" w:eastAsia="zh-CN"/>
              </w:rPr>
              <w:t>09</w:t>
            </w:r>
            <w:r>
              <w:rPr>
                <w:rFonts w:hint="eastAsia" w:ascii="宋体" w:hAnsi="宋体" w:cs="宋体"/>
                <w:szCs w:val="21"/>
                <w:highlight w:val="none"/>
                <w:u w:val="single"/>
              </w:rPr>
              <w:t xml:space="preserve"> 时 </w:t>
            </w:r>
            <w:r>
              <w:rPr>
                <w:rFonts w:hint="eastAsia" w:ascii="宋体" w:hAnsi="宋体" w:cs="宋体"/>
                <w:szCs w:val="21"/>
                <w:highlight w:val="none"/>
                <w:u w:val="single"/>
                <w:lang w:val="en-US" w:eastAsia="zh-CN"/>
              </w:rPr>
              <w:t>00</w:t>
            </w:r>
            <w:r>
              <w:rPr>
                <w:rFonts w:hint="eastAsia" w:ascii="宋体" w:hAnsi="宋体" w:cs="宋体"/>
                <w:szCs w:val="21"/>
                <w:highlight w:val="none"/>
                <w:u w:val="single"/>
              </w:rPr>
              <w:t>分</w:t>
            </w:r>
            <w:r>
              <w:rPr>
                <w:rFonts w:hint="eastAsia" w:ascii="宋体" w:hAnsi="宋体" w:cs="宋体"/>
                <w:szCs w:val="21"/>
                <w:highlight w:val="none"/>
              </w:rPr>
              <w:t>（北京时间）前递交（上传）投标文件</w:t>
            </w:r>
            <w:r>
              <w:rPr>
                <w:rFonts w:hint="eastAsia" w:ascii="宋体" w:hAnsi="宋体" w:cs="宋体"/>
                <w:szCs w:val="21"/>
                <w:highlight w:val="none"/>
                <w:shd w:val="clear" w:color="auto" w:fill="FFFFFF"/>
              </w:rPr>
              <w:t>。</w:t>
            </w:r>
          </w:p>
        </w:tc>
      </w:tr>
    </w:tbl>
    <w:p>
      <w:pPr>
        <w:rPr>
          <w:highlight w:val="none"/>
        </w:rPr>
      </w:pPr>
    </w:p>
    <w:p>
      <w:pPr>
        <w:pStyle w:val="23"/>
        <w:rPr>
          <w:highlight w:val="none"/>
        </w:rPr>
      </w:pPr>
    </w:p>
    <w:p>
      <w:pPr>
        <w:pStyle w:val="6"/>
        <w:rPr>
          <w:rFonts w:ascii="微软雅黑" w:hAnsi="微软雅黑" w:cs="微软雅黑"/>
          <w:highlight w:val="none"/>
        </w:rPr>
      </w:pPr>
      <w:r>
        <w:rPr>
          <w:rFonts w:hint="eastAsia" w:ascii="微软雅黑" w:hAnsi="微软雅黑" w:cs="微软雅黑"/>
          <w:highlight w:val="none"/>
        </w:rPr>
        <w:t>一、项目基本情况</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项目编号：</w:t>
      </w:r>
      <w:r>
        <w:rPr>
          <w:rFonts w:hint="eastAsia" w:ascii="宋体" w:hAnsi="宋体" w:cs="宋体"/>
          <w:szCs w:val="21"/>
          <w:highlight w:val="none"/>
          <w:u w:val="single"/>
        </w:rPr>
        <w:t>NBSD2022-058</w:t>
      </w:r>
      <w:r>
        <w:rPr>
          <w:rFonts w:hint="eastAsia" w:ascii="宋体" w:hAnsi="宋体" w:cs="宋体"/>
          <w:szCs w:val="21"/>
          <w:highlight w:val="none"/>
        </w:rPr>
        <w:t>（交易登记号：</w:t>
      </w:r>
      <w:r>
        <w:rPr>
          <w:rFonts w:hint="eastAsia" w:ascii="宋体" w:hAnsi="宋体" w:cs="宋体"/>
          <w:szCs w:val="21"/>
          <w:highlight w:val="none"/>
          <w:u w:val="single"/>
        </w:rPr>
        <w:t>FSCG2022202</w:t>
      </w:r>
      <w:r>
        <w:rPr>
          <w:rFonts w:hint="eastAsia" w:ascii="宋体" w:hAnsi="宋体" w:cs="宋体"/>
          <w:szCs w:val="21"/>
          <w:highlight w:val="none"/>
        </w:rPr>
        <w:t>）</w:t>
      </w:r>
    </w:p>
    <w:p>
      <w:pPr>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项目名称：</w:t>
      </w:r>
      <w:r>
        <w:rPr>
          <w:rFonts w:hint="eastAsia" w:ascii="宋体" w:hAnsi="宋体" w:cs="宋体"/>
          <w:szCs w:val="21"/>
          <w:highlight w:val="none"/>
          <w:lang w:eastAsia="zh-CN"/>
        </w:rPr>
        <w:t>江北区城乡排水管网数字化智能化管控平台（智慧排水工程）项目</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预算金额（元）：</w:t>
      </w:r>
      <w:r>
        <w:rPr>
          <w:rFonts w:hint="eastAsia" w:ascii="宋体" w:hAnsi="宋体" w:cs="宋体"/>
          <w:szCs w:val="21"/>
          <w:highlight w:val="none"/>
          <w:u w:val="single"/>
          <w:lang w:eastAsia="zh-CN"/>
        </w:rPr>
        <w:t>29180000</w:t>
      </w:r>
      <w:r>
        <w:rPr>
          <w:rFonts w:hint="eastAsia" w:ascii="宋体" w:hAnsi="宋体" w:cs="宋体"/>
          <w:szCs w:val="21"/>
          <w:highlight w:val="none"/>
          <w:u w:val="single"/>
        </w:rPr>
        <w:t>元</w:t>
      </w:r>
      <w:r>
        <w:rPr>
          <w:rFonts w:hint="eastAsia" w:ascii="宋体" w:hAnsi="宋体" w:cs="宋体"/>
          <w:szCs w:val="21"/>
          <w:highlight w:val="none"/>
        </w:rPr>
        <w:t xml:space="preserve">    </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最高限价（元）：</w:t>
      </w:r>
      <w:r>
        <w:rPr>
          <w:rFonts w:hint="eastAsia" w:ascii="宋体" w:hAnsi="宋体" w:cs="宋体"/>
          <w:szCs w:val="21"/>
          <w:highlight w:val="none"/>
          <w:u w:val="single"/>
          <w:lang w:eastAsia="zh-CN"/>
        </w:rPr>
        <w:t>28137600</w:t>
      </w:r>
      <w:r>
        <w:rPr>
          <w:rFonts w:hint="eastAsia" w:ascii="宋体" w:hAnsi="宋体" w:cs="宋体"/>
          <w:szCs w:val="21"/>
          <w:highlight w:val="none"/>
          <w:u w:val="single"/>
        </w:rPr>
        <w:t>元</w:t>
      </w:r>
      <w:r>
        <w:rPr>
          <w:rFonts w:hint="eastAsia" w:ascii="宋体" w:hAnsi="宋体" w:cs="宋体"/>
          <w:szCs w:val="21"/>
          <w:highlight w:val="none"/>
        </w:rPr>
        <w:t xml:space="preserve">    </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采购需求：</w:t>
      </w:r>
    </w:p>
    <w:p>
      <w:pPr>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标项名称:</w:t>
      </w:r>
      <w:r>
        <w:rPr>
          <w:rFonts w:hint="eastAsia" w:ascii="宋体" w:hAnsi="宋体" w:cs="宋体"/>
          <w:bCs/>
          <w:szCs w:val="21"/>
          <w:highlight w:val="none"/>
        </w:rPr>
        <w:t xml:space="preserve"> </w:t>
      </w:r>
      <w:r>
        <w:rPr>
          <w:rFonts w:hint="eastAsia" w:ascii="宋体" w:hAnsi="宋体" w:cs="宋体"/>
          <w:szCs w:val="21"/>
          <w:highlight w:val="none"/>
          <w:lang w:eastAsia="zh-CN"/>
        </w:rPr>
        <w:t>江北区城乡排水管网数字化智能化管控平台（智慧排水工程）项目</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数量: 1项</w:t>
      </w:r>
    </w:p>
    <w:p>
      <w:pPr>
        <w:spacing w:line="360" w:lineRule="auto"/>
        <w:ind w:firstLine="420" w:firstLineChars="200"/>
        <w:rPr>
          <w:rFonts w:ascii="宋体" w:hAnsi="宋体" w:cs="宋体"/>
          <w:szCs w:val="21"/>
          <w:highlight w:val="none"/>
          <w:u w:val="single"/>
        </w:rPr>
      </w:pPr>
      <w:r>
        <w:rPr>
          <w:rFonts w:hint="eastAsia" w:ascii="宋体" w:hAnsi="宋体" w:cs="宋体"/>
          <w:szCs w:val="21"/>
          <w:highlight w:val="none"/>
        </w:rPr>
        <w:t xml:space="preserve">预算金额（元）: </w:t>
      </w:r>
      <w:r>
        <w:rPr>
          <w:rFonts w:hint="eastAsia" w:ascii="宋体" w:hAnsi="宋体" w:cs="宋体"/>
          <w:szCs w:val="21"/>
          <w:highlight w:val="none"/>
          <w:u w:val="single"/>
          <w:lang w:eastAsia="zh-CN"/>
        </w:rPr>
        <w:t>29180000</w:t>
      </w:r>
      <w:r>
        <w:rPr>
          <w:rFonts w:hint="eastAsia" w:ascii="宋体" w:hAnsi="宋体" w:cs="宋体"/>
          <w:szCs w:val="21"/>
          <w:highlight w:val="none"/>
          <w:u w:val="single"/>
        </w:rPr>
        <w:t>元</w:t>
      </w:r>
      <w:r>
        <w:rPr>
          <w:rFonts w:hint="eastAsia" w:ascii="宋体" w:hAnsi="宋体" w:cs="宋体"/>
          <w:szCs w:val="21"/>
          <w:highlight w:val="none"/>
        </w:rPr>
        <w:t xml:space="preserve"> </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简要规格描述或项目基本概况介绍、用途：</w:t>
      </w:r>
      <w:r>
        <w:rPr>
          <w:rFonts w:hint="eastAsia" w:ascii="宋体" w:hAnsi="宋体" w:cs="宋体"/>
          <w:szCs w:val="21"/>
          <w:highlight w:val="none"/>
          <w:lang w:eastAsia="zh-CN"/>
        </w:rPr>
        <w:t>江北区城乡排水管网数字化智能化管控平台（智慧排水工程）项目</w:t>
      </w:r>
      <w:r>
        <w:rPr>
          <w:rFonts w:hint="eastAsia" w:ascii="宋体" w:hAnsi="宋体" w:cs="宋体"/>
          <w:szCs w:val="21"/>
          <w:highlight w:val="none"/>
        </w:rPr>
        <w:t>主要建设内容为“一网、一图、一中心、一平台、N系统”，即智慧排水“4+N”；详见招标文件第二章招标需求。</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备注：/ </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合同履行期限：</w:t>
      </w:r>
      <w:r>
        <w:rPr>
          <w:rFonts w:hint="eastAsia" w:ascii="宋体" w:hAnsi="宋体" w:cs="宋体"/>
          <w:szCs w:val="21"/>
          <w:highlight w:val="none"/>
          <w:lang w:eastAsia="zh-CN"/>
        </w:rPr>
        <w:t>自合同签订之日起至2023年4月通过初验，进入为期6个月的试运行期，试运行完成后组织项目终验</w:t>
      </w:r>
      <w:r>
        <w:rPr>
          <w:rFonts w:hint="eastAsia" w:ascii="宋体" w:hAnsi="宋体" w:cs="宋体"/>
          <w:szCs w:val="21"/>
          <w:highlight w:val="none"/>
        </w:rPr>
        <w:t>。</w:t>
      </w:r>
    </w:p>
    <w:p>
      <w:pPr>
        <w:spacing w:line="360" w:lineRule="auto"/>
        <w:ind w:firstLine="420" w:firstLineChars="200"/>
        <w:rPr>
          <w:rFonts w:ascii="宋体" w:hAnsi="宋体" w:cs="宋体"/>
          <w:szCs w:val="21"/>
          <w:highlight w:val="none"/>
        </w:rPr>
      </w:pPr>
      <w:bookmarkStart w:id="0" w:name="_Toc28359003"/>
      <w:bookmarkStart w:id="1" w:name="_Toc28359080"/>
      <w:bookmarkStart w:id="2" w:name="_Toc35393791"/>
      <w:bookmarkStart w:id="3" w:name="_Toc35393622"/>
      <w:r>
        <w:rPr>
          <w:rFonts w:hint="eastAsia" w:ascii="宋体" w:hAnsi="宋体" w:cs="宋体"/>
          <w:szCs w:val="21"/>
          <w:highlight w:val="none"/>
        </w:rPr>
        <w:t>本项目</w:t>
      </w:r>
      <w:r>
        <w:rPr>
          <w:rFonts w:hint="eastAsia" w:ascii="宋体" w:hAnsi="宋体" w:cs="宋体"/>
          <w:szCs w:val="21"/>
          <w:highlight w:val="none"/>
          <w:u w:val="single"/>
        </w:rPr>
        <w:t>接受</w:t>
      </w:r>
      <w:r>
        <w:rPr>
          <w:rFonts w:hint="eastAsia" w:ascii="宋体" w:hAnsi="宋体" w:cs="宋体"/>
          <w:szCs w:val="21"/>
          <w:highlight w:val="none"/>
        </w:rPr>
        <w:t>联合体投标，</w:t>
      </w:r>
      <w:r>
        <w:rPr>
          <w:rFonts w:hint="eastAsia" w:ascii="宋体" w:hAnsi="宋体"/>
          <w:szCs w:val="21"/>
          <w:highlight w:val="none"/>
        </w:rPr>
        <w:t>联合体牵头人和成员总数量最多不超过</w:t>
      </w:r>
      <w:r>
        <w:rPr>
          <w:rFonts w:ascii="宋体" w:hAnsi="宋体"/>
          <w:szCs w:val="21"/>
          <w:highlight w:val="none"/>
        </w:rPr>
        <w:t>2</w:t>
      </w:r>
      <w:r>
        <w:rPr>
          <w:rFonts w:hint="eastAsia" w:ascii="宋体" w:hAnsi="宋体"/>
          <w:szCs w:val="21"/>
          <w:highlight w:val="none"/>
        </w:rPr>
        <w:t>家</w:t>
      </w:r>
      <w:r>
        <w:rPr>
          <w:rFonts w:hint="eastAsia" w:ascii="宋体" w:hAnsi="宋体" w:cs="宋体"/>
          <w:szCs w:val="21"/>
          <w:highlight w:val="none"/>
        </w:rPr>
        <w:t>。</w:t>
      </w:r>
    </w:p>
    <w:p>
      <w:pPr>
        <w:pStyle w:val="6"/>
        <w:rPr>
          <w:rFonts w:ascii="微软雅黑" w:hAnsi="微软雅黑" w:cs="微软雅黑"/>
          <w:highlight w:val="none"/>
        </w:rPr>
      </w:pPr>
      <w:r>
        <w:rPr>
          <w:rFonts w:hint="eastAsia" w:ascii="微软雅黑" w:hAnsi="微软雅黑" w:cs="微软雅黑"/>
          <w:highlight w:val="none"/>
        </w:rPr>
        <w:t>二、申请人的资格要求</w:t>
      </w:r>
      <w:bookmarkEnd w:id="0"/>
      <w:bookmarkEnd w:id="1"/>
      <w:bookmarkEnd w:id="2"/>
      <w:bookmarkEnd w:id="3"/>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1、符合《中华人民共和国政府采购法》第二十二条规定的供应商资格条件：</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（1）具有独立承担民事责任的能力；</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（2）具有良好的商业信誉和健全的财务会计制度；</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（3）具有履行合同所必需的设备和专业技术能力；</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（4）有依法缴纳税收和社会保障资金的良好记录；</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（5）参加政府采购活动前三年内，在经营活动中没有重大违法记录。</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2、落实政府采购政策需满足的资格要求：无。</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3、本项目的特定资格要求：无。</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4、单位负责人为同一人或者存在直接控股、管理关系的不同投标人，不得参加同一标项的投标。为本项目提供整体设计、规范编制或者项目管理、监理、检测等服务的投标人，不得再参加本项目的投标。</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5、供应商未被列入“信用中国”网站(www.creditchina.gov.cn)中的“失信被执行人或重大税收违法案件当事人名单或政府采购严重违法失信名单”，不处于中国政府采购网(www.ccgp.gov.cn)“政府采购严重违法失信行为记录名单”处罚结果确定为禁止参加政府采购活动期间。（以采购代理机构于投标截止日当天在信用中国网站及中国政府采购网查询结果为准；若在开标当天因不可抗力事件导致无法查询且一时无法恢复查询的，可在中标公告前对中标候选人进行事后查询。中标候选人被列入失信被执行人、重大税收违法案件当事人名单或政府采购严重违法失信名单、政府采购严重违法失信行为记录名单处罚结果确定为禁止参加政府采购活动期间的，采购人将依法取消其中标资格。）</w:t>
      </w:r>
    </w:p>
    <w:p>
      <w:pPr>
        <w:pStyle w:val="6"/>
        <w:rPr>
          <w:rFonts w:ascii="微软雅黑" w:hAnsi="微软雅黑" w:cs="微软雅黑"/>
          <w:highlight w:val="none"/>
        </w:rPr>
      </w:pPr>
      <w:r>
        <w:rPr>
          <w:rFonts w:hint="eastAsia" w:ascii="微软雅黑" w:hAnsi="微软雅黑" w:cs="微软雅黑"/>
          <w:highlight w:val="none"/>
        </w:rPr>
        <w:t>三、获取（下载）招标文件</w:t>
      </w:r>
    </w:p>
    <w:p>
      <w:p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1、时间：</w:t>
      </w:r>
      <w:r>
        <w:rPr>
          <w:rFonts w:hint="eastAsia" w:ascii="宋体" w:hAnsi="宋体" w:cs="宋体"/>
          <w:szCs w:val="21"/>
          <w:highlight w:val="none"/>
          <w:u w:val="single"/>
        </w:rPr>
        <w:t xml:space="preserve">  / </w:t>
      </w:r>
      <w:r>
        <w:rPr>
          <w:rFonts w:hint="eastAsia" w:ascii="宋体" w:hAnsi="宋体" w:cs="宋体"/>
          <w:szCs w:val="21"/>
          <w:highlight w:val="none"/>
        </w:rPr>
        <w:t>至</w:t>
      </w:r>
      <w:r>
        <w:rPr>
          <w:rFonts w:hint="eastAsia" w:ascii="宋体" w:hAnsi="宋体" w:cs="宋体"/>
          <w:szCs w:val="21"/>
          <w:highlight w:val="none"/>
          <w:u w:val="single"/>
        </w:rPr>
        <w:t>2022</w:t>
      </w:r>
      <w:r>
        <w:rPr>
          <w:rFonts w:hint="eastAsia" w:ascii="宋体" w:hAnsi="宋体" w:cs="宋体"/>
          <w:szCs w:val="21"/>
          <w:highlight w:val="none"/>
        </w:rPr>
        <w:t>年</w:t>
      </w:r>
      <w:r>
        <w:rPr>
          <w:rFonts w:hint="eastAsia" w:ascii="宋体" w:hAnsi="宋体" w:cs="宋体"/>
          <w:szCs w:val="21"/>
          <w:highlight w:val="none"/>
          <w:u w:val="single"/>
          <w:lang w:val="en-US" w:eastAsia="zh-CN"/>
        </w:rPr>
        <w:t>08</w:t>
      </w:r>
      <w:r>
        <w:rPr>
          <w:rFonts w:hint="eastAsia" w:ascii="宋体" w:hAnsi="宋体" w:cs="宋体"/>
          <w:szCs w:val="21"/>
          <w:highlight w:val="none"/>
        </w:rPr>
        <w:t>月</w:t>
      </w:r>
      <w:r>
        <w:rPr>
          <w:rFonts w:hint="eastAsia" w:ascii="宋体" w:hAnsi="宋体" w:cs="宋体"/>
          <w:szCs w:val="21"/>
          <w:highlight w:val="none"/>
          <w:u w:val="single"/>
          <w:lang w:val="en-US" w:eastAsia="zh-CN"/>
        </w:rPr>
        <w:t>29</w:t>
      </w:r>
      <w:r>
        <w:rPr>
          <w:rFonts w:hint="eastAsia" w:ascii="宋体" w:hAnsi="宋体" w:cs="宋体"/>
          <w:szCs w:val="21"/>
          <w:highlight w:val="none"/>
        </w:rPr>
        <w:t>日，每天上午00:00至12:00，下午12:00至23:59（北京时间，线上获取法定节假日均可，线下获取文件法定节假日除外）</w:t>
      </w:r>
    </w:p>
    <w:p>
      <w:p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2、地点：浙江政府采购云平台（www.zcygov.cn）</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3、方式：本项目采购文件于“政府采购云平台”在线获取。投标人获取采购文件前应先完成“政府采购云平台”的账号注册，登陆政府采购云平台（www.zcygov.cn）在线申请获取采购文件（政府采购云平台→“政采云用户”登录→【项目采购】→【获取采购文件】），进入“项目采购”应用，在获取采购文件菜单中选择项目，申请获取采购文件，仅浏览采购文件的投标人可点击“游客，浏览采购文件”下载采购文件浏览；招标公告附件内的采购文件仅供阅览，投标人只有在“政府采购云平台”完成获取采购文件申请并下载了采购文件后方视作依法获取采购文件（法律、法规所指的获取采购文件时间以投标人完成获取采购文件申请后下载采购文件的时间为准）。注：请投标人按上述要求获取采购文件，如未在“政府采购云平台”完成相关流程引起的无效投标，责任自负。</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6、招标文件售价：</w:t>
      </w:r>
      <w:r>
        <w:rPr>
          <w:rFonts w:hint="eastAsia" w:ascii="宋体" w:hAnsi="宋体" w:cs="宋体"/>
          <w:szCs w:val="21"/>
          <w:highlight w:val="none"/>
          <w:u w:val="single"/>
        </w:rPr>
        <w:t xml:space="preserve">  0  </w:t>
      </w:r>
      <w:r>
        <w:rPr>
          <w:rFonts w:hint="eastAsia" w:ascii="宋体" w:hAnsi="宋体" w:cs="宋体"/>
          <w:szCs w:val="21"/>
          <w:highlight w:val="none"/>
        </w:rPr>
        <w:t xml:space="preserve">元。  </w:t>
      </w:r>
    </w:p>
    <w:p>
      <w:pPr>
        <w:pStyle w:val="6"/>
        <w:rPr>
          <w:rFonts w:ascii="微软雅黑" w:hAnsi="微软雅黑" w:cs="微软雅黑"/>
          <w:highlight w:val="none"/>
        </w:rPr>
      </w:pPr>
      <w:r>
        <w:rPr>
          <w:rFonts w:hint="eastAsia" w:ascii="微软雅黑" w:hAnsi="微软雅黑" w:cs="微软雅黑"/>
          <w:highlight w:val="none"/>
        </w:rPr>
        <w:t>四、投标文件提交（上传）截止时间及地点</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1、提交投标文件截止时间：</w:t>
      </w:r>
      <w:r>
        <w:rPr>
          <w:rFonts w:hint="eastAsia" w:ascii="宋体" w:hAnsi="宋体" w:cs="宋体"/>
          <w:szCs w:val="21"/>
          <w:highlight w:val="none"/>
          <w:u w:val="single"/>
        </w:rPr>
        <w:t>2022年</w:t>
      </w:r>
      <w:r>
        <w:rPr>
          <w:rFonts w:hint="eastAsia" w:ascii="宋体" w:hAnsi="宋体" w:cs="宋体"/>
          <w:szCs w:val="21"/>
          <w:highlight w:val="none"/>
          <w:u w:val="single"/>
          <w:lang w:val="en-US" w:eastAsia="zh-CN"/>
        </w:rPr>
        <w:t>08</w:t>
      </w:r>
      <w:r>
        <w:rPr>
          <w:rFonts w:hint="eastAsia" w:ascii="宋体" w:hAnsi="宋体" w:cs="宋体"/>
          <w:szCs w:val="21"/>
          <w:highlight w:val="none"/>
          <w:u w:val="single"/>
        </w:rPr>
        <w:t>月</w:t>
      </w:r>
      <w:r>
        <w:rPr>
          <w:rFonts w:hint="eastAsia" w:ascii="宋体" w:hAnsi="宋体" w:cs="宋体"/>
          <w:szCs w:val="21"/>
          <w:highlight w:val="none"/>
          <w:u w:val="single"/>
          <w:lang w:val="en-US" w:eastAsia="zh-CN"/>
        </w:rPr>
        <w:t>29</w:t>
      </w:r>
      <w:r>
        <w:rPr>
          <w:rFonts w:hint="eastAsia" w:ascii="宋体" w:hAnsi="宋体" w:cs="宋体"/>
          <w:szCs w:val="21"/>
          <w:highlight w:val="none"/>
          <w:u w:val="single"/>
        </w:rPr>
        <w:t>日 13 时 30 分</w:t>
      </w:r>
      <w:r>
        <w:rPr>
          <w:rFonts w:hint="eastAsia" w:ascii="宋体" w:hAnsi="宋体" w:cs="宋体"/>
          <w:szCs w:val="21"/>
          <w:highlight w:val="none"/>
        </w:rPr>
        <w:t>（北京时间）</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2、投标地点（网址）：投标人通过“政府采购云平台（www.zcygov.cn）”在线制作、传输递交电子投标文件。 </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3、开标时间：</w:t>
      </w:r>
      <w:r>
        <w:rPr>
          <w:rFonts w:hint="eastAsia" w:ascii="宋体" w:hAnsi="宋体" w:cs="宋体"/>
          <w:szCs w:val="21"/>
          <w:highlight w:val="none"/>
          <w:u w:val="single"/>
        </w:rPr>
        <w:t>2022年</w:t>
      </w:r>
      <w:r>
        <w:rPr>
          <w:rFonts w:hint="eastAsia" w:ascii="宋体" w:hAnsi="宋体" w:cs="宋体"/>
          <w:szCs w:val="21"/>
          <w:highlight w:val="none"/>
          <w:u w:val="single"/>
          <w:lang w:val="en-US" w:eastAsia="zh-CN"/>
        </w:rPr>
        <w:t>08</w:t>
      </w:r>
      <w:r>
        <w:rPr>
          <w:rFonts w:hint="eastAsia" w:ascii="宋体" w:hAnsi="宋体" w:cs="宋体"/>
          <w:szCs w:val="21"/>
          <w:highlight w:val="none"/>
          <w:u w:val="single"/>
        </w:rPr>
        <w:t>月</w:t>
      </w:r>
      <w:r>
        <w:rPr>
          <w:rFonts w:hint="eastAsia" w:ascii="宋体" w:hAnsi="宋体" w:cs="宋体"/>
          <w:szCs w:val="21"/>
          <w:highlight w:val="none"/>
          <w:u w:val="single"/>
          <w:lang w:val="en-US" w:eastAsia="zh-CN"/>
        </w:rPr>
        <w:t>29</w:t>
      </w:r>
      <w:r>
        <w:rPr>
          <w:rFonts w:hint="eastAsia" w:ascii="宋体" w:hAnsi="宋体" w:cs="宋体"/>
          <w:szCs w:val="21"/>
          <w:highlight w:val="none"/>
          <w:u w:val="single"/>
        </w:rPr>
        <w:t>日 13 时 30 分</w:t>
      </w:r>
      <w:r>
        <w:rPr>
          <w:rFonts w:hint="eastAsia" w:ascii="宋体" w:hAnsi="宋体" w:cs="宋体"/>
          <w:szCs w:val="21"/>
          <w:highlight w:val="none"/>
        </w:rPr>
        <w:t>（北京时间） </w:t>
      </w:r>
    </w:p>
    <w:p>
      <w:p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4、开标地点（网址）：宁波市江北区公共资源交易中心开标室（江北区育才路138号北投大厦南楼7楼）。本项目通过“政府采购云平台”实行在线电子投标，投标人应在线参加开标。 </w:t>
      </w:r>
    </w:p>
    <w:p>
      <w:pPr>
        <w:pStyle w:val="6"/>
        <w:rPr>
          <w:rFonts w:ascii="微软雅黑" w:hAnsi="微软雅黑" w:cs="微软雅黑"/>
          <w:highlight w:val="none"/>
        </w:rPr>
      </w:pPr>
      <w:r>
        <w:rPr>
          <w:rFonts w:hint="eastAsia" w:ascii="微软雅黑" w:hAnsi="微软雅黑" w:cs="微软雅黑"/>
          <w:highlight w:val="none"/>
        </w:rPr>
        <w:t>五、公告期限</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自本公告发布之日起5个工作日。</w:t>
      </w:r>
    </w:p>
    <w:p>
      <w:pPr>
        <w:pStyle w:val="6"/>
        <w:rPr>
          <w:rFonts w:ascii="微软雅黑" w:hAnsi="微软雅黑" w:cs="微软雅黑"/>
          <w:highlight w:val="none"/>
        </w:rPr>
      </w:pPr>
      <w:r>
        <w:rPr>
          <w:rFonts w:hint="eastAsia" w:ascii="微软雅黑" w:hAnsi="微软雅黑" w:cs="微软雅黑"/>
          <w:highlight w:val="none"/>
        </w:rPr>
        <w:t>六、其他补充事宜</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投标人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投标人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2.其他事项：</w:t>
      </w:r>
    </w:p>
    <w:p>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2.1供应商须在浙江政府采购网进行注册登记。注册具体要求及申请流程详见《浙江省政府采购供应商注册及诚信管理暂行办法》(浙财采监字{2009}28号)和浙江政府采购网“网上办事指南”的“供应商注册申请”，未注册供应商应当注意注册登记所需时间，以免影响投标。</w:t>
      </w:r>
    </w:p>
    <w:p>
      <w:pPr>
        <w:widowControl/>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2.2本次政府采购活动有关信息在“浙江政府采购网(http：//www.zjzfcg.gov.cn/)”及“宁波市公共资源交易网江北分网（http：//jiangbei.bidding.gov.cn/）”上公布，参加投标的供应商有义务在采购活动期间浏览上述两个网站。</w:t>
      </w:r>
    </w:p>
    <w:p>
      <w:pPr>
        <w:wordWrap w:val="0"/>
        <w:spacing w:line="360" w:lineRule="auto"/>
        <w:ind w:firstLine="420" w:firstLineChars="200"/>
        <w:rPr>
          <w:rFonts w:ascii="宋体" w:hAnsi="宋体" w:cs="宋体"/>
          <w:szCs w:val="21"/>
          <w:highlight w:val="none"/>
        </w:rPr>
      </w:pPr>
      <w:r>
        <w:rPr>
          <w:rFonts w:hint="eastAsia" w:ascii="宋体" w:hAnsi="宋体" w:cs="宋体"/>
          <w:szCs w:val="21"/>
          <w:highlight w:val="none"/>
        </w:rPr>
        <w:t>2.3关于在线投标与开标注意事项：</w:t>
      </w:r>
    </w:p>
    <w:p>
      <w:pPr>
        <w:numPr>
          <w:ilvl w:val="0"/>
          <w:numId w:val="8"/>
        </w:numPr>
        <w:wordWrap w:val="0"/>
        <w:spacing w:line="360" w:lineRule="auto"/>
        <w:ind w:firstLine="420" w:firstLineChars="200"/>
        <w:rPr>
          <w:rFonts w:ascii="宋体" w:hAnsi="宋体" w:cs="宋体"/>
          <w:szCs w:val="21"/>
          <w:highlight w:val="none"/>
        </w:rPr>
      </w:pPr>
      <w:r>
        <w:rPr>
          <w:rFonts w:hint="eastAsia" w:ascii="宋体" w:hAnsi="宋体" w:cs="宋体"/>
          <w:szCs w:val="21"/>
          <w:highlight w:val="none"/>
        </w:rPr>
        <w:t>本项目通过“政府采购云平台（www.zcygov.cn）”实行网上投标，采用电子投标文件。若投标人参与投标，自行承担投标一切费用。</w:t>
      </w:r>
    </w:p>
    <w:p>
      <w:pPr>
        <w:numPr>
          <w:ilvl w:val="0"/>
          <w:numId w:val="8"/>
        </w:numPr>
        <w:wordWrap w:val="0"/>
        <w:spacing w:line="360" w:lineRule="auto"/>
        <w:ind w:firstLine="420" w:firstLineChars="200"/>
        <w:rPr>
          <w:rFonts w:ascii="宋体" w:hAnsi="宋体" w:cs="宋体"/>
          <w:szCs w:val="21"/>
          <w:highlight w:val="none"/>
        </w:rPr>
      </w:pPr>
      <w:r>
        <w:rPr>
          <w:rFonts w:hint="eastAsia" w:ascii="宋体" w:hAnsi="宋体" w:cs="宋体"/>
          <w:szCs w:val="21"/>
          <w:highlight w:val="none"/>
        </w:rPr>
        <w:t>标前准备：各投标人应在开标前确保成为浙江政府采购网正式注册入库供应商，并完成CA数字证书办理，具体请自行前往“浙江政府采购网-下载专区-电子交易客户端-</w:t>
      </w:r>
      <w:r>
        <w:rPr>
          <w:highlight w:val="none"/>
        </w:rPr>
        <w:fldChar w:fldCharType="begin"/>
      </w:r>
      <w:r>
        <w:rPr>
          <w:highlight w:val="none"/>
        </w:rPr>
        <w:instrText xml:space="preserve"> HYPERLINK "http://zfcg.czt.zj.gov.cn/bidClientTemplate/2019-05-27/12945.html" \o "CA驱动和申领流程" </w:instrText>
      </w:r>
      <w:r>
        <w:rPr>
          <w:highlight w:val="none"/>
        </w:rPr>
        <w:fldChar w:fldCharType="separate"/>
      </w:r>
      <w:r>
        <w:rPr>
          <w:rFonts w:hint="eastAsia" w:ascii="宋体" w:hAnsi="宋体" w:cs="宋体"/>
          <w:szCs w:val="21"/>
          <w:highlight w:val="none"/>
        </w:rPr>
        <w:t>CA驱动和申领流程</w:t>
      </w:r>
      <w:r>
        <w:rPr>
          <w:rFonts w:hint="eastAsia" w:ascii="宋体" w:hAnsi="宋体" w:cs="宋体"/>
          <w:szCs w:val="21"/>
          <w:highlight w:val="none"/>
        </w:rPr>
        <w:fldChar w:fldCharType="end"/>
      </w:r>
      <w:r>
        <w:rPr>
          <w:rFonts w:hint="eastAsia" w:ascii="宋体" w:hAnsi="宋体" w:cs="宋体"/>
          <w:szCs w:val="21"/>
          <w:highlight w:val="none"/>
        </w:rPr>
        <w:t>”进行查阅，因未注册入库供应商、未办理CA数字证书等原因造成无法投标或投标失败等后果由投标人自行承担。（操作指南链接：</w:t>
      </w:r>
      <w:r>
        <w:rPr>
          <w:rFonts w:hint="eastAsia"/>
          <w:highlight w:val="none"/>
        </w:rPr>
        <w:fldChar w:fldCharType="begin"/>
      </w:r>
      <w:r>
        <w:rPr>
          <w:rFonts w:hint="eastAsia" w:ascii="宋体" w:hAnsi="宋体" w:cs="宋体"/>
          <w:szCs w:val="21"/>
          <w:highlight w:val="none"/>
        </w:rPr>
        <w:instrText xml:space="preserve"> HYPERLINK "https://service.zcygov.cn/" \l "/knowledges/cm2eqWwBFdiHxlNd_otq/lwV6GXABiyELHE-oVMj3?keyword=CA）。" </w:instrText>
      </w:r>
      <w:r>
        <w:rPr>
          <w:rFonts w:hint="eastAsia"/>
          <w:highlight w:val="none"/>
        </w:rPr>
        <w:fldChar w:fldCharType="separate"/>
      </w:r>
      <w:r>
        <w:rPr>
          <w:rStyle w:val="59"/>
          <w:rFonts w:hint="eastAsia" w:ascii="宋体" w:hAnsi="宋体" w:cs="宋体"/>
          <w:color w:val="auto"/>
          <w:szCs w:val="21"/>
          <w:highlight w:val="none"/>
        </w:rPr>
        <w:t>https://service.zcygov.cn/#/knowledges/cm2eqWwBFdiHxlNd_otq/lwV6GXABiyELHE-oVMj3?keyword=CA）</w:t>
      </w:r>
      <w:r>
        <w:rPr>
          <w:rStyle w:val="59"/>
          <w:rFonts w:hint="eastAsia" w:ascii="宋体" w:hAnsi="宋体" w:cs="宋体"/>
          <w:color w:val="auto"/>
          <w:szCs w:val="21"/>
          <w:highlight w:val="none"/>
          <w:u w:val="none"/>
        </w:rPr>
        <w:t>。</w:t>
      </w:r>
      <w:r>
        <w:rPr>
          <w:rStyle w:val="59"/>
          <w:rFonts w:hint="eastAsia" w:ascii="宋体" w:hAnsi="宋体" w:cs="宋体"/>
          <w:color w:val="auto"/>
          <w:szCs w:val="21"/>
          <w:highlight w:val="none"/>
        </w:rPr>
        <w:fldChar w:fldCharType="end"/>
      </w:r>
    </w:p>
    <w:p>
      <w:pPr>
        <w:numPr>
          <w:ilvl w:val="0"/>
          <w:numId w:val="8"/>
        </w:numPr>
        <w:wordWrap w:val="0"/>
        <w:spacing w:line="360" w:lineRule="auto"/>
        <w:ind w:firstLine="420" w:firstLineChars="200"/>
        <w:rPr>
          <w:rFonts w:ascii="宋体" w:hAnsi="宋体" w:cs="宋体"/>
          <w:szCs w:val="21"/>
          <w:highlight w:val="none"/>
        </w:rPr>
      </w:pPr>
      <w:r>
        <w:rPr>
          <w:rFonts w:hint="eastAsia" w:ascii="宋体" w:hAnsi="宋体" w:cs="宋体"/>
          <w:szCs w:val="21"/>
          <w:highlight w:val="none"/>
        </w:rPr>
        <w:t>投标文件制作：3.1投标人应先安装“政采云电子交易客户端”，并按照本项目采购文件和“政府采购云平台”的要求，通过“政采云电子交易客户端”编制并加密投标文件，“政采云电子交易客户端”请自行前往“浙江政府采购网-下载专区-电子交易客户端”进行下载并安装。电子投标文件制作具体流程详见政府采购云平台。投标人在使用系统进行投标的过程中遇到涉及平台使用的任何问题，可致电政府采购云平台技术支持热线咨询。</w:t>
      </w:r>
    </w:p>
    <w:p>
      <w:pPr>
        <w:wordWrap w:val="0"/>
        <w:spacing w:line="360" w:lineRule="auto"/>
        <w:ind w:firstLine="420" w:firstLineChars="200"/>
        <w:rPr>
          <w:rFonts w:ascii="宋体" w:hAnsi="宋体" w:cs="宋体"/>
          <w:szCs w:val="21"/>
          <w:highlight w:val="none"/>
        </w:rPr>
      </w:pPr>
      <w:r>
        <w:rPr>
          <w:rFonts w:hint="eastAsia" w:ascii="宋体" w:hAnsi="宋体" w:cs="宋体"/>
          <w:szCs w:val="21"/>
          <w:highlight w:val="none"/>
        </w:rPr>
        <w:t>3.2为确保采购项目顺利实施，避免因解密失败导致投标人投标无效，投标人可自行选择是否在投标截止时间前将在“政采云电子投标客户端”上最后生成的具备电子签章的备份电子投标文件（以U盘为载体，投标人应当确保U盘能够打开运行并正常使用）密封，安排“甬行码”为绿色的相关人员（原则上不超过一名，须全程佩戴口罩）递交至宁波市江北区公共资源交易中心开标室（江北区育才路138号北投大厦南楼7楼）。</w:t>
      </w:r>
    </w:p>
    <w:p>
      <w:pPr>
        <w:wordWrap w:val="0"/>
        <w:spacing w:line="360" w:lineRule="auto"/>
        <w:ind w:firstLine="420" w:firstLineChars="200"/>
        <w:rPr>
          <w:rFonts w:ascii="宋体" w:hAnsi="宋体" w:cs="宋体"/>
          <w:szCs w:val="21"/>
          <w:highlight w:val="none"/>
        </w:rPr>
      </w:pPr>
      <w:r>
        <w:rPr>
          <w:rFonts w:hint="eastAsia" w:ascii="宋体" w:hAnsi="宋体" w:cs="宋体"/>
          <w:szCs w:val="21"/>
          <w:highlight w:val="none"/>
        </w:rPr>
        <w:t>3.3采购代理机构将在投标文件规定的时间通过政府采购云平台组织开标、开启投标文件，所有投标人均应准时在线参加。开标时间后30分钟内，投标人可以登录政府采购云平台（www.zcygov.cn），用“项目采购-开标评标”功能进行解密投标文件。</w:t>
      </w:r>
    </w:p>
    <w:p>
      <w:pPr>
        <w:wordWrap w:val="0"/>
        <w:spacing w:line="360" w:lineRule="auto"/>
        <w:ind w:firstLine="420" w:firstLineChars="200"/>
        <w:rPr>
          <w:rFonts w:ascii="宋体" w:hAnsi="宋体" w:cs="宋体"/>
          <w:szCs w:val="21"/>
          <w:highlight w:val="none"/>
        </w:rPr>
      </w:pPr>
      <w:r>
        <w:rPr>
          <w:rFonts w:hint="eastAsia" w:ascii="宋体" w:hAnsi="宋体" w:cs="宋体"/>
          <w:szCs w:val="21"/>
          <w:highlight w:val="none"/>
        </w:rPr>
        <w:t>3.4投标人成功上传电子投标文件，若无法读取或在规定时间内无法解密或解密失败，采购代理机构方可调用以U盘介质存储的数据电文形式的备份电子投标文件（备份电子投标文件损坏、格式不符等致使异常情况处理失败的责任由投标人自行承担），并对“备份电子投标文件”进行解密；若出现投标人上传的电子投标文件和备份电子投标文件均无法读取的情况，则该投标人作无效投标处理。</w:t>
      </w:r>
    </w:p>
    <w:p>
      <w:pPr>
        <w:wordWrap w:val="0"/>
        <w:spacing w:line="360" w:lineRule="auto"/>
        <w:ind w:firstLine="420" w:firstLineChars="200"/>
        <w:rPr>
          <w:rFonts w:ascii="宋体" w:hAnsi="宋体" w:cs="宋体"/>
          <w:szCs w:val="21"/>
          <w:highlight w:val="none"/>
        </w:rPr>
      </w:pPr>
      <w:r>
        <w:rPr>
          <w:rFonts w:hint="eastAsia" w:ascii="宋体" w:hAnsi="宋体" w:cs="宋体"/>
          <w:szCs w:val="21"/>
          <w:highlight w:val="none"/>
        </w:rPr>
        <w:t>3.5本项目投标人的备份电子投标文件不予退还。</w:t>
      </w:r>
    </w:p>
    <w:p>
      <w:pPr>
        <w:pStyle w:val="6"/>
        <w:rPr>
          <w:rFonts w:ascii="微软雅黑" w:hAnsi="微软雅黑" w:cs="微软雅黑"/>
          <w:highlight w:val="none"/>
        </w:rPr>
      </w:pPr>
      <w:bookmarkStart w:id="4" w:name="_Toc35393627"/>
      <w:bookmarkStart w:id="5" w:name="_Toc28359085"/>
      <w:bookmarkStart w:id="6" w:name="_Toc28359008"/>
      <w:bookmarkStart w:id="7" w:name="_Toc35393796"/>
      <w:r>
        <w:rPr>
          <w:rFonts w:hint="eastAsia" w:ascii="微软雅黑" w:hAnsi="微软雅黑" w:cs="微软雅黑"/>
          <w:highlight w:val="none"/>
        </w:rPr>
        <w:t>七、对本次招标提出询问，请按以下方式联系</w:t>
      </w:r>
      <w:bookmarkEnd w:id="4"/>
      <w:bookmarkEnd w:id="5"/>
      <w:bookmarkEnd w:id="6"/>
      <w:bookmarkEnd w:id="7"/>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采购人名称：</w:t>
      </w:r>
      <w:r>
        <w:rPr>
          <w:rFonts w:hint="eastAsia" w:ascii="宋体" w:hAnsi="宋体" w:cs="宋体"/>
          <w:bCs/>
          <w:szCs w:val="21"/>
          <w:highlight w:val="none"/>
        </w:rPr>
        <w:t xml:space="preserve">江北区综合行政执法局 </w:t>
      </w:r>
      <w:r>
        <w:rPr>
          <w:rFonts w:hint="eastAsia" w:ascii="宋体" w:hAnsi="宋体" w:cs="宋体"/>
          <w:szCs w:val="21"/>
          <w:highlight w:val="none"/>
        </w:rPr>
        <w:t>　　　　　</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项目联系人（询问）：周老师</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项目联系方式（询问）：0574-87660957  </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质疑联系人：刘老师   </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质疑联系方式：0574-87661825         </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联系地址：宁波市江北区双东路105弄28号</w:t>
      </w:r>
    </w:p>
    <w:p>
      <w:pPr>
        <w:pStyle w:val="22"/>
        <w:spacing w:line="360" w:lineRule="auto"/>
        <w:ind w:firstLine="420" w:firstLineChars="200"/>
        <w:rPr>
          <w:rFonts w:ascii="宋体" w:hAnsi="宋体" w:cs="宋体"/>
          <w:szCs w:val="21"/>
          <w:highlight w:val="none"/>
        </w:rPr>
      </w:pP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采购代理机构：宁波市盛达工程管理咨询有限公司</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地址：宁波市江北区唐虞路319号（创富商业中心） 5楼</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传真：0574-87636525</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项目联系人（询问）：王瑶红</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项目联系方式（询问）：0574-87636525、15058477572</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质疑联系人：方海杰</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质疑联系方式：0574-87636525</w:t>
      </w:r>
    </w:p>
    <w:p>
      <w:pPr>
        <w:spacing w:line="360" w:lineRule="auto"/>
        <w:ind w:firstLine="420" w:firstLineChars="200"/>
        <w:rPr>
          <w:rFonts w:ascii="宋体" w:hAnsi="宋体" w:cs="宋体"/>
          <w:szCs w:val="21"/>
          <w:highlight w:val="none"/>
        </w:rPr>
      </w:pP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同级政府采购监督管理部门            </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名    称：宁波市江北区财政局</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地    址：宁波市江北区大庆南路181号</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传    真：/             </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联系人：张老师</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监督投诉电话：0574-87388098</w:t>
      </w:r>
    </w:p>
    <w:p>
      <w:pPr>
        <w:spacing w:line="360" w:lineRule="auto"/>
        <w:ind w:firstLine="420" w:firstLineChars="200"/>
        <w:rPr>
          <w:rFonts w:ascii="宋体" w:hAnsi="宋体" w:cs="宋体"/>
          <w:szCs w:val="21"/>
          <w:highlight w:val="none"/>
        </w:rPr>
      </w:pP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若对项目采购电子交易系统操作有疑问，可登录政采云（https://www.zcygov.cn/），点击右侧咨询小采，获取采小蜜智能服务管家帮助，或拨打政采云服务热线400-881-7190获取热线服务帮助。       </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CA问题联系电话（人工）：汇信CA 400-888-4636；天谷CA 400-087-8198。</w:t>
      </w:r>
    </w:p>
    <w:p>
      <w:pPr>
        <w:rPr>
          <w:highlight w:val="none"/>
        </w:rPr>
      </w:pPr>
    </w:p>
    <w:p>
      <w:pPr>
        <w:spacing w:line="460" w:lineRule="exact"/>
        <w:jc w:val="right"/>
        <w:rPr>
          <w:rFonts w:ascii="宋体" w:hAnsi="宋体"/>
          <w:sz w:val="22"/>
          <w:szCs w:val="22"/>
          <w:highlight w:val="none"/>
        </w:rPr>
        <w:sectPr>
          <w:headerReference r:id="rId7" w:type="first"/>
          <w:headerReference r:id="rId5" w:type="default"/>
          <w:headerReference r:id="rId6" w:type="even"/>
          <w:pgSz w:w="11906" w:h="16838"/>
          <w:pgMar w:top="1417" w:right="1701" w:bottom="1417" w:left="1701" w:header="737" w:footer="850" w:gutter="0"/>
          <w:cols w:space="0" w:num="1"/>
        </w:sectPr>
      </w:pPr>
      <w:bookmarkStart w:id="8" w:name="_Toc374321294"/>
    </w:p>
    <w:p>
      <w:pPr>
        <w:pStyle w:val="48"/>
        <w:spacing w:before="120" w:after="120"/>
        <w:rPr>
          <w:rFonts w:eastAsia="微软雅黑"/>
          <w:sz w:val="24"/>
          <w:szCs w:val="40"/>
          <w:highlight w:val="none"/>
        </w:rPr>
      </w:pPr>
      <w:bookmarkStart w:id="9" w:name="_Toc374321295"/>
      <w:r>
        <w:rPr>
          <w:rFonts w:hint="eastAsia" w:ascii="宋体" w:hAnsi="宋体" w:cs="宋体"/>
          <w:sz w:val="28"/>
          <w:szCs w:val="28"/>
          <w:highlight w:val="none"/>
        </w:rPr>
        <w:t>第二章  招标需求</w:t>
      </w:r>
      <w:bookmarkEnd w:id="9"/>
      <w:bookmarkStart w:id="10" w:name="_Toc14965746"/>
      <w:bookmarkStart w:id="11" w:name="_Toc14965615"/>
      <w:bookmarkStart w:id="12" w:name="_Toc145860630"/>
      <w:bookmarkStart w:id="13" w:name="_Toc28060171"/>
      <w:bookmarkStart w:id="14" w:name="_Toc374321331"/>
    </w:p>
    <w:p>
      <w:pPr>
        <w:pStyle w:val="6"/>
        <w:spacing w:before="0" w:after="0"/>
        <w:rPr>
          <w:highlight w:val="none"/>
        </w:rPr>
      </w:pPr>
      <w:r>
        <w:rPr>
          <w:rFonts w:hint="eastAsia"/>
          <w:highlight w:val="none"/>
        </w:rPr>
        <w:t>一、项目背景</w:t>
      </w:r>
    </w:p>
    <w:p>
      <w:pPr>
        <w:spacing w:line="360" w:lineRule="auto"/>
        <w:ind w:firstLine="420" w:firstLineChars="200"/>
        <w:rPr>
          <w:rFonts w:ascii="宋体" w:hAnsi="宋体" w:cs="宋体"/>
          <w:highlight w:val="none"/>
        </w:rPr>
      </w:pPr>
      <w:r>
        <w:rPr>
          <w:rFonts w:hint="eastAsia" w:ascii="宋体" w:hAnsi="宋体" w:cs="宋体"/>
          <w:highlight w:val="none"/>
        </w:rPr>
        <w:t>城市排水管网是保证城市正常运行、维护城市环境的“静脉”，其基本功能是及时排除城市内生活污水、工业废水和天然雨水，使城市保持清洁。作为城市水循环系统的一部分，城市排水管网起到水量调蓄渠道的作用，避免污水和雨水在城市内累积，与山地排洪沟、城市内湖泊和内河、防洪堤坝一起消减积水与洪涝灾害对城市的威胁。同时，城市排水管网也是城市水环境污染与净化的平衡渠道，其通过水流将污染物收集输送到污水处理设施，避免大量污染物集中排入水体而对环境造成难以恢复的破坏。</w:t>
      </w:r>
    </w:p>
    <w:p>
      <w:pPr>
        <w:spacing w:line="360" w:lineRule="auto"/>
        <w:ind w:firstLine="420" w:firstLineChars="200"/>
        <w:rPr>
          <w:rFonts w:ascii="宋体" w:hAnsi="宋体" w:cs="宋体"/>
          <w:highlight w:val="none"/>
        </w:rPr>
      </w:pPr>
      <w:r>
        <w:rPr>
          <w:rFonts w:hint="eastAsia" w:ascii="宋体" w:hAnsi="宋体" w:cs="宋体"/>
          <w:highlight w:val="none"/>
        </w:rPr>
        <w:t>《宁波市“甬有碧水”综合行动攻坚方案》中提出，加强城镇污水管网建设。结合片区市政道路建设、老旧小区改造等，同步更新改造服务片区内污水收集管网，探索在重点区域、重点企业开展初期雨水收集与处理，形成污水管网“一张图”。推进生活小区“污水零直排区”建设。全面摸清生活小区、沿街店铺等雨污分流建设底数、雨污管网等情况。</w:t>
      </w:r>
    </w:p>
    <w:p>
      <w:pPr>
        <w:spacing w:line="360" w:lineRule="auto"/>
        <w:ind w:firstLine="420" w:firstLineChars="200"/>
        <w:rPr>
          <w:highlight w:val="none"/>
        </w:rPr>
      </w:pPr>
      <w:r>
        <w:rPr>
          <w:rFonts w:hint="eastAsia" w:ascii="宋体" w:hAnsi="宋体" w:cs="宋体"/>
          <w:highlight w:val="none"/>
        </w:rPr>
        <w:t>根据《宁波市排水行业数字化改革实施方案》要求，紧密围绕宁波市“看水一张网、治水一张图、管水一平台、兴水一盘棋”的智慧水利建设总体目标，构建“宁波智慧排水”系统，通过宁波市智慧水利统一工作平台，依托物联网、大数据、5G、虚拟仿真等高新技术，构建即时感知、状态可见、精细管养、强化监管、服务提升的市县两级贯通的排水数字化应用体系，实现宁波市排水“设施监测全覆盖、排水数据资产化、业务管理协同化、排水决策智能化、行业标准规范化”的排水行业智慧化、精细化管理系统，支撑排水业务的运行监管、调度指挥与决策支持，保障政府排水监管和企业运维需求，提高排水系统管理水平和设施运行绩效，实现排水设施动态感知建设全覆盖、排水行业信息资源统一管理、排水行业管理系统整体智治、排水行业管理工作数字赋能、排水行业标准体系、规范建设。</w:t>
      </w:r>
    </w:p>
    <w:p>
      <w:pPr>
        <w:pStyle w:val="6"/>
        <w:spacing w:before="0" w:after="0"/>
        <w:rPr>
          <w:highlight w:val="none"/>
        </w:rPr>
      </w:pPr>
      <w:r>
        <w:rPr>
          <w:rFonts w:hint="eastAsia"/>
          <w:highlight w:val="none"/>
        </w:rPr>
        <w:t>二、建设内容</w:t>
      </w:r>
    </w:p>
    <w:p>
      <w:pPr>
        <w:pStyle w:val="3"/>
        <w:spacing w:after="0" w:line="360" w:lineRule="auto"/>
        <w:ind w:left="0" w:leftChars="0" w:firstLine="420" w:firstLineChars="200"/>
        <w:rPr>
          <w:rFonts w:ascii="宋体" w:hAnsi="宋体" w:cs="宋体"/>
          <w:highlight w:val="none"/>
        </w:rPr>
      </w:pPr>
      <w:r>
        <w:rPr>
          <w:rFonts w:hint="eastAsia" w:ascii="宋体" w:hAnsi="宋体" w:cs="宋体"/>
          <w:highlight w:val="none"/>
          <w:lang w:eastAsia="zh-CN"/>
        </w:rPr>
        <w:t>江北区城乡排水管网数字化智能化管控平台（智慧排水工程）项目</w:t>
      </w:r>
      <w:r>
        <w:rPr>
          <w:rFonts w:hint="eastAsia" w:ascii="宋体" w:hAnsi="宋体" w:cs="宋体"/>
          <w:highlight w:val="none"/>
        </w:rPr>
        <w:t>主要建设内容为“一网、一图、一中心、一平台、N系统”，即智慧排水“4+N”。</w:t>
      </w:r>
    </w:p>
    <w:p>
      <w:pPr>
        <w:pStyle w:val="3"/>
        <w:spacing w:after="0" w:line="360" w:lineRule="auto"/>
        <w:ind w:left="0" w:leftChars="0" w:firstLine="420" w:firstLineChars="200"/>
        <w:rPr>
          <w:rFonts w:ascii="宋体" w:hAnsi="宋体" w:cs="宋体"/>
          <w:highlight w:val="none"/>
        </w:rPr>
      </w:pPr>
      <w:r>
        <w:rPr>
          <w:rFonts w:hint="eastAsia" w:ascii="宋体" w:hAnsi="宋体" w:cs="宋体"/>
          <w:highlight w:val="none"/>
        </w:rPr>
        <w:t>1、监测一网络：安装一批排水物联感知设备，建成排水系统在线感知网络，实现排水状况智慧监测；</w:t>
      </w:r>
    </w:p>
    <w:p>
      <w:pPr>
        <w:pStyle w:val="3"/>
        <w:spacing w:after="0" w:line="360" w:lineRule="auto"/>
        <w:ind w:left="0" w:leftChars="0" w:firstLine="420" w:firstLineChars="200"/>
        <w:rPr>
          <w:rFonts w:ascii="宋体" w:hAnsi="宋体" w:cs="宋体"/>
          <w:highlight w:val="none"/>
        </w:rPr>
      </w:pPr>
      <w:r>
        <w:rPr>
          <w:rFonts w:hint="eastAsia" w:ascii="宋体" w:hAnsi="宋体" w:cs="宋体"/>
          <w:highlight w:val="none"/>
        </w:rPr>
        <w:t>2、数据一中心：建设一个全区排水设施基础信息、运行数据、业务数据的数据中心；</w:t>
      </w:r>
    </w:p>
    <w:p>
      <w:pPr>
        <w:pStyle w:val="3"/>
        <w:spacing w:after="0" w:line="360" w:lineRule="auto"/>
        <w:ind w:left="0" w:leftChars="0" w:firstLine="420" w:firstLineChars="200"/>
        <w:rPr>
          <w:rFonts w:ascii="宋体" w:hAnsi="宋体" w:cs="宋体"/>
          <w:highlight w:val="none"/>
        </w:rPr>
      </w:pPr>
      <w:r>
        <w:rPr>
          <w:rFonts w:hint="eastAsia" w:ascii="宋体" w:hAnsi="宋体" w:cs="宋体"/>
          <w:highlight w:val="none"/>
        </w:rPr>
        <w:t>3、排水一张图：形成江北区排水设施基础信息、多要素运行状态可视化、业务流程闭环的排水一张图；</w:t>
      </w:r>
    </w:p>
    <w:p>
      <w:pPr>
        <w:pStyle w:val="3"/>
        <w:spacing w:after="0" w:line="360" w:lineRule="auto"/>
        <w:ind w:left="0" w:leftChars="0" w:firstLine="420" w:firstLineChars="200"/>
        <w:rPr>
          <w:rFonts w:ascii="宋体" w:hAnsi="宋体" w:cs="宋体"/>
          <w:highlight w:val="none"/>
        </w:rPr>
      </w:pPr>
      <w:r>
        <w:rPr>
          <w:rFonts w:hint="eastAsia" w:ascii="宋体" w:hAnsi="宋体" w:cs="宋体"/>
          <w:highlight w:val="none"/>
        </w:rPr>
        <w:t>4、管理一平台：建设排水管理业务平台，实现排水管理业务信息协同、业务联动，在设施管理方面实现全流程监管，提供“排水设施全覆盖管理”的管理工具和“排水业务全协同联动”的管理服务；</w:t>
      </w:r>
    </w:p>
    <w:p>
      <w:pPr>
        <w:pStyle w:val="3"/>
        <w:spacing w:after="0" w:line="360" w:lineRule="auto"/>
        <w:ind w:left="0" w:leftChars="0" w:firstLine="420" w:firstLineChars="200"/>
        <w:rPr>
          <w:rFonts w:ascii="宋体" w:hAnsi="宋体" w:cs="宋体"/>
          <w:highlight w:val="none"/>
        </w:rPr>
      </w:pPr>
      <w:r>
        <w:rPr>
          <w:rFonts w:hint="eastAsia" w:ascii="宋体" w:hAnsi="宋体" w:cs="宋体"/>
          <w:highlight w:val="none"/>
        </w:rPr>
        <w:t xml:space="preserve">5、应用服务N系统：基于核心模型与智慧算法，建立江北区城市内涝精细预报预警、管网健康评价及问题诊断、管网日常运营智慧管理模型、江北区城市水力模型平台等多个应用支撑模块，对灾情预判、预警预报、公众服务等方面提供技术支撑。   </w:t>
      </w:r>
    </w:p>
    <w:p>
      <w:pPr>
        <w:pStyle w:val="6"/>
        <w:spacing w:before="0" w:after="0"/>
        <w:rPr>
          <w:highlight w:val="none"/>
        </w:rPr>
      </w:pPr>
      <w:r>
        <w:rPr>
          <w:rFonts w:hint="eastAsia"/>
          <w:highlight w:val="none"/>
        </w:rPr>
        <w:t>三、建设目标</w:t>
      </w:r>
    </w:p>
    <w:p>
      <w:pPr>
        <w:pStyle w:val="3"/>
        <w:spacing w:after="0" w:line="360" w:lineRule="auto"/>
        <w:ind w:left="0" w:leftChars="0" w:firstLine="420" w:firstLineChars="200"/>
        <w:rPr>
          <w:rFonts w:ascii="宋体" w:hAnsi="宋体" w:cs="宋体"/>
          <w:highlight w:val="none"/>
        </w:rPr>
      </w:pPr>
      <w:r>
        <w:rPr>
          <w:rFonts w:hint="eastAsia" w:ascii="宋体" w:hAnsi="宋体" w:cs="宋体"/>
          <w:highlight w:val="none"/>
        </w:rPr>
        <w:t xml:space="preserve"> 根据浙江省数字化改革总目标和宁波市水利局排水数字化改革实施方案，以提升民生服务和城市现代化治理能力为目标，以“数字化、网络化、智能化”为主线，以“需求牵引、应用至上、数字赋能、智能为本，应用为本”为总体建设基调，基于共建共享原则，打造“一张监测感知物联网、一张数据展示图、一个排水数据中心、一个业务综合管理平台、多个核心应用服务”的智慧排水体系，形成感知汇聚、研判预警、决策处置、评估反馈全链条智能化的排水闭环管理新模式，使江北区排水系统管理实现“可知、可视、可控、可预测”，通过智慧排水系统的建设推动江北区排水管理的规范化、精细化、智能化的快速发展。</w:t>
      </w:r>
    </w:p>
    <w:p>
      <w:pPr>
        <w:pStyle w:val="3"/>
        <w:spacing w:after="0" w:line="360" w:lineRule="auto"/>
        <w:ind w:left="0" w:leftChars="0" w:firstLine="420" w:firstLineChars="200"/>
        <w:rPr>
          <w:rFonts w:ascii="宋体" w:hAnsi="宋体" w:cs="宋体"/>
          <w:highlight w:val="none"/>
        </w:rPr>
      </w:pPr>
      <w:r>
        <w:rPr>
          <w:rFonts w:hint="eastAsia" w:ascii="宋体" w:hAnsi="宋体" w:cs="宋体"/>
          <w:highlight w:val="none"/>
        </w:rPr>
        <w:t>为统一江北区排水设备接口，本项目编制江北区智慧排水标准规范，统筹江北区排水物联感知设备，为后续设备全生命周期管理以及预警预测做好技术支撑。</w:t>
      </w:r>
    </w:p>
    <w:p>
      <w:pPr>
        <w:pStyle w:val="3"/>
        <w:spacing w:after="0" w:line="360" w:lineRule="auto"/>
        <w:ind w:left="0" w:leftChars="0" w:firstLine="420" w:firstLineChars="200"/>
        <w:rPr>
          <w:rFonts w:ascii="宋体" w:hAnsi="宋体" w:cs="宋体"/>
          <w:highlight w:val="none"/>
        </w:rPr>
      </w:pPr>
      <w:r>
        <w:rPr>
          <w:rFonts w:hint="eastAsia" w:ascii="宋体" w:hAnsi="宋体" w:cs="宋体"/>
          <w:highlight w:val="none"/>
        </w:rPr>
        <w:t xml:space="preserve">本项目纵向打通宁波市-江北区-乡镇街道，向上对接市智慧水利系统，向下与各乡镇街道交互，并将原有线下考核线上化，打造较为全面的城乡排水管网数字化智能化管控平台。         </w:t>
      </w:r>
    </w:p>
    <w:p>
      <w:pPr>
        <w:spacing w:line="360" w:lineRule="auto"/>
        <w:jc w:val="lef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四、</w:t>
      </w:r>
      <w:bookmarkStart w:id="15" w:name="_Toc5160"/>
      <w:bookmarkStart w:id="16" w:name="_Toc2465"/>
      <w:r>
        <w:rPr>
          <w:rFonts w:hint="eastAsia" w:ascii="微软雅黑" w:hAnsi="微软雅黑" w:eastAsia="微软雅黑" w:cs="微软雅黑"/>
          <w:b/>
          <w:bCs/>
          <w:szCs w:val="21"/>
          <w:highlight w:val="none"/>
        </w:rPr>
        <w:t>系统总体框架</w:t>
      </w:r>
      <w:bookmarkEnd w:id="15"/>
      <w:bookmarkEnd w:id="16"/>
    </w:p>
    <w:p>
      <w:pPr>
        <w:spacing w:line="360" w:lineRule="auto"/>
        <w:ind w:firstLine="420" w:firstLineChars="200"/>
        <w:rPr>
          <w:b/>
          <w:bCs/>
          <w:highlight w:val="none"/>
        </w:rPr>
      </w:pPr>
      <w:r>
        <w:rPr>
          <w:rFonts w:hint="eastAsia" w:ascii="宋体" w:hAnsi="宋体" w:cs="宋体"/>
          <w:b/>
          <w:bCs/>
          <w:szCs w:val="21"/>
          <w:highlight w:val="none"/>
        </w:rPr>
        <w:t>1.</w:t>
      </w:r>
      <w:bookmarkStart w:id="17" w:name="_Toc13075"/>
      <w:bookmarkStart w:id="18" w:name="_Toc1192"/>
      <w:r>
        <w:rPr>
          <w:b/>
          <w:bCs/>
          <w:highlight w:val="none"/>
        </w:rPr>
        <w:t>系统总体架构</w:t>
      </w:r>
      <w:bookmarkEnd w:id="17"/>
      <w:bookmarkEnd w:id="18"/>
    </w:p>
    <w:p>
      <w:pPr>
        <w:spacing w:line="360" w:lineRule="auto"/>
        <w:ind w:firstLine="420" w:firstLineChars="200"/>
        <w:jc w:val="center"/>
        <w:rPr>
          <w:highlight w:val="none"/>
        </w:rPr>
      </w:pPr>
      <w:r>
        <w:rPr>
          <w:highlight w:val="none"/>
        </w:rPr>
        <w:drawing>
          <wp:inline distT="0" distB="0" distL="114300" distR="114300">
            <wp:extent cx="5276215" cy="2941320"/>
            <wp:effectExtent l="0" t="0" r="635" b="1143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4"/>
                    <a:stretch>
                      <a:fillRect/>
                    </a:stretch>
                  </pic:blipFill>
                  <pic:spPr>
                    <a:xfrm>
                      <a:off x="0" y="0"/>
                      <a:ext cx="5276215" cy="2941320"/>
                    </a:xfrm>
                    <a:prstGeom prst="rect">
                      <a:avLst/>
                    </a:prstGeom>
                    <a:noFill/>
                    <a:ln>
                      <a:noFill/>
                    </a:ln>
                  </pic:spPr>
                </pic:pic>
              </a:graphicData>
            </a:graphic>
          </wp:inline>
        </w:drawing>
      </w:r>
    </w:p>
    <w:p>
      <w:pPr>
        <w:spacing w:line="360" w:lineRule="auto"/>
        <w:ind w:firstLine="420" w:firstLineChars="200"/>
        <w:jc w:val="center"/>
        <w:rPr>
          <w:highlight w:val="none"/>
        </w:rPr>
      </w:pPr>
      <w:r>
        <w:rPr>
          <w:rFonts w:hint="eastAsia"/>
          <w:highlight w:val="none"/>
          <w:lang w:eastAsia="zh-CN"/>
        </w:rPr>
        <w:t>江北区城乡排水管网数字化智能化管控平台（智慧排水工程）项目</w:t>
      </w:r>
      <w:r>
        <w:rPr>
          <w:highlight w:val="none"/>
        </w:rPr>
        <w:t>系统框架图</w:t>
      </w:r>
    </w:p>
    <w:p>
      <w:pPr>
        <w:numPr>
          <w:ilvl w:val="0"/>
          <w:numId w:val="9"/>
        </w:numPr>
        <w:spacing w:line="360" w:lineRule="auto"/>
        <w:ind w:left="0" w:firstLine="420" w:firstLineChars="200"/>
        <w:rPr>
          <w:highlight w:val="none"/>
        </w:rPr>
      </w:pPr>
      <w:r>
        <w:rPr>
          <w:highlight w:val="none"/>
        </w:rPr>
        <w:t>基础设施层是数据应用管理系统的基础保障。依托电子政务网、互联网等基础网络体系和浙江省一体化数字资源系统等支撑平台，为系统建设提供统一、高效、安全的计算能力、存储能力、网络传输能力、数据处理能力和安全保障能力。</w:t>
      </w:r>
    </w:p>
    <w:p>
      <w:pPr>
        <w:numPr>
          <w:ilvl w:val="0"/>
          <w:numId w:val="9"/>
        </w:numPr>
        <w:spacing w:line="360" w:lineRule="auto"/>
        <w:ind w:left="0" w:firstLine="420" w:firstLineChars="200"/>
        <w:rPr>
          <w:highlight w:val="none"/>
        </w:rPr>
      </w:pPr>
      <w:r>
        <w:rPr>
          <w:highlight w:val="none"/>
        </w:rPr>
        <w:t>数据资源层是数据应用管理系统的生产资料，是数据资源应用展示的基底。本项目通过底层物联设备采集数据和浙江省一体化数字资源系统获取相关业务协同数据，所获数据用于支撑本项目相关业务应用系统，是各系统参与计算并得出各项业务结果数据的必要前提。</w:t>
      </w:r>
    </w:p>
    <w:p>
      <w:pPr>
        <w:numPr>
          <w:ilvl w:val="0"/>
          <w:numId w:val="9"/>
        </w:numPr>
        <w:spacing w:line="360" w:lineRule="auto"/>
        <w:ind w:left="0" w:firstLine="420" w:firstLineChars="200"/>
        <w:rPr>
          <w:highlight w:val="none"/>
        </w:rPr>
      </w:pPr>
      <w:r>
        <w:rPr>
          <w:highlight w:val="none"/>
        </w:rPr>
        <w:t>应用支撑层是数据应用管理系统的超级工具箱，为各业务应用提供统一的、共享的、可复用的公共技术、业务和数据支撑能力。</w:t>
      </w:r>
    </w:p>
    <w:p>
      <w:pPr>
        <w:numPr>
          <w:ilvl w:val="0"/>
          <w:numId w:val="9"/>
        </w:numPr>
        <w:spacing w:line="360" w:lineRule="auto"/>
        <w:ind w:left="0" w:firstLine="420" w:firstLineChars="200"/>
        <w:rPr>
          <w:highlight w:val="none"/>
        </w:rPr>
      </w:pPr>
      <w:r>
        <w:rPr>
          <w:highlight w:val="none"/>
        </w:rPr>
        <w:t>业务应用层</w:t>
      </w:r>
    </w:p>
    <w:p>
      <w:pPr>
        <w:spacing w:line="360" w:lineRule="auto"/>
        <w:ind w:firstLine="420" w:firstLineChars="200"/>
        <w:rPr>
          <w:rFonts w:ascii="宋体" w:hAnsi="宋体" w:cs="宋体"/>
          <w:szCs w:val="21"/>
          <w:highlight w:val="none"/>
        </w:rPr>
      </w:pPr>
      <w:r>
        <w:rPr>
          <w:highlight w:val="none"/>
        </w:rPr>
        <w:t>业务应用层包含排水一张图、管理一平台以及</w:t>
      </w:r>
      <w:r>
        <w:rPr>
          <w:rFonts w:hint="eastAsia"/>
          <w:highlight w:val="none"/>
        </w:rPr>
        <w:t>移动</w:t>
      </w:r>
      <w:r>
        <w:rPr>
          <w:highlight w:val="none"/>
        </w:rPr>
        <w:t>端</w:t>
      </w:r>
      <w:r>
        <w:rPr>
          <w:rFonts w:hint="eastAsia"/>
          <w:highlight w:val="none"/>
        </w:rPr>
        <w:t>（浙政钉）</w:t>
      </w:r>
      <w:r>
        <w:rPr>
          <w:highlight w:val="none"/>
        </w:rPr>
        <w:t>。</w:t>
      </w:r>
    </w:p>
    <w:p>
      <w:pPr>
        <w:pStyle w:val="7"/>
        <w:tabs>
          <w:tab w:val="left" w:pos="2127"/>
        </w:tabs>
        <w:spacing w:before="0" w:after="0" w:line="360" w:lineRule="auto"/>
        <w:ind w:firstLine="420" w:firstLineChars="200"/>
        <w:rPr>
          <w:rFonts w:ascii="宋体" w:hAnsi="宋体" w:eastAsia="宋体" w:cs="宋体"/>
          <w:sz w:val="21"/>
          <w:szCs w:val="21"/>
          <w:highlight w:val="none"/>
        </w:rPr>
      </w:pPr>
      <w:r>
        <w:rPr>
          <w:rFonts w:hint="eastAsia" w:ascii="宋体" w:hAnsi="宋体" w:eastAsia="宋体" w:cs="宋体"/>
          <w:sz w:val="21"/>
          <w:szCs w:val="21"/>
          <w:highlight w:val="none"/>
        </w:rPr>
        <w:t>2.</w:t>
      </w:r>
      <w:bookmarkStart w:id="19" w:name="_Toc23358"/>
      <w:bookmarkStart w:id="20" w:name="_Toc2374"/>
      <w:r>
        <w:rPr>
          <w:rFonts w:hint="eastAsia" w:ascii="宋体" w:hAnsi="宋体" w:eastAsia="宋体" w:cs="宋体"/>
          <w:sz w:val="21"/>
          <w:szCs w:val="21"/>
          <w:highlight w:val="none"/>
        </w:rPr>
        <w:t>网络拓扑图</w:t>
      </w:r>
      <w:bookmarkEnd w:id="19"/>
      <w:bookmarkEnd w:id="20"/>
    </w:p>
    <w:p>
      <w:pPr>
        <w:pStyle w:val="7"/>
        <w:tabs>
          <w:tab w:val="left" w:pos="2127"/>
        </w:tabs>
        <w:spacing w:before="0" w:after="0" w:line="360" w:lineRule="auto"/>
        <w:ind w:firstLine="560" w:firstLineChars="200"/>
        <w:rPr>
          <w:rFonts w:ascii="宋体" w:hAnsi="宋体" w:eastAsia="宋体" w:cs="宋体"/>
          <w:sz w:val="21"/>
          <w:szCs w:val="21"/>
          <w:highlight w:val="none"/>
        </w:rPr>
      </w:pPr>
      <w:r>
        <w:rPr>
          <w:rFonts w:ascii="Times New Roman" w:hAnsi="Times New Roman"/>
          <w:highlight w:val="none"/>
        </w:rPr>
        <w:object>
          <v:shape id="_x0000_i1025" o:spt="75" type="#_x0000_t75" style="height:624.15pt;width:415.55pt;" o:ole="t" filled="f" o:preferrelative="t" stroked="f" coordsize="21600,21600">
            <v:path/>
            <v:fill on="f" focussize="0,0"/>
            <v:stroke on="f" joinstyle="miter"/>
            <v:imagedata r:id="rId16" o:title=""/>
            <o:lock v:ext="edit" aspectratio="f"/>
            <w10:wrap type="none"/>
            <w10:anchorlock/>
          </v:shape>
          <o:OLEObject Type="Embed" ProgID="Visio.Drawing.11" ShapeID="_x0000_i1025" DrawAspect="Content" ObjectID="_1468075725" r:id="rId15">
            <o:LockedField>false</o:LockedField>
          </o:OLEObject>
        </w:object>
      </w:r>
    </w:p>
    <w:p>
      <w:pPr>
        <w:pStyle w:val="7"/>
        <w:tabs>
          <w:tab w:val="left" w:pos="2127"/>
        </w:tabs>
        <w:spacing w:before="0" w:after="0" w:line="360" w:lineRule="auto"/>
        <w:ind w:firstLine="420" w:firstLineChars="200"/>
        <w:rPr>
          <w:rFonts w:ascii="宋体" w:hAnsi="宋体" w:eastAsia="宋体" w:cs="宋体"/>
          <w:sz w:val="21"/>
          <w:szCs w:val="21"/>
          <w:highlight w:val="none"/>
        </w:rPr>
      </w:pPr>
    </w:p>
    <w:p>
      <w:pPr>
        <w:pStyle w:val="7"/>
        <w:tabs>
          <w:tab w:val="left" w:pos="2127"/>
        </w:tabs>
        <w:spacing w:before="0" w:after="0" w:line="360" w:lineRule="auto"/>
        <w:ind w:firstLine="420" w:firstLineChars="200"/>
        <w:rPr>
          <w:rFonts w:ascii="宋体" w:hAnsi="宋体" w:eastAsia="宋体" w:cs="宋体"/>
          <w:sz w:val="21"/>
          <w:szCs w:val="21"/>
          <w:highlight w:val="none"/>
        </w:rPr>
      </w:pPr>
      <w:r>
        <w:rPr>
          <w:rFonts w:hint="eastAsia" w:ascii="宋体" w:hAnsi="宋体" w:eastAsia="宋体" w:cs="宋体"/>
          <w:sz w:val="21"/>
          <w:szCs w:val="21"/>
          <w:highlight w:val="none"/>
        </w:rPr>
        <w:t>3.</w:t>
      </w:r>
      <w:bookmarkStart w:id="21" w:name="_Toc13569"/>
      <w:bookmarkStart w:id="22" w:name="_Toc2603"/>
      <w:r>
        <w:rPr>
          <w:rFonts w:hint="eastAsia" w:ascii="宋体" w:hAnsi="宋体" w:eastAsia="宋体" w:cs="宋体"/>
          <w:sz w:val="21"/>
          <w:szCs w:val="21"/>
          <w:highlight w:val="none"/>
        </w:rPr>
        <w:t>业务协同</w:t>
      </w:r>
      <w:bookmarkEnd w:id="21"/>
      <w:bookmarkEnd w:id="22"/>
    </w:p>
    <w:p>
      <w:pPr>
        <w:spacing w:line="360" w:lineRule="auto"/>
        <w:ind w:firstLine="420" w:firstLineChars="200"/>
        <w:rPr>
          <w:highlight w:val="none"/>
        </w:rPr>
      </w:pPr>
      <w:r>
        <w:rPr>
          <w:highlight w:val="none"/>
        </w:rPr>
        <w:object>
          <v:shape id="_x0000_i1026" o:spt="75" type="#_x0000_t75" style="height:226.75pt;width:415.2pt;" o:ole="t" filled="f" o:preferrelative="t" stroked="f" coordsize="21600,21600">
            <v:path/>
            <v:fill on="f" focussize="0,0"/>
            <v:stroke on="f" joinstyle="miter"/>
            <v:imagedata r:id="rId18" o:title=""/>
            <o:lock v:ext="edit" aspectratio="f"/>
            <w10:wrap type="none"/>
            <w10:anchorlock/>
          </v:shape>
          <o:OLEObject Type="Embed" ProgID="Visio.Drawing.11" ShapeID="_x0000_i1026" DrawAspect="Content" ObjectID="_1468075726" r:id="rId17">
            <o:LockedField>false</o:LockedField>
          </o:OLEObject>
        </w:object>
      </w:r>
    </w:p>
    <w:p>
      <w:pPr>
        <w:spacing w:line="360" w:lineRule="auto"/>
        <w:ind w:firstLine="420" w:firstLineChars="200"/>
        <w:jc w:val="center"/>
        <w:rPr>
          <w:b/>
          <w:bCs/>
          <w:highlight w:val="none"/>
        </w:rPr>
      </w:pPr>
      <w:r>
        <w:rPr>
          <w:b/>
          <w:bCs/>
          <w:highlight w:val="none"/>
        </w:rPr>
        <w:t>系统对接流转图</w:t>
      </w:r>
    </w:p>
    <w:p>
      <w:pPr>
        <w:pStyle w:val="23"/>
        <w:spacing w:line="360" w:lineRule="auto"/>
        <w:ind w:firstLine="420" w:firstLineChars="200"/>
        <w:jc w:val="center"/>
        <w:rPr>
          <w:highlight w:val="none"/>
        </w:rPr>
      </w:pPr>
      <w:r>
        <w:rPr>
          <w:highlight w:val="none"/>
        </w:rPr>
        <w:object>
          <v:shape id="_x0000_i1027" o:spt="75" type="#_x0000_t75" style="height:214.8pt;width:350.1pt;" o:ole="t" filled="f" o:preferrelative="t" stroked="f" coordsize="21600,21600">
            <v:path/>
            <v:fill on="f" focussize="0,0"/>
            <v:stroke on="f" joinstyle="miter"/>
            <v:imagedata r:id="rId20" o:title=""/>
            <o:lock v:ext="edit" aspectratio="f"/>
            <w10:wrap type="none"/>
            <w10:anchorlock/>
          </v:shape>
          <o:OLEObject Type="Embed" ProgID="Visio.Drawing.11" ShapeID="_x0000_i1027" DrawAspect="Content" ObjectID="_1468075727" r:id="rId19">
            <o:LockedField>false</o:LockedField>
          </o:OLEObject>
        </w:object>
      </w:r>
    </w:p>
    <w:p>
      <w:pPr>
        <w:spacing w:line="360" w:lineRule="auto"/>
        <w:ind w:firstLine="420" w:firstLineChars="200"/>
        <w:jc w:val="center"/>
        <w:rPr>
          <w:szCs w:val="21"/>
          <w:highlight w:val="none"/>
        </w:rPr>
      </w:pPr>
      <w:r>
        <w:rPr>
          <w:b/>
          <w:bCs/>
          <w:highlight w:val="none"/>
        </w:rPr>
        <w:t>业务协同</w:t>
      </w:r>
    </w:p>
    <w:p>
      <w:pPr>
        <w:pStyle w:val="5"/>
        <w:tabs>
          <w:tab w:val="left" w:pos="100"/>
          <w:tab w:val="left" w:pos="709"/>
        </w:tabs>
        <w:spacing w:before="0" w:after="0" w:line="360" w:lineRule="auto"/>
        <w:jc w:val="lef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一）</w:t>
      </w:r>
      <w:bookmarkStart w:id="23" w:name="_Toc4415"/>
      <w:bookmarkStart w:id="24" w:name="_Toc2120"/>
      <w:r>
        <w:rPr>
          <w:rFonts w:hint="eastAsia" w:ascii="微软雅黑" w:hAnsi="微软雅黑" w:eastAsia="微软雅黑" w:cs="微软雅黑"/>
          <w:sz w:val="21"/>
          <w:szCs w:val="21"/>
          <w:highlight w:val="none"/>
        </w:rPr>
        <w:t>业务应用层</w:t>
      </w:r>
      <w:bookmarkEnd w:id="23"/>
      <w:bookmarkEnd w:id="24"/>
    </w:p>
    <w:p>
      <w:pPr>
        <w:pStyle w:val="6"/>
        <w:tabs>
          <w:tab w:val="left" w:pos="425"/>
          <w:tab w:val="left" w:pos="851"/>
          <w:tab w:val="left" w:pos="1418"/>
        </w:tabs>
        <w:spacing w:before="0" w:after="0"/>
        <w:ind w:firstLine="420" w:firstLineChars="200"/>
        <w:rPr>
          <w:rFonts w:ascii="Times New Roman" w:hAnsi="Times New Roman"/>
          <w:highlight w:val="none"/>
        </w:rPr>
      </w:pPr>
      <w:r>
        <w:rPr>
          <w:rFonts w:hint="eastAsia"/>
          <w:szCs w:val="21"/>
          <w:highlight w:val="none"/>
        </w:rPr>
        <w:t>1.</w:t>
      </w:r>
      <w:r>
        <w:rPr>
          <w:rFonts w:ascii="Times New Roman" w:hAnsi="Times New Roman"/>
          <w:highlight w:val="none"/>
        </w:rPr>
        <w:t>智慧排水可视化应用</w:t>
      </w:r>
      <w:r>
        <w:rPr>
          <w:rFonts w:hint="eastAsia"/>
          <w:highlight w:val="none"/>
        </w:rPr>
        <w:t>（排水一张图）</w:t>
      </w:r>
    </w:p>
    <w:p>
      <w:pPr>
        <w:spacing w:line="360" w:lineRule="auto"/>
        <w:ind w:firstLine="420" w:firstLineChars="200"/>
        <w:rPr>
          <w:rFonts w:ascii="宋体" w:hAnsi="宋体" w:cs="宋体"/>
          <w:highlight w:val="none"/>
        </w:rPr>
      </w:pPr>
      <w:r>
        <w:rPr>
          <w:rFonts w:hint="eastAsia" w:ascii="宋体" w:hAnsi="宋体" w:cs="宋体"/>
          <w:highlight w:val="none"/>
        </w:rPr>
        <w:t>将排水行业管理的相关数据包括排水静态数据、排水动态数据、排水业务数据和排水专题数据，通过丰富的图、表、数字孪生应用，BIM+GIS融合，主要包括管网GIS系统与 BIM 模型融合等可视化手段展示，为日常业务人员提供更为直接和方便的可视化工具——排水一张图。</w:t>
      </w:r>
    </w:p>
    <w:p>
      <w:pPr>
        <w:spacing w:line="360" w:lineRule="auto"/>
        <w:ind w:firstLine="420" w:firstLineChars="200"/>
        <w:rPr>
          <w:rFonts w:ascii="宋体" w:hAnsi="宋体" w:cs="宋体"/>
          <w:highlight w:val="none"/>
        </w:rPr>
      </w:pPr>
      <w:r>
        <w:rPr>
          <w:rFonts w:hint="eastAsia" w:ascii="宋体" w:hAnsi="宋体" w:cs="宋体"/>
          <w:highlight w:val="none"/>
        </w:rPr>
        <w:t>支持多个主题的大屏数据展现，并根据现场的大屏长宽比（32:9和16:9）进行适配开发。</w:t>
      </w:r>
    </w:p>
    <w:p>
      <w:pPr>
        <w:pStyle w:val="7"/>
        <w:tabs>
          <w:tab w:val="left" w:pos="100"/>
          <w:tab w:val="left" w:pos="425"/>
          <w:tab w:val="left" w:pos="993"/>
          <w:tab w:val="left" w:pos="1418"/>
        </w:tabs>
        <w:spacing w:before="0" w:after="0" w:line="360" w:lineRule="auto"/>
        <w:ind w:firstLine="420" w:firstLineChars="200"/>
        <w:rPr>
          <w:rFonts w:ascii="宋体" w:hAnsi="宋体" w:eastAsia="宋体" w:cs="宋体"/>
          <w:sz w:val="21"/>
          <w:szCs w:val="21"/>
          <w:highlight w:val="none"/>
        </w:rPr>
      </w:pPr>
      <w:r>
        <w:rPr>
          <w:rFonts w:hint="eastAsia" w:ascii="宋体" w:hAnsi="宋体" w:eastAsia="宋体" w:cs="宋体"/>
          <w:sz w:val="21"/>
          <w:szCs w:val="21"/>
          <w:highlight w:val="none"/>
        </w:rPr>
        <w:t>1.1基础功能</w:t>
      </w:r>
    </w:p>
    <w:p>
      <w:pPr>
        <w:pStyle w:val="8"/>
        <w:tabs>
          <w:tab w:val="left" w:pos="100"/>
          <w:tab w:val="left" w:pos="425"/>
          <w:tab w:val="left" w:pos="1134"/>
          <w:tab w:val="left" w:pos="1418"/>
        </w:tabs>
        <w:spacing w:before="0" w:after="0"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 xml:space="preserve">1.1.1 数字孪生应用 </w:t>
      </w:r>
    </w:p>
    <w:p>
      <w:pPr>
        <w:spacing w:line="360" w:lineRule="auto"/>
        <w:ind w:firstLine="420" w:firstLineChars="200"/>
        <w:rPr>
          <w:szCs w:val="21"/>
          <w:highlight w:val="none"/>
        </w:rPr>
      </w:pPr>
      <w:r>
        <w:rPr>
          <w:rFonts w:hint="eastAsia"/>
          <w:szCs w:val="21"/>
          <w:highlight w:val="none"/>
        </w:rPr>
        <w:t>数字孪生应用通过建设江北区地下管网三维模型，集成融合多源异构的城市运行全要素数据，打造江北区数字孪生基座，实现全要素数据的二三维深度融合及各类时空信息数据的互联互通与共建共享。</w:t>
      </w:r>
    </w:p>
    <w:p>
      <w:pPr>
        <w:spacing w:line="360" w:lineRule="auto"/>
        <w:ind w:firstLine="420" w:firstLineChars="200"/>
        <w:rPr>
          <w:szCs w:val="21"/>
          <w:highlight w:val="none"/>
        </w:rPr>
      </w:pPr>
      <w:r>
        <w:rPr>
          <w:rFonts w:hint="eastAsia"/>
          <w:szCs w:val="21"/>
          <w:highlight w:val="none"/>
        </w:rPr>
        <w:t>本次建设江北区地下管网三维模型和全要素数据融合。其中全空间三维建模根据排水管网数据等，完成全要素实景三维单体化建模。全要素融合基于一体化公共数据平台，实现多源异构城市运行大数据的融合接入，包括汇聚融合江北区最新的精细地图、业务实体对象模型、等各类基础时空数据，同时接入物联网设备数据、事件数据、分析数据等，形成江北区全要素数据底板。</w:t>
      </w:r>
    </w:p>
    <w:p>
      <w:pPr>
        <w:spacing w:line="360" w:lineRule="auto"/>
        <w:ind w:firstLine="420" w:firstLineChars="200"/>
        <w:rPr>
          <w:szCs w:val="21"/>
          <w:highlight w:val="none"/>
        </w:rPr>
      </w:pPr>
      <w:r>
        <w:rPr>
          <w:rFonts w:hint="eastAsia"/>
          <w:szCs w:val="21"/>
          <w:highlight w:val="none"/>
        </w:rPr>
        <w:t xml:space="preserve">时空分析支撑需为其他系统提供时空地理数据处理工具集和开发工具集，涵盖孪生实体处理的支撑套件、数据分析服务等专业、综合能力，以此来保证系统的运营人员能够独立完成数据的处理、分析、挖掘、二三维融合表达等，并提供全流程的、完善、专业的时空数据处理分析和表达、专题图设计能力。 </w:t>
      </w:r>
    </w:p>
    <w:p>
      <w:pPr>
        <w:spacing w:line="360" w:lineRule="auto"/>
        <w:ind w:firstLine="420" w:firstLineChars="200"/>
        <w:rPr>
          <w:szCs w:val="21"/>
          <w:highlight w:val="none"/>
        </w:rPr>
      </w:pPr>
      <w:r>
        <w:rPr>
          <w:rFonts w:hint="eastAsia"/>
          <w:szCs w:val="21"/>
          <w:highlight w:val="none"/>
        </w:rPr>
        <w:t xml:space="preserve">三维孪生建模需通过孪生场景搭建、要素模型构建、模型管理以及中间件服务等，对 </w:t>
      </w:r>
      <w:r>
        <w:rPr>
          <w:szCs w:val="21"/>
          <w:highlight w:val="none"/>
        </w:rPr>
        <w:t xml:space="preserve">3D </w:t>
      </w:r>
      <w:r>
        <w:rPr>
          <w:rFonts w:hint="eastAsia"/>
          <w:szCs w:val="21"/>
          <w:highlight w:val="none"/>
        </w:rPr>
        <w:t xml:space="preserve">模型等进行城市管网还原，并在三维孪生数字世界中进行三维仿真设计、光照贴图设计等，支撑实现江北区基础结构场景、实时数据等在数字世界里的镜像孪生。 </w:t>
      </w:r>
    </w:p>
    <w:p>
      <w:pPr>
        <w:spacing w:line="360" w:lineRule="auto"/>
        <w:ind w:firstLine="420" w:firstLineChars="200"/>
        <w:rPr>
          <w:szCs w:val="21"/>
          <w:highlight w:val="none"/>
        </w:rPr>
      </w:pPr>
      <w:r>
        <w:rPr>
          <w:szCs w:val="21"/>
          <w:highlight w:val="none"/>
        </w:rPr>
        <w:t xml:space="preserve"> </w:t>
      </w:r>
      <w:r>
        <w:rPr>
          <w:rFonts w:hint="eastAsia"/>
          <w:szCs w:val="21"/>
          <w:highlight w:val="none"/>
        </w:rPr>
        <w:t xml:space="preserve">建筑建模 </w:t>
      </w:r>
    </w:p>
    <w:p>
      <w:pPr>
        <w:spacing w:line="360" w:lineRule="auto"/>
        <w:ind w:firstLine="420" w:firstLineChars="200"/>
        <w:rPr>
          <w:szCs w:val="21"/>
          <w:highlight w:val="none"/>
        </w:rPr>
      </w:pPr>
      <w:r>
        <w:rPr>
          <w:rFonts w:hint="eastAsia"/>
          <w:szCs w:val="21"/>
          <w:highlight w:val="none"/>
        </w:rPr>
        <w:t>建模精度：</w:t>
      </w:r>
      <w:r>
        <w:rPr>
          <w:szCs w:val="21"/>
          <w:highlight w:val="none"/>
        </w:rPr>
        <w:t>20cm</w:t>
      </w:r>
      <w:r>
        <w:rPr>
          <w:rFonts w:hint="eastAsia"/>
          <w:szCs w:val="21"/>
          <w:highlight w:val="none"/>
        </w:rPr>
        <w:t xml:space="preserve">； </w:t>
      </w:r>
    </w:p>
    <w:p>
      <w:pPr>
        <w:spacing w:line="360" w:lineRule="auto"/>
        <w:ind w:firstLine="420" w:firstLineChars="200"/>
        <w:rPr>
          <w:szCs w:val="21"/>
          <w:highlight w:val="none"/>
        </w:rPr>
      </w:pPr>
      <w:r>
        <w:rPr>
          <w:rFonts w:hint="eastAsia"/>
          <w:szCs w:val="21"/>
          <w:highlight w:val="none"/>
        </w:rPr>
        <w:t>建模面数：</w:t>
      </w:r>
      <w:r>
        <w:rPr>
          <w:szCs w:val="21"/>
          <w:highlight w:val="none"/>
        </w:rPr>
        <w:t xml:space="preserve">60000 </w:t>
      </w:r>
      <w:r>
        <w:rPr>
          <w:rFonts w:hint="eastAsia"/>
          <w:szCs w:val="21"/>
          <w:highlight w:val="none"/>
        </w:rPr>
        <w:t>以内</w:t>
      </w:r>
      <w:r>
        <w:rPr>
          <w:szCs w:val="21"/>
          <w:highlight w:val="none"/>
        </w:rPr>
        <w:t>/</w:t>
      </w:r>
      <w:r>
        <w:rPr>
          <w:rFonts w:hint="eastAsia"/>
          <w:szCs w:val="21"/>
          <w:highlight w:val="none"/>
        </w:rPr>
        <w:t xml:space="preserve">建筑物； </w:t>
      </w:r>
    </w:p>
    <w:p>
      <w:pPr>
        <w:spacing w:line="360" w:lineRule="auto"/>
        <w:ind w:firstLine="420" w:firstLineChars="200"/>
        <w:rPr>
          <w:szCs w:val="21"/>
          <w:highlight w:val="none"/>
        </w:rPr>
      </w:pPr>
      <w:r>
        <w:rPr>
          <w:rFonts w:hint="eastAsia"/>
          <w:szCs w:val="21"/>
          <w:highlight w:val="none"/>
        </w:rPr>
        <w:t>物理材质：漫反射</w:t>
      </w:r>
      <w:r>
        <w:rPr>
          <w:szCs w:val="21"/>
          <w:highlight w:val="none"/>
        </w:rPr>
        <w:t>+</w:t>
      </w:r>
      <w:r>
        <w:rPr>
          <w:rFonts w:hint="eastAsia"/>
          <w:szCs w:val="21"/>
          <w:highlight w:val="none"/>
        </w:rPr>
        <w:t>粗糙度</w:t>
      </w:r>
      <w:r>
        <w:rPr>
          <w:szCs w:val="21"/>
          <w:highlight w:val="none"/>
        </w:rPr>
        <w:t>+</w:t>
      </w:r>
      <w:r>
        <w:rPr>
          <w:rFonts w:hint="eastAsia"/>
          <w:szCs w:val="21"/>
          <w:highlight w:val="none"/>
        </w:rPr>
        <w:t>金属感</w:t>
      </w:r>
      <w:r>
        <w:rPr>
          <w:szCs w:val="21"/>
          <w:highlight w:val="none"/>
        </w:rPr>
        <w:t>+</w:t>
      </w:r>
      <w:r>
        <w:rPr>
          <w:rFonts w:hint="eastAsia"/>
          <w:szCs w:val="21"/>
          <w:highlight w:val="none"/>
        </w:rPr>
        <w:t xml:space="preserve">光线图； </w:t>
      </w:r>
    </w:p>
    <w:p>
      <w:pPr>
        <w:spacing w:line="360" w:lineRule="auto"/>
        <w:ind w:firstLine="420" w:firstLineChars="200"/>
        <w:rPr>
          <w:szCs w:val="21"/>
          <w:highlight w:val="none"/>
        </w:rPr>
      </w:pPr>
      <w:r>
        <w:rPr>
          <w:rFonts w:hint="eastAsia"/>
          <w:szCs w:val="21"/>
          <w:highlight w:val="none"/>
        </w:rPr>
        <w:t xml:space="preserve">建筑结构还原内容：包括几何信息（尺寸、位置、颜色），屋顶结构，建 </w:t>
      </w:r>
    </w:p>
    <w:p>
      <w:pPr>
        <w:spacing w:line="360" w:lineRule="auto"/>
        <w:ind w:firstLine="420" w:firstLineChars="200"/>
        <w:rPr>
          <w:szCs w:val="21"/>
          <w:highlight w:val="none"/>
        </w:rPr>
      </w:pPr>
      <w:r>
        <w:rPr>
          <w:rFonts w:hint="eastAsia"/>
          <w:szCs w:val="21"/>
          <w:highlight w:val="none"/>
        </w:rPr>
        <w:t xml:space="preserve">筑转折面，建筑与地面交界的铺地、台阶、出入口等，以及建筑的附属元素 </w:t>
      </w:r>
    </w:p>
    <w:p>
      <w:pPr>
        <w:spacing w:line="360" w:lineRule="auto"/>
        <w:ind w:firstLine="420" w:firstLineChars="200"/>
        <w:rPr>
          <w:szCs w:val="21"/>
          <w:highlight w:val="none"/>
        </w:rPr>
      </w:pPr>
      <w:r>
        <w:rPr>
          <w:rFonts w:hint="eastAsia"/>
          <w:szCs w:val="21"/>
          <w:highlight w:val="none"/>
        </w:rPr>
        <w:t>（大门、围墙等）。</w:t>
      </w:r>
    </w:p>
    <w:p>
      <w:pPr>
        <w:spacing w:line="360" w:lineRule="auto"/>
        <w:ind w:firstLine="420" w:firstLineChars="200"/>
        <w:rPr>
          <w:szCs w:val="21"/>
          <w:highlight w:val="none"/>
        </w:rPr>
      </w:pPr>
      <w:r>
        <w:rPr>
          <w:rFonts w:hint="eastAsia"/>
          <w:szCs w:val="21"/>
          <w:highlight w:val="none"/>
        </w:rPr>
        <w:t>墙体贴图数：</w:t>
      </w:r>
      <w:r>
        <w:rPr>
          <w:szCs w:val="21"/>
          <w:highlight w:val="none"/>
        </w:rPr>
        <w:t>5</w:t>
      </w:r>
      <w:r>
        <w:rPr>
          <w:rFonts w:hint="eastAsia"/>
          <w:szCs w:val="21"/>
          <w:highlight w:val="none"/>
        </w:rPr>
        <w:t xml:space="preserve">； </w:t>
      </w:r>
    </w:p>
    <w:p>
      <w:pPr>
        <w:spacing w:line="360" w:lineRule="auto"/>
        <w:ind w:firstLine="420" w:firstLineChars="200"/>
        <w:rPr>
          <w:szCs w:val="21"/>
          <w:highlight w:val="none"/>
        </w:rPr>
      </w:pPr>
      <w:r>
        <w:rPr>
          <w:rFonts w:hint="eastAsia"/>
          <w:szCs w:val="21"/>
          <w:highlight w:val="none"/>
        </w:rPr>
        <w:t>墙体物理材质：粗糙度、基础色、法线、</w:t>
      </w:r>
      <w:r>
        <w:rPr>
          <w:szCs w:val="21"/>
          <w:highlight w:val="none"/>
        </w:rPr>
        <w:t>AO</w:t>
      </w:r>
      <w:r>
        <w:rPr>
          <w:rFonts w:hint="eastAsia"/>
          <w:szCs w:val="21"/>
          <w:highlight w:val="none"/>
        </w:rPr>
        <w:t xml:space="preserve">、置换； </w:t>
      </w:r>
    </w:p>
    <w:p>
      <w:pPr>
        <w:spacing w:line="360" w:lineRule="auto"/>
        <w:ind w:firstLine="420" w:firstLineChars="200"/>
        <w:rPr>
          <w:szCs w:val="21"/>
          <w:highlight w:val="none"/>
        </w:rPr>
      </w:pPr>
      <w:r>
        <w:rPr>
          <w:rFonts w:hint="eastAsia"/>
          <w:szCs w:val="21"/>
          <w:highlight w:val="none"/>
        </w:rPr>
        <w:t>路面贴图数：</w:t>
      </w:r>
      <w:r>
        <w:rPr>
          <w:szCs w:val="21"/>
          <w:highlight w:val="none"/>
        </w:rPr>
        <w:t>5</w:t>
      </w:r>
      <w:r>
        <w:rPr>
          <w:rFonts w:hint="eastAsia"/>
          <w:szCs w:val="21"/>
          <w:highlight w:val="none"/>
        </w:rPr>
        <w:t xml:space="preserve">； </w:t>
      </w:r>
    </w:p>
    <w:p>
      <w:pPr>
        <w:spacing w:line="360" w:lineRule="auto"/>
        <w:ind w:firstLine="420" w:firstLineChars="200"/>
        <w:rPr>
          <w:szCs w:val="21"/>
          <w:highlight w:val="none"/>
        </w:rPr>
      </w:pPr>
      <w:r>
        <w:rPr>
          <w:rFonts w:hint="eastAsia"/>
          <w:szCs w:val="21"/>
          <w:highlight w:val="none"/>
        </w:rPr>
        <w:t>路面物理材质：粗糙度、基础色、法线、</w:t>
      </w:r>
      <w:r>
        <w:rPr>
          <w:szCs w:val="21"/>
          <w:highlight w:val="none"/>
        </w:rPr>
        <w:t>AO</w:t>
      </w:r>
      <w:r>
        <w:rPr>
          <w:rFonts w:hint="eastAsia"/>
          <w:szCs w:val="21"/>
          <w:highlight w:val="none"/>
        </w:rPr>
        <w:t xml:space="preserve">、置换； </w:t>
      </w:r>
    </w:p>
    <w:p>
      <w:pPr>
        <w:spacing w:line="360" w:lineRule="auto"/>
        <w:ind w:firstLine="420" w:firstLineChars="200"/>
        <w:rPr>
          <w:szCs w:val="21"/>
          <w:highlight w:val="none"/>
        </w:rPr>
      </w:pPr>
      <w:r>
        <w:rPr>
          <w:rFonts w:hint="eastAsia"/>
          <w:szCs w:val="21"/>
          <w:highlight w:val="none"/>
        </w:rPr>
        <w:t>台阶贴图数：</w:t>
      </w:r>
      <w:r>
        <w:rPr>
          <w:szCs w:val="21"/>
          <w:highlight w:val="none"/>
        </w:rPr>
        <w:t>5</w:t>
      </w:r>
      <w:r>
        <w:rPr>
          <w:rFonts w:hint="eastAsia"/>
          <w:szCs w:val="21"/>
          <w:highlight w:val="none"/>
        </w:rPr>
        <w:t xml:space="preserve">； </w:t>
      </w:r>
    </w:p>
    <w:p>
      <w:pPr>
        <w:spacing w:line="360" w:lineRule="auto"/>
        <w:ind w:firstLine="420" w:firstLineChars="200"/>
        <w:rPr>
          <w:szCs w:val="21"/>
          <w:highlight w:val="none"/>
        </w:rPr>
      </w:pPr>
      <w:r>
        <w:rPr>
          <w:rFonts w:hint="eastAsia"/>
          <w:szCs w:val="21"/>
          <w:highlight w:val="none"/>
        </w:rPr>
        <w:t>台阶物理材质：粗糙度、基础色、法线、</w:t>
      </w:r>
      <w:r>
        <w:rPr>
          <w:szCs w:val="21"/>
          <w:highlight w:val="none"/>
        </w:rPr>
        <w:t>AO</w:t>
      </w:r>
      <w:r>
        <w:rPr>
          <w:rFonts w:hint="eastAsia"/>
          <w:szCs w:val="21"/>
          <w:highlight w:val="none"/>
        </w:rPr>
        <w:t xml:space="preserve">、置换； </w:t>
      </w:r>
    </w:p>
    <w:p>
      <w:pPr>
        <w:spacing w:line="360" w:lineRule="auto"/>
        <w:ind w:firstLine="420" w:firstLineChars="200"/>
        <w:rPr>
          <w:szCs w:val="21"/>
          <w:highlight w:val="none"/>
        </w:rPr>
      </w:pPr>
      <w:r>
        <w:rPr>
          <w:rFonts w:hint="eastAsia"/>
          <w:szCs w:val="21"/>
          <w:highlight w:val="none"/>
        </w:rPr>
        <w:t>门窗贴图数：</w:t>
      </w:r>
      <w:r>
        <w:rPr>
          <w:szCs w:val="21"/>
          <w:highlight w:val="none"/>
        </w:rPr>
        <w:t>2</w:t>
      </w:r>
      <w:r>
        <w:rPr>
          <w:rFonts w:hint="eastAsia"/>
          <w:szCs w:val="21"/>
          <w:highlight w:val="none"/>
        </w:rPr>
        <w:t xml:space="preserve">； </w:t>
      </w:r>
    </w:p>
    <w:p>
      <w:pPr>
        <w:spacing w:line="360" w:lineRule="auto"/>
        <w:ind w:firstLine="420" w:firstLineChars="200"/>
        <w:rPr>
          <w:szCs w:val="21"/>
          <w:highlight w:val="none"/>
        </w:rPr>
      </w:pPr>
      <w:r>
        <w:rPr>
          <w:rFonts w:hint="eastAsia"/>
          <w:szCs w:val="21"/>
          <w:highlight w:val="none"/>
        </w:rPr>
        <w:t>栏杆贴图数：</w:t>
      </w:r>
      <w:r>
        <w:rPr>
          <w:szCs w:val="21"/>
          <w:highlight w:val="none"/>
        </w:rPr>
        <w:t>5</w:t>
      </w:r>
      <w:r>
        <w:rPr>
          <w:rFonts w:hint="eastAsia"/>
          <w:szCs w:val="21"/>
          <w:highlight w:val="none"/>
        </w:rPr>
        <w:t xml:space="preserve">； </w:t>
      </w:r>
    </w:p>
    <w:p>
      <w:pPr>
        <w:spacing w:line="360" w:lineRule="auto"/>
        <w:ind w:firstLine="420" w:firstLineChars="200"/>
        <w:rPr>
          <w:szCs w:val="21"/>
          <w:highlight w:val="none"/>
        </w:rPr>
      </w:pPr>
      <w:r>
        <w:rPr>
          <w:rFonts w:hint="eastAsia"/>
          <w:szCs w:val="21"/>
          <w:highlight w:val="none"/>
        </w:rPr>
        <w:t>栏杆物理材质：粗糙度、基础色、法线、</w:t>
      </w:r>
      <w:r>
        <w:rPr>
          <w:szCs w:val="21"/>
          <w:highlight w:val="none"/>
        </w:rPr>
        <w:t>AO</w:t>
      </w:r>
      <w:r>
        <w:rPr>
          <w:rFonts w:hint="eastAsia"/>
          <w:szCs w:val="21"/>
          <w:highlight w:val="none"/>
        </w:rPr>
        <w:t xml:space="preserve">、置换； </w:t>
      </w:r>
    </w:p>
    <w:p>
      <w:pPr>
        <w:spacing w:line="360" w:lineRule="auto"/>
        <w:ind w:firstLine="420" w:firstLineChars="200"/>
        <w:rPr>
          <w:szCs w:val="21"/>
          <w:highlight w:val="none"/>
        </w:rPr>
      </w:pPr>
      <w:r>
        <w:rPr>
          <w:rFonts w:hint="eastAsia"/>
          <w:szCs w:val="21"/>
          <w:highlight w:val="none"/>
        </w:rPr>
        <w:t>栏杆面数：</w:t>
      </w:r>
      <w:r>
        <w:rPr>
          <w:szCs w:val="21"/>
          <w:highlight w:val="none"/>
        </w:rPr>
        <w:t>10000+</w:t>
      </w:r>
      <w:r>
        <w:rPr>
          <w:rFonts w:hint="eastAsia"/>
          <w:szCs w:val="21"/>
          <w:highlight w:val="none"/>
        </w:rPr>
        <w:t xml:space="preserve">； </w:t>
      </w:r>
    </w:p>
    <w:p>
      <w:pPr>
        <w:spacing w:line="360" w:lineRule="auto"/>
        <w:ind w:firstLine="420" w:firstLineChars="200"/>
        <w:rPr>
          <w:szCs w:val="21"/>
          <w:highlight w:val="none"/>
        </w:rPr>
      </w:pPr>
      <w:r>
        <w:rPr>
          <w:rFonts w:hint="eastAsia"/>
          <w:szCs w:val="21"/>
          <w:highlight w:val="none"/>
        </w:rPr>
        <w:t>地面贴图数：</w:t>
      </w:r>
      <w:r>
        <w:rPr>
          <w:szCs w:val="21"/>
          <w:highlight w:val="none"/>
        </w:rPr>
        <w:t>5</w:t>
      </w:r>
      <w:r>
        <w:rPr>
          <w:rFonts w:hint="eastAsia"/>
          <w:szCs w:val="21"/>
          <w:highlight w:val="none"/>
        </w:rPr>
        <w:t xml:space="preserve">； </w:t>
      </w:r>
    </w:p>
    <w:p>
      <w:pPr>
        <w:spacing w:line="360" w:lineRule="auto"/>
        <w:ind w:firstLine="420" w:firstLineChars="200"/>
        <w:rPr>
          <w:szCs w:val="21"/>
          <w:highlight w:val="none"/>
        </w:rPr>
      </w:pPr>
      <w:r>
        <w:rPr>
          <w:rFonts w:hint="eastAsia"/>
          <w:szCs w:val="21"/>
          <w:highlight w:val="none"/>
        </w:rPr>
        <w:t>地面物理材质：粗糙度、基础色、法线、</w:t>
      </w:r>
      <w:r>
        <w:rPr>
          <w:szCs w:val="21"/>
          <w:highlight w:val="none"/>
        </w:rPr>
        <w:t>AO</w:t>
      </w:r>
      <w:r>
        <w:rPr>
          <w:rFonts w:hint="eastAsia"/>
          <w:szCs w:val="21"/>
          <w:highlight w:val="none"/>
        </w:rPr>
        <w:t xml:space="preserve">、置换。 </w:t>
      </w:r>
    </w:p>
    <w:p>
      <w:pPr>
        <w:spacing w:line="360" w:lineRule="auto"/>
        <w:ind w:firstLine="420" w:firstLineChars="200"/>
        <w:rPr>
          <w:szCs w:val="21"/>
          <w:highlight w:val="none"/>
        </w:rPr>
      </w:pPr>
      <w:r>
        <w:rPr>
          <w:rFonts w:hint="eastAsia"/>
          <w:szCs w:val="21"/>
          <w:highlight w:val="none"/>
        </w:rPr>
        <w:t xml:space="preserve"> 重要设备建模 </w:t>
      </w:r>
    </w:p>
    <w:p>
      <w:pPr>
        <w:spacing w:line="360" w:lineRule="auto"/>
        <w:ind w:firstLine="420" w:firstLineChars="200"/>
        <w:rPr>
          <w:szCs w:val="21"/>
          <w:highlight w:val="none"/>
        </w:rPr>
      </w:pPr>
      <w:r>
        <w:rPr>
          <w:rFonts w:hint="eastAsia"/>
          <w:szCs w:val="21"/>
          <w:highlight w:val="none"/>
        </w:rPr>
        <w:t xml:space="preserve">重要设备还原内容：包括潜水泵、抽泥泵、搅拌器、药罐、仪表、风机、 </w:t>
      </w:r>
    </w:p>
    <w:p>
      <w:pPr>
        <w:spacing w:line="360" w:lineRule="auto"/>
        <w:ind w:firstLine="420" w:firstLineChars="200"/>
        <w:rPr>
          <w:szCs w:val="21"/>
          <w:highlight w:val="none"/>
        </w:rPr>
      </w:pPr>
      <w:r>
        <w:rPr>
          <w:rFonts w:hint="eastAsia"/>
          <w:szCs w:val="21"/>
          <w:highlight w:val="none"/>
        </w:rPr>
        <w:t xml:space="preserve">刮泥机、配电设备、摄像头； </w:t>
      </w:r>
    </w:p>
    <w:p>
      <w:pPr>
        <w:spacing w:line="360" w:lineRule="auto"/>
        <w:ind w:firstLine="420" w:firstLineChars="200"/>
        <w:rPr>
          <w:szCs w:val="21"/>
          <w:highlight w:val="none"/>
        </w:rPr>
      </w:pPr>
      <w:r>
        <w:rPr>
          <w:rFonts w:hint="eastAsia"/>
          <w:szCs w:val="21"/>
          <w:highlight w:val="none"/>
        </w:rPr>
        <w:t>主体建模精度：</w:t>
      </w:r>
      <w:r>
        <w:rPr>
          <w:szCs w:val="21"/>
          <w:highlight w:val="none"/>
        </w:rPr>
        <w:t>2cm</w:t>
      </w:r>
      <w:r>
        <w:rPr>
          <w:rFonts w:hint="eastAsia"/>
          <w:szCs w:val="21"/>
          <w:highlight w:val="none"/>
        </w:rPr>
        <w:t xml:space="preserve">； </w:t>
      </w:r>
    </w:p>
    <w:p>
      <w:pPr>
        <w:spacing w:line="360" w:lineRule="auto"/>
        <w:ind w:firstLine="420" w:firstLineChars="200"/>
        <w:rPr>
          <w:szCs w:val="21"/>
          <w:highlight w:val="none"/>
        </w:rPr>
      </w:pPr>
      <w:r>
        <w:rPr>
          <w:rFonts w:hint="eastAsia"/>
          <w:szCs w:val="21"/>
          <w:highlight w:val="none"/>
        </w:rPr>
        <w:t>模型面数：</w:t>
      </w:r>
      <w:r>
        <w:rPr>
          <w:szCs w:val="21"/>
          <w:highlight w:val="none"/>
        </w:rPr>
        <w:t>20000+</w:t>
      </w:r>
      <w:r>
        <w:rPr>
          <w:rFonts w:hint="eastAsia"/>
          <w:szCs w:val="21"/>
          <w:highlight w:val="none"/>
        </w:rPr>
        <w:t xml:space="preserve">； </w:t>
      </w:r>
    </w:p>
    <w:p>
      <w:pPr>
        <w:spacing w:line="360" w:lineRule="auto"/>
        <w:ind w:firstLine="420" w:firstLineChars="200"/>
        <w:rPr>
          <w:szCs w:val="21"/>
          <w:highlight w:val="none"/>
        </w:rPr>
      </w:pPr>
      <w:r>
        <w:rPr>
          <w:rFonts w:hint="eastAsia"/>
          <w:szCs w:val="21"/>
          <w:highlight w:val="none"/>
        </w:rPr>
        <w:t>贴图数：</w:t>
      </w:r>
      <w:r>
        <w:rPr>
          <w:szCs w:val="21"/>
          <w:highlight w:val="none"/>
        </w:rPr>
        <w:t>5</w:t>
      </w:r>
      <w:r>
        <w:rPr>
          <w:rFonts w:hint="eastAsia"/>
          <w:szCs w:val="21"/>
          <w:highlight w:val="none"/>
        </w:rPr>
        <w:t xml:space="preserve">； </w:t>
      </w:r>
    </w:p>
    <w:p>
      <w:pPr>
        <w:spacing w:line="360" w:lineRule="auto"/>
        <w:ind w:firstLine="420" w:firstLineChars="200"/>
        <w:rPr>
          <w:szCs w:val="21"/>
          <w:highlight w:val="none"/>
        </w:rPr>
      </w:pPr>
      <w:r>
        <w:rPr>
          <w:rFonts w:hint="eastAsia"/>
          <w:szCs w:val="21"/>
          <w:highlight w:val="none"/>
        </w:rPr>
        <w:t>质感还原度：粗糙度、基础色、法线、</w:t>
      </w:r>
      <w:r>
        <w:rPr>
          <w:szCs w:val="21"/>
          <w:highlight w:val="none"/>
        </w:rPr>
        <w:t>AO</w:t>
      </w:r>
      <w:r>
        <w:rPr>
          <w:rFonts w:hint="eastAsia"/>
          <w:szCs w:val="21"/>
          <w:highlight w:val="none"/>
        </w:rPr>
        <w:t xml:space="preserve">、置换。 </w:t>
      </w:r>
    </w:p>
    <w:p>
      <w:pPr>
        <w:spacing w:line="360" w:lineRule="auto"/>
        <w:ind w:firstLine="420" w:firstLineChars="200"/>
        <w:rPr>
          <w:szCs w:val="21"/>
          <w:highlight w:val="none"/>
        </w:rPr>
      </w:pPr>
      <w:r>
        <w:rPr>
          <w:szCs w:val="21"/>
          <w:highlight w:val="none"/>
        </w:rPr>
        <w:t xml:space="preserve"> </w:t>
      </w:r>
      <w:r>
        <w:rPr>
          <w:rFonts w:hint="eastAsia"/>
          <w:szCs w:val="21"/>
          <w:highlight w:val="none"/>
        </w:rPr>
        <w:t xml:space="preserve">管线建模 </w:t>
      </w:r>
    </w:p>
    <w:p>
      <w:pPr>
        <w:spacing w:line="360" w:lineRule="auto"/>
        <w:ind w:firstLine="420" w:firstLineChars="200"/>
        <w:rPr>
          <w:szCs w:val="21"/>
          <w:highlight w:val="none"/>
        </w:rPr>
      </w:pPr>
      <w:r>
        <w:rPr>
          <w:rFonts w:hint="eastAsia"/>
          <w:szCs w:val="21"/>
          <w:highlight w:val="none"/>
        </w:rPr>
        <w:t xml:space="preserve">管线还原内容：包括污水管网、弯头、直通、三通、四通、变径、立管组 </w:t>
      </w:r>
    </w:p>
    <w:p>
      <w:pPr>
        <w:spacing w:line="360" w:lineRule="auto"/>
        <w:ind w:firstLine="420" w:firstLineChars="200"/>
        <w:rPr>
          <w:szCs w:val="21"/>
          <w:highlight w:val="none"/>
        </w:rPr>
      </w:pPr>
      <w:r>
        <w:rPr>
          <w:rFonts w:hint="eastAsia"/>
          <w:szCs w:val="21"/>
          <w:highlight w:val="none"/>
        </w:rPr>
        <w:t xml:space="preserve">件、方井、圆井、雨水篦； </w:t>
      </w:r>
    </w:p>
    <w:p>
      <w:pPr>
        <w:spacing w:line="360" w:lineRule="auto"/>
        <w:ind w:firstLine="420" w:firstLineChars="200"/>
        <w:rPr>
          <w:highlight w:val="none"/>
        </w:rPr>
      </w:pPr>
      <w:r>
        <w:rPr>
          <w:rFonts w:hint="eastAsia"/>
          <w:szCs w:val="21"/>
          <w:highlight w:val="none"/>
        </w:rPr>
        <w:t>管线建模比例：</w:t>
      </w:r>
      <w:r>
        <w:rPr>
          <w:szCs w:val="21"/>
          <w:highlight w:val="none"/>
        </w:rPr>
        <w:t>1:500</w:t>
      </w:r>
      <w:r>
        <w:rPr>
          <w:rFonts w:hint="eastAsia"/>
          <w:szCs w:val="21"/>
          <w:highlight w:val="none"/>
        </w:rPr>
        <w:t xml:space="preserve">，需按照实际 </w:t>
      </w:r>
      <w:r>
        <w:rPr>
          <w:szCs w:val="21"/>
          <w:highlight w:val="none"/>
        </w:rPr>
        <w:t xml:space="preserve">CAD </w:t>
      </w:r>
      <w:r>
        <w:rPr>
          <w:rFonts w:hint="eastAsia"/>
          <w:szCs w:val="21"/>
          <w:highlight w:val="none"/>
        </w:rPr>
        <w:t>图纸设置。</w:t>
      </w:r>
    </w:p>
    <w:p>
      <w:pPr>
        <w:pStyle w:val="8"/>
        <w:tabs>
          <w:tab w:val="left" w:pos="100"/>
          <w:tab w:val="left" w:pos="425"/>
          <w:tab w:val="left" w:pos="1134"/>
          <w:tab w:val="left" w:pos="1418"/>
        </w:tabs>
        <w:spacing w:before="0" w:after="0"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1.1.2 BIM数字资产建立</w:t>
      </w:r>
    </w:p>
    <w:p>
      <w:pPr>
        <w:spacing w:line="360" w:lineRule="auto"/>
        <w:ind w:firstLine="420" w:firstLineChars="200"/>
        <w:rPr>
          <w:szCs w:val="21"/>
          <w:highlight w:val="none"/>
        </w:rPr>
      </w:pPr>
      <w:r>
        <w:rPr>
          <w:szCs w:val="21"/>
          <w:highlight w:val="none"/>
        </w:rPr>
        <w:t>建立</w:t>
      </w:r>
      <w:r>
        <w:rPr>
          <w:highlight w:val="none"/>
        </w:rPr>
        <w:t>宁波市江北区范围内的23座污水泵站及长度约</w:t>
      </w:r>
      <w:r>
        <w:rPr>
          <w:spacing w:val="-1"/>
          <w:highlight w:val="none"/>
        </w:rPr>
        <w:t>325.56</w:t>
      </w:r>
      <w:r>
        <w:rPr>
          <w:spacing w:val="-6"/>
          <w:highlight w:val="none"/>
        </w:rPr>
        <w:t>公里</w:t>
      </w:r>
      <w:r>
        <w:rPr>
          <w:rFonts w:hint="eastAsia"/>
          <w:highlight w:val="none"/>
        </w:rPr>
        <w:t>排水</w:t>
      </w:r>
      <w:r>
        <w:rPr>
          <w:highlight w:val="none"/>
        </w:rPr>
        <w:t>管网、窨井及沿线地埋式泵站</w:t>
      </w:r>
      <w:r>
        <w:rPr>
          <w:szCs w:val="21"/>
          <w:highlight w:val="none"/>
        </w:rPr>
        <w:t>等设施设备BIM模型，BIM模型需满足精细化管理要求，基于BIM模型构件挂接污水设施设备相关数字资产包括但不仅限于图纸、图片、视频、CCTV监测报告等，BIM数字资产文件需整合接入至</w:t>
      </w:r>
      <w:r>
        <w:rPr>
          <w:highlight w:val="none"/>
        </w:rPr>
        <w:t>城乡排水管网数字化智能化管控平台（智慧排水工程）</w:t>
      </w:r>
      <w:r>
        <w:rPr>
          <w:szCs w:val="21"/>
          <w:highlight w:val="none"/>
        </w:rPr>
        <w:t>。</w:t>
      </w:r>
    </w:p>
    <w:p>
      <w:pPr>
        <w:spacing w:line="360" w:lineRule="auto"/>
        <w:ind w:firstLine="420" w:firstLineChars="200"/>
        <w:rPr>
          <w:highlight w:val="none"/>
        </w:rPr>
      </w:pPr>
      <w:r>
        <w:rPr>
          <w:szCs w:val="21"/>
          <w:highlight w:val="none"/>
        </w:rPr>
        <w:t>BIM数字资产交付关联资料应包含运营相关资料及工程建设相关资料。污水泵站、管道设施相关资料包括但不仅限于：项目建设相关资料（规划建设批复文件、工程用地和建设许可文件、工程质量验收文件、消防验收文件、安全检查文件、环保验收文件、档案批复文件、隐蔽工程验收影像文件等。）及设备交付关联资料（设备合格证、检验报告、出厂验收报告、供货合同、图纸、维护手册、使用手册、3C证书、测试记录、进场验收记录、检查记录等。）中标人需完成此次项目建设范围内污水泵站、污水管网设施相关资料的录入工作，工程完工后的相关资料录入工作由招标人自行完成，中标人需提供相关系统培训服务。</w:t>
      </w:r>
    </w:p>
    <w:p>
      <w:pPr>
        <w:pStyle w:val="8"/>
        <w:tabs>
          <w:tab w:val="left" w:pos="100"/>
          <w:tab w:val="left" w:pos="425"/>
          <w:tab w:val="left" w:pos="1134"/>
          <w:tab w:val="left" w:pos="1418"/>
        </w:tabs>
        <w:spacing w:before="0" w:after="0"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1.1.2</w:t>
      </w:r>
      <w:r>
        <w:rPr>
          <w:rFonts w:ascii="宋体" w:hAnsi="宋体" w:cs="宋体"/>
          <w:sz w:val="21"/>
          <w:szCs w:val="21"/>
          <w:highlight w:val="none"/>
        </w:rPr>
        <w:t>智慧排水BIM+GIS系统</w:t>
      </w:r>
    </w:p>
    <w:p>
      <w:pPr>
        <w:spacing w:line="360" w:lineRule="auto"/>
        <w:ind w:firstLine="420" w:firstLineChars="200"/>
        <w:rPr>
          <w:szCs w:val="21"/>
          <w:highlight w:val="none"/>
        </w:rPr>
      </w:pPr>
      <w:r>
        <w:rPr>
          <w:szCs w:val="21"/>
          <w:highlight w:val="none"/>
        </w:rPr>
        <w:t>以BIM+GIS模型为载体，立足于地下管网基础设施全寿命周期理念，将静态的设施基本数据、BIM数据、GIS数据，历史运维数据、修复改造数据，以及实时动态的传感器监测数据，以及管网设施管养业务数据等海量多源异构数据进行统一建模、统一存储，建立基于IOT和BIM的既有地下管网设施的数字孪生，并在此数据孪生底座的基础上研发污水地下管网设施全寿命智慧管养信息化平台，实现融合多类型数据的大数据分析功能。</w:t>
      </w:r>
    </w:p>
    <w:p>
      <w:pPr>
        <w:spacing w:line="360" w:lineRule="auto"/>
        <w:ind w:firstLine="420" w:firstLineChars="200"/>
        <w:rPr>
          <w:szCs w:val="21"/>
          <w:highlight w:val="none"/>
        </w:rPr>
      </w:pPr>
      <w:r>
        <w:rPr>
          <w:szCs w:val="21"/>
          <w:highlight w:val="none"/>
        </w:rPr>
        <w:t>将污水厂、泵站、污水管网等重要设施在BIM+GIS系统上统一展示，并提供查询、统计分析等功能，可查看排水设施的详细信息，如管线坐标、管线编号、管线高程、地面高程、埋深、管径、材料、长度等信息，能够整体展现主要污水处理设施的空间三维分布，并为其他的应用提供基础。通过对污水厂、泵站、管网等重要设施的模型数据关联，直观展现设施设备的静态信息和动态信息</w:t>
      </w:r>
      <w:r>
        <w:rPr>
          <w:rFonts w:hint="eastAsia"/>
          <w:szCs w:val="21"/>
          <w:highlight w:val="none"/>
        </w:rPr>
        <w:t>，</w:t>
      </w:r>
      <w:r>
        <w:rPr>
          <w:szCs w:val="21"/>
          <w:highlight w:val="none"/>
        </w:rPr>
        <w:t>实现基于BIM构件级别的结构化资产管理。具体工作内容包括：</w:t>
      </w:r>
    </w:p>
    <w:p>
      <w:pPr>
        <w:pStyle w:val="23"/>
        <w:adjustRightInd/>
        <w:spacing w:line="360" w:lineRule="auto"/>
        <w:ind w:firstLine="480" w:firstLineChars="200"/>
        <w:rPr>
          <w:highlight w:val="none"/>
        </w:rPr>
      </w:pPr>
      <w:r>
        <w:rPr>
          <w:sz w:val="24"/>
          <w:szCs w:val="21"/>
          <w:highlight w:val="none"/>
        </w:rPr>
        <w:t>（a）管网BIM数字资产建立</w:t>
      </w:r>
    </w:p>
    <w:p>
      <w:pPr>
        <w:pStyle w:val="23"/>
        <w:autoSpaceDE/>
        <w:autoSpaceDN/>
        <w:adjustRightInd/>
        <w:spacing w:line="360" w:lineRule="auto"/>
        <w:ind w:firstLine="420" w:firstLineChars="200"/>
        <w:rPr>
          <w:highlight w:val="none"/>
        </w:rPr>
      </w:pPr>
      <w:r>
        <w:rPr>
          <w:highlight w:val="none"/>
        </w:rPr>
        <w:t>①泵站管网建筑信息模型（BIM）企业族库建立；</w:t>
      </w:r>
    </w:p>
    <w:p>
      <w:pPr>
        <w:pStyle w:val="23"/>
        <w:autoSpaceDE/>
        <w:autoSpaceDN/>
        <w:adjustRightInd/>
        <w:spacing w:line="360" w:lineRule="auto"/>
        <w:ind w:firstLine="420" w:firstLineChars="200"/>
        <w:rPr>
          <w:highlight w:val="none"/>
        </w:rPr>
      </w:pPr>
      <w:r>
        <w:rPr>
          <w:highlight w:val="none"/>
        </w:rPr>
        <w:t>②泵站管网建筑信息模型（BIM）创建；</w:t>
      </w:r>
    </w:p>
    <w:p>
      <w:pPr>
        <w:pStyle w:val="23"/>
        <w:autoSpaceDE/>
        <w:autoSpaceDN/>
        <w:adjustRightInd/>
        <w:spacing w:line="360" w:lineRule="auto"/>
        <w:ind w:firstLine="420" w:firstLineChars="200"/>
        <w:rPr>
          <w:highlight w:val="none"/>
        </w:rPr>
      </w:pPr>
      <w:r>
        <w:rPr>
          <w:highlight w:val="none"/>
        </w:rPr>
        <w:t>③泵站管网建筑信息模型（BIM）构件编码；</w:t>
      </w:r>
    </w:p>
    <w:p>
      <w:pPr>
        <w:pStyle w:val="23"/>
        <w:autoSpaceDE/>
        <w:autoSpaceDN/>
        <w:adjustRightInd/>
        <w:spacing w:line="360" w:lineRule="auto"/>
        <w:ind w:firstLine="420" w:firstLineChars="200"/>
        <w:rPr>
          <w:highlight w:val="none"/>
        </w:rPr>
      </w:pPr>
      <w:r>
        <w:rPr>
          <w:highlight w:val="none"/>
        </w:rPr>
        <w:t>④泵站管网建筑信息模型（BIM）设计、施工、运维信息录入；</w:t>
      </w:r>
    </w:p>
    <w:p>
      <w:pPr>
        <w:pStyle w:val="23"/>
        <w:autoSpaceDE/>
        <w:autoSpaceDN/>
        <w:adjustRightInd/>
        <w:spacing w:line="360" w:lineRule="auto"/>
        <w:ind w:firstLine="420" w:firstLineChars="200"/>
        <w:rPr>
          <w:highlight w:val="none"/>
        </w:rPr>
      </w:pPr>
      <w:r>
        <w:rPr>
          <w:highlight w:val="none"/>
        </w:rPr>
        <w:t>⑤对接相关单位，提供基于BIM数字资产体系优化企业结构化资产管理体系梳理咨询服务，形成方案文本。对泵站、管网设施设备数字资产基于BIM数字资产体系进行结构化梳理，对无电子版的纸质资产进行电子化处理；</w:t>
      </w:r>
    </w:p>
    <w:p>
      <w:pPr>
        <w:pStyle w:val="23"/>
        <w:autoSpaceDE/>
        <w:autoSpaceDN/>
        <w:adjustRightInd/>
        <w:spacing w:line="360" w:lineRule="auto"/>
        <w:ind w:firstLine="420" w:firstLineChars="200"/>
        <w:rPr>
          <w:highlight w:val="none"/>
        </w:rPr>
      </w:pPr>
      <w:r>
        <w:rPr>
          <w:highlight w:val="none"/>
        </w:rPr>
        <w:t>⑥现场踏勘、测量、核实竣工图与污水泵站、地埋式泵站、污水管网现状，包括图纸缺失部分的模型创建，确保数字资产与现实的一致性；</w:t>
      </w:r>
    </w:p>
    <w:p>
      <w:pPr>
        <w:pStyle w:val="23"/>
        <w:autoSpaceDE/>
        <w:autoSpaceDN/>
        <w:adjustRightInd/>
        <w:spacing w:line="360" w:lineRule="auto"/>
        <w:ind w:firstLine="420" w:firstLineChars="200"/>
        <w:rPr>
          <w:highlight w:val="none"/>
        </w:rPr>
      </w:pPr>
      <w:r>
        <w:rPr>
          <w:highlight w:val="none"/>
        </w:rPr>
        <w:t>⑦污水泵站BIM数字资产交付关联资料包含工程建设相关资料及运营相关资料相关资料,包括但不仅限于：项目建设相关资料（规划建设批复文件、工程用地和建设许可文件、工程质量验收文件、消防验收文件、安全检查文件、环保验收文件、档案批复文件、隐蔽工程验收影像文件等。）及设备交付关联资料（设备合格证、检验报告、出厂验收报告、供货合同、图纸、维护手册、使用手册、3C证书、测试记录、进场验收记录、检查记录等。运营相关资料包括但不仅限于：设施设备巡检记录、保养记录、维修更换资料、管网CCTV检测资料、检测视频等。</w:t>
      </w:r>
    </w:p>
    <w:p>
      <w:pPr>
        <w:pStyle w:val="23"/>
        <w:adjustRightInd/>
        <w:spacing w:line="360" w:lineRule="auto"/>
        <w:ind w:firstLine="480" w:firstLineChars="200"/>
        <w:rPr>
          <w:highlight w:val="none"/>
        </w:rPr>
      </w:pPr>
      <w:r>
        <w:rPr>
          <w:sz w:val="24"/>
          <w:szCs w:val="21"/>
          <w:highlight w:val="none"/>
        </w:rPr>
        <w:t>（b）</w:t>
      </w:r>
      <w:r>
        <w:rPr>
          <w:highlight w:val="none"/>
        </w:rPr>
        <w:t>模型轻量化处理、上传、部署</w:t>
      </w:r>
    </w:p>
    <w:p>
      <w:pPr>
        <w:tabs>
          <w:tab w:val="left" w:pos="1480"/>
        </w:tabs>
        <w:autoSpaceDE w:val="0"/>
        <w:autoSpaceDN w:val="0"/>
        <w:spacing w:line="360" w:lineRule="auto"/>
        <w:ind w:firstLine="420" w:firstLineChars="200"/>
        <w:rPr>
          <w:highlight w:val="none"/>
        </w:rPr>
      </w:pPr>
      <w:r>
        <w:rPr>
          <w:highlight w:val="none"/>
        </w:rPr>
        <w:t>对泵站、管网的BIM模型进行轻量化处理，上传、部署至管网智慧平台中。</w:t>
      </w:r>
    </w:p>
    <w:p>
      <w:pPr>
        <w:pStyle w:val="23"/>
        <w:adjustRightInd/>
        <w:spacing w:line="360" w:lineRule="auto"/>
        <w:ind w:firstLine="480" w:firstLineChars="200"/>
        <w:rPr>
          <w:highlight w:val="none"/>
        </w:rPr>
      </w:pPr>
      <w:r>
        <w:rPr>
          <w:sz w:val="24"/>
          <w:szCs w:val="21"/>
          <w:highlight w:val="none"/>
        </w:rPr>
        <w:t>（c）</w:t>
      </w:r>
      <w:r>
        <w:rPr>
          <w:highlight w:val="none"/>
        </w:rPr>
        <w:t>BIM模型构件挂接及数字资产整合</w:t>
      </w:r>
    </w:p>
    <w:p>
      <w:pPr>
        <w:tabs>
          <w:tab w:val="left" w:pos="1480"/>
        </w:tabs>
        <w:autoSpaceDE w:val="0"/>
        <w:autoSpaceDN w:val="0"/>
        <w:spacing w:line="360" w:lineRule="auto"/>
        <w:ind w:firstLine="420" w:firstLineChars="200"/>
        <w:rPr>
          <w:highlight w:val="none"/>
        </w:rPr>
      </w:pPr>
      <w:r>
        <w:rPr>
          <w:highlight w:val="none"/>
        </w:rPr>
        <w:t>在平台中对泵站、管网及沿线地埋式泵站的BIM模型挂接工程建设相关资料及运营相关资料。</w:t>
      </w:r>
    </w:p>
    <w:p>
      <w:pPr>
        <w:pStyle w:val="8"/>
        <w:tabs>
          <w:tab w:val="left" w:pos="100"/>
          <w:tab w:val="left" w:pos="425"/>
          <w:tab w:val="left" w:pos="1134"/>
          <w:tab w:val="left" w:pos="1418"/>
        </w:tabs>
        <w:spacing w:before="0" w:after="0"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 xml:space="preserve">1.1.3 </w:t>
      </w:r>
      <w:r>
        <w:rPr>
          <w:rFonts w:ascii="宋体" w:hAnsi="宋体" w:cs="宋体"/>
          <w:sz w:val="21"/>
          <w:szCs w:val="21"/>
          <w:highlight w:val="none"/>
        </w:rPr>
        <w:t>AR/MR巡检运维系统</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基于行业先进的AR/MR技术结合BIM技术，开发建成污水AR/MR巡检运维管理应用系统，配合手持式移动巡检终端实现设施信息集成展示、实时监测数据集成展示、巡检运维等移动应用功能，实现随时随地的办公，提高办公效率。系统将承载污水泵站、管网等设施设备BIM数字资产，接入智能感知终端的动态监测数据，实现泵站、管网设施设备的现场巡检运维可视化、精细化管理。本项目先做湾头与姚江新城两个试点。</w:t>
      </w:r>
    </w:p>
    <w:p>
      <w:pPr>
        <w:spacing w:line="360" w:lineRule="auto"/>
        <w:ind w:firstLine="420" w:firstLineChars="200"/>
        <w:rPr>
          <w:rFonts w:ascii="宋体" w:hAnsi="宋体" w:cs="宋体"/>
          <w:szCs w:val="21"/>
          <w:highlight w:val="none"/>
        </w:rPr>
      </w:pPr>
      <w:r>
        <w:rPr>
          <w:rFonts w:hint="eastAsia" w:ascii="宋体" w:hAnsi="宋体" w:cs="宋体"/>
          <w:b/>
          <w:bCs/>
          <w:szCs w:val="21"/>
          <w:highlight w:val="none"/>
        </w:rPr>
        <w:t>BIM模型加载及展示：</w:t>
      </w:r>
      <w:r>
        <w:rPr>
          <w:rFonts w:hint="eastAsia" w:ascii="宋体" w:hAnsi="宋体" w:cs="宋体"/>
          <w:szCs w:val="21"/>
          <w:highlight w:val="none"/>
        </w:rPr>
        <w:t>以移动BIM+GIS技术为支撑，系统需包含属性查询，支持管道投影与地下遮罩功能。实现各种排水相关设施，如液位计、流量计、雨量监测计、智能井盖、排水管线、管线附属物、泵站以及污水处理厂等BIM模型三维空间分布及可视化查询和实时数据展示。</w:t>
      </w:r>
    </w:p>
    <w:p>
      <w:pPr>
        <w:spacing w:line="360" w:lineRule="auto"/>
        <w:ind w:firstLine="420" w:firstLineChars="200"/>
        <w:rPr>
          <w:rFonts w:ascii="宋体" w:hAnsi="宋体" w:cs="宋体"/>
          <w:szCs w:val="21"/>
          <w:highlight w:val="none"/>
        </w:rPr>
      </w:pPr>
      <w:r>
        <w:rPr>
          <w:rFonts w:hint="eastAsia" w:ascii="宋体" w:hAnsi="宋体" w:cs="宋体"/>
          <w:b/>
          <w:bCs/>
          <w:szCs w:val="21"/>
          <w:highlight w:val="none"/>
        </w:rPr>
        <w:t>巡检运维管理：</w:t>
      </w:r>
      <w:r>
        <w:rPr>
          <w:rFonts w:hint="eastAsia" w:ascii="宋体" w:hAnsi="宋体" w:cs="宋体"/>
          <w:szCs w:val="21"/>
          <w:highlight w:val="none"/>
        </w:rPr>
        <w:t>系统需结合BIM及AR/MR技术现实与智慧平台中移动应用系统进行联动，达到现实环境与虚拟模型高度匹配的三维可视化巡检维修效果，提高污水设施设备巡检运维质量及效率。</w:t>
      </w:r>
    </w:p>
    <w:p>
      <w:pPr>
        <w:pStyle w:val="7"/>
        <w:tabs>
          <w:tab w:val="left" w:pos="100"/>
          <w:tab w:val="left" w:pos="425"/>
          <w:tab w:val="left" w:pos="993"/>
          <w:tab w:val="left" w:pos="1418"/>
        </w:tabs>
        <w:spacing w:before="0" w:after="0" w:line="360" w:lineRule="auto"/>
        <w:ind w:firstLine="420" w:firstLineChars="200"/>
        <w:rPr>
          <w:rFonts w:ascii="宋体" w:hAnsi="宋体" w:eastAsia="宋体" w:cs="宋体"/>
          <w:sz w:val="21"/>
          <w:szCs w:val="21"/>
          <w:highlight w:val="none"/>
        </w:rPr>
      </w:pPr>
      <w:r>
        <w:rPr>
          <w:rFonts w:hint="eastAsia" w:ascii="宋体" w:hAnsi="宋体" w:eastAsia="宋体" w:cs="宋体"/>
          <w:sz w:val="21"/>
          <w:szCs w:val="21"/>
          <w:highlight w:val="none"/>
        </w:rPr>
        <w:t>1.2</w:t>
      </w:r>
      <w:r>
        <w:rPr>
          <w:rFonts w:ascii="宋体" w:hAnsi="宋体" w:eastAsia="宋体" w:cs="宋体"/>
          <w:sz w:val="21"/>
          <w:szCs w:val="21"/>
          <w:highlight w:val="none"/>
        </w:rPr>
        <w:t>静态信息展示</w:t>
      </w:r>
    </w:p>
    <w:p>
      <w:pPr>
        <w:spacing w:line="360" w:lineRule="auto"/>
        <w:ind w:firstLine="420" w:firstLineChars="200"/>
        <w:rPr>
          <w:rFonts w:eastAsia="仿宋"/>
          <w:highlight w:val="none"/>
        </w:rPr>
      </w:pPr>
      <w:r>
        <w:rPr>
          <w:highlight w:val="none"/>
        </w:rPr>
        <w:t>基于“排水一张图”对排水设施数据、水利数据、行政区划数据、排水单元数据、排水管网三维数据进行展示。</w:t>
      </w:r>
    </w:p>
    <w:p>
      <w:pPr>
        <w:numPr>
          <w:ilvl w:val="0"/>
          <w:numId w:val="10"/>
        </w:numPr>
        <w:spacing w:line="360" w:lineRule="auto"/>
        <w:ind w:left="0" w:firstLine="420" w:firstLineChars="200"/>
        <w:rPr>
          <w:highlight w:val="none"/>
        </w:rPr>
      </w:pPr>
      <w:r>
        <w:rPr>
          <w:highlight w:val="none"/>
        </w:rPr>
        <w:t>排水设施数据</w:t>
      </w:r>
    </w:p>
    <w:p>
      <w:pPr>
        <w:spacing w:line="360" w:lineRule="auto"/>
        <w:ind w:firstLine="420" w:firstLineChars="200"/>
        <w:rPr>
          <w:highlight w:val="none"/>
        </w:rPr>
      </w:pPr>
      <w:r>
        <w:rPr>
          <w:highlight w:val="none"/>
        </w:rPr>
        <w:t>利用排水数据分中心收集整理的排水设施基础数据（包括排水户、窨井、排水管道、排水沟渠、雨水口、排放口、拍门、溢流堰、闸门、阀门、调蓄池、泵站、集水井、水泵、污水处理厂等），以专题图层的形式展示排水设施分布情况及其基础属性情况。</w:t>
      </w:r>
    </w:p>
    <w:p>
      <w:pPr>
        <w:numPr>
          <w:ilvl w:val="0"/>
          <w:numId w:val="10"/>
        </w:numPr>
        <w:spacing w:line="360" w:lineRule="auto"/>
        <w:ind w:left="0" w:firstLine="420" w:firstLineChars="200"/>
        <w:rPr>
          <w:highlight w:val="none"/>
        </w:rPr>
      </w:pPr>
      <w:r>
        <w:rPr>
          <w:highlight w:val="none"/>
        </w:rPr>
        <w:t>行政区划数据</w:t>
      </w:r>
    </w:p>
    <w:p>
      <w:pPr>
        <w:spacing w:line="360" w:lineRule="auto"/>
        <w:ind w:firstLine="420" w:firstLineChars="200"/>
        <w:rPr>
          <w:highlight w:val="none"/>
        </w:rPr>
      </w:pPr>
      <w:r>
        <w:rPr>
          <w:highlight w:val="none"/>
        </w:rPr>
        <w:t>行政区划数据展示，用于支持行政区划查询展示等功能运行。</w:t>
      </w:r>
    </w:p>
    <w:p>
      <w:pPr>
        <w:numPr>
          <w:ilvl w:val="0"/>
          <w:numId w:val="10"/>
        </w:numPr>
        <w:spacing w:line="360" w:lineRule="auto"/>
        <w:ind w:left="0" w:firstLine="420" w:firstLineChars="200"/>
        <w:rPr>
          <w:highlight w:val="none"/>
        </w:rPr>
      </w:pPr>
      <w:r>
        <w:rPr>
          <w:highlight w:val="none"/>
        </w:rPr>
        <w:t>排水单元数据</w:t>
      </w:r>
    </w:p>
    <w:p>
      <w:pPr>
        <w:spacing w:line="360" w:lineRule="auto"/>
        <w:ind w:firstLine="420" w:firstLineChars="200"/>
        <w:rPr>
          <w:highlight w:val="none"/>
        </w:rPr>
      </w:pPr>
      <w:r>
        <w:rPr>
          <w:highlight w:val="none"/>
        </w:rPr>
        <w:t>将排水单元数据以专题图层的形式展示排水单元数据分布情况及其基础属性情况。</w:t>
      </w:r>
    </w:p>
    <w:p>
      <w:pPr>
        <w:numPr>
          <w:ilvl w:val="0"/>
          <w:numId w:val="10"/>
        </w:numPr>
        <w:spacing w:line="360" w:lineRule="auto"/>
        <w:ind w:left="0" w:firstLine="420" w:firstLineChars="200"/>
        <w:rPr>
          <w:highlight w:val="none"/>
        </w:rPr>
      </w:pPr>
      <w:r>
        <w:rPr>
          <w:highlight w:val="none"/>
        </w:rPr>
        <w:t>排水管网三维数据</w:t>
      </w:r>
    </w:p>
    <w:p>
      <w:pPr>
        <w:spacing w:line="360" w:lineRule="auto"/>
        <w:ind w:firstLine="420" w:firstLineChars="200"/>
        <w:rPr>
          <w:highlight w:val="none"/>
        </w:rPr>
      </w:pPr>
      <w:r>
        <w:rPr>
          <w:highlight w:val="none"/>
        </w:rPr>
        <w:t>1、三维场景生成</w:t>
      </w:r>
    </w:p>
    <w:p>
      <w:pPr>
        <w:spacing w:line="360" w:lineRule="auto"/>
        <w:ind w:firstLine="420" w:firstLineChars="200"/>
        <w:rPr>
          <w:highlight w:val="none"/>
        </w:rPr>
      </w:pPr>
      <w:r>
        <w:rPr>
          <w:highlight w:val="none"/>
        </w:rPr>
        <w:t>二维矢量格式的数据可转换生成三维模型，包括三维地形模型、建筑物三维粗模、排水管网三维模型等。</w:t>
      </w:r>
    </w:p>
    <w:p>
      <w:pPr>
        <w:spacing w:line="360" w:lineRule="auto"/>
        <w:ind w:firstLine="420" w:firstLineChars="200"/>
        <w:rPr>
          <w:highlight w:val="none"/>
        </w:rPr>
      </w:pPr>
      <w:r>
        <w:rPr>
          <w:highlight w:val="none"/>
        </w:rPr>
        <w:t>2、三维基本操作</w:t>
      </w:r>
    </w:p>
    <w:p>
      <w:pPr>
        <w:spacing w:line="360" w:lineRule="auto"/>
        <w:ind w:firstLine="420" w:firstLineChars="200"/>
        <w:rPr>
          <w:highlight w:val="none"/>
        </w:rPr>
      </w:pPr>
      <w:r>
        <w:rPr>
          <w:highlight w:val="none"/>
        </w:rPr>
        <w:t>三维地图的平移、缩放、俯仰、旋转、地下/地上模式切换、地表透明显示等。</w:t>
      </w:r>
    </w:p>
    <w:p>
      <w:pPr>
        <w:pStyle w:val="7"/>
        <w:tabs>
          <w:tab w:val="left" w:pos="100"/>
          <w:tab w:val="left" w:pos="425"/>
          <w:tab w:val="left" w:pos="993"/>
          <w:tab w:val="left" w:pos="1418"/>
        </w:tabs>
        <w:spacing w:before="0" w:after="0" w:line="360" w:lineRule="auto"/>
        <w:ind w:firstLine="420" w:firstLineChars="200"/>
        <w:rPr>
          <w:rFonts w:ascii="宋体" w:hAnsi="宋体" w:eastAsia="宋体" w:cs="宋体"/>
          <w:sz w:val="21"/>
          <w:szCs w:val="21"/>
          <w:highlight w:val="none"/>
        </w:rPr>
      </w:pPr>
      <w:r>
        <w:rPr>
          <w:rFonts w:hint="eastAsia" w:ascii="宋体" w:hAnsi="宋体" w:eastAsia="宋体" w:cs="宋体"/>
          <w:sz w:val="21"/>
          <w:szCs w:val="21"/>
          <w:highlight w:val="none"/>
        </w:rPr>
        <w:t>1.3动</w:t>
      </w:r>
      <w:r>
        <w:rPr>
          <w:rFonts w:ascii="宋体" w:hAnsi="宋体" w:eastAsia="宋体" w:cs="宋体"/>
          <w:sz w:val="21"/>
          <w:szCs w:val="21"/>
          <w:highlight w:val="none"/>
        </w:rPr>
        <w:t>态信息展示</w:t>
      </w:r>
    </w:p>
    <w:p>
      <w:pPr>
        <w:spacing w:line="360" w:lineRule="auto"/>
        <w:ind w:firstLine="420" w:firstLineChars="200"/>
        <w:rPr>
          <w:highlight w:val="none"/>
        </w:rPr>
      </w:pPr>
      <w:r>
        <w:rPr>
          <w:highlight w:val="none"/>
        </w:rPr>
        <w:t>基于“排水一张图”对水情数据、雨情数据、工情数据、实时灾情数据、水文水质数据、物联监测数据进行展示。</w:t>
      </w:r>
    </w:p>
    <w:p>
      <w:pPr>
        <w:numPr>
          <w:ilvl w:val="0"/>
          <w:numId w:val="10"/>
        </w:numPr>
        <w:spacing w:line="360" w:lineRule="auto"/>
        <w:ind w:left="0" w:firstLine="420" w:firstLineChars="200"/>
        <w:rPr>
          <w:highlight w:val="none"/>
        </w:rPr>
      </w:pPr>
      <w:r>
        <w:rPr>
          <w:highlight w:val="none"/>
        </w:rPr>
        <w:t>水情数据</w:t>
      </w:r>
    </w:p>
    <w:p>
      <w:pPr>
        <w:spacing w:line="360" w:lineRule="auto"/>
        <w:ind w:firstLine="420" w:firstLineChars="200"/>
        <w:rPr>
          <w:highlight w:val="none"/>
        </w:rPr>
      </w:pPr>
      <w:r>
        <w:rPr>
          <w:highlight w:val="none"/>
        </w:rPr>
        <w:t>水情监测站的监测信息查询、水位曲线等，包括泵站水情、管网水情等。</w:t>
      </w:r>
    </w:p>
    <w:p>
      <w:pPr>
        <w:numPr>
          <w:ilvl w:val="0"/>
          <w:numId w:val="10"/>
        </w:numPr>
        <w:spacing w:line="360" w:lineRule="auto"/>
        <w:ind w:left="0" w:firstLine="420" w:firstLineChars="200"/>
        <w:rPr>
          <w:highlight w:val="none"/>
        </w:rPr>
      </w:pPr>
      <w:r>
        <w:rPr>
          <w:highlight w:val="none"/>
        </w:rPr>
        <w:t>雨情数据</w:t>
      </w:r>
    </w:p>
    <w:p>
      <w:pPr>
        <w:spacing w:line="360" w:lineRule="auto"/>
        <w:ind w:firstLine="420" w:firstLineChars="200"/>
        <w:rPr>
          <w:highlight w:val="none"/>
        </w:rPr>
      </w:pPr>
      <w:r>
        <w:rPr>
          <w:highlight w:val="none"/>
        </w:rPr>
        <w:t>雨情监测站的监测信息查询，包括当前降雨量及单位时间内累计雨量等。</w:t>
      </w:r>
    </w:p>
    <w:p>
      <w:pPr>
        <w:numPr>
          <w:ilvl w:val="0"/>
          <w:numId w:val="10"/>
        </w:numPr>
        <w:spacing w:line="360" w:lineRule="auto"/>
        <w:ind w:left="0" w:firstLine="420" w:firstLineChars="200"/>
        <w:rPr>
          <w:highlight w:val="none"/>
        </w:rPr>
      </w:pPr>
      <w:r>
        <w:rPr>
          <w:highlight w:val="none"/>
        </w:rPr>
        <w:t>工情数据</w:t>
      </w:r>
    </w:p>
    <w:p>
      <w:pPr>
        <w:spacing w:line="360" w:lineRule="auto"/>
        <w:ind w:firstLine="420" w:firstLineChars="200"/>
        <w:rPr>
          <w:highlight w:val="none"/>
        </w:rPr>
      </w:pPr>
      <w:r>
        <w:rPr>
          <w:highlight w:val="none"/>
        </w:rPr>
        <w:t>1、泵站工情展示</w:t>
      </w:r>
    </w:p>
    <w:p>
      <w:pPr>
        <w:spacing w:line="360" w:lineRule="auto"/>
        <w:ind w:firstLine="420" w:firstLineChars="200"/>
        <w:rPr>
          <w:highlight w:val="none"/>
        </w:rPr>
      </w:pPr>
      <w:r>
        <w:rPr>
          <w:highlight w:val="none"/>
        </w:rPr>
        <w:t>地图展示：在地图上显示泵站分布图，可结合地图查看泵站基本信息、配套机电设备、机组运行工况、设施养护记录、工程图纸等信息。对不同级别的泵站用颜色区分，当泵站出现离线状态时，所对应的泵站图标将在地图上置灰。</w:t>
      </w:r>
    </w:p>
    <w:p>
      <w:pPr>
        <w:spacing w:line="360" w:lineRule="auto"/>
        <w:ind w:firstLine="420" w:firstLineChars="200"/>
        <w:rPr>
          <w:highlight w:val="none"/>
        </w:rPr>
      </w:pPr>
      <w:r>
        <w:rPr>
          <w:highlight w:val="none"/>
        </w:rPr>
        <w:t>数据列表：根据泵站名称、行政区等条件查询泵站数据列表，并可查看泵站实时监测水位、在线状态等信息，可以在地图上定位显示。</w:t>
      </w:r>
    </w:p>
    <w:p>
      <w:pPr>
        <w:spacing w:line="360" w:lineRule="auto"/>
        <w:ind w:firstLine="420" w:firstLineChars="200"/>
        <w:rPr>
          <w:highlight w:val="none"/>
        </w:rPr>
      </w:pPr>
      <w:r>
        <w:rPr>
          <w:highlight w:val="none"/>
        </w:rPr>
        <w:t>泵站统计：按不同区域、不同时间、泵站级别、在线率等进行汇总，通过图表进行展示。</w:t>
      </w:r>
    </w:p>
    <w:p>
      <w:pPr>
        <w:numPr>
          <w:ilvl w:val="0"/>
          <w:numId w:val="10"/>
        </w:numPr>
        <w:spacing w:line="360" w:lineRule="auto"/>
        <w:ind w:left="0" w:firstLine="420" w:firstLineChars="200"/>
        <w:rPr>
          <w:highlight w:val="none"/>
        </w:rPr>
      </w:pPr>
      <w:r>
        <w:rPr>
          <w:highlight w:val="none"/>
        </w:rPr>
        <w:t>实时灾情数据</w:t>
      </w:r>
    </w:p>
    <w:p>
      <w:pPr>
        <w:spacing w:line="360" w:lineRule="auto"/>
        <w:ind w:firstLine="420" w:firstLineChars="200"/>
        <w:rPr>
          <w:highlight w:val="none"/>
        </w:rPr>
      </w:pPr>
      <w:r>
        <w:rPr>
          <w:highlight w:val="none"/>
        </w:rPr>
        <w:t>实时灾情动态展示：查询内涝点信息与实时监测数据。</w:t>
      </w:r>
    </w:p>
    <w:p>
      <w:pPr>
        <w:numPr>
          <w:ilvl w:val="0"/>
          <w:numId w:val="10"/>
        </w:numPr>
        <w:spacing w:line="360" w:lineRule="auto"/>
        <w:ind w:left="0" w:firstLine="420" w:firstLineChars="200"/>
        <w:rPr>
          <w:highlight w:val="none"/>
        </w:rPr>
      </w:pPr>
      <w:r>
        <w:rPr>
          <w:highlight w:val="none"/>
        </w:rPr>
        <w:t>物联监测动态展示</w:t>
      </w:r>
    </w:p>
    <w:p>
      <w:pPr>
        <w:spacing w:line="360" w:lineRule="auto"/>
        <w:ind w:firstLine="420" w:firstLineChars="200"/>
        <w:rPr>
          <w:highlight w:val="none"/>
        </w:rPr>
      </w:pPr>
      <w:r>
        <w:rPr>
          <w:highlight w:val="none"/>
        </w:rPr>
        <w:t>1、物联监测数据</w:t>
      </w:r>
    </w:p>
    <w:p>
      <w:pPr>
        <w:spacing w:line="360" w:lineRule="auto"/>
        <w:ind w:firstLine="420" w:firstLineChars="200"/>
        <w:rPr>
          <w:highlight w:val="none"/>
        </w:rPr>
      </w:pPr>
      <w:r>
        <w:rPr>
          <w:highlight w:val="none"/>
        </w:rPr>
        <w:t>监测数据展示：在地图上显示物联设备分布图，可结合地图查看所对应的设备信息、运行状态、实时监测数据、历史监测数据列表等信息。</w:t>
      </w:r>
    </w:p>
    <w:p>
      <w:pPr>
        <w:spacing w:line="360" w:lineRule="auto"/>
        <w:ind w:firstLine="420" w:firstLineChars="200"/>
        <w:rPr>
          <w:highlight w:val="none"/>
        </w:rPr>
      </w:pPr>
      <w:r>
        <w:rPr>
          <w:highlight w:val="none"/>
        </w:rPr>
        <w:t>监测数据统计：对水质数据进行统计，支持按日、按月和按年等不同形式进行统计分析。</w:t>
      </w:r>
    </w:p>
    <w:p>
      <w:pPr>
        <w:spacing w:line="360" w:lineRule="auto"/>
        <w:ind w:firstLine="420" w:firstLineChars="200"/>
        <w:rPr>
          <w:highlight w:val="none"/>
        </w:rPr>
      </w:pPr>
      <w:r>
        <w:rPr>
          <w:highlight w:val="none"/>
        </w:rPr>
        <w:t>2、预警中心</w:t>
      </w:r>
    </w:p>
    <w:p>
      <w:pPr>
        <w:spacing w:line="360" w:lineRule="auto"/>
        <w:ind w:firstLine="420" w:firstLineChars="200"/>
        <w:rPr>
          <w:highlight w:val="none"/>
        </w:rPr>
      </w:pPr>
      <w:r>
        <w:rPr>
          <w:highlight w:val="none"/>
        </w:rPr>
        <w:t>实时预警：当物联设备出现故障时，设备图标在地图上动态闪烁，提示有告警发生，点击图标可查看实时预警信息。</w:t>
      </w:r>
    </w:p>
    <w:p>
      <w:pPr>
        <w:spacing w:line="360" w:lineRule="auto"/>
        <w:ind w:firstLine="420" w:firstLineChars="200"/>
        <w:rPr>
          <w:highlight w:val="none"/>
        </w:rPr>
      </w:pPr>
      <w:r>
        <w:rPr>
          <w:highlight w:val="none"/>
        </w:rPr>
        <w:t>历史预警：主要用于历史警情的查看。</w:t>
      </w:r>
    </w:p>
    <w:p>
      <w:pPr>
        <w:spacing w:line="360" w:lineRule="auto"/>
        <w:ind w:firstLine="420" w:firstLineChars="200"/>
        <w:rPr>
          <w:highlight w:val="none"/>
        </w:rPr>
      </w:pPr>
      <w:r>
        <w:rPr>
          <w:highlight w:val="none"/>
        </w:rPr>
        <w:t>预警统计：实现不同类型、不同时间段警报信息的统计，可查询某一地区在不同时间段内的报警次数，可统计同一时间段内不同地区的报警次数与报警类型。</w:t>
      </w:r>
    </w:p>
    <w:p>
      <w:pPr>
        <w:numPr>
          <w:ilvl w:val="0"/>
          <w:numId w:val="10"/>
        </w:numPr>
        <w:spacing w:line="360" w:lineRule="auto"/>
        <w:ind w:left="0" w:firstLine="420" w:firstLineChars="200"/>
        <w:rPr>
          <w:highlight w:val="none"/>
        </w:rPr>
      </w:pPr>
      <w:r>
        <w:rPr>
          <w:highlight w:val="none"/>
        </w:rPr>
        <w:t>模型计算结果展示</w:t>
      </w:r>
    </w:p>
    <w:p>
      <w:pPr>
        <w:spacing w:line="360" w:lineRule="auto"/>
        <w:ind w:firstLine="420" w:firstLineChars="200"/>
        <w:rPr>
          <w:highlight w:val="none"/>
        </w:rPr>
      </w:pPr>
      <w:r>
        <w:rPr>
          <w:highlight w:val="none"/>
        </w:rPr>
        <w:t>基于模型分析和应用的建设成果，并结合二三维基础数据、动态物联监测数据等，展示模型计算结果。</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1.4排水业务展示</w:t>
      </w:r>
    </w:p>
    <w:p>
      <w:pPr>
        <w:pStyle w:val="3"/>
        <w:spacing w:after="0" w:line="360" w:lineRule="auto"/>
        <w:ind w:left="0" w:leftChars="0" w:firstLine="420" w:firstLineChars="200"/>
        <w:rPr>
          <w:rFonts w:ascii="宋体" w:hAnsi="宋体" w:cs="宋体"/>
          <w:szCs w:val="21"/>
          <w:highlight w:val="none"/>
        </w:rPr>
      </w:pPr>
      <w:r>
        <w:rPr>
          <w:rFonts w:ascii="宋体" w:hAnsi="宋体" w:cs="宋体"/>
          <w:szCs w:val="21"/>
          <w:highlight w:val="none"/>
        </w:rPr>
        <w:t>基于“排水一张图”对设施业务数据、监测业务数据、防汛应急业务数据、污水厂业务数据、排水户业务数据等进行展示。</w:t>
      </w:r>
    </w:p>
    <w:p>
      <w:pPr>
        <w:pStyle w:val="3"/>
        <w:spacing w:after="0" w:line="360" w:lineRule="auto"/>
        <w:ind w:left="0" w:leftChars="0" w:firstLine="420" w:firstLineChars="200"/>
        <w:rPr>
          <w:rFonts w:ascii="宋体" w:hAnsi="宋体" w:cs="宋体"/>
          <w:szCs w:val="21"/>
          <w:highlight w:val="none"/>
        </w:rPr>
      </w:pPr>
      <w:r>
        <w:rPr>
          <w:rFonts w:ascii="宋体" w:hAnsi="宋体" w:cs="宋体"/>
          <w:szCs w:val="21"/>
          <w:highlight w:val="none"/>
        </w:rPr>
        <w:t>事件业务数据：查看排水事件状况，包括设施巡查问题情况、维护情况、养护进度、隐患报告等。</w:t>
      </w:r>
    </w:p>
    <w:p>
      <w:pPr>
        <w:pStyle w:val="3"/>
        <w:spacing w:after="0" w:line="360" w:lineRule="auto"/>
        <w:ind w:left="0" w:leftChars="0" w:firstLine="420" w:firstLineChars="200"/>
        <w:rPr>
          <w:rFonts w:ascii="宋体" w:hAnsi="宋体" w:cs="宋体"/>
          <w:szCs w:val="21"/>
          <w:highlight w:val="none"/>
        </w:rPr>
      </w:pPr>
      <w:r>
        <w:rPr>
          <w:rFonts w:ascii="宋体" w:hAnsi="宋体" w:cs="宋体"/>
          <w:szCs w:val="21"/>
          <w:highlight w:val="none"/>
        </w:rPr>
        <w:t>监测业务数据：监测预警并能对预警事件进行处理。</w:t>
      </w:r>
    </w:p>
    <w:p>
      <w:pPr>
        <w:pStyle w:val="3"/>
        <w:spacing w:after="0" w:line="360" w:lineRule="auto"/>
        <w:ind w:left="0" w:leftChars="0" w:firstLine="420" w:firstLineChars="200"/>
        <w:rPr>
          <w:rFonts w:ascii="宋体" w:hAnsi="宋体" w:cs="宋体"/>
          <w:szCs w:val="21"/>
          <w:highlight w:val="none"/>
        </w:rPr>
      </w:pPr>
      <w:r>
        <w:rPr>
          <w:rFonts w:ascii="宋体" w:hAnsi="宋体" w:cs="宋体"/>
          <w:szCs w:val="21"/>
          <w:highlight w:val="none"/>
        </w:rPr>
        <w:t>防汛应急业务数据：展示内涝相关业务数据。</w:t>
      </w:r>
    </w:p>
    <w:p>
      <w:pPr>
        <w:pStyle w:val="3"/>
        <w:spacing w:after="0" w:line="360" w:lineRule="auto"/>
        <w:ind w:left="0" w:leftChars="0" w:firstLine="420" w:firstLineChars="200"/>
        <w:rPr>
          <w:rFonts w:ascii="宋体" w:hAnsi="宋体" w:cs="宋体"/>
          <w:szCs w:val="21"/>
          <w:highlight w:val="none"/>
        </w:rPr>
      </w:pPr>
      <w:r>
        <w:rPr>
          <w:rFonts w:ascii="宋体" w:hAnsi="宋体" w:cs="宋体"/>
          <w:szCs w:val="21"/>
          <w:highlight w:val="none"/>
        </w:rPr>
        <w:t>排水户业务数据：展示排水户相关业务数据。</w:t>
      </w:r>
    </w:p>
    <w:p>
      <w:pPr>
        <w:pStyle w:val="3"/>
        <w:spacing w:after="0" w:line="360" w:lineRule="auto"/>
        <w:ind w:left="0" w:leftChars="0" w:firstLine="420" w:firstLineChars="200"/>
        <w:rPr>
          <w:rFonts w:ascii="宋体" w:hAnsi="宋体" w:cs="宋体"/>
          <w:szCs w:val="21"/>
          <w:highlight w:val="none"/>
        </w:rPr>
      </w:pPr>
      <w:r>
        <w:rPr>
          <w:rFonts w:hint="eastAsia" w:ascii="宋体" w:hAnsi="宋体" w:cs="宋体"/>
          <w:szCs w:val="21"/>
          <w:highlight w:val="none"/>
        </w:rPr>
        <w:t xml:space="preserve">  </w:t>
      </w:r>
      <w:r>
        <w:rPr>
          <w:rFonts w:hint="eastAsia" w:ascii="宋体" w:hAnsi="宋体" w:cs="宋体"/>
          <w:b/>
          <w:bCs/>
          <w:szCs w:val="21"/>
          <w:highlight w:val="none"/>
        </w:rPr>
        <w:t>1.5</w:t>
      </w:r>
      <w:r>
        <w:rPr>
          <w:rFonts w:ascii="宋体" w:hAnsi="宋体" w:cs="宋体"/>
          <w:b/>
          <w:bCs/>
          <w:szCs w:val="21"/>
          <w:highlight w:val="none"/>
        </w:rPr>
        <w:t>专题信息展示</w:t>
      </w:r>
    </w:p>
    <w:p>
      <w:pPr>
        <w:spacing w:line="360" w:lineRule="auto"/>
        <w:ind w:firstLine="420" w:firstLineChars="200"/>
        <w:rPr>
          <w:rFonts w:ascii="宋体" w:hAnsi="宋体" w:cs="宋体"/>
          <w:highlight w:val="none"/>
        </w:rPr>
      </w:pPr>
      <w:r>
        <w:rPr>
          <w:rFonts w:hint="eastAsia" w:ascii="宋体" w:hAnsi="宋体" w:cs="宋体"/>
          <w:highlight w:val="none"/>
        </w:rPr>
        <w:t>基于“排水一张图”对管网运行图、排水户、雨污混接、外水普查、内涝风险图、入渗入流、防汛设施分布等专题数据进行展示。</w:t>
      </w:r>
    </w:p>
    <w:p>
      <w:pPr>
        <w:numPr>
          <w:ilvl w:val="0"/>
          <w:numId w:val="10"/>
        </w:numPr>
        <w:spacing w:line="360" w:lineRule="auto"/>
        <w:ind w:left="0" w:firstLine="420" w:firstLineChars="200"/>
        <w:rPr>
          <w:rFonts w:ascii="宋体" w:hAnsi="宋体" w:cs="宋体"/>
          <w:highlight w:val="none"/>
        </w:rPr>
      </w:pPr>
      <w:r>
        <w:rPr>
          <w:rFonts w:hint="eastAsia" w:ascii="宋体" w:hAnsi="宋体" w:cs="宋体"/>
          <w:highlight w:val="none"/>
        </w:rPr>
        <w:t>管网运行图展示</w:t>
      </w:r>
    </w:p>
    <w:p>
      <w:pPr>
        <w:spacing w:line="360" w:lineRule="auto"/>
        <w:ind w:firstLine="420" w:firstLineChars="200"/>
        <w:rPr>
          <w:rFonts w:ascii="宋体" w:hAnsi="宋体" w:cs="宋体"/>
          <w:highlight w:val="none"/>
        </w:rPr>
      </w:pPr>
      <w:r>
        <w:rPr>
          <w:rFonts w:hint="eastAsia" w:ascii="宋体" w:hAnsi="宋体" w:cs="宋体"/>
          <w:highlight w:val="none"/>
        </w:rPr>
        <w:t>管网运行图：在地图上查看管线的分布图，用颜色区分雨水管、污水管、雨污合流、中水管，根据管径大小用管线粗细来区分主管、支管。查看管线的流向、经过的泵站、最终流向污水处理厂或河道，能在地图上动态的展示排水的整个流向过程。在地图上点击某条管线能查看具体信息。</w:t>
      </w:r>
    </w:p>
    <w:p>
      <w:pPr>
        <w:spacing w:line="360" w:lineRule="auto"/>
        <w:ind w:firstLine="420" w:firstLineChars="200"/>
        <w:rPr>
          <w:rFonts w:ascii="宋体" w:hAnsi="宋体" w:cs="宋体"/>
          <w:highlight w:val="none"/>
        </w:rPr>
      </w:pPr>
      <w:r>
        <w:rPr>
          <w:rFonts w:hint="eastAsia" w:ascii="宋体" w:hAnsi="宋体" w:cs="宋体"/>
          <w:highlight w:val="none"/>
        </w:rPr>
        <w:t>管线汇总：按不同区划对管线条数、管线长度、管线分类等进行汇总，支持在地图上框选某个区域进行汇总。</w:t>
      </w:r>
    </w:p>
    <w:p>
      <w:pPr>
        <w:spacing w:line="360" w:lineRule="auto"/>
        <w:ind w:firstLine="420" w:firstLineChars="200"/>
        <w:rPr>
          <w:rFonts w:ascii="宋体" w:hAnsi="宋体" w:cs="宋体"/>
          <w:highlight w:val="none"/>
        </w:rPr>
      </w:pPr>
      <w:r>
        <w:rPr>
          <w:rFonts w:hint="eastAsia" w:ascii="宋体" w:hAnsi="宋体" w:cs="宋体"/>
          <w:highlight w:val="none"/>
        </w:rPr>
        <w:t>管线查询：查看管线信息列表，包括管线名称、行政区、管线长度、管线类别等信息，在列表中点击某条管线记录，在地图上定位展示。</w:t>
      </w:r>
    </w:p>
    <w:p>
      <w:pPr>
        <w:numPr>
          <w:ilvl w:val="0"/>
          <w:numId w:val="10"/>
        </w:numPr>
        <w:spacing w:line="360" w:lineRule="auto"/>
        <w:ind w:left="0" w:firstLine="420" w:firstLineChars="200"/>
        <w:rPr>
          <w:rFonts w:ascii="宋体" w:hAnsi="宋体" w:cs="宋体"/>
          <w:highlight w:val="none"/>
        </w:rPr>
      </w:pPr>
      <w:r>
        <w:rPr>
          <w:rFonts w:hint="eastAsia" w:ascii="宋体" w:hAnsi="宋体" w:cs="宋体"/>
          <w:highlight w:val="none"/>
        </w:rPr>
        <w:t>排水户展示</w:t>
      </w:r>
    </w:p>
    <w:p>
      <w:pPr>
        <w:spacing w:line="360" w:lineRule="auto"/>
        <w:ind w:firstLine="420" w:firstLineChars="200"/>
        <w:rPr>
          <w:rFonts w:ascii="宋体" w:hAnsi="宋体" w:cs="宋体"/>
          <w:highlight w:val="none"/>
        </w:rPr>
      </w:pPr>
      <w:r>
        <w:rPr>
          <w:rFonts w:hint="eastAsia" w:ascii="宋体" w:hAnsi="宋体" w:cs="宋体"/>
          <w:highlight w:val="none"/>
        </w:rPr>
        <w:t>以地图形式展示辖区内雨水和污水管线、重点排水户、零直排小区，可以显示重点排水户和零直排小区的范围等信息，对于排水水质出现告警的排水户会在地图上进行标示，管理人员可以更直观快捷的进行问题处置，并支持二维地图和卫星影像的切换。</w:t>
      </w:r>
    </w:p>
    <w:p>
      <w:pPr>
        <w:spacing w:line="360" w:lineRule="auto"/>
        <w:ind w:firstLine="420" w:firstLineChars="200"/>
        <w:rPr>
          <w:rFonts w:ascii="宋体" w:hAnsi="宋体" w:cs="宋体"/>
          <w:highlight w:val="none"/>
        </w:rPr>
      </w:pPr>
      <w:r>
        <w:rPr>
          <w:rFonts w:hint="eastAsia" w:ascii="宋体" w:hAnsi="宋体" w:cs="宋体"/>
          <w:highlight w:val="none"/>
        </w:rPr>
        <w:t>同时，此模块会展示辖区内排水户基础信息、排水户按行业排水量图表、零直排排水户统计表、排水许可证统计情况及明细表、排水户告警统计信息、排水户告警清单和明细表、排水户抽检情况及抽检记录清单、水质异常处理记录表等信息。</w:t>
      </w:r>
    </w:p>
    <w:p>
      <w:pPr>
        <w:numPr>
          <w:ilvl w:val="0"/>
          <w:numId w:val="10"/>
        </w:numPr>
        <w:spacing w:line="360" w:lineRule="auto"/>
        <w:ind w:left="0" w:firstLine="420" w:firstLineChars="200"/>
        <w:rPr>
          <w:rFonts w:ascii="宋体" w:hAnsi="宋体" w:cs="宋体"/>
          <w:highlight w:val="none"/>
        </w:rPr>
      </w:pPr>
      <w:r>
        <w:rPr>
          <w:rFonts w:hint="eastAsia" w:ascii="宋体" w:hAnsi="宋体" w:cs="宋体"/>
          <w:highlight w:val="none"/>
        </w:rPr>
        <w:t>外水普查展示</w:t>
      </w:r>
    </w:p>
    <w:p>
      <w:pPr>
        <w:spacing w:line="360" w:lineRule="auto"/>
        <w:ind w:firstLine="420" w:firstLineChars="200"/>
        <w:rPr>
          <w:rFonts w:ascii="宋体" w:hAnsi="宋体" w:cs="宋体"/>
          <w:highlight w:val="none"/>
        </w:rPr>
      </w:pPr>
      <w:r>
        <w:rPr>
          <w:rFonts w:hint="eastAsia" w:ascii="宋体" w:hAnsi="宋体" w:cs="宋体"/>
          <w:highlight w:val="none"/>
        </w:rPr>
        <w:t>外水普查分布图：在地图上查看外水（河道、外江）普查分布图，点击某条外水能查看具体的信息。</w:t>
      </w:r>
    </w:p>
    <w:p>
      <w:pPr>
        <w:spacing w:line="360" w:lineRule="auto"/>
        <w:ind w:firstLine="420" w:firstLineChars="200"/>
        <w:rPr>
          <w:rFonts w:ascii="宋体" w:hAnsi="宋体" w:cs="宋体"/>
          <w:highlight w:val="none"/>
        </w:rPr>
      </w:pPr>
      <w:r>
        <w:rPr>
          <w:rFonts w:hint="eastAsia" w:ascii="宋体" w:hAnsi="宋体" w:cs="宋体"/>
          <w:highlight w:val="none"/>
        </w:rPr>
        <w:t>外水数据汇总：按不同区划、不同时间对外水引起内涝的次数进行汇总，支持在地图上框选某个区域进行汇总。</w:t>
      </w:r>
    </w:p>
    <w:p>
      <w:pPr>
        <w:spacing w:line="360" w:lineRule="auto"/>
        <w:ind w:firstLine="420" w:firstLineChars="200"/>
        <w:rPr>
          <w:rFonts w:ascii="宋体" w:hAnsi="宋体" w:cs="宋体"/>
          <w:highlight w:val="none"/>
        </w:rPr>
      </w:pPr>
      <w:r>
        <w:rPr>
          <w:rFonts w:hint="eastAsia" w:ascii="宋体" w:hAnsi="宋体" w:cs="宋体"/>
          <w:highlight w:val="none"/>
        </w:rPr>
        <w:t>外水查询：查看外水信息列表，包括河道、外江名称、行政区、管线长度等信息。在列表中点击某条外水记录，在地图上定位展示。</w:t>
      </w:r>
    </w:p>
    <w:p>
      <w:pPr>
        <w:numPr>
          <w:ilvl w:val="0"/>
          <w:numId w:val="10"/>
        </w:numPr>
        <w:spacing w:line="360" w:lineRule="auto"/>
        <w:ind w:left="0" w:firstLine="420" w:firstLineChars="200"/>
        <w:rPr>
          <w:rFonts w:ascii="宋体" w:hAnsi="宋体" w:cs="宋体"/>
          <w:highlight w:val="none"/>
        </w:rPr>
      </w:pPr>
      <w:r>
        <w:rPr>
          <w:rFonts w:hint="eastAsia" w:ascii="宋体" w:hAnsi="宋体" w:cs="宋体"/>
          <w:highlight w:val="none"/>
        </w:rPr>
        <w:t>内涝风险图展示</w:t>
      </w:r>
    </w:p>
    <w:p>
      <w:pPr>
        <w:spacing w:line="360" w:lineRule="auto"/>
        <w:ind w:firstLine="420" w:firstLineChars="200"/>
        <w:rPr>
          <w:rFonts w:ascii="宋体" w:hAnsi="宋体" w:cs="宋体"/>
          <w:highlight w:val="none"/>
        </w:rPr>
      </w:pPr>
      <w:r>
        <w:rPr>
          <w:rFonts w:hint="eastAsia" w:ascii="宋体" w:hAnsi="宋体" w:cs="宋体"/>
          <w:highlight w:val="none"/>
        </w:rPr>
        <w:t>数据处理工作：在地图上标绘坐标信息后，进行空间数据整理、入库。</w:t>
      </w:r>
    </w:p>
    <w:p>
      <w:pPr>
        <w:spacing w:line="360" w:lineRule="auto"/>
        <w:ind w:firstLine="420" w:firstLineChars="200"/>
        <w:rPr>
          <w:rFonts w:ascii="宋体" w:hAnsi="宋体" w:cs="宋体"/>
          <w:highlight w:val="none"/>
        </w:rPr>
      </w:pPr>
      <w:r>
        <w:rPr>
          <w:rFonts w:hint="eastAsia" w:ascii="宋体" w:hAnsi="宋体" w:cs="宋体"/>
          <w:highlight w:val="none"/>
        </w:rPr>
        <w:t>内涝风险点分布图：在地图上查看内涝风险点的分布图，在地图上点击某个内涝风险点查看具体属性信息。</w:t>
      </w:r>
    </w:p>
    <w:p>
      <w:pPr>
        <w:spacing w:line="360" w:lineRule="auto"/>
        <w:ind w:firstLine="420" w:firstLineChars="200"/>
        <w:rPr>
          <w:rFonts w:ascii="宋体" w:hAnsi="宋体" w:cs="宋体"/>
          <w:highlight w:val="none"/>
        </w:rPr>
      </w:pPr>
      <w:r>
        <w:rPr>
          <w:rFonts w:hint="eastAsia" w:ascii="宋体" w:hAnsi="宋体" w:cs="宋体"/>
          <w:highlight w:val="none"/>
        </w:rPr>
        <w:t>内涝风险点汇总：按不同行政区划对内涝风险点个数进行汇总，支持在地图上框选某个区域进行汇总。</w:t>
      </w:r>
    </w:p>
    <w:p>
      <w:pPr>
        <w:spacing w:line="360" w:lineRule="auto"/>
        <w:ind w:firstLine="420" w:firstLineChars="200"/>
        <w:rPr>
          <w:rFonts w:ascii="宋体" w:hAnsi="宋体" w:cs="宋体"/>
          <w:highlight w:val="none"/>
        </w:rPr>
      </w:pPr>
      <w:r>
        <w:rPr>
          <w:rFonts w:hint="eastAsia" w:ascii="宋体" w:hAnsi="宋体" w:cs="宋体"/>
          <w:highlight w:val="none"/>
        </w:rPr>
        <w:t>内涝风险点查询：查看内涝风险点信息列表，包括风险点名称、内涝程度、行政区等信息，在列表中点击某条内涝风险点记录，在地图上定位展示。</w:t>
      </w:r>
    </w:p>
    <w:p>
      <w:pPr>
        <w:spacing w:line="360" w:lineRule="auto"/>
        <w:ind w:firstLine="420" w:firstLineChars="200"/>
        <w:rPr>
          <w:rFonts w:ascii="宋体" w:hAnsi="宋体" w:cs="宋体"/>
          <w:highlight w:val="none"/>
        </w:rPr>
      </w:pPr>
      <w:r>
        <w:rPr>
          <w:rFonts w:hint="eastAsia" w:ascii="宋体" w:hAnsi="宋体" w:cs="宋体"/>
          <w:highlight w:val="none"/>
        </w:rPr>
        <w:t>成果出图：根据内涝风险点的空间分布情况，做缓冲区空间分析，并进行成果出图。</w:t>
      </w:r>
    </w:p>
    <w:p>
      <w:pPr>
        <w:numPr>
          <w:ilvl w:val="0"/>
          <w:numId w:val="10"/>
        </w:numPr>
        <w:spacing w:line="360" w:lineRule="auto"/>
        <w:ind w:left="0" w:firstLine="420" w:firstLineChars="200"/>
        <w:rPr>
          <w:rFonts w:ascii="宋体" w:hAnsi="宋体" w:cs="宋体"/>
          <w:highlight w:val="none"/>
        </w:rPr>
      </w:pPr>
      <w:r>
        <w:rPr>
          <w:rFonts w:hint="eastAsia" w:ascii="宋体" w:hAnsi="宋体" w:cs="宋体"/>
          <w:highlight w:val="none"/>
        </w:rPr>
        <w:t>入渗入流展示</w:t>
      </w:r>
    </w:p>
    <w:p>
      <w:pPr>
        <w:spacing w:line="360" w:lineRule="auto"/>
        <w:ind w:firstLine="420" w:firstLineChars="200"/>
        <w:rPr>
          <w:rFonts w:ascii="宋体" w:hAnsi="宋体" w:cs="宋体"/>
          <w:highlight w:val="none"/>
        </w:rPr>
      </w:pPr>
      <w:r>
        <w:rPr>
          <w:rFonts w:hint="eastAsia" w:ascii="宋体" w:hAnsi="宋体" w:cs="宋体"/>
          <w:highlight w:val="none"/>
        </w:rPr>
        <w:t>自动化分析，分析过程中会计算出每场降雨时间的入渗入流量、地下水入渗量、晴天流量等数据并统计出相关指标</w:t>
      </w:r>
    </w:p>
    <w:p>
      <w:pPr>
        <w:spacing w:line="360" w:lineRule="auto"/>
        <w:ind w:firstLine="420" w:firstLineChars="200"/>
        <w:rPr>
          <w:rFonts w:ascii="宋体" w:hAnsi="宋体" w:cs="宋体"/>
          <w:highlight w:val="none"/>
        </w:rPr>
      </w:pPr>
      <w:r>
        <w:rPr>
          <w:rFonts w:hint="eastAsia" w:ascii="宋体" w:hAnsi="宋体" w:cs="宋体"/>
          <w:highlight w:val="none"/>
        </w:rPr>
        <w:t>入渗入流运行图：在地图上查看雨污混接管线的分布图，点击某条管线能查看具体信息。</w:t>
      </w:r>
    </w:p>
    <w:p>
      <w:pPr>
        <w:spacing w:line="360" w:lineRule="auto"/>
        <w:ind w:firstLine="420" w:firstLineChars="200"/>
        <w:rPr>
          <w:rFonts w:ascii="宋体" w:hAnsi="宋体" w:cs="宋体"/>
          <w:highlight w:val="none"/>
        </w:rPr>
      </w:pPr>
      <w:r>
        <w:rPr>
          <w:rFonts w:hint="eastAsia" w:ascii="宋体" w:hAnsi="宋体" w:cs="宋体"/>
          <w:highlight w:val="none"/>
        </w:rPr>
        <w:t>入渗入流汇总：按不同区划对渗入流量、地下水入渗量、晴天流量等进行汇总，支持在地图上框选某个区域进行汇总。</w:t>
      </w:r>
    </w:p>
    <w:p>
      <w:pPr>
        <w:spacing w:line="360" w:lineRule="auto"/>
        <w:ind w:firstLine="420" w:firstLineChars="200"/>
        <w:rPr>
          <w:rFonts w:ascii="宋体" w:hAnsi="宋体" w:cs="宋体"/>
          <w:highlight w:val="none"/>
        </w:rPr>
      </w:pPr>
      <w:r>
        <w:rPr>
          <w:rFonts w:hint="eastAsia" w:ascii="宋体" w:hAnsi="宋体" w:cs="宋体"/>
          <w:highlight w:val="none"/>
        </w:rPr>
        <w:t>入渗入流查询：查看入渗入流信息列表，包括行政区、渗入流量、地下水入渗量、晴天流量等信息，在列表中点击某条管线记录，在地图上定位展示。</w:t>
      </w:r>
    </w:p>
    <w:p>
      <w:pPr>
        <w:spacing w:line="360" w:lineRule="auto"/>
        <w:ind w:firstLine="420" w:firstLineChars="200"/>
        <w:rPr>
          <w:rFonts w:ascii="宋体" w:hAnsi="宋体" w:cs="宋体"/>
          <w:highlight w:val="none"/>
        </w:rPr>
      </w:pPr>
      <w:r>
        <w:rPr>
          <w:rFonts w:hint="eastAsia" w:ascii="宋体" w:hAnsi="宋体" w:cs="宋体"/>
          <w:highlight w:val="none"/>
        </w:rPr>
        <w:t>成果出图：根据已入库的行政区划信息，与雨污混接系统图层做空间叠加分析，并进行成果出图。</w:t>
      </w:r>
    </w:p>
    <w:p>
      <w:pPr>
        <w:numPr>
          <w:ilvl w:val="0"/>
          <w:numId w:val="10"/>
        </w:numPr>
        <w:spacing w:line="360" w:lineRule="auto"/>
        <w:ind w:left="0" w:firstLine="420" w:firstLineChars="200"/>
        <w:rPr>
          <w:rFonts w:ascii="宋体" w:hAnsi="宋体" w:cs="宋体"/>
          <w:highlight w:val="none"/>
        </w:rPr>
      </w:pPr>
      <w:r>
        <w:rPr>
          <w:rFonts w:hint="eastAsia" w:ascii="宋体" w:hAnsi="宋体" w:cs="宋体"/>
          <w:highlight w:val="none"/>
        </w:rPr>
        <w:t>防汛设施分布展示</w:t>
      </w:r>
    </w:p>
    <w:p>
      <w:pPr>
        <w:spacing w:line="360" w:lineRule="auto"/>
        <w:ind w:firstLine="420" w:firstLineChars="200"/>
        <w:rPr>
          <w:rFonts w:ascii="宋体" w:hAnsi="宋体" w:cs="宋体"/>
          <w:highlight w:val="none"/>
        </w:rPr>
      </w:pPr>
      <w:r>
        <w:rPr>
          <w:rFonts w:hint="eastAsia" w:ascii="宋体" w:hAnsi="宋体" w:cs="宋体"/>
          <w:highlight w:val="none"/>
        </w:rPr>
        <w:t>数据处理工作：在地图上标绘坐标信息后，进行空间数据整理、入库，记录历史数据。</w:t>
      </w:r>
    </w:p>
    <w:p>
      <w:pPr>
        <w:spacing w:line="360" w:lineRule="auto"/>
        <w:ind w:firstLine="420" w:firstLineChars="200"/>
        <w:rPr>
          <w:rFonts w:ascii="宋体" w:hAnsi="宋体" w:cs="宋体"/>
          <w:highlight w:val="none"/>
        </w:rPr>
      </w:pPr>
      <w:r>
        <w:rPr>
          <w:rFonts w:hint="eastAsia" w:ascii="宋体" w:hAnsi="宋体" w:cs="宋体"/>
          <w:highlight w:val="none"/>
        </w:rPr>
        <w:t>防汛设施分布图：在地图上查看防汛设施的分布图，在地图上点击某个防汛设施查看具体属性信息。</w:t>
      </w:r>
    </w:p>
    <w:p>
      <w:pPr>
        <w:spacing w:line="360" w:lineRule="auto"/>
        <w:ind w:firstLine="420" w:firstLineChars="200"/>
        <w:rPr>
          <w:rFonts w:ascii="宋体" w:hAnsi="宋体" w:cs="宋体"/>
          <w:highlight w:val="none"/>
        </w:rPr>
      </w:pPr>
      <w:r>
        <w:rPr>
          <w:rFonts w:hint="eastAsia" w:ascii="宋体" w:hAnsi="宋体" w:cs="宋体"/>
          <w:highlight w:val="none"/>
        </w:rPr>
        <w:t>防汛设施点汇总：按不同行政区划对防汛设施点个数进行汇总，支持在地图上框选某个区域进行汇总。</w:t>
      </w:r>
    </w:p>
    <w:p>
      <w:pPr>
        <w:spacing w:line="360" w:lineRule="auto"/>
        <w:ind w:firstLine="420" w:firstLineChars="200"/>
        <w:rPr>
          <w:rFonts w:ascii="宋体" w:hAnsi="宋体" w:cs="宋体"/>
          <w:highlight w:val="none"/>
        </w:rPr>
      </w:pPr>
      <w:r>
        <w:rPr>
          <w:rFonts w:hint="eastAsia" w:ascii="宋体" w:hAnsi="宋体" w:cs="宋体"/>
          <w:highlight w:val="none"/>
        </w:rPr>
        <w:t>防汛设施点查询：查看防汛设施点信息列表，包括防汛设施点名称、排涝能力、行政区等信息，在列表中点击某条内涝风险点记录，在地图上定位展示，可查询历史灾情数据。</w:t>
      </w:r>
    </w:p>
    <w:p>
      <w:pPr>
        <w:spacing w:line="360" w:lineRule="auto"/>
        <w:ind w:firstLine="420" w:firstLineChars="200"/>
        <w:rPr>
          <w:rFonts w:ascii="宋体" w:hAnsi="宋体" w:cs="宋体"/>
          <w:highlight w:val="none"/>
        </w:rPr>
      </w:pPr>
      <w:r>
        <w:rPr>
          <w:rFonts w:hint="eastAsia" w:ascii="宋体" w:hAnsi="宋体" w:cs="宋体"/>
          <w:highlight w:val="none"/>
        </w:rPr>
        <w:t>成果出图：根据内涝风险点的空间分布情况，做缓冲区空间分析，并进行成果出图。</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1.6农污信息展示</w:t>
      </w:r>
    </w:p>
    <w:p>
      <w:pPr>
        <w:spacing w:line="360" w:lineRule="auto"/>
        <w:ind w:firstLine="420" w:firstLineChars="200"/>
        <w:rPr>
          <w:highlight w:val="none"/>
        </w:rPr>
      </w:pPr>
      <w:r>
        <w:rPr>
          <w:highlight w:val="none"/>
        </w:rPr>
        <w:t>农污管理一张图主要用于在宏观上对农污管理工作有一个准确的了解，将农村生活污水设施基础成果进行共享应用，最大程度的发挥农村生活污水基础数据建设成果的作用。</w:t>
      </w:r>
    </w:p>
    <w:p>
      <w:pPr>
        <w:pStyle w:val="3"/>
        <w:spacing w:after="0" w:line="360" w:lineRule="auto"/>
        <w:ind w:left="0" w:leftChars="0" w:firstLine="420" w:firstLineChars="200"/>
        <w:rPr>
          <w:rFonts w:hint="eastAsia" w:ascii="宋体" w:hAnsi="宋体" w:cs="宋体"/>
          <w:b/>
          <w:bCs/>
          <w:szCs w:val="21"/>
          <w:highlight w:val="none"/>
        </w:rPr>
      </w:pPr>
      <w:r>
        <w:rPr>
          <w:rFonts w:hint="eastAsia" w:ascii="宋体" w:hAnsi="宋体" w:cs="宋体"/>
          <w:b/>
          <w:bCs/>
          <w:szCs w:val="21"/>
          <w:highlight w:val="none"/>
        </w:rPr>
        <w:t>2.</w:t>
      </w:r>
      <w:bookmarkStart w:id="25" w:name="_Toc14018"/>
      <w:bookmarkStart w:id="26" w:name="_Toc31955"/>
      <w:r>
        <w:rPr>
          <w:rFonts w:hint="eastAsia" w:ascii="宋体" w:hAnsi="宋体" w:cs="宋体"/>
          <w:b/>
          <w:bCs/>
          <w:szCs w:val="21"/>
          <w:highlight w:val="none"/>
        </w:rPr>
        <w:t>智慧排水管理系统（管理一平台</w:t>
      </w:r>
      <w:bookmarkEnd w:id="25"/>
      <w:bookmarkEnd w:id="26"/>
      <w:r>
        <w:rPr>
          <w:rFonts w:hint="eastAsia" w:ascii="宋体" w:hAnsi="宋体" w:cs="宋体"/>
          <w:b/>
          <w:bCs/>
          <w:szCs w:val="21"/>
          <w:highlight w:val="none"/>
        </w:rPr>
        <w:t>）</w:t>
      </w:r>
    </w:p>
    <w:p>
      <w:pPr>
        <w:pStyle w:val="7"/>
        <w:tabs>
          <w:tab w:val="left" w:pos="100"/>
          <w:tab w:val="left" w:pos="425"/>
          <w:tab w:val="left" w:pos="993"/>
          <w:tab w:val="left" w:pos="1418"/>
        </w:tabs>
        <w:spacing w:before="0" w:after="0" w:line="360" w:lineRule="auto"/>
        <w:ind w:firstLine="420" w:firstLineChars="200"/>
        <w:rPr>
          <w:rFonts w:ascii="宋体" w:hAnsi="宋体" w:eastAsia="宋体" w:cs="宋体"/>
          <w:sz w:val="21"/>
          <w:szCs w:val="21"/>
          <w:highlight w:val="none"/>
        </w:rPr>
      </w:pPr>
      <w:r>
        <w:rPr>
          <w:rFonts w:hint="eastAsia" w:ascii="宋体" w:hAnsi="宋体" w:eastAsia="宋体" w:cs="宋体"/>
          <w:sz w:val="21"/>
          <w:szCs w:val="21"/>
          <w:highlight w:val="none"/>
        </w:rPr>
        <w:t>2.1排水管网监管</w:t>
      </w:r>
    </w:p>
    <w:p>
      <w:pPr>
        <w:pStyle w:val="7"/>
        <w:tabs>
          <w:tab w:val="left" w:pos="100"/>
          <w:tab w:val="left" w:pos="425"/>
          <w:tab w:val="left" w:pos="993"/>
          <w:tab w:val="left" w:pos="1418"/>
        </w:tabs>
        <w:spacing w:before="0" w:after="0" w:line="360" w:lineRule="auto"/>
        <w:ind w:firstLine="420" w:firstLineChars="200"/>
        <w:rPr>
          <w:rFonts w:ascii="宋体" w:hAnsi="宋体" w:eastAsia="宋体" w:cs="宋体"/>
          <w:sz w:val="21"/>
          <w:szCs w:val="21"/>
          <w:highlight w:val="none"/>
        </w:rPr>
      </w:pPr>
      <w:r>
        <w:rPr>
          <w:rFonts w:hint="eastAsia" w:ascii="宋体" w:hAnsi="宋体" w:eastAsia="宋体" w:cs="宋体"/>
          <w:sz w:val="21"/>
          <w:szCs w:val="21"/>
          <w:highlight w:val="none"/>
        </w:rPr>
        <w:t>2.1.1</w:t>
      </w:r>
      <w:r>
        <w:rPr>
          <w:rFonts w:ascii="宋体" w:hAnsi="宋体" w:eastAsia="宋体" w:cs="宋体"/>
          <w:sz w:val="21"/>
          <w:szCs w:val="21"/>
          <w:highlight w:val="none"/>
        </w:rPr>
        <w:t>排水户管理</w:t>
      </w:r>
    </w:p>
    <w:p>
      <w:pPr>
        <w:spacing w:line="360" w:lineRule="auto"/>
        <w:ind w:firstLine="420" w:firstLineChars="200"/>
        <w:rPr>
          <w:rFonts w:ascii="宋体" w:hAnsi="宋体" w:cs="宋体"/>
          <w:highlight w:val="none"/>
        </w:rPr>
      </w:pPr>
      <w:r>
        <w:rPr>
          <w:rFonts w:hint="eastAsia" w:ascii="宋体" w:hAnsi="宋体" w:cs="宋体"/>
          <w:highlight w:val="none"/>
        </w:rPr>
        <w:t>排水户管理模块复用宁波市智慧水利平台中的模块，具体功能如下。</w:t>
      </w:r>
    </w:p>
    <w:p>
      <w:pPr>
        <w:numPr>
          <w:ilvl w:val="0"/>
          <w:numId w:val="11"/>
        </w:numPr>
        <w:spacing w:line="360" w:lineRule="auto"/>
        <w:ind w:left="0" w:firstLine="420" w:firstLineChars="200"/>
        <w:rPr>
          <w:rFonts w:ascii="宋体" w:hAnsi="宋体" w:cs="宋体"/>
          <w:highlight w:val="none"/>
        </w:rPr>
      </w:pPr>
      <w:r>
        <w:rPr>
          <w:rFonts w:hint="eastAsia" w:ascii="宋体" w:hAnsi="宋体" w:cs="宋体"/>
          <w:highlight w:val="none"/>
        </w:rPr>
        <w:t>排水许可管理</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实现全区排水户的信息管理、位置纠正、排水许可等业务的在线办理，并结合GIS系统，将排水户地理位置准确反映在地图中，方便进行各类展示，并实现排水户与周边排水设施工况关联，有效监管排水户信息。</w:t>
      </w:r>
    </w:p>
    <w:p>
      <w:pPr>
        <w:numPr>
          <w:ilvl w:val="0"/>
          <w:numId w:val="11"/>
        </w:numPr>
        <w:spacing w:line="360" w:lineRule="auto"/>
        <w:ind w:left="0" w:firstLine="420" w:firstLineChars="200"/>
        <w:rPr>
          <w:rFonts w:ascii="宋体" w:hAnsi="宋体" w:cs="宋体"/>
          <w:highlight w:val="none"/>
          <w:lang w:val="de-DE"/>
        </w:rPr>
      </w:pPr>
      <w:r>
        <w:rPr>
          <w:rFonts w:hint="eastAsia" w:ascii="宋体" w:hAnsi="宋体" w:cs="宋体"/>
          <w:highlight w:val="none"/>
          <w:lang w:val="de-DE"/>
        </w:rPr>
        <w:t>排水户信息管理</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提供对排水户企业名称、法人、企业地址、污染指标含量、违规违法查处情况等详细信息的维护和管理功能，支持按照排水企业所属污水厂、排水企业类型、排放类型、排放量和排放点进行查询。</w:t>
      </w:r>
    </w:p>
    <w:p>
      <w:pPr>
        <w:numPr>
          <w:ilvl w:val="0"/>
          <w:numId w:val="11"/>
        </w:numPr>
        <w:spacing w:line="360" w:lineRule="auto"/>
        <w:ind w:left="0" w:firstLine="420" w:firstLineChars="200"/>
        <w:rPr>
          <w:rFonts w:ascii="宋体" w:hAnsi="宋体" w:cs="宋体"/>
          <w:highlight w:val="none"/>
          <w:lang w:val="de-DE"/>
        </w:rPr>
      </w:pPr>
      <w:r>
        <w:rPr>
          <w:rFonts w:hint="eastAsia" w:ascii="宋体" w:hAnsi="宋体" w:cs="宋体"/>
          <w:highlight w:val="none"/>
          <w:lang w:val="de-DE"/>
        </w:rPr>
        <w:t>排水户位置纠正</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基于GIS地图实现排水户分布以及排水许可的办理情况等。针对排水户位置信息在地图上存在一定偏差或位置损失无法展示的情况，可通过地图编辑或修补测坐标对排水户位置进行纠正。</w:t>
      </w:r>
    </w:p>
    <w:p>
      <w:pPr>
        <w:numPr>
          <w:ilvl w:val="0"/>
          <w:numId w:val="11"/>
        </w:numPr>
        <w:spacing w:line="360" w:lineRule="auto"/>
        <w:ind w:left="0" w:firstLine="420" w:firstLineChars="200"/>
        <w:rPr>
          <w:rFonts w:ascii="宋体" w:hAnsi="宋体" w:cs="宋体"/>
          <w:highlight w:val="none"/>
          <w:lang w:val="de-DE"/>
        </w:rPr>
      </w:pPr>
      <w:r>
        <w:rPr>
          <w:rFonts w:hint="eastAsia" w:ascii="宋体" w:hAnsi="宋体" w:cs="宋体"/>
          <w:highlight w:val="none"/>
          <w:lang w:val="de-DE"/>
        </w:rPr>
        <w:t>排水许可证管理</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系统提供许可证信息录入、许可证登记备案、许可证数据维护、到期换证、临时许可证录入、许可证办理资料管理等功能。</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（1）许可证信息录入</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系统提供排水许可证信息的录入功能，包括排水主体是指排水户名称、详细地址、营业执照注册号、法定代表人等。排水许可内容是指排水许可内容的，包括排水总量、排水口数量和位置、排放口主要污染物种类和浓度等事项的。</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（2）许可证登记备案</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排水户通过系统向排水行政主管部门提出排水申请，通过系统进行相关资料的登记和备案，以便排水部门进行审查，排水行政主管部门审核，对符合条件的，向申请人核发城市排水许可证书；对不符合条件的，作出《关于不予核发城市排水许可证书的决定》，并说明理由及整改要求。</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（3）许可证数据维护</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系统提供排水主体变更功能，包括排水户名称、法人等其他事项变更的功能，排水户通过系统提交变更资料，排水部门依据变更资料进行排水许可证数据的维护。</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（4）到期换证提醒</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系统提供排水许可证到期提醒功能，针对于临时排水许可证和正式排水许可证，系统自动对即将到期排水许可证的排水户进行提醒功能，以便排水户及时办理换证业务，保证排水户正常排水。</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（5）临时许可证录入</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系统提供临时排水许可证信息的录入功能，包括排水主体是指排水户名称、详细地址、营业执照注册号、法定代表人等。排水许可内容是指排水许可内容的，包括排水总量、排水口数量和位置、排放口主要污染物种类和浓度等事项的。</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（6）许可证办理资料管理</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系统提供排水许可证办理资料的管理功能，对排水许可办理过程中产生的资料进行集中管理，提供排水许可证办理资料的添加、编辑、上传、查询、下载等功能。</w:t>
      </w:r>
    </w:p>
    <w:p>
      <w:pPr>
        <w:numPr>
          <w:ilvl w:val="0"/>
          <w:numId w:val="11"/>
        </w:numPr>
        <w:spacing w:line="360" w:lineRule="auto"/>
        <w:ind w:left="0" w:firstLine="420" w:firstLineChars="200"/>
        <w:rPr>
          <w:rFonts w:ascii="宋体" w:hAnsi="宋体" w:cs="宋体"/>
          <w:highlight w:val="none"/>
          <w:lang w:val="de-DE"/>
        </w:rPr>
      </w:pPr>
      <w:r>
        <w:rPr>
          <w:rFonts w:hint="eastAsia" w:ascii="宋体" w:hAnsi="宋体" w:cs="宋体"/>
          <w:highlight w:val="none"/>
          <w:lang w:val="de-DE"/>
        </w:rPr>
        <w:t>排水户信息汇总</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对登记入库的排水户、排水许可信息、违规违法查处情况进行查询展示。对排水户查询可按照区域、排水户性质、排水量的条件查询；对排水许可查询可按照已过期、即将过期、有效期等类别进行查询。</w:t>
      </w:r>
    </w:p>
    <w:p>
      <w:pPr>
        <w:numPr>
          <w:ilvl w:val="0"/>
          <w:numId w:val="11"/>
        </w:numPr>
        <w:spacing w:line="360" w:lineRule="auto"/>
        <w:ind w:left="0" w:firstLine="420" w:firstLineChars="200"/>
        <w:rPr>
          <w:rFonts w:ascii="宋体" w:hAnsi="宋体" w:cs="宋体"/>
          <w:highlight w:val="none"/>
          <w:lang w:val="de-DE"/>
        </w:rPr>
      </w:pPr>
      <w:r>
        <w:rPr>
          <w:rFonts w:hint="eastAsia" w:ascii="宋体" w:hAnsi="宋体" w:cs="宋体"/>
          <w:highlight w:val="none"/>
          <w:lang w:val="de-DE"/>
        </w:rPr>
        <w:t>排水许可批后监管</w:t>
      </w:r>
    </w:p>
    <w:p>
      <w:pPr>
        <w:spacing w:line="360" w:lineRule="auto"/>
        <w:ind w:firstLine="420" w:firstLineChars="200"/>
        <w:rPr>
          <w:rFonts w:ascii="宋体" w:hAnsi="宋体" w:cs="宋体"/>
          <w:color w:val="000000" w:themeColor="text1"/>
          <w:szCs w:val="32"/>
          <w:highlight w:val="none"/>
          <w14:textFill>
            <w14:solidFill>
              <w14:schemeClr w14:val="tx1"/>
            </w14:solidFill>
          </w14:textFill>
        </w:rPr>
      </w:pPr>
      <w:r>
        <w:rPr>
          <w:rFonts w:hint="eastAsia" w:ascii="宋体" w:hAnsi="宋体" w:cs="宋体"/>
          <w:color w:val="000000" w:themeColor="text1"/>
          <w:szCs w:val="32"/>
          <w:highlight w:val="none"/>
          <w14:textFill>
            <w14:solidFill>
              <w14:schemeClr w14:val="tx1"/>
            </w14:solidFill>
          </w14:textFill>
        </w:rPr>
        <w:t>系统提供排水许可批后监管功能，可通过平台实现定期或不定期对持证排水户排放污水的监管情况和整改情况进行管理。</w:t>
      </w:r>
    </w:p>
    <w:p>
      <w:pPr>
        <w:spacing w:line="360" w:lineRule="auto"/>
        <w:ind w:firstLine="420" w:firstLineChars="200"/>
        <w:rPr>
          <w:rFonts w:ascii="宋体" w:hAnsi="宋体" w:cs="宋体"/>
          <w:color w:val="000000" w:themeColor="text1"/>
          <w:szCs w:val="32"/>
          <w:highlight w:val="none"/>
          <w14:textFill>
            <w14:solidFill>
              <w14:schemeClr w14:val="tx1"/>
            </w14:solidFill>
          </w14:textFill>
        </w:rPr>
      </w:pPr>
      <w:r>
        <w:rPr>
          <w:rFonts w:hint="eastAsia" w:ascii="宋体" w:hAnsi="宋体" w:cs="宋体"/>
          <w:color w:val="000000" w:themeColor="text1"/>
          <w:szCs w:val="32"/>
          <w:highlight w:val="none"/>
          <w14:textFill>
            <w14:solidFill>
              <w14:schemeClr w14:val="tx1"/>
            </w14:solidFill>
          </w14:textFill>
        </w:rPr>
        <w:t>（1）批后监管信息填报</w:t>
      </w:r>
    </w:p>
    <w:p>
      <w:pPr>
        <w:spacing w:line="360" w:lineRule="auto"/>
        <w:ind w:firstLine="420" w:firstLineChars="200"/>
        <w:rPr>
          <w:rFonts w:ascii="宋体" w:hAnsi="宋体" w:cs="宋体"/>
          <w:color w:val="000000" w:themeColor="text1"/>
          <w:szCs w:val="32"/>
          <w:highlight w:val="none"/>
          <w14:textFill>
            <w14:solidFill>
              <w14:schemeClr w14:val="tx1"/>
            </w14:solidFill>
          </w14:textFill>
        </w:rPr>
      </w:pPr>
      <w:r>
        <w:rPr>
          <w:rFonts w:hint="eastAsia" w:ascii="宋体" w:hAnsi="宋体" w:cs="宋体"/>
          <w:color w:val="000000" w:themeColor="text1"/>
          <w:szCs w:val="32"/>
          <w:highlight w:val="none"/>
          <w14:textFill>
            <w14:solidFill>
              <w14:schemeClr w14:val="tx1"/>
            </w14:solidFill>
          </w14:textFill>
        </w:rPr>
        <w:t>各区县（市）排水行业主管部门对持证排水户进行监督检查，通过平台将排水许批后监督检查的情况通过平台进行填报，主要填报内容可包括排水户的排放口设置、连接管网、预处理设施和水质、水量监测设施建设和运行情况。</w:t>
      </w:r>
    </w:p>
    <w:p>
      <w:pPr>
        <w:spacing w:line="360" w:lineRule="auto"/>
        <w:ind w:firstLine="420" w:firstLineChars="200"/>
        <w:rPr>
          <w:rFonts w:ascii="宋体" w:hAnsi="宋体" w:cs="宋体"/>
          <w:color w:val="000000" w:themeColor="text1"/>
          <w:szCs w:val="32"/>
          <w:highlight w:val="none"/>
          <w14:textFill>
            <w14:solidFill>
              <w14:schemeClr w14:val="tx1"/>
            </w14:solidFill>
          </w14:textFill>
        </w:rPr>
      </w:pPr>
      <w:r>
        <w:rPr>
          <w:rFonts w:hint="eastAsia" w:ascii="宋体" w:hAnsi="宋体" w:cs="宋体"/>
          <w:color w:val="000000" w:themeColor="text1"/>
          <w:szCs w:val="32"/>
          <w:highlight w:val="none"/>
          <w14:textFill>
            <w14:solidFill>
              <w14:schemeClr w14:val="tx1"/>
            </w14:solidFill>
          </w14:textFill>
        </w:rPr>
        <w:t>（2）处置整改信息上报</w:t>
      </w:r>
    </w:p>
    <w:p>
      <w:pPr>
        <w:spacing w:line="360" w:lineRule="auto"/>
        <w:ind w:firstLine="420" w:firstLineChars="200"/>
        <w:rPr>
          <w:rFonts w:ascii="宋体" w:hAnsi="宋体" w:cs="宋体"/>
          <w:color w:val="000000" w:themeColor="text1"/>
          <w:szCs w:val="32"/>
          <w:highlight w:val="none"/>
          <w14:textFill>
            <w14:solidFill>
              <w14:schemeClr w14:val="tx1"/>
            </w14:solidFill>
          </w14:textFill>
        </w:rPr>
      </w:pPr>
      <w:r>
        <w:rPr>
          <w:rFonts w:hint="eastAsia" w:ascii="宋体" w:hAnsi="宋体" w:cs="宋体"/>
          <w:color w:val="000000" w:themeColor="text1"/>
          <w:szCs w:val="32"/>
          <w:highlight w:val="none"/>
          <w14:textFill>
            <w14:solidFill>
              <w14:schemeClr w14:val="tx1"/>
            </w14:solidFill>
          </w14:textFill>
        </w:rPr>
        <w:t>针对持证排水户不符合城市排水许可证书规定排放污水的，排水行政主管部门责令其进行整改，通过系统提供处置整改意见录入、整改情况的录入、查询功能。</w:t>
      </w:r>
    </w:p>
    <w:p>
      <w:pPr>
        <w:spacing w:line="360" w:lineRule="auto"/>
        <w:ind w:firstLine="420" w:firstLineChars="200"/>
        <w:rPr>
          <w:rFonts w:ascii="宋体" w:hAnsi="宋体" w:cs="宋体"/>
          <w:highlight w:val="none"/>
        </w:rPr>
      </w:pPr>
      <w:r>
        <w:rPr>
          <w:rFonts w:hint="eastAsia" w:ascii="宋体" w:hAnsi="宋体" w:cs="宋体"/>
          <w:color w:val="000000" w:themeColor="text1"/>
          <w:szCs w:val="32"/>
          <w:highlight w:val="none"/>
          <w14:textFill>
            <w14:solidFill>
              <w14:schemeClr w14:val="tx1"/>
            </w14:solidFill>
          </w14:textFill>
        </w:rPr>
        <w:t>通过系统可对逾期不予整改或未达到整改要求的排水户进行统一的管理，便于排水行政主管部门进行处理。</w:t>
      </w:r>
    </w:p>
    <w:p>
      <w:pPr>
        <w:numPr>
          <w:ilvl w:val="0"/>
          <w:numId w:val="11"/>
        </w:numPr>
        <w:spacing w:line="360" w:lineRule="auto"/>
        <w:ind w:left="0" w:firstLine="420" w:firstLineChars="200"/>
        <w:rPr>
          <w:rFonts w:ascii="宋体" w:hAnsi="宋体" w:cs="宋体"/>
          <w:highlight w:val="none"/>
        </w:rPr>
      </w:pPr>
      <w:r>
        <w:rPr>
          <w:rFonts w:hint="eastAsia" w:ascii="宋体" w:hAnsi="宋体" w:cs="宋体"/>
          <w:highlight w:val="none"/>
        </w:rPr>
        <w:t>GIS管点挂接关联</w:t>
      </w:r>
    </w:p>
    <w:p>
      <w:pPr>
        <w:spacing w:line="360" w:lineRule="auto"/>
        <w:ind w:firstLine="420" w:firstLineChars="200"/>
        <w:rPr>
          <w:rFonts w:ascii="宋体" w:hAnsi="宋体" w:cs="宋体"/>
          <w:highlight w:val="none"/>
        </w:rPr>
      </w:pPr>
      <w:r>
        <w:rPr>
          <w:rFonts w:hint="eastAsia" w:ascii="宋体" w:hAnsi="宋体" w:cs="宋体"/>
          <w:highlight w:val="none"/>
        </w:rPr>
        <w:t>通过排水一张图可查看排水户信息及其关联的事件信息，并为后续的水质问题溯源提供支撑。</w:t>
      </w:r>
    </w:p>
    <w:p>
      <w:pPr>
        <w:pStyle w:val="8"/>
        <w:tabs>
          <w:tab w:val="left" w:pos="100"/>
          <w:tab w:val="left" w:pos="425"/>
          <w:tab w:val="left" w:pos="1134"/>
          <w:tab w:val="left" w:pos="1418"/>
        </w:tabs>
        <w:spacing w:before="0" w:after="0" w:line="360" w:lineRule="auto"/>
        <w:ind w:firstLine="420" w:firstLineChars="200"/>
        <w:rPr>
          <w:sz w:val="21"/>
          <w:szCs w:val="21"/>
          <w:highlight w:val="none"/>
        </w:rPr>
      </w:pPr>
      <w:r>
        <w:rPr>
          <w:rFonts w:hint="eastAsia" w:ascii="宋体" w:hAnsi="宋体" w:cs="宋体"/>
          <w:sz w:val="21"/>
          <w:szCs w:val="21"/>
          <w:highlight w:val="none"/>
        </w:rPr>
        <w:t>2.1.2</w:t>
      </w:r>
      <w:r>
        <w:rPr>
          <w:sz w:val="21"/>
          <w:szCs w:val="21"/>
          <w:highlight w:val="none"/>
        </w:rPr>
        <w:t>排水管井管理</w:t>
      </w:r>
    </w:p>
    <w:p>
      <w:pPr>
        <w:spacing w:line="360" w:lineRule="auto"/>
        <w:ind w:firstLine="420" w:firstLineChars="200"/>
        <w:rPr>
          <w:rFonts w:ascii="宋体" w:hAnsi="宋体" w:cs="宋体"/>
          <w:highlight w:val="none"/>
        </w:rPr>
      </w:pPr>
      <w:r>
        <w:rPr>
          <w:rFonts w:ascii="宋体" w:hAnsi="宋体" w:cs="宋体"/>
          <w:highlight w:val="none"/>
        </w:rPr>
        <w:t>排水管井运行监测、运行报告功能及相关数据分析功能，保障公共排水设施稳定、高效和安全运行。</w:t>
      </w:r>
    </w:p>
    <w:p>
      <w:pPr>
        <w:pStyle w:val="8"/>
        <w:tabs>
          <w:tab w:val="left" w:pos="100"/>
          <w:tab w:val="left" w:pos="425"/>
          <w:tab w:val="left" w:pos="1134"/>
          <w:tab w:val="left" w:pos="1418"/>
        </w:tabs>
        <w:spacing w:before="0" w:after="0" w:line="360" w:lineRule="auto"/>
        <w:ind w:firstLine="420" w:firstLineChars="200"/>
        <w:rPr>
          <w:sz w:val="21"/>
          <w:szCs w:val="21"/>
          <w:highlight w:val="none"/>
        </w:rPr>
      </w:pPr>
      <w:r>
        <w:rPr>
          <w:rFonts w:hint="eastAsia"/>
          <w:sz w:val="21"/>
          <w:szCs w:val="21"/>
          <w:highlight w:val="none"/>
        </w:rPr>
        <w:t>2.1.2.1</w:t>
      </w:r>
      <w:r>
        <w:rPr>
          <w:sz w:val="21"/>
          <w:szCs w:val="21"/>
          <w:highlight w:val="none"/>
        </w:rPr>
        <w:t>排水管井运行监测</w:t>
      </w:r>
    </w:p>
    <w:p>
      <w:pPr>
        <w:spacing w:line="360" w:lineRule="auto"/>
        <w:ind w:firstLine="420" w:firstLineChars="200"/>
        <w:rPr>
          <w:rFonts w:ascii="宋体" w:hAnsi="宋体" w:cs="宋体"/>
          <w:highlight w:val="none"/>
        </w:rPr>
      </w:pPr>
      <w:r>
        <w:rPr>
          <w:rFonts w:ascii="宋体" w:hAnsi="宋体" w:cs="宋体"/>
          <w:highlight w:val="none"/>
        </w:rPr>
        <w:t>通过</w:t>
      </w:r>
      <w:r>
        <w:rPr>
          <w:rFonts w:hint="eastAsia" w:ascii="宋体" w:hAnsi="宋体" w:cs="宋体"/>
          <w:highlight w:val="none"/>
        </w:rPr>
        <w:t>物联网接入平台</w:t>
      </w:r>
      <w:r>
        <w:rPr>
          <w:rFonts w:ascii="宋体" w:hAnsi="宋体" w:cs="宋体"/>
          <w:highlight w:val="none"/>
        </w:rPr>
        <w:t>的数据接口服务，实现实时监测功能，可查看排水管道的水位、流量、水质以及设备工况等实时监测信息，可查看历史监测数据，并对查询结果辅以曲线图的方式展示，可进行水位、流量、水质数据预警功能。对于定期或不定期进行人工化验的数据，需提供记录存档功能，并实现在线监测或人工监测数据的查询、导出功能。提供监测报告管理功能，包括报告的上传管理、审批确认管理。</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2.1.2.2数据分析</w:t>
      </w:r>
    </w:p>
    <w:p>
      <w:pPr>
        <w:spacing w:line="360" w:lineRule="auto"/>
        <w:ind w:firstLine="420" w:firstLineChars="200"/>
        <w:rPr>
          <w:rFonts w:ascii="宋体" w:hAnsi="宋体" w:cs="宋体"/>
          <w:highlight w:val="none"/>
        </w:rPr>
      </w:pPr>
      <w:r>
        <w:rPr>
          <w:rFonts w:ascii="宋体" w:hAnsi="宋体" w:cs="宋体"/>
          <w:highlight w:val="none"/>
        </w:rPr>
        <w:t>提供设施点高程逻辑关系异常分析、超长管线分析、管线逆坡分析、管径为空值分析、管道起终点埋深异常分析、大管接小管分析、高程逻辑错误分析、管线错接分析、节点平面位置偏移分析、管线反向分析、环状管网或断头管分析、管点（管段）孤立、管点（管线）重复分析等主要功能。</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2.1.3排水口管理应用</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2.1.3.1基础属性上报和建档</w:t>
      </w:r>
    </w:p>
    <w:p>
      <w:pPr>
        <w:spacing w:line="360" w:lineRule="auto"/>
        <w:ind w:firstLine="420" w:firstLineChars="200"/>
        <w:rPr>
          <w:rFonts w:ascii="宋体" w:hAnsi="宋体" w:cs="宋体"/>
          <w:highlight w:val="none"/>
        </w:rPr>
      </w:pPr>
      <w:r>
        <w:rPr>
          <w:rFonts w:ascii="宋体" w:hAnsi="宋体" w:cs="宋体"/>
          <w:highlight w:val="none"/>
        </w:rPr>
        <w:t>提供排水口信息上报与建档功能：排水口信息摸查上报包括新增与校核信息，要求支持导入固定EXCEL模板的排水口数据，并提供排水口审核通过、审核存疑功能，审核通过的数据直接入库。</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2.1.3.2排水口运行监测</w:t>
      </w:r>
    </w:p>
    <w:p>
      <w:pPr>
        <w:spacing w:line="360" w:lineRule="auto"/>
        <w:ind w:firstLine="420" w:firstLineChars="200"/>
        <w:rPr>
          <w:rFonts w:ascii="宋体" w:hAnsi="宋体" w:cs="宋体"/>
          <w:highlight w:val="none"/>
        </w:rPr>
      </w:pPr>
      <w:r>
        <w:rPr>
          <w:rFonts w:ascii="宋体" w:hAnsi="宋体" w:cs="宋体"/>
          <w:highlight w:val="none"/>
        </w:rPr>
        <w:t>通过物联网接入平台的数据接口服务，实现实时监测功能，可查看排水口的水位、流量、水质以及设备工况等实时监测信息，可查看历史监测数据，并对查询结果辅以曲线图的方式展示，可进行水位、流量、水质数据预警功能。</w:t>
      </w:r>
    </w:p>
    <w:p>
      <w:pPr>
        <w:spacing w:line="360" w:lineRule="auto"/>
        <w:ind w:firstLine="420" w:firstLineChars="200"/>
        <w:rPr>
          <w:rFonts w:ascii="宋体" w:hAnsi="宋体" w:cs="宋体"/>
          <w:highlight w:val="none"/>
        </w:rPr>
      </w:pPr>
      <w:r>
        <w:rPr>
          <w:rFonts w:ascii="宋体" w:hAnsi="宋体" w:cs="宋体"/>
          <w:highlight w:val="none"/>
        </w:rPr>
        <w:t>对于定期或不定期进行人工化验的数据，需提供记录存档功能，并实现在线监测或人工监测数据的查询、导出功能。提供监测报告管理功能，包括报告的上传管理、审批确认管理。</w:t>
      </w:r>
    </w:p>
    <w:p>
      <w:pPr>
        <w:pStyle w:val="3"/>
        <w:spacing w:after="0" w:line="360" w:lineRule="auto"/>
        <w:ind w:left="0" w:leftChars="0" w:firstLine="420" w:firstLineChars="200"/>
        <w:rPr>
          <w:rFonts w:hint="eastAsia" w:ascii="宋体" w:hAnsi="宋体" w:eastAsia="宋体" w:cs="宋体"/>
          <w:b/>
          <w:bCs/>
          <w:szCs w:val="21"/>
          <w:highlight w:val="none"/>
        </w:rPr>
      </w:pPr>
      <w:r>
        <w:rPr>
          <w:rFonts w:hint="eastAsia" w:ascii="宋体" w:hAnsi="宋体" w:cs="宋体"/>
          <w:b/>
          <w:bCs/>
          <w:szCs w:val="21"/>
          <w:highlight w:val="none"/>
          <w:lang w:val="en-US" w:eastAsia="zh-CN"/>
        </w:rPr>
        <w:t>2.2</w:t>
      </w:r>
      <w:r>
        <w:rPr>
          <w:rFonts w:hint="eastAsia" w:ascii="宋体" w:hAnsi="宋体" w:eastAsia="宋体" w:cs="宋体"/>
          <w:b/>
          <w:bCs/>
          <w:szCs w:val="21"/>
          <w:highlight w:val="none"/>
        </w:rPr>
        <w:t>污水网格分区计量管理</w:t>
      </w:r>
    </w:p>
    <w:p>
      <w:pPr>
        <w:pStyle w:val="3"/>
        <w:spacing w:after="0" w:line="360" w:lineRule="auto"/>
        <w:ind w:left="0" w:leftChars="0" w:firstLine="420" w:firstLineChars="200"/>
        <w:rPr>
          <w:rFonts w:hint="eastAsia" w:ascii="宋体" w:hAnsi="宋体" w:eastAsia="宋体" w:cs="宋体"/>
          <w:b/>
          <w:bCs/>
          <w:szCs w:val="21"/>
          <w:highlight w:val="none"/>
        </w:rPr>
      </w:pPr>
      <w:r>
        <w:rPr>
          <w:rFonts w:hint="eastAsia" w:ascii="宋体" w:hAnsi="宋体" w:cs="宋体"/>
          <w:b/>
          <w:bCs/>
          <w:szCs w:val="21"/>
          <w:highlight w:val="none"/>
          <w:lang w:val="en-US" w:eastAsia="zh-CN"/>
        </w:rPr>
        <w:t>2.2.1</w:t>
      </w:r>
      <w:r>
        <w:rPr>
          <w:rFonts w:hint="eastAsia" w:ascii="宋体" w:hAnsi="宋体" w:eastAsia="宋体" w:cs="宋体"/>
          <w:b/>
          <w:bCs/>
          <w:szCs w:val="21"/>
          <w:highlight w:val="none"/>
        </w:rPr>
        <w:t>网格管理</w:t>
      </w:r>
    </w:p>
    <w:p>
      <w:pPr>
        <w:pStyle w:val="3"/>
        <w:spacing w:after="0" w:line="360" w:lineRule="auto"/>
        <w:ind w:left="0" w:leftChars="0" w:firstLine="420" w:firstLineChars="200"/>
        <w:rPr>
          <w:rFonts w:hint="eastAsia" w:ascii="宋体" w:hAnsi="宋体" w:eastAsia="宋体" w:cs="宋体"/>
          <w:b/>
          <w:bCs/>
          <w:szCs w:val="21"/>
          <w:highlight w:val="none"/>
        </w:rPr>
      </w:pPr>
      <w:r>
        <w:rPr>
          <w:rFonts w:hint="eastAsia" w:ascii="宋体" w:hAnsi="宋体" w:cs="宋体"/>
          <w:b/>
          <w:bCs/>
          <w:szCs w:val="21"/>
          <w:highlight w:val="none"/>
          <w:lang w:val="en-US" w:eastAsia="zh-CN"/>
        </w:rPr>
        <w:t>2.2.1.1</w:t>
      </w:r>
      <w:r>
        <w:rPr>
          <w:rFonts w:hint="eastAsia" w:ascii="宋体" w:hAnsi="宋体" w:eastAsia="宋体" w:cs="宋体"/>
          <w:b/>
          <w:bCs/>
          <w:szCs w:val="21"/>
          <w:highlight w:val="none"/>
        </w:rPr>
        <w:t>网格综合信息管理</w:t>
      </w:r>
    </w:p>
    <w:p>
      <w:pPr>
        <w:spacing w:line="360" w:lineRule="auto"/>
        <w:ind w:firstLine="420" w:firstLineChars="200"/>
        <w:rPr>
          <w:rFonts w:ascii="宋体" w:hAnsi="宋体" w:eastAsia="宋体" w:cs="宋体"/>
          <w:highlight w:val="none"/>
        </w:rPr>
      </w:pPr>
      <w:r>
        <w:rPr>
          <w:rFonts w:hint="eastAsia" w:ascii="宋体" w:hAnsi="宋体" w:eastAsia="宋体" w:cs="宋体"/>
          <w:highlight w:val="none"/>
        </w:rPr>
        <w:t>编辑及查看排水网格的基本信息，包括根据网格归属层级新建网格，并编辑管理网格名称、网格负责人员姓名及联系方式、网格情况说明，确定网格的进出水流量计量设备等，此模块会自动统计网格内排水户、住宅小区、检查井、供水户表等要素数量。</w:t>
      </w:r>
    </w:p>
    <w:p>
      <w:pPr>
        <w:pStyle w:val="3"/>
        <w:spacing w:after="0" w:line="360" w:lineRule="auto"/>
        <w:ind w:left="0" w:leftChars="0" w:firstLine="420" w:firstLineChars="200"/>
        <w:rPr>
          <w:rFonts w:hint="eastAsia" w:ascii="宋体" w:hAnsi="宋体" w:eastAsia="宋体" w:cs="宋体"/>
          <w:b/>
          <w:bCs/>
          <w:szCs w:val="21"/>
          <w:highlight w:val="none"/>
        </w:rPr>
      </w:pPr>
      <w:r>
        <w:rPr>
          <w:rFonts w:hint="eastAsia" w:ascii="宋体" w:hAnsi="宋体" w:cs="宋体"/>
          <w:b/>
          <w:bCs/>
          <w:szCs w:val="21"/>
          <w:highlight w:val="none"/>
          <w:lang w:val="en-US" w:eastAsia="zh-CN"/>
        </w:rPr>
        <w:t>2.2.1.2</w:t>
      </w:r>
      <w:r>
        <w:rPr>
          <w:rFonts w:hint="eastAsia" w:ascii="宋体" w:hAnsi="宋体" w:eastAsia="宋体" w:cs="宋体"/>
          <w:b/>
          <w:bCs/>
          <w:szCs w:val="21"/>
          <w:highlight w:val="none"/>
        </w:rPr>
        <w:t>网格范围管理</w:t>
      </w:r>
    </w:p>
    <w:p>
      <w:pPr>
        <w:spacing w:line="360" w:lineRule="auto"/>
        <w:ind w:firstLine="420" w:firstLineChars="200"/>
        <w:rPr>
          <w:rFonts w:ascii="宋体" w:hAnsi="宋体" w:eastAsia="宋体" w:cs="宋体"/>
          <w:highlight w:val="none"/>
        </w:rPr>
      </w:pPr>
      <w:r>
        <w:rPr>
          <w:rFonts w:hint="eastAsia" w:ascii="宋体" w:hAnsi="宋体" w:eastAsia="宋体" w:cs="宋体"/>
          <w:highlight w:val="none"/>
        </w:rPr>
        <w:t>支持以画布形式描绘网格划分的范围边界，并录入相关基础信息。支持对已有的网格信息及范围边界进行修改操作。</w:t>
      </w:r>
    </w:p>
    <w:p>
      <w:pPr>
        <w:pStyle w:val="3"/>
        <w:spacing w:after="0" w:line="360" w:lineRule="auto"/>
        <w:ind w:left="0" w:leftChars="0" w:firstLine="420" w:firstLineChars="200"/>
        <w:rPr>
          <w:rFonts w:hint="eastAsia" w:ascii="宋体" w:hAnsi="宋体" w:eastAsia="宋体" w:cs="宋体"/>
          <w:b/>
          <w:bCs/>
          <w:szCs w:val="21"/>
          <w:highlight w:val="none"/>
        </w:rPr>
      </w:pPr>
      <w:r>
        <w:rPr>
          <w:rFonts w:hint="eastAsia" w:ascii="宋体" w:hAnsi="宋体" w:cs="宋体"/>
          <w:b/>
          <w:bCs/>
          <w:szCs w:val="21"/>
          <w:highlight w:val="none"/>
          <w:lang w:val="en-US" w:eastAsia="zh-CN"/>
        </w:rPr>
        <w:t>2.2.1.3</w:t>
      </w:r>
      <w:r>
        <w:rPr>
          <w:rFonts w:hint="eastAsia" w:ascii="宋体" w:hAnsi="宋体" w:eastAsia="宋体" w:cs="宋体"/>
          <w:b/>
          <w:bCs/>
          <w:szCs w:val="21"/>
          <w:highlight w:val="none"/>
        </w:rPr>
        <w:t>排水户管理</w:t>
      </w:r>
    </w:p>
    <w:p>
      <w:pPr>
        <w:spacing w:line="360" w:lineRule="auto"/>
        <w:ind w:firstLine="420" w:firstLineChars="200"/>
        <w:rPr>
          <w:rFonts w:ascii="宋体" w:hAnsi="宋体" w:eastAsia="宋体" w:cs="宋体"/>
          <w:highlight w:val="none"/>
        </w:rPr>
      </w:pPr>
      <w:r>
        <w:rPr>
          <w:rFonts w:hint="eastAsia" w:ascii="宋体" w:hAnsi="宋体" w:eastAsia="宋体" w:cs="宋体"/>
          <w:highlight w:val="none"/>
        </w:rPr>
        <w:t>以网格目录树形式查看各网格下排水户台账信息，并同步排水户户表计量系统或者营收系统信息查看排水户周期售水量信息并推算理论排水量。</w:t>
      </w:r>
    </w:p>
    <w:p>
      <w:pPr>
        <w:pStyle w:val="3"/>
        <w:spacing w:after="0" w:line="360" w:lineRule="auto"/>
        <w:ind w:left="0" w:leftChars="0" w:firstLine="420" w:firstLineChars="200"/>
        <w:rPr>
          <w:rFonts w:hint="eastAsia" w:ascii="宋体" w:hAnsi="宋体" w:eastAsia="宋体" w:cs="宋体"/>
          <w:b/>
          <w:bCs/>
          <w:szCs w:val="21"/>
          <w:highlight w:val="none"/>
        </w:rPr>
      </w:pPr>
      <w:r>
        <w:rPr>
          <w:rFonts w:hint="eastAsia" w:ascii="宋体" w:hAnsi="宋体" w:cs="宋体"/>
          <w:b/>
          <w:bCs/>
          <w:szCs w:val="21"/>
          <w:highlight w:val="none"/>
          <w:lang w:val="en-US" w:eastAsia="zh-CN"/>
        </w:rPr>
        <w:t>2.2.1.4</w:t>
      </w:r>
      <w:r>
        <w:rPr>
          <w:rFonts w:hint="eastAsia" w:ascii="宋体" w:hAnsi="宋体" w:eastAsia="宋体" w:cs="宋体"/>
          <w:b/>
          <w:bCs/>
          <w:szCs w:val="21"/>
          <w:highlight w:val="none"/>
        </w:rPr>
        <w:t>户表管理</w:t>
      </w:r>
    </w:p>
    <w:p>
      <w:pPr>
        <w:spacing w:line="360" w:lineRule="auto"/>
        <w:ind w:firstLine="420" w:firstLineChars="200"/>
        <w:rPr>
          <w:rFonts w:ascii="宋体" w:hAnsi="宋体" w:eastAsia="宋体" w:cs="宋体"/>
          <w:highlight w:val="none"/>
        </w:rPr>
      </w:pPr>
      <w:r>
        <w:rPr>
          <w:rFonts w:hint="eastAsia" w:ascii="宋体" w:hAnsi="宋体" w:eastAsia="宋体" w:cs="宋体"/>
          <w:highlight w:val="none"/>
        </w:rPr>
        <w:t>以网格目录树形式查看各网格下供水用户台账信息，并查看户表周期售水量信息（抄表或者集抄数据）。</w:t>
      </w:r>
    </w:p>
    <w:p>
      <w:pPr>
        <w:pStyle w:val="3"/>
        <w:spacing w:after="0" w:line="360" w:lineRule="auto"/>
        <w:ind w:left="0" w:leftChars="0" w:firstLine="420" w:firstLineChars="200"/>
        <w:rPr>
          <w:rFonts w:hint="eastAsia" w:ascii="宋体" w:hAnsi="宋体" w:eastAsia="宋体" w:cs="宋体"/>
          <w:b/>
          <w:bCs/>
          <w:szCs w:val="21"/>
          <w:highlight w:val="none"/>
        </w:rPr>
      </w:pPr>
      <w:r>
        <w:rPr>
          <w:rFonts w:hint="eastAsia" w:ascii="宋体" w:hAnsi="宋体" w:cs="宋体"/>
          <w:b/>
          <w:bCs/>
          <w:szCs w:val="21"/>
          <w:highlight w:val="none"/>
          <w:lang w:val="en-US" w:eastAsia="zh-CN"/>
        </w:rPr>
        <w:t>2.2.1.5</w:t>
      </w:r>
      <w:r>
        <w:rPr>
          <w:rFonts w:hint="eastAsia" w:ascii="宋体" w:hAnsi="宋体" w:eastAsia="宋体" w:cs="宋体"/>
          <w:b/>
          <w:bCs/>
          <w:szCs w:val="21"/>
          <w:highlight w:val="none"/>
        </w:rPr>
        <w:t>检查井管理</w:t>
      </w:r>
    </w:p>
    <w:p>
      <w:pPr>
        <w:spacing w:line="360" w:lineRule="auto"/>
        <w:ind w:firstLine="420" w:firstLineChars="200"/>
        <w:rPr>
          <w:rFonts w:ascii="宋体" w:hAnsi="宋体" w:eastAsia="宋体" w:cs="宋体"/>
          <w:highlight w:val="none"/>
        </w:rPr>
      </w:pPr>
      <w:r>
        <w:rPr>
          <w:rFonts w:hint="eastAsia" w:ascii="宋体" w:hAnsi="宋体" w:eastAsia="宋体" w:cs="宋体"/>
          <w:highlight w:val="none"/>
        </w:rPr>
        <w:t>以网格目录树形式查看各网格下检查井资产台账信息。</w:t>
      </w:r>
    </w:p>
    <w:p>
      <w:pPr>
        <w:pStyle w:val="3"/>
        <w:spacing w:after="0" w:line="360" w:lineRule="auto"/>
        <w:ind w:left="0" w:leftChars="0" w:firstLine="420" w:firstLineChars="200"/>
        <w:rPr>
          <w:rFonts w:hint="eastAsia" w:ascii="宋体" w:hAnsi="宋体" w:eastAsia="宋体" w:cs="宋体"/>
          <w:b/>
          <w:bCs/>
          <w:szCs w:val="21"/>
          <w:highlight w:val="none"/>
        </w:rPr>
      </w:pPr>
      <w:r>
        <w:rPr>
          <w:rFonts w:hint="eastAsia" w:ascii="宋体" w:hAnsi="宋体" w:cs="宋体"/>
          <w:b/>
          <w:bCs/>
          <w:szCs w:val="21"/>
          <w:highlight w:val="none"/>
          <w:lang w:val="en-US" w:eastAsia="zh-CN"/>
        </w:rPr>
        <w:t>2.2.1.6</w:t>
      </w:r>
      <w:r>
        <w:rPr>
          <w:rFonts w:hint="eastAsia" w:ascii="宋体" w:hAnsi="宋体" w:eastAsia="宋体" w:cs="宋体"/>
          <w:b/>
          <w:bCs/>
          <w:szCs w:val="21"/>
          <w:highlight w:val="none"/>
        </w:rPr>
        <w:t>排水小区管理</w:t>
      </w:r>
    </w:p>
    <w:p>
      <w:pPr>
        <w:spacing w:line="360" w:lineRule="auto"/>
        <w:ind w:firstLine="420" w:firstLineChars="200"/>
        <w:rPr>
          <w:rFonts w:ascii="宋体" w:hAnsi="宋体" w:eastAsia="宋体" w:cs="宋体"/>
          <w:highlight w:val="none"/>
        </w:rPr>
      </w:pPr>
      <w:r>
        <w:rPr>
          <w:rFonts w:hint="eastAsia" w:ascii="宋体" w:hAnsi="宋体" w:eastAsia="宋体" w:cs="宋体"/>
          <w:highlight w:val="none"/>
        </w:rPr>
        <w:t>以网格目录树形式管理及查看各网格下排水小区档案信息，支持在网格下进行住宅小区基本信息及管道去向信息的编辑操作。</w:t>
      </w:r>
    </w:p>
    <w:p>
      <w:pPr>
        <w:pStyle w:val="3"/>
        <w:spacing w:after="0" w:line="360" w:lineRule="auto"/>
        <w:ind w:left="0" w:leftChars="0" w:firstLine="420" w:firstLineChars="200"/>
        <w:rPr>
          <w:rFonts w:hint="eastAsia" w:ascii="宋体" w:hAnsi="宋体" w:eastAsia="宋体" w:cs="宋体"/>
          <w:b/>
          <w:bCs/>
          <w:szCs w:val="21"/>
          <w:highlight w:val="none"/>
        </w:rPr>
      </w:pPr>
      <w:r>
        <w:rPr>
          <w:rFonts w:hint="eastAsia" w:ascii="宋体" w:hAnsi="宋体" w:cs="宋体"/>
          <w:b/>
          <w:bCs/>
          <w:szCs w:val="21"/>
          <w:highlight w:val="none"/>
          <w:lang w:val="en-US" w:eastAsia="zh-CN"/>
        </w:rPr>
        <w:t>2.2.2</w:t>
      </w:r>
      <w:r>
        <w:rPr>
          <w:rFonts w:hint="eastAsia" w:ascii="宋体" w:hAnsi="宋体" w:eastAsia="宋体" w:cs="宋体"/>
          <w:b/>
          <w:bCs/>
          <w:szCs w:val="21"/>
          <w:highlight w:val="none"/>
        </w:rPr>
        <w:t>网格管理网格水量计量监测</w:t>
      </w:r>
    </w:p>
    <w:p>
      <w:pPr>
        <w:spacing w:line="360" w:lineRule="auto"/>
        <w:ind w:firstLine="420" w:firstLineChars="200"/>
        <w:rPr>
          <w:rFonts w:ascii="宋体" w:hAnsi="宋体" w:eastAsia="宋体" w:cs="宋体"/>
          <w:highlight w:val="none"/>
        </w:rPr>
      </w:pPr>
      <w:r>
        <w:rPr>
          <w:rFonts w:hint="eastAsia" w:ascii="宋体" w:hAnsi="宋体" w:eastAsia="宋体" w:cs="宋体"/>
          <w:highlight w:val="none"/>
        </w:rPr>
        <w:t>以排水网格目录树结构查看各网格边界流量计的流量监测数据，支持查看单个网格排水进出的详细监测数据历史记录，支持以日、月、年时间周期查看对应时间模式内水量计量数据明细，包括时间点瞬时流量、自然月内每日流量、年度内各月流量等，通过操作可选择若干条历史记录形成趋势曲线，查看均值、机制情况及发生时间，实现直观的对比分析。</w:t>
      </w:r>
    </w:p>
    <w:p>
      <w:pPr>
        <w:pStyle w:val="3"/>
        <w:spacing w:after="0" w:line="360" w:lineRule="auto"/>
        <w:ind w:left="0" w:leftChars="0" w:firstLine="420" w:firstLineChars="200"/>
        <w:rPr>
          <w:rFonts w:hint="eastAsia" w:ascii="宋体" w:hAnsi="宋体" w:eastAsia="宋体" w:cs="宋体"/>
          <w:b/>
          <w:bCs/>
          <w:szCs w:val="21"/>
          <w:highlight w:val="none"/>
        </w:rPr>
      </w:pPr>
      <w:r>
        <w:rPr>
          <w:rFonts w:hint="eastAsia" w:ascii="宋体" w:hAnsi="宋体" w:cs="宋体"/>
          <w:b/>
          <w:bCs/>
          <w:szCs w:val="21"/>
          <w:highlight w:val="none"/>
          <w:lang w:val="en-US" w:eastAsia="zh-CN"/>
        </w:rPr>
        <w:t>2.2.3</w:t>
      </w:r>
      <w:r>
        <w:rPr>
          <w:rFonts w:hint="eastAsia" w:ascii="宋体" w:hAnsi="宋体" w:eastAsia="宋体" w:cs="宋体"/>
          <w:b/>
          <w:bCs/>
          <w:szCs w:val="21"/>
          <w:highlight w:val="none"/>
        </w:rPr>
        <w:t>网格供排水量查询</w:t>
      </w:r>
    </w:p>
    <w:p>
      <w:pPr>
        <w:spacing w:line="360" w:lineRule="auto"/>
        <w:ind w:firstLine="420" w:firstLineChars="200"/>
        <w:rPr>
          <w:rFonts w:ascii="宋体" w:hAnsi="宋体" w:eastAsia="宋体" w:cs="宋体"/>
          <w:highlight w:val="none"/>
        </w:rPr>
      </w:pPr>
      <w:r>
        <w:rPr>
          <w:rFonts w:hint="eastAsia" w:ascii="宋体" w:hAnsi="宋体" w:eastAsia="宋体" w:cs="宋体"/>
          <w:highlight w:val="none"/>
        </w:rPr>
        <w:t>汇总按照周期统计计算各层级网格的售水量、自备水量、总用水量，与通过边界流量计计量获得网格排水进水量、排水出水量、网格净排水量一起进行基于树状网格结构形式的水量数据展示，支持通过选择时间周期进行查询（最小的周期粒度为网格内户表册本抄表周期），以列表形式或者曲线形式进行展示。</w:t>
      </w:r>
    </w:p>
    <w:p>
      <w:pPr>
        <w:pStyle w:val="3"/>
        <w:spacing w:after="0" w:line="360" w:lineRule="auto"/>
        <w:ind w:left="0" w:leftChars="0" w:firstLine="420" w:firstLineChars="200"/>
        <w:rPr>
          <w:rFonts w:hint="eastAsia" w:ascii="宋体" w:hAnsi="宋体" w:eastAsia="宋体" w:cs="宋体"/>
          <w:b/>
          <w:bCs/>
          <w:szCs w:val="21"/>
          <w:highlight w:val="none"/>
        </w:rPr>
      </w:pPr>
      <w:r>
        <w:rPr>
          <w:rFonts w:hint="eastAsia" w:ascii="宋体" w:hAnsi="宋体" w:cs="宋体"/>
          <w:b/>
          <w:bCs/>
          <w:szCs w:val="21"/>
          <w:highlight w:val="none"/>
          <w:lang w:val="en-US" w:eastAsia="zh-CN"/>
        </w:rPr>
        <w:t>2.2.4</w:t>
      </w:r>
      <w:r>
        <w:rPr>
          <w:rFonts w:hint="eastAsia" w:ascii="宋体" w:hAnsi="宋体" w:eastAsia="宋体" w:cs="宋体"/>
          <w:b/>
          <w:bCs/>
          <w:szCs w:val="21"/>
          <w:highlight w:val="none"/>
        </w:rPr>
        <w:t>供排水平衡异常网格报警</w:t>
      </w:r>
    </w:p>
    <w:p>
      <w:pPr>
        <w:spacing w:line="360" w:lineRule="auto"/>
        <w:ind w:firstLine="420" w:firstLineChars="200"/>
        <w:rPr>
          <w:rFonts w:ascii="宋体" w:hAnsi="宋体" w:eastAsia="宋体" w:cs="宋体"/>
          <w:highlight w:val="none"/>
        </w:rPr>
      </w:pPr>
      <w:r>
        <w:rPr>
          <w:rFonts w:hint="eastAsia" w:ascii="宋体" w:hAnsi="宋体" w:eastAsia="宋体" w:cs="宋体"/>
          <w:highlight w:val="none"/>
        </w:rPr>
        <w:t>针对各层级网格已计算的总用水量、净排水量、供排水量差值、净排水与总用水量比值等指标进行综合分析，将疑似水量数据异常或者供排水平衡情况异常的网格进行展示，并给出分初步分析结论。</w:t>
      </w:r>
    </w:p>
    <w:p>
      <w:pPr>
        <w:pStyle w:val="3"/>
        <w:spacing w:after="0" w:line="360" w:lineRule="auto"/>
        <w:ind w:left="0" w:leftChars="0" w:firstLine="420" w:firstLineChars="200"/>
        <w:rPr>
          <w:rFonts w:hint="eastAsia" w:ascii="宋体" w:hAnsi="宋体" w:eastAsia="宋体" w:cs="宋体"/>
          <w:b/>
          <w:bCs/>
          <w:szCs w:val="21"/>
          <w:highlight w:val="none"/>
        </w:rPr>
      </w:pPr>
      <w:r>
        <w:rPr>
          <w:rFonts w:hint="eastAsia" w:ascii="宋体" w:hAnsi="宋体" w:cs="宋体"/>
          <w:b/>
          <w:bCs/>
          <w:szCs w:val="21"/>
          <w:highlight w:val="none"/>
          <w:lang w:val="en-US" w:eastAsia="zh-CN"/>
        </w:rPr>
        <w:t>2.2.5</w:t>
      </w:r>
      <w:r>
        <w:rPr>
          <w:rFonts w:hint="eastAsia" w:ascii="宋体" w:hAnsi="宋体" w:eastAsia="宋体" w:cs="宋体"/>
          <w:b/>
          <w:bCs/>
          <w:szCs w:val="21"/>
          <w:highlight w:val="none"/>
        </w:rPr>
        <w:t>供排水量平衡排序</w:t>
      </w:r>
    </w:p>
    <w:p>
      <w:pPr>
        <w:spacing w:line="360" w:lineRule="auto"/>
        <w:ind w:firstLine="420" w:firstLineChars="200"/>
        <w:rPr>
          <w:rFonts w:ascii="宋体" w:hAnsi="宋体" w:eastAsia="宋体" w:cs="宋体"/>
          <w:highlight w:val="none"/>
        </w:rPr>
      </w:pPr>
      <w:r>
        <w:rPr>
          <w:rFonts w:hint="eastAsia" w:ascii="宋体" w:hAnsi="宋体" w:eastAsia="宋体" w:cs="宋体"/>
          <w:highlight w:val="none"/>
        </w:rPr>
        <w:t>选择时间周期，根据对应周期内各层级网格以计算的总用水量、净排水量、供排水量差值、净排水与总用水量比值等基于选定的单一指标的从大到小或者从小到大方向进行排序，以图形和列表方式进行综合呈现，支持从网格层级从大到小的方向进行排序网格下下层网格数据钻取，辅助人员判断上层级网格参数指标不理想是由下一层层级哪些网格的同一参数不理想而造成。</w:t>
      </w:r>
    </w:p>
    <w:p>
      <w:pPr>
        <w:pStyle w:val="3"/>
        <w:spacing w:after="0" w:line="360" w:lineRule="auto"/>
        <w:ind w:left="0" w:leftChars="0" w:firstLine="420" w:firstLineChars="200"/>
        <w:rPr>
          <w:rFonts w:hint="eastAsia" w:ascii="宋体" w:hAnsi="宋体" w:eastAsia="宋体" w:cs="宋体"/>
          <w:b/>
          <w:bCs/>
          <w:szCs w:val="21"/>
          <w:highlight w:val="none"/>
        </w:rPr>
      </w:pPr>
      <w:r>
        <w:rPr>
          <w:rFonts w:hint="eastAsia" w:ascii="宋体" w:hAnsi="宋体" w:cs="宋体"/>
          <w:b/>
          <w:bCs/>
          <w:szCs w:val="21"/>
          <w:highlight w:val="none"/>
          <w:lang w:val="en-US" w:eastAsia="zh-CN"/>
        </w:rPr>
        <w:t>2.2.6</w:t>
      </w:r>
      <w:r>
        <w:rPr>
          <w:rFonts w:hint="eastAsia" w:ascii="宋体" w:hAnsi="宋体" w:eastAsia="宋体" w:cs="宋体"/>
          <w:b/>
          <w:bCs/>
          <w:szCs w:val="21"/>
          <w:highlight w:val="none"/>
        </w:rPr>
        <w:t>供排水量平衡分析总览</w:t>
      </w:r>
    </w:p>
    <w:p>
      <w:pPr>
        <w:spacing w:line="360" w:lineRule="auto"/>
        <w:ind w:firstLine="420" w:firstLineChars="200"/>
        <w:rPr>
          <w:highlight w:val="none"/>
        </w:rPr>
      </w:pPr>
      <w:r>
        <w:rPr>
          <w:rFonts w:hint="eastAsia" w:ascii="宋体" w:hAnsi="宋体" w:eastAsia="宋体" w:cs="宋体"/>
          <w:highlight w:val="none"/>
        </w:rPr>
        <w:t>以数据分析图形图线</w:t>
      </w:r>
      <w:r>
        <w:rPr>
          <w:rFonts w:ascii="宋体" w:hAnsi="宋体" w:eastAsia="宋体" w:cs="宋体"/>
          <w:highlight w:val="none"/>
        </w:rPr>
        <w:t>实现了网格业务、数据分析的一体化管理</w:t>
      </w:r>
      <w:r>
        <w:rPr>
          <w:rFonts w:hint="eastAsia" w:ascii="宋体" w:hAnsi="宋体" w:eastAsia="宋体" w:cs="宋体"/>
          <w:highlight w:val="none"/>
        </w:rPr>
        <w:t>，包括如下数据：计量范围内总售水量、自备水量、净排水量、供排水量差异；按供水查表周期展示各网格分区售水量、自备水量、净排水量、供排水量差异；供排水量平衡异常网格排名；各网格分区排水进出水量实时监测值及曲线。</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3</w:t>
      </w:r>
      <w:r>
        <w:rPr>
          <w:rFonts w:hint="eastAsia" w:ascii="宋体" w:hAnsi="宋体" w:cs="宋体"/>
          <w:b/>
          <w:bCs/>
          <w:szCs w:val="21"/>
          <w:highlight w:val="none"/>
        </w:rPr>
        <w:t>内涝管理系统</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3</w:t>
      </w:r>
      <w:r>
        <w:rPr>
          <w:rFonts w:hint="eastAsia" w:ascii="宋体" w:hAnsi="宋体" w:cs="宋体"/>
          <w:b/>
          <w:bCs/>
          <w:szCs w:val="21"/>
          <w:highlight w:val="none"/>
        </w:rPr>
        <w:t>.1内涝点台账管理</w:t>
      </w:r>
    </w:p>
    <w:p>
      <w:pPr>
        <w:spacing w:line="360" w:lineRule="auto"/>
        <w:ind w:firstLine="420" w:firstLineChars="200"/>
        <w:rPr>
          <w:rFonts w:ascii="宋体" w:hAnsi="宋体" w:cs="宋体"/>
          <w:highlight w:val="none"/>
        </w:rPr>
      </w:pPr>
      <w:r>
        <w:rPr>
          <w:rFonts w:hint="eastAsia" w:ascii="宋体" w:hAnsi="宋体" w:cs="宋体"/>
          <w:highlight w:val="none"/>
        </w:rPr>
        <w:t>针对江北区内涝点调账，</w:t>
      </w:r>
      <w:r>
        <w:rPr>
          <w:rFonts w:ascii="宋体" w:hAnsi="宋体" w:cs="宋体"/>
          <w:highlight w:val="none"/>
        </w:rPr>
        <w:t>提供内涝点台账管理的功能，包括历史台账详细信息、历史台账记录查询、台账档案备份。</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3</w:t>
      </w:r>
      <w:r>
        <w:rPr>
          <w:rFonts w:hint="eastAsia" w:ascii="宋体" w:hAnsi="宋体" w:cs="宋体"/>
          <w:b/>
          <w:bCs/>
          <w:szCs w:val="21"/>
          <w:highlight w:val="none"/>
        </w:rPr>
        <w:t>.2内涝点信息管理</w:t>
      </w:r>
    </w:p>
    <w:p>
      <w:pPr>
        <w:spacing w:line="360" w:lineRule="auto"/>
        <w:ind w:firstLine="420" w:firstLineChars="200"/>
        <w:rPr>
          <w:rFonts w:ascii="宋体" w:hAnsi="宋体" w:cs="宋体"/>
          <w:highlight w:val="none"/>
        </w:rPr>
      </w:pPr>
      <w:r>
        <w:rPr>
          <w:rFonts w:ascii="宋体" w:hAnsi="宋体" w:cs="宋体"/>
          <w:highlight w:val="none"/>
        </w:rPr>
        <w:t>提供内涝点日常管理功能，包括移动端上报处理、内涝点审批、内涝点新增、内涝点修改、内涝点删除、内涝点查询、倒灌点管理、历史数据查询、历史数据详细信息、数据导入、数据导出等功能。</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3</w:t>
      </w:r>
      <w:r>
        <w:rPr>
          <w:rFonts w:hint="eastAsia" w:ascii="宋体" w:hAnsi="宋体" w:cs="宋体"/>
          <w:b/>
          <w:bCs/>
          <w:szCs w:val="21"/>
          <w:highlight w:val="none"/>
        </w:rPr>
        <w:t>.3内涝点实时监测</w:t>
      </w:r>
    </w:p>
    <w:p>
      <w:pPr>
        <w:spacing w:line="360" w:lineRule="auto"/>
        <w:ind w:firstLine="420" w:firstLineChars="200"/>
        <w:rPr>
          <w:rFonts w:ascii="宋体" w:hAnsi="宋体" w:cs="宋体"/>
          <w:highlight w:val="none"/>
        </w:rPr>
      </w:pPr>
      <w:r>
        <w:rPr>
          <w:rFonts w:ascii="宋体" w:hAnsi="宋体" w:cs="宋体"/>
          <w:highlight w:val="none"/>
        </w:rPr>
        <w:t>提供内涝点实时监测功能，包括市政雨水排口河道水位监测</w:t>
      </w:r>
      <w:r>
        <w:rPr>
          <w:rFonts w:hint="eastAsia" w:ascii="宋体" w:hAnsi="宋体" w:cs="宋体"/>
          <w:highlight w:val="none"/>
        </w:rPr>
        <w:t>展示、</w:t>
      </w:r>
      <w:r>
        <w:rPr>
          <w:rFonts w:ascii="宋体" w:hAnsi="宋体" w:cs="宋体"/>
          <w:highlight w:val="none"/>
        </w:rPr>
        <w:t>内涝点地图定位、倒灌点地图定位、内涝点关联管网设施地图定位、地图数据展示、地图操作工具、物联数据实时同步、监测数据综合查询、专题图图表显示、专题图过程线显示、多窗口对比分析等功能。</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3</w:t>
      </w:r>
      <w:r>
        <w:rPr>
          <w:rFonts w:hint="eastAsia" w:ascii="宋体" w:hAnsi="宋体" w:cs="宋体"/>
          <w:b/>
          <w:bCs/>
          <w:szCs w:val="21"/>
          <w:highlight w:val="none"/>
        </w:rPr>
        <w:t>.4内涝分析查询</w:t>
      </w:r>
    </w:p>
    <w:p>
      <w:pPr>
        <w:spacing w:line="360" w:lineRule="auto"/>
        <w:ind w:firstLine="420" w:firstLineChars="200"/>
        <w:rPr>
          <w:rFonts w:ascii="宋体" w:hAnsi="宋体" w:cs="宋体"/>
          <w:highlight w:val="none"/>
        </w:rPr>
      </w:pPr>
      <w:r>
        <w:rPr>
          <w:rFonts w:ascii="宋体" w:hAnsi="宋体" w:cs="宋体"/>
          <w:highlight w:val="none"/>
        </w:rPr>
        <w:t>提供江北区内涝精细分析结果查询和统计功能，</w:t>
      </w:r>
    </w:p>
    <w:p>
      <w:pPr>
        <w:spacing w:line="360" w:lineRule="auto"/>
        <w:ind w:firstLine="420" w:firstLineChars="200"/>
        <w:rPr>
          <w:rFonts w:ascii="宋体" w:hAnsi="宋体" w:cs="宋体"/>
          <w:highlight w:val="none"/>
        </w:rPr>
      </w:pPr>
      <w:r>
        <w:rPr>
          <w:rFonts w:ascii="宋体" w:hAnsi="宋体" w:cs="宋体"/>
          <w:highlight w:val="none"/>
        </w:rPr>
        <w:t>可查询江北区内降雨量数据、道路流速数据、积水深度分析结果、积水时间数据、内涝点模型构建展示、接入内涝点模型实时在线计算结果、管线水情分析结果、检查井溢流风险分析结果、排水管线过载分析结果、检查井过载风险分析结果、排放口流量分析结果、内涝分析评估结果等。</w:t>
      </w:r>
    </w:p>
    <w:p>
      <w:pPr>
        <w:spacing w:line="360" w:lineRule="auto"/>
        <w:ind w:firstLine="420" w:firstLineChars="200"/>
        <w:rPr>
          <w:rFonts w:ascii="宋体" w:hAnsi="宋体" w:cs="宋体"/>
          <w:highlight w:val="none"/>
        </w:rPr>
      </w:pPr>
      <w:r>
        <w:rPr>
          <w:rFonts w:ascii="宋体" w:hAnsi="宋体" w:cs="宋体"/>
          <w:highlight w:val="none"/>
        </w:rPr>
        <w:t>可统计内涝点信息、倒灌点信息等。</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3</w:t>
      </w:r>
      <w:r>
        <w:rPr>
          <w:rFonts w:hint="eastAsia" w:ascii="宋体" w:hAnsi="宋体" w:cs="宋体"/>
          <w:b/>
          <w:bCs/>
          <w:szCs w:val="21"/>
          <w:highlight w:val="none"/>
        </w:rPr>
        <w:t>.5预警预测</w:t>
      </w:r>
    </w:p>
    <w:p>
      <w:pPr>
        <w:spacing w:line="360" w:lineRule="auto"/>
        <w:ind w:firstLine="420" w:firstLineChars="200"/>
        <w:rPr>
          <w:highlight w:val="none"/>
        </w:rPr>
      </w:pPr>
      <w:r>
        <w:rPr>
          <w:highlight w:val="none"/>
        </w:rPr>
        <w:t>根据设备上传实时数据以及分析结果数据，提供预警预测功能，包括设备实时监测预警、模型预警预测。</w:t>
      </w:r>
    </w:p>
    <w:p>
      <w:pPr>
        <w:numPr>
          <w:ilvl w:val="0"/>
          <w:numId w:val="12"/>
        </w:numPr>
        <w:spacing w:line="360" w:lineRule="auto"/>
        <w:ind w:left="0" w:firstLine="420" w:firstLineChars="200"/>
        <w:rPr>
          <w:highlight w:val="none"/>
        </w:rPr>
      </w:pPr>
      <w:r>
        <w:rPr>
          <w:highlight w:val="none"/>
        </w:rPr>
        <w:t>预警预报信息管理</w:t>
      </w:r>
    </w:p>
    <w:p>
      <w:pPr>
        <w:spacing w:line="360" w:lineRule="auto"/>
        <w:ind w:firstLine="420" w:firstLineChars="200"/>
        <w:rPr>
          <w:highlight w:val="none"/>
        </w:rPr>
      </w:pPr>
      <w:r>
        <w:rPr>
          <w:highlight w:val="none"/>
        </w:rPr>
        <w:t>可对产生的预警进行整体管理，包含预警信息查看，关联生成事件工单并流转处理。</w:t>
      </w:r>
    </w:p>
    <w:p>
      <w:pPr>
        <w:numPr>
          <w:ilvl w:val="0"/>
          <w:numId w:val="12"/>
        </w:numPr>
        <w:spacing w:line="360" w:lineRule="auto"/>
        <w:ind w:left="0" w:firstLine="420" w:firstLineChars="200"/>
        <w:rPr>
          <w:highlight w:val="none"/>
        </w:rPr>
      </w:pPr>
      <w:r>
        <w:rPr>
          <w:highlight w:val="none"/>
        </w:rPr>
        <w:t>预警信息配置</w:t>
      </w:r>
    </w:p>
    <w:p>
      <w:pPr>
        <w:spacing w:line="360" w:lineRule="auto"/>
        <w:ind w:firstLine="420" w:firstLineChars="200"/>
        <w:rPr>
          <w:highlight w:val="none"/>
        </w:rPr>
      </w:pPr>
      <w:r>
        <w:rPr>
          <w:highlight w:val="none"/>
        </w:rPr>
        <w:t>可手动设置预警阈值，包含阈值数据新增、修改、删除。</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3</w:t>
      </w:r>
      <w:r>
        <w:rPr>
          <w:rFonts w:hint="eastAsia" w:ascii="宋体" w:hAnsi="宋体" w:cs="宋体"/>
          <w:b/>
          <w:bCs/>
          <w:szCs w:val="21"/>
          <w:highlight w:val="none"/>
        </w:rPr>
        <w:t>.6管网清疏</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3</w:t>
      </w:r>
      <w:r>
        <w:rPr>
          <w:rFonts w:hint="eastAsia" w:ascii="宋体" w:hAnsi="宋体" w:cs="宋体"/>
          <w:b/>
          <w:bCs/>
          <w:szCs w:val="21"/>
          <w:highlight w:val="none"/>
        </w:rPr>
        <w:t>.6.1内涝点清单</w:t>
      </w:r>
    </w:p>
    <w:p>
      <w:pPr>
        <w:spacing w:line="360" w:lineRule="auto"/>
        <w:ind w:firstLine="420" w:firstLineChars="200"/>
        <w:rPr>
          <w:highlight w:val="none"/>
        </w:rPr>
      </w:pPr>
      <w:r>
        <w:rPr>
          <w:highlight w:val="none"/>
        </w:rPr>
        <w:t>通过系统调用内涝点台账，在地图或列表中选择需要管网清疏的内涝点，生产该年度的管网清疏内涝点清单。</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3</w:t>
      </w:r>
      <w:r>
        <w:rPr>
          <w:rFonts w:hint="eastAsia" w:ascii="宋体" w:hAnsi="宋体" w:cs="宋体"/>
          <w:b/>
          <w:bCs/>
          <w:szCs w:val="21"/>
          <w:highlight w:val="none"/>
        </w:rPr>
        <w:t>.6.2设定清疏范围</w:t>
      </w:r>
    </w:p>
    <w:p>
      <w:pPr>
        <w:spacing w:line="360" w:lineRule="auto"/>
        <w:ind w:firstLine="420" w:firstLineChars="200"/>
        <w:rPr>
          <w:highlight w:val="none"/>
        </w:rPr>
      </w:pPr>
      <w:r>
        <w:rPr>
          <w:highlight w:val="none"/>
        </w:rPr>
        <w:t>选择管网清疏内涝点清单中的任意一个内涝点，可通过雨水分区关联、设施关联、任意多边形关联等方式设置需要清疏的管网设施，形成养护清单。每个内涝点可多次设置需要清疏的管网设施，重复的设施系统自动去重。</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3</w:t>
      </w:r>
      <w:r>
        <w:rPr>
          <w:rFonts w:hint="eastAsia" w:ascii="宋体" w:hAnsi="宋体" w:cs="宋体"/>
          <w:b/>
          <w:bCs/>
          <w:szCs w:val="21"/>
          <w:highlight w:val="none"/>
        </w:rPr>
        <w:t>.6.3发布清疏任务</w:t>
      </w:r>
    </w:p>
    <w:p>
      <w:pPr>
        <w:spacing w:line="360" w:lineRule="auto"/>
        <w:ind w:firstLine="420" w:firstLineChars="200"/>
        <w:rPr>
          <w:highlight w:val="none"/>
        </w:rPr>
      </w:pPr>
      <w:r>
        <w:rPr>
          <w:highlight w:val="none"/>
        </w:rPr>
        <w:t>设定好清疏范围的内涝点，可发布清疏任务，养护清单转到养护管理应用。</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3.</w:t>
      </w:r>
      <w:r>
        <w:rPr>
          <w:rFonts w:hint="eastAsia" w:ascii="宋体" w:hAnsi="宋体" w:cs="宋体"/>
          <w:b/>
          <w:bCs/>
          <w:szCs w:val="21"/>
          <w:highlight w:val="none"/>
        </w:rPr>
        <w:t>6.4清疏任务反馈</w:t>
      </w:r>
    </w:p>
    <w:p>
      <w:pPr>
        <w:spacing w:line="360" w:lineRule="auto"/>
        <w:ind w:firstLine="420" w:firstLineChars="200"/>
        <w:rPr>
          <w:highlight w:val="none"/>
        </w:rPr>
      </w:pPr>
      <w:r>
        <w:rPr>
          <w:highlight w:val="none"/>
        </w:rPr>
        <w:t>已完成养护的清疏任务，可通过系统查看养护情况。</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3</w:t>
      </w:r>
      <w:r>
        <w:rPr>
          <w:rFonts w:hint="eastAsia" w:ascii="宋体" w:hAnsi="宋体" w:cs="宋体"/>
          <w:b/>
          <w:bCs/>
          <w:szCs w:val="21"/>
          <w:highlight w:val="none"/>
        </w:rPr>
        <w:t>.7资源管理</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3</w:t>
      </w:r>
      <w:r>
        <w:rPr>
          <w:rFonts w:hint="eastAsia" w:ascii="宋体" w:hAnsi="宋体" w:cs="宋体"/>
          <w:b/>
          <w:bCs/>
          <w:szCs w:val="21"/>
          <w:highlight w:val="none"/>
        </w:rPr>
        <w:t>.7.1抢险队伍管理</w:t>
      </w:r>
    </w:p>
    <w:p>
      <w:pPr>
        <w:spacing w:line="360" w:lineRule="auto"/>
        <w:ind w:firstLine="420" w:firstLineChars="200"/>
        <w:rPr>
          <w:highlight w:val="none"/>
        </w:rPr>
      </w:pPr>
      <w:r>
        <w:rPr>
          <w:highlight w:val="none"/>
        </w:rPr>
        <w:t>提供对各级抢险队伍基本信息进行上报和确认的功能，包括所属级别、责任人、联系人、队伍成员、所属车辆、配备的物资等。</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3</w:t>
      </w:r>
      <w:r>
        <w:rPr>
          <w:rFonts w:hint="eastAsia" w:ascii="宋体" w:hAnsi="宋体" w:cs="宋体"/>
          <w:b/>
          <w:bCs/>
          <w:szCs w:val="21"/>
          <w:highlight w:val="none"/>
        </w:rPr>
        <w:t>.7.2物资管理</w:t>
      </w:r>
    </w:p>
    <w:p>
      <w:pPr>
        <w:spacing w:line="360" w:lineRule="auto"/>
        <w:ind w:firstLine="420" w:firstLineChars="200"/>
        <w:rPr>
          <w:highlight w:val="none"/>
        </w:rPr>
      </w:pPr>
      <w:r>
        <w:rPr>
          <w:highlight w:val="none"/>
        </w:rPr>
        <w:t>提供对防内涝应急物资的基本信息和状态进行上报和确认的功能，包括新增物资、物资统计、物资查询、物资维修、物资报废等。</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3</w:t>
      </w:r>
      <w:r>
        <w:rPr>
          <w:rFonts w:hint="eastAsia" w:ascii="宋体" w:hAnsi="宋体" w:cs="宋体"/>
          <w:b/>
          <w:bCs/>
          <w:szCs w:val="21"/>
          <w:highlight w:val="none"/>
        </w:rPr>
        <w:t>.7.3车辆管理</w:t>
      </w:r>
    </w:p>
    <w:p>
      <w:pPr>
        <w:spacing w:line="360" w:lineRule="auto"/>
        <w:ind w:firstLine="420" w:firstLineChars="200"/>
        <w:rPr>
          <w:highlight w:val="none"/>
        </w:rPr>
      </w:pPr>
      <w:r>
        <w:rPr>
          <w:highlight w:val="none"/>
        </w:rPr>
        <w:t>提供对防内涝应急各类车辆的基本信息和状态进行上报和确认功能，包括新增车辆、车辆统计、车辆查询、车辆维修、车辆报废等。</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3</w:t>
      </w:r>
      <w:r>
        <w:rPr>
          <w:rFonts w:hint="eastAsia" w:ascii="宋体" w:hAnsi="宋体" w:cs="宋体"/>
          <w:b/>
          <w:bCs/>
          <w:szCs w:val="21"/>
          <w:highlight w:val="none"/>
        </w:rPr>
        <w:t>.7.4布防点管理</w:t>
      </w:r>
    </w:p>
    <w:p>
      <w:pPr>
        <w:spacing w:line="360" w:lineRule="auto"/>
        <w:ind w:firstLine="420" w:firstLineChars="200"/>
        <w:rPr>
          <w:highlight w:val="none"/>
        </w:rPr>
      </w:pPr>
      <w:r>
        <w:rPr>
          <w:highlight w:val="none"/>
        </w:rPr>
        <w:t>提供对各抢险队伍布防点的基本信息进行上报和确认功能。</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3</w:t>
      </w:r>
      <w:r>
        <w:rPr>
          <w:rFonts w:hint="eastAsia" w:ascii="宋体" w:hAnsi="宋体" w:cs="宋体"/>
          <w:b/>
          <w:bCs/>
          <w:szCs w:val="21"/>
          <w:highlight w:val="none"/>
        </w:rPr>
        <w:t>.7.5抢险路线管理</w:t>
      </w:r>
    </w:p>
    <w:p>
      <w:pPr>
        <w:spacing w:line="360" w:lineRule="auto"/>
        <w:ind w:firstLine="420" w:firstLineChars="200"/>
        <w:rPr>
          <w:highlight w:val="none"/>
        </w:rPr>
      </w:pPr>
      <w:r>
        <w:rPr>
          <w:rFonts w:hint="eastAsia"/>
          <w:highlight w:val="none"/>
        </w:rPr>
        <w:t>提供对抢险队伍的抢险路线（包括最佳路线和备用路线）进行上报和确认的功能。</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4</w:t>
      </w:r>
      <w:r>
        <w:rPr>
          <w:rFonts w:hint="eastAsia" w:ascii="宋体" w:hAnsi="宋体" w:cs="宋体"/>
          <w:b/>
          <w:bCs/>
          <w:szCs w:val="21"/>
          <w:highlight w:val="none"/>
        </w:rPr>
        <w:t>农污设施监管</w:t>
      </w:r>
    </w:p>
    <w:p>
      <w:pPr>
        <w:spacing w:line="360" w:lineRule="auto"/>
        <w:ind w:firstLine="420" w:firstLineChars="200"/>
        <w:rPr>
          <w:highlight w:val="none"/>
        </w:rPr>
      </w:pPr>
      <w:r>
        <w:rPr>
          <w:highlight w:val="none"/>
        </w:rPr>
        <w:t>以污水设施日常巡检、问题上报和养护考核为主线，以云计算、物联网等信息技术为依托，整合江北区各农村生活污水设施点以及排水管点数据，实现了农村生活污水处理设施的日常巡查巡检和养护考核的信息化监管，对污水处理设施点信息进行统计分析，在线监测及远程监控，为领导决策提供依据。</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4</w:t>
      </w:r>
      <w:r>
        <w:rPr>
          <w:rFonts w:hint="eastAsia" w:ascii="宋体" w:hAnsi="宋体" w:cs="宋体"/>
          <w:b/>
          <w:bCs/>
          <w:szCs w:val="21"/>
          <w:highlight w:val="none"/>
        </w:rPr>
        <w:t>.1信息管理</w:t>
      </w:r>
    </w:p>
    <w:p>
      <w:pPr>
        <w:spacing w:line="360" w:lineRule="auto"/>
        <w:ind w:firstLine="420" w:firstLineChars="200"/>
        <w:rPr>
          <w:highlight w:val="none"/>
        </w:rPr>
      </w:pPr>
      <w:r>
        <w:rPr>
          <w:highlight w:val="none"/>
        </w:rPr>
        <w:t>支持对农村生活污水基础数据的查询、修改、打印、输出、版本管理、备份与恢复等操作。</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4</w:t>
      </w:r>
      <w:r>
        <w:rPr>
          <w:rFonts w:hint="eastAsia" w:ascii="宋体" w:hAnsi="宋体" w:cs="宋体"/>
          <w:b/>
          <w:bCs/>
          <w:szCs w:val="21"/>
          <w:highlight w:val="none"/>
        </w:rPr>
        <w:t>.1.1数据更新</w:t>
      </w:r>
    </w:p>
    <w:p>
      <w:pPr>
        <w:spacing w:line="360" w:lineRule="auto"/>
        <w:ind w:firstLine="420" w:firstLineChars="200"/>
        <w:rPr>
          <w:highlight w:val="none"/>
        </w:rPr>
      </w:pPr>
      <w:r>
        <w:rPr>
          <w:highlight w:val="none"/>
        </w:rPr>
        <w:t>基于移动端，在巡检过程中，将对变更污水处理设施及部件、污水管井等基础信息进行手动修改、删除。</w:t>
      </w:r>
    </w:p>
    <w:p>
      <w:pPr>
        <w:spacing w:line="360" w:lineRule="auto"/>
        <w:ind w:firstLine="420" w:firstLineChars="200"/>
        <w:rPr>
          <w:highlight w:val="none"/>
        </w:rPr>
      </w:pPr>
      <w:r>
        <w:rPr>
          <w:highlight w:val="none"/>
        </w:rPr>
        <w:t>基于移动端，在巡检过程中，标明窨井与上游窨井和下游窨井的连接关系，并摸查雨污属性与排水流向。</w:t>
      </w:r>
    </w:p>
    <w:p>
      <w:pPr>
        <w:spacing w:line="360" w:lineRule="auto"/>
        <w:ind w:firstLine="420" w:firstLineChars="200"/>
        <w:rPr>
          <w:highlight w:val="none"/>
        </w:rPr>
      </w:pPr>
      <w:r>
        <w:rPr>
          <w:highlight w:val="none"/>
        </w:rPr>
        <w:t>基于移动端，在巡检过程中，标明设施点与窨井的连接关系，并摸查雨污属性与排水流向。</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4</w:t>
      </w:r>
      <w:r>
        <w:rPr>
          <w:rFonts w:hint="eastAsia" w:ascii="宋体" w:hAnsi="宋体" w:cs="宋体"/>
          <w:b/>
          <w:bCs/>
          <w:szCs w:val="21"/>
          <w:highlight w:val="none"/>
        </w:rPr>
        <w:t>.1.2数据审核</w:t>
      </w:r>
    </w:p>
    <w:p>
      <w:pPr>
        <w:spacing w:line="360" w:lineRule="auto"/>
        <w:ind w:firstLine="420" w:firstLineChars="200"/>
        <w:rPr>
          <w:highlight w:val="none"/>
        </w:rPr>
      </w:pPr>
      <w:r>
        <w:rPr>
          <w:highlight w:val="none"/>
        </w:rPr>
        <w:t>对移动端手动录入的数据进行审核管理，审核员确认后将数据入库。</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4.</w:t>
      </w:r>
      <w:r>
        <w:rPr>
          <w:rFonts w:hint="eastAsia" w:ascii="宋体" w:hAnsi="宋体" w:cs="宋体"/>
          <w:b/>
          <w:bCs/>
          <w:szCs w:val="21"/>
          <w:highlight w:val="none"/>
        </w:rPr>
        <w:t>2档案管理</w:t>
      </w:r>
    </w:p>
    <w:p>
      <w:pPr>
        <w:spacing w:line="360" w:lineRule="auto"/>
        <w:ind w:firstLine="420" w:firstLineChars="200"/>
        <w:rPr>
          <w:highlight w:val="none"/>
        </w:rPr>
      </w:pPr>
      <w:r>
        <w:rPr>
          <w:highlight w:val="none"/>
        </w:rPr>
        <w:t>农村生活污水治理工程通常以涉农街道（镇）、乡、村为单位，作为相对独立的工程段，每个工程段均包含大量重要的图、文、影等档案资料，该子系统借用数据库技术将这些档案和地图结合，将文档信息关联至地图中。</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4</w:t>
      </w:r>
      <w:r>
        <w:rPr>
          <w:rFonts w:hint="eastAsia" w:ascii="宋体" w:hAnsi="宋体" w:cs="宋体"/>
          <w:b/>
          <w:bCs/>
          <w:szCs w:val="21"/>
          <w:highlight w:val="none"/>
        </w:rPr>
        <w:t>.3视频监控</w:t>
      </w:r>
    </w:p>
    <w:p>
      <w:pPr>
        <w:spacing w:line="360" w:lineRule="auto"/>
        <w:ind w:firstLine="420" w:firstLineChars="200"/>
        <w:rPr>
          <w:highlight w:val="none"/>
        </w:rPr>
      </w:pPr>
      <w:r>
        <w:rPr>
          <w:highlight w:val="none"/>
        </w:rPr>
        <w:t>建设了污水处理终端点位作为监控点，实现通过视频监控设备将远端监视点的图像同步地、实时地、直观地、高质量地传输到各图像监控中心，并可方便地实现存储、播放、控制等功能。</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5</w:t>
      </w:r>
      <w:r>
        <w:rPr>
          <w:rFonts w:hint="eastAsia" w:ascii="宋体" w:hAnsi="宋体" w:cs="宋体"/>
          <w:b/>
          <w:bCs/>
          <w:szCs w:val="21"/>
          <w:highlight w:val="none"/>
        </w:rPr>
        <w:t>管网动态资产管理</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5</w:t>
      </w:r>
      <w:r>
        <w:rPr>
          <w:rFonts w:hint="eastAsia" w:ascii="宋体" w:hAnsi="宋体" w:cs="宋体"/>
          <w:b/>
          <w:bCs/>
          <w:szCs w:val="21"/>
          <w:highlight w:val="none"/>
        </w:rPr>
        <w:t>.1设备设施资产管理</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hint="eastAsia" w:ascii="宋体" w:hAnsi="宋体" w:cs="宋体"/>
          <w:highlight w:val="none"/>
        </w:rPr>
        <w:t>（1）设备管理</w:t>
      </w:r>
    </w:p>
    <w:p>
      <w:pPr>
        <w:spacing w:line="360" w:lineRule="auto"/>
        <w:ind w:firstLine="420" w:firstLineChars="200"/>
        <w:rPr>
          <w:rFonts w:ascii="宋体" w:hAnsi="宋体" w:cs="宋体"/>
          <w:highlight w:val="none"/>
        </w:rPr>
      </w:pPr>
      <w:r>
        <w:rPr>
          <w:rFonts w:hint="eastAsia" w:ascii="宋体" w:hAnsi="宋体" w:cs="宋体"/>
          <w:highlight w:val="none"/>
        </w:rPr>
        <w:t>设备管理主要实现设备数据的实时历史数据接入及控制质量下发，设备管理包括以下几部分：网关列表、网关地图、设备模型、设备地图、设备测点、数据通道。</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hint="eastAsia" w:ascii="宋体" w:hAnsi="宋体" w:cs="宋体"/>
          <w:highlight w:val="none"/>
        </w:rPr>
        <w:t>（2）设备保养管理</w:t>
      </w:r>
    </w:p>
    <w:p>
      <w:pPr>
        <w:spacing w:line="360" w:lineRule="auto"/>
        <w:ind w:firstLine="420" w:firstLineChars="200"/>
        <w:rPr>
          <w:rFonts w:ascii="宋体" w:hAnsi="宋体" w:cs="宋体"/>
          <w:highlight w:val="none"/>
        </w:rPr>
      </w:pPr>
      <w:r>
        <w:rPr>
          <w:rFonts w:hint="eastAsia" w:ascii="宋体" w:hAnsi="宋体" w:cs="宋体"/>
          <w:highlight w:val="none"/>
        </w:rPr>
        <w:t>保养管理，包括以下几部分：保养告警、保养记录、保养类型设置、保养逻辑设置。</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hint="eastAsia" w:ascii="宋体" w:hAnsi="宋体" w:cs="宋体"/>
          <w:highlight w:val="none"/>
        </w:rPr>
        <w:t>（3）数据管理</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hint="eastAsia" w:ascii="宋体" w:hAnsi="宋体" w:cs="宋体"/>
          <w:highlight w:val="none"/>
        </w:rPr>
        <w:t>数据管理，用来后来验证查看数据，包括以下几部分：实时数据、历史数据、开关记录、数据清理。</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hint="eastAsia" w:ascii="宋体" w:hAnsi="宋体" w:cs="宋体"/>
          <w:highlight w:val="none"/>
        </w:rPr>
        <w:t>（4）报表管理</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hint="eastAsia" w:ascii="宋体" w:hAnsi="宋体" w:cs="宋体"/>
          <w:highlight w:val="none"/>
        </w:rPr>
        <w:t>内置两种报表，分别是快照报表和统计报表，支持时、日、周、月4种报表类型。</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hint="eastAsia" w:ascii="宋体" w:hAnsi="宋体" w:cs="宋体"/>
          <w:highlight w:val="none"/>
        </w:rPr>
        <w:t>（5）视频管理</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hint="eastAsia" w:ascii="宋体" w:hAnsi="宋体" w:cs="宋体"/>
          <w:highlight w:val="none"/>
        </w:rPr>
        <w:t>对接入的视频整体查看，切换等功能。</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hint="eastAsia" w:ascii="宋体" w:hAnsi="宋体" w:cs="宋体"/>
          <w:highlight w:val="none"/>
        </w:rPr>
        <w:t>（6）备品备件管理</w:t>
      </w:r>
    </w:p>
    <w:p>
      <w:pPr>
        <w:spacing w:line="360" w:lineRule="auto"/>
        <w:ind w:firstLine="420" w:firstLineChars="200"/>
        <w:rPr>
          <w:rFonts w:ascii="宋体" w:hAnsi="宋体" w:cs="宋体"/>
          <w:highlight w:val="none"/>
        </w:rPr>
      </w:pPr>
      <w:r>
        <w:rPr>
          <w:rFonts w:hint="eastAsia" w:ascii="宋体" w:hAnsi="宋体" w:cs="宋体"/>
          <w:highlight w:val="none"/>
        </w:rPr>
        <w:t>备品备件数量、入库、出库、采购提示。</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5</w:t>
      </w:r>
      <w:r>
        <w:rPr>
          <w:rFonts w:hint="eastAsia" w:ascii="宋体" w:hAnsi="宋体" w:cs="宋体"/>
          <w:b/>
          <w:bCs/>
          <w:szCs w:val="21"/>
          <w:highlight w:val="none"/>
        </w:rPr>
        <w:t>.2管网资产管理</w:t>
      </w:r>
    </w:p>
    <w:p>
      <w:pPr>
        <w:spacing w:line="360" w:lineRule="auto"/>
        <w:ind w:firstLine="420" w:firstLineChars="200"/>
        <w:rPr>
          <w:rFonts w:ascii="宋体" w:hAnsi="宋体" w:cs="宋体"/>
          <w:highlight w:val="none"/>
        </w:rPr>
      </w:pPr>
      <w:r>
        <w:rPr>
          <w:rFonts w:hint="eastAsia" w:ascii="宋体" w:hAnsi="宋体" w:cs="宋体"/>
          <w:highlight w:val="none"/>
        </w:rPr>
        <w:t>包括管网入库、管网展示、管网检测管理应用、动态资产评价等功能。</w:t>
      </w:r>
    </w:p>
    <w:p>
      <w:pPr>
        <w:numPr>
          <w:ilvl w:val="255"/>
          <w:numId w:val="0"/>
        </w:numPr>
        <w:spacing w:line="360" w:lineRule="auto"/>
        <w:ind w:firstLine="420" w:firstLineChars="200"/>
        <w:rPr>
          <w:rFonts w:ascii="宋体" w:hAnsi="宋体" w:cs="宋体"/>
          <w:highlight w:val="none"/>
        </w:rPr>
      </w:pPr>
      <w:r>
        <w:rPr>
          <w:rFonts w:hint="eastAsia" w:ascii="宋体" w:hAnsi="宋体" w:cs="宋体"/>
          <w:highlight w:val="none"/>
        </w:rPr>
        <w:t>（1）管网资产入库服务</w:t>
      </w:r>
    </w:p>
    <w:p>
      <w:pPr>
        <w:spacing w:line="360" w:lineRule="auto"/>
        <w:ind w:firstLine="420" w:firstLineChars="200"/>
        <w:rPr>
          <w:rFonts w:ascii="宋体" w:hAnsi="宋体" w:cs="宋体"/>
          <w:highlight w:val="none"/>
        </w:rPr>
      </w:pPr>
      <w:r>
        <w:rPr>
          <w:rFonts w:hint="eastAsia" w:ascii="宋体" w:hAnsi="宋体" w:cs="宋体"/>
          <w:highlight w:val="none"/>
        </w:rPr>
        <w:t>利用各入库管理软件，针对市政管网及重点小区管网进行规范资产入库更新，并提供更新日志上传。</w:t>
      </w:r>
    </w:p>
    <w:p>
      <w:pPr>
        <w:numPr>
          <w:ilvl w:val="255"/>
          <w:numId w:val="0"/>
        </w:numPr>
        <w:spacing w:line="360" w:lineRule="auto"/>
        <w:ind w:firstLine="420" w:firstLineChars="200"/>
        <w:rPr>
          <w:rFonts w:ascii="宋体" w:hAnsi="宋体" w:cs="宋体"/>
          <w:highlight w:val="none"/>
        </w:rPr>
      </w:pPr>
      <w:r>
        <w:rPr>
          <w:rFonts w:hint="eastAsia" w:ascii="宋体" w:hAnsi="宋体" w:cs="宋体"/>
          <w:highlight w:val="none"/>
        </w:rPr>
        <w:t>①管网测绘数据校验入库</w:t>
      </w:r>
    </w:p>
    <w:p>
      <w:pPr>
        <w:spacing w:line="360" w:lineRule="auto"/>
        <w:ind w:firstLine="420" w:firstLineChars="200"/>
        <w:rPr>
          <w:rFonts w:ascii="宋体" w:hAnsi="宋体" w:cs="宋体"/>
          <w:highlight w:val="none"/>
        </w:rPr>
      </w:pPr>
      <w:r>
        <w:rPr>
          <w:rFonts w:hint="eastAsia" w:ascii="宋体" w:hAnsi="宋体" w:cs="宋体"/>
          <w:highlight w:val="none"/>
        </w:rPr>
        <w:t>管网资产质检入库系统支持对各类坐标系数据进行测绘行业标准和业务应用标准质检入库，并更新到大数据中心一张图，且满足大数据中心一张图更新审核机制。</w:t>
      </w:r>
    </w:p>
    <w:p>
      <w:pPr>
        <w:numPr>
          <w:ilvl w:val="255"/>
          <w:numId w:val="0"/>
        </w:numPr>
        <w:spacing w:line="360" w:lineRule="auto"/>
        <w:ind w:firstLine="420" w:firstLineChars="200"/>
        <w:rPr>
          <w:rFonts w:ascii="宋体" w:hAnsi="宋体" w:cs="宋体"/>
          <w:highlight w:val="none"/>
        </w:rPr>
      </w:pPr>
      <w:r>
        <w:rPr>
          <w:rFonts w:hint="eastAsia" w:ascii="宋体" w:hAnsi="宋体" w:cs="宋体"/>
          <w:highlight w:val="none"/>
        </w:rPr>
        <w:t>②管网检测资产入库服务</w:t>
      </w:r>
    </w:p>
    <w:p>
      <w:pPr>
        <w:spacing w:line="360" w:lineRule="auto"/>
        <w:ind w:firstLine="420" w:firstLineChars="200"/>
        <w:rPr>
          <w:rFonts w:ascii="宋体" w:hAnsi="宋体" w:cs="宋体"/>
          <w:highlight w:val="none"/>
        </w:rPr>
      </w:pPr>
      <w:r>
        <w:rPr>
          <w:rFonts w:hint="eastAsia" w:ascii="宋体" w:hAnsi="宋体" w:cs="宋体"/>
          <w:highlight w:val="none"/>
        </w:rPr>
        <w:t>对用户提交的目标管段每次检测的视频资料、缺陷照片、示意图和测绘图进行点号匹配入库，入库到管网检测资产管理系统进行全生命周期展示。</w:t>
      </w:r>
    </w:p>
    <w:p>
      <w:pPr>
        <w:numPr>
          <w:ilvl w:val="255"/>
          <w:numId w:val="0"/>
        </w:numPr>
        <w:spacing w:line="360" w:lineRule="auto"/>
        <w:ind w:firstLine="420" w:firstLineChars="200"/>
        <w:rPr>
          <w:rFonts w:ascii="宋体" w:hAnsi="宋体" w:cs="宋体"/>
          <w:highlight w:val="none"/>
        </w:rPr>
      </w:pPr>
      <w:r>
        <w:rPr>
          <w:rFonts w:hint="eastAsia" w:ascii="宋体" w:hAnsi="宋体" w:cs="宋体"/>
          <w:highlight w:val="none"/>
        </w:rPr>
        <w:t>③管网摸排入库服务</w:t>
      </w:r>
    </w:p>
    <w:p>
      <w:pPr>
        <w:spacing w:line="360" w:lineRule="auto"/>
        <w:ind w:firstLine="420" w:firstLineChars="200"/>
        <w:rPr>
          <w:rFonts w:ascii="宋体" w:hAnsi="宋体" w:cs="宋体"/>
          <w:highlight w:val="none"/>
        </w:rPr>
      </w:pPr>
      <w:r>
        <w:rPr>
          <w:rFonts w:hint="eastAsia" w:ascii="宋体" w:hAnsi="宋体" w:cs="宋体"/>
          <w:highlight w:val="none"/>
        </w:rPr>
        <w:t>对历史管网资料与现状不符的情况，通过测绘物探及水质检测等初级摸排诊断手段，摸清管网走向及核实管径、埋深、井底标高等属性，最终进行规范入库并实现一张图展示。</w:t>
      </w:r>
    </w:p>
    <w:p>
      <w:pPr>
        <w:numPr>
          <w:ilvl w:val="255"/>
          <w:numId w:val="0"/>
        </w:numPr>
        <w:spacing w:line="360" w:lineRule="auto"/>
        <w:ind w:firstLine="420" w:firstLineChars="200"/>
        <w:rPr>
          <w:rFonts w:ascii="宋体" w:hAnsi="宋体" w:cs="宋体"/>
          <w:highlight w:val="none"/>
        </w:rPr>
      </w:pPr>
      <w:r>
        <w:rPr>
          <w:rFonts w:hint="eastAsia" w:ascii="宋体" w:hAnsi="宋体" w:cs="宋体"/>
          <w:highlight w:val="none"/>
        </w:rPr>
        <w:t>④新建管网审查入库服务</w:t>
      </w:r>
    </w:p>
    <w:p>
      <w:pPr>
        <w:spacing w:line="360" w:lineRule="auto"/>
        <w:ind w:firstLine="420" w:firstLineChars="200"/>
        <w:rPr>
          <w:rFonts w:ascii="宋体" w:hAnsi="宋体" w:cs="宋体"/>
          <w:highlight w:val="none"/>
        </w:rPr>
      </w:pPr>
      <w:r>
        <w:rPr>
          <w:rFonts w:hint="eastAsia" w:ascii="宋体" w:hAnsi="宋体" w:cs="宋体"/>
          <w:highlight w:val="none"/>
        </w:rPr>
        <w:t>对各竣工管网数据进行审核入库，与现状不符的情况通知测绘单位复测整改数据资料，最终进行规范入库并实现一张图展示。</w:t>
      </w:r>
    </w:p>
    <w:p>
      <w:pPr>
        <w:numPr>
          <w:ilvl w:val="255"/>
          <w:numId w:val="0"/>
        </w:numPr>
        <w:spacing w:line="360" w:lineRule="auto"/>
        <w:ind w:firstLine="420" w:firstLineChars="200"/>
        <w:rPr>
          <w:rFonts w:ascii="宋体" w:hAnsi="宋体" w:cs="宋体"/>
          <w:highlight w:val="none"/>
        </w:rPr>
      </w:pPr>
      <w:r>
        <w:rPr>
          <w:rFonts w:hint="eastAsia" w:ascii="宋体" w:hAnsi="宋体" w:cs="宋体"/>
          <w:highlight w:val="none"/>
        </w:rPr>
        <w:t>（2）管网检测管理</w:t>
      </w:r>
    </w:p>
    <w:p>
      <w:pPr>
        <w:spacing w:line="360" w:lineRule="auto"/>
        <w:ind w:firstLine="420" w:firstLineChars="200"/>
        <w:rPr>
          <w:rFonts w:ascii="宋体" w:hAnsi="宋体" w:cs="宋体"/>
          <w:highlight w:val="none"/>
        </w:rPr>
      </w:pPr>
      <w:r>
        <w:rPr>
          <w:rFonts w:hint="eastAsia" w:ascii="宋体" w:hAnsi="宋体" w:cs="宋体"/>
          <w:highlight w:val="none"/>
        </w:rPr>
        <w:t>管网资产管理者进行排水管网巡查全流程、精细化、数字化的有效管理系统。</w:t>
      </w:r>
    </w:p>
    <w:p>
      <w:pPr>
        <w:spacing w:line="360" w:lineRule="auto"/>
        <w:ind w:firstLine="420" w:firstLineChars="200"/>
        <w:rPr>
          <w:rFonts w:ascii="宋体" w:hAnsi="宋体" w:cs="宋体"/>
          <w:highlight w:val="none"/>
        </w:rPr>
      </w:pPr>
      <w:r>
        <w:rPr>
          <w:rFonts w:hint="eastAsia" w:ascii="宋体" w:hAnsi="宋体" w:cs="宋体"/>
          <w:highlight w:val="none"/>
        </w:rPr>
        <w:t>CCTV视频检测数据或QV检测数据通过GIS建库，建立影射关系，在GIS上平台上点击拖拽即可浏览CCTV数据，并且可对管网破损情况进行直观的颜色展示和统计，支持二三维效果查看和检测结果直接交互。</w:t>
      </w:r>
    </w:p>
    <w:p>
      <w:pPr>
        <w:numPr>
          <w:ilvl w:val="255"/>
          <w:numId w:val="0"/>
        </w:numPr>
        <w:spacing w:line="360" w:lineRule="auto"/>
        <w:ind w:firstLine="420" w:firstLineChars="200"/>
        <w:rPr>
          <w:rFonts w:ascii="宋体" w:hAnsi="宋体" w:cs="宋体"/>
          <w:highlight w:val="none"/>
        </w:rPr>
      </w:pPr>
      <w:r>
        <w:rPr>
          <w:rFonts w:hint="eastAsia" w:ascii="宋体" w:hAnsi="宋体" w:cs="宋体"/>
          <w:highlight w:val="none"/>
        </w:rPr>
        <w:t>①管网摸排应用与数据管理</w:t>
      </w:r>
    </w:p>
    <w:p>
      <w:pPr>
        <w:spacing w:line="360" w:lineRule="auto"/>
        <w:ind w:firstLine="420" w:firstLineChars="200"/>
        <w:rPr>
          <w:rFonts w:ascii="宋体" w:hAnsi="宋体" w:cs="宋体"/>
          <w:highlight w:val="none"/>
        </w:rPr>
      </w:pPr>
      <w:r>
        <w:rPr>
          <w:rFonts w:hint="eastAsia" w:ascii="宋体" w:hAnsi="宋体" w:cs="宋体"/>
          <w:highlight w:val="none"/>
        </w:rPr>
        <w:t>记录现场摸排时间、摸排手段、工具、人员、结果并进行入库管理，提供工程修复整改决策支持。</w:t>
      </w:r>
    </w:p>
    <w:p>
      <w:pPr>
        <w:numPr>
          <w:ilvl w:val="255"/>
          <w:numId w:val="0"/>
        </w:numPr>
        <w:spacing w:line="360" w:lineRule="auto"/>
        <w:ind w:firstLine="420" w:firstLineChars="200"/>
        <w:rPr>
          <w:rFonts w:ascii="宋体" w:hAnsi="宋体" w:cs="宋体"/>
          <w:highlight w:val="none"/>
        </w:rPr>
      </w:pPr>
      <w:r>
        <w:rPr>
          <w:rFonts w:hint="eastAsia" w:ascii="宋体" w:hAnsi="宋体" w:cs="宋体"/>
          <w:highlight w:val="none"/>
        </w:rPr>
        <w:t>②管道视频检测作业管理</w:t>
      </w:r>
    </w:p>
    <w:p>
      <w:pPr>
        <w:spacing w:line="360" w:lineRule="auto"/>
        <w:ind w:firstLine="420" w:firstLineChars="200"/>
        <w:rPr>
          <w:rFonts w:ascii="宋体" w:hAnsi="宋体" w:cs="宋体"/>
          <w:highlight w:val="none"/>
        </w:rPr>
      </w:pPr>
      <w:r>
        <w:rPr>
          <w:rFonts w:hint="eastAsia" w:ascii="宋体" w:hAnsi="宋体" w:cs="宋体"/>
          <w:highlight w:val="none"/>
        </w:rPr>
        <w:t>任务确定，工单发布，实施单位承接任务后通过软件，从管道封堵、清淤、冲洗、CCTV全流程作业进行管理。作业单位录入所有操作动作，并通过软件自动生成和人工录入（不能自动生成的数据）所有检测数据，包括横向角估计、横向直径的估计、管道弯曲角的估算、管道表面各点之间的距离测量、横截面面积测量（如根部侵入）、测量横截面上的距离（例如接头位移）、水位测量。</w:t>
      </w:r>
    </w:p>
    <w:p>
      <w:pPr>
        <w:numPr>
          <w:ilvl w:val="255"/>
          <w:numId w:val="0"/>
        </w:numPr>
        <w:spacing w:line="360" w:lineRule="auto"/>
        <w:ind w:firstLine="420" w:firstLineChars="200"/>
        <w:rPr>
          <w:rFonts w:ascii="宋体" w:hAnsi="宋体" w:cs="宋体"/>
          <w:highlight w:val="none"/>
        </w:rPr>
      </w:pPr>
      <w:r>
        <w:rPr>
          <w:rFonts w:hint="eastAsia" w:ascii="宋体" w:hAnsi="宋体" w:cs="宋体"/>
          <w:highlight w:val="none"/>
        </w:rPr>
        <w:t>③检查井视频检测作业管理</w:t>
      </w:r>
    </w:p>
    <w:p>
      <w:pPr>
        <w:spacing w:line="360" w:lineRule="auto"/>
        <w:ind w:firstLine="420" w:firstLineChars="200"/>
        <w:rPr>
          <w:rFonts w:ascii="宋体" w:hAnsi="宋体" w:cs="宋体"/>
          <w:highlight w:val="none"/>
        </w:rPr>
      </w:pPr>
      <w:r>
        <w:rPr>
          <w:rFonts w:hint="eastAsia" w:ascii="宋体" w:hAnsi="宋体" w:cs="宋体"/>
          <w:highlight w:val="none"/>
        </w:rPr>
        <w:t>利用激光雷达技术将检查井扫描建模入库，并进行检查井精细化检测和数据入库的管理系统。</w:t>
      </w:r>
    </w:p>
    <w:p>
      <w:pPr>
        <w:numPr>
          <w:ilvl w:val="255"/>
          <w:numId w:val="0"/>
        </w:numPr>
        <w:spacing w:line="360" w:lineRule="auto"/>
        <w:ind w:firstLine="420" w:firstLineChars="200"/>
        <w:rPr>
          <w:rFonts w:ascii="宋体" w:hAnsi="宋体" w:cs="宋体"/>
          <w:highlight w:val="none"/>
        </w:rPr>
      </w:pPr>
      <w:r>
        <w:rPr>
          <w:rFonts w:hint="eastAsia" w:ascii="宋体" w:hAnsi="宋体" w:cs="宋体"/>
          <w:highlight w:val="none"/>
        </w:rPr>
        <w:t>④管道闭水实验检测管理</w:t>
      </w:r>
    </w:p>
    <w:p>
      <w:pPr>
        <w:spacing w:line="360" w:lineRule="auto"/>
        <w:ind w:firstLine="420" w:firstLineChars="200"/>
        <w:rPr>
          <w:rFonts w:ascii="宋体" w:hAnsi="宋体" w:cs="宋体"/>
          <w:highlight w:val="none"/>
        </w:rPr>
      </w:pPr>
      <w:r>
        <w:rPr>
          <w:rFonts w:hint="eastAsia" w:ascii="宋体" w:hAnsi="宋体" w:cs="宋体"/>
          <w:highlight w:val="none"/>
        </w:rPr>
        <w:t>针对管道闭水实验流程以及管道气体压力变化过程自动录入并自动给出闭水实验是否合格的判定结果。</w:t>
      </w:r>
    </w:p>
    <w:p>
      <w:pPr>
        <w:numPr>
          <w:ilvl w:val="255"/>
          <w:numId w:val="0"/>
        </w:numPr>
        <w:spacing w:line="360" w:lineRule="auto"/>
        <w:ind w:firstLine="420" w:firstLineChars="200"/>
        <w:rPr>
          <w:rFonts w:ascii="宋体" w:hAnsi="宋体" w:cs="宋体"/>
          <w:highlight w:val="none"/>
        </w:rPr>
      </w:pPr>
      <w:r>
        <w:rPr>
          <w:rFonts w:hint="eastAsia" w:ascii="宋体" w:hAnsi="宋体" w:cs="宋体"/>
          <w:highlight w:val="none"/>
        </w:rPr>
        <w:t>（3）管网资产评估</w:t>
      </w:r>
    </w:p>
    <w:p>
      <w:pPr>
        <w:spacing w:line="360" w:lineRule="auto"/>
        <w:ind w:firstLine="420" w:firstLineChars="200"/>
        <w:rPr>
          <w:rFonts w:ascii="宋体" w:hAnsi="宋体" w:cs="宋体"/>
          <w:highlight w:val="none"/>
        </w:rPr>
      </w:pPr>
      <w:r>
        <w:rPr>
          <w:rFonts w:hint="eastAsia" w:ascii="宋体" w:hAnsi="宋体" w:cs="宋体"/>
          <w:highlight w:val="none"/>
        </w:rPr>
        <w:t>统计分析已有检查资料，给出管道及检查井健康情况并给出修复建议。</w:t>
      </w:r>
    </w:p>
    <w:p>
      <w:pPr>
        <w:spacing w:line="360" w:lineRule="auto"/>
        <w:ind w:firstLine="420" w:firstLineChars="200"/>
        <w:rPr>
          <w:rFonts w:ascii="宋体" w:hAnsi="宋体" w:cs="宋体"/>
          <w:highlight w:val="none"/>
        </w:rPr>
      </w:pPr>
      <w:r>
        <w:rPr>
          <w:rFonts w:hint="eastAsia" w:ascii="宋体" w:hAnsi="宋体" w:cs="宋体"/>
          <w:highlight w:val="none"/>
        </w:rPr>
        <w:t>针对已入库检测资料定制生成专业CCTV检测报告，报告支持自定制字段及图表及地图图片及管道抽象图。</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5</w:t>
      </w:r>
      <w:r>
        <w:rPr>
          <w:rFonts w:hint="eastAsia" w:ascii="宋体" w:hAnsi="宋体" w:cs="宋体"/>
          <w:b/>
          <w:bCs/>
          <w:szCs w:val="21"/>
          <w:highlight w:val="none"/>
        </w:rPr>
        <w:t>.3管道修复改造管理</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hint="eastAsia" w:ascii="宋体" w:hAnsi="宋体" w:cs="宋体"/>
          <w:highlight w:val="none"/>
        </w:rPr>
        <w:t>修复改造，实现对管网修复、改造等相关事项的计划制定、实际执行情况等的台账管理，可统计遗留问题等信息，并支持依据关键字进行模糊查询。</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hint="eastAsia" w:ascii="宋体" w:hAnsi="宋体" w:cs="宋体"/>
          <w:highlight w:val="none"/>
        </w:rPr>
        <w:t>（1）修复改造日志</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hint="eastAsia" w:ascii="宋体" w:hAnsi="宋体" w:cs="宋体"/>
          <w:highlight w:val="none"/>
        </w:rPr>
        <w:t>提供修复改造内容的管理功能，具体功能包括修复改造日志的新增、修改、删除、查询与导出Excel数据功能。</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hint="eastAsia" w:ascii="宋体" w:hAnsi="宋体" w:cs="宋体"/>
          <w:highlight w:val="none"/>
        </w:rPr>
        <w:t>（2）计划管理</w:t>
      </w:r>
    </w:p>
    <w:p>
      <w:pPr>
        <w:numPr>
          <w:ilvl w:val="0"/>
          <w:numId w:val="13"/>
        </w:numPr>
        <w:tabs>
          <w:tab w:val="left" w:pos="100"/>
          <w:tab w:val="left" w:pos="425"/>
          <w:tab w:val="left" w:pos="993"/>
          <w:tab w:val="left" w:pos="1418"/>
        </w:tabs>
        <w:spacing w:line="360" w:lineRule="auto"/>
        <w:ind w:left="0" w:firstLine="420" w:firstLineChars="200"/>
        <w:rPr>
          <w:rFonts w:ascii="宋体" w:hAnsi="宋体" w:cs="宋体"/>
          <w:highlight w:val="none"/>
        </w:rPr>
      </w:pPr>
      <w:r>
        <w:rPr>
          <w:rFonts w:hint="eastAsia" w:ascii="宋体" w:hAnsi="宋体" w:cs="宋体"/>
          <w:highlight w:val="none"/>
        </w:rPr>
        <w:t>年度计划管理</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hint="eastAsia" w:ascii="宋体" w:hAnsi="宋体" w:cs="宋体"/>
          <w:highlight w:val="none"/>
        </w:rPr>
        <w:t>需提供排水管井修复改造年度计划的制定、管理与审核功能。</w:t>
      </w:r>
    </w:p>
    <w:p>
      <w:pPr>
        <w:numPr>
          <w:ilvl w:val="0"/>
          <w:numId w:val="13"/>
        </w:numPr>
        <w:tabs>
          <w:tab w:val="left" w:pos="100"/>
          <w:tab w:val="left" w:pos="425"/>
          <w:tab w:val="left" w:pos="993"/>
          <w:tab w:val="left" w:pos="1418"/>
        </w:tabs>
        <w:spacing w:line="360" w:lineRule="auto"/>
        <w:ind w:left="0" w:firstLine="420" w:firstLineChars="200"/>
        <w:rPr>
          <w:rFonts w:ascii="宋体" w:hAnsi="宋体" w:cs="宋体"/>
          <w:highlight w:val="none"/>
        </w:rPr>
      </w:pPr>
      <w:r>
        <w:rPr>
          <w:rFonts w:hint="eastAsia" w:ascii="宋体" w:hAnsi="宋体" w:cs="宋体"/>
          <w:highlight w:val="none"/>
        </w:rPr>
        <w:t>月度计划管理</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hint="eastAsia" w:ascii="宋体" w:hAnsi="宋体" w:cs="宋体"/>
          <w:highlight w:val="none"/>
        </w:rPr>
        <w:t>结合年度计划，提供设施修复改造月度计划的制定、管理与审核功能以及设施修复改造月度计划实际修复改造情况的上传与审核功能。</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hint="eastAsia" w:ascii="宋体" w:hAnsi="宋体" w:cs="宋体"/>
          <w:highlight w:val="none"/>
        </w:rPr>
        <w:t>（3）修复改造任务单管理</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hint="eastAsia" w:ascii="宋体" w:hAnsi="宋体" w:cs="宋体"/>
          <w:highlight w:val="none"/>
        </w:rPr>
        <w:t>提供修复改造任务单管理功能：实现针对修复改造计划，可生成修复改造任务单，以便施工单位根据修复改造单现场修复改造，一线人员并能上传修复改造结果。</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5</w:t>
      </w:r>
      <w:r>
        <w:rPr>
          <w:rFonts w:hint="eastAsia" w:ascii="宋体" w:hAnsi="宋体" w:cs="宋体"/>
          <w:b/>
          <w:bCs/>
          <w:szCs w:val="21"/>
          <w:highlight w:val="none"/>
        </w:rPr>
        <w:t>.4破坏取证管理</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ascii="宋体" w:hAnsi="宋体" w:cs="宋体"/>
          <w:highlight w:val="none"/>
        </w:rPr>
        <w:t>破坏取证，主要运维施工带来的对排水系统设备设施的损坏记录和系统化管理，可支持现场取证的视频、照片、文档等上传系统，系统支持记录数据的增删改查、关键字模糊查询和结果导出。</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排水工作管理</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.1事件管理</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.1.1全流程问题管理</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ascii="宋体" w:hAnsi="宋体" w:cs="宋体"/>
          <w:highlight w:val="none"/>
        </w:rPr>
        <w:t>提供排水户、排水管、排水口、农污等存在问题的上报、办理、核查、办结等环节的全流程问题管理功能。</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ascii="宋体" w:hAnsi="宋体" w:cs="宋体"/>
          <w:highlight w:val="none"/>
        </w:rPr>
        <w:t>提供内涝点处置流程，包括内涝点成因调查任务申请、内涝点成因调查任务下发、内涝点成因调查任务审批、内涝点成因调查结果记录、内涝点成因信息归档、内涝点整治任务申请、内涝点整治任务审批、内涝点整治任务下发、内涝点整治记录管理、内涝点整治权限管理等。</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.1.2问题处理全公开</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ascii="宋体" w:hAnsi="宋体" w:cs="宋体"/>
          <w:highlight w:val="none"/>
        </w:rPr>
        <w:t>直观的展示问题上报数据情况，其中各区用户能查看自己区上报的问题，并可以查看每个上报问题的详细数据。</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1.3问题处置</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ascii="宋体" w:hAnsi="宋体" w:cs="宋体"/>
          <w:highlight w:val="none"/>
        </w:rPr>
        <w:t>提供对问题的督办处理功能，包括督办内容、督办完成的时限、督办人、协办部门、其他信息填报等，一个问题可以多次督办。</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.1.4问题台账管理</w:t>
      </w:r>
    </w:p>
    <w:p>
      <w:pPr>
        <w:numPr>
          <w:ilvl w:val="3"/>
          <w:numId w:val="0"/>
        </w:numPr>
        <w:tabs>
          <w:tab w:val="left" w:pos="100"/>
          <w:tab w:val="left" w:pos="425"/>
          <w:tab w:val="left" w:pos="993"/>
          <w:tab w:val="left" w:pos="1418"/>
        </w:tabs>
        <w:spacing w:line="360" w:lineRule="auto"/>
        <w:ind w:firstLine="420" w:firstLineChars="200"/>
        <w:rPr>
          <w:rFonts w:ascii="宋体" w:hAnsi="宋体" w:cs="宋体"/>
          <w:highlight w:val="none"/>
        </w:rPr>
      </w:pPr>
      <w:r>
        <w:rPr>
          <w:rFonts w:ascii="宋体" w:hAnsi="宋体" w:cs="宋体"/>
          <w:highlight w:val="none"/>
        </w:rPr>
        <w:t>提供根据所在区、所在镇街等条件综合查询问题台账功能，并能导出台账数据。</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2日常巡查管理</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.2.1巡检管理</w:t>
      </w:r>
    </w:p>
    <w:p>
      <w:pPr>
        <w:widowControl/>
        <w:spacing w:line="360" w:lineRule="auto"/>
        <w:ind w:firstLine="420" w:firstLineChars="200"/>
        <w:jc w:val="left"/>
        <w:rPr>
          <w:rFonts w:ascii="宋体" w:hAnsi="宋体" w:cs="宋体"/>
          <w:highlight w:val="none"/>
        </w:rPr>
      </w:pPr>
      <w:r>
        <w:rPr>
          <w:rFonts w:hint="eastAsia" w:ascii="宋体" w:hAnsi="宋体" w:cs="宋体"/>
          <w:highlight w:val="none"/>
        </w:rPr>
        <w:t>（1）制定巡检计划</w:t>
      </w:r>
    </w:p>
    <w:p>
      <w:pPr>
        <w:widowControl/>
        <w:spacing w:line="360" w:lineRule="auto"/>
        <w:ind w:firstLine="420" w:firstLineChars="200"/>
        <w:jc w:val="left"/>
        <w:rPr>
          <w:rFonts w:ascii="宋体" w:hAnsi="宋体" w:cs="宋体"/>
          <w:highlight w:val="none"/>
        </w:rPr>
      </w:pPr>
      <w:r>
        <w:rPr>
          <w:rFonts w:hint="eastAsia" w:ascii="宋体" w:hAnsi="宋体" w:cs="宋体"/>
          <w:highlight w:val="none"/>
        </w:rPr>
        <w:t>支持根据日期周期性制定计划和指定日期制定巡检计划两种方式，满足实际工作的不同场景需要。如固定周期是常规巡检，特殊制定日期巡检可以用于特殊重要内容或是特殊时期的非常规巡检。</w:t>
      </w:r>
    </w:p>
    <w:p>
      <w:pPr>
        <w:widowControl/>
        <w:spacing w:line="360" w:lineRule="auto"/>
        <w:ind w:firstLine="420" w:firstLineChars="200"/>
        <w:jc w:val="left"/>
        <w:rPr>
          <w:rFonts w:ascii="宋体" w:hAnsi="宋体" w:cs="宋体"/>
          <w:highlight w:val="none"/>
        </w:rPr>
      </w:pPr>
      <w:r>
        <w:rPr>
          <w:rFonts w:hint="eastAsia" w:ascii="宋体" w:hAnsi="宋体" w:cs="宋体"/>
          <w:highlight w:val="none"/>
        </w:rPr>
        <w:t>（2）巡检记录</w:t>
      </w:r>
    </w:p>
    <w:p>
      <w:pPr>
        <w:widowControl/>
        <w:spacing w:line="360" w:lineRule="auto"/>
        <w:ind w:firstLine="420" w:firstLineChars="200"/>
        <w:jc w:val="left"/>
        <w:rPr>
          <w:rFonts w:ascii="宋体" w:hAnsi="宋体" w:cs="宋体"/>
          <w:highlight w:val="none"/>
        </w:rPr>
      </w:pPr>
      <w:r>
        <w:rPr>
          <w:rFonts w:hint="eastAsia" w:ascii="宋体" w:hAnsi="宋体" w:cs="宋体"/>
          <w:highlight w:val="none"/>
        </w:rPr>
        <w:t>手机端的所有巡检记录，会同时在web平台进行展示。可以查看巡检人员，巡检时间，巡检轨迹，巡检内容。</w:t>
      </w:r>
    </w:p>
    <w:p>
      <w:pPr>
        <w:widowControl/>
        <w:spacing w:line="360" w:lineRule="auto"/>
        <w:ind w:firstLine="420" w:firstLineChars="200"/>
        <w:jc w:val="left"/>
        <w:rPr>
          <w:rFonts w:ascii="宋体" w:hAnsi="宋体" w:cs="宋体"/>
          <w:highlight w:val="none"/>
        </w:rPr>
      </w:pPr>
      <w:r>
        <w:rPr>
          <w:rFonts w:hint="eastAsia" w:ascii="宋体" w:hAnsi="宋体" w:cs="宋体"/>
          <w:highlight w:val="none"/>
        </w:rPr>
        <w:t>（3）巡检报告</w:t>
      </w:r>
    </w:p>
    <w:p>
      <w:pPr>
        <w:widowControl/>
        <w:spacing w:line="360" w:lineRule="auto"/>
        <w:ind w:firstLine="420" w:firstLineChars="200"/>
        <w:jc w:val="left"/>
        <w:rPr>
          <w:rFonts w:ascii="宋体" w:hAnsi="宋体" w:cs="宋体"/>
          <w:highlight w:val="none"/>
        </w:rPr>
      </w:pPr>
      <w:r>
        <w:rPr>
          <w:rFonts w:hint="eastAsia" w:ascii="宋体" w:hAnsi="宋体" w:cs="宋体"/>
          <w:highlight w:val="none"/>
        </w:rPr>
        <w:t>平台根据人员巡检记录自动生成巡检报告，支持在线预览与导出保存。</w:t>
      </w:r>
    </w:p>
    <w:p>
      <w:pPr>
        <w:widowControl/>
        <w:spacing w:line="360" w:lineRule="auto"/>
        <w:ind w:firstLine="420" w:firstLineChars="200"/>
        <w:jc w:val="left"/>
        <w:rPr>
          <w:rFonts w:ascii="宋体" w:hAnsi="宋体" w:cs="宋体"/>
          <w:highlight w:val="none"/>
        </w:rPr>
      </w:pPr>
      <w:r>
        <w:rPr>
          <w:rFonts w:hint="eastAsia" w:ascii="宋体" w:hAnsi="宋体" w:cs="宋体"/>
          <w:highlight w:val="none"/>
        </w:rPr>
        <w:t>（4）统计分析</w:t>
      </w:r>
    </w:p>
    <w:p>
      <w:pPr>
        <w:widowControl/>
        <w:spacing w:line="360" w:lineRule="auto"/>
        <w:ind w:firstLine="420" w:firstLineChars="200"/>
        <w:jc w:val="left"/>
        <w:rPr>
          <w:rFonts w:ascii="宋体" w:hAnsi="宋体" w:cs="宋体"/>
          <w:highlight w:val="none"/>
        </w:rPr>
      </w:pPr>
      <w:r>
        <w:rPr>
          <w:rFonts w:hint="eastAsia" w:ascii="宋体" w:hAnsi="宋体" w:cs="宋体"/>
          <w:highlight w:val="none"/>
        </w:rPr>
        <w:t xml:space="preserve">支持通过巡检时间、巡检人员、巡检路线等条件做统计分析，自动生成曲线或报表，辅助管理人员清晰明了的了解巡检情况与进展。 </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.2.2AR三维展示管网</w:t>
      </w:r>
    </w:p>
    <w:p>
      <w:pPr>
        <w:widowControl/>
        <w:spacing w:line="360" w:lineRule="auto"/>
        <w:ind w:firstLine="420" w:firstLineChars="200"/>
        <w:jc w:val="left"/>
        <w:rPr>
          <w:rFonts w:ascii="宋体" w:hAnsi="宋体" w:cs="宋体"/>
          <w:highlight w:val="none"/>
        </w:rPr>
      </w:pPr>
      <w:r>
        <w:rPr>
          <w:rFonts w:ascii="宋体" w:hAnsi="宋体" w:cs="宋体"/>
          <w:highlight w:val="none"/>
        </w:rPr>
        <w:t xml:space="preserve">为了解决GPS定位不准确的问题，本系统采用GPS定位加视觉定位的二次定位法，快速找到水没、堆没或需要检查的检查井、排口、调蓄池等，增加对现场树、路灯杆、电线杆等的视觉识别，利用多种参照物对管网设备进行现场视觉定位，提高定位精确度与操作便利度。 </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.2.3智能匹配</w:t>
      </w:r>
    </w:p>
    <w:p>
      <w:pPr>
        <w:widowControl/>
        <w:spacing w:line="360" w:lineRule="auto"/>
        <w:ind w:firstLine="420" w:firstLineChars="200"/>
        <w:jc w:val="left"/>
        <w:rPr>
          <w:rFonts w:ascii="宋体" w:hAnsi="宋体" w:cs="宋体"/>
          <w:highlight w:val="none"/>
        </w:rPr>
      </w:pPr>
      <w:r>
        <w:rPr>
          <w:rFonts w:ascii="宋体" w:hAnsi="宋体" w:cs="宋体"/>
          <w:highlight w:val="none"/>
        </w:rPr>
        <w:t>通过AI视觉识别技术，与关系三维匹配算法实现对现场环境参照物的建模、匹配和融合。具体地，在当前任务范围内，找到附近的地面设备，使用手机屏幕中心准心对准地面设备不动，等待手机识别显示出地面设备模型，寻找地面设备附近的管线、排口、调蓄池、树、电线杆、路灯等物体，持续识别，直到场景匹配完成。智能采集现场环境参照物及特征，通过现场和数据的自动匹配，实现数据与环境的融合。</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.2.4数据核验</w:t>
      </w:r>
    </w:p>
    <w:p>
      <w:pPr>
        <w:widowControl/>
        <w:spacing w:line="360" w:lineRule="auto"/>
        <w:ind w:firstLine="420" w:firstLineChars="200"/>
        <w:jc w:val="left"/>
        <w:rPr>
          <w:rFonts w:ascii="宋体" w:hAnsi="宋体" w:cs="宋体"/>
          <w:highlight w:val="none"/>
        </w:rPr>
      </w:pPr>
      <w:r>
        <w:rPr>
          <w:rFonts w:ascii="宋体" w:hAnsi="宋体" w:cs="宋体"/>
          <w:highlight w:val="none"/>
        </w:rPr>
        <w:t>可利用AR技术现场对GIS管网数据进行核验，发现偏差能现场调整并上报后台供管理人员审核。</w:t>
      </w:r>
    </w:p>
    <w:p>
      <w:pPr>
        <w:widowControl/>
        <w:spacing w:line="360" w:lineRule="auto"/>
        <w:ind w:firstLine="420" w:firstLineChars="200"/>
        <w:jc w:val="left"/>
        <w:rPr>
          <w:rFonts w:ascii="宋体" w:hAnsi="宋体" w:cs="宋体"/>
          <w:highlight w:val="none"/>
        </w:rPr>
      </w:pPr>
      <w:r>
        <w:rPr>
          <w:rFonts w:ascii="宋体" w:hAnsi="宋体" w:cs="宋体"/>
          <w:highlight w:val="none"/>
        </w:rPr>
        <w:t xml:space="preserve">若巡检中用准心对准目标对象，可以查看对象的简要信息，点击后进一步查看详细信息，如发现GIS数据与现场实物不一致，可对GIS数据进行现场纠偏和更新；若发现未记录的，当场采集数据增添。实现对管网设备进行现场数据核验，包括增、删、改进行上报。 </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.2.5数据展示</w:t>
      </w:r>
    </w:p>
    <w:p>
      <w:pPr>
        <w:widowControl/>
        <w:spacing w:line="360" w:lineRule="auto"/>
        <w:ind w:firstLine="420" w:firstLineChars="200"/>
        <w:jc w:val="left"/>
        <w:rPr>
          <w:rFonts w:ascii="宋体" w:hAnsi="宋体" w:cs="宋体"/>
          <w:highlight w:val="none"/>
        </w:rPr>
      </w:pPr>
      <w:r>
        <w:rPr>
          <w:rFonts w:ascii="宋体" w:hAnsi="宋体" w:cs="宋体"/>
          <w:highlight w:val="none"/>
        </w:rPr>
        <w:t>支持在线设备（液位计、水质监测设备、运行工况等），并支持现场AR三维实景查看在线设备实时数据与历史数据等功能。</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.2.6信息审批</w:t>
      </w:r>
    </w:p>
    <w:p>
      <w:pPr>
        <w:widowControl/>
        <w:spacing w:line="360" w:lineRule="auto"/>
        <w:ind w:firstLine="420" w:firstLineChars="200"/>
        <w:jc w:val="left"/>
        <w:rPr>
          <w:rFonts w:ascii="宋体" w:hAnsi="宋体" w:cs="宋体"/>
          <w:highlight w:val="none"/>
        </w:rPr>
      </w:pPr>
      <w:r>
        <w:rPr>
          <w:rFonts w:ascii="宋体" w:hAnsi="宋体" w:cs="宋体"/>
          <w:highlight w:val="none"/>
        </w:rPr>
        <w:t>支持WEB端地图上显示的设备和管线属性信息与巡检信息进行核验记录，并对新增及修改的信息进行审批。</w:t>
      </w:r>
    </w:p>
    <w:p>
      <w:pPr>
        <w:widowControl/>
        <w:spacing w:line="360" w:lineRule="auto"/>
        <w:ind w:firstLine="420" w:firstLineChars="200"/>
        <w:jc w:val="left"/>
        <w:rPr>
          <w:rFonts w:ascii="宋体" w:hAnsi="宋体" w:cs="宋体"/>
          <w:highlight w:val="none"/>
        </w:rPr>
      </w:pPr>
      <w:r>
        <w:rPr>
          <w:rFonts w:ascii="宋体" w:hAnsi="宋体" w:cs="宋体"/>
          <w:highlight w:val="none"/>
        </w:rPr>
        <w:t>将屏幕中央准心对准目标设备，发现信息不符之处，可通过上报异常功能将上报结果上传至系统，异常上报时需说明异常原因，添加备注并拍照，上报提交后台审核。</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.2.7知识库</w:t>
      </w:r>
    </w:p>
    <w:p>
      <w:pPr>
        <w:widowControl/>
        <w:spacing w:line="360" w:lineRule="auto"/>
        <w:ind w:firstLine="420" w:firstLineChars="200"/>
        <w:jc w:val="left"/>
        <w:rPr>
          <w:rFonts w:ascii="宋体" w:hAnsi="宋体" w:cs="宋体"/>
          <w:highlight w:val="none"/>
        </w:rPr>
      </w:pPr>
      <w:r>
        <w:rPr>
          <w:rFonts w:ascii="宋体" w:hAnsi="宋体" w:cs="宋体"/>
          <w:highlight w:val="none"/>
        </w:rPr>
        <w:t xml:space="preserve">WEB端和手机端都可查看工作的历史记录，确保现场人员到岗并完成操作，用巡检录像功能做的录像方便查询和学习，形成维保工作知识库，进一步优化维保操作流程。 </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.2.8工单管理</w:t>
      </w:r>
    </w:p>
    <w:p>
      <w:pPr>
        <w:widowControl/>
        <w:spacing w:line="360" w:lineRule="auto"/>
        <w:ind w:firstLine="420" w:firstLineChars="200"/>
        <w:jc w:val="left"/>
        <w:rPr>
          <w:rFonts w:ascii="宋体" w:hAnsi="宋体" w:cs="宋体"/>
          <w:highlight w:val="none"/>
        </w:rPr>
      </w:pPr>
      <w:r>
        <w:rPr>
          <w:rFonts w:hint="eastAsia" w:ascii="宋体" w:hAnsi="宋体" w:cs="宋体"/>
          <w:highlight w:val="none"/>
        </w:rPr>
        <w:t>现场应用中，巡检与养护过程里都可能会遇到各种问题，需要不同部门的人员进行协调办公，这就需要专门的工单流程。平台会根据现场调研，制定满足实际的组织架构和工作流的工单流程。</w:t>
      </w:r>
    </w:p>
    <w:p>
      <w:pPr>
        <w:widowControl/>
        <w:spacing w:line="360" w:lineRule="auto"/>
        <w:ind w:firstLine="420" w:firstLineChars="200"/>
        <w:jc w:val="left"/>
        <w:rPr>
          <w:rFonts w:ascii="宋体" w:hAnsi="宋体" w:cs="宋体"/>
          <w:highlight w:val="none"/>
        </w:rPr>
      </w:pPr>
      <w:r>
        <w:rPr>
          <w:rFonts w:hint="eastAsia" w:ascii="宋体" w:hAnsi="宋体" w:cs="宋体"/>
          <w:highlight w:val="none"/>
        </w:rPr>
        <w:t>（1）工单来源</w:t>
      </w:r>
    </w:p>
    <w:p>
      <w:pPr>
        <w:widowControl/>
        <w:spacing w:line="360" w:lineRule="auto"/>
        <w:ind w:firstLine="420" w:firstLineChars="200"/>
        <w:jc w:val="left"/>
        <w:rPr>
          <w:rFonts w:ascii="宋体" w:hAnsi="宋体" w:cs="宋体"/>
          <w:highlight w:val="none"/>
        </w:rPr>
      </w:pPr>
      <w:r>
        <w:rPr>
          <w:rFonts w:hint="eastAsia" w:ascii="宋体" w:hAnsi="宋体" w:cs="宋体"/>
          <w:highlight w:val="none"/>
        </w:rPr>
        <w:t>工单来源主要有三类：线上上报（现场巡检养护人员利用手持端上报问题，或是附近居民扫描设施上的二维码，在小程序上进行的上报）、线下上报（通过电话或是其他线下方式的上报问题）、监测告警(通过告警设置的阈值，当设备监测数据达到告警阈值后，自动产生的告警上报)</w:t>
      </w:r>
    </w:p>
    <w:p>
      <w:pPr>
        <w:widowControl/>
        <w:spacing w:line="360" w:lineRule="auto"/>
        <w:ind w:firstLine="420" w:firstLineChars="200"/>
        <w:jc w:val="left"/>
        <w:rPr>
          <w:rFonts w:ascii="宋体" w:hAnsi="宋体" w:cs="宋体"/>
          <w:highlight w:val="none"/>
        </w:rPr>
      </w:pPr>
      <w:r>
        <w:rPr>
          <w:rFonts w:hint="eastAsia" w:ascii="宋体" w:hAnsi="宋体" w:cs="宋体"/>
          <w:highlight w:val="none"/>
        </w:rPr>
        <w:t>（2）工单推送</w:t>
      </w:r>
    </w:p>
    <w:p>
      <w:pPr>
        <w:widowControl/>
        <w:spacing w:line="360" w:lineRule="auto"/>
        <w:ind w:firstLine="420" w:firstLineChars="200"/>
        <w:jc w:val="left"/>
        <w:rPr>
          <w:rFonts w:ascii="宋体" w:hAnsi="宋体" w:cs="宋体"/>
          <w:highlight w:val="none"/>
        </w:rPr>
      </w:pPr>
      <w:r>
        <w:rPr>
          <w:rFonts w:hint="eastAsia" w:ascii="宋体" w:hAnsi="宋体" w:cs="宋体"/>
          <w:highlight w:val="none"/>
        </w:rPr>
        <w:t>根据调研后的结果，制定完善的工单流程，并可以根据角色和工单步骤，进行推送方式（APP端推送、站内信推送、微信推送等），推送人员的选择。</w:t>
      </w:r>
    </w:p>
    <w:p>
      <w:pPr>
        <w:widowControl/>
        <w:spacing w:line="360" w:lineRule="auto"/>
        <w:ind w:firstLine="420" w:firstLineChars="200"/>
        <w:jc w:val="left"/>
        <w:rPr>
          <w:rFonts w:ascii="宋体" w:hAnsi="宋体" w:cs="宋体"/>
          <w:highlight w:val="none"/>
        </w:rPr>
      </w:pPr>
      <w:r>
        <w:rPr>
          <w:rFonts w:hint="eastAsia" w:ascii="宋体" w:hAnsi="宋体" w:cs="宋体"/>
          <w:highlight w:val="none"/>
        </w:rPr>
        <w:t>（3）工单操作</w:t>
      </w:r>
    </w:p>
    <w:p>
      <w:pPr>
        <w:widowControl/>
        <w:spacing w:line="360" w:lineRule="auto"/>
        <w:ind w:firstLine="420" w:firstLineChars="200"/>
        <w:jc w:val="left"/>
        <w:rPr>
          <w:rFonts w:ascii="宋体" w:hAnsi="宋体" w:cs="宋体"/>
          <w:highlight w:val="none"/>
        </w:rPr>
      </w:pPr>
      <w:r>
        <w:rPr>
          <w:rFonts w:hint="eastAsia" w:ascii="宋体" w:hAnsi="宋体" w:cs="宋体"/>
          <w:highlight w:val="none"/>
        </w:rPr>
        <w:t>根据用户的不同权限，以及在工单流程的中的不同角色，对工单的操作各不相同，如派发工单、转派工单、退回工单、催办工单、审核工单、结束工单等。</w:t>
      </w:r>
    </w:p>
    <w:p>
      <w:pPr>
        <w:widowControl/>
        <w:spacing w:line="360" w:lineRule="auto"/>
        <w:ind w:firstLine="420" w:firstLineChars="200"/>
        <w:jc w:val="left"/>
        <w:rPr>
          <w:rFonts w:ascii="宋体" w:hAnsi="宋体" w:cs="宋体"/>
          <w:highlight w:val="none"/>
        </w:rPr>
      </w:pPr>
      <w:r>
        <w:rPr>
          <w:rFonts w:hint="eastAsia" w:ascii="宋体" w:hAnsi="宋体" w:cs="宋体"/>
          <w:highlight w:val="none"/>
        </w:rPr>
        <w:t>（4）统计分析</w:t>
      </w:r>
    </w:p>
    <w:p>
      <w:pPr>
        <w:widowControl/>
        <w:spacing w:line="360" w:lineRule="auto"/>
        <w:ind w:firstLine="420" w:firstLineChars="200"/>
        <w:jc w:val="left"/>
        <w:rPr>
          <w:rFonts w:ascii="宋体" w:hAnsi="宋体" w:cs="宋体"/>
          <w:highlight w:val="none"/>
        </w:rPr>
      </w:pPr>
      <w:r>
        <w:rPr>
          <w:rFonts w:hint="eastAsia" w:ascii="宋体" w:hAnsi="宋体" w:cs="宋体"/>
          <w:highlight w:val="none"/>
        </w:rPr>
        <w:t>支持利用时间、工单类型、工单状态等条件对工单进行统计分析，通过分析得出最容易产生问题的设施、产生工单最多的区域、处理工单最快人员等。</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.3养护管理</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.3.1养护日志管理</w:t>
      </w:r>
    </w:p>
    <w:p>
      <w:pPr>
        <w:widowControl/>
        <w:spacing w:line="360" w:lineRule="auto"/>
        <w:ind w:firstLine="420" w:firstLineChars="200"/>
        <w:jc w:val="left"/>
        <w:rPr>
          <w:rFonts w:ascii="宋体" w:hAnsi="宋体" w:cs="宋体"/>
          <w:highlight w:val="none"/>
        </w:rPr>
      </w:pPr>
      <w:r>
        <w:rPr>
          <w:rFonts w:ascii="宋体" w:hAnsi="宋体" w:cs="宋体"/>
          <w:highlight w:val="none"/>
        </w:rPr>
        <w:t>提供日常养护内容的管理功能，具体功能包括养护日志的新增、修改、删除、查询与导出Excel数据功能。</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.3.2计划管理</w:t>
      </w:r>
    </w:p>
    <w:p>
      <w:pPr>
        <w:numPr>
          <w:ilvl w:val="0"/>
          <w:numId w:val="14"/>
        </w:numPr>
        <w:spacing w:line="360" w:lineRule="auto"/>
        <w:ind w:left="0" w:firstLine="420" w:firstLineChars="200"/>
        <w:rPr>
          <w:rFonts w:ascii="宋体" w:hAnsi="宋体" w:cs="宋体"/>
          <w:highlight w:val="none"/>
        </w:rPr>
      </w:pPr>
      <w:r>
        <w:rPr>
          <w:rFonts w:hint="eastAsia" w:ascii="宋体" w:hAnsi="宋体" w:cs="宋体"/>
          <w:highlight w:val="none"/>
        </w:rPr>
        <w:t>年度计划管理</w:t>
      </w:r>
    </w:p>
    <w:p>
      <w:pPr>
        <w:spacing w:line="360" w:lineRule="auto"/>
        <w:ind w:firstLine="420" w:firstLineChars="200"/>
        <w:rPr>
          <w:rFonts w:ascii="宋体" w:hAnsi="宋体" w:cs="宋体"/>
          <w:highlight w:val="none"/>
        </w:rPr>
      </w:pPr>
      <w:r>
        <w:rPr>
          <w:rFonts w:hint="eastAsia" w:ascii="宋体" w:hAnsi="宋体" w:cs="宋体"/>
          <w:highlight w:val="none"/>
        </w:rPr>
        <w:t>需提供排水管井养护年度计划的制定、管理与审核功能。</w:t>
      </w:r>
    </w:p>
    <w:p>
      <w:pPr>
        <w:numPr>
          <w:ilvl w:val="0"/>
          <w:numId w:val="14"/>
        </w:numPr>
        <w:spacing w:line="360" w:lineRule="auto"/>
        <w:ind w:left="0" w:firstLine="420" w:firstLineChars="200"/>
        <w:rPr>
          <w:rFonts w:ascii="宋体" w:hAnsi="宋体" w:cs="宋体"/>
          <w:highlight w:val="none"/>
        </w:rPr>
      </w:pPr>
      <w:r>
        <w:rPr>
          <w:rFonts w:hint="eastAsia" w:ascii="宋体" w:hAnsi="宋体" w:cs="宋体"/>
          <w:highlight w:val="none"/>
        </w:rPr>
        <w:t>月度计划管理</w:t>
      </w:r>
    </w:p>
    <w:p>
      <w:pPr>
        <w:spacing w:line="360" w:lineRule="auto"/>
        <w:ind w:firstLine="420" w:firstLineChars="200"/>
        <w:rPr>
          <w:rFonts w:ascii="宋体" w:hAnsi="宋体" w:cs="宋体"/>
          <w:highlight w:val="none"/>
        </w:rPr>
      </w:pPr>
      <w:r>
        <w:rPr>
          <w:rFonts w:hint="eastAsia" w:ascii="宋体" w:hAnsi="宋体" w:cs="宋体"/>
          <w:highlight w:val="none"/>
        </w:rPr>
        <w:t>结合年度计划，提供设施养护月度计划的制定、管理与审核功能以及设施养护月度计划实际养护情况的上传与审核功能。</w:t>
      </w:r>
    </w:p>
    <w:p>
      <w:pPr>
        <w:numPr>
          <w:ilvl w:val="0"/>
          <w:numId w:val="14"/>
        </w:numPr>
        <w:spacing w:line="360" w:lineRule="auto"/>
        <w:ind w:left="0" w:firstLine="420" w:firstLineChars="200"/>
        <w:rPr>
          <w:rFonts w:ascii="宋体" w:hAnsi="宋体" w:cs="宋体"/>
          <w:highlight w:val="none"/>
        </w:rPr>
      </w:pPr>
      <w:r>
        <w:rPr>
          <w:rFonts w:hint="eastAsia" w:ascii="宋体" w:hAnsi="宋体" w:cs="宋体"/>
          <w:highlight w:val="none"/>
        </w:rPr>
        <w:t>大中修计划管理</w:t>
      </w:r>
    </w:p>
    <w:p>
      <w:pPr>
        <w:spacing w:line="360" w:lineRule="auto"/>
        <w:ind w:firstLine="420" w:firstLineChars="200"/>
        <w:rPr>
          <w:rFonts w:ascii="宋体" w:hAnsi="宋体" w:cs="宋体"/>
          <w:highlight w:val="none"/>
        </w:rPr>
      </w:pPr>
      <w:r>
        <w:rPr>
          <w:rFonts w:hint="eastAsia" w:ascii="宋体" w:hAnsi="宋体" w:cs="宋体"/>
          <w:highlight w:val="none"/>
        </w:rPr>
        <w:t>提供排水管井大中修计划的制定、管理与审核功能以及大中修养护实际养护情况的上传与审核功能。</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.3.3养护任务单管理</w:t>
      </w:r>
    </w:p>
    <w:p>
      <w:pPr>
        <w:spacing w:line="360" w:lineRule="auto"/>
        <w:ind w:firstLine="420" w:firstLineChars="200"/>
        <w:rPr>
          <w:rFonts w:ascii="宋体" w:hAnsi="宋体" w:cs="宋体"/>
          <w:highlight w:val="none"/>
        </w:rPr>
      </w:pPr>
      <w:r>
        <w:rPr>
          <w:rFonts w:ascii="宋体" w:hAnsi="宋体" w:cs="宋体"/>
          <w:highlight w:val="none"/>
        </w:rPr>
        <w:t>提供养护任务单管理功能：实现针对养护计划，可生成养护任务单，以便一线养护人员根据养护单现场养护，并能上传养护结果。</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6</w:t>
      </w:r>
      <w:r>
        <w:rPr>
          <w:rFonts w:hint="eastAsia" w:ascii="宋体" w:hAnsi="宋体" w:cs="宋体"/>
          <w:b/>
          <w:bCs/>
          <w:szCs w:val="21"/>
          <w:highlight w:val="none"/>
        </w:rPr>
        <w:t>.4工程建设管理</w:t>
      </w:r>
    </w:p>
    <w:p>
      <w:pPr>
        <w:spacing w:line="360" w:lineRule="auto"/>
        <w:ind w:firstLine="420" w:firstLineChars="200"/>
        <w:rPr>
          <w:rFonts w:ascii="宋体" w:hAnsi="宋体" w:cs="宋体"/>
          <w:highlight w:val="none"/>
        </w:rPr>
      </w:pPr>
      <w:r>
        <w:rPr>
          <w:rFonts w:ascii="宋体" w:hAnsi="宋体" w:cs="宋体"/>
          <w:highlight w:val="none"/>
        </w:rPr>
        <w:t>工程建设类项目管理，主要功能点包括建设项目的施工备案、项目立项，项目进度，会议发起，竣工验收、付款申请等</w:t>
      </w:r>
    </w:p>
    <w:p>
      <w:pPr>
        <w:spacing w:line="360" w:lineRule="auto"/>
        <w:ind w:firstLine="420" w:firstLineChars="200"/>
        <w:rPr>
          <w:rFonts w:ascii="宋体" w:hAnsi="宋体" w:cs="宋体"/>
          <w:highlight w:val="none"/>
        </w:rPr>
      </w:pPr>
      <w:r>
        <w:rPr>
          <w:rFonts w:ascii="宋体" w:hAnsi="宋体" w:cs="宋体"/>
          <w:highlight w:val="none"/>
        </w:rPr>
        <w:t>施工备案主要实现对与排水设施相关的第三方施工的系统管理，包括施工工程名称、施工许可编号、施工单位、备案事件、操作人员、操作时间等进行自动汇总，支持施工备案数据的增删改查和模糊查询操作和结果导出。</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7</w:t>
      </w:r>
      <w:r>
        <w:rPr>
          <w:rFonts w:hint="eastAsia" w:ascii="宋体" w:hAnsi="宋体" w:cs="宋体"/>
          <w:b/>
          <w:bCs/>
          <w:szCs w:val="21"/>
          <w:highlight w:val="none"/>
        </w:rPr>
        <w:t>排水业务考核管理</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7</w:t>
      </w:r>
      <w:r>
        <w:rPr>
          <w:rFonts w:hint="eastAsia" w:ascii="宋体" w:hAnsi="宋体" w:cs="宋体"/>
          <w:b/>
          <w:bCs/>
          <w:szCs w:val="21"/>
          <w:highlight w:val="none"/>
        </w:rPr>
        <w:t>.1市政设施养护考核</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7</w:t>
      </w:r>
      <w:r>
        <w:rPr>
          <w:rFonts w:hint="eastAsia" w:ascii="宋体" w:hAnsi="宋体" w:cs="宋体"/>
          <w:b/>
          <w:bCs/>
          <w:szCs w:val="21"/>
          <w:highlight w:val="none"/>
        </w:rPr>
        <w:t>.1.1考核评分</w:t>
      </w:r>
    </w:p>
    <w:p>
      <w:pPr>
        <w:spacing w:line="360" w:lineRule="auto"/>
        <w:ind w:firstLine="420" w:firstLineChars="200"/>
        <w:rPr>
          <w:rFonts w:ascii="宋体" w:hAnsi="宋体" w:cs="宋体"/>
          <w:highlight w:val="none"/>
        </w:rPr>
      </w:pPr>
      <w:r>
        <w:rPr>
          <w:rFonts w:ascii="宋体" w:hAnsi="宋体" w:cs="宋体"/>
          <w:highlight w:val="none"/>
        </w:rPr>
        <w:t>养护考核专项小组人员根据排水管网养护质量考核评分表、泵站闸门养护质量考核评分表等电子考核评分表进行考核打分，手动录入不规范次数后，根据评分标准，自动生成各表单分数以及总分，并自动录入系统。</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7</w:t>
      </w:r>
      <w:r>
        <w:rPr>
          <w:rFonts w:hint="eastAsia" w:ascii="宋体" w:hAnsi="宋体" w:cs="宋体"/>
          <w:b/>
          <w:bCs/>
          <w:szCs w:val="21"/>
          <w:highlight w:val="none"/>
        </w:rPr>
        <w:t>.1.2</w:t>
      </w:r>
      <w:r>
        <w:rPr>
          <w:rFonts w:ascii="宋体" w:hAnsi="宋体" w:cs="宋体"/>
          <w:b/>
          <w:bCs/>
          <w:szCs w:val="21"/>
          <w:highlight w:val="none"/>
        </w:rPr>
        <w:t>考核扣罚</w:t>
      </w:r>
    </w:p>
    <w:p>
      <w:pPr>
        <w:spacing w:line="360" w:lineRule="auto"/>
        <w:ind w:firstLine="420" w:firstLineChars="200"/>
        <w:rPr>
          <w:rFonts w:ascii="宋体" w:hAnsi="宋体" w:cs="宋体"/>
          <w:highlight w:val="none"/>
        </w:rPr>
      </w:pPr>
      <w:r>
        <w:rPr>
          <w:rFonts w:ascii="宋体" w:hAnsi="宋体" w:cs="宋体"/>
          <w:highlight w:val="none"/>
        </w:rPr>
        <w:t>根据养护经费扣罚标准，结合考核评分，自动计算扣罚结果并录入系统。</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7</w:t>
      </w:r>
      <w:r>
        <w:rPr>
          <w:rFonts w:hint="eastAsia" w:ascii="宋体" w:hAnsi="宋体" w:cs="宋体"/>
          <w:b/>
          <w:bCs/>
          <w:szCs w:val="21"/>
          <w:highlight w:val="none"/>
        </w:rPr>
        <w:t>.1.3</w:t>
      </w:r>
      <w:r>
        <w:rPr>
          <w:rFonts w:ascii="宋体" w:hAnsi="宋体" w:cs="宋体"/>
          <w:b/>
          <w:bCs/>
          <w:szCs w:val="21"/>
          <w:highlight w:val="none"/>
        </w:rPr>
        <w:t>表单生成</w:t>
      </w:r>
    </w:p>
    <w:p>
      <w:pPr>
        <w:spacing w:line="360" w:lineRule="auto"/>
        <w:ind w:firstLine="420" w:firstLineChars="200"/>
        <w:rPr>
          <w:rFonts w:ascii="宋体" w:hAnsi="宋体" w:cs="宋体"/>
          <w:highlight w:val="none"/>
        </w:rPr>
      </w:pPr>
      <w:r>
        <w:rPr>
          <w:rFonts w:ascii="宋体" w:hAnsi="宋体" w:cs="宋体"/>
          <w:highlight w:val="none"/>
        </w:rPr>
        <w:t>根据考核评分及考核扣罚情况，自动生成相应表单。</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7</w:t>
      </w:r>
      <w:r>
        <w:rPr>
          <w:rFonts w:hint="eastAsia" w:ascii="宋体" w:hAnsi="宋体" w:cs="宋体"/>
          <w:b/>
          <w:bCs/>
          <w:szCs w:val="21"/>
          <w:highlight w:val="none"/>
        </w:rPr>
        <w:t>.1.4</w:t>
      </w:r>
      <w:r>
        <w:rPr>
          <w:rFonts w:ascii="宋体" w:hAnsi="宋体" w:cs="宋体"/>
          <w:b/>
          <w:bCs/>
          <w:szCs w:val="21"/>
          <w:highlight w:val="none"/>
        </w:rPr>
        <w:t>报表管理</w:t>
      </w:r>
    </w:p>
    <w:p>
      <w:pPr>
        <w:spacing w:line="360" w:lineRule="auto"/>
        <w:ind w:firstLine="420" w:firstLineChars="200"/>
        <w:rPr>
          <w:rFonts w:ascii="宋体" w:hAnsi="宋体" w:cs="宋体"/>
          <w:highlight w:val="none"/>
        </w:rPr>
      </w:pPr>
      <w:r>
        <w:rPr>
          <w:rFonts w:ascii="宋体" w:hAnsi="宋体" w:cs="宋体"/>
          <w:highlight w:val="none"/>
        </w:rPr>
        <w:t>可查看历史报表，并支持报表导入导出功能。</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7</w:t>
      </w:r>
      <w:r>
        <w:rPr>
          <w:rFonts w:hint="eastAsia" w:ascii="宋体" w:hAnsi="宋体" w:cs="宋体"/>
          <w:b/>
          <w:bCs/>
          <w:szCs w:val="21"/>
          <w:highlight w:val="none"/>
        </w:rPr>
        <w:t>.2农污监督考核管理</w:t>
      </w:r>
    </w:p>
    <w:p>
      <w:pPr>
        <w:spacing w:line="360" w:lineRule="auto"/>
        <w:ind w:firstLine="420" w:firstLineChars="200"/>
        <w:rPr>
          <w:rFonts w:ascii="宋体" w:hAnsi="宋体" w:cs="宋体"/>
          <w:highlight w:val="none"/>
        </w:rPr>
      </w:pPr>
      <w:r>
        <w:rPr>
          <w:rFonts w:ascii="宋体" w:hAnsi="宋体" w:cs="宋体"/>
          <w:highlight w:val="none"/>
        </w:rPr>
        <w:t>该子系统主要用于满足对设施点和行政村的考核需要，整合现有的作业方式，建立线上考核体系，考核人员针对每一个考核项进行打分，最终汇总提交，实现对设施点和行政村的考核。相关责任人可通过该系统对考核具体扣分项进行查看，并针对存在的问题及时解决。</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7</w:t>
      </w:r>
      <w:r>
        <w:rPr>
          <w:rFonts w:hint="eastAsia" w:ascii="宋体" w:hAnsi="宋体" w:cs="宋体"/>
          <w:b/>
          <w:bCs/>
          <w:szCs w:val="21"/>
          <w:highlight w:val="none"/>
        </w:rPr>
        <w:t>.2.1材料上报</w:t>
      </w:r>
    </w:p>
    <w:p>
      <w:pPr>
        <w:spacing w:line="360" w:lineRule="auto"/>
        <w:ind w:firstLine="420" w:firstLineChars="200"/>
        <w:rPr>
          <w:rFonts w:ascii="宋体" w:hAnsi="宋体" w:cs="宋体"/>
          <w:highlight w:val="none"/>
        </w:rPr>
      </w:pPr>
      <w:r>
        <w:rPr>
          <w:rFonts w:ascii="宋体" w:hAnsi="宋体" w:cs="宋体"/>
          <w:highlight w:val="none"/>
        </w:rPr>
        <w:t>填写上报信息并将考核报告、年度工作总结、工作台账、自查情况计分表、考核情况计分表、申请加分报告和相关证明材料等附件上报。支持word、excel、图片等附件上传以及材料的删除、修改、上报等功能。</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7</w:t>
      </w:r>
      <w:r>
        <w:rPr>
          <w:rFonts w:hint="eastAsia" w:ascii="宋体" w:hAnsi="宋体" w:cs="宋体"/>
          <w:b/>
          <w:bCs/>
          <w:szCs w:val="21"/>
          <w:highlight w:val="none"/>
        </w:rPr>
        <w:t>.2.2</w:t>
      </w:r>
      <w:r>
        <w:rPr>
          <w:rFonts w:ascii="宋体" w:hAnsi="宋体" w:cs="宋体"/>
          <w:b/>
          <w:bCs/>
          <w:szCs w:val="21"/>
          <w:highlight w:val="none"/>
        </w:rPr>
        <w:t>考核评估</w:t>
      </w:r>
    </w:p>
    <w:p>
      <w:pPr>
        <w:spacing w:line="360" w:lineRule="auto"/>
        <w:ind w:firstLine="420" w:firstLineChars="200"/>
        <w:rPr>
          <w:rFonts w:ascii="宋体" w:hAnsi="宋体" w:cs="宋体"/>
          <w:highlight w:val="none"/>
        </w:rPr>
      </w:pPr>
      <w:r>
        <w:rPr>
          <w:rFonts w:ascii="宋体" w:hAnsi="宋体" w:cs="宋体"/>
          <w:highlight w:val="none"/>
        </w:rPr>
        <w:t>考核人员针对各区县上传的材料进行打分，分值类别包含管理制度建设、保障措施落实、工作实效、社会综合评价、加分情况等5块指标，手动录入分数后，自动生成总分并录入档案中。</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7</w:t>
      </w:r>
      <w:r>
        <w:rPr>
          <w:rFonts w:hint="eastAsia" w:ascii="宋体" w:hAnsi="宋体" w:cs="宋体"/>
          <w:b/>
          <w:bCs/>
          <w:szCs w:val="21"/>
          <w:highlight w:val="none"/>
        </w:rPr>
        <w:t>.2.3考核排名</w:t>
      </w:r>
    </w:p>
    <w:p>
      <w:pPr>
        <w:spacing w:line="360" w:lineRule="auto"/>
        <w:ind w:firstLine="420" w:firstLineChars="200"/>
        <w:rPr>
          <w:rFonts w:ascii="宋体" w:hAnsi="宋体" w:cs="宋体"/>
          <w:highlight w:val="none"/>
        </w:rPr>
      </w:pPr>
      <w:r>
        <w:rPr>
          <w:rFonts w:ascii="宋体" w:hAnsi="宋体" w:cs="宋体"/>
          <w:highlight w:val="none"/>
        </w:rPr>
        <w:t>根据各街道分数情况展示排名情况表，可查看历史考核排名情况。</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8</w:t>
      </w:r>
      <w:r>
        <w:rPr>
          <w:rFonts w:hint="eastAsia" w:ascii="宋体" w:hAnsi="宋体" w:cs="宋体"/>
          <w:b/>
          <w:bCs/>
          <w:szCs w:val="21"/>
          <w:highlight w:val="none"/>
        </w:rPr>
        <w:t>系统对接</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8</w:t>
      </w:r>
      <w:r>
        <w:rPr>
          <w:rFonts w:hint="eastAsia" w:ascii="宋体" w:hAnsi="宋体" w:cs="宋体"/>
          <w:b/>
          <w:bCs/>
          <w:szCs w:val="21"/>
          <w:highlight w:val="none"/>
        </w:rPr>
        <w:t>.1</w:t>
      </w:r>
      <w:r>
        <w:rPr>
          <w:rFonts w:hint="eastAsia" w:ascii="宋体" w:hAnsi="宋体" w:cs="宋体"/>
          <w:b/>
          <w:bCs/>
          <w:szCs w:val="21"/>
          <w:highlight w:val="none"/>
          <w:lang w:val="en-US" w:eastAsia="zh-CN"/>
        </w:rPr>
        <w:t>综合执法处罚办案系统对接</w:t>
      </w:r>
    </w:p>
    <w:p>
      <w:pPr>
        <w:pStyle w:val="3"/>
        <w:spacing w:after="0" w:line="360" w:lineRule="auto"/>
        <w:ind w:left="0" w:leftChars="0" w:firstLine="420" w:firstLineChars="200"/>
        <w:rPr>
          <w:rFonts w:ascii="宋体" w:hAnsi="宋体" w:cs="宋体"/>
          <w:highlight w:val="none"/>
        </w:rPr>
      </w:pPr>
      <w:r>
        <w:rPr>
          <w:rFonts w:hint="eastAsia" w:ascii="宋体" w:hAnsi="宋体" w:cs="宋体"/>
          <w:highlight w:val="none"/>
          <w:lang w:val="en-US" w:eastAsia="zh-CN"/>
        </w:rPr>
        <w:t>将本系统排水执法业务相关的静态数据、动态运行数据同步到现有的综合执法处罚办案系统的数据池，以支撑各系统的协作和正常运行需要。</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8</w:t>
      </w:r>
      <w:r>
        <w:rPr>
          <w:rFonts w:hint="eastAsia" w:ascii="宋体" w:hAnsi="宋体" w:cs="宋体"/>
          <w:b/>
          <w:bCs/>
          <w:szCs w:val="21"/>
          <w:highlight w:val="none"/>
        </w:rPr>
        <w:t>.2市智慧水利系统对接</w:t>
      </w:r>
    </w:p>
    <w:p>
      <w:pPr>
        <w:spacing w:line="360" w:lineRule="auto"/>
        <w:ind w:firstLine="420" w:firstLineChars="200"/>
        <w:rPr>
          <w:rFonts w:ascii="宋体" w:hAnsi="宋体" w:cs="宋体"/>
          <w:highlight w:val="none"/>
        </w:rPr>
      </w:pPr>
      <w:r>
        <w:rPr>
          <w:rFonts w:ascii="宋体" w:hAnsi="宋体" w:cs="宋体"/>
          <w:highlight w:val="none"/>
        </w:rPr>
        <w:t>与市水利局平台对接，将物联感知数据上传至市智慧水利系统。</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8</w:t>
      </w:r>
      <w:r>
        <w:rPr>
          <w:rFonts w:hint="eastAsia" w:ascii="宋体" w:hAnsi="宋体" w:cs="宋体"/>
          <w:b/>
          <w:bCs/>
          <w:szCs w:val="21"/>
          <w:highlight w:val="none"/>
        </w:rPr>
        <w:t>.3江北区防涝防台系统对接</w:t>
      </w:r>
    </w:p>
    <w:p>
      <w:pPr>
        <w:spacing w:line="360" w:lineRule="auto"/>
        <w:ind w:firstLine="420" w:firstLineChars="200"/>
        <w:rPr>
          <w:rFonts w:ascii="宋体" w:hAnsi="宋体" w:cs="宋体"/>
          <w:highlight w:val="none"/>
        </w:rPr>
      </w:pPr>
      <w:r>
        <w:rPr>
          <w:rFonts w:ascii="宋体" w:hAnsi="宋体" w:cs="宋体"/>
          <w:highlight w:val="none"/>
        </w:rPr>
        <w:t>获取防汛防台任务数据，并反馈内涝点数据。</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8</w:t>
      </w:r>
      <w:r>
        <w:rPr>
          <w:rFonts w:hint="eastAsia" w:ascii="宋体" w:hAnsi="宋体" w:cs="宋体"/>
          <w:b/>
          <w:bCs/>
          <w:szCs w:val="21"/>
          <w:highlight w:val="none"/>
        </w:rPr>
        <w:t>.4江北区全域治理运行平台对接</w:t>
      </w:r>
    </w:p>
    <w:p>
      <w:pPr>
        <w:pStyle w:val="3"/>
        <w:spacing w:after="0" w:line="360" w:lineRule="auto"/>
        <w:ind w:left="0" w:leftChars="0" w:firstLine="420" w:firstLineChars="200"/>
        <w:rPr>
          <w:rFonts w:ascii="宋体" w:hAnsi="宋体" w:cs="宋体"/>
          <w:szCs w:val="21"/>
          <w:highlight w:val="none"/>
        </w:rPr>
      </w:pPr>
      <w:r>
        <w:rPr>
          <w:rFonts w:ascii="宋体" w:hAnsi="宋体" w:cs="宋体"/>
          <w:szCs w:val="21"/>
          <w:highlight w:val="none"/>
        </w:rPr>
        <w:t>获取排水相关事件，并反馈处置结果，形成闭环。</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8</w:t>
      </w:r>
      <w:r>
        <w:rPr>
          <w:rFonts w:hint="eastAsia" w:ascii="宋体" w:hAnsi="宋体" w:cs="宋体"/>
          <w:b/>
          <w:bCs/>
          <w:szCs w:val="21"/>
          <w:highlight w:val="none"/>
        </w:rPr>
        <w:t>.5乡镇街道排水系统对接</w:t>
      </w:r>
    </w:p>
    <w:p>
      <w:pPr>
        <w:pStyle w:val="3"/>
        <w:spacing w:after="0" w:line="360" w:lineRule="auto"/>
        <w:ind w:left="0" w:leftChars="0" w:firstLine="420" w:firstLineChars="200"/>
        <w:rPr>
          <w:rFonts w:ascii="宋体" w:hAnsi="宋体" w:cs="宋体"/>
          <w:szCs w:val="21"/>
          <w:highlight w:val="none"/>
        </w:rPr>
      </w:pPr>
      <w:r>
        <w:rPr>
          <w:rFonts w:ascii="宋体" w:hAnsi="宋体" w:cs="宋体"/>
          <w:szCs w:val="21"/>
          <w:highlight w:val="none"/>
        </w:rPr>
        <w:t>获取相关排水设施信息。</w:t>
      </w:r>
    </w:p>
    <w:p>
      <w:pPr>
        <w:pStyle w:val="3"/>
        <w:spacing w:after="0" w:line="360" w:lineRule="auto"/>
        <w:ind w:left="0" w:leftChars="0" w:firstLine="420" w:firstLineChars="200"/>
        <w:rPr>
          <w:rFonts w:hint="eastAsia" w:ascii="宋体" w:hAnsi="宋体" w:cs="宋体"/>
          <w:b/>
          <w:bCs/>
          <w:szCs w:val="21"/>
          <w:highlight w:val="none"/>
          <w:lang w:val="en-US" w:eastAsia="zh-CN"/>
        </w:rPr>
      </w:pPr>
      <w:r>
        <w:rPr>
          <w:rFonts w:hint="eastAsia" w:ascii="宋体" w:hAnsi="宋体" w:cs="宋体"/>
          <w:b/>
          <w:bCs/>
          <w:szCs w:val="21"/>
          <w:highlight w:val="none"/>
          <w:lang w:val="en-US" w:eastAsia="zh-CN"/>
        </w:rPr>
        <w:t>2.8.6宁波市城区内涝监测系统</w:t>
      </w:r>
    </w:p>
    <w:p>
      <w:pPr>
        <w:pStyle w:val="3"/>
        <w:spacing w:after="0" w:line="360" w:lineRule="auto"/>
        <w:ind w:left="0" w:leftChars="0"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对接宁波市城区内涝监测系统，获取江北城区内涝监测点位积水情况数据。</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9</w:t>
      </w:r>
      <w:r>
        <w:rPr>
          <w:rFonts w:hint="eastAsia" w:ascii="宋体" w:hAnsi="宋体" w:cs="宋体"/>
          <w:b/>
          <w:bCs/>
          <w:szCs w:val="21"/>
          <w:highlight w:val="none"/>
        </w:rPr>
        <w:t>移动端</w:t>
      </w:r>
    </w:p>
    <w:p>
      <w:pPr>
        <w:pStyle w:val="3"/>
        <w:spacing w:after="0" w:line="360" w:lineRule="auto"/>
        <w:ind w:left="0" w:leftChars="0" w:firstLine="420" w:firstLineChars="200"/>
        <w:rPr>
          <w:rFonts w:ascii="宋体" w:hAnsi="宋体" w:cs="宋体"/>
          <w:szCs w:val="21"/>
          <w:highlight w:val="none"/>
        </w:rPr>
      </w:pPr>
      <w:r>
        <w:rPr>
          <w:rFonts w:ascii="宋体" w:hAnsi="宋体" w:cs="宋体"/>
          <w:szCs w:val="21"/>
          <w:highlight w:val="none"/>
        </w:rPr>
        <w:t>排水设施巡检移动应用系统基于浙政钉开发，具备全区域排水设施精细管理、动态更新、实时监测和智能控制的功能，能够对污水流向和雨水流向全过程可视化查询、追溯与分析，同时为处置污水溢流、暴雨内涝等应急事件提供有效支撑，满足为排水空间规划、设计、排水设施改造与接驳提供决策支持的市场需求。</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9</w:t>
      </w:r>
      <w:r>
        <w:rPr>
          <w:rFonts w:hint="eastAsia" w:ascii="宋体" w:hAnsi="宋体" w:cs="宋体"/>
          <w:b/>
          <w:bCs/>
          <w:szCs w:val="21"/>
          <w:highlight w:val="none"/>
        </w:rPr>
        <w:t>.1人脸识别认证</w:t>
      </w:r>
    </w:p>
    <w:p>
      <w:pPr>
        <w:pStyle w:val="3"/>
        <w:spacing w:after="0" w:line="360" w:lineRule="auto"/>
        <w:ind w:left="0" w:leftChars="0" w:firstLine="420" w:firstLineChars="200"/>
        <w:rPr>
          <w:rFonts w:ascii="宋体" w:hAnsi="宋体" w:cs="宋体"/>
          <w:szCs w:val="21"/>
          <w:highlight w:val="none"/>
        </w:rPr>
      </w:pPr>
      <w:r>
        <w:rPr>
          <w:rFonts w:hint="eastAsia" w:ascii="宋体" w:hAnsi="宋体" w:cs="宋体"/>
          <w:szCs w:val="21"/>
          <w:highlight w:val="none"/>
        </w:rPr>
        <w:t>用户登录时，可通过人脸识别的方式登录系统。</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9</w:t>
      </w:r>
      <w:r>
        <w:rPr>
          <w:rFonts w:hint="eastAsia" w:ascii="宋体" w:hAnsi="宋体" w:cs="宋体"/>
          <w:b/>
          <w:bCs/>
          <w:szCs w:val="21"/>
          <w:highlight w:val="none"/>
        </w:rPr>
        <w:t>.2地图展示查询</w:t>
      </w:r>
    </w:p>
    <w:p>
      <w:pPr>
        <w:pStyle w:val="3"/>
        <w:spacing w:after="0" w:line="360" w:lineRule="auto"/>
        <w:ind w:left="0" w:leftChars="0" w:firstLine="420" w:firstLineChars="200"/>
        <w:rPr>
          <w:rFonts w:ascii="宋体" w:hAnsi="宋体" w:cs="宋体"/>
          <w:szCs w:val="21"/>
          <w:highlight w:val="none"/>
        </w:rPr>
      </w:pPr>
      <w:r>
        <w:rPr>
          <w:rFonts w:ascii="宋体" w:hAnsi="宋体" w:cs="宋体"/>
          <w:szCs w:val="21"/>
          <w:highlight w:val="none"/>
        </w:rPr>
        <w:t>实现空间信息、属性信息等查询，设施位置定位及现场人员实时快速定位。</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9</w:t>
      </w:r>
      <w:r>
        <w:rPr>
          <w:rFonts w:hint="eastAsia" w:ascii="宋体" w:hAnsi="宋体" w:cs="宋体"/>
          <w:b/>
          <w:bCs/>
          <w:szCs w:val="21"/>
          <w:highlight w:val="none"/>
        </w:rPr>
        <w:t>.3监测信息</w:t>
      </w:r>
    </w:p>
    <w:p>
      <w:pPr>
        <w:pStyle w:val="3"/>
        <w:spacing w:after="0" w:line="360" w:lineRule="auto"/>
        <w:ind w:left="0" w:leftChars="0" w:firstLine="420" w:firstLineChars="200"/>
        <w:rPr>
          <w:rFonts w:ascii="宋体" w:hAnsi="宋体" w:cs="宋体"/>
          <w:szCs w:val="21"/>
          <w:highlight w:val="none"/>
        </w:rPr>
      </w:pPr>
      <w:r>
        <w:rPr>
          <w:rFonts w:ascii="宋体" w:hAnsi="宋体" w:cs="宋体"/>
          <w:szCs w:val="21"/>
          <w:highlight w:val="none"/>
        </w:rPr>
        <w:t>实现液位、雨量、水质等监测数据实时查看，历史监测数据列表查询展示，在线监测数据异常情况的报警提示。</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9</w:t>
      </w:r>
      <w:r>
        <w:rPr>
          <w:rFonts w:hint="eastAsia" w:ascii="宋体" w:hAnsi="宋体" w:cs="宋体"/>
          <w:b/>
          <w:bCs/>
          <w:szCs w:val="21"/>
          <w:highlight w:val="none"/>
        </w:rPr>
        <w:t>.4日常工作</w:t>
      </w:r>
    </w:p>
    <w:p>
      <w:pPr>
        <w:pStyle w:val="3"/>
        <w:spacing w:after="0" w:line="360" w:lineRule="auto"/>
        <w:ind w:left="0" w:leftChars="0" w:firstLine="420" w:firstLineChars="200"/>
        <w:rPr>
          <w:rFonts w:ascii="宋体" w:hAnsi="宋体" w:cs="宋体"/>
          <w:szCs w:val="21"/>
          <w:highlight w:val="none"/>
        </w:rPr>
      </w:pPr>
      <w:r>
        <w:rPr>
          <w:rFonts w:ascii="宋体" w:hAnsi="宋体" w:cs="宋体"/>
          <w:szCs w:val="21"/>
          <w:highlight w:val="none"/>
        </w:rPr>
        <w:t>可实现日常事务的承接和办理流程；新闻动态、通知公告、经验交流、政策法规、红黑榜、操作须知和事务公开等信息的公示；数据新增-校核、问题上报、专业数据修补测等快捷方式；“巡检动态”实时动态展示等，让各级使用者更集中反馈处理的工作日常状态，确保直接有效沟通。</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9</w:t>
      </w:r>
      <w:r>
        <w:rPr>
          <w:rFonts w:hint="eastAsia" w:ascii="宋体" w:hAnsi="宋体" w:cs="宋体"/>
          <w:b/>
          <w:bCs/>
          <w:szCs w:val="21"/>
          <w:highlight w:val="none"/>
        </w:rPr>
        <w:t>.5数据统计</w:t>
      </w:r>
    </w:p>
    <w:p>
      <w:pPr>
        <w:pStyle w:val="3"/>
        <w:spacing w:after="0" w:line="360" w:lineRule="auto"/>
        <w:ind w:left="0" w:leftChars="0" w:firstLine="420" w:firstLineChars="200"/>
        <w:rPr>
          <w:rFonts w:ascii="宋体" w:hAnsi="宋体" w:cs="宋体"/>
          <w:szCs w:val="21"/>
          <w:highlight w:val="none"/>
        </w:rPr>
      </w:pPr>
      <w:r>
        <w:rPr>
          <w:rFonts w:ascii="宋体" w:hAnsi="宋体" w:cs="宋体"/>
          <w:szCs w:val="21"/>
          <w:highlight w:val="none"/>
        </w:rPr>
        <w:t>分区域、分事项、分时段对业务运转情况的动态进行考核、实时公示，具有“上报统计”和“签到统计”等功能，各用户可以通过多种图表统计功能清楚直观的查看的APP安装、设施上报、人员签到统计情况。</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9</w:t>
      </w:r>
      <w:r>
        <w:rPr>
          <w:rFonts w:hint="eastAsia" w:ascii="宋体" w:hAnsi="宋体" w:cs="宋体"/>
          <w:b/>
          <w:bCs/>
          <w:szCs w:val="21"/>
          <w:highlight w:val="none"/>
        </w:rPr>
        <w:t>.6档案信息查阅</w:t>
      </w:r>
    </w:p>
    <w:p>
      <w:pPr>
        <w:pStyle w:val="3"/>
        <w:spacing w:after="0" w:line="360" w:lineRule="auto"/>
        <w:ind w:left="0" w:leftChars="0" w:firstLine="420" w:firstLineChars="200"/>
        <w:rPr>
          <w:rFonts w:ascii="宋体" w:hAnsi="宋体" w:cs="宋体"/>
          <w:szCs w:val="21"/>
          <w:highlight w:val="none"/>
        </w:rPr>
      </w:pPr>
      <w:r>
        <w:rPr>
          <w:rFonts w:ascii="宋体" w:hAnsi="宋体" w:cs="宋体"/>
          <w:szCs w:val="21"/>
          <w:highlight w:val="none"/>
        </w:rPr>
        <w:t>利用移动端的便携性以及信息传递的高效性，将后台数据连接导入，完成在移动端对设施全生命周期的展示与查看。对施工周期超长工程、维护记录过多设施、安全事故过多工程进行移动端显示预警，同时，实现对排水设施空间分布档案统计分析的移动端显示。</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2.</w:t>
      </w:r>
      <w:r>
        <w:rPr>
          <w:rFonts w:hint="eastAsia" w:ascii="宋体" w:hAnsi="宋体" w:cs="宋体"/>
          <w:b/>
          <w:bCs/>
          <w:szCs w:val="21"/>
          <w:highlight w:val="none"/>
          <w:lang w:val="en-US" w:eastAsia="zh-CN"/>
        </w:rPr>
        <w:t>9.</w:t>
      </w:r>
      <w:r>
        <w:rPr>
          <w:rFonts w:hint="eastAsia" w:ascii="宋体" w:hAnsi="宋体" w:cs="宋体"/>
          <w:b/>
          <w:bCs/>
          <w:szCs w:val="21"/>
          <w:highlight w:val="none"/>
        </w:rPr>
        <w:t>7我的</w:t>
      </w:r>
    </w:p>
    <w:p>
      <w:pPr>
        <w:pStyle w:val="3"/>
        <w:spacing w:after="0" w:line="360" w:lineRule="auto"/>
        <w:ind w:left="0" w:leftChars="0" w:firstLine="420" w:firstLineChars="200"/>
        <w:rPr>
          <w:rFonts w:ascii="宋体" w:hAnsi="宋体" w:cs="宋体"/>
          <w:szCs w:val="21"/>
          <w:highlight w:val="none"/>
        </w:rPr>
      </w:pPr>
      <w:r>
        <w:rPr>
          <w:rFonts w:ascii="宋体" w:hAnsi="宋体" w:cs="宋体"/>
          <w:szCs w:val="21"/>
          <w:highlight w:val="none"/>
        </w:rPr>
        <w:t>包括我的签到、我的巡检轨迹，个人资料（头像、姓名、电话、角色等）、我的数据、已审核通过数据反馈功能、我的处置（修改密码、当前版本）、法律申明、退出登录等功能。</w:t>
      </w:r>
    </w:p>
    <w:p>
      <w:pPr>
        <w:pStyle w:val="3"/>
        <w:spacing w:after="0" w:line="360" w:lineRule="auto"/>
        <w:ind w:left="0" w:leftChars="0" w:firstLine="420" w:firstLineChars="200"/>
        <w:jc w:val="left"/>
        <w:rPr>
          <w:rFonts w:ascii="微软雅黑" w:hAnsi="微软雅黑" w:eastAsia="微软雅黑" w:cs="微软雅黑"/>
          <w:b/>
          <w:bCs/>
          <w:szCs w:val="21"/>
          <w:highlight w:val="none"/>
        </w:rPr>
      </w:pPr>
      <w:bookmarkStart w:id="27" w:name="_Toc4971"/>
      <w:bookmarkStart w:id="28" w:name="_Toc32052"/>
      <w:r>
        <w:rPr>
          <w:rFonts w:hint="eastAsia" w:ascii="微软雅黑" w:hAnsi="微软雅黑" w:eastAsia="微软雅黑" w:cs="微软雅黑"/>
          <w:b/>
          <w:bCs/>
          <w:szCs w:val="21"/>
          <w:highlight w:val="none"/>
        </w:rPr>
        <w:t>二）应用支撑层（应用服务N系统）</w:t>
      </w:r>
      <w:bookmarkEnd w:id="27"/>
      <w:bookmarkEnd w:id="28"/>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1.</w:t>
      </w:r>
      <w:r>
        <w:rPr>
          <w:rFonts w:ascii="宋体" w:hAnsi="宋体" w:cs="宋体"/>
          <w:b/>
          <w:bCs/>
          <w:szCs w:val="21"/>
          <w:highlight w:val="none"/>
        </w:rPr>
        <w:t>智慧排水辅助决策模型</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1.1内涝预报模型</w:t>
      </w:r>
    </w:p>
    <w:p>
      <w:pPr>
        <w:pStyle w:val="3"/>
        <w:spacing w:after="0" w:line="360" w:lineRule="auto"/>
        <w:ind w:left="0" w:leftChars="0" w:firstLine="420" w:firstLineChars="200"/>
        <w:rPr>
          <w:rFonts w:ascii="宋体" w:hAnsi="宋体" w:cs="宋体"/>
          <w:b/>
          <w:bCs/>
          <w:szCs w:val="21"/>
          <w:highlight w:val="none"/>
        </w:rPr>
      </w:pPr>
      <w:r>
        <w:rPr>
          <w:rFonts w:hint="eastAsia" w:ascii="宋体" w:hAnsi="宋体" w:cs="宋体"/>
          <w:b/>
          <w:bCs/>
          <w:szCs w:val="21"/>
          <w:highlight w:val="none"/>
        </w:rPr>
        <w:t>1.1.1江北区内涝预报预警模型</w:t>
      </w:r>
    </w:p>
    <w:p>
      <w:pPr>
        <w:spacing w:line="360" w:lineRule="auto"/>
        <w:ind w:firstLine="420" w:firstLineChars="200"/>
        <w:rPr>
          <w:highlight w:val="none"/>
        </w:rPr>
      </w:pPr>
      <w:r>
        <w:rPr>
          <w:highlight w:val="none"/>
        </w:rPr>
        <w:t>以江北区地理边界为模型边界，在充分调研和分析数据的基础上构建三个基础模型，即江北区城市水文模型、江北区管网水动力学模型、江北区城市地表二维水动力学模型，然后通过耦合三个基础模型形成内涝精细预报预警模型，并完成模型参数的率定和验证。</w:t>
      </w:r>
    </w:p>
    <w:p>
      <w:pPr>
        <w:spacing w:line="360" w:lineRule="auto"/>
        <w:ind w:firstLine="420" w:firstLineChars="200"/>
        <w:rPr>
          <w:rFonts w:ascii="宋体" w:hAnsi="宋体" w:cs="宋体"/>
          <w:highlight w:val="none"/>
        </w:rPr>
      </w:pPr>
      <w:r>
        <w:rPr>
          <w:rFonts w:hint="eastAsia" w:ascii="宋体" w:hAnsi="宋体" w:cs="宋体"/>
          <w:highlight w:val="none"/>
        </w:rPr>
        <w:t>首先要建立江北区的暴雨短临预报系统，提供高精度的预报数据驱动内涝水力模型，包括:</w:t>
      </w:r>
    </w:p>
    <w:p>
      <w:pPr>
        <w:spacing w:line="360" w:lineRule="auto"/>
        <w:ind w:firstLine="420" w:firstLineChars="200"/>
        <w:rPr>
          <w:rFonts w:ascii="宋体" w:hAnsi="宋体" w:cs="宋体"/>
          <w:highlight w:val="none"/>
        </w:rPr>
      </w:pPr>
      <w:r>
        <w:rPr>
          <w:rFonts w:hint="eastAsia" w:ascii="宋体" w:hAnsi="宋体" w:cs="宋体"/>
          <w:highlight w:val="none"/>
        </w:rPr>
        <w:t>（1）短时暴雨监测</w:t>
      </w:r>
    </w:p>
    <w:p>
      <w:pPr>
        <w:spacing w:line="360" w:lineRule="auto"/>
        <w:ind w:firstLine="420" w:firstLineChars="200"/>
        <w:rPr>
          <w:rFonts w:ascii="宋体" w:hAnsi="宋体" w:cs="宋体"/>
          <w:highlight w:val="none"/>
        </w:rPr>
      </w:pPr>
      <w:r>
        <w:rPr>
          <w:rFonts w:hint="eastAsia" w:ascii="宋体" w:hAnsi="宋体" w:cs="宋体"/>
          <w:highlight w:val="none"/>
        </w:rPr>
        <w:t>基于自动站、雷达回波，实现降水的站点和格点监测，并对出现强降水的位置和区域进行预警提醒。</w:t>
      </w:r>
    </w:p>
    <w:p>
      <w:pPr>
        <w:spacing w:line="360" w:lineRule="auto"/>
        <w:ind w:firstLine="420" w:firstLineChars="200"/>
        <w:rPr>
          <w:rFonts w:ascii="宋体" w:hAnsi="宋体" w:cs="宋体"/>
          <w:highlight w:val="none"/>
        </w:rPr>
      </w:pPr>
      <w:r>
        <w:rPr>
          <w:rFonts w:hint="eastAsia" w:ascii="宋体" w:hAnsi="宋体" w:cs="宋体"/>
          <w:highlight w:val="none"/>
        </w:rPr>
        <w:t>（2）短时暴雨临近预报</w:t>
      </w:r>
    </w:p>
    <w:p>
      <w:pPr>
        <w:spacing w:line="360" w:lineRule="auto"/>
        <w:ind w:firstLine="420" w:firstLineChars="200"/>
        <w:rPr>
          <w:rFonts w:ascii="宋体" w:hAnsi="宋体" w:cs="宋体"/>
          <w:highlight w:val="none"/>
        </w:rPr>
      </w:pPr>
      <w:r>
        <w:rPr>
          <w:rFonts w:hint="eastAsia" w:ascii="宋体" w:hAnsi="宋体" w:cs="宋体"/>
          <w:highlight w:val="none"/>
        </w:rPr>
        <w:t>针对短时暴雨可能出现的江北区内涝，利用金字塔架构光流技术、强度守恒约束的半拉格朗日外推、融合技术等，实现0-2小时，逐10分钟刷新的高分辨率网格定量降水预报产品，并对短时暴雨的落区进行预警提醒。</w:t>
      </w:r>
    </w:p>
    <w:p>
      <w:pPr>
        <w:spacing w:line="360" w:lineRule="auto"/>
        <w:ind w:firstLine="420" w:firstLineChars="200"/>
        <w:rPr>
          <w:rFonts w:ascii="宋体" w:hAnsi="宋体" w:cs="宋体"/>
          <w:highlight w:val="none"/>
        </w:rPr>
      </w:pPr>
      <w:r>
        <w:rPr>
          <w:rFonts w:hint="eastAsia" w:ascii="宋体" w:hAnsi="宋体" w:cs="宋体"/>
          <w:highlight w:val="none"/>
        </w:rPr>
        <w:t>（3）短时暴雨短时预报</w:t>
      </w:r>
    </w:p>
    <w:p>
      <w:pPr>
        <w:spacing w:line="360" w:lineRule="auto"/>
        <w:ind w:firstLine="420" w:firstLineChars="200"/>
        <w:rPr>
          <w:rFonts w:ascii="宋体" w:hAnsi="宋体" w:cs="宋体"/>
          <w:highlight w:val="none"/>
        </w:rPr>
      </w:pPr>
      <w:r>
        <w:rPr>
          <w:rFonts w:hint="eastAsia" w:ascii="宋体" w:hAnsi="宋体" w:cs="宋体"/>
          <w:highlight w:val="none"/>
        </w:rPr>
        <w:t>针对未来2-12小时，利用已有的数值预报产品，进一步针对城区，特别是易涝点位进行降水量的精细化和要素订正，提供逐3小时更新的未来2-12小时每小时可能出现短时暴雨强度和位置的预报产品。</w:t>
      </w:r>
    </w:p>
    <w:p>
      <w:pPr>
        <w:spacing w:line="360" w:lineRule="auto"/>
        <w:ind w:firstLine="420" w:firstLineChars="200"/>
        <w:rPr>
          <w:rFonts w:ascii="宋体" w:hAnsi="宋体" w:cs="宋体"/>
          <w:highlight w:val="none"/>
        </w:rPr>
      </w:pPr>
      <w:r>
        <w:rPr>
          <w:rFonts w:hint="eastAsia" w:ascii="宋体" w:hAnsi="宋体" w:cs="宋体"/>
          <w:highlight w:val="none"/>
        </w:rPr>
        <w:t>（4）暴雨客观预警</w:t>
      </w:r>
    </w:p>
    <w:p>
      <w:pPr>
        <w:spacing w:line="360" w:lineRule="auto"/>
        <w:ind w:firstLine="420" w:firstLineChars="200"/>
        <w:rPr>
          <w:rFonts w:ascii="宋体" w:hAnsi="宋体" w:cs="宋体"/>
          <w:highlight w:val="none"/>
        </w:rPr>
      </w:pPr>
      <w:r>
        <w:rPr>
          <w:rFonts w:hint="eastAsia" w:ascii="宋体" w:hAnsi="宋体" w:cs="宋体"/>
          <w:highlight w:val="none"/>
        </w:rPr>
        <w:t>基于地理信息展示所监控范围，对江北区城区，特别是易涝点的降雨量、气温、风速等信息进行实时监控和统计分析，并依据阈值自动识别的短时暴雨位置、未来0-2小时、2-12小时的短时暴雨精细化网格点进行提醒。在以时间轴为横坐标的图表中显示当前的短时暴雨天气实况和报警标记提醒，暴雨级别根据预设的优先级别以不同颜色表示，实况和报警详情可进一步点击查看。以当前时间为中心，过去和现在时间主要展示实况暴雨天气等；未来时间的功能主要用来展示暴雨天气的落区预报。实况和预报的暴雨及降水量可在图上显示。</w:t>
      </w:r>
    </w:p>
    <w:p>
      <w:pPr>
        <w:spacing w:line="360" w:lineRule="auto"/>
        <w:ind w:firstLine="420" w:firstLineChars="200"/>
        <w:rPr>
          <w:rFonts w:ascii="宋体" w:hAnsi="宋体" w:cs="宋体"/>
          <w:highlight w:val="none"/>
        </w:rPr>
      </w:pPr>
      <w:r>
        <w:rPr>
          <w:rFonts w:hint="eastAsia" w:ascii="宋体" w:hAnsi="宋体" w:cs="宋体"/>
          <w:highlight w:val="none"/>
        </w:rPr>
        <w:t>此外，通过运用图像、文字、声光、闪烁等形式，在系统中分别在预警时间轴和地图上向用户进行暴雨天气预警的提示，为用户提供分级别、分区域的暴雨天气预警提醒的功能。</w:t>
      </w:r>
    </w:p>
    <w:p>
      <w:pPr>
        <w:spacing w:line="360" w:lineRule="auto"/>
        <w:ind w:firstLine="420" w:firstLineChars="200"/>
        <w:rPr>
          <w:highlight w:val="none"/>
        </w:rPr>
      </w:pPr>
      <w:r>
        <w:rPr>
          <w:rFonts w:hint="eastAsia" w:ascii="宋体" w:hAnsi="宋体" w:cs="宋体"/>
          <w:highlight w:val="none"/>
        </w:rPr>
        <w:t>建设江北区内涝精细预报预警模型进行分析应用，包括但不限于以下九个方面：</w:t>
      </w:r>
    </w:p>
    <w:p>
      <w:pPr>
        <w:spacing w:line="360" w:lineRule="auto"/>
        <w:ind w:firstLine="420" w:firstLineChars="200"/>
        <w:rPr>
          <w:highlight w:val="none"/>
        </w:rPr>
      </w:pPr>
      <w:r>
        <w:rPr>
          <w:highlight w:val="none"/>
        </w:rPr>
        <w:t>（1）基于雷达数据和模式数据，开展0-2短临小时或（0-24短时小时）预报，展示区域1km精度的降雨分布；</w:t>
      </w:r>
    </w:p>
    <w:p>
      <w:pPr>
        <w:spacing w:line="360" w:lineRule="auto"/>
        <w:ind w:firstLine="420" w:firstLineChars="200"/>
        <w:rPr>
          <w:highlight w:val="none"/>
        </w:rPr>
      </w:pPr>
      <w:r>
        <w:rPr>
          <w:highlight w:val="none"/>
        </w:rPr>
        <w:t>（</w:t>
      </w:r>
      <w:r>
        <w:rPr>
          <w:rFonts w:hint="eastAsia"/>
          <w:highlight w:val="none"/>
        </w:rPr>
        <w:t>2</w:t>
      </w:r>
      <w:r>
        <w:rPr>
          <w:highlight w:val="none"/>
        </w:rPr>
        <w:t>）基于历史实测降雨数据获得不同历史场次降雨下的内涝积水范围和积水深度；</w:t>
      </w:r>
    </w:p>
    <w:p>
      <w:pPr>
        <w:spacing w:line="360" w:lineRule="auto"/>
        <w:ind w:firstLine="420" w:firstLineChars="200"/>
        <w:rPr>
          <w:highlight w:val="none"/>
        </w:rPr>
      </w:pPr>
      <w:r>
        <w:rPr>
          <w:highlight w:val="none"/>
        </w:rPr>
        <w:t>（</w:t>
      </w:r>
      <w:r>
        <w:rPr>
          <w:rFonts w:hint="eastAsia"/>
          <w:highlight w:val="none"/>
        </w:rPr>
        <w:t>3</w:t>
      </w:r>
      <w:r>
        <w:rPr>
          <w:highlight w:val="none"/>
        </w:rPr>
        <w:t>）基于实时降雨数据获得实时的内涝积水范围和积水深度；</w:t>
      </w:r>
    </w:p>
    <w:p>
      <w:pPr>
        <w:spacing w:line="360" w:lineRule="auto"/>
        <w:ind w:firstLine="420" w:firstLineChars="200"/>
        <w:rPr>
          <w:highlight w:val="none"/>
        </w:rPr>
      </w:pPr>
      <w:r>
        <w:rPr>
          <w:highlight w:val="none"/>
        </w:rPr>
        <w:t>（</w:t>
      </w:r>
      <w:r>
        <w:rPr>
          <w:rFonts w:hint="eastAsia"/>
          <w:highlight w:val="none"/>
        </w:rPr>
        <w:t>4</w:t>
      </w:r>
      <w:r>
        <w:rPr>
          <w:highlight w:val="none"/>
        </w:rPr>
        <w:t>）基于预报降雨数据获得未来2小时的积水范围和积水深度；</w:t>
      </w:r>
    </w:p>
    <w:p>
      <w:pPr>
        <w:spacing w:line="360" w:lineRule="auto"/>
        <w:ind w:firstLine="420" w:firstLineChars="200"/>
        <w:rPr>
          <w:highlight w:val="none"/>
        </w:rPr>
      </w:pPr>
      <w:r>
        <w:rPr>
          <w:highlight w:val="none"/>
        </w:rPr>
        <w:t>（</w:t>
      </w:r>
      <w:r>
        <w:rPr>
          <w:rFonts w:hint="eastAsia"/>
          <w:highlight w:val="none"/>
        </w:rPr>
        <w:t>5</w:t>
      </w:r>
      <w:r>
        <w:rPr>
          <w:highlight w:val="none"/>
        </w:rPr>
        <w:t>）基于设计降雨获得不同重现期降雨情景下的积水范围和积水深度；</w:t>
      </w:r>
    </w:p>
    <w:p>
      <w:pPr>
        <w:spacing w:line="360" w:lineRule="auto"/>
        <w:ind w:firstLine="420" w:firstLineChars="200"/>
        <w:rPr>
          <w:highlight w:val="none"/>
        </w:rPr>
      </w:pPr>
      <w:r>
        <w:rPr>
          <w:highlight w:val="none"/>
        </w:rPr>
        <w:t>（</w:t>
      </w:r>
      <w:r>
        <w:rPr>
          <w:rFonts w:hint="eastAsia"/>
          <w:highlight w:val="none"/>
        </w:rPr>
        <w:t>6</w:t>
      </w:r>
      <w:r>
        <w:rPr>
          <w:highlight w:val="none"/>
        </w:rPr>
        <w:t>）基于实时积水范围和积水深度的模拟结果，结合实时监测数据，对已经发生的内涝进行成因分析；</w:t>
      </w:r>
    </w:p>
    <w:p>
      <w:pPr>
        <w:spacing w:line="360" w:lineRule="auto"/>
        <w:ind w:firstLine="420" w:firstLineChars="200"/>
        <w:rPr>
          <w:highlight w:val="none"/>
        </w:rPr>
      </w:pPr>
      <w:r>
        <w:rPr>
          <w:highlight w:val="none"/>
        </w:rPr>
        <w:t>（</w:t>
      </w:r>
      <w:r>
        <w:rPr>
          <w:rFonts w:hint="eastAsia"/>
          <w:highlight w:val="none"/>
        </w:rPr>
        <w:t>7</w:t>
      </w:r>
      <w:r>
        <w:rPr>
          <w:highlight w:val="none"/>
        </w:rPr>
        <w:t>）基于管网液位历史监测数据、历史降雨数据、历史内涝积水点分布数据和地面道路数据、管网空间数据、内涝应急抢险资源分布数据等构建历史内涝场景库，并进行聚类分类；</w:t>
      </w:r>
    </w:p>
    <w:p>
      <w:pPr>
        <w:spacing w:line="360" w:lineRule="auto"/>
        <w:ind w:firstLine="420" w:firstLineChars="200"/>
        <w:rPr>
          <w:highlight w:val="none"/>
        </w:rPr>
      </w:pPr>
      <w:r>
        <w:rPr>
          <w:highlight w:val="none"/>
        </w:rPr>
        <w:t>（</w:t>
      </w:r>
      <w:r>
        <w:rPr>
          <w:rFonts w:hint="eastAsia"/>
          <w:highlight w:val="none"/>
        </w:rPr>
        <w:t>8</w:t>
      </w:r>
      <w:r>
        <w:rPr>
          <w:highlight w:val="none"/>
        </w:rPr>
        <w:t>）开展实时历史内涝场景识别，基于降雨、潮位、道路车辆流量热点数据、人类活动热点数据等数据，提取历史场景识别指标，进行历史场景相似性识别，提供当前内涝场景下的历史相似性场景，识别可能的内涝风险点，服务于内涝决策；</w:t>
      </w:r>
    </w:p>
    <w:p>
      <w:pPr>
        <w:spacing w:line="360" w:lineRule="auto"/>
        <w:ind w:firstLine="420" w:firstLineChars="200"/>
        <w:rPr>
          <w:highlight w:val="none"/>
        </w:rPr>
      </w:pPr>
      <w:r>
        <w:rPr>
          <w:highlight w:val="none"/>
        </w:rPr>
        <w:t>（</w:t>
      </w:r>
      <w:r>
        <w:rPr>
          <w:rFonts w:hint="eastAsia"/>
          <w:highlight w:val="none"/>
        </w:rPr>
        <w:t>9</w:t>
      </w:r>
      <w:r>
        <w:rPr>
          <w:highlight w:val="none"/>
        </w:rPr>
        <w:t>）基于物联网实时监测数据，在集合结合地面地形、道路交通和管网的基础上，通过数据融合和同化方式绘制实时动态城市内涝风险图，并且标记对道路交通的影响极其影响程度；</w:t>
      </w:r>
    </w:p>
    <w:p>
      <w:pPr>
        <w:pStyle w:val="3"/>
        <w:spacing w:after="0" w:line="360" w:lineRule="auto"/>
        <w:ind w:left="0" w:leftChars="0" w:firstLine="420" w:firstLineChars="200"/>
        <w:rPr>
          <w:rFonts w:ascii="宋体" w:hAnsi="宋体" w:cs="宋体"/>
          <w:b/>
          <w:bCs/>
          <w:szCs w:val="21"/>
          <w:highlight w:val="none"/>
        </w:rPr>
      </w:pPr>
      <w:r>
        <w:rPr>
          <w:highlight w:val="none"/>
        </w:rPr>
        <w:t>（</w:t>
      </w:r>
      <w:r>
        <w:rPr>
          <w:rFonts w:hint="eastAsia"/>
          <w:highlight w:val="none"/>
        </w:rPr>
        <w:t>10</w:t>
      </w:r>
      <w:r>
        <w:rPr>
          <w:highlight w:val="none"/>
        </w:rPr>
        <w:t>）基于内涝分析模型，辅助内涝整治方案制定。</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1.1.2基础数据收集及处理</w:t>
      </w:r>
    </w:p>
    <w:p>
      <w:pPr>
        <w:spacing w:line="360" w:lineRule="auto"/>
        <w:ind w:firstLine="420" w:firstLineChars="200"/>
        <w:rPr>
          <w:rFonts w:ascii="宋体" w:hAnsi="宋体" w:cs="宋体"/>
          <w:highlight w:val="none"/>
        </w:rPr>
      </w:pPr>
      <w:r>
        <w:rPr>
          <w:rFonts w:hint="eastAsia" w:ascii="宋体" w:hAnsi="宋体" w:cs="宋体"/>
          <w:highlight w:val="none"/>
        </w:rPr>
        <w:t>数据的收集、整理和核对工作，是管网模型建设和运行的基础。越加完善的数据和信息，就越能保证水力模型的准确性。数据源主要包括图纸、调度报告、规划文本等。各类数据的需求如下：</w:t>
      </w:r>
    </w:p>
    <w:p>
      <w:pPr>
        <w:spacing w:line="360" w:lineRule="auto"/>
        <w:ind w:firstLine="420" w:firstLineChars="200"/>
        <w:rPr>
          <w:rFonts w:ascii="宋体" w:hAnsi="宋体" w:cs="宋体"/>
          <w:b/>
          <w:bCs/>
          <w:highlight w:val="none"/>
        </w:rPr>
      </w:pPr>
      <w:r>
        <w:rPr>
          <w:rFonts w:hint="eastAsia" w:ascii="宋体" w:hAnsi="宋体" w:cs="宋体"/>
          <w:b/>
          <w:bCs/>
          <w:highlight w:val="none"/>
        </w:rPr>
        <w:t>管网数据：</w:t>
      </w:r>
    </w:p>
    <w:p>
      <w:pPr>
        <w:pStyle w:val="81"/>
        <w:numPr>
          <w:ilvl w:val="0"/>
          <w:numId w:val="15"/>
        </w:numPr>
        <w:spacing w:line="360" w:lineRule="auto"/>
        <w:ind w:left="0" w:firstLine="420"/>
        <w:rPr>
          <w:rFonts w:ascii="宋体" w:hAnsi="宋体" w:cs="宋体"/>
          <w:highlight w:val="none"/>
        </w:rPr>
      </w:pPr>
      <w:r>
        <w:rPr>
          <w:rFonts w:hint="eastAsia" w:ascii="宋体" w:hAnsi="宋体" w:cs="宋体"/>
          <w:highlight w:val="none"/>
        </w:rPr>
        <w:t>管网的完整拓扑结构，包括各检查井及管道等构筑物的坐标位置和连接性；</w:t>
      </w:r>
    </w:p>
    <w:p>
      <w:pPr>
        <w:pStyle w:val="81"/>
        <w:numPr>
          <w:ilvl w:val="0"/>
          <w:numId w:val="15"/>
        </w:numPr>
        <w:spacing w:line="360" w:lineRule="auto"/>
        <w:ind w:left="0" w:firstLine="420"/>
        <w:rPr>
          <w:rFonts w:ascii="宋体" w:hAnsi="宋体" w:cs="宋体"/>
          <w:highlight w:val="none"/>
        </w:rPr>
      </w:pPr>
      <w:r>
        <w:rPr>
          <w:rFonts w:hint="eastAsia" w:ascii="宋体" w:hAnsi="宋体" w:cs="宋体"/>
          <w:highlight w:val="none"/>
        </w:rPr>
        <w:t>管道的管径、底高程、摩阻系数（从管材及管道的状况中反映）；</w:t>
      </w:r>
    </w:p>
    <w:p>
      <w:pPr>
        <w:pStyle w:val="81"/>
        <w:numPr>
          <w:ilvl w:val="0"/>
          <w:numId w:val="15"/>
        </w:numPr>
        <w:spacing w:line="360" w:lineRule="auto"/>
        <w:ind w:left="0" w:firstLine="420"/>
        <w:rPr>
          <w:rFonts w:ascii="宋体" w:hAnsi="宋体" w:cs="宋体"/>
          <w:highlight w:val="none"/>
        </w:rPr>
      </w:pPr>
      <w:r>
        <w:rPr>
          <w:rFonts w:hint="eastAsia" w:ascii="宋体" w:hAnsi="宋体" w:cs="宋体"/>
          <w:highlight w:val="none"/>
        </w:rPr>
        <w:t>检查井节点名称、底部高程、顶部高程、节点类型；</w:t>
      </w:r>
    </w:p>
    <w:p>
      <w:pPr>
        <w:pStyle w:val="81"/>
        <w:numPr>
          <w:ilvl w:val="0"/>
          <w:numId w:val="15"/>
        </w:numPr>
        <w:spacing w:line="360" w:lineRule="auto"/>
        <w:ind w:left="0" w:firstLine="420"/>
        <w:rPr>
          <w:rFonts w:ascii="宋体" w:hAnsi="宋体" w:cs="宋体"/>
          <w:highlight w:val="none"/>
        </w:rPr>
      </w:pPr>
      <w:r>
        <w:rPr>
          <w:rFonts w:hint="eastAsia" w:ascii="宋体" w:hAnsi="宋体" w:cs="宋体"/>
          <w:highlight w:val="none"/>
        </w:rPr>
        <w:t>管网中的各种附属构筑物（闸、阀、堰等）相应的尺寸参数及过流计算参数；</w:t>
      </w:r>
    </w:p>
    <w:p>
      <w:pPr>
        <w:pStyle w:val="81"/>
        <w:numPr>
          <w:ilvl w:val="0"/>
          <w:numId w:val="15"/>
        </w:numPr>
        <w:spacing w:line="360" w:lineRule="auto"/>
        <w:ind w:left="0" w:firstLine="420"/>
        <w:rPr>
          <w:rFonts w:ascii="宋体" w:hAnsi="宋体" w:cs="宋体"/>
          <w:highlight w:val="none"/>
        </w:rPr>
      </w:pPr>
      <w:r>
        <w:rPr>
          <w:rFonts w:hint="eastAsia" w:ascii="宋体" w:hAnsi="宋体" w:cs="宋体"/>
          <w:highlight w:val="none"/>
        </w:rPr>
        <w:t>泵站的参数，包括水泵的数量、流量扬程曲线及其启闭控制参数等；</w:t>
      </w:r>
    </w:p>
    <w:p>
      <w:pPr>
        <w:pStyle w:val="81"/>
        <w:numPr>
          <w:ilvl w:val="0"/>
          <w:numId w:val="15"/>
        </w:numPr>
        <w:spacing w:line="360" w:lineRule="auto"/>
        <w:ind w:left="0" w:firstLine="420"/>
        <w:rPr>
          <w:rFonts w:ascii="宋体" w:hAnsi="宋体" w:cs="宋体"/>
          <w:highlight w:val="none"/>
        </w:rPr>
      </w:pPr>
      <w:r>
        <w:rPr>
          <w:rFonts w:hint="eastAsia" w:ascii="宋体" w:hAnsi="宋体" w:cs="宋体"/>
          <w:highlight w:val="none"/>
        </w:rPr>
        <w:t>调蓄池的参数，包括最高、最低运行水位及水池面积等；</w:t>
      </w:r>
    </w:p>
    <w:p>
      <w:pPr>
        <w:pStyle w:val="81"/>
        <w:numPr>
          <w:ilvl w:val="0"/>
          <w:numId w:val="15"/>
        </w:numPr>
        <w:spacing w:line="360" w:lineRule="auto"/>
        <w:ind w:left="0" w:firstLine="420"/>
        <w:rPr>
          <w:rFonts w:ascii="宋体" w:hAnsi="宋体" w:cs="宋体"/>
          <w:highlight w:val="none"/>
        </w:rPr>
      </w:pPr>
      <w:r>
        <w:rPr>
          <w:rFonts w:hint="eastAsia" w:ascii="宋体" w:hAnsi="宋体" w:cs="宋体"/>
          <w:highlight w:val="none"/>
        </w:rPr>
        <w:t>管网中淤积、破损情况，用于调整管道中的泥沙淤积深度或粗糙系数。</w:t>
      </w:r>
    </w:p>
    <w:p>
      <w:pPr>
        <w:spacing w:line="360" w:lineRule="auto"/>
        <w:ind w:firstLine="420" w:firstLineChars="200"/>
        <w:rPr>
          <w:rFonts w:ascii="宋体" w:hAnsi="宋体" w:cs="宋体"/>
          <w:b/>
          <w:bCs/>
          <w:highlight w:val="none"/>
        </w:rPr>
      </w:pPr>
      <w:r>
        <w:rPr>
          <w:rFonts w:hint="eastAsia" w:ascii="宋体" w:hAnsi="宋体" w:cs="宋体"/>
          <w:b/>
          <w:bCs/>
          <w:highlight w:val="none"/>
        </w:rPr>
        <w:t>降雨数据：</w:t>
      </w:r>
    </w:p>
    <w:p>
      <w:pPr>
        <w:pStyle w:val="81"/>
        <w:numPr>
          <w:ilvl w:val="0"/>
          <w:numId w:val="16"/>
        </w:numPr>
        <w:spacing w:line="360" w:lineRule="auto"/>
        <w:ind w:left="0" w:firstLine="420"/>
        <w:rPr>
          <w:rFonts w:ascii="宋体" w:hAnsi="宋体" w:cs="宋体"/>
          <w:highlight w:val="none"/>
        </w:rPr>
      </w:pPr>
      <w:r>
        <w:rPr>
          <w:rFonts w:hint="eastAsia" w:ascii="宋体" w:hAnsi="宋体" w:cs="宋体"/>
          <w:highlight w:val="none"/>
        </w:rPr>
        <w:t>雨量站分布图、不同重现期降雨量和降雨强度，实测降雨数据等。</w:t>
      </w:r>
    </w:p>
    <w:p>
      <w:pPr>
        <w:spacing w:line="360" w:lineRule="auto"/>
        <w:ind w:firstLine="420" w:firstLineChars="200"/>
        <w:rPr>
          <w:rFonts w:ascii="宋体" w:hAnsi="宋体" w:cs="宋体"/>
          <w:b/>
          <w:bCs/>
          <w:highlight w:val="none"/>
        </w:rPr>
      </w:pPr>
      <w:r>
        <w:rPr>
          <w:rFonts w:hint="eastAsia" w:ascii="宋体" w:hAnsi="宋体" w:cs="宋体"/>
          <w:b/>
          <w:bCs/>
          <w:highlight w:val="none"/>
        </w:rPr>
        <w:t>河道边界数据：</w:t>
      </w:r>
    </w:p>
    <w:p>
      <w:pPr>
        <w:pStyle w:val="81"/>
        <w:numPr>
          <w:ilvl w:val="0"/>
          <w:numId w:val="17"/>
        </w:numPr>
        <w:spacing w:line="360" w:lineRule="auto"/>
        <w:ind w:left="0" w:firstLine="420"/>
        <w:rPr>
          <w:rFonts w:ascii="宋体" w:hAnsi="宋体" w:cs="宋体"/>
          <w:highlight w:val="none"/>
        </w:rPr>
      </w:pPr>
      <w:r>
        <w:rPr>
          <w:rFonts w:hint="eastAsia" w:ascii="宋体" w:hAnsi="宋体" w:cs="宋体"/>
          <w:highlight w:val="none"/>
        </w:rPr>
        <w:t>河道及湖泊的水位，包括常水位、设计水位、泄流水位等；</w:t>
      </w:r>
    </w:p>
    <w:p>
      <w:pPr>
        <w:pStyle w:val="81"/>
        <w:numPr>
          <w:ilvl w:val="0"/>
          <w:numId w:val="17"/>
        </w:numPr>
        <w:spacing w:line="360" w:lineRule="auto"/>
        <w:ind w:left="0" w:firstLine="420"/>
        <w:rPr>
          <w:rFonts w:ascii="宋体" w:hAnsi="宋体" w:cs="宋体"/>
          <w:highlight w:val="none"/>
        </w:rPr>
      </w:pPr>
      <w:r>
        <w:rPr>
          <w:rFonts w:hint="eastAsia" w:ascii="宋体" w:hAnsi="宋体" w:cs="宋体"/>
          <w:highlight w:val="none"/>
        </w:rPr>
        <w:t>河道相关流量，包括设计流量、历史最大流量。</w:t>
      </w:r>
    </w:p>
    <w:p>
      <w:pPr>
        <w:spacing w:line="360" w:lineRule="auto"/>
        <w:ind w:firstLine="420" w:firstLineChars="200"/>
        <w:rPr>
          <w:rFonts w:ascii="宋体" w:hAnsi="宋体" w:cs="宋体"/>
          <w:b/>
          <w:bCs/>
          <w:highlight w:val="none"/>
        </w:rPr>
      </w:pPr>
      <w:r>
        <w:rPr>
          <w:rFonts w:hint="eastAsia" w:ascii="宋体" w:hAnsi="宋体" w:cs="宋体"/>
          <w:b/>
          <w:bCs/>
          <w:highlight w:val="none"/>
        </w:rPr>
        <w:t>汇水区数据/水文水力数据：</w:t>
      </w:r>
    </w:p>
    <w:p>
      <w:pPr>
        <w:pStyle w:val="81"/>
        <w:numPr>
          <w:ilvl w:val="0"/>
          <w:numId w:val="17"/>
        </w:numPr>
        <w:spacing w:line="360" w:lineRule="auto"/>
        <w:ind w:left="0" w:firstLine="420"/>
        <w:rPr>
          <w:rFonts w:ascii="宋体" w:hAnsi="宋体" w:cs="宋体"/>
          <w:highlight w:val="none"/>
        </w:rPr>
      </w:pPr>
      <w:r>
        <w:rPr>
          <w:rFonts w:hint="eastAsia" w:ascii="宋体" w:hAnsi="宋体" w:cs="宋体"/>
          <w:highlight w:val="none"/>
        </w:rPr>
        <w:t>汇水分区划分及土地分类，包括汇水分区的面积、下垫面解析等；</w:t>
      </w:r>
    </w:p>
    <w:p>
      <w:pPr>
        <w:pStyle w:val="81"/>
        <w:numPr>
          <w:ilvl w:val="0"/>
          <w:numId w:val="17"/>
        </w:numPr>
        <w:spacing w:line="360" w:lineRule="auto"/>
        <w:ind w:left="0" w:firstLine="420"/>
        <w:rPr>
          <w:rFonts w:ascii="宋体" w:hAnsi="宋体" w:cs="宋体"/>
          <w:highlight w:val="none"/>
        </w:rPr>
      </w:pPr>
      <w:r>
        <w:rPr>
          <w:rFonts w:hint="eastAsia" w:ascii="宋体" w:hAnsi="宋体" w:cs="宋体"/>
          <w:highlight w:val="none"/>
        </w:rPr>
        <w:t>对于生活污水系统，需要了解人口数量、人均排水量、用水量变化曲线等。</w:t>
      </w:r>
    </w:p>
    <w:p>
      <w:pPr>
        <w:spacing w:line="360" w:lineRule="auto"/>
        <w:ind w:firstLine="420" w:firstLineChars="200"/>
        <w:rPr>
          <w:rFonts w:ascii="宋体" w:hAnsi="宋体" w:cs="宋体"/>
          <w:b/>
          <w:bCs/>
          <w:highlight w:val="none"/>
        </w:rPr>
      </w:pPr>
      <w:r>
        <w:rPr>
          <w:rFonts w:hint="eastAsia" w:ascii="宋体" w:hAnsi="宋体" w:cs="宋体"/>
          <w:b/>
          <w:bCs/>
          <w:highlight w:val="none"/>
        </w:rPr>
        <w:t>背景图：</w:t>
      </w:r>
    </w:p>
    <w:p>
      <w:pPr>
        <w:pStyle w:val="81"/>
        <w:numPr>
          <w:ilvl w:val="0"/>
          <w:numId w:val="16"/>
        </w:numPr>
        <w:spacing w:line="360" w:lineRule="auto"/>
        <w:ind w:left="0" w:firstLine="420"/>
        <w:rPr>
          <w:rFonts w:ascii="宋体" w:hAnsi="宋体" w:cs="宋体"/>
          <w:highlight w:val="none"/>
        </w:rPr>
      </w:pPr>
      <w:r>
        <w:rPr>
          <w:rFonts w:hint="eastAsia" w:ascii="宋体" w:hAnsi="宋体" w:cs="宋体"/>
          <w:highlight w:val="none"/>
        </w:rPr>
        <w:t>城市地形、卫星、航测图片，包括bmp、tiff、gif等。</w:t>
      </w:r>
    </w:p>
    <w:p>
      <w:pPr>
        <w:spacing w:line="360" w:lineRule="auto"/>
        <w:ind w:firstLine="420" w:firstLineChars="200"/>
        <w:rPr>
          <w:rFonts w:ascii="宋体" w:hAnsi="宋体" w:cs="宋体"/>
          <w:b/>
          <w:bCs/>
          <w:highlight w:val="none"/>
        </w:rPr>
      </w:pPr>
      <w:r>
        <w:rPr>
          <w:rFonts w:hint="eastAsia" w:ascii="宋体" w:hAnsi="宋体" w:cs="宋体"/>
          <w:b/>
          <w:bCs/>
          <w:highlight w:val="none"/>
        </w:rPr>
        <w:t>现场水位、流量测量数据：</w:t>
      </w:r>
    </w:p>
    <w:p>
      <w:pPr>
        <w:pStyle w:val="81"/>
        <w:numPr>
          <w:ilvl w:val="0"/>
          <w:numId w:val="16"/>
        </w:numPr>
        <w:spacing w:line="360" w:lineRule="auto"/>
        <w:ind w:left="0" w:firstLine="420"/>
        <w:rPr>
          <w:rFonts w:ascii="宋体" w:hAnsi="宋体" w:cs="宋体"/>
          <w:highlight w:val="none"/>
        </w:rPr>
      </w:pPr>
      <w:r>
        <w:rPr>
          <w:rFonts w:hint="eastAsia" w:ascii="宋体" w:hAnsi="宋体" w:cs="宋体"/>
          <w:highlight w:val="none"/>
        </w:rPr>
        <w:t>旱季和雨季，工作日和节假日等工况。</w:t>
      </w:r>
    </w:p>
    <w:p>
      <w:pPr>
        <w:spacing w:line="360" w:lineRule="auto"/>
        <w:ind w:firstLine="420" w:firstLineChars="200"/>
        <w:rPr>
          <w:rFonts w:ascii="宋体" w:hAnsi="宋体" w:cs="宋体"/>
          <w:highlight w:val="none"/>
        </w:rPr>
      </w:pPr>
      <w:r>
        <w:rPr>
          <w:rFonts w:hint="eastAsia" w:ascii="宋体" w:hAnsi="宋体" w:cs="宋体"/>
          <w:highlight w:val="none"/>
        </w:rPr>
        <w:t>把收集到的基础数据和运行实测数据进行汇总和分析，通过统计分析方法，评估数据的准确性和可行性，对不正常的基础数据进行讨论确认，并重新收集、整理，以降低由于基础数据不准确或错误值引起的模型偏差，同时对一些关键数据进行重复确认，不明确或可疑的数据进行重新整理、确认，对于过期数据重新收集。</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1.1.3模型参数率定及校准</w:t>
      </w:r>
    </w:p>
    <w:p>
      <w:pPr>
        <w:spacing w:line="360" w:lineRule="auto"/>
        <w:ind w:firstLine="420" w:firstLineChars="200"/>
        <w:rPr>
          <w:rFonts w:ascii="宋体" w:hAnsi="宋体" w:cs="宋体"/>
          <w:highlight w:val="none"/>
        </w:rPr>
      </w:pPr>
      <w:r>
        <w:rPr>
          <w:rFonts w:hint="eastAsia" w:ascii="宋体" w:hAnsi="宋体" w:cs="宋体"/>
          <w:highlight w:val="none"/>
        </w:rPr>
        <w:t>通过有效的模型率定能够发现基础数据或者实际管网中的问题，结合勘查或者补测，对这些问题进行逐一修正、排除、确认，最后使得模型模拟值与实际值之间的偏差合理，最终达到项目目标的要求。在线模型可以基于预测结果与实时采集的数据，定期进行参数调优，减少计算误差，保持模型的精度。</w:t>
      </w:r>
    </w:p>
    <w:p>
      <w:pPr>
        <w:spacing w:line="360" w:lineRule="auto"/>
        <w:ind w:firstLine="420" w:firstLineChars="200"/>
        <w:rPr>
          <w:rFonts w:ascii="宋体" w:hAnsi="宋体" w:cs="宋体"/>
          <w:highlight w:val="none"/>
        </w:rPr>
      </w:pPr>
      <w:r>
        <w:rPr>
          <w:rFonts w:hint="eastAsia" w:ascii="宋体" w:hAnsi="宋体" w:cs="宋体"/>
          <w:highlight w:val="none"/>
        </w:rPr>
        <w:t>模型率定是通过模型参数在适当范围内的调整，使得模型能够代表目标参数以满足预定的标准。该过程首先通过敏感度分析，得到整个模型的若干敏感参数；然后使用流量监测数据对这些参数进行调整，以产生计算机模型，使预测模型的行为特征与观测值匹配。</w:t>
      </w:r>
    </w:p>
    <w:p>
      <w:pPr>
        <w:spacing w:line="360" w:lineRule="auto"/>
        <w:ind w:firstLine="420" w:firstLineChars="200"/>
        <w:rPr>
          <w:rFonts w:ascii="宋体" w:hAnsi="宋体" w:cs="宋体"/>
          <w:highlight w:val="none"/>
        </w:rPr>
      </w:pPr>
      <w:r>
        <w:rPr>
          <w:rFonts w:hint="eastAsia" w:ascii="宋体" w:hAnsi="宋体" w:cs="宋体"/>
          <w:highlight w:val="none"/>
        </w:rPr>
        <w:t>模型校准则是把已经率定的模型用另外一组实测数据进行验证，使模拟值和实测值相匹配，以保证模型可以用于对未来的预测。模型的率定与校准需要降雨和流量监测数据。模型可以通过实测/历史降雨事件或设计降雨进行模拟，再与对应降雨事件的监测数据进行匹配，以确认模型是否能用来模拟实际。模型一般采用旱天流量测量资料进行旱天流量率定与校准，采用降雨过程中流量、雨量资料进行雨天流量率定与校准。</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1.1.4江北区内涝精细预报预警模型建设</w:t>
      </w:r>
    </w:p>
    <w:p>
      <w:pPr>
        <w:spacing w:line="360" w:lineRule="auto"/>
        <w:ind w:firstLine="420" w:firstLineChars="200"/>
        <w:rPr>
          <w:rFonts w:ascii="宋体" w:hAnsi="宋体" w:cs="宋体"/>
          <w:b/>
          <w:bCs/>
          <w:highlight w:val="none"/>
        </w:rPr>
      </w:pPr>
      <w:r>
        <w:rPr>
          <w:rFonts w:hint="eastAsia" w:ascii="宋体" w:hAnsi="宋体" w:cs="宋体"/>
          <w:b/>
          <w:bCs/>
          <w:highlight w:val="none"/>
        </w:rPr>
        <w:t>1、内容和范围</w:t>
      </w:r>
    </w:p>
    <w:p>
      <w:pPr>
        <w:spacing w:line="360" w:lineRule="auto"/>
        <w:ind w:firstLine="420" w:firstLineChars="200"/>
        <w:rPr>
          <w:rFonts w:ascii="宋体" w:hAnsi="宋体" w:cs="宋体"/>
          <w:highlight w:val="none"/>
        </w:rPr>
      </w:pPr>
      <w:r>
        <w:rPr>
          <w:rFonts w:hint="eastAsia" w:ascii="宋体" w:hAnsi="宋体" w:cs="宋体"/>
          <w:highlight w:val="none"/>
        </w:rPr>
        <w:t>建立江北区城市水文模型、管网一维水动力学模型和城市地面二维水动力模型，并完成以上三个模型的耦合。</w:t>
      </w:r>
    </w:p>
    <w:p>
      <w:pPr>
        <w:spacing w:line="360" w:lineRule="auto"/>
        <w:ind w:firstLine="420" w:firstLineChars="200"/>
        <w:rPr>
          <w:rFonts w:ascii="宋体" w:hAnsi="宋体" w:cs="宋体"/>
          <w:b/>
          <w:bCs/>
          <w:highlight w:val="none"/>
        </w:rPr>
      </w:pPr>
      <w:r>
        <w:rPr>
          <w:rFonts w:hint="eastAsia" w:ascii="宋体" w:hAnsi="宋体" w:cs="宋体"/>
          <w:b/>
          <w:bCs/>
          <w:highlight w:val="none"/>
        </w:rPr>
        <w:t>2、模型更新</w:t>
      </w:r>
    </w:p>
    <w:p>
      <w:pPr>
        <w:spacing w:line="360" w:lineRule="auto"/>
        <w:ind w:firstLine="420" w:firstLineChars="200"/>
        <w:rPr>
          <w:rFonts w:ascii="宋体" w:hAnsi="宋体" w:cs="宋体"/>
          <w:highlight w:val="none"/>
        </w:rPr>
      </w:pPr>
      <w:r>
        <w:rPr>
          <w:rFonts w:hint="eastAsia" w:ascii="宋体" w:hAnsi="宋体" w:cs="宋体"/>
          <w:highlight w:val="none"/>
        </w:rPr>
        <w:t>依据更新后的管网数字化数据及历史监测数据，更新内涝预报预警模型。</w:t>
      </w:r>
    </w:p>
    <w:p>
      <w:pPr>
        <w:spacing w:line="360" w:lineRule="auto"/>
        <w:ind w:firstLine="420" w:firstLineChars="200"/>
        <w:rPr>
          <w:rFonts w:ascii="宋体" w:hAnsi="宋体" w:cs="宋体"/>
          <w:b/>
          <w:bCs/>
          <w:highlight w:val="none"/>
        </w:rPr>
      </w:pPr>
      <w:r>
        <w:rPr>
          <w:rFonts w:hint="eastAsia" w:ascii="宋体" w:hAnsi="宋体" w:cs="宋体"/>
          <w:b/>
          <w:bCs/>
          <w:highlight w:val="none"/>
        </w:rPr>
        <w:t>3、参数率定</w:t>
      </w:r>
    </w:p>
    <w:p>
      <w:pPr>
        <w:spacing w:line="360" w:lineRule="auto"/>
        <w:ind w:firstLine="420" w:firstLineChars="200"/>
        <w:rPr>
          <w:rFonts w:ascii="宋体" w:hAnsi="宋体" w:cs="宋体"/>
          <w:highlight w:val="none"/>
        </w:rPr>
      </w:pPr>
      <w:r>
        <w:rPr>
          <w:rFonts w:hint="eastAsia" w:ascii="宋体" w:hAnsi="宋体" w:cs="宋体"/>
          <w:highlight w:val="none"/>
        </w:rPr>
        <w:t>采用历史数据（降雨、水位、流量、地面积水等）进行模型参数率定和验证。</w:t>
      </w:r>
    </w:p>
    <w:p>
      <w:pPr>
        <w:spacing w:line="360" w:lineRule="auto"/>
        <w:ind w:firstLine="420" w:firstLineChars="200"/>
        <w:rPr>
          <w:rFonts w:ascii="宋体" w:hAnsi="宋体" w:cs="宋体"/>
          <w:b/>
          <w:bCs/>
          <w:highlight w:val="none"/>
        </w:rPr>
      </w:pPr>
      <w:r>
        <w:rPr>
          <w:rFonts w:hint="eastAsia" w:ascii="宋体" w:hAnsi="宋体" w:cs="宋体"/>
          <w:b/>
          <w:bCs/>
          <w:highlight w:val="none"/>
        </w:rPr>
        <w:t>4、模型功能</w:t>
      </w:r>
    </w:p>
    <w:p>
      <w:pPr>
        <w:spacing w:line="360" w:lineRule="auto"/>
        <w:ind w:firstLine="420" w:firstLineChars="200"/>
        <w:rPr>
          <w:rFonts w:ascii="宋体" w:hAnsi="宋体" w:cs="宋体"/>
          <w:highlight w:val="none"/>
        </w:rPr>
      </w:pPr>
      <w:r>
        <w:rPr>
          <w:rFonts w:hint="eastAsia" w:ascii="宋体" w:hAnsi="宋体" w:cs="宋体"/>
          <w:highlight w:val="none"/>
        </w:rPr>
        <w:t>（1）江北区范围内实时内涝预测预报结果；</w:t>
      </w:r>
    </w:p>
    <w:p>
      <w:pPr>
        <w:spacing w:line="360" w:lineRule="auto"/>
        <w:ind w:firstLine="420" w:firstLineChars="200"/>
        <w:rPr>
          <w:rFonts w:ascii="宋体" w:hAnsi="宋体" w:cs="宋体"/>
          <w:highlight w:val="none"/>
        </w:rPr>
      </w:pPr>
      <w:r>
        <w:rPr>
          <w:rFonts w:hint="eastAsia" w:ascii="宋体" w:hAnsi="宋体" w:cs="宋体"/>
          <w:highlight w:val="none"/>
        </w:rPr>
        <w:t>（2）历史降雨、设计降雨和实时降雨的内涝风险图；</w:t>
      </w:r>
    </w:p>
    <w:p>
      <w:pPr>
        <w:spacing w:line="360" w:lineRule="auto"/>
        <w:ind w:firstLine="420" w:firstLineChars="200"/>
        <w:rPr>
          <w:rFonts w:ascii="宋体" w:hAnsi="宋体" w:cs="宋体"/>
          <w:highlight w:val="none"/>
        </w:rPr>
      </w:pPr>
      <w:r>
        <w:rPr>
          <w:rFonts w:hint="eastAsia" w:ascii="宋体" w:hAnsi="宋体" w:cs="宋体"/>
          <w:highlight w:val="none"/>
        </w:rPr>
        <w:t>（3）内涝成因分析结果，供业务应用调用。</w:t>
      </w:r>
    </w:p>
    <w:p>
      <w:pPr>
        <w:spacing w:line="360" w:lineRule="auto"/>
        <w:ind w:firstLine="420" w:firstLineChars="200"/>
        <w:rPr>
          <w:rFonts w:ascii="宋体" w:hAnsi="宋体" w:cs="宋体"/>
          <w:b/>
          <w:bCs/>
          <w:highlight w:val="none"/>
        </w:rPr>
      </w:pPr>
      <w:r>
        <w:rPr>
          <w:rFonts w:hint="eastAsia" w:ascii="宋体" w:hAnsi="宋体" w:cs="宋体"/>
          <w:b/>
          <w:bCs/>
          <w:highlight w:val="none"/>
        </w:rPr>
        <w:t>5、性能指标</w:t>
      </w:r>
    </w:p>
    <w:p>
      <w:pPr>
        <w:spacing w:line="360" w:lineRule="auto"/>
        <w:ind w:firstLine="420" w:firstLineChars="200"/>
        <w:rPr>
          <w:rFonts w:ascii="宋体" w:hAnsi="宋体" w:cs="宋体"/>
          <w:highlight w:val="none"/>
        </w:rPr>
      </w:pPr>
      <w:r>
        <w:rPr>
          <w:rFonts w:hint="eastAsia" w:ascii="宋体" w:hAnsi="宋体" w:cs="宋体"/>
          <w:highlight w:val="none"/>
        </w:rPr>
        <w:t>（1）单次模拟计算时间不超过30分钟；</w:t>
      </w:r>
    </w:p>
    <w:p>
      <w:pPr>
        <w:spacing w:line="360" w:lineRule="auto"/>
        <w:ind w:firstLine="420" w:firstLineChars="200"/>
        <w:rPr>
          <w:rFonts w:ascii="宋体" w:hAnsi="宋体" w:cs="宋体"/>
          <w:highlight w:val="none"/>
        </w:rPr>
      </w:pPr>
      <w:r>
        <w:rPr>
          <w:rFonts w:hint="eastAsia" w:ascii="宋体" w:hAnsi="宋体" w:cs="宋体"/>
          <w:highlight w:val="none"/>
        </w:rPr>
        <w:t>（2）按照预报频次要求进行模拟计算，并输出模型结果；</w:t>
      </w:r>
    </w:p>
    <w:p>
      <w:pPr>
        <w:spacing w:line="360" w:lineRule="auto"/>
        <w:ind w:firstLine="420" w:firstLineChars="200"/>
        <w:rPr>
          <w:rFonts w:ascii="宋体" w:hAnsi="宋体" w:cs="宋体"/>
          <w:highlight w:val="none"/>
        </w:rPr>
      </w:pPr>
      <w:r>
        <w:rPr>
          <w:rFonts w:hint="eastAsia" w:ascii="宋体" w:hAnsi="宋体" w:cs="宋体"/>
          <w:highlight w:val="none"/>
        </w:rPr>
        <w:t>（3）初步模型</w:t>
      </w:r>
    </w:p>
    <w:p>
      <w:pPr>
        <w:spacing w:line="360" w:lineRule="auto"/>
        <w:ind w:firstLine="420" w:firstLineChars="200"/>
        <w:rPr>
          <w:rFonts w:ascii="宋体" w:hAnsi="宋体" w:cs="宋体"/>
          <w:highlight w:val="none"/>
        </w:rPr>
      </w:pPr>
      <w:r>
        <w:rPr>
          <w:rFonts w:hint="eastAsia" w:ascii="宋体" w:hAnsi="宋体" w:cs="宋体"/>
          <w:highlight w:val="none"/>
        </w:rPr>
        <w:t>1）实现和业务应用系统的集成，接入数值天气预报成果，达到实时模拟运行；</w:t>
      </w:r>
    </w:p>
    <w:p>
      <w:pPr>
        <w:spacing w:line="360" w:lineRule="auto"/>
        <w:ind w:firstLine="420" w:firstLineChars="200"/>
        <w:rPr>
          <w:rFonts w:ascii="宋体" w:hAnsi="宋体" w:cs="宋体"/>
          <w:highlight w:val="none"/>
        </w:rPr>
      </w:pPr>
      <w:r>
        <w:rPr>
          <w:rFonts w:hint="eastAsia" w:ascii="宋体" w:hAnsi="宋体" w:cs="宋体"/>
          <w:highlight w:val="none"/>
        </w:rPr>
        <w:t xml:space="preserve">2）完成江北区汛期内部测试运行，并在汛期结束后再次对参数进行率定，对当年所有场次降雨过程进行模拟。 </w:t>
      </w:r>
    </w:p>
    <w:p>
      <w:pPr>
        <w:spacing w:line="360" w:lineRule="auto"/>
        <w:ind w:firstLine="420" w:firstLineChars="200"/>
        <w:rPr>
          <w:rFonts w:ascii="宋体" w:hAnsi="宋体" w:cs="宋体"/>
          <w:highlight w:val="none"/>
        </w:rPr>
      </w:pPr>
      <w:r>
        <w:rPr>
          <w:rFonts w:hint="eastAsia" w:ascii="宋体" w:hAnsi="宋体" w:cs="宋体"/>
          <w:highlight w:val="none"/>
        </w:rPr>
        <w:t>（4）最终模型</w:t>
      </w:r>
    </w:p>
    <w:p>
      <w:pPr>
        <w:spacing w:line="360" w:lineRule="auto"/>
        <w:ind w:firstLine="420" w:firstLineChars="200"/>
        <w:rPr>
          <w:rFonts w:ascii="宋体" w:hAnsi="宋体" w:cs="宋体"/>
          <w:highlight w:val="none"/>
        </w:rPr>
      </w:pPr>
      <w:r>
        <w:rPr>
          <w:rFonts w:hint="eastAsia" w:ascii="宋体" w:hAnsi="宋体" w:cs="宋体"/>
          <w:highlight w:val="none"/>
        </w:rPr>
        <w:t>1）提供模型试运行报告；</w:t>
      </w:r>
    </w:p>
    <w:p>
      <w:pPr>
        <w:spacing w:line="360" w:lineRule="auto"/>
        <w:ind w:firstLine="420" w:firstLineChars="200"/>
        <w:rPr>
          <w:rFonts w:ascii="宋体" w:hAnsi="宋体" w:cs="宋体"/>
          <w:highlight w:val="none"/>
        </w:rPr>
      </w:pPr>
      <w:r>
        <w:rPr>
          <w:rFonts w:hint="eastAsia" w:ascii="宋体" w:hAnsi="宋体" w:cs="宋体"/>
          <w:highlight w:val="none"/>
        </w:rPr>
        <w:t>2）精度不低于70%；</w:t>
      </w:r>
    </w:p>
    <w:p>
      <w:pPr>
        <w:spacing w:line="360" w:lineRule="auto"/>
        <w:ind w:firstLine="420" w:firstLineChars="200"/>
        <w:rPr>
          <w:rFonts w:hint="eastAsia" w:ascii="宋体" w:hAnsi="宋体" w:eastAsia="宋体" w:cs="宋体"/>
          <w:highlight w:val="none"/>
          <w:lang w:eastAsia="zh-CN"/>
        </w:rPr>
      </w:pPr>
      <w:r>
        <w:rPr>
          <w:rFonts w:hint="eastAsia" w:ascii="宋体" w:hAnsi="宋体" w:cs="宋体"/>
          <w:highlight w:val="none"/>
        </w:rPr>
        <w:t>3）内涝预报预警以场次降雨为时间评价尺度，评价精度计算考虑积水范围、积水深度</w:t>
      </w:r>
      <w:r>
        <w:rPr>
          <w:rFonts w:hint="eastAsia" w:ascii="宋体" w:hAnsi="宋体" w:cs="宋体"/>
          <w:highlight w:val="none"/>
        </w:rPr>
        <w:t>以及积水点的误报因素</w:t>
      </w:r>
      <w:r>
        <w:rPr>
          <w:rFonts w:hint="eastAsia" w:ascii="宋体" w:hAnsi="宋体" w:cs="宋体"/>
          <w:highlight w:val="none"/>
          <w:lang w:eastAsia="zh-CN"/>
        </w:rPr>
        <w:t>。</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1.2管网健康评估模型</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1.2.1雨水管网系统健康评估模型</w:t>
      </w:r>
    </w:p>
    <w:p>
      <w:pPr>
        <w:spacing w:line="360" w:lineRule="auto"/>
        <w:ind w:firstLine="420" w:firstLineChars="200"/>
        <w:rPr>
          <w:rFonts w:ascii="宋体" w:hAnsi="宋体" w:cs="宋体"/>
          <w:b/>
          <w:bCs/>
          <w:highlight w:val="none"/>
        </w:rPr>
      </w:pPr>
      <w:r>
        <w:rPr>
          <w:rFonts w:hint="eastAsia" w:ascii="宋体" w:hAnsi="宋体" w:cs="宋体"/>
          <w:b/>
          <w:bCs/>
          <w:highlight w:val="none"/>
        </w:rPr>
        <w:t>1、内容和范围</w:t>
      </w:r>
    </w:p>
    <w:p>
      <w:pPr>
        <w:spacing w:line="360" w:lineRule="auto"/>
        <w:ind w:firstLine="420" w:firstLineChars="200"/>
        <w:rPr>
          <w:rFonts w:ascii="宋体" w:hAnsi="宋体" w:cs="宋体"/>
          <w:highlight w:val="none"/>
        </w:rPr>
      </w:pPr>
      <w:r>
        <w:rPr>
          <w:rFonts w:hint="eastAsia" w:ascii="宋体" w:hAnsi="宋体" w:cs="宋体"/>
          <w:highlight w:val="none"/>
        </w:rPr>
        <w:t>针对江北区内的雨水和合流制主干管网进行健康度评价。</w:t>
      </w:r>
    </w:p>
    <w:p>
      <w:pPr>
        <w:spacing w:line="360" w:lineRule="auto"/>
        <w:ind w:firstLine="420" w:firstLineChars="200"/>
        <w:rPr>
          <w:rFonts w:ascii="宋体" w:hAnsi="宋体" w:cs="宋体"/>
          <w:b/>
          <w:bCs/>
          <w:highlight w:val="none"/>
        </w:rPr>
      </w:pPr>
      <w:r>
        <w:rPr>
          <w:rFonts w:hint="eastAsia" w:ascii="宋体" w:hAnsi="宋体" w:cs="宋体"/>
          <w:b/>
          <w:bCs/>
          <w:highlight w:val="none"/>
        </w:rPr>
        <w:t>2、物理属性检查</w:t>
      </w:r>
    </w:p>
    <w:p>
      <w:pPr>
        <w:spacing w:line="360" w:lineRule="auto"/>
        <w:ind w:firstLine="420" w:firstLineChars="200"/>
        <w:rPr>
          <w:rFonts w:ascii="宋体" w:hAnsi="宋体" w:cs="宋体"/>
          <w:highlight w:val="none"/>
        </w:rPr>
      </w:pPr>
      <w:r>
        <w:rPr>
          <w:rFonts w:hint="eastAsia" w:ascii="宋体" w:hAnsi="宋体" w:cs="宋体"/>
          <w:highlight w:val="none"/>
        </w:rPr>
        <w:t>1）管道坡度检查：依据规范分析管道坡度不合理的管段，获得其位置。</w:t>
      </w:r>
    </w:p>
    <w:p>
      <w:pPr>
        <w:spacing w:line="360" w:lineRule="auto"/>
        <w:ind w:firstLine="420" w:firstLineChars="200"/>
        <w:rPr>
          <w:rFonts w:ascii="宋体" w:hAnsi="宋体" w:cs="宋体"/>
          <w:highlight w:val="none"/>
        </w:rPr>
      </w:pPr>
      <w:r>
        <w:rPr>
          <w:rFonts w:hint="eastAsia" w:ascii="宋体" w:hAnsi="宋体" w:cs="宋体"/>
          <w:highlight w:val="none"/>
        </w:rPr>
        <w:t>2）管道管径检查：依据规范分析管径不合理的管段，获得其位置。</w:t>
      </w:r>
    </w:p>
    <w:p>
      <w:pPr>
        <w:spacing w:line="360" w:lineRule="auto"/>
        <w:ind w:firstLine="420" w:firstLineChars="200"/>
        <w:rPr>
          <w:rFonts w:ascii="宋体" w:hAnsi="宋体" w:cs="宋体"/>
          <w:highlight w:val="none"/>
        </w:rPr>
      </w:pPr>
      <w:r>
        <w:rPr>
          <w:rFonts w:hint="eastAsia" w:ascii="宋体" w:hAnsi="宋体" w:cs="宋体"/>
          <w:highlight w:val="none"/>
        </w:rPr>
        <w:t>3）大管接小管检查：分析大管接小管的管段，获得其位置。</w:t>
      </w:r>
    </w:p>
    <w:p>
      <w:pPr>
        <w:spacing w:line="360" w:lineRule="auto"/>
        <w:ind w:firstLine="420" w:firstLineChars="200"/>
        <w:rPr>
          <w:rFonts w:ascii="宋体" w:hAnsi="宋体" w:cs="宋体"/>
          <w:highlight w:val="none"/>
        </w:rPr>
      </w:pPr>
      <w:r>
        <w:rPr>
          <w:rFonts w:hint="eastAsia" w:ascii="宋体" w:hAnsi="宋体" w:cs="宋体"/>
          <w:highlight w:val="none"/>
        </w:rPr>
        <w:t>4）孤立管段和节点检查：分析存在孤立管段或孤立节点的管网，获得孤立管段或节点的位置。</w:t>
      </w:r>
    </w:p>
    <w:p>
      <w:pPr>
        <w:spacing w:line="360" w:lineRule="auto"/>
        <w:ind w:firstLine="420" w:firstLineChars="200"/>
        <w:rPr>
          <w:rFonts w:ascii="宋体" w:hAnsi="宋体" w:cs="宋体"/>
          <w:highlight w:val="none"/>
        </w:rPr>
      </w:pPr>
      <w:r>
        <w:rPr>
          <w:rFonts w:hint="eastAsia" w:ascii="宋体" w:hAnsi="宋体" w:cs="宋体"/>
          <w:highlight w:val="none"/>
        </w:rPr>
        <w:t>5）出水口检查：分析管网系统中下游无出水口或出口不明确的管网子系统，获得其位置。</w:t>
      </w:r>
    </w:p>
    <w:p>
      <w:pPr>
        <w:spacing w:line="360" w:lineRule="auto"/>
        <w:ind w:firstLine="420" w:firstLineChars="200"/>
        <w:rPr>
          <w:rFonts w:ascii="宋体" w:hAnsi="宋体" w:cs="宋体"/>
          <w:highlight w:val="none"/>
        </w:rPr>
      </w:pPr>
      <w:r>
        <w:rPr>
          <w:rFonts w:hint="eastAsia" w:ascii="宋体" w:hAnsi="宋体" w:cs="宋体"/>
          <w:highlight w:val="none"/>
        </w:rPr>
        <w:t>6）多支流管点检查：分析管网系统中存在多支流问题的管点，获得其位置。</w:t>
      </w:r>
    </w:p>
    <w:p>
      <w:pPr>
        <w:spacing w:line="360" w:lineRule="auto"/>
        <w:ind w:firstLine="420" w:firstLineChars="200"/>
        <w:rPr>
          <w:rFonts w:ascii="宋体" w:hAnsi="宋体" w:cs="宋体"/>
          <w:highlight w:val="none"/>
        </w:rPr>
      </w:pPr>
      <w:r>
        <w:rPr>
          <w:rFonts w:hint="eastAsia" w:ascii="宋体" w:hAnsi="宋体" w:cs="宋体"/>
          <w:highlight w:val="none"/>
        </w:rPr>
        <w:t>7）管长分析：分析管长不合理的管段，获得其位置。</w:t>
      </w:r>
    </w:p>
    <w:p>
      <w:pPr>
        <w:spacing w:line="360" w:lineRule="auto"/>
        <w:ind w:firstLine="420" w:firstLineChars="200"/>
        <w:rPr>
          <w:rFonts w:ascii="宋体" w:hAnsi="宋体" w:cs="宋体"/>
          <w:b/>
          <w:bCs/>
          <w:highlight w:val="none"/>
        </w:rPr>
      </w:pPr>
      <w:r>
        <w:rPr>
          <w:rFonts w:hint="eastAsia" w:ascii="宋体" w:hAnsi="宋体" w:cs="宋体"/>
          <w:b/>
          <w:bCs/>
          <w:highlight w:val="none"/>
        </w:rPr>
        <w:t>3、模型分析</w:t>
      </w:r>
    </w:p>
    <w:p>
      <w:pPr>
        <w:spacing w:line="360" w:lineRule="auto"/>
        <w:ind w:firstLine="420" w:firstLineChars="200"/>
        <w:rPr>
          <w:rFonts w:ascii="宋体" w:hAnsi="宋体" w:cs="宋体"/>
          <w:highlight w:val="none"/>
        </w:rPr>
      </w:pPr>
      <w:r>
        <w:rPr>
          <w:rFonts w:hint="eastAsia" w:ascii="宋体" w:hAnsi="宋体" w:cs="宋体"/>
          <w:highlight w:val="none"/>
        </w:rPr>
        <w:t>1）雨污混接分析：分析存在雨污混接问题的管段，获得混接点的位置。</w:t>
      </w:r>
    </w:p>
    <w:p>
      <w:pPr>
        <w:spacing w:line="360" w:lineRule="auto"/>
        <w:ind w:firstLine="420" w:firstLineChars="200"/>
        <w:rPr>
          <w:rFonts w:ascii="宋体" w:hAnsi="宋体" w:cs="宋体"/>
          <w:highlight w:val="none"/>
        </w:rPr>
      </w:pPr>
      <w:r>
        <w:rPr>
          <w:rFonts w:hint="eastAsia" w:ascii="宋体" w:hAnsi="宋体" w:cs="宋体"/>
          <w:highlight w:val="none"/>
        </w:rPr>
        <w:t>2）管网子系统划分：分析并找到管网中的所有子系统，并获得其位置。</w:t>
      </w:r>
    </w:p>
    <w:p>
      <w:pPr>
        <w:spacing w:line="360" w:lineRule="auto"/>
        <w:ind w:firstLine="420" w:firstLineChars="200"/>
        <w:rPr>
          <w:rFonts w:ascii="宋体" w:hAnsi="宋体" w:cs="宋体"/>
          <w:highlight w:val="none"/>
        </w:rPr>
      </w:pPr>
      <w:r>
        <w:rPr>
          <w:rFonts w:hint="eastAsia" w:ascii="宋体" w:hAnsi="宋体" w:cs="宋体"/>
          <w:highlight w:val="none"/>
        </w:rPr>
        <w:t>3）管道跌水分析：分析管网系统中存在跌水现象的管点，并获得其位置。</w:t>
      </w:r>
    </w:p>
    <w:p>
      <w:pPr>
        <w:spacing w:line="360" w:lineRule="auto"/>
        <w:ind w:firstLine="420" w:firstLineChars="200"/>
        <w:rPr>
          <w:rFonts w:ascii="宋体" w:hAnsi="宋体" w:cs="宋体"/>
          <w:highlight w:val="none"/>
        </w:rPr>
      </w:pPr>
      <w:r>
        <w:rPr>
          <w:rFonts w:hint="eastAsia" w:ascii="宋体" w:hAnsi="宋体" w:cs="宋体"/>
          <w:highlight w:val="none"/>
        </w:rPr>
        <w:t>4）管道逆坡分析：分析管网系统中存在逆坡现象的管段，并获得其位置。</w:t>
      </w:r>
    </w:p>
    <w:p>
      <w:pPr>
        <w:spacing w:line="360" w:lineRule="auto"/>
        <w:ind w:firstLine="420" w:firstLineChars="200"/>
        <w:rPr>
          <w:rFonts w:ascii="宋体" w:hAnsi="宋体" w:cs="宋体"/>
          <w:highlight w:val="none"/>
        </w:rPr>
      </w:pPr>
      <w:r>
        <w:rPr>
          <w:rFonts w:hint="eastAsia" w:ascii="宋体" w:hAnsi="宋体" w:cs="宋体"/>
          <w:highlight w:val="none"/>
        </w:rPr>
        <w:t>5）管网工程合理性分析：分析管道的水平净距、沉积厚度、覆土深度、压覆性、上下游追踪、流向，获得管道工程不合理的位置。</w:t>
      </w:r>
    </w:p>
    <w:p>
      <w:pPr>
        <w:spacing w:line="360" w:lineRule="auto"/>
        <w:ind w:firstLine="420" w:firstLineChars="200"/>
        <w:rPr>
          <w:rFonts w:ascii="宋体" w:hAnsi="宋体" w:cs="宋体"/>
          <w:b/>
          <w:bCs/>
          <w:highlight w:val="none"/>
        </w:rPr>
      </w:pPr>
      <w:r>
        <w:rPr>
          <w:rFonts w:hint="eastAsia" w:ascii="宋体" w:hAnsi="宋体" w:cs="宋体"/>
          <w:b/>
          <w:bCs/>
          <w:highlight w:val="none"/>
        </w:rPr>
        <w:t>4、综合评价指标</w:t>
      </w:r>
    </w:p>
    <w:p>
      <w:pPr>
        <w:spacing w:line="360" w:lineRule="auto"/>
        <w:ind w:firstLine="420" w:firstLineChars="200"/>
        <w:rPr>
          <w:rFonts w:ascii="宋体" w:hAnsi="宋体" w:cs="宋体"/>
          <w:highlight w:val="none"/>
        </w:rPr>
      </w:pPr>
      <w:r>
        <w:rPr>
          <w:rFonts w:hint="eastAsia" w:ascii="宋体" w:hAnsi="宋体" w:cs="宋体"/>
          <w:highlight w:val="none"/>
        </w:rPr>
        <w:t>1）管道排水能力评价：分析管网的排水能力，得到管网的排水能力等级。考虑1年、2年、3年、5年、10年、20年、30年、50年一遇重现期排水能力。分析管网实时运行态势，判断管网当前承受的排水压力是否已超过自身的排水能力。</w:t>
      </w:r>
    </w:p>
    <w:p>
      <w:pPr>
        <w:spacing w:line="360" w:lineRule="auto"/>
        <w:ind w:firstLine="420" w:firstLineChars="200"/>
        <w:rPr>
          <w:rFonts w:ascii="宋体" w:hAnsi="宋体" w:cs="宋体"/>
          <w:highlight w:val="none"/>
        </w:rPr>
      </w:pPr>
      <w:r>
        <w:rPr>
          <w:rFonts w:hint="eastAsia" w:ascii="宋体" w:hAnsi="宋体" w:cs="宋体"/>
          <w:highlight w:val="none"/>
        </w:rPr>
        <w:t>2）管道防涝能力评价：分析管网的防涝能力，得到管网的防涝能力等级（能够抵御几年一遇的降雨）。考虑1年、2年、3年、5年、10年、20年、30年、50年一遇降雨重现期的防涝能力。分析管网实时运行态势，判断管网当前承受的排水压力是否已超过自身的排水能力。</w:t>
      </w:r>
    </w:p>
    <w:p>
      <w:pPr>
        <w:spacing w:line="360" w:lineRule="auto"/>
        <w:ind w:firstLine="420" w:firstLineChars="200"/>
        <w:rPr>
          <w:rFonts w:ascii="宋体" w:hAnsi="宋体" w:cs="宋体"/>
          <w:highlight w:val="none"/>
        </w:rPr>
      </w:pPr>
      <w:r>
        <w:rPr>
          <w:rFonts w:hint="eastAsia" w:ascii="宋体" w:hAnsi="宋体" w:cs="宋体"/>
          <w:highlight w:val="none"/>
        </w:rPr>
        <w:t>3）系统可靠性评价：排水管网可以在过载的情况下传输径流的时长占总模拟或监测时长。</w:t>
      </w:r>
    </w:p>
    <w:p>
      <w:pPr>
        <w:spacing w:line="360" w:lineRule="auto"/>
        <w:ind w:firstLine="420" w:firstLineChars="200"/>
        <w:rPr>
          <w:rFonts w:ascii="宋体" w:hAnsi="宋体" w:cs="宋体"/>
          <w:highlight w:val="none"/>
        </w:rPr>
      </w:pPr>
      <w:r>
        <w:rPr>
          <w:rFonts w:hint="eastAsia" w:ascii="宋体" w:hAnsi="宋体" w:cs="宋体"/>
          <w:highlight w:val="none"/>
        </w:rPr>
        <w:t>4）系统韧性评价：一种是在指定的时间范围内（或单个工况模拟的总模拟时长）可以经历的最大故障持续时间的倒数，另一种是在指定的时间范围内系统故障恢复正常状态次数与故障总次数的比值。</w:t>
      </w:r>
    </w:p>
    <w:p>
      <w:pPr>
        <w:spacing w:line="360" w:lineRule="auto"/>
        <w:ind w:firstLine="420" w:firstLineChars="200"/>
        <w:rPr>
          <w:rFonts w:ascii="宋体" w:hAnsi="宋体" w:cs="宋体"/>
          <w:highlight w:val="none"/>
        </w:rPr>
      </w:pPr>
      <w:r>
        <w:rPr>
          <w:rFonts w:hint="eastAsia" w:ascii="宋体" w:hAnsi="宋体" w:cs="宋体"/>
          <w:highlight w:val="none"/>
        </w:rPr>
        <w:t>5）系统脆弱性评价：当状态变量计算或监测值小于等于最大允许值时，脆弱性指标为 0；当计算或监测值大于最大允许值时，脆弱性指标为两者之间的差值与最大允许值的比值。</w:t>
      </w:r>
    </w:p>
    <w:p>
      <w:pPr>
        <w:spacing w:line="360" w:lineRule="auto"/>
        <w:ind w:firstLine="420" w:firstLineChars="200"/>
        <w:rPr>
          <w:rFonts w:ascii="宋体" w:hAnsi="宋体" w:cs="宋体"/>
          <w:highlight w:val="none"/>
        </w:rPr>
      </w:pPr>
      <w:r>
        <w:rPr>
          <w:rFonts w:hint="eastAsia" w:ascii="宋体" w:hAnsi="宋体" w:cs="宋体"/>
          <w:highlight w:val="none"/>
        </w:rPr>
        <w:t>系统可持续性可以用下式进行计算：</w:t>
      </w:r>
    </w:p>
    <w:p>
      <w:pPr>
        <w:spacing w:line="360" w:lineRule="auto"/>
        <w:ind w:firstLine="420" w:firstLineChars="200"/>
        <w:jc w:val="center"/>
        <w:rPr>
          <w:rFonts w:ascii="宋体" w:hAnsi="宋体" w:cs="宋体"/>
          <w:highlight w:val="none"/>
        </w:rPr>
      </w:pPr>
      <w:r>
        <w:rPr>
          <w:rFonts w:hint="eastAsia" w:ascii="宋体" w:hAnsi="宋体" w:cs="宋体"/>
          <w:position w:val="-26"/>
          <w:highlight w:val="none"/>
        </w:rPr>
        <w:object>
          <v:shape id="_x0000_i1028" o:spt="75" type="#_x0000_t75" style="height:33pt;width:179pt;" o:ole="t" filled="f" o:preferrelative="t" stroked="f" coordsize="21600,21600">
            <v:path/>
            <v:fill on="f" focussize="0,0"/>
            <v:stroke on="f" joinstyle="miter"/>
            <v:imagedata r:id="rId22" o:title=""/>
            <o:lock v:ext="edit" aspectratio="t"/>
            <w10:wrap type="none"/>
            <w10:anchorlock/>
          </v:shape>
          <o:OLEObject Type="Embed" ProgID="Equation.DSMT4" ShapeID="_x0000_i1028" DrawAspect="Content" ObjectID="_1468075728" r:id="rId21">
            <o:LockedField>false</o:LockedField>
          </o:OLEObject>
        </w:object>
      </w:r>
    </w:p>
    <w:p>
      <w:pPr>
        <w:pStyle w:val="3"/>
        <w:spacing w:after="0" w:line="360" w:lineRule="auto"/>
        <w:ind w:left="0" w:leftChars="0" w:firstLine="420" w:firstLineChars="200"/>
        <w:rPr>
          <w:rFonts w:ascii="宋体" w:hAnsi="宋体" w:cs="宋体"/>
          <w:highlight w:val="none"/>
        </w:rPr>
      </w:pPr>
    </w:p>
    <w:p>
      <w:pPr>
        <w:spacing w:line="360" w:lineRule="auto"/>
        <w:ind w:firstLine="420" w:firstLineChars="200"/>
        <w:rPr>
          <w:rFonts w:ascii="宋体" w:hAnsi="宋体" w:cs="宋体"/>
          <w:b/>
          <w:bCs/>
          <w:highlight w:val="none"/>
        </w:rPr>
      </w:pPr>
      <w:r>
        <w:rPr>
          <w:rFonts w:hint="eastAsia" w:ascii="宋体" w:hAnsi="宋体" w:cs="宋体"/>
          <w:b/>
          <w:bCs/>
          <w:highlight w:val="none"/>
        </w:rPr>
        <w:t>5、健康评估模型</w:t>
      </w:r>
    </w:p>
    <w:p>
      <w:pPr>
        <w:spacing w:line="360" w:lineRule="auto"/>
        <w:ind w:firstLine="420" w:firstLineChars="200"/>
        <w:rPr>
          <w:rFonts w:ascii="宋体" w:hAnsi="宋体" w:cs="宋体"/>
          <w:highlight w:val="none"/>
        </w:rPr>
      </w:pPr>
      <w:r>
        <w:rPr>
          <w:rFonts w:hint="eastAsia" w:ascii="宋体" w:hAnsi="宋体" w:cs="宋体"/>
          <w:highlight w:val="none"/>
        </w:rPr>
        <w:t>管网综合健康评估模型：基于以上各个评价指标的内容，分析各指标对健康度影响的权重关系，并以雨水分区为评价单元，评价出各个雨水分区的管网综合健康度等级。</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1.2.2污水管网系统健康评估模型</w:t>
      </w:r>
    </w:p>
    <w:p>
      <w:pPr>
        <w:spacing w:line="360" w:lineRule="auto"/>
        <w:ind w:firstLine="420" w:firstLineChars="200"/>
        <w:rPr>
          <w:rFonts w:ascii="宋体" w:hAnsi="宋体" w:cs="宋体"/>
          <w:b/>
          <w:bCs/>
          <w:highlight w:val="none"/>
        </w:rPr>
      </w:pPr>
      <w:r>
        <w:rPr>
          <w:rFonts w:hint="eastAsia" w:ascii="宋体" w:hAnsi="宋体" w:cs="宋体"/>
          <w:b/>
          <w:bCs/>
          <w:highlight w:val="none"/>
        </w:rPr>
        <w:t>1、内容和范围</w:t>
      </w:r>
    </w:p>
    <w:p>
      <w:pPr>
        <w:spacing w:line="360" w:lineRule="auto"/>
        <w:ind w:firstLine="420" w:firstLineChars="200"/>
        <w:rPr>
          <w:rFonts w:ascii="宋体" w:hAnsi="宋体" w:cs="宋体"/>
          <w:highlight w:val="none"/>
        </w:rPr>
      </w:pPr>
      <w:r>
        <w:rPr>
          <w:rFonts w:hint="eastAsia" w:ascii="宋体" w:hAnsi="宋体" w:cs="宋体"/>
          <w:highlight w:val="none"/>
        </w:rPr>
        <w:t>针对江北区内的污水主干管网和合流制主干管网进行健康度评价；</w:t>
      </w:r>
    </w:p>
    <w:p>
      <w:pPr>
        <w:spacing w:line="360" w:lineRule="auto"/>
        <w:ind w:firstLine="420" w:firstLineChars="200"/>
        <w:rPr>
          <w:rFonts w:ascii="宋体" w:hAnsi="宋体" w:cs="宋体"/>
          <w:b/>
          <w:bCs/>
          <w:highlight w:val="none"/>
        </w:rPr>
      </w:pPr>
      <w:r>
        <w:rPr>
          <w:rFonts w:hint="eastAsia" w:ascii="宋体" w:hAnsi="宋体" w:cs="宋体"/>
          <w:b/>
          <w:bCs/>
          <w:highlight w:val="none"/>
        </w:rPr>
        <w:t>2、物理属性检查</w:t>
      </w:r>
    </w:p>
    <w:p>
      <w:pPr>
        <w:spacing w:line="360" w:lineRule="auto"/>
        <w:ind w:firstLine="420" w:firstLineChars="200"/>
        <w:rPr>
          <w:rFonts w:ascii="宋体" w:hAnsi="宋体" w:cs="宋体"/>
          <w:highlight w:val="none"/>
        </w:rPr>
      </w:pPr>
      <w:r>
        <w:rPr>
          <w:rFonts w:hint="eastAsia" w:ascii="宋体" w:hAnsi="宋体" w:cs="宋体"/>
          <w:highlight w:val="none"/>
        </w:rPr>
        <w:t>1）管道坡度检查：分析管道坡度不合理的管段，获得其位置。</w:t>
      </w:r>
    </w:p>
    <w:p>
      <w:pPr>
        <w:spacing w:line="360" w:lineRule="auto"/>
        <w:ind w:firstLine="420" w:firstLineChars="200"/>
        <w:rPr>
          <w:rFonts w:ascii="宋体" w:hAnsi="宋体" w:cs="宋体"/>
          <w:highlight w:val="none"/>
        </w:rPr>
      </w:pPr>
      <w:r>
        <w:rPr>
          <w:rFonts w:hint="eastAsia" w:ascii="宋体" w:hAnsi="宋体" w:cs="宋体"/>
          <w:highlight w:val="none"/>
        </w:rPr>
        <w:t>2）管道管径检查：分析管径不合理的管段，获得其位置。</w:t>
      </w:r>
    </w:p>
    <w:p>
      <w:pPr>
        <w:spacing w:line="360" w:lineRule="auto"/>
        <w:ind w:firstLine="420" w:firstLineChars="200"/>
        <w:rPr>
          <w:rFonts w:ascii="宋体" w:hAnsi="宋体" w:cs="宋体"/>
          <w:highlight w:val="none"/>
        </w:rPr>
      </w:pPr>
      <w:r>
        <w:rPr>
          <w:rFonts w:hint="eastAsia" w:ascii="宋体" w:hAnsi="宋体" w:cs="宋体"/>
          <w:highlight w:val="none"/>
        </w:rPr>
        <w:t>3）大管接小管检查：分析大管接小管的管段，获得其位置。</w:t>
      </w:r>
    </w:p>
    <w:p>
      <w:pPr>
        <w:spacing w:line="360" w:lineRule="auto"/>
        <w:ind w:firstLine="420" w:firstLineChars="200"/>
        <w:rPr>
          <w:rFonts w:ascii="宋体" w:hAnsi="宋体" w:cs="宋体"/>
          <w:highlight w:val="none"/>
        </w:rPr>
      </w:pPr>
      <w:r>
        <w:rPr>
          <w:rFonts w:hint="eastAsia" w:ascii="宋体" w:hAnsi="宋体" w:cs="宋体"/>
          <w:highlight w:val="none"/>
        </w:rPr>
        <w:t>4）孤立管段和节点检查：分析存在孤立管段或孤立节点的管网，获得孤立管段或节点位置。</w:t>
      </w:r>
    </w:p>
    <w:p>
      <w:pPr>
        <w:spacing w:line="360" w:lineRule="auto"/>
        <w:ind w:firstLine="420" w:firstLineChars="200"/>
        <w:rPr>
          <w:rFonts w:ascii="宋体" w:hAnsi="宋体" w:cs="宋体"/>
          <w:highlight w:val="none"/>
        </w:rPr>
      </w:pPr>
      <w:r>
        <w:rPr>
          <w:rFonts w:hint="eastAsia" w:ascii="宋体" w:hAnsi="宋体" w:cs="宋体"/>
          <w:highlight w:val="none"/>
        </w:rPr>
        <w:t>5）出水口检查：分析管网系统中下游无出水口或出口不明确的管网子系统，获得其位置。</w:t>
      </w:r>
    </w:p>
    <w:p>
      <w:pPr>
        <w:spacing w:line="360" w:lineRule="auto"/>
        <w:ind w:firstLine="420" w:firstLineChars="200"/>
        <w:rPr>
          <w:rFonts w:ascii="宋体" w:hAnsi="宋体" w:cs="宋体"/>
          <w:highlight w:val="none"/>
        </w:rPr>
      </w:pPr>
      <w:r>
        <w:rPr>
          <w:rFonts w:hint="eastAsia" w:ascii="宋体" w:hAnsi="宋体" w:cs="宋体"/>
          <w:highlight w:val="none"/>
        </w:rPr>
        <w:t>6）管长分析：依据规范分析管长不合理的管段，获得其位置。</w:t>
      </w:r>
    </w:p>
    <w:p>
      <w:pPr>
        <w:spacing w:line="360" w:lineRule="auto"/>
        <w:ind w:firstLine="420" w:firstLineChars="200"/>
        <w:rPr>
          <w:rFonts w:ascii="宋体" w:hAnsi="宋体" w:cs="宋体"/>
          <w:b/>
          <w:bCs/>
          <w:highlight w:val="none"/>
        </w:rPr>
      </w:pPr>
      <w:r>
        <w:rPr>
          <w:rFonts w:hint="eastAsia" w:ascii="宋体" w:hAnsi="宋体" w:cs="宋体"/>
          <w:b/>
          <w:bCs/>
          <w:highlight w:val="none"/>
        </w:rPr>
        <w:t>3、模型分析</w:t>
      </w:r>
    </w:p>
    <w:p>
      <w:pPr>
        <w:spacing w:line="360" w:lineRule="auto"/>
        <w:ind w:firstLine="420" w:firstLineChars="200"/>
        <w:rPr>
          <w:rFonts w:ascii="宋体" w:hAnsi="宋体" w:cs="宋体"/>
          <w:highlight w:val="none"/>
        </w:rPr>
      </w:pPr>
      <w:r>
        <w:rPr>
          <w:rFonts w:hint="eastAsia" w:ascii="宋体" w:hAnsi="宋体" w:cs="宋体"/>
          <w:highlight w:val="none"/>
        </w:rPr>
        <w:t>1）雨污混接分析：分析存在雨污混接问题的管段，获得混接点的位置。</w:t>
      </w:r>
    </w:p>
    <w:p>
      <w:pPr>
        <w:spacing w:line="360" w:lineRule="auto"/>
        <w:ind w:firstLine="420" w:firstLineChars="200"/>
        <w:rPr>
          <w:rFonts w:ascii="宋体" w:hAnsi="宋体" w:cs="宋体"/>
          <w:highlight w:val="none"/>
        </w:rPr>
      </w:pPr>
      <w:r>
        <w:rPr>
          <w:rFonts w:hint="eastAsia" w:ascii="宋体" w:hAnsi="宋体" w:cs="宋体"/>
          <w:highlight w:val="none"/>
        </w:rPr>
        <w:t>2）管网子系统划分：分析并找到管网汇总的所有子系统，获得子系统位置。</w:t>
      </w:r>
    </w:p>
    <w:p>
      <w:pPr>
        <w:spacing w:line="360" w:lineRule="auto"/>
        <w:ind w:firstLine="420" w:firstLineChars="200"/>
        <w:rPr>
          <w:rFonts w:ascii="宋体" w:hAnsi="宋体" w:cs="宋体"/>
          <w:highlight w:val="none"/>
        </w:rPr>
      </w:pPr>
      <w:r>
        <w:rPr>
          <w:rFonts w:hint="eastAsia" w:ascii="宋体" w:hAnsi="宋体" w:cs="宋体"/>
          <w:highlight w:val="none"/>
        </w:rPr>
        <w:t>3）多支流管点分析：分析管网系统中存在多支流问题的管点，获得管点位置。</w:t>
      </w:r>
    </w:p>
    <w:p>
      <w:pPr>
        <w:spacing w:line="360" w:lineRule="auto"/>
        <w:ind w:firstLine="420" w:firstLineChars="200"/>
        <w:rPr>
          <w:rFonts w:ascii="宋体" w:hAnsi="宋体" w:cs="宋体"/>
          <w:highlight w:val="none"/>
        </w:rPr>
      </w:pPr>
      <w:r>
        <w:rPr>
          <w:rFonts w:hint="eastAsia" w:ascii="宋体" w:hAnsi="宋体" w:cs="宋体"/>
          <w:highlight w:val="none"/>
        </w:rPr>
        <w:t>4）管道跌水分析：分析管网系统中存在跌水现象的管点，并获得管点位置。</w:t>
      </w:r>
    </w:p>
    <w:p>
      <w:pPr>
        <w:spacing w:line="360" w:lineRule="auto"/>
        <w:ind w:firstLine="420" w:firstLineChars="200"/>
        <w:rPr>
          <w:rFonts w:ascii="宋体" w:hAnsi="宋体" w:cs="宋体"/>
          <w:highlight w:val="none"/>
        </w:rPr>
      </w:pPr>
      <w:r>
        <w:rPr>
          <w:rFonts w:hint="eastAsia" w:ascii="宋体" w:hAnsi="宋体" w:cs="宋体"/>
          <w:highlight w:val="none"/>
        </w:rPr>
        <w:t>5）管道逆坡分析：分析管网系统中存在逆坡现象的管段，并获得管点位置。</w:t>
      </w:r>
    </w:p>
    <w:p>
      <w:pPr>
        <w:spacing w:line="360" w:lineRule="auto"/>
        <w:ind w:firstLine="420" w:firstLineChars="200"/>
        <w:rPr>
          <w:rFonts w:ascii="宋体" w:hAnsi="宋体" w:cs="宋体"/>
          <w:highlight w:val="none"/>
        </w:rPr>
      </w:pPr>
      <w:r>
        <w:rPr>
          <w:rFonts w:hint="eastAsia" w:ascii="宋体" w:hAnsi="宋体" w:cs="宋体"/>
          <w:highlight w:val="none"/>
        </w:rPr>
        <w:t>6）管网工程合理性分析：分析管道的水平净距、沉积厚度、覆土深度、压覆性、上下游追踪、流向，获得管道工程不合理的位置。</w:t>
      </w:r>
    </w:p>
    <w:p>
      <w:pPr>
        <w:spacing w:line="360" w:lineRule="auto"/>
        <w:ind w:firstLine="420" w:firstLineChars="200"/>
        <w:rPr>
          <w:rFonts w:ascii="宋体" w:hAnsi="宋体" w:cs="宋体"/>
          <w:b/>
          <w:bCs/>
          <w:highlight w:val="none"/>
        </w:rPr>
      </w:pPr>
      <w:r>
        <w:rPr>
          <w:rFonts w:hint="eastAsia" w:ascii="宋体" w:hAnsi="宋体" w:cs="宋体"/>
          <w:b/>
          <w:bCs/>
          <w:highlight w:val="none"/>
        </w:rPr>
        <w:t>4、综合评价指标</w:t>
      </w:r>
    </w:p>
    <w:p>
      <w:pPr>
        <w:spacing w:line="360" w:lineRule="auto"/>
        <w:ind w:firstLine="420" w:firstLineChars="200"/>
        <w:rPr>
          <w:rFonts w:ascii="宋体" w:hAnsi="宋体" w:cs="宋体"/>
          <w:highlight w:val="none"/>
        </w:rPr>
      </w:pPr>
      <w:r>
        <w:rPr>
          <w:rFonts w:hint="eastAsia" w:ascii="宋体" w:hAnsi="宋体" w:cs="宋体"/>
          <w:highlight w:val="none"/>
        </w:rPr>
        <w:t>1）管道淤堵评价：分析管网系统中存在淤堵问题的管段范围，获得范围区域</w:t>
      </w:r>
    </w:p>
    <w:p>
      <w:pPr>
        <w:spacing w:line="360" w:lineRule="auto"/>
        <w:ind w:firstLine="420" w:firstLineChars="200"/>
        <w:rPr>
          <w:rFonts w:ascii="宋体" w:hAnsi="宋体" w:cs="宋体"/>
          <w:highlight w:val="none"/>
        </w:rPr>
      </w:pPr>
      <w:r>
        <w:rPr>
          <w:rFonts w:hint="eastAsia" w:ascii="宋体" w:hAnsi="宋体" w:cs="宋体"/>
          <w:highlight w:val="none"/>
        </w:rPr>
        <w:t>2）管道漏损评价：分析管网系统中存在漏损问题的管段范围，获得范围区域。</w:t>
      </w:r>
    </w:p>
    <w:p>
      <w:pPr>
        <w:spacing w:line="360" w:lineRule="auto"/>
        <w:ind w:firstLine="420" w:firstLineChars="200"/>
        <w:rPr>
          <w:rFonts w:ascii="宋体" w:hAnsi="宋体" w:cs="宋体"/>
          <w:b/>
          <w:bCs/>
          <w:highlight w:val="none"/>
        </w:rPr>
      </w:pPr>
      <w:r>
        <w:rPr>
          <w:rFonts w:hint="eastAsia" w:ascii="宋体" w:hAnsi="宋体" w:cs="宋体"/>
          <w:b/>
          <w:bCs/>
          <w:highlight w:val="none"/>
        </w:rPr>
        <w:t>5、健康评估模型</w:t>
      </w:r>
    </w:p>
    <w:p>
      <w:pPr>
        <w:spacing w:line="360" w:lineRule="auto"/>
        <w:ind w:firstLine="420" w:firstLineChars="200"/>
        <w:rPr>
          <w:rFonts w:ascii="宋体" w:hAnsi="宋体" w:cs="宋体"/>
          <w:highlight w:val="none"/>
        </w:rPr>
      </w:pPr>
      <w:r>
        <w:rPr>
          <w:rFonts w:hint="eastAsia" w:ascii="宋体" w:hAnsi="宋体" w:cs="宋体"/>
          <w:highlight w:val="none"/>
        </w:rPr>
        <w:t>1）管网综合健康评估模型：基于以上各个评价指标的内容，分析各指标对健康度影响的权重关系，并以污水分区为评价单元，评价出各个污水分区的管网综合健康度等级。</w:t>
      </w:r>
    </w:p>
    <w:p>
      <w:pPr>
        <w:spacing w:line="360" w:lineRule="auto"/>
        <w:ind w:firstLine="420" w:firstLineChars="200"/>
        <w:rPr>
          <w:rFonts w:ascii="宋体" w:hAnsi="宋体" w:cs="宋体"/>
          <w:highlight w:val="none"/>
        </w:rPr>
      </w:pPr>
      <w:r>
        <w:rPr>
          <w:rFonts w:hint="eastAsia" w:ascii="宋体" w:hAnsi="宋体" w:cs="宋体"/>
          <w:highlight w:val="none"/>
        </w:rPr>
        <w:t>2）管网运行风险分析模型：结合水质和液位监测数据对管网运行风险进行分析评估，针对区域管网运行流量、充满度进行可视化效果展示，针对高风险地区进行高亮显示。支持选定监测期间内的峰值流量、最大液位、平均流量和流速分析运行负荷和内险分析，评估现状负荷指标。</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1.3管网日常运营智慧管理模型</w:t>
      </w:r>
    </w:p>
    <w:p>
      <w:pPr>
        <w:spacing w:line="360" w:lineRule="auto"/>
        <w:ind w:firstLine="420" w:firstLineChars="200"/>
        <w:rPr>
          <w:rFonts w:ascii="宋体" w:hAnsi="宋体" w:cs="宋体"/>
          <w:highlight w:val="none"/>
        </w:rPr>
      </w:pPr>
      <w:r>
        <w:rPr>
          <w:rFonts w:hint="eastAsia" w:ascii="宋体" w:hAnsi="宋体" w:cs="宋体"/>
          <w:highlight w:val="none"/>
        </w:rPr>
        <w:t>基于监测数据，利用机器学习算法分析排水规律，预测排水管网水量水质时空分布，实现晴雨天模式识别、排水瓶颈定位、管网淤积评估、排水异常报警、管网污染溯源、长短期流量预测、管道腐蚀风险评估、臭气早期预警、系统水动力水质问题诊断、物理机制-数据驱动耦合分析等功能。</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1.3.1在线监测快速分析与方案优化模型</w:t>
      </w:r>
    </w:p>
    <w:p>
      <w:pPr>
        <w:spacing w:line="360" w:lineRule="auto"/>
        <w:ind w:firstLine="420" w:firstLineChars="200"/>
        <w:rPr>
          <w:rFonts w:ascii="宋体" w:hAnsi="宋体" w:cs="宋体"/>
          <w:b/>
          <w:bCs/>
          <w:highlight w:val="none"/>
        </w:rPr>
      </w:pPr>
      <w:r>
        <w:rPr>
          <w:rFonts w:hint="eastAsia" w:ascii="宋体" w:hAnsi="宋体" w:cs="宋体"/>
          <w:b/>
          <w:bCs/>
          <w:highlight w:val="none"/>
        </w:rPr>
        <w:t>1、内容和范围</w:t>
      </w:r>
    </w:p>
    <w:p>
      <w:pPr>
        <w:spacing w:line="360" w:lineRule="auto"/>
        <w:ind w:firstLine="420" w:firstLineChars="200"/>
        <w:rPr>
          <w:rFonts w:ascii="宋体" w:hAnsi="宋体" w:cs="宋体"/>
          <w:highlight w:val="none"/>
        </w:rPr>
      </w:pPr>
      <w:r>
        <w:rPr>
          <w:rFonts w:hint="eastAsia" w:ascii="宋体" w:hAnsi="宋体" w:cs="宋体"/>
          <w:highlight w:val="none"/>
        </w:rPr>
        <w:t>构建江北区城乡排水管网在线监测快速分析模型。</w:t>
      </w:r>
    </w:p>
    <w:p>
      <w:pPr>
        <w:spacing w:line="360" w:lineRule="auto"/>
        <w:ind w:firstLine="420" w:firstLineChars="200"/>
        <w:rPr>
          <w:rFonts w:ascii="宋体" w:hAnsi="宋体" w:cs="宋体"/>
          <w:b/>
          <w:bCs/>
          <w:highlight w:val="none"/>
        </w:rPr>
      </w:pPr>
      <w:r>
        <w:rPr>
          <w:rFonts w:hint="eastAsia" w:ascii="宋体" w:hAnsi="宋体" w:cs="宋体"/>
          <w:b/>
          <w:bCs/>
          <w:highlight w:val="none"/>
        </w:rPr>
        <w:t>2、模型参数处理</w:t>
      </w:r>
    </w:p>
    <w:p>
      <w:pPr>
        <w:spacing w:line="360" w:lineRule="auto"/>
        <w:ind w:firstLine="420" w:firstLineChars="200"/>
        <w:rPr>
          <w:rFonts w:ascii="宋体" w:hAnsi="宋体" w:cs="宋体"/>
          <w:highlight w:val="none"/>
        </w:rPr>
      </w:pPr>
      <w:r>
        <w:rPr>
          <w:rFonts w:hint="eastAsia" w:ascii="宋体" w:hAnsi="宋体" w:cs="宋体"/>
          <w:highlight w:val="none"/>
        </w:rPr>
        <w:t>对于在线监测无效或缺失数据的处理，利用时间序列变量的近邻插值或多变量回归预测并替代无效值和缺失值。通过检验监测数据统计特征、周期性规律、多元序列时滞关系，量化评估监测数据可靠性、准确性、有效性、稳定性。基于统计分析、机器学习方法研发适用于排水管网在线监测的信息分析技术。</w:t>
      </w:r>
    </w:p>
    <w:p>
      <w:pPr>
        <w:spacing w:line="360" w:lineRule="auto"/>
        <w:ind w:firstLine="420" w:firstLineChars="200"/>
        <w:rPr>
          <w:rFonts w:ascii="宋体" w:hAnsi="宋体" w:cs="宋体"/>
          <w:b/>
          <w:bCs/>
          <w:highlight w:val="none"/>
        </w:rPr>
      </w:pPr>
      <w:r>
        <w:rPr>
          <w:rFonts w:hint="eastAsia" w:ascii="宋体" w:hAnsi="宋体" w:cs="宋体"/>
          <w:b/>
          <w:bCs/>
          <w:highlight w:val="none"/>
        </w:rPr>
        <w:t>3、监测方案优化模型</w:t>
      </w:r>
    </w:p>
    <w:p>
      <w:pPr>
        <w:spacing w:line="360" w:lineRule="auto"/>
        <w:ind w:firstLine="420" w:firstLineChars="200"/>
        <w:rPr>
          <w:rFonts w:ascii="宋体" w:hAnsi="宋体" w:cs="宋体"/>
          <w:highlight w:val="none"/>
        </w:rPr>
      </w:pPr>
      <w:r>
        <w:rPr>
          <w:rFonts w:hint="eastAsia" w:ascii="宋体" w:hAnsi="宋体" w:cs="宋体"/>
          <w:highlight w:val="none"/>
        </w:rPr>
        <w:t>基于分布式监测优化技术，建立排水管网动态监测优化方案。监测点位通常设置于主干管节点、排放口、调蓄设施的上下游节点等关键节点，其次考虑出户节点、易冒溢检查井等。由于排水管网空间分布及其本身物理规律，各节点之间存在隐性相关关系。利用互相关分析、模糊聚类分析方法，基于时间序列相似性衡量节点运行状态间的相互关系，形成数据预处理、可视化、统计分析、机器学习、耦合机理模型分析等全流程分析，制定监测布点优化方案，减小主观与经验布点方案不确定性的影响，以节省投资成本、提升资源利用率。</w:t>
      </w:r>
    </w:p>
    <w:p>
      <w:pPr>
        <w:spacing w:line="360" w:lineRule="auto"/>
        <w:ind w:firstLine="420" w:firstLineChars="200"/>
        <w:rPr>
          <w:rFonts w:ascii="宋体" w:hAnsi="宋体" w:cs="宋体"/>
          <w:b/>
          <w:bCs/>
          <w:highlight w:val="none"/>
        </w:rPr>
      </w:pPr>
      <w:r>
        <w:rPr>
          <w:rFonts w:hint="eastAsia" w:ascii="宋体" w:hAnsi="宋体" w:cs="宋体"/>
          <w:b/>
          <w:bCs/>
          <w:highlight w:val="none"/>
        </w:rPr>
        <w:t>4、模型结果输出指标：</w:t>
      </w:r>
    </w:p>
    <w:p>
      <w:pPr>
        <w:numPr>
          <w:ilvl w:val="0"/>
          <w:numId w:val="18"/>
        </w:numPr>
        <w:spacing w:line="360" w:lineRule="auto"/>
        <w:ind w:left="0" w:firstLine="420" w:firstLineChars="200"/>
        <w:rPr>
          <w:rFonts w:ascii="宋体" w:hAnsi="宋体" w:cs="宋体"/>
          <w:highlight w:val="none"/>
        </w:rPr>
      </w:pPr>
      <w:r>
        <w:rPr>
          <w:rFonts w:hint="eastAsia" w:ascii="宋体" w:hAnsi="宋体" w:cs="宋体"/>
          <w:highlight w:val="none"/>
        </w:rPr>
        <w:t>模型计算时间&lt;30分钟；</w:t>
      </w:r>
    </w:p>
    <w:p>
      <w:pPr>
        <w:numPr>
          <w:ilvl w:val="0"/>
          <w:numId w:val="18"/>
        </w:numPr>
        <w:spacing w:line="360" w:lineRule="auto"/>
        <w:ind w:left="0" w:firstLine="420" w:firstLineChars="200"/>
        <w:rPr>
          <w:rFonts w:ascii="宋体" w:hAnsi="宋体" w:cs="宋体"/>
          <w:highlight w:val="none"/>
        </w:rPr>
      </w:pPr>
      <w:r>
        <w:rPr>
          <w:rFonts w:hint="eastAsia" w:ascii="宋体" w:hAnsi="宋体" w:cs="宋体"/>
          <w:highlight w:val="none"/>
        </w:rPr>
        <w:t>管网监测数据的统计分析及其可视化结果；</w:t>
      </w:r>
    </w:p>
    <w:p>
      <w:pPr>
        <w:numPr>
          <w:ilvl w:val="0"/>
          <w:numId w:val="18"/>
        </w:numPr>
        <w:spacing w:line="360" w:lineRule="auto"/>
        <w:ind w:left="0" w:firstLine="420" w:firstLineChars="200"/>
        <w:rPr>
          <w:rFonts w:ascii="宋体" w:hAnsi="宋体" w:cs="宋体"/>
          <w:highlight w:val="none"/>
        </w:rPr>
      </w:pPr>
      <w:r>
        <w:rPr>
          <w:rFonts w:hint="eastAsia" w:ascii="宋体" w:hAnsi="宋体" w:cs="宋体"/>
          <w:highlight w:val="none"/>
        </w:rPr>
        <w:t>序列最大值、最小值、平均值、中值、众数值；</w:t>
      </w:r>
    </w:p>
    <w:p>
      <w:pPr>
        <w:numPr>
          <w:ilvl w:val="0"/>
          <w:numId w:val="18"/>
        </w:numPr>
        <w:spacing w:line="360" w:lineRule="auto"/>
        <w:ind w:left="0" w:firstLine="420" w:firstLineChars="200"/>
        <w:rPr>
          <w:rFonts w:ascii="宋体" w:hAnsi="宋体" w:cs="宋体"/>
          <w:highlight w:val="none"/>
        </w:rPr>
      </w:pPr>
      <w:r>
        <w:rPr>
          <w:rFonts w:hint="eastAsia" w:ascii="宋体" w:hAnsi="宋体" w:cs="宋体"/>
          <w:highlight w:val="none"/>
        </w:rPr>
        <w:t>平稳性趋势、季节性趋势、周期性趋势、背景噪声；</w:t>
      </w:r>
    </w:p>
    <w:p>
      <w:pPr>
        <w:numPr>
          <w:ilvl w:val="0"/>
          <w:numId w:val="18"/>
        </w:numPr>
        <w:spacing w:line="360" w:lineRule="auto"/>
        <w:ind w:left="0" w:firstLine="420" w:firstLineChars="200"/>
        <w:rPr>
          <w:rFonts w:ascii="宋体" w:hAnsi="宋体" w:cs="宋体"/>
          <w:highlight w:val="none"/>
        </w:rPr>
      </w:pPr>
      <w:r>
        <w:rPr>
          <w:rFonts w:hint="eastAsia" w:ascii="宋体" w:hAnsi="宋体" w:cs="宋体"/>
          <w:highlight w:val="none"/>
        </w:rPr>
        <w:t>多点位空间互相关性、时滞相关性；</w:t>
      </w:r>
    </w:p>
    <w:p>
      <w:pPr>
        <w:numPr>
          <w:ilvl w:val="0"/>
          <w:numId w:val="18"/>
        </w:numPr>
        <w:spacing w:line="360" w:lineRule="auto"/>
        <w:ind w:left="0" w:firstLine="420" w:firstLineChars="200"/>
        <w:rPr>
          <w:rFonts w:ascii="宋体" w:hAnsi="宋体" w:cs="宋体"/>
          <w:highlight w:val="none"/>
        </w:rPr>
      </w:pPr>
      <w:r>
        <w:rPr>
          <w:rFonts w:hint="eastAsia" w:ascii="宋体" w:hAnsi="宋体" w:cs="宋体"/>
          <w:highlight w:val="none"/>
        </w:rPr>
        <w:t>目标区域管网监测实施的优化方案；</w:t>
      </w:r>
    </w:p>
    <w:p>
      <w:pPr>
        <w:numPr>
          <w:ilvl w:val="0"/>
          <w:numId w:val="18"/>
        </w:numPr>
        <w:spacing w:line="360" w:lineRule="auto"/>
        <w:ind w:left="0" w:firstLine="420" w:firstLineChars="200"/>
        <w:rPr>
          <w:rFonts w:ascii="宋体" w:hAnsi="宋体" w:cs="宋体"/>
          <w:highlight w:val="none"/>
        </w:rPr>
      </w:pPr>
      <w:r>
        <w:rPr>
          <w:rFonts w:hint="eastAsia" w:ascii="宋体" w:hAnsi="宋体" w:cs="宋体"/>
          <w:highlight w:val="none"/>
        </w:rPr>
        <w:t>可根据用户指定监测仪器设备总量自适应输出监测点位表格。</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1.3.2排水管网过流能力瓶颈定位模型</w:t>
      </w:r>
    </w:p>
    <w:p>
      <w:pPr>
        <w:spacing w:line="360" w:lineRule="auto"/>
        <w:ind w:firstLine="420" w:firstLineChars="200"/>
        <w:rPr>
          <w:rFonts w:ascii="宋体" w:hAnsi="宋体" w:cs="宋体"/>
          <w:b/>
          <w:bCs/>
          <w:highlight w:val="none"/>
        </w:rPr>
      </w:pPr>
      <w:r>
        <w:rPr>
          <w:rFonts w:hint="eastAsia" w:ascii="宋体" w:hAnsi="宋体" w:cs="宋体"/>
          <w:b/>
          <w:bCs/>
          <w:highlight w:val="none"/>
        </w:rPr>
        <w:t>1、内容和范围：</w:t>
      </w:r>
    </w:p>
    <w:p>
      <w:pPr>
        <w:spacing w:line="360" w:lineRule="auto"/>
        <w:ind w:firstLine="420" w:firstLineChars="200"/>
        <w:rPr>
          <w:rFonts w:ascii="宋体" w:hAnsi="宋体" w:cs="宋体"/>
          <w:highlight w:val="none"/>
        </w:rPr>
      </w:pPr>
      <w:r>
        <w:rPr>
          <w:rFonts w:hint="eastAsia" w:ascii="宋体" w:hAnsi="宋体" w:cs="宋体"/>
          <w:highlight w:val="none"/>
        </w:rPr>
        <w:t>建立江北区城乡排水管网拓扑结构评估体系。</w:t>
      </w:r>
    </w:p>
    <w:p>
      <w:pPr>
        <w:spacing w:line="360" w:lineRule="auto"/>
        <w:ind w:firstLine="420" w:firstLineChars="200"/>
        <w:rPr>
          <w:rFonts w:ascii="宋体" w:hAnsi="宋体" w:cs="宋体"/>
          <w:b/>
          <w:bCs/>
          <w:highlight w:val="none"/>
        </w:rPr>
      </w:pPr>
      <w:r>
        <w:rPr>
          <w:rFonts w:hint="eastAsia" w:ascii="宋体" w:hAnsi="宋体" w:cs="宋体"/>
          <w:b/>
          <w:bCs/>
          <w:highlight w:val="none"/>
        </w:rPr>
        <w:t>2、管网结构拓扑分析：</w:t>
      </w:r>
    </w:p>
    <w:p>
      <w:pPr>
        <w:spacing w:line="360" w:lineRule="auto"/>
        <w:ind w:firstLine="420" w:firstLineChars="200"/>
        <w:rPr>
          <w:rFonts w:ascii="宋体" w:hAnsi="宋体" w:cs="宋体"/>
          <w:highlight w:val="none"/>
        </w:rPr>
      </w:pPr>
      <w:r>
        <w:rPr>
          <w:rFonts w:hint="eastAsia" w:ascii="宋体" w:hAnsi="宋体" w:cs="宋体"/>
          <w:highlight w:val="none"/>
        </w:rPr>
        <w:t>基于雨污管网本地数据及几何模型，基于拓扑结构分析方法，利用各种拓扑检查工具进行分析定位，评估管网结构性能，具体包含以下参数：</w:t>
      </w:r>
    </w:p>
    <w:p>
      <w:pPr>
        <w:numPr>
          <w:ilvl w:val="0"/>
          <w:numId w:val="19"/>
        </w:numPr>
        <w:spacing w:line="360" w:lineRule="auto"/>
        <w:ind w:firstLine="420" w:firstLineChars="200"/>
        <w:rPr>
          <w:rFonts w:ascii="宋体" w:hAnsi="宋体" w:cs="宋体"/>
          <w:highlight w:val="none"/>
        </w:rPr>
      </w:pPr>
      <w:r>
        <w:rPr>
          <w:rFonts w:hint="eastAsia" w:ascii="宋体" w:hAnsi="宋体" w:cs="宋体"/>
          <w:highlight w:val="none"/>
        </w:rPr>
        <w:t>管段逆坡指数。当管道上游高程值小于下游高程值时，无法依靠重力作用顺利排水；逆坡越大，则管道正常运行的困难越大。通过定义逆坡指数，表征管段逆坡程度及其影响。</w:t>
      </w:r>
    </w:p>
    <w:p>
      <w:pPr>
        <w:numPr>
          <w:ilvl w:val="0"/>
          <w:numId w:val="19"/>
        </w:numPr>
        <w:spacing w:line="360" w:lineRule="auto"/>
        <w:ind w:firstLine="420" w:firstLineChars="200"/>
        <w:rPr>
          <w:rFonts w:ascii="宋体" w:hAnsi="宋体" w:cs="宋体"/>
          <w:highlight w:val="none"/>
        </w:rPr>
      </w:pPr>
      <w:r>
        <w:rPr>
          <w:rFonts w:hint="eastAsia" w:ascii="宋体" w:hAnsi="宋体" w:cs="宋体"/>
          <w:highlight w:val="none"/>
        </w:rPr>
        <w:t>管径顺减指数。下游管道管径应不小于上游连接管道的管径，当下游管径较小时，管道排水能力较上游管道的排水能力更弱，管径差值越大，对上游管道正常排水产生不利影响越大。</w:t>
      </w:r>
    </w:p>
    <w:p>
      <w:pPr>
        <w:numPr>
          <w:ilvl w:val="0"/>
          <w:numId w:val="19"/>
        </w:numPr>
        <w:spacing w:line="360" w:lineRule="auto"/>
        <w:ind w:firstLine="420" w:firstLineChars="200"/>
        <w:rPr>
          <w:rFonts w:ascii="宋体" w:hAnsi="宋体" w:cs="宋体"/>
          <w:highlight w:val="none"/>
        </w:rPr>
      </w:pPr>
      <w:r>
        <w:rPr>
          <w:rFonts w:hint="eastAsia" w:ascii="宋体" w:hAnsi="宋体" w:cs="宋体"/>
          <w:highlight w:val="none"/>
        </w:rPr>
        <w:t>管段封闭指数。若局部管网最终无明确排口，易造成雨污水进入管网后无法顺利排走，易导致检查井处溢流，管网无法正常发挥功能。</w:t>
      </w:r>
    </w:p>
    <w:p>
      <w:pPr>
        <w:numPr>
          <w:ilvl w:val="0"/>
          <w:numId w:val="19"/>
        </w:numPr>
        <w:spacing w:line="360" w:lineRule="auto"/>
        <w:ind w:firstLine="420" w:firstLineChars="200"/>
        <w:rPr>
          <w:rFonts w:ascii="宋体" w:hAnsi="宋体" w:cs="宋体"/>
          <w:highlight w:val="none"/>
        </w:rPr>
      </w:pPr>
      <w:r>
        <w:rPr>
          <w:rFonts w:hint="eastAsia" w:ascii="宋体" w:hAnsi="宋体" w:cs="宋体"/>
          <w:highlight w:val="none"/>
        </w:rPr>
        <w:t>检查井顶托指数。当检查井上游管顶标高小于下游管底标高时，检查井液位对上游管道形成顶托作用，影响管网排水能力。</w:t>
      </w:r>
    </w:p>
    <w:p>
      <w:pPr>
        <w:spacing w:line="360" w:lineRule="auto"/>
        <w:ind w:firstLine="420" w:firstLineChars="200"/>
        <w:rPr>
          <w:rFonts w:ascii="宋体" w:hAnsi="宋体" w:cs="宋体"/>
          <w:b/>
          <w:bCs/>
          <w:highlight w:val="none"/>
        </w:rPr>
      </w:pPr>
      <w:r>
        <w:rPr>
          <w:rFonts w:hint="eastAsia" w:ascii="宋体" w:hAnsi="宋体" w:cs="宋体"/>
          <w:b/>
          <w:bCs/>
          <w:highlight w:val="none"/>
        </w:rPr>
        <w:t>3、排水能力指标体系：</w:t>
      </w:r>
    </w:p>
    <w:p>
      <w:pPr>
        <w:spacing w:line="360" w:lineRule="auto"/>
        <w:ind w:firstLine="420" w:firstLineChars="200"/>
        <w:rPr>
          <w:rFonts w:ascii="宋体" w:hAnsi="宋体" w:cs="宋体"/>
          <w:highlight w:val="none"/>
        </w:rPr>
      </w:pPr>
      <w:r>
        <w:rPr>
          <w:rFonts w:hint="eastAsia" w:ascii="宋体" w:hAnsi="宋体" w:cs="宋体"/>
          <w:highlight w:val="none"/>
        </w:rPr>
        <w:t>结合管网拓扑结构、管道属性特征及监测数据，分析管道充满度、检查井溢流量、检查井溢流时间、管道瓶颈状态、管道排水标准：</w:t>
      </w:r>
    </w:p>
    <w:p>
      <w:pPr>
        <w:numPr>
          <w:ilvl w:val="0"/>
          <w:numId w:val="20"/>
        </w:numPr>
        <w:spacing w:line="360" w:lineRule="auto"/>
        <w:ind w:firstLine="420" w:firstLineChars="200"/>
        <w:rPr>
          <w:rFonts w:ascii="宋体" w:hAnsi="宋体" w:cs="宋体"/>
          <w:highlight w:val="none"/>
        </w:rPr>
      </w:pPr>
      <w:r>
        <w:rPr>
          <w:rFonts w:hint="eastAsia" w:ascii="宋体" w:hAnsi="宋体" w:cs="宋体"/>
          <w:highlight w:val="none"/>
        </w:rPr>
        <w:t>管道充满度。通过管内水深与管径的比值，反映管道剩余排水能力。若充满度大于等于1，则为满管运行，管道达到设计最大排水能力，处于超载状态。</w:t>
      </w:r>
    </w:p>
    <w:p>
      <w:pPr>
        <w:numPr>
          <w:ilvl w:val="0"/>
          <w:numId w:val="20"/>
        </w:numPr>
        <w:spacing w:line="360" w:lineRule="auto"/>
        <w:ind w:firstLine="420" w:firstLineChars="200"/>
        <w:rPr>
          <w:rFonts w:ascii="宋体" w:hAnsi="宋体" w:cs="宋体"/>
          <w:highlight w:val="none"/>
        </w:rPr>
      </w:pPr>
      <w:r>
        <w:rPr>
          <w:rFonts w:hint="eastAsia" w:ascii="宋体" w:hAnsi="宋体" w:cs="宋体"/>
          <w:highlight w:val="none"/>
        </w:rPr>
        <w:t>检查井溢流量。当管道在超载状态下运行，检查井可能出现冒溢现象，冒溢水量越大，反映管道排水能力越差。</w:t>
      </w:r>
    </w:p>
    <w:p>
      <w:pPr>
        <w:numPr>
          <w:ilvl w:val="0"/>
          <w:numId w:val="20"/>
        </w:numPr>
        <w:spacing w:line="360" w:lineRule="auto"/>
        <w:ind w:firstLine="420" w:firstLineChars="200"/>
        <w:rPr>
          <w:rFonts w:ascii="宋体" w:hAnsi="宋体" w:cs="宋体"/>
          <w:highlight w:val="none"/>
        </w:rPr>
      </w:pPr>
      <w:r>
        <w:rPr>
          <w:rFonts w:hint="eastAsia" w:ascii="宋体" w:hAnsi="宋体" w:cs="宋体"/>
          <w:highlight w:val="none"/>
        </w:rPr>
        <w:t>检查井溢流时间。检查井处形成溢流的时长在一定程度上反映了该管道超载的时间。检查井溢流时间越长，表明管道及时排水能力越差。</w:t>
      </w:r>
    </w:p>
    <w:p>
      <w:pPr>
        <w:numPr>
          <w:ilvl w:val="0"/>
          <w:numId w:val="20"/>
        </w:numPr>
        <w:spacing w:line="360" w:lineRule="auto"/>
        <w:ind w:firstLine="420" w:firstLineChars="200"/>
        <w:rPr>
          <w:rFonts w:ascii="宋体" w:hAnsi="宋体" w:cs="宋体"/>
          <w:highlight w:val="none"/>
        </w:rPr>
      </w:pPr>
      <w:r>
        <w:rPr>
          <w:rFonts w:hint="eastAsia" w:ascii="宋体" w:hAnsi="宋体" w:cs="宋体"/>
          <w:highlight w:val="none"/>
        </w:rPr>
        <w:t>超载状态。当管道发生超载且出现水力坡度大于管道坡度时， 表明管道自身的过流能力不足，并非受下游管道顶托作用。</w:t>
      </w:r>
    </w:p>
    <w:p>
      <w:pPr>
        <w:numPr>
          <w:ilvl w:val="0"/>
          <w:numId w:val="20"/>
        </w:numPr>
        <w:spacing w:line="360" w:lineRule="auto"/>
        <w:ind w:firstLine="420" w:firstLineChars="200"/>
        <w:rPr>
          <w:rFonts w:ascii="宋体" w:hAnsi="宋体" w:cs="宋体"/>
          <w:highlight w:val="none"/>
        </w:rPr>
      </w:pPr>
      <w:r>
        <w:rPr>
          <w:rFonts w:hint="eastAsia" w:ascii="宋体" w:hAnsi="宋体" w:cs="宋体"/>
          <w:highlight w:val="none"/>
        </w:rPr>
        <w:t>管道排水标准。对不同重现期降雨条件下的管道状态进行分析，将管道上游连接的检查井是否出现溢流作为临界状态，判断管道对应的排水重现期标准，即管道排水标准; 该指标反映了管道对内涝风险缓解所能发挥的最大作用，排水标准值越高，说明所能及时排除的水量越多，排水能力越强。</w:t>
      </w:r>
    </w:p>
    <w:p>
      <w:pPr>
        <w:pStyle w:val="81"/>
        <w:spacing w:line="360" w:lineRule="auto"/>
        <w:ind w:firstLine="422"/>
        <w:rPr>
          <w:rFonts w:ascii="宋体" w:hAnsi="宋体" w:cs="宋体"/>
          <w:b/>
          <w:bCs/>
          <w:highlight w:val="none"/>
        </w:rPr>
      </w:pPr>
      <w:r>
        <w:rPr>
          <w:rFonts w:hint="eastAsia" w:ascii="宋体" w:hAnsi="宋体" w:cs="宋体"/>
          <w:b/>
          <w:bCs/>
          <w:highlight w:val="none"/>
        </w:rPr>
        <w:t>4、基于管网排水性能图的过流能力模型：</w:t>
      </w:r>
    </w:p>
    <w:p>
      <w:pPr>
        <w:spacing w:line="360" w:lineRule="auto"/>
        <w:ind w:firstLine="420" w:firstLineChars="200"/>
        <w:rPr>
          <w:rFonts w:ascii="宋体" w:hAnsi="宋体" w:cs="宋体"/>
          <w:highlight w:val="none"/>
        </w:rPr>
      </w:pPr>
      <w:r>
        <w:rPr>
          <w:rFonts w:hint="eastAsia" w:ascii="宋体" w:hAnsi="宋体" w:cs="宋体"/>
          <w:highlight w:val="none"/>
        </w:rPr>
        <w:t>通过排水管网排水性能图，推演排水管网系统流量动态变化，确定不同场景条件下，排水管网输运能力瓶颈及其位置，形成排水能力评估可视化结果与报告。</w:t>
      </w:r>
    </w:p>
    <w:p>
      <w:pPr>
        <w:spacing w:line="360" w:lineRule="auto"/>
        <w:ind w:firstLine="420" w:firstLineChars="200"/>
        <w:rPr>
          <w:rFonts w:ascii="宋体" w:hAnsi="宋体" w:cs="宋体"/>
          <w:b/>
          <w:bCs/>
          <w:highlight w:val="none"/>
        </w:rPr>
      </w:pPr>
      <w:r>
        <w:rPr>
          <w:rFonts w:hint="eastAsia" w:ascii="宋体" w:hAnsi="宋体" w:cs="宋体"/>
          <w:b/>
          <w:bCs/>
          <w:highlight w:val="none"/>
        </w:rPr>
        <w:t>5、模型结果输出指标：</w:t>
      </w:r>
    </w:p>
    <w:p>
      <w:pPr>
        <w:numPr>
          <w:ilvl w:val="0"/>
          <w:numId w:val="21"/>
        </w:numPr>
        <w:spacing w:line="360" w:lineRule="auto"/>
        <w:ind w:firstLine="420" w:firstLineChars="200"/>
        <w:rPr>
          <w:rFonts w:ascii="宋体" w:hAnsi="宋体" w:cs="宋体"/>
          <w:highlight w:val="none"/>
        </w:rPr>
      </w:pPr>
      <w:r>
        <w:rPr>
          <w:rFonts w:hint="eastAsia" w:ascii="宋体" w:hAnsi="宋体" w:cs="宋体"/>
          <w:highlight w:val="none"/>
        </w:rPr>
        <w:t>模型计算时间&lt;30分钟；</w:t>
      </w:r>
    </w:p>
    <w:p>
      <w:pPr>
        <w:numPr>
          <w:ilvl w:val="0"/>
          <w:numId w:val="21"/>
        </w:numPr>
        <w:spacing w:line="360" w:lineRule="auto"/>
        <w:ind w:firstLine="420" w:firstLineChars="200"/>
        <w:rPr>
          <w:rFonts w:ascii="宋体" w:hAnsi="宋体" w:cs="宋体"/>
          <w:highlight w:val="none"/>
        </w:rPr>
      </w:pPr>
      <w:r>
        <w:rPr>
          <w:rFonts w:hint="eastAsia" w:ascii="宋体" w:hAnsi="宋体" w:cs="宋体"/>
          <w:highlight w:val="none"/>
        </w:rPr>
        <w:t>提供管径&gt;DN600管道的过流能力性能图；</w:t>
      </w:r>
    </w:p>
    <w:p>
      <w:pPr>
        <w:numPr>
          <w:ilvl w:val="0"/>
          <w:numId w:val="21"/>
        </w:numPr>
        <w:spacing w:line="360" w:lineRule="auto"/>
        <w:ind w:firstLine="420" w:firstLineChars="200"/>
        <w:rPr>
          <w:rFonts w:ascii="宋体" w:hAnsi="宋体" w:cs="宋体"/>
          <w:highlight w:val="none"/>
        </w:rPr>
      </w:pPr>
      <w:r>
        <w:rPr>
          <w:rFonts w:hint="eastAsia" w:ascii="宋体" w:hAnsi="宋体" w:cs="宋体"/>
          <w:highlight w:val="none"/>
        </w:rPr>
        <w:t>管网管段与节点排水性能指标统计结果；</w:t>
      </w:r>
    </w:p>
    <w:p>
      <w:pPr>
        <w:numPr>
          <w:ilvl w:val="0"/>
          <w:numId w:val="21"/>
        </w:numPr>
        <w:spacing w:line="360" w:lineRule="auto"/>
        <w:ind w:firstLine="420" w:firstLineChars="200"/>
        <w:rPr>
          <w:rFonts w:ascii="宋体" w:hAnsi="宋体" w:cs="宋体"/>
          <w:highlight w:val="none"/>
        </w:rPr>
      </w:pPr>
      <w:r>
        <w:rPr>
          <w:rFonts w:hint="eastAsia" w:ascii="宋体" w:hAnsi="宋体" w:cs="宋体"/>
          <w:highlight w:val="none"/>
        </w:rPr>
        <w:t>管网排水输送能力瓶颈管段，结合排水一张图进行标记与展示。</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1.3.3冒溢成因分析与淤塞诊断模型</w:t>
      </w:r>
    </w:p>
    <w:p>
      <w:pPr>
        <w:spacing w:line="360" w:lineRule="auto"/>
        <w:ind w:firstLine="420" w:firstLineChars="200"/>
        <w:rPr>
          <w:rFonts w:ascii="宋体" w:hAnsi="宋体" w:cs="宋体"/>
          <w:b/>
          <w:bCs/>
          <w:highlight w:val="none"/>
        </w:rPr>
      </w:pPr>
      <w:r>
        <w:rPr>
          <w:rFonts w:hint="eastAsia" w:ascii="宋体" w:hAnsi="宋体" w:cs="宋体"/>
          <w:b/>
          <w:bCs/>
          <w:highlight w:val="none"/>
        </w:rPr>
        <w:t>1、内容和范围：</w:t>
      </w:r>
    </w:p>
    <w:p>
      <w:pPr>
        <w:spacing w:line="360" w:lineRule="auto"/>
        <w:ind w:firstLine="420" w:firstLineChars="200"/>
        <w:rPr>
          <w:rFonts w:ascii="宋体" w:hAnsi="宋体" w:cs="宋体"/>
          <w:highlight w:val="none"/>
        </w:rPr>
      </w:pPr>
      <w:r>
        <w:rPr>
          <w:rFonts w:hint="eastAsia" w:ascii="宋体" w:hAnsi="宋体" w:cs="宋体"/>
          <w:highlight w:val="none"/>
        </w:rPr>
        <w:t>建立江北区城乡排水管网冒溢成因分析模型。</w:t>
      </w:r>
    </w:p>
    <w:p>
      <w:pPr>
        <w:spacing w:line="360" w:lineRule="auto"/>
        <w:ind w:firstLine="420" w:firstLineChars="200"/>
        <w:rPr>
          <w:rFonts w:ascii="宋体" w:hAnsi="宋体" w:cs="宋体"/>
          <w:b/>
          <w:bCs/>
          <w:highlight w:val="none"/>
        </w:rPr>
      </w:pPr>
      <w:r>
        <w:rPr>
          <w:rFonts w:hint="eastAsia" w:ascii="宋体" w:hAnsi="宋体" w:cs="宋体"/>
          <w:b/>
          <w:bCs/>
          <w:highlight w:val="none"/>
        </w:rPr>
        <w:t>2、冒溢成因分析模型：</w:t>
      </w:r>
    </w:p>
    <w:p>
      <w:pPr>
        <w:spacing w:line="360" w:lineRule="auto"/>
        <w:ind w:firstLine="420" w:firstLineChars="200"/>
        <w:rPr>
          <w:rFonts w:ascii="宋体" w:hAnsi="宋体" w:cs="宋体"/>
          <w:highlight w:val="none"/>
        </w:rPr>
      </w:pPr>
      <w:r>
        <w:rPr>
          <w:rFonts w:hint="eastAsia" w:ascii="宋体" w:hAnsi="宋体" w:cs="宋体"/>
          <w:highlight w:val="none"/>
        </w:rPr>
        <w:t>基于水动力水质模型进行常规运行状态模拟计算，获取管网运行基本要素数据。结合常规运行状态边界下系统水力性能图及水量水质分布图，反演模拟水力水质特征要素对淤堵条件的动态响应规律。通过与监测数据及其驱动模型计算结果，分析冒溢成因，包括超标降雨、管段过流能力不足、局部堵塞、下游顶托等。</w:t>
      </w:r>
    </w:p>
    <w:p>
      <w:pPr>
        <w:spacing w:line="360" w:lineRule="auto"/>
        <w:ind w:firstLine="420" w:firstLineChars="200"/>
        <w:rPr>
          <w:rFonts w:ascii="宋体" w:hAnsi="宋体" w:cs="宋体"/>
          <w:b/>
          <w:bCs/>
          <w:highlight w:val="none"/>
        </w:rPr>
      </w:pPr>
      <w:r>
        <w:rPr>
          <w:rFonts w:hint="eastAsia" w:ascii="宋体" w:hAnsi="宋体" w:cs="宋体"/>
          <w:b/>
          <w:bCs/>
          <w:highlight w:val="none"/>
        </w:rPr>
        <w:t>3、管段淤积诊断模型：</w:t>
      </w:r>
    </w:p>
    <w:p>
      <w:pPr>
        <w:spacing w:line="360" w:lineRule="auto"/>
        <w:ind w:firstLine="420" w:firstLineChars="200"/>
        <w:rPr>
          <w:rFonts w:ascii="宋体" w:hAnsi="宋体" w:cs="宋体"/>
          <w:highlight w:val="none"/>
        </w:rPr>
      </w:pPr>
      <w:r>
        <w:rPr>
          <w:rFonts w:hint="eastAsia" w:ascii="宋体" w:hAnsi="宋体" w:cs="宋体"/>
          <w:highlight w:val="none"/>
        </w:rPr>
        <w:t>建立上游流动条件（流量、佛罗德数、管径与上游水深比）、能量损耗及障碍物极限高度之间的关系，确定淤积特征尺寸对不同流量下管流流态变化的影响。在确定管段自净能力基础上，基于上下游检查井液位动态变化，管道沉积物导致的流量液位时空变化规律，识别诊断淤塞特征尺寸及其位置。基于机器学习回归模型，对特定管段的淤积趋势进行累计分析，定位可能出现淤积风险的管段，缩小清淤范围。</w:t>
      </w:r>
    </w:p>
    <w:p>
      <w:pPr>
        <w:spacing w:line="360" w:lineRule="auto"/>
        <w:ind w:firstLine="420" w:firstLineChars="200"/>
        <w:rPr>
          <w:rFonts w:ascii="宋体" w:hAnsi="宋体" w:cs="宋体"/>
          <w:b/>
          <w:bCs/>
          <w:highlight w:val="none"/>
        </w:rPr>
      </w:pPr>
      <w:r>
        <w:rPr>
          <w:rFonts w:hint="eastAsia" w:ascii="宋体" w:hAnsi="宋体" w:cs="宋体"/>
          <w:b/>
          <w:bCs/>
          <w:highlight w:val="none"/>
        </w:rPr>
        <w:t>4、模型结果输出指标：</w:t>
      </w:r>
    </w:p>
    <w:p>
      <w:pPr>
        <w:numPr>
          <w:ilvl w:val="0"/>
          <w:numId w:val="22"/>
        </w:numPr>
        <w:spacing w:line="360" w:lineRule="auto"/>
        <w:ind w:firstLine="420" w:firstLineChars="200"/>
        <w:rPr>
          <w:rFonts w:ascii="宋体" w:hAnsi="宋体" w:cs="宋体"/>
          <w:highlight w:val="none"/>
        </w:rPr>
      </w:pPr>
      <w:r>
        <w:rPr>
          <w:rFonts w:hint="eastAsia" w:ascii="宋体" w:hAnsi="宋体" w:cs="宋体"/>
          <w:highlight w:val="none"/>
        </w:rPr>
        <w:t>模型计算时间&lt;30分钟；</w:t>
      </w:r>
    </w:p>
    <w:p>
      <w:pPr>
        <w:numPr>
          <w:ilvl w:val="0"/>
          <w:numId w:val="22"/>
        </w:numPr>
        <w:spacing w:line="360" w:lineRule="auto"/>
        <w:ind w:firstLine="420" w:firstLineChars="200"/>
        <w:rPr>
          <w:rFonts w:ascii="宋体" w:hAnsi="宋体" w:cs="宋体"/>
          <w:highlight w:val="none"/>
        </w:rPr>
      </w:pPr>
      <w:r>
        <w:rPr>
          <w:rFonts w:hint="eastAsia" w:ascii="宋体" w:hAnsi="宋体" w:cs="宋体"/>
          <w:highlight w:val="none"/>
        </w:rPr>
        <w:t>实现冒溢成因分析，输出分析过程报告；</w:t>
      </w:r>
    </w:p>
    <w:p>
      <w:pPr>
        <w:numPr>
          <w:ilvl w:val="0"/>
          <w:numId w:val="22"/>
        </w:numPr>
        <w:spacing w:line="360" w:lineRule="auto"/>
        <w:ind w:firstLine="420" w:firstLineChars="200"/>
        <w:rPr>
          <w:rFonts w:ascii="宋体" w:hAnsi="宋体" w:cs="宋体"/>
          <w:highlight w:val="none"/>
        </w:rPr>
      </w:pPr>
      <w:r>
        <w:rPr>
          <w:rFonts w:hint="eastAsia" w:ascii="宋体" w:hAnsi="宋体" w:cs="宋体"/>
          <w:highlight w:val="none"/>
        </w:rPr>
        <w:t>实现目标管段淤积识别诊断，输出淤塞特征（长度、高度等）。</w:t>
      </w:r>
    </w:p>
    <w:p>
      <w:pPr>
        <w:numPr>
          <w:ilvl w:val="0"/>
          <w:numId w:val="22"/>
        </w:numPr>
        <w:spacing w:line="360" w:lineRule="auto"/>
        <w:ind w:firstLine="420" w:firstLineChars="200"/>
        <w:rPr>
          <w:rFonts w:ascii="宋体" w:hAnsi="宋体" w:cs="宋体"/>
          <w:highlight w:val="none"/>
        </w:rPr>
      </w:pPr>
      <w:r>
        <w:rPr>
          <w:rFonts w:hint="eastAsia" w:ascii="宋体" w:hAnsi="宋体" w:cs="宋体"/>
          <w:highlight w:val="none"/>
        </w:rPr>
        <w:t>提供易冒溢检查井的位置；</w:t>
      </w:r>
    </w:p>
    <w:p>
      <w:pPr>
        <w:numPr>
          <w:ilvl w:val="0"/>
          <w:numId w:val="22"/>
        </w:numPr>
        <w:spacing w:line="360" w:lineRule="auto"/>
        <w:ind w:firstLine="420" w:firstLineChars="200"/>
        <w:rPr>
          <w:rFonts w:ascii="宋体" w:hAnsi="宋体" w:cs="宋体"/>
          <w:highlight w:val="none"/>
        </w:rPr>
      </w:pPr>
      <w:r>
        <w:rPr>
          <w:rFonts w:hint="eastAsia" w:ascii="宋体" w:hAnsi="宋体" w:cs="宋体"/>
          <w:highlight w:val="none"/>
        </w:rPr>
        <w:t>提供管径&gt;DN600过载管道位置及分布；</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1.3.4排水管网渗漏识别分析模型</w:t>
      </w:r>
    </w:p>
    <w:p>
      <w:pPr>
        <w:spacing w:line="360" w:lineRule="auto"/>
        <w:ind w:firstLine="420" w:firstLineChars="200"/>
        <w:rPr>
          <w:rFonts w:ascii="宋体" w:hAnsi="宋体" w:cs="宋体"/>
          <w:b/>
          <w:bCs/>
          <w:highlight w:val="none"/>
        </w:rPr>
      </w:pPr>
      <w:r>
        <w:rPr>
          <w:rFonts w:hint="eastAsia" w:ascii="宋体" w:hAnsi="宋体" w:cs="宋体"/>
          <w:b/>
          <w:bCs/>
          <w:highlight w:val="none"/>
        </w:rPr>
        <w:t>1、内容和范围：</w:t>
      </w:r>
    </w:p>
    <w:p>
      <w:pPr>
        <w:spacing w:line="360" w:lineRule="auto"/>
        <w:ind w:firstLine="420" w:firstLineChars="200"/>
        <w:rPr>
          <w:rFonts w:ascii="宋体" w:hAnsi="宋体" w:cs="宋体"/>
          <w:highlight w:val="none"/>
        </w:rPr>
      </w:pPr>
      <w:r>
        <w:rPr>
          <w:rFonts w:hint="eastAsia" w:ascii="宋体" w:hAnsi="宋体" w:cs="宋体"/>
          <w:highlight w:val="none"/>
        </w:rPr>
        <w:t>建立江北区城乡排水管网渗漏识别模型。</w:t>
      </w:r>
    </w:p>
    <w:p>
      <w:pPr>
        <w:spacing w:line="360" w:lineRule="auto"/>
        <w:ind w:firstLine="420" w:firstLineChars="200"/>
        <w:rPr>
          <w:rFonts w:ascii="宋体" w:hAnsi="宋体" w:cs="宋体"/>
          <w:b/>
          <w:bCs/>
          <w:highlight w:val="none"/>
        </w:rPr>
      </w:pPr>
      <w:r>
        <w:rPr>
          <w:rFonts w:hint="eastAsia" w:ascii="宋体" w:hAnsi="宋体" w:cs="宋体"/>
          <w:b/>
          <w:bCs/>
          <w:highlight w:val="none"/>
        </w:rPr>
        <w:t>2、多源时空数据驱动模块：</w:t>
      </w:r>
    </w:p>
    <w:p>
      <w:pPr>
        <w:spacing w:line="360" w:lineRule="auto"/>
        <w:ind w:firstLine="420" w:firstLineChars="200"/>
        <w:rPr>
          <w:rFonts w:ascii="宋体" w:hAnsi="宋体" w:cs="宋体"/>
          <w:highlight w:val="none"/>
        </w:rPr>
      </w:pPr>
      <w:r>
        <w:rPr>
          <w:rFonts w:hint="eastAsia" w:ascii="宋体" w:hAnsi="宋体" w:cs="宋体"/>
          <w:highlight w:val="none"/>
        </w:rPr>
        <w:t>基于在线监测系统不同空间点位的时间序列数据，识别常规运行及非常规运行状态模式，分析管网的排水能力和运行状态的动态变化，掌握管网的污染载荷时空分布特征。基于污水管网水力水质特征因子对渗漏状态的响应机制，对渗漏问题进行联合表征，结合数值模型场景反演与机器学习模型，利用多因素联合分析方法综合识别管网异常运行状态并诊断成因。</w:t>
      </w:r>
    </w:p>
    <w:p>
      <w:pPr>
        <w:spacing w:line="360" w:lineRule="auto"/>
        <w:ind w:firstLine="420" w:firstLineChars="200"/>
        <w:rPr>
          <w:rFonts w:ascii="宋体" w:hAnsi="宋体" w:cs="宋体"/>
          <w:b/>
          <w:bCs/>
          <w:highlight w:val="none"/>
        </w:rPr>
      </w:pPr>
      <w:r>
        <w:rPr>
          <w:rFonts w:hint="eastAsia" w:ascii="宋体" w:hAnsi="宋体" w:cs="宋体"/>
          <w:b/>
          <w:bCs/>
          <w:highlight w:val="none"/>
        </w:rPr>
        <w:t>3、管网外水量化评估模块：</w:t>
      </w:r>
    </w:p>
    <w:p>
      <w:pPr>
        <w:spacing w:line="360" w:lineRule="auto"/>
        <w:ind w:firstLine="420" w:firstLineChars="200"/>
        <w:rPr>
          <w:rFonts w:ascii="宋体" w:hAnsi="宋体" w:cs="宋体"/>
          <w:highlight w:val="none"/>
        </w:rPr>
      </w:pPr>
      <w:r>
        <w:rPr>
          <w:rFonts w:hint="eastAsia" w:ascii="宋体" w:hAnsi="宋体" w:cs="宋体"/>
          <w:highlight w:val="none"/>
        </w:rPr>
        <w:t>定量评估污水管网系统中外来水量占比，结合地下水位和降雨情况，基于布置在区域内不同关键点处的管内流量数据以及水质参数的时间序列数据，测定该区域的入流入渗量，并确定影响当地入流入渗量变化的关键因素。针对存在严重破损的管段，通过上下游检查井流量数据，基于上下游液位/流量差，评估管网污水的出流风险，绘制不同区域管网出流风险图。</w:t>
      </w:r>
    </w:p>
    <w:p>
      <w:pPr>
        <w:spacing w:line="360" w:lineRule="auto"/>
        <w:ind w:firstLine="420" w:firstLineChars="200"/>
        <w:rPr>
          <w:rFonts w:ascii="宋体" w:hAnsi="宋体" w:cs="宋体"/>
          <w:b/>
          <w:bCs/>
          <w:highlight w:val="none"/>
        </w:rPr>
      </w:pPr>
      <w:r>
        <w:rPr>
          <w:rFonts w:hint="eastAsia" w:ascii="宋体" w:hAnsi="宋体" w:cs="宋体"/>
          <w:b/>
          <w:bCs/>
          <w:highlight w:val="none"/>
        </w:rPr>
        <w:t>4、供排水互相关分析模块：</w:t>
      </w:r>
    </w:p>
    <w:p>
      <w:pPr>
        <w:spacing w:line="360" w:lineRule="auto"/>
        <w:ind w:firstLine="420" w:firstLineChars="200"/>
        <w:rPr>
          <w:rFonts w:ascii="宋体" w:hAnsi="宋体" w:cs="宋体"/>
          <w:highlight w:val="none"/>
        </w:rPr>
      </w:pPr>
      <w:r>
        <w:rPr>
          <w:rFonts w:hint="eastAsia" w:ascii="宋体" w:hAnsi="宋体" w:cs="宋体"/>
          <w:highlight w:val="none"/>
        </w:rPr>
        <w:t>结合管网服务片区的供水信息，根据供水总量日均变化规律分析小区住户每人每天用水平均量及变化系数。结合小区各门户污水检查井流量数据及气象数据，统筹分析小区整体供排水平衡关系、降雨导致入流入渗量等。通过分布式在线监测系统及管网服务区域划分初步找到入流严重区域。应用污水温度和理化指标等变化监测，在关键节点添加示踪剂，监测下游电导率变化等指标，反演定位问题区域。</w:t>
      </w:r>
    </w:p>
    <w:p>
      <w:pPr>
        <w:spacing w:line="360" w:lineRule="auto"/>
        <w:ind w:firstLine="420" w:firstLineChars="200"/>
        <w:rPr>
          <w:rFonts w:ascii="宋体" w:hAnsi="宋体" w:cs="宋体"/>
          <w:b/>
          <w:bCs/>
          <w:highlight w:val="none"/>
        </w:rPr>
      </w:pPr>
      <w:r>
        <w:rPr>
          <w:rFonts w:hint="eastAsia" w:ascii="宋体" w:hAnsi="宋体" w:cs="宋体"/>
          <w:b/>
          <w:bCs/>
          <w:highlight w:val="none"/>
        </w:rPr>
        <w:t>5、模型结果输出指标：</w:t>
      </w:r>
    </w:p>
    <w:p>
      <w:pPr>
        <w:spacing w:line="360" w:lineRule="auto"/>
        <w:ind w:firstLine="420" w:firstLineChars="200"/>
        <w:rPr>
          <w:rFonts w:ascii="宋体" w:hAnsi="宋体" w:cs="宋体"/>
          <w:highlight w:val="none"/>
        </w:rPr>
      </w:pPr>
      <w:r>
        <w:rPr>
          <w:rFonts w:hint="eastAsia" w:ascii="宋体" w:hAnsi="宋体" w:cs="宋体"/>
          <w:highlight w:val="none"/>
        </w:rPr>
        <w:t>(1)目标区域渗漏量计算定量分析报告，定量分析方法不少于4种；</w:t>
      </w:r>
    </w:p>
    <w:p>
      <w:pPr>
        <w:spacing w:line="360" w:lineRule="auto"/>
        <w:ind w:firstLine="420" w:firstLineChars="200"/>
        <w:rPr>
          <w:rFonts w:ascii="宋体" w:hAnsi="宋体" w:cs="宋体"/>
          <w:highlight w:val="none"/>
        </w:rPr>
      </w:pPr>
      <w:r>
        <w:rPr>
          <w:rFonts w:hint="eastAsia" w:ascii="宋体" w:hAnsi="宋体" w:cs="宋体"/>
          <w:highlight w:val="none"/>
        </w:rPr>
        <w:t>(2)绘制渗漏风险等级图。</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1.3.5混错接与污染溯源模型</w:t>
      </w:r>
    </w:p>
    <w:p>
      <w:pPr>
        <w:spacing w:line="360" w:lineRule="auto"/>
        <w:ind w:firstLine="420" w:firstLineChars="200"/>
        <w:rPr>
          <w:rFonts w:ascii="宋体" w:hAnsi="宋体" w:cs="宋体"/>
          <w:b/>
          <w:bCs/>
          <w:highlight w:val="none"/>
        </w:rPr>
      </w:pPr>
      <w:r>
        <w:rPr>
          <w:rFonts w:hint="eastAsia" w:ascii="宋体" w:hAnsi="宋体" w:cs="宋体"/>
          <w:b/>
          <w:bCs/>
          <w:highlight w:val="none"/>
        </w:rPr>
        <w:t>1、内容和范围：</w:t>
      </w:r>
    </w:p>
    <w:p>
      <w:pPr>
        <w:spacing w:line="360" w:lineRule="auto"/>
        <w:ind w:firstLine="420" w:firstLineChars="200"/>
        <w:rPr>
          <w:rFonts w:ascii="宋体" w:hAnsi="宋体" w:cs="宋体"/>
          <w:highlight w:val="none"/>
        </w:rPr>
      </w:pPr>
      <w:r>
        <w:rPr>
          <w:rFonts w:hint="eastAsia" w:ascii="宋体" w:hAnsi="宋体" w:cs="宋体"/>
          <w:highlight w:val="none"/>
        </w:rPr>
        <w:t>建立江北区城乡排水管网混错接与污染溯源模型。</w:t>
      </w:r>
    </w:p>
    <w:p>
      <w:pPr>
        <w:spacing w:line="360" w:lineRule="auto"/>
        <w:ind w:firstLine="420" w:firstLineChars="200"/>
        <w:rPr>
          <w:rFonts w:ascii="宋体" w:hAnsi="宋体" w:cs="宋体"/>
          <w:b/>
          <w:bCs/>
          <w:highlight w:val="none"/>
        </w:rPr>
      </w:pPr>
      <w:r>
        <w:rPr>
          <w:rFonts w:hint="eastAsia" w:ascii="宋体" w:hAnsi="宋体" w:cs="宋体"/>
          <w:b/>
          <w:bCs/>
          <w:highlight w:val="none"/>
        </w:rPr>
        <w:t>2、典型片区排水管网污染溯源模型：</w:t>
      </w:r>
    </w:p>
    <w:p>
      <w:pPr>
        <w:spacing w:line="360" w:lineRule="auto"/>
        <w:ind w:firstLine="420" w:firstLineChars="200"/>
        <w:rPr>
          <w:rFonts w:ascii="宋体" w:hAnsi="宋体" w:cs="宋体"/>
          <w:highlight w:val="none"/>
        </w:rPr>
      </w:pPr>
      <w:r>
        <w:rPr>
          <w:rFonts w:hint="eastAsia" w:ascii="宋体" w:hAnsi="宋体" w:cs="宋体"/>
          <w:highlight w:val="none"/>
        </w:rPr>
        <w:t>基于重点区域排水管网拓扑结构、上下游关系以及地形、地貌特征等参数，利用软件建立该区域的管网水动力-水质计算模型，基于布设的流量、液位和水质传感器等监测设备得到管网内污水的水力和水质数据，对水动力-水质模型进行校准。利用校核过的水动力-水质模型对重点污染区域内污染水质在管网中的输移和扩散过程进行高精度模拟。通过污染源传输路径模型和统计算法模型，有效地筛选出可能的污水直排节点、排放量和排放时间，实现污染物的有效溯源。</w:t>
      </w:r>
    </w:p>
    <w:p>
      <w:pPr>
        <w:pStyle w:val="3"/>
        <w:spacing w:after="0" w:line="360" w:lineRule="auto"/>
        <w:ind w:left="0" w:leftChars="0" w:firstLine="420" w:firstLineChars="200"/>
        <w:rPr>
          <w:rFonts w:ascii="宋体" w:hAnsi="宋体" w:cs="宋体"/>
          <w:highlight w:val="none"/>
        </w:rPr>
      </w:pPr>
      <w:r>
        <w:rPr>
          <w:rFonts w:hint="eastAsia" w:ascii="宋体" w:hAnsi="宋体" w:cs="宋体"/>
          <w:b/>
          <w:bCs/>
          <w:highlight w:val="none"/>
        </w:rPr>
        <w:t>3、典型片区雨水管道污染预警模型：</w:t>
      </w:r>
    </w:p>
    <w:p>
      <w:pPr>
        <w:spacing w:line="360" w:lineRule="auto"/>
        <w:ind w:firstLine="420" w:firstLineChars="200"/>
        <w:rPr>
          <w:rFonts w:ascii="宋体" w:hAnsi="宋体" w:cs="宋体"/>
          <w:highlight w:val="none"/>
        </w:rPr>
      </w:pPr>
      <w:r>
        <w:rPr>
          <w:rFonts w:hint="eastAsia" w:ascii="宋体" w:hAnsi="宋体" w:cs="宋体"/>
          <w:highlight w:val="none"/>
        </w:rPr>
        <w:t>对出现污染区域的雨水管道进行移动监测，结合现场在线监测水量及水质数据，对异常信息进行报警；结合重点污染区域的水力水质计算模型以及监测系统，利用污染溯源模型对排水管道中的异常水量及水质进行反演追踪，快速识别雨污混接位置及混接水量，为排水管网的分流改造提供技术支持。</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4、模型结果输出指标：</w:t>
      </w:r>
    </w:p>
    <w:p>
      <w:pPr>
        <w:numPr>
          <w:ilvl w:val="0"/>
          <w:numId w:val="23"/>
        </w:numPr>
        <w:spacing w:line="360" w:lineRule="auto"/>
        <w:ind w:firstLine="420" w:firstLineChars="200"/>
        <w:rPr>
          <w:rFonts w:ascii="宋体" w:hAnsi="宋体" w:cs="宋体"/>
          <w:highlight w:val="none"/>
        </w:rPr>
      </w:pPr>
      <w:r>
        <w:rPr>
          <w:rFonts w:hint="eastAsia" w:ascii="宋体" w:hAnsi="宋体" w:cs="宋体"/>
          <w:highlight w:val="none"/>
        </w:rPr>
        <w:t>实现工业源污染溯源分析，定位精度为主干管接入点；</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highlight w:val="none"/>
        </w:rPr>
        <w:t>实现雨污混错接识别诊断，输出目标区域混错接流量统计平均值。</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1.3.6臭气预警与腐蚀评估模型</w:t>
      </w:r>
    </w:p>
    <w:p>
      <w:pPr>
        <w:spacing w:line="360" w:lineRule="auto"/>
        <w:ind w:firstLine="420" w:firstLineChars="200"/>
        <w:rPr>
          <w:rFonts w:ascii="宋体" w:hAnsi="宋体" w:cs="宋体"/>
          <w:b/>
          <w:bCs/>
          <w:highlight w:val="none"/>
        </w:rPr>
      </w:pPr>
      <w:r>
        <w:rPr>
          <w:rFonts w:hint="eastAsia" w:ascii="宋体" w:hAnsi="宋体" w:cs="宋体"/>
          <w:b/>
          <w:bCs/>
          <w:highlight w:val="none"/>
        </w:rPr>
        <w:t>1、内容和范围：</w:t>
      </w:r>
    </w:p>
    <w:p>
      <w:pPr>
        <w:spacing w:line="360" w:lineRule="auto"/>
        <w:ind w:firstLine="420" w:firstLineChars="200"/>
        <w:rPr>
          <w:rFonts w:ascii="宋体" w:hAnsi="宋体" w:cs="宋体"/>
          <w:highlight w:val="none"/>
        </w:rPr>
      </w:pPr>
      <w:r>
        <w:rPr>
          <w:rFonts w:hint="eastAsia" w:ascii="宋体" w:hAnsi="宋体" w:cs="宋体"/>
          <w:highlight w:val="none"/>
        </w:rPr>
        <w:t>建立江北区城乡排水管网臭气预警与腐蚀评估模型。</w:t>
      </w:r>
    </w:p>
    <w:p>
      <w:pPr>
        <w:spacing w:line="360" w:lineRule="auto"/>
        <w:ind w:firstLine="420" w:firstLineChars="200"/>
        <w:rPr>
          <w:rFonts w:ascii="宋体" w:hAnsi="宋体" w:cs="宋体"/>
          <w:b/>
          <w:bCs/>
          <w:highlight w:val="none"/>
        </w:rPr>
      </w:pPr>
      <w:r>
        <w:rPr>
          <w:rFonts w:hint="eastAsia" w:ascii="宋体" w:hAnsi="宋体" w:cs="宋体"/>
          <w:b/>
          <w:bCs/>
          <w:highlight w:val="none"/>
        </w:rPr>
        <w:t>2、管网臭气预警与腐蚀评估模型：</w:t>
      </w:r>
    </w:p>
    <w:p>
      <w:pPr>
        <w:spacing w:line="360" w:lineRule="auto"/>
        <w:ind w:firstLine="420" w:firstLineChars="200"/>
        <w:rPr>
          <w:rFonts w:ascii="宋体" w:hAnsi="宋体" w:cs="宋体"/>
          <w:highlight w:val="none"/>
        </w:rPr>
      </w:pPr>
      <w:r>
        <w:rPr>
          <w:rFonts w:hint="eastAsia" w:ascii="宋体" w:hAnsi="宋体" w:cs="宋体"/>
          <w:highlight w:val="none"/>
        </w:rPr>
        <w:t>针对江北区雨污排水管网及泵站，结合管道毒害气体生成条件及流动特性，预测臭气发生过程、位置及浓度，超过阈值预警；预测水质及沉积物理化特性，预测管道腐蚀气体生成位置及运移情况，评估管道腐蚀风险。</w:t>
      </w:r>
    </w:p>
    <w:p>
      <w:pPr>
        <w:spacing w:line="360" w:lineRule="auto"/>
        <w:ind w:firstLine="420" w:firstLineChars="200"/>
        <w:rPr>
          <w:rFonts w:ascii="宋体" w:hAnsi="宋体" w:cs="宋体"/>
          <w:highlight w:val="none"/>
        </w:rPr>
      </w:pPr>
      <w:r>
        <w:rPr>
          <w:rFonts w:hint="eastAsia" w:ascii="宋体" w:hAnsi="宋体" w:cs="宋体"/>
          <w:highlight w:val="none"/>
        </w:rPr>
        <w:t>基于在线监测数据，与水力条件的统计关系，开发管网臭气分布的统计预测模型。基于管网内硫酸盐氧化菌群落分析以及管网气相空间硫化氢浓度模拟，预测管道液面上部硫酸生成过程及速率；结合管道及基础设施混凝土特性，预测管网及基础设施寿命，对高腐蚀地区进行上报。</w:t>
      </w:r>
    </w:p>
    <w:p>
      <w:pPr>
        <w:spacing w:line="360" w:lineRule="auto"/>
        <w:ind w:firstLine="420" w:firstLineChars="200"/>
        <w:rPr>
          <w:rFonts w:ascii="宋体" w:hAnsi="宋体" w:cs="宋体"/>
          <w:b/>
          <w:bCs/>
          <w:highlight w:val="none"/>
        </w:rPr>
      </w:pPr>
      <w:r>
        <w:rPr>
          <w:rFonts w:hint="eastAsia" w:ascii="宋体" w:hAnsi="宋体" w:cs="宋体"/>
          <w:b/>
          <w:bCs/>
          <w:highlight w:val="none"/>
        </w:rPr>
        <w:t>3、模型计算结果输出指标：</w:t>
      </w:r>
    </w:p>
    <w:p>
      <w:pPr>
        <w:numPr>
          <w:ilvl w:val="0"/>
          <w:numId w:val="24"/>
        </w:numPr>
        <w:spacing w:line="360" w:lineRule="auto"/>
        <w:ind w:firstLine="420" w:firstLineChars="200"/>
        <w:rPr>
          <w:rFonts w:ascii="宋体" w:hAnsi="宋体" w:cs="宋体"/>
          <w:highlight w:val="none"/>
        </w:rPr>
      </w:pPr>
      <w:r>
        <w:rPr>
          <w:rFonts w:hint="eastAsia" w:ascii="宋体" w:hAnsi="宋体" w:cs="宋体"/>
          <w:highlight w:val="none"/>
        </w:rPr>
        <w:t>管网内气相空间硫化氢浓度预测精度不低于60%；</w:t>
      </w:r>
    </w:p>
    <w:p>
      <w:pPr>
        <w:numPr>
          <w:ilvl w:val="0"/>
          <w:numId w:val="24"/>
        </w:numPr>
        <w:spacing w:line="360" w:lineRule="auto"/>
        <w:ind w:firstLine="420" w:firstLineChars="200"/>
        <w:rPr>
          <w:rFonts w:ascii="宋体" w:hAnsi="宋体" w:cs="宋体"/>
          <w:highlight w:val="none"/>
        </w:rPr>
      </w:pPr>
      <w:r>
        <w:rPr>
          <w:rFonts w:hint="eastAsia" w:ascii="宋体" w:hAnsi="宋体" w:cs="宋体"/>
          <w:highlight w:val="none"/>
        </w:rPr>
        <w:t>具有毒害气体气相浓度阈值预报功能，预警预报可靠度不低于60%；</w:t>
      </w:r>
    </w:p>
    <w:p>
      <w:pPr>
        <w:numPr>
          <w:ilvl w:val="0"/>
          <w:numId w:val="24"/>
        </w:numPr>
        <w:spacing w:line="360" w:lineRule="auto"/>
        <w:ind w:firstLine="420" w:firstLineChars="200"/>
        <w:rPr>
          <w:rFonts w:ascii="宋体" w:hAnsi="宋体" w:cs="宋体"/>
          <w:highlight w:val="none"/>
        </w:rPr>
      </w:pPr>
      <w:r>
        <w:rPr>
          <w:rFonts w:hint="eastAsia" w:ascii="宋体" w:hAnsi="宋体" w:cs="宋体"/>
          <w:highlight w:val="none"/>
        </w:rPr>
        <w:t>输出硫化氢浓度热力图；</w:t>
      </w:r>
    </w:p>
    <w:p>
      <w:pPr>
        <w:numPr>
          <w:ilvl w:val="0"/>
          <w:numId w:val="24"/>
        </w:numPr>
        <w:spacing w:line="360" w:lineRule="auto"/>
        <w:ind w:firstLine="420" w:firstLineChars="200"/>
        <w:rPr>
          <w:rFonts w:ascii="宋体" w:hAnsi="宋体" w:cs="宋体"/>
          <w:highlight w:val="none"/>
        </w:rPr>
      </w:pPr>
      <w:r>
        <w:rPr>
          <w:rFonts w:hint="eastAsia" w:ascii="宋体" w:hAnsi="宋体" w:cs="宋体"/>
          <w:highlight w:val="none"/>
        </w:rPr>
        <w:t>管网腐蚀预测模型硫酸生成速率预测精度不低于60%；</w:t>
      </w:r>
    </w:p>
    <w:p>
      <w:pPr>
        <w:numPr>
          <w:ilvl w:val="0"/>
          <w:numId w:val="24"/>
        </w:numPr>
        <w:spacing w:line="360" w:lineRule="auto"/>
        <w:ind w:firstLine="420" w:firstLineChars="200"/>
        <w:rPr>
          <w:rFonts w:ascii="宋体" w:hAnsi="宋体" w:cs="宋体"/>
          <w:highlight w:val="none"/>
        </w:rPr>
      </w:pPr>
      <w:r>
        <w:rPr>
          <w:rFonts w:hint="eastAsia" w:ascii="宋体" w:hAnsi="宋体" w:cs="宋体"/>
          <w:highlight w:val="none"/>
        </w:rPr>
        <w:t>具有管网高腐蚀地区预警预报功能，预警预报可靠度不低于60%。</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1.4江北区城市水力模型</w:t>
      </w:r>
    </w:p>
    <w:p>
      <w:pPr>
        <w:pStyle w:val="275"/>
        <w:spacing w:line="360" w:lineRule="auto"/>
        <w:ind w:firstLine="420" w:firstLineChars="200"/>
        <w:rPr>
          <w:highlight w:val="none"/>
          <w:lang w:eastAsia="zh-CN"/>
        </w:rPr>
      </w:pPr>
      <w:r>
        <w:rPr>
          <w:highlight w:val="none"/>
          <w:lang w:eastAsia="zh-CN"/>
        </w:rPr>
        <w:t>水力模型主要功能是提供基于雨水管道、污水管道、合流制管道、自然排放系统的水量水质模型，该模块包括模型驱动数据（水文气象数据），管网数据、下垫面数据、模型参数数据（水文参数、水力参数、水质参数），模型内核、模型结果输出以及实测对比。模型模拟包括了地表水、管网、泵站以及污水处理厂之间的交互。该模块主要用于模型的率定验证，使得模型的设置能随着建设进度得到更新，保障模型的模拟经度。</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2.</w:t>
      </w:r>
      <w:bookmarkStart w:id="29" w:name="_Toc24550"/>
      <w:bookmarkStart w:id="30" w:name="_Toc20919"/>
      <w:r>
        <w:rPr>
          <w:rFonts w:hint="eastAsia" w:ascii="宋体" w:hAnsi="宋体" w:cs="宋体"/>
          <w:b/>
          <w:bCs/>
          <w:highlight w:val="none"/>
        </w:rPr>
        <w:t>物联</w:t>
      </w:r>
      <w:bookmarkEnd w:id="29"/>
      <w:r>
        <w:rPr>
          <w:rFonts w:hint="eastAsia" w:ascii="宋体" w:hAnsi="宋体" w:cs="宋体"/>
          <w:b/>
          <w:bCs/>
          <w:highlight w:val="none"/>
        </w:rPr>
        <w:t>网接入平台</w:t>
      </w:r>
      <w:bookmarkEnd w:id="30"/>
    </w:p>
    <w:p>
      <w:pPr>
        <w:pStyle w:val="275"/>
        <w:spacing w:line="360" w:lineRule="auto"/>
        <w:ind w:firstLine="420" w:firstLineChars="200"/>
        <w:rPr>
          <w:highlight w:val="none"/>
          <w:lang w:eastAsia="zh-CN"/>
        </w:rPr>
      </w:pPr>
      <w:r>
        <w:rPr>
          <w:highlight w:val="none"/>
          <w:lang w:eastAsia="zh-CN"/>
        </w:rPr>
        <w:t>物联网接入平台需提供设备的基础接入服务，支持固定宽带、2G/3G/4G、NB-IoT、北斗卫星等多种网络方式接入，以及支持HTTP/HTTPS、MQTT/MQTTS、LWM2M/CoAP、Modbus等多种协议方式接入。实现设备状态监控管理、指令下发、远程升级管理等功能，以及实现物联监测数据的采集、存储、分析、查询、统计和可视化管理功能。</w:t>
      </w:r>
    </w:p>
    <w:p>
      <w:pPr>
        <w:pStyle w:val="275"/>
        <w:spacing w:line="360" w:lineRule="auto"/>
        <w:ind w:firstLine="420" w:firstLineChars="200"/>
        <w:rPr>
          <w:highlight w:val="none"/>
          <w:lang w:eastAsia="zh-CN"/>
        </w:rPr>
      </w:pPr>
      <w:r>
        <w:rPr>
          <w:highlight w:val="none"/>
          <w:lang w:eastAsia="zh-CN"/>
        </w:rPr>
        <w:t>物联网</w:t>
      </w:r>
      <w:r>
        <w:rPr>
          <w:rFonts w:hint="eastAsia"/>
          <w:highlight w:val="none"/>
          <w:lang w:eastAsia="zh-CN"/>
        </w:rPr>
        <w:t>接入</w:t>
      </w:r>
      <w:r>
        <w:rPr>
          <w:highlight w:val="none"/>
          <w:lang w:eastAsia="zh-CN"/>
        </w:rPr>
        <w:t>平台支持基于GIS地图实现在线监测设备及数据的定位、显示与查看，实现各监测设备的安装点位、运行状态、运维状态、监测数据在地图上的实时显示，便于用户直观、全面的了解各监测站点的数据监测与设备运行情况，满足对排水动态信息的管理。</w:t>
      </w:r>
    </w:p>
    <w:p>
      <w:pPr>
        <w:pStyle w:val="275"/>
        <w:spacing w:line="360" w:lineRule="auto"/>
        <w:ind w:firstLine="420" w:firstLineChars="200"/>
        <w:rPr>
          <w:highlight w:val="none"/>
          <w:lang w:eastAsia="zh-CN"/>
        </w:rPr>
      </w:pPr>
      <w:r>
        <w:rPr>
          <w:highlight w:val="none"/>
          <w:lang w:eastAsia="zh-CN"/>
        </w:rPr>
        <w:t>物联网</w:t>
      </w:r>
      <w:r>
        <w:rPr>
          <w:rFonts w:hint="eastAsia"/>
          <w:highlight w:val="none"/>
          <w:lang w:eastAsia="zh-CN"/>
        </w:rPr>
        <w:t>接入</w:t>
      </w:r>
      <w:r>
        <w:rPr>
          <w:highlight w:val="none"/>
          <w:lang w:eastAsia="zh-CN"/>
        </w:rPr>
        <w:t>平台需要共同遵循宁波市防洪、排水的物联数据标准及接入技术规范要求，实现设备的即插即用和物联网</w:t>
      </w:r>
      <w:r>
        <w:rPr>
          <w:rFonts w:hint="eastAsia"/>
          <w:highlight w:val="none"/>
          <w:lang w:eastAsia="zh-CN"/>
        </w:rPr>
        <w:t>接入</w:t>
      </w:r>
      <w:r>
        <w:rPr>
          <w:highlight w:val="none"/>
          <w:lang w:eastAsia="zh-CN"/>
        </w:rPr>
        <w:t>平台的开放接入，同时结合物联网和大数据等技术，实现对终端设备、承载网络接入、监测数据进行统一管理。</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2.1设备接入与管理</w:t>
      </w:r>
    </w:p>
    <w:p>
      <w:pPr>
        <w:pStyle w:val="275"/>
        <w:spacing w:line="360" w:lineRule="auto"/>
        <w:ind w:firstLine="420" w:firstLineChars="200"/>
        <w:rPr>
          <w:highlight w:val="none"/>
          <w:lang w:eastAsia="zh-CN"/>
        </w:rPr>
      </w:pPr>
      <w:r>
        <w:rPr>
          <w:highlight w:val="none"/>
          <w:lang w:eastAsia="zh-CN"/>
        </w:rPr>
        <w:t>对水位、流量、水质、闸泵站状态等设备的接入管理，并对设备资产、地理位置、运行状态、设备日志、设备故障等信息进行集中监控与管理等功能。系统应具备在线监测设备管理以及远程维护控制功能，实现设备统计、并按照系统权限对监测设备进行分类管理，支持设备的增加、删除、查询、修改等操作。此外，需要提供物联监测设备接入的确认审批功能并支持移动端应用，设备通过物联网</w:t>
      </w:r>
      <w:r>
        <w:rPr>
          <w:rFonts w:hint="eastAsia"/>
          <w:highlight w:val="none"/>
          <w:lang w:eastAsia="zh-CN"/>
        </w:rPr>
        <w:t>接入</w:t>
      </w:r>
      <w:r>
        <w:rPr>
          <w:highlight w:val="none"/>
          <w:lang w:eastAsia="zh-CN"/>
        </w:rPr>
        <w:t>平台的用户鉴权才能被纳入管理。</w:t>
      </w:r>
    </w:p>
    <w:p>
      <w:pPr>
        <w:pStyle w:val="275"/>
        <w:spacing w:line="360" w:lineRule="auto"/>
        <w:ind w:firstLine="420" w:firstLineChars="200"/>
        <w:rPr>
          <w:highlight w:val="none"/>
          <w:lang w:eastAsia="zh-CN"/>
        </w:rPr>
      </w:pPr>
      <w:r>
        <w:rPr>
          <w:highlight w:val="none"/>
          <w:lang w:eastAsia="zh-CN"/>
        </w:rPr>
        <w:t>通信采集网关</w:t>
      </w:r>
      <w:r>
        <w:rPr>
          <w:rFonts w:hint="eastAsia"/>
          <w:highlight w:val="none"/>
          <w:lang w:eastAsia="zh-CN"/>
        </w:rPr>
        <w:t>：</w:t>
      </w:r>
      <w:r>
        <w:rPr>
          <w:highlight w:val="none"/>
          <w:lang w:eastAsia="zh-CN"/>
        </w:rPr>
        <w:t>2电；4×RS-485/422/232串口；多对多采集转发；额定点数不小于1000点；支持工业多协议，实现与中心数据库通讯断点续传等。</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2.2数据管理与可视化</w:t>
      </w:r>
    </w:p>
    <w:p>
      <w:pPr>
        <w:pStyle w:val="275"/>
        <w:spacing w:line="360" w:lineRule="auto"/>
        <w:ind w:firstLine="420" w:firstLineChars="200"/>
        <w:rPr>
          <w:highlight w:val="none"/>
          <w:lang w:eastAsia="zh-CN"/>
        </w:rPr>
      </w:pPr>
      <w:r>
        <w:rPr>
          <w:highlight w:val="none"/>
          <w:lang w:eastAsia="zh-CN"/>
        </w:rPr>
        <w:t>系统需要具备监测数据查询、汇总、统计分析功能以及地图、图表、态势分析等多种可视化呈现功能，并提供数据加工功能，实现对异常数据（水位异常、流量异常、水质异常）的处理、分析与过滤。异常数据包括但不限于瞬时流量或水位等波动大、瞬时流量与累计流量不一致、数据不稳定、数据明显超出正常值等。</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2.3监测数据阀值管理</w:t>
      </w:r>
    </w:p>
    <w:p>
      <w:pPr>
        <w:pStyle w:val="275"/>
        <w:spacing w:line="360" w:lineRule="auto"/>
        <w:ind w:firstLine="420" w:firstLineChars="200"/>
        <w:rPr>
          <w:highlight w:val="none"/>
          <w:lang w:eastAsia="zh-CN"/>
        </w:rPr>
      </w:pPr>
      <w:r>
        <w:rPr>
          <w:highlight w:val="none"/>
          <w:lang w:eastAsia="zh-CN"/>
        </w:rPr>
        <w:t>系统具备监测阈值与预警管理功能，通过设定各种监测类型的预警阈值，当管道、河道、泵站、易涝点等出现高水位或水位、水质、流量突变等问题时，以及出现排水管网高水位运行、排水口倒灌、污水溢流、污水厂进水口水质浓度偏低、排水户超标排放等情况时，系统应及时报警，支撑水污染监测、内涝监测、防洪监测、调度控制、管网养护等各种水务预警应用。</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2.4</w:t>
      </w:r>
      <w:bookmarkStart w:id="31" w:name="_Toc12345"/>
      <w:r>
        <w:rPr>
          <w:rFonts w:hint="eastAsia" w:ascii="宋体" w:hAnsi="宋体" w:cs="宋体"/>
          <w:b/>
          <w:bCs/>
          <w:highlight w:val="none"/>
        </w:rPr>
        <w:t>事件告警</w:t>
      </w:r>
      <w:bookmarkEnd w:id="31"/>
    </w:p>
    <w:p>
      <w:pPr>
        <w:pStyle w:val="275"/>
        <w:spacing w:line="360" w:lineRule="auto"/>
        <w:ind w:firstLine="420" w:firstLineChars="200"/>
        <w:rPr>
          <w:highlight w:val="none"/>
          <w:lang w:eastAsia="zh-CN"/>
        </w:rPr>
      </w:pPr>
      <w:r>
        <w:rPr>
          <w:highlight w:val="none"/>
          <w:lang w:eastAsia="zh-CN"/>
        </w:rPr>
        <w:t>包括状态量告警、模拟量告警，支持延迟告警</w:t>
      </w:r>
      <w:r>
        <w:rPr>
          <w:rFonts w:hint="eastAsia"/>
          <w:highlight w:val="none"/>
          <w:lang w:eastAsia="zh-CN"/>
        </w:rPr>
        <w:t>、</w:t>
      </w:r>
      <w:r>
        <w:rPr>
          <w:highlight w:val="none"/>
          <w:lang w:eastAsia="zh-CN"/>
        </w:rPr>
        <w:t>活动告警、告警记录、告警类型设置。</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2.5设备协议管理</w:t>
      </w:r>
    </w:p>
    <w:p>
      <w:pPr>
        <w:pStyle w:val="275"/>
        <w:spacing w:line="360" w:lineRule="auto"/>
        <w:ind w:firstLine="420" w:firstLineChars="200"/>
        <w:rPr>
          <w:highlight w:val="none"/>
          <w:lang w:eastAsia="zh-CN"/>
        </w:rPr>
      </w:pPr>
      <w:r>
        <w:rPr>
          <w:rFonts w:hint="eastAsia"/>
          <w:highlight w:val="none"/>
          <w:lang w:eastAsia="zh-CN"/>
        </w:rPr>
        <w:t>配置物联网设备的协议，以管理物理网设备快速接入，支持协议解析可视化配置、设备指令、数据入库、数据转发、协议测试等配置功能，可大大减少物联网设备接入时的开发工作量，方便多类别、多厂商、多协议的物联网设备接入到平台。</w:t>
      </w:r>
    </w:p>
    <w:p>
      <w:pPr>
        <w:pStyle w:val="275"/>
        <w:spacing w:line="360" w:lineRule="auto"/>
        <w:ind w:firstLine="420" w:firstLineChars="200"/>
        <w:rPr>
          <w:highlight w:val="none"/>
          <w:lang w:eastAsia="zh-CN"/>
        </w:rPr>
      </w:pPr>
      <w:r>
        <w:rPr>
          <w:rFonts w:hint="eastAsia"/>
          <w:highlight w:val="none"/>
          <w:lang w:eastAsia="zh-CN"/>
        </w:rPr>
        <w:t>设备接入协议需要兼容水务业务涉及主流设备协议接入，主要设备包括污水厂中控PLC系统</w:t>
      </w:r>
      <w:r>
        <w:rPr>
          <w:highlight w:val="none"/>
          <w:lang w:eastAsia="zh-CN"/>
        </w:rPr>
        <w:t>、</w:t>
      </w:r>
      <w:r>
        <w:rPr>
          <w:rFonts w:hint="eastAsia"/>
          <w:highlight w:val="none"/>
          <w:lang w:eastAsia="zh-CN"/>
        </w:rPr>
        <w:t>泵站</w:t>
      </w:r>
      <w:r>
        <w:rPr>
          <w:highlight w:val="none"/>
          <w:lang w:eastAsia="zh-CN"/>
        </w:rPr>
        <w:t>、</w:t>
      </w:r>
      <w:r>
        <w:rPr>
          <w:rFonts w:hint="eastAsia"/>
          <w:highlight w:val="none"/>
          <w:lang w:eastAsia="zh-CN"/>
        </w:rPr>
        <w:t>加压泵房中控PLC系统、管网运行监测远传设备（流量、压力、水质</w:t>
      </w:r>
      <w:r>
        <w:rPr>
          <w:highlight w:val="none"/>
          <w:lang w:eastAsia="zh-CN"/>
        </w:rPr>
        <w:t>、</w:t>
      </w:r>
      <w:r>
        <w:rPr>
          <w:rFonts w:hint="eastAsia"/>
          <w:highlight w:val="none"/>
          <w:lang w:eastAsia="zh-CN"/>
        </w:rPr>
        <w:t>液位）等。通用型协议目前支持：MQTT、Modbus(RTU/TCP)、CJ/T188、HTTP、PLC/OPC、BACNet，支持后续灵活扩展。</w:t>
      </w:r>
    </w:p>
    <w:p>
      <w:pPr>
        <w:pStyle w:val="275"/>
        <w:spacing w:line="360" w:lineRule="auto"/>
        <w:ind w:firstLine="420" w:firstLineChars="200"/>
        <w:rPr>
          <w:highlight w:val="none"/>
          <w:lang w:eastAsia="zh-CN"/>
        </w:rPr>
      </w:pPr>
      <w:r>
        <w:rPr>
          <w:highlight w:val="none"/>
          <w:lang w:eastAsia="zh-CN"/>
        </w:rPr>
        <w:t>1、</w:t>
      </w:r>
      <w:r>
        <w:rPr>
          <w:rFonts w:hint="eastAsia"/>
          <w:highlight w:val="none"/>
          <w:lang w:eastAsia="zh-CN"/>
        </w:rPr>
        <w:t>设备数据上行服务</w:t>
      </w:r>
    </w:p>
    <w:p>
      <w:pPr>
        <w:pStyle w:val="275"/>
        <w:spacing w:line="360" w:lineRule="auto"/>
        <w:ind w:firstLine="420" w:firstLineChars="200"/>
        <w:rPr>
          <w:highlight w:val="none"/>
          <w:lang w:eastAsia="zh-CN"/>
        </w:rPr>
      </w:pPr>
      <w:r>
        <w:rPr>
          <w:rFonts w:hint="eastAsia"/>
          <w:highlight w:val="none"/>
          <w:lang w:eastAsia="zh-CN"/>
        </w:rPr>
        <w:t>支持无代码、可视化配置上行服务接口，设备可通过访问上行服务接口将数据上传至平台。</w:t>
      </w:r>
    </w:p>
    <w:p>
      <w:pPr>
        <w:pStyle w:val="275"/>
        <w:spacing w:line="360" w:lineRule="auto"/>
        <w:ind w:firstLine="420" w:firstLineChars="200"/>
        <w:rPr>
          <w:highlight w:val="none"/>
          <w:lang w:eastAsia="zh-CN"/>
        </w:rPr>
      </w:pPr>
      <w:r>
        <w:rPr>
          <w:highlight w:val="none"/>
          <w:lang w:eastAsia="zh-CN"/>
        </w:rPr>
        <w:t>2、</w:t>
      </w:r>
      <w:r>
        <w:rPr>
          <w:rFonts w:hint="eastAsia"/>
          <w:highlight w:val="none"/>
          <w:lang w:eastAsia="zh-CN"/>
        </w:rPr>
        <w:t>OPC设备接入和数据采集</w:t>
      </w:r>
    </w:p>
    <w:p>
      <w:pPr>
        <w:pStyle w:val="275"/>
        <w:spacing w:line="360" w:lineRule="auto"/>
        <w:ind w:firstLine="420" w:firstLineChars="200"/>
        <w:rPr>
          <w:highlight w:val="none"/>
          <w:lang w:eastAsia="zh-CN"/>
        </w:rPr>
      </w:pPr>
      <w:r>
        <w:rPr>
          <w:rFonts w:hint="eastAsia"/>
          <w:highlight w:val="none"/>
          <w:lang w:eastAsia="zh-CN"/>
        </w:rPr>
        <w:t>支持可视化配置OPC设备及指标，并通过系统服务将OPC设备数据采集到平台，平台对数据中的指标编码进行统一的管理和转换。</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2.6数据接口管理与服务</w:t>
      </w:r>
    </w:p>
    <w:p>
      <w:pPr>
        <w:pStyle w:val="275"/>
        <w:spacing w:line="360" w:lineRule="auto"/>
        <w:ind w:firstLine="420" w:firstLineChars="200"/>
        <w:rPr>
          <w:highlight w:val="none"/>
          <w:lang w:eastAsia="zh-CN"/>
        </w:rPr>
      </w:pPr>
      <w:r>
        <w:rPr>
          <w:highlight w:val="none"/>
          <w:lang w:eastAsia="zh-CN"/>
        </w:rPr>
        <w:t>对物联监测设备的数据接口（包括鉴权管理接口、数据采集接口、消息订阅接口）管理。同时系统需要具备数据网关服务能力，提供接口发布、管理、维护等主要功能。数据接口服务为排水和三防业务应用提供物联感知数据，感知数据类型包括但不限于水位、流速流量、水质、闸泵站状态等实时监测数据。</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2.7数据备份管理</w:t>
      </w:r>
    </w:p>
    <w:p>
      <w:pPr>
        <w:pStyle w:val="275"/>
        <w:spacing w:line="360" w:lineRule="auto"/>
        <w:ind w:firstLine="420" w:firstLineChars="200"/>
        <w:rPr>
          <w:highlight w:val="none"/>
          <w:lang w:eastAsia="zh-CN"/>
        </w:rPr>
      </w:pPr>
      <w:r>
        <w:rPr>
          <w:highlight w:val="none"/>
          <w:lang w:eastAsia="zh-CN"/>
        </w:rPr>
        <w:t>数据手动备份和定时任务备份，支持定时备份的时间、频次设定功能。</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2.8数据权限设置</w:t>
      </w:r>
    </w:p>
    <w:p>
      <w:pPr>
        <w:pStyle w:val="275"/>
        <w:spacing w:line="360" w:lineRule="auto"/>
        <w:ind w:firstLine="420" w:firstLineChars="200"/>
        <w:rPr>
          <w:highlight w:val="none"/>
          <w:lang w:eastAsia="zh-CN"/>
        </w:rPr>
      </w:pPr>
      <w:r>
        <w:rPr>
          <w:highlight w:val="none"/>
          <w:lang w:eastAsia="zh-CN"/>
        </w:rPr>
        <w:t>定义角色或用户，并分配完功能级权限后才能在这里进行数据权限分配。</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3.</w:t>
      </w:r>
      <w:bookmarkStart w:id="32" w:name="_Toc29929"/>
      <w:r>
        <w:rPr>
          <w:rFonts w:hint="eastAsia" w:ascii="宋体" w:hAnsi="宋体" w:cs="宋体"/>
          <w:b/>
          <w:bCs/>
          <w:highlight w:val="none"/>
        </w:rPr>
        <w:t>OCR识别</w:t>
      </w:r>
      <w:bookmarkEnd w:id="32"/>
    </w:p>
    <w:p>
      <w:pPr>
        <w:pStyle w:val="275"/>
        <w:spacing w:line="360" w:lineRule="auto"/>
        <w:ind w:firstLine="420" w:firstLineChars="200"/>
        <w:rPr>
          <w:highlight w:val="none"/>
          <w:lang w:eastAsia="zh-CN"/>
        </w:rPr>
      </w:pPr>
      <w:r>
        <w:rPr>
          <w:highlight w:val="none"/>
          <w:lang w:eastAsia="zh-CN"/>
        </w:rPr>
        <w:t xml:space="preserve">身份证 OCR 技术可支持二代身份证国徽面和人像面所有字段识别，为用户提供最方便快捷的身份证信息录入体验，且能一定程度防止对身份证的仿冒攻击。识别速度在 gpu 场景下单图耗时不高于 690ms。 </w:t>
      </w:r>
    </w:p>
    <w:p>
      <w:pPr>
        <w:pStyle w:val="275"/>
        <w:spacing w:line="360" w:lineRule="auto"/>
        <w:ind w:firstLine="420" w:firstLineChars="200"/>
        <w:rPr>
          <w:highlight w:val="none"/>
          <w:lang w:eastAsia="zh-CN"/>
        </w:rPr>
      </w:pPr>
      <w:r>
        <w:rPr>
          <w:highlight w:val="none"/>
          <w:lang w:eastAsia="zh-CN"/>
        </w:rPr>
        <w:t xml:space="preserve">一、主要支持功能 </w:t>
      </w:r>
    </w:p>
    <w:p>
      <w:pPr>
        <w:pStyle w:val="275"/>
        <w:spacing w:line="360" w:lineRule="auto"/>
        <w:ind w:firstLine="420" w:firstLineChars="200"/>
        <w:rPr>
          <w:highlight w:val="none"/>
          <w:lang w:eastAsia="zh-CN"/>
        </w:rPr>
      </w:pPr>
      <w:r>
        <w:rPr>
          <w:highlight w:val="none"/>
          <w:lang w:eastAsia="zh-CN"/>
        </w:rPr>
        <w:t xml:space="preserve">1.支持身份证国徽面和人像面全字段内容检测识别，包括： </w:t>
      </w:r>
    </w:p>
    <w:p>
      <w:pPr>
        <w:pStyle w:val="275"/>
        <w:spacing w:line="360" w:lineRule="auto"/>
        <w:ind w:firstLine="420" w:firstLineChars="200"/>
        <w:rPr>
          <w:highlight w:val="none"/>
          <w:lang w:eastAsia="zh-CN"/>
        </w:rPr>
      </w:pPr>
      <w:r>
        <w:rPr>
          <w:highlight w:val="none"/>
          <w:lang w:eastAsia="zh-CN"/>
        </w:rPr>
        <w:t>（1）人像面：姓名、性别、民族、出生年月日、住址、身份证号码、人像 照片。</w:t>
      </w:r>
    </w:p>
    <w:p>
      <w:pPr>
        <w:pStyle w:val="275"/>
        <w:spacing w:line="360" w:lineRule="auto"/>
        <w:ind w:firstLine="420" w:firstLineChars="200"/>
        <w:rPr>
          <w:highlight w:val="none"/>
          <w:lang w:eastAsia="zh-CN"/>
        </w:rPr>
      </w:pPr>
      <w:r>
        <w:rPr>
          <w:highlight w:val="none"/>
          <w:lang w:eastAsia="zh-CN"/>
        </w:rPr>
        <w:t xml:space="preserve">（2）国徽面：发证机关、有效期限。 </w:t>
      </w:r>
    </w:p>
    <w:p>
      <w:pPr>
        <w:pStyle w:val="275"/>
        <w:spacing w:line="360" w:lineRule="auto"/>
        <w:ind w:firstLine="420" w:firstLineChars="200"/>
        <w:rPr>
          <w:highlight w:val="none"/>
          <w:lang w:eastAsia="zh-CN"/>
        </w:rPr>
      </w:pPr>
      <w:r>
        <w:rPr>
          <w:highlight w:val="none"/>
          <w:lang w:eastAsia="zh-CN"/>
        </w:rPr>
        <w:t xml:space="preserve">2.支持除汉族以外的常见少数民族身份证 OCR 识别。 </w:t>
      </w:r>
    </w:p>
    <w:p>
      <w:pPr>
        <w:pStyle w:val="275"/>
        <w:spacing w:line="360" w:lineRule="auto"/>
        <w:ind w:firstLine="420" w:firstLineChars="200"/>
        <w:rPr>
          <w:highlight w:val="none"/>
          <w:lang w:eastAsia="zh-CN"/>
        </w:rPr>
      </w:pPr>
      <w:r>
        <w:rPr>
          <w:highlight w:val="none"/>
          <w:lang w:eastAsia="zh-CN"/>
        </w:rPr>
        <w:t xml:space="preserve">3.支持常见角度（0°、90°、180°、270°）的身份证拍摄及自动识别。 </w:t>
      </w:r>
    </w:p>
    <w:p>
      <w:pPr>
        <w:pStyle w:val="275"/>
        <w:spacing w:line="360" w:lineRule="auto"/>
        <w:ind w:firstLine="420" w:firstLineChars="200"/>
        <w:rPr>
          <w:highlight w:val="none"/>
          <w:lang w:eastAsia="zh-CN"/>
        </w:rPr>
      </w:pPr>
      <w:r>
        <w:rPr>
          <w:highlight w:val="none"/>
          <w:lang w:eastAsia="zh-CN"/>
        </w:rPr>
        <w:t xml:space="preserve">4.身份证 SDK 支持返回精确剪裁对齐后的身份证正反面图片。 </w:t>
      </w:r>
    </w:p>
    <w:p>
      <w:pPr>
        <w:pStyle w:val="275"/>
        <w:spacing w:line="360" w:lineRule="auto"/>
        <w:ind w:firstLine="420" w:firstLineChars="200"/>
        <w:rPr>
          <w:highlight w:val="none"/>
          <w:lang w:eastAsia="zh-CN"/>
        </w:rPr>
      </w:pPr>
      <w:r>
        <w:rPr>
          <w:highlight w:val="none"/>
          <w:lang w:eastAsia="zh-CN"/>
        </w:rPr>
        <w:t xml:space="preserve">5.可自动识别身份证国徽面和人像面类型并返回识别结果。 </w:t>
      </w:r>
    </w:p>
    <w:p>
      <w:pPr>
        <w:pStyle w:val="275"/>
        <w:spacing w:line="360" w:lineRule="auto"/>
        <w:ind w:firstLine="420" w:firstLineChars="200"/>
        <w:rPr>
          <w:highlight w:val="none"/>
          <w:lang w:eastAsia="zh-CN"/>
        </w:rPr>
      </w:pPr>
      <w:r>
        <w:rPr>
          <w:highlight w:val="none"/>
          <w:lang w:eastAsia="zh-CN"/>
        </w:rPr>
        <w:t xml:space="preserve">6.支持返回各字段对应的置信度。 </w:t>
      </w:r>
    </w:p>
    <w:p>
      <w:pPr>
        <w:pStyle w:val="275"/>
        <w:spacing w:line="360" w:lineRule="auto"/>
        <w:ind w:firstLine="420" w:firstLineChars="200"/>
        <w:rPr>
          <w:highlight w:val="none"/>
          <w:lang w:eastAsia="zh-CN"/>
        </w:rPr>
      </w:pPr>
      <w:r>
        <w:rPr>
          <w:highlight w:val="none"/>
          <w:lang w:eastAsia="zh-CN"/>
        </w:rPr>
        <w:t xml:space="preserve">二、增值功能 </w:t>
      </w:r>
    </w:p>
    <w:p>
      <w:pPr>
        <w:pStyle w:val="275"/>
        <w:spacing w:line="360" w:lineRule="auto"/>
        <w:ind w:firstLine="420" w:firstLineChars="200"/>
        <w:rPr>
          <w:highlight w:val="none"/>
          <w:lang w:eastAsia="zh-CN"/>
        </w:rPr>
      </w:pPr>
      <w:r>
        <w:rPr>
          <w:highlight w:val="none"/>
          <w:lang w:eastAsia="zh-CN"/>
        </w:rPr>
        <w:t xml:space="preserve">1.支持以下告警功能： </w:t>
      </w:r>
    </w:p>
    <w:p>
      <w:pPr>
        <w:pStyle w:val="275"/>
        <w:spacing w:line="360" w:lineRule="auto"/>
        <w:ind w:firstLine="420" w:firstLineChars="200"/>
        <w:rPr>
          <w:highlight w:val="none"/>
          <w:lang w:eastAsia="zh-CN"/>
        </w:rPr>
      </w:pPr>
      <w:r>
        <w:rPr>
          <w:highlight w:val="none"/>
          <w:lang w:eastAsia="zh-CN"/>
        </w:rPr>
        <w:t xml:space="preserve">身份证 PS 告警、身份证框内遮挡告警、身份证翻拍告警、身份证复印件告警、身份证边框不完整告警、身份证有效期限不符合国家规定有效时长（国家规定有效时长：5 年、10 年、20 年、长期）、身份证图片反光告警 </w:t>
      </w:r>
    </w:p>
    <w:p>
      <w:pPr>
        <w:pStyle w:val="275"/>
        <w:spacing w:line="360" w:lineRule="auto"/>
        <w:ind w:firstLine="420" w:firstLineChars="200"/>
        <w:rPr>
          <w:highlight w:val="none"/>
          <w:lang w:eastAsia="zh-CN"/>
        </w:rPr>
      </w:pPr>
      <w:r>
        <w:rPr>
          <w:highlight w:val="none"/>
          <w:lang w:eastAsia="zh-CN"/>
        </w:rPr>
        <w:t xml:space="preserve">2.支持以下错误提示： </w:t>
      </w:r>
    </w:p>
    <w:p>
      <w:pPr>
        <w:pStyle w:val="275"/>
        <w:spacing w:line="360" w:lineRule="auto"/>
        <w:ind w:firstLine="420" w:firstLineChars="200"/>
        <w:rPr>
          <w:highlight w:val="none"/>
          <w:lang w:eastAsia="zh-CN"/>
        </w:rPr>
      </w:pPr>
      <w:r>
        <w:rPr>
          <w:highlight w:val="none"/>
          <w:lang w:eastAsia="zh-CN"/>
        </w:rPr>
        <w:t>内部错误、图片解码失败、身份证卡片类型参数无效，不在合法参数范围内、未检测到有效关键字段（姓名、身份证号码、签发机关、有效期）、图片模糊 、身份证信息不合法(身份证号、姓名字段校验非法等) 、非第二代身份证，临时身份证、身份证卡片类型参数与实际传入图片不匹配、识别失败、多卡证错误。</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4.</w:t>
      </w:r>
      <w:bookmarkStart w:id="33" w:name="_Toc26148"/>
      <w:r>
        <w:rPr>
          <w:rFonts w:ascii="宋体" w:hAnsi="宋体" w:cs="宋体"/>
          <w:b/>
          <w:bCs/>
          <w:highlight w:val="none"/>
        </w:rPr>
        <w:t>统一用户</w:t>
      </w:r>
      <w:bookmarkEnd w:id="33"/>
    </w:p>
    <w:p>
      <w:pPr>
        <w:pStyle w:val="275"/>
        <w:spacing w:line="360" w:lineRule="auto"/>
        <w:ind w:firstLine="420" w:firstLineChars="200"/>
        <w:rPr>
          <w:highlight w:val="none"/>
          <w:lang w:eastAsia="zh-CN"/>
        </w:rPr>
      </w:pPr>
      <w:r>
        <w:rPr>
          <w:highlight w:val="none"/>
          <w:lang w:eastAsia="zh-CN"/>
        </w:rPr>
        <w:t>基于省强制组件，构筑统一用户系统，为平台内建设的各应用系统提供统一的、高可靠性和安全的用户管理服务，它集中存放以前分散在各应用系统的用户信息和组织机构信息，并按照管理流程，实现信息在各系统之间的流转和同步，并为各系统提供人员创建、调动、注销等功能。</w:t>
      </w:r>
    </w:p>
    <w:p>
      <w:pPr>
        <w:pStyle w:val="3"/>
        <w:spacing w:after="0" w:line="360" w:lineRule="auto"/>
        <w:ind w:left="0" w:leftChars="0" w:firstLine="420" w:firstLineChars="200"/>
        <w:rPr>
          <w:rFonts w:ascii="宋体" w:hAnsi="宋体" w:cs="宋体"/>
          <w:b/>
          <w:bCs/>
          <w:highlight w:val="none"/>
        </w:rPr>
      </w:pPr>
      <w:r>
        <w:rPr>
          <w:rFonts w:hint="eastAsia" w:ascii="宋体" w:hAnsi="宋体" w:cs="宋体"/>
          <w:b/>
          <w:bCs/>
          <w:highlight w:val="none"/>
        </w:rPr>
        <w:t>5.</w:t>
      </w:r>
      <w:bookmarkStart w:id="34" w:name="_Toc17433"/>
      <w:bookmarkStart w:id="35" w:name="_Toc23601"/>
      <w:r>
        <w:rPr>
          <w:rFonts w:ascii="宋体" w:hAnsi="宋体" w:cs="宋体"/>
          <w:b/>
          <w:bCs/>
          <w:highlight w:val="none"/>
        </w:rPr>
        <w:t>统一用户权限</w:t>
      </w:r>
      <w:bookmarkEnd w:id="34"/>
      <w:bookmarkEnd w:id="35"/>
    </w:p>
    <w:p>
      <w:pPr>
        <w:pStyle w:val="275"/>
        <w:spacing w:line="360" w:lineRule="auto"/>
        <w:ind w:firstLine="420" w:firstLineChars="200"/>
        <w:rPr>
          <w:highlight w:val="none"/>
          <w:lang w:eastAsia="zh-CN"/>
        </w:rPr>
      </w:pPr>
      <w:r>
        <w:rPr>
          <w:highlight w:val="none"/>
          <w:lang w:eastAsia="zh-CN"/>
        </w:rPr>
        <w:t>基于省强制组件，实现对所有相关系统的机构、人员、用户组（机构组和不定期组）、职务、角色以及权限的统一管理，并为今后系统的扩展奠定基础。</w:t>
      </w:r>
    </w:p>
    <w:p>
      <w:pPr>
        <w:pStyle w:val="3"/>
        <w:spacing w:after="0" w:line="360" w:lineRule="auto"/>
        <w:ind w:left="0" w:leftChars="0" w:firstLine="420" w:firstLineChars="200"/>
        <w:rPr>
          <w:rFonts w:ascii="宋体" w:hAnsi="宋体" w:cs="宋体"/>
          <w:b/>
          <w:bCs/>
          <w:highlight w:val="none"/>
        </w:rPr>
      </w:pPr>
      <w:bookmarkStart w:id="36" w:name="_Toc20032"/>
      <w:bookmarkStart w:id="37" w:name="_Toc4393"/>
      <w:r>
        <w:rPr>
          <w:rFonts w:hint="eastAsia" w:ascii="宋体" w:hAnsi="宋体" w:cs="宋体"/>
          <w:b/>
          <w:bCs/>
          <w:highlight w:val="none"/>
        </w:rPr>
        <w:t>6.</w:t>
      </w:r>
      <w:r>
        <w:rPr>
          <w:rFonts w:ascii="宋体" w:hAnsi="宋体" w:cs="宋体"/>
          <w:b/>
          <w:bCs/>
          <w:highlight w:val="none"/>
        </w:rPr>
        <w:t>消息通知</w:t>
      </w:r>
      <w:bookmarkEnd w:id="36"/>
      <w:bookmarkEnd w:id="37"/>
    </w:p>
    <w:p>
      <w:pPr>
        <w:pStyle w:val="3"/>
        <w:spacing w:after="0" w:line="360" w:lineRule="auto"/>
        <w:ind w:left="0" w:leftChars="0" w:firstLine="420" w:firstLineChars="200"/>
        <w:rPr>
          <w:highlight w:val="none"/>
        </w:rPr>
      </w:pPr>
      <w:r>
        <w:rPr>
          <w:highlight w:val="none"/>
        </w:rPr>
        <w:t>基于省强制组件，针对问题流转时，对相关流程人员的消息通知提醒，包括工作通知、普通会话消息、钉消息。</w:t>
      </w:r>
    </w:p>
    <w:p>
      <w:pPr>
        <w:pStyle w:val="6"/>
        <w:tabs>
          <w:tab w:val="left" w:pos="425"/>
          <w:tab w:val="left" w:pos="851"/>
          <w:tab w:val="left" w:pos="1418"/>
        </w:tabs>
        <w:spacing w:before="0" w:after="0"/>
        <w:ind w:firstLine="420" w:firstLineChars="200"/>
        <w:rPr>
          <w:rFonts w:ascii="宋体" w:hAnsi="宋体" w:eastAsia="宋体" w:cs="宋体"/>
          <w:highlight w:val="none"/>
        </w:rPr>
      </w:pPr>
      <w:r>
        <w:rPr>
          <w:rFonts w:hint="eastAsia" w:ascii="宋体" w:hAnsi="宋体" w:eastAsia="宋体" w:cs="宋体"/>
          <w:szCs w:val="21"/>
          <w:highlight w:val="none"/>
        </w:rPr>
        <w:t>7.</w:t>
      </w:r>
      <w:bookmarkStart w:id="38" w:name="_Toc10014"/>
      <w:bookmarkStart w:id="39" w:name="_Toc23617"/>
      <w:r>
        <w:rPr>
          <w:rFonts w:hint="eastAsia" w:ascii="宋体" w:hAnsi="宋体" w:eastAsia="宋体" w:cs="宋体"/>
          <w:highlight w:val="none"/>
        </w:rPr>
        <w:t>单点登录</w:t>
      </w:r>
      <w:bookmarkEnd w:id="38"/>
      <w:bookmarkEnd w:id="39"/>
    </w:p>
    <w:p>
      <w:pPr>
        <w:pStyle w:val="3"/>
        <w:spacing w:after="0" w:line="360" w:lineRule="auto"/>
        <w:ind w:left="0" w:leftChars="0" w:firstLine="420" w:firstLineChars="200"/>
        <w:rPr>
          <w:highlight w:val="none"/>
        </w:rPr>
      </w:pPr>
      <w:r>
        <w:rPr>
          <w:highlight w:val="none"/>
        </w:rPr>
        <w:t>基于省强制组件，实现个人用户体系单点登录对接。</w:t>
      </w:r>
    </w:p>
    <w:p>
      <w:pPr>
        <w:pStyle w:val="6"/>
        <w:tabs>
          <w:tab w:val="left" w:pos="425"/>
          <w:tab w:val="left" w:pos="851"/>
          <w:tab w:val="left" w:pos="1418"/>
        </w:tabs>
        <w:spacing w:before="0" w:after="0"/>
        <w:ind w:firstLine="420" w:firstLineChars="200"/>
        <w:rPr>
          <w:rFonts w:ascii="宋体" w:hAnsi="宋体" w:eastAsia="宋体" w:cs="宋体"/>
          <w:highlight w:val="none"/>
        </w:rPr>
      </w:pPr>
      <w:r>
        <w:rPr>
          <w:rFonts w:hint="eastAsia" w:ascii="宋体" w:hAnsi="宋体" w:eastAsia="宋体" w:cs="宋体"/>
          <w:highlight w:val="none"/>
        </w:rPr>
        <w:t>8.</w:t>
      </w:r>
      <w:bookmarkStart w:id="40" w:name="_Toc19541"/>
      <w:bookmarkStart w:id="41" w:name="_Toc27150"/>
      <w:r>
        <w:rPr>
          <w:rFonts w:hint="eastAsia" w:ascii="宋体" w:hAnsi="宋体" w:eastAsia="宋体" w:cs="宋体"/>
          <w:highlight w:val="none"/>
        </w:rPr>
        <w:t>操作日志管理</w:t>
      </w:r>
      <w:bookmarkEnd w:id="40"/>
      <w:bookmarkEnd w:id="41"/>
    </w:p>
    <w:p>
      <w:pPr>
        <w:pStyle w:val="3"/>
        <w:spacing w:after="0" w:line="360" w:lineRule="auto"/>
        <w:ind w:left="0" w:leftChars="0" w:firstLine="420" w:firstLineChars="200"/>
        <w:rPr>
          <w:highlight w:val="none"/>
        </w:rPr>
      </w:pPr>
      <w:r>
        <w:rPr>
          <w:highlight w:val="none"/>
        </w:rPr>
        <w:t>日志管理服务，为各个应用提供日志记录功能，支持对日志进行审计，实现对整个系统的日志进行统一管理。该模块可对操作日志、用户登录日志、用户同步日志进行全面的记录、查看、分析，进一步帮助用户提升系统稳定性，完善系统功能，保障服务可用。</w:t>
      </w:r>
    </w:p>
    <w:p>
      <w:pPr>
        <w:pStyle w:val="5"/>
        <w:tabs>
          <w:tab w:val="left" w:pos="100"/>
          <w:tab w:val="left" w:pos="709"/>
        </w:tabs>
        <w:spacing w:before="0" w:after="0" w:line="360" w:lineRule="auto"/>
        <w:rPr>
          <w:highlight w:val="none"/>
        </w:rPr>
      </w:pPr>
      <w:bookmarkStart w:id="42" w:name="_Toc12610"/>
      <w:bookmarkStart w:id="43" w:name="_Toc20904"/>
      <w:r>
        <w:rPr>
          <w:rFonts w:hint="eastAsia" w:ascii="微软雅黑" w:hAnsi="微软雅黑" w:eastAsia="微软雅黑" w:cs="微软雅黑"/>
          <w:sz w:val="21"/>
          <w:szCs w:val="21"/>
          <w:highlight w:val="none"/>
        </w:rPr>
        <w:t>三）数据资源层</w:t>
      </w:r>
      <w:bookmarkEnd w:id="42"/>
      <w:r>
        <w:rPr>
          <w:rFonts w:hint="eastAsia" w:ascii="微软雅黑" w:hAnsi="微软雅黑" w:eastAsia="微软雅黑" w:cs="微软雅黑"/>
          <w:sz w:val="21"/>
          <w:szCs w:val="21"/>
          <w:highlight w:val="none"/>
        </w:rPr>
        <w:t>（数据一中心）</w:t>
      </w:r>
      <w:bookmarkEnd w:id="43"/>
    </w:p>
    <w:p>
      <w:pPr>
        <w:pStyle w:val="5"/>
        <w:tabs>
          <w:tab w:val="left" w:pos="100"/>
          <w:tab w:val="left" w:pos="709"/>
        </w:tabs>
        <w:spacing w:before="0" w:after="0" w:line="360" w:lineRule="auto"/>
        <w:ind w:firstLine="420" w:firstLineChars="200"/>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w:t>
      </w:r>
      <w:bookmarkStart w:id="44" w:name="_Toc27510"/>
      <w:bookmarkStart w:id="45" w:name="_Toc28679"/>
      <w:r>
        <w:rPr>
          <w:rFonts w:ascii="微软雅黑" w:hAnsi="微软雅黑" w:eastAsia="微软雅黑" w:cs="微软雅黑"/>
          <w:sz w:val="21"/>
          <w:szCs w:val="21"/>
          <w:highlight w:val="none"/>
        </w:rPr>
        <w:t>数据采集</w:t>
      </w:r>
      <w:bookmarkEnd w:id="44"/>
      <w:bookmarkEnd w:id="45"/>
    </w:p>
    <w:p>
      <w:pPr>
        <w:pStyle w:val="5"/>
        <w:tabs>
          <w:tab w:val="left" w:pos="100"/>
          <w:tab w:val="left" w:pos="709"/>
        </w:tabs>
        <w:spacing w:before="0" w:after="0" w:line="360" w:lineRule="auto"/>
        <w:ind w:firstLine="420" w:firstLineChars="200"/>
        <w:rPr>
          <w:rFonts w:eastAsia="宋体"/>
          <w:highlight w:val="none"/>
        </w:rPr>
      </w:pPr>
      <w:r>
        <w:rPr>
          <w:rFonts w:hint="eastAsia" w:ascii="微软雅黑" w:hAnsi="微软雅黑" w:eastAsia="微软雅黑" w:cs="微软雅黑"/>
          <w:sz w:val="21"/>
          <w:szCs w:val="21"/>
          <w:highlight w:val="none"/>
        </w:rPr>
        <w:t>1.1</w:t>
      </w:r>
      <w:r>
        <w:rPr>
          <w:rFonts w:ascii="微软雅黑" w:hAnsi="微软雅黑" w:eastAsia="微软雅黑" w:cs="微软雅黑"/>
          <w:sz w:val="21"/>
          <w:szCs w:val="21"/>
          <w:highlight w:val="none"/>
        </w:rPr>
        <w:t>人工录入</w:t>
      </w:r>
    </w:p>
    <w:p>
      <w:pPr>
        <w:pStyle w:val="5"/>
        <w:tabs>
          <w:tab w:val="left" w:pos="100"/>
          <w:tab w:val="left" w:pos="709"/>
        </w:tabs>
        <w:spacing w:before="0" w:after="0" w:line="360" w:lineRule="auto"/>
        <w:ind w:firstLine="420" w:firstLineChars="200"/>
        <w:rPr>
          <w:highlight w:val="none"/>
        </w:rPr>
      </w:pPr>
      <w:r>
        <w:rPr>
          <w:rFonts w:hint="eastAsia" w:ascii="微软雅黑" w:hAnsi="微软雅黑" w:eastAsia="微软雅黑" w:cs="微软雅黑"/>
          <w:sz w:val="21"/>
          <w:szCs w:val="21"/>
          <w:highlight w:val="none"/>
        </w:rPr>
        <w:t>1.1.1</w:t>
      </w:r>
      <w:r>
        <w:rPr>
          <w:rFonts w:ascii="微软雅黑" w:hAnsi="微软雅黑" w:eastAsia="微软雅黑" w:cs="微软雅黑"/>
          <w:sz w:val="21"/>
          <w:szCs w:val="21"/>
          <w:highlight w:val="none"/>
        </w:rPr>
        <w:t>排水设施基础数据收集与整理</w:t>
      </w:r>
    </w:p>
    <w:p>
      <w:pPr>
        <w:spacing w:line="360" w:lineRule="auto"/>
        <w:ind w:firstLine="420" w:firstLineChars="200"/>
        <w:rPr>
          <w:rFonts w:ascii="宋体" w:hAnsi="宋体" w:cs="宋体"/>
          <w:highlight w:val="none"/>
        </w:rPr>
      </w:pPr>
      <w:r>
        <w:rPr>
          <w:rFonts w:hint="eastAsia" w:ascii="宋体" w:hAnsi="宋体" w:cs="宋体"/>
          <w:highlight w:val="none"/>
        </w:rPr>
        <w:t>通过多种方式收集江北区中心城区和外围区域现有的排水基础设施数据，主要包括历年排水专项普查数据、综合管线普查数据、工程设计竣工数据及其它排水相关数据，收集的数据格式包括但不局限于数据库文件、CAD、EXCEL表格、PDF等，对收集数据进行分区、分文件类型、分项目等进行分类整理，为后续数据融合提供原始基础数据。</w:t>
      </w:r>
    </w:p>
    <w:p>
      <w:pPr>
        <w:pStyle w:val="3"/>
        <w:spacing w:after="0" w:line="360" w:lineRule="auto"/>
        <w:ind w:left="0" w:leftChars="0" w:firstLine="420" w:firstLineChars="200"/>
        <w:rPr>
          <w:highlight w:val="none"/>
        </w:rPr>
      </w:pPr>
    </w:p>
    <w:p>
      <w:pPr>
        <w:pStyle w:val="5"/>
        <w:tabs>
          <w:tab w:val="left" w:pos="100"/>
          <w:tab w:val="left" w:pos="709"/>
        </w:tabs>
        <w:spacing w:before="0" w:after="0" w:line="360" w:lineRule="auto"/>
        <w:ind w:firstLine="420" w:firstLineChars="200"/>
        <w:rPr>
          <w:highlight w:val="none"/>
        </w:rPr>
      </w:pPr>
      <w:r>
        <w:rPr>
          <w:rFonts w:hint="eastAsia" w:ascii="微软雅黑" w:hAnsi="微软雅黑" w:eastAsia="微软雅黑" w:cs="微软雅黑"/>
          <w:sz w:val="21"/>
          <w:szCs w:val="21"/>
          <w:highlight w:val="none"/>
        </w:rPr>
        <w:t>1.1.2</w:t>
      </w:r>
      <w:r>
        <w:rPr>
          <w:rFonts w:ascii="微软雅黑" w:hAnsi="微软雅黑" w:eastAsia="微软雅黑" w:cs="微软雅黑"/>
          <w:sz w:val="21"/>
          <w:szCs w:val="21"/>
          <w:highlight w:val="none"/>
        </w:rPr>
        <w:t>移动端录入</w:t>
      </w:r>
    </w:p>
    <w:p>
      <w:pPr>
        <w:spacing w:line="360" w:lineRule="auto"/>
        <w:ind w:firstLine="420" w:firstLineChars="200"/>
        <w:rPr>
          <w:rFonts w:ascii="宋体" w:hAnsi="宋体" w:cs="宋体"/>
          <w:highlight w:val="none"/>
        </w:rPr>
      </w:pPr>
      <w:r>
        <w:rPr>
          <w:rFonts w:ascii="宋体" w:hAnsi="宋体" w:cs="宋体"/>
          <w:highlight w:val="none"/>
        </w:rPr>
        <w:t>基于移动端，在巡检过程中，将对排水设施及部件、污水管井等基础信息</w:t>
      </w:r>
      <w:r>
        <w:rPr>
          <w:rFonts w:hint="eastAsia" w:ascii="宋体" w:hAnsi="宋体" w:cs="宋体"/>
          <w:highlight w:val="none"/>
        </w:rPr>
        <w:t>在线更新</w:t>
      </w:r>
      <w:r>
        <w:rPr>
          <w:rFonts w:ascii="宋体" w:hAnsi="宋体" w:cs="宋体"/>
          <w:highlight w:val="none"/>
        </w:rPr>
        <w:t>录入。</w:t>
      </w:r>
    </w:p>
    <w:p>
      <w:pPr>
        <w:pStyle w:val="5"/>
        <w:tabs>
          <w:tab w:val="left" w:pos="100"/>
          <w:tab w:val="left" w:pos="709"/>
        </w:tabs>
        <w:spacing w:before="0" w:after="0" w:line="360" w:lineRule="auto"/>
        <w:ind w:firstLine="420" w:firstLineChars="200"/>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1.2</w:t>
      </w:r>
      <w:r>
        <w:rPr>
          <w:rFonts w:ascii="微软雅黑" w:hAnsi="微软雅黑" w:eastAsia="微软雅黑" w:cs="微软雅黑"/>
          <w:sz w:val="21"/>
          <w:szCs w:val="21"/>
          <w:highlight w:val="none"/>
        </w:rPr>
        <w:t>自动录入</w:t>
      </w:r>
    </w:p>
    <w:p>
      <w:pPr>
        <w:spacing w:line="360" w:lineRule="auto"/>
        <w:ind w:firstLine="420" w:firstLineChars="200"/>
        <w:rPr>
          <w:rFonts w:ascii="宋体" w:hAnsi="宋体" w:cs="宋体"/>
          <w:highlight w:val="none"/>
        </w:rPr>
      </w:pPr>
      <w:r>
        <w:rPr>
          <w:rFonts w:ascii="宋体" w:hAnsi="宋体" w:cs="宋体"/>
          <w:highlight w:val="none"/>
        </w:rPr>
        <w:t>针对物联网感知设备，数据通过</w:t>
      </w:r>
      <w:r>
        <w:rPr>
          <w:rFonts w:hint="eastAsia" w:ascii="宋体" w:hAnsi="宋体" w:cs="宋体"/>
          <w:highlight w:val="none"/>
        </w:rPr>
        <w:t>物联网接入平台</w:t>
      </w:r>
      <w:r>
        <w:rPr>
          <w:rFonts w:ascii="宋体" w:hAnsi="宋体" w:cs="宋体"/>
          <w:highlight w:val="none"/>
        </w:rPr>
        <w:t>网</w:t>
      </w:r>
      <w:r>
        <w:rPr>
          <w:rFonts w:hint="eastAsia" w:ascii="宋体" w:hAnsi="宋体" w:cs="宋体"/>
          <w:highlight w:val="none"/>
        </w:rPr>
        <w:t>接入</w:t>
      </w:r>
      <w:r>
        <w:rPr>
          <w:rFonts w:ascii="宋体" w:hAnsi="宋体" w:cs="宋体"/>
          <w:highlight w:val="none"/>
        </w:rPr>
        <w:t>至数据库中。</w:t>
      </w:r>
    </w:p>
    <w:p>
      <w:pPr>
        <w:pStyle w:val="5"/>
        <w:tabs>
          <w:tab w:val="left" w:pos="100"/>
          <w:tab w:val="left" w:pos="709"/>
        </w:tabs>
        <w:spacing w:before="0" w:after="0" w:line="360" w:lineRule="auto"/>
        <w:ind w:firstLine="420" w:firstLineChars="200"/>
        <w:rPr>
          <w:highlight w:val="none"/>
        </w:rPr>
      </w:pPr>
      <w:r>
        <w:rPr>
          <w:rFonts w:hint="eastAsia" w:ascii="微软雅黑" w:hAnsi="微软雅黑" w:eastAsia="微软雅黑" w:cs="微软雅黑"/>
          <w:sz w:val="21"/>
          <w:szCs w:val="21"/>
          <w:highlight w:val="none"/>
        </w:rPr>
        <w:t>2.</w:t>
      </w:r>
      <w:bookmarkStart w:id="46" w:name="_Toc17416"/>
      <w:bookmarkStart w:id="47" w:name="_Toc21496"/>
      <w:r>
        <w:rPr>
          <w:rFonts w:ascii="微软雅黑" w:hAnsi="微软雅黑" w:eastAsia="微软雅黑" w:cs="微软雅黑"/>
          <w:sz w:val="21"/>
          <w:szCs w:val="21"/>
          <w:highlight w:val="none"/>
        </w:rPr>
        <w:t>数据资源目录</w:t>
      </w:r>
      <w:bookmarkEnd w:id="46"/>
      <w:bookmarkEnd w:id="47"/>
    </w:p>
    <w:p>
      <w:pPr>
        <w:spacing w:line="360" w:lineRule="auto"/>
        <w:rPr>
          <w:rFonts w:ascii="宋体" w:hAnsi="宋体" w:cs="宋体"/>
          <w:highlight w:val="none"/>
        </w:rPr>
      </w:pPr>
      <w:r>
        <w:rPr>
          <w:rFonts w:ascii="宋体" w:hAnsi="宋体" w:cs="宋体"/>
          <w:highlight w:val="none"/>
        </w:rPr>
        <w:t>数据资源目录提供全局数据目录的统一管理，通过建立数据资源多级分类，定义和识别所属领域的数据资源内容信息，实现各信息系统的资源导图。数据资源目录是用户访问的关键入口，将按数据目录以最贴近用户使用习惯的方式提供，如：按用户角色的多视角主题切换展现方式、按多维标签的过滤与查询、支持目录标题名称与描述的中英文切换显示与关联。资源目录的维护与访问权限控制通过数据基础平台以流程化的方式实现变更。数据资源目录是数据仓库等外部系统形成全局分析视图的基础，通过数据门户提供数据资源目录信息订阅与查询，支持数据资源目录下载及目录变更后的定时推送等。数据资源目录管理主要包括资源分类管理，数据资源识别和资源内容管理三部分。</w:t>
      </w:r>
    </w:p>
    <w:p>
      <w:pPr>
        <w:spacing w:line="360" w:lineRule="auto"/>
        <w:ind w:firstLine="420" w:firstLineChars="200"/>
        <w:rPr>
          <w:rFonts w:ascii="宋体" w:hAnsi="宋体" w:cs="宋体"/>
          <w:b/>
          <w:bCs/>
          <w:highlight w:val="none"/>
        </w:rPr>
      </w:pPr>
      <w:r>
        <w:rPr>
          <w:rFonts w:hint="eastAsia" w:ascii="宋体" w:hAnsi="宋体" w:cs="宋体"/>
          <w:b/>
          <w:bCs/>
          <w:highlight w:val="none"/>
        </w:rPr>
        <w:t>1）、资源分类管理</w:t>
      </w:r>
    </w:p>
    <w:p>
      <w:pPr>
        <w:spacing w:line="360" w:lineRule="auto"/>
        <w:ind w:firstLine="420" w:firstLineChars="200"/>
        <w:rPr>
          <w:rFonts w:ascii="宋体" w:hAnsi="宋体" w:cs="宋体"/>
          <w:highlight w:val="none"/>
        </w:rPr>
      </w:pPr>
      <w:r>
        <w:rPr>
          <w:rFonts w:hint="eastAsia" w:ascii="宋体" w:hAnsi="宋体" w:cs="宋体"/>
          <w:highlight w:val="none"/>
        </w:rPr>
        <w:t>资源分类管理是资源目录管理的基础，提供了资源层级分类的依据。资源分类管理分为资源层级设置、资源目录结构维护，目录快速定位，资源目录批量导入、导出功能。支持后续因业务调整、目录优化进行单条或整体迁移目录结构的功能。资源目录结构维护支持管理人员通过流程进行数据资源目录的扩充和变更。资源目录支持快速定位，通过模糊或者条件搜索定位到资源目录节点，支持在资源目录中标记多维标签，并可按照多维标签切换分层展示，按照资源类型进行分类汇总展示，为跨域关联实体提供禁止或开启在目录展现功能。支持数据初始化或者大批量更新，提供资源目录批量导入导出。外系统可通过数据治理平台服务接口获得资源目录分类信息。</w:t>
      </w:r>
    </w:p>
    <w:p>
      <w:pPr>
        <w:spacing w:line="360" w:lineRule="auto"/>
        <w:ind w:firstLine="420" w:firstLineChars="200"/>
        <w:rPr>
          <w:rFonts w:ascii="宋体" w:hAnsi="宋体" w:cs="宋体"/>
          <w:b/>
          <w:bCs/>
          <w:highlight w:val="none"/>
        </w:rPr>
      </w:pPr>
      <w:r>
        <w:rPr>
          <w:rFonts w:hint="eastAsia" w:ascii="宋体" w:hAnsi="宋体" w:cs="宋体"/>
          <w:b/>
          <w:bCs/>
          <w:highlight w:val="none"/>
        </w:rPr>
        <w:t>2）、数据资源识别</w:t>
      </w:r>
    </w:p>
    <w:p>
      <w:pPr>
        <w:spacing w:line="360" w:lineRule="auto"/>
        <w:ind w:firstLine="420" w:firstLineChars="200"/>
        <w:rPr>
          <w:rFonts w:ascii="宋体" w:hAnsi="宋体" w:cs="宋体"/>
          <w:highlight w:val="none"/>
        </w:rPr>
      </w:pPr>
      <w:r>
        <w:rPr>
          <w:rFonts w:hint="eastAsia" w:ascii="宋体" w:hAnsi="宋体" w:cs="宋体"/>
          <w:highlight w:val="none"/>
        </w:rPr>
        <w:t>数据资源识别是从大量的业务流程和信息系统中，将数据实体以及数据资源目录关联的过程。利用数据匹配辅助，把业务流程信息集中整理并挂接到对应的资源目录中。对在统建系统采集的实体做一定的标准化预处理，规范化数据结构，然后通过获取特征值并进行选择判断，整理出归类数据信息，最后生成对应的数据架构。</w:t>
      </w:r>
    </w:p>
    <w:p>
      <w:pPr>
        <w:spacing w:line="360" w:lineRule="auto"/>
        <w:ind w:firstLine="420" w:firstLineChars="200"/>
        <w:rPr>
          <w:rFonts w:ascii="宋体" w:hAnsi="宋体" w:cs="宋体"/>
          <w:b/>
          <w:bCs/>
          <w:highlight w:val="none"/>
        </w:rPr>
      </w:pPr>
      <w:r>
        <w:rPr>
          <w:rFonts w:hint="eastAsia" w:ascii="宋体" w:hAnsi="宋体" w:cs="宋体"/>
          <w:b/>
          <w:bCs/>
          <w:highlight w:val="none"/>
        </w:rPr>
        <w:t>3）、资源内容管理</w:t>
      </w:r>
    </w:p>
    <w:p>
      <w:pPr>
        <w:spacing w:line="360" w:lineRule="auto"/>
        <w:ind w:firstLine="420" w:firstLineChars="200"/>
        <w:rPr>
          <w:rFonts w:hint="eastAsia" w:ascii="宋体" w:hAnsi="宋体" w:cs="宋体"/>
          <w:highlight w:val="none"/>
        </w:rPr>
      </w:pPr>
      <w:r>
        <w:rPr>
          <w:rFonts w:hint="eastAsia" w:ascii="宋体" w:hAnsi="宋体" w:cs="宋体"/>
          <w:highlight w:val="none"/>
        </w:rPr>
        <w:t>资源内容管理是构建资源目录的核心功能，主要负责将数据资源信息从零散的、没有层级结构的信息，构建成具有层级结构的、可阅读展示的完整的数据资源目录。资源内容管理实现在业务流程相关信息中，获取到对应数据资源目录的信息，并对信息进行归类和标签化处理，在数据资源树中进行数据资源目录内容的展示。</w:t>
      </w:r>
    </w:p>
    <w:p>
      <w:pPr>
        <w:spacing w:line="360" w:lineRule="auto"/>
        <w:ind w:firstLine="420" w:firstLineChars="200"/>
        <w:rPr>
          <w:rFonts w:ascii="宋体" w:hAnsi="宋体" w:cs="宋体"/>
          <w:b/>
          <w:bCs/>
          <w:highlight w:val="none"/>
        </w:rPr>
      </w:pPr>
      <w:r>
        <w:rPr>
          <w:rFonts w:hint="eastAsia" w:ascii="宋体" w:hAnsi="宋体" w:cs="宋体"/>
          <w:b/>
          <w:bCs/>
          <w:highlight w:val="none"/>
        </w:rPr>
        <w:t>3.</w:t>
      </w:r>
      <w:bookmarkStart w:id="48" w:name="_Toc20433"/>
      <w:r>
        <w:rPr>
          <w:rFonts w:hint="eastAsia" w:ascii="宋体" w:hAnsi="宋体" w:cs="宋体"/>
          <w:b/>
          <w:bCs/>
          <w:highlight w:val="none"/>
        </w:rPr>
        <w:t>数据脱密</w:t>
      </w:r>
      <w:bookmarkEnd w:id="48"/>
    </w:p>
    <w:p>
      <w:pPr>
        <w:spacing w:line="360" w:lineRule="auto"/>
        <w:ind w:firstLine="420" w:firstLineChars="200"/>
        <w:rPr>
          <w:rFonts w:ascii="宋体" w:hAnsi="宋体" w:cs="宋体"/>
          <w:szCs w:val="21"/>
          <w:highlight w:val="none"/>
        </w:rPr>
      </w:pPr>
      <w:r>
        <w:rPr>
          <w:rFonts w:cs="Times New Roman"/>
          <w:highlight w:val="none"/>
        </w:rPr>
        <w:t>本项目涉及到的排水管线的空间位置数据及管径、附属构筑物数据均属于保密数据，不可在外网展示和应用</w:t>
      </w:r>
      <w:r>
        <w:rPr>
          <w:rFonts w:hint="eastAsia" w:cs="Times New Roman"/>
          <w:highlight w:val="none"/>
        </w:rPr>
        <w:t>。</w:t>
      </w:r>
      <w:r>
        <w:rPr>
          <w:rFonts w:cs="Times New Roman"/>
          <w:highlight w:val="none"/>
        </w:rPr>
        <w:t>为此，需要对管线数据做脱密处理。地理数据脱密是指通过技术处理的方法，将秘密级测绘成果中包含的涉及国家安全的地理要素空间位置、精度和属性内容进行处理后，转变为符合公开测绘成果使用的方法。</w:t>
      </w:r>
      <w:r>
        <w:rPr>
          <w:rFonts w:hint="eastAsia" w:cs="Times New Roman"/>
          <w:b/>
          <w:bCs/>
          <w:highlight w:val="none"/>
          <w:lang w:val="en-US" w:eastAsia="zh-CN"/>
        </w:rPr>
        <w:t>本项目数据脱密须委托经采购人认可的第三方权威机构完成，脱密费用包含在投标总价内。</w:t>
      </w:r>
    </w:p>
    <w:p>
      <w:pPr>
        <w:spacing w:line="360" w:lineRule="auto"/>
        <w:ind w:firstLine="420" w:firstLineChars="200"/>
        <w:rPr>
          <w:rFonts w:hint="eastAsia" w:ascii="宋体" w:hAnsi="宋体" w:cs="宋体"/>
          <w:b/>
          <w:bCs/>
          <w:highlight w:val="none"/>
        </w:rPr>
      </w:pPr>
      <w:r>
        <w:rPr>
          <w:rFonts w:hint="eastAsia" w:ascii="宋体" w:hAnsi="宋体" w:cs="宋体"/>
          <w:b/>
          <w:bCs/>
          <w:highlight w:val="none"/>
        </w:rPr>
        <w:t>4.</w:t>
      </w:r>
      <w:bookmarkStart w:id="49" w:name="_Toc3025"/>
      <w:bookmarkStart w:id="50" w:name="_Toc5547"/>
      <w:r>
        <w:rPr>
          <w:rFonts w:hint="eastAsia" w:ascii="宋体" w:hAnsi="宋体" w:cs="宋体"/>
          <w:b/>
          <w:bCs/>
          <w:highlight w:val="none"/>
        </w:rPr>
        <w:t>数据库</w:t>
      </w:r>
      <w:bookmarkEnd w:id="49"/>
      <w:bookmarkEnd w:id="50"/>
    </w:p>
    <w:p>
      <w:pPr>
        <w:spacing w:line="360" w:lineRule="auto"/>
        <w:ind w:firstLine="420" w:firstLineChars="200"/>
        <w:rPr>
          <w:rFonts w:ascii="宋体" w:hAnsi="宋体" w:cs="宋体"/>
          <w:szCs w:val="21"/>
          <w:highlight w:val="none"/>
        </w:rPr>
      </w:pPr>
      <w:r>
        <w:rPr>
          <w:rFonts w:ascii="宋体" w:hAnsi="宋体" w:cs="宋体"/>
          <w:szCs w:val="21"/>
          <w:highlight w:val="none"/>
        </w:rPr>
        <w:t>按照江北区“智慧排水”项目基础数据标准，在对已收集到的排水设施基础数据及其数据格式进行分析后，形成详细的基础数据融合方案；并按照方案中制定的技术路线，对收集的排水设施基础数据进行融合和接边，形成江北区现状排水设施数据库。数据融合时，通过对参与融合的不同精度、不同格式的地理数据进行分级比对，从中选取表达准确、精度高、内容全的要素进行合并，并对合并后的结果进行几何拓扑、空间关系与逻辑一致性处理，使融合后的地理信息数据在现势性、准确性、丰富性等方面达到最优。</w:t>
      </w:r>
    </w:p>
    <w:p>
      <w:pPr>
        <w:spacing w:line="360" w:lineRule="auto"/>
        <w:ind w:firstLine="420" w:firstLineChars="200"/>
        <w:rPr>
          <w:rFonts w:hint="eastAsia" w:ascii="宋体" w:hAnsi="宋体" w:cs="宋体"/>
          <w:b/>
          <w:bCs/>
          <w:highlight w:val="none"/>
        </w:rPr>
      </w:pPr>
      <w:r>
        <w:rPr>
          <w:rFonts w:hint="eastAsia" w:ascii="宋体" w:hAnsi="宋体" w:cs="宋体"/>
          <w:b/>
          <w:bCs/>
          <w:highlight w:val="none"/>
        </w:rPr>
        <w:t>4.1基础数据库</w:t>
      </w:r>
    </w:p>
    <w:p>
      <w:pPr>
        <w:spacing w:line="360" w:lineRule="auto"/>
        <w:ind w:firstLine="420" w:firstLineChars="200"/>
        <w:rPr>
          <w:rFonts w:ascii="宋体" w:hAnsi="宋体" w:cs="宋体"/>
          <w:highlight w:val="none"/>
        </w:rPr>
      </w:pPr>
      <w:r>
        <w:rPr>
          <w:rFonts w:hint="eastAsia" w:ascii="宋体" w:hAnsi="宋体" w:cs="宋体"/>
          <w:highlight w:val="none"/>
        </w:rPr>
        <w:t>排水与污水处理设施数据：主要包括管道、窨井、泵站等设施设备空间以及基础属性等数据的收集、整理、入库。</w:t>
      </w:r>
    </w:p>
    <w:p>
      <w:pPr>
        <w:spacing w:line="360" w:lineRule="auto"/>
        <w:ind w:firstLine="420" w:firstLineChars="200"/>
        <w:rPr>
          <w:rFonts w:ascii="宋体" w:hAnsi="宋体" w:cs="宋体"/>
          <w:b/>
          <w:bCs/>
          <w:highlight w:val="none"/>
        </w:rPr>
      </w:pPr>
      <w:r>
        <w:rPr>
          <w:rFonts w:hint="eastAsia" w:ascii="宋体" w:hAnsi="宋体" w:cs="宋体"/>
          <w:b/>
          <w:bCs/>
          <w:highlight w:val="none"/>
        </w:rPr>
        <w:t>1、排水设施基础数据融合</w:t>
      </w:r>
    </w:p>
    <w:p>
      <w:pPr>
        <w:spacing w:line="360" w:lineRule="auto"/>
        <w:ind w:firstLine="420" w:firstLineChars="200"/>
        <w:rPr>
          <w:rFonts w:ascii="宋体" w:hAnsi="宋体" w:cs="宋体"/>
          <w:highlight w:val="none"/>
        </w:rPr>
      </w:pPr>
      <w:r>
        <w:rPr>
          <w:rFonts w:hint="eastAsia" w:ascii="宋体" w:hAnsi="宋体" w:cs="宋体"/>
          <w:highlight w:val="none"/>
        </w:rPr>
        <w:t>按照江北区“智慧排水”项目基础数据标准，在对已收集到的排水设施基础数据及其数据格式进行分析后，形成详细的基础数据融合方案；并按照方案中制定的技术路线，对收集的排水设施基础数据进行融合和接边，形成江北区现状排水设施数据库。数据融合时，通过对参与融合的不同精度、不同格式的地理数据进行分级比对，从中选取表达准确、现势性好、精度高、内容全的要素进行合并，并对合并后的结果进行几何拓扑、空间关系与逻辑一致性处理，使融合后的地理信息数据在现势性、准确性、丰富性等方面达到最优。</w:t>
      </w:r>
    </w:p>
    <w:p>
      <w:pPr>
        <w:spacing w:line="360" w:lineRule="auto"/>
        <w:ind w:firstLine="420" w:firstLineChars="200"/>
        <w:rPr>
          <w:rFonts w:ascii="宋体" w:hAnsi="宋体" w:cs="宋体"/>
          <w:b/>
          <w:highlight w:val="none"/>
        </w:rPr>
      </w:pPr>
      <w:r>
        <w:rPr>
          <w:rFonts w:hint="eastAsia" w:ascii="宋体" w:hAnsi="宋体" w:cs="宋体"/>
          <w:b/>
          <w:bCs/>
          <w:highlight w:val="none"/>
        </w:rPr>
        <w:t>2、排水基础设施复核与探测</w:t>
      </w:r>
    </w:p>
    <w:p>
      <w:pPr>
        <w:spacing w:line="360" w:lineRule="auto"/>
        <w:ind w:firstLine="420" w:firstLineChars="200"/>
        <w:rPr>
          <w:rFonts w:ascii="宋体" w:hAnsi="宋体" w:cs="宋体"/>
          <w:highlight w:val="none"/>
        </w:rPr>
      </w:pPr>
      <w:r>
        <w:rPr>
          <w:rFonts w:hint="eastAsia" w:ascii="宋体" w:hAnsi="宋体" w:cs="宋体"/>
          <w:highlight w:val="none"/>
        </w:rPr>
        <w:t>结合排水基础设施探查与测量技术要求，对“排水设施基础数据融合”的成果进行分析，并在成果图上标识“空白”、“质量差”等情况，形成问题台帐。基于台帐现状，在江北区中心城区选取具有代表性的排水片区（管网摸查示范区）进行基础数据的探查与测量工作。摸查示范区范围由业主单位确定，具体工作包括排水基础设施数据的复核及探测工作（含排水源头设施、过程设施及末端设施），摸查工作包括旧有排水基础设施的复核及新增排水基础设施的探查与测量两部分，按管网长度量化。</w:t>
      </w:r>
    </w:p>
    <w:p>
      <w:pPr>
        <w:spacing w:line="360" w:lineRule="auto"/>
        <w:ind w:firstLine="420" w:firstLineChars="200"/>
        <w:rPr>
          <w:rFonts w:ascii="宋体" w:hAnsi="宋体" w:cs="宋体"/>
          <w:highlight w:val="none"/>
        </w:rPr>
      </w:pPr>
      <w:r>
        <w:rPr>
          <w:rFonts w:hint="eastAsia" w:ascii="宋体" w:hAnsi="宋体" w:cs="宋体"/>
          <w:b/>
          <w:bCs/>
          <w:highlight w:val="none"/>
        </w:rPr>
        <w:t>3、排水基础设施数据库建库</w:t>
      </w:r>
    </w:p>
    <w:p>
      <w:pPr>
        <w:spacing w:line="360" w:lineRule="auto"/>
        <w:ind w:firstLine="420" w:firstLineChars="200"/>
        <w:rPr>
          <w:rFonts w:ascii="宋体" w:hAnsi="宋体" w:cs="宋体"/>
          <w:highlight w:val="none"/>
        </w:rPr>
      </w:pPr>
      <w:r>
        <w:rPr>
          <w:rFonts w:hint="eastAsia" w:ascii="宋体" w:hAnsi="宋体" w:cs="宋体"/>
          <w:highlight w:val="none"/>
        </w:rPr>
        <w:t>按照本项目制定并审核通过的江北区“智慧排水”项目基础数据标准，完成排水设施基础数据库的建库工作，最终形成江北区完整的排水基础设施数据库和运行图库（宁波2000坐标）。</w:t>
      </w:r>
    </w:p>
    <w:p>
      <w:pPr>
        <w:spacing w:line="360" w:lineRule="auto"/>
        <w:ind w:firstLine="420" w:firstLineChars="200"/>
        <w:rPr>
          <w:rFonts w:ascii="宋体" w:hAnsi="宋体" w:cs="宋体"/>
          <w:b/>
          <w:bCs/>
          <w:highlight w:val="none"/>
        </w:rPr>
      </w:pPr>
      <w:r>
        <w:rPr>
          <w:rFonts w:hint="eastAsia" w:ascii="宋体" w:hAnsi="宋体" w:cs="宋体"/>
          <w:b/>
          <w:bCs/>
          <w:highlight w:val="none"/>
        </w:rPr>
        <w:t>4、排水设施数据更新和维护制度编制</w:t>
      </w:r>
    </w:p>
    <w:p>
      <w:pPr>
        <w:spacing w:line="360" w:lineRule="auto"/>
        <w:ind w:firstLine="420" w:firstLineChars="200"/>
        <w:rPr>
          <w:rFonts w:ascii="宋体" w:hAnsi="宋体" w:cs="宋体"/>
          <w:highlight w:val="none"/>
        </w:rPr>
      </w:pPr>
      <w:r>
        <w:rPr>
          <w:rFonts w:hint="eastAsia" w:ascii="宋体" w:hAnsi="宋体" w:cs="宋体"/>
          <w:highlight w:val="none"/>
        </w:rPr>
        <w:t>为保持排水设施数据的有效性，需要建立排水设施数据更新和维护制度，明确未来排水基础数据采集、修正、使用、管理等方面的工作要求，提出江北区排水基础设施数据更新和维护制度建议稿，主要内容包括：明确排水设施的更新维护责任单位；建立历史排水设施数据的核实、更新等工作机制；建立新建排水设施和永久性迁改排水设施的数据采集、汇总、更新、维护工作机制等。</w:t>
      </w:r>
    </w:p>
    <w:p>
      <w:pPr>
        <w:spacing w:line="360" w:lineRule="auto"/>
        <w:ind w:firstLine="420" w:firstLineChars="200"/>
        <w:rPr>
          <w:rFonts w:ascii="宋体" w:hAnsi="宋体" w:cs="宋体"/>
          <w:b/>
          <w:bCs/>
          <w:highlight w:val="none"/>
        </w:rPr>
      </w:pPr>
      <w:r>
        <w:rPr>
          <w:rFonts w:hint="eastAsia" w:ascii="宋体" w:hAnsi="宋体" w:cs="宋体"/>
          <w:b/>
          <w:bCs/>
          <w:highlight w:val="none"/>
        </w:rPr>
        <w:t>5、排水与污水处理设施数据</w:t>
      </w:r>
    </w:p>
    <w:p>
      <w:pPr>
        <w:spacing w:line="360" w:lineRule="auto"/>
        <w:ind w:firstLine="420" w:firstLineChars="200"/>
        <w:rPr>
          <w:rFonts w:ascii="宋体" w:hAnsi="宋体" w:cs="宋体"/>
          <w:highlight w:val="none"/>
        </w:rPr>
      </w:pPr>
      <w:r>
        <w:rPr>
          <w:rFonts w:hint="eastAsia" w:ascii="宋体" w:hAnsi="宋体" w:cs="宋体"/>
          <w:highlight w:val="none"/>
        </w:rPr>
        <w:t>排水与污水处理设施是由管道、窨井、泵站、污水处理厂等设施设备共同组成的收集、传输和处理污水的网络，主要有：</w:t>
      </w:r>
    </w:p>
    <w:p>
      <w:pPr>
        <w:spacing w:line="360" w:lineRule="auto"/>
        <w:ind w:firstLine="420" w:firstLineChars="200"/>
        <w:rPr>
          <w:rFonts w:ascii="宋体" w:hAnsi="宋体" w:cs="宋体"/>
          <w:highlight w:val="none"/>
        </w:rPr>
      </w:pPr>
      <w:r>
        <w:rPr>
          <w:rFonts w:hint="eastAsia" w:ascii="宋体" w:hAnsi="宋体" w:cs="宋体"/>
          <w:highlight w:val="none"/>
        </w:rPr>
        <w:t>管道的空间位置和基本属性数据，包含管道坐标、所在道路、长度、直径、起止点、标高、管材、建设日期、建设和管理单位等；</w:t>
      </w:r>
    </w:p>
    <w:p>
      <w:pPr>
        <w:spacing w:line="360" w:lineRule="auto"/>
        <w:ind w:firstLine="420" w:firstLineChars="200"/>
        <w:rPr>
          <w:rFonts w:ascii="宋体" w:hAnsi="宋体" w:cs="宋体"/>
          <w:highlight w:val="none"/>
        </w:rPr>
      </w:pPr>
      <w:r>
        <w:rPr>
          <w:rFonts w:hint="eastAsia" w:ascii="宋体" w:hAnsi="宋体" w:cs="宋体"/>
          <w:highlight w:val="none"/>
        </w:rPr>
        <w:t>窨井的空间位置、规格、用途、标高等；</w:t>
      </w:r>
    </w:p>
    <w:p>
      <w:pPr>
        <w:spacing w:line="360" w:lineRule="auto"/>
        <w:ind w:firstLine="420" w:firstLineChars="200"/>
        <w:rPr>
          <w:rFonts w:ascii="宋体" w:hAnsi="宋体" w:cs="宋体"/>
          <w:highlight w:val="none"/>
        </w:rPr>
      </w:pPr>
      <w:r>
        <w:rPr>
          <w:rFonts w:hint="eastAsia" w:ascii="宋体" w:hAnsi="宋体" w:cs="宋体"/>
          <w:highlight w:val="none"/>
        </w:rPr>
        <w:t>泵站的空间位置、地址、联系人、用途、面积、建设规模、建设日期、建设和管理单位等；</w:t>
      </w:r>
    </w:p>
    <w:p>
      <w:pPr>
        <w:spacing w:line="360" w:lineRule="auto"/>
        <w:ind w:firstLine="420" w:firstLineChars="200"/>
        <w:rPr>
          <w:rFonts w:ascii="宋体" w:hAnsi="宋体" w:cs="宋体"/>
          <w:highlight w:val="none"/>
        </w:rPr>
      </w:pPr>
      <w:r>
        <w:rPr>
          <w:rFonts w:hint="eastAsia" w:ascii="宋体" w:hAnsi="宋体" w:cs="宋体"/>
          <w:highlight w:val="none"/>
        </w:rPr>
        <w:t>污水处理厂的空间位置、地址、联系人、面积、建设规模、建设日期、建设和管理单位等。</w:t>
      </w:r>
    </w:p>
    <w:p>
      <w:pPr>
        <w:pStyle w:val="6"/>
        <w:tabs>
          <w:tab w:val="left" w:pos="425"/>
          <w:tab w:val="left" w:pos="851"/>
          <w:tab w:val="left" w:pos="1418"/>
        </w:tabs>
        <w:spacing w:before="0" w:after="0"/>
        <w:ind w:firstLine="420" w:firstLineChars="200"/>
        <w:rPr>
          <w:rFonts w:ascii="Times New Roman" w:hAnsi="Times New Roman"/>
          <w:highlight w:val="none"/>
        </w:rPr>
      </w:pPr>
      <w:r>
        <w:rPr>
          <w:rFonts w:hint="eastAsia" w:ascii="Times New Roman" w:hAnsi="Times New Roman"/>
          <w:highlight w:val="none"/>
        </w:rPr>
        <w:t>4.2</w:t>
      </w:r>
      <w:r>
        <w:rPr>
          <w:rFonts w:ascii="Times New Roman" w:hAnsi="Times New Roman"/>
          <w:highlight w:val="none"/>
        </w:rPr>
        <w:t>业务分析库</w:t>
      </w:r>
    </w:p>
    <w:p>
      <w:pPr>
        <w:spacing w:line="360" w:lineRule="auto"/>
        <w:ind w:firstLine="420" w:firstLineChars="200"/>
        <w:rPr>
          <w:rFonts w:ascii="宋体" w:hAnsi="宋体" w:cs="宋体"/>
          <w:highlight w:val="none"/>
        </w:rPr>
      </w:pPr>
      <w:r>
        <w:rPr>
          <w:rFonts w:hint="eastAsia" w:ascii="宋体" w:hAnsi="宋体" w:cs="宋体"/>
          <w:highlight w:val="none"/>
        </w:rPr>
        <w:t>通过多种方式收集江北区中心城区和外围区域现有的排水基础设施数据，主要包括历年排水专项普查数据、综合管线普查数据、工程设计竣工数据及其它排水相关数据，收集的数据格式包括但不局限于数据库文件、CAD、EXCEL表格、PDF等，对收集数据进行分区、分文件类型、分项目等进行分类整理，为后续数据融合提供原始基础数据。</w:t>
      </w:r>
    </w:p>
    <w:p>
      <w:pPr>
        <w:pStyle w:val="278"/>
        <w:spacing w:line="360" w:lineRule="auto"/>
        <w:ind w:firstLineChars="200"/>
        <w:rPr>
          <w:rFonts w:ascii="宋体" w:hAnsi="宋体" w:cs="宋体"/>
          <w:highlight w:val="none"/>
        </w:rPr>
      </w:pPr>
      <w:r>
        <w:rPr>
          <w:rFonts w:hint="eastAsia" w:ascii="宋体" w:hAnsi="宋体" w:cs="宋体"/>
          <w:highlight w:val="none"/>
        </w:rPr>
        <w:t>主要包括养护企业信息、排水设施养护数据、排水户信息、非结构性数据、政策法规及标准规范等信息的收集、整理、入库</w:t>
      </w:r>
    </w:p>
    <w:p>
      <w:pPr>
        <w:spacing w:line="360" w:lineRule="auto"/>
        <w:ind w:firstLine="420" w:firstLineChars="200"/>
        <w:rPr>
          <w:rFonts w:ascii="宋体" w:hAnsi="宋体" w:cs="宋体"/>
          <w:b/>
          <w:bCs/>
          <w:highlight w:val="none"/>
        </w:rPr>
      </w:pPr>
      <w:r>
        <w:rPr>
          <w:rFonts w:hint="eastAsia" w:ascii="宋体" w:hAnsi="宋体" w:cs="宋体"/>
          <w:b/>
          <w:bCs/>
          <w:highlight w:val="none"/>
        </w:rPr>
        <w:t>1、养护企业监管信息</w:t>
      </w:r>
    </w:p>
    <w:p>
      <w:pPr>
        <w:spacing w:line="360" w:lineRule="auto"/>
        <w:ind w:firstLine="420" w:firstLineChars="200"/>
        <w:rPr>
          <w:rFonts w:ascii="宋体" w:hAnsi="宋体" w:cs="宋体"/>
          <w:highlight w:val="none"/>
        </w:rPr>
      </w:pPr>
      <w:r>
        <w:rPr>
          <w:rFonts w:hint="eastAsia" w:ascii="宋体" w:hAnsi="宋体" w:cs="宋体"/>
          <w:highlight w:val="none"/>
        </w:rPr>
        <w:t>主要有排水与污水处理设施养护维修企业信息，检测中介机构信息，企业评分及诚信档案等方面的空间及属性信息。包括：</w:t>
      </w:r>
    </w:p>
    <w:p>
      <w:pPr>
        <w:pStyle w:val="81"/>
        <w:numPr>
          <w:ilvl w:val="0"/>
          <w:numId w:val="25"/>
        </w:numPr>
        <w:spacing w:line="360" w:lineRule="auto"/>
        <w:ind w:left="0" w:firstLine="420"/>
        <w:rPr>
          <w:rFonts w:ascii="宋体" w:hAnsi="宋体" w:cs="宋体"/>
          <w:highlight w:val="none"/>
        </w:rPr>
      </w:pPr>
      <w:r>
        <w:rPr>
          <w:rFonts w:hint="eastAsia" w:ascii="宋体" w:hAnsi="宋体" w:cs="宋体"/>
          <w:highlight w:val="none"/>
        </w:rPr>
        <w:t>企业基本情况：企业名称、企业编号、注册地址、主管部门、办公地址、经营范围、养护维修费来源、营业执照复印件等。</w:t>
      </w:r>
    </w:p>
    <w:p>
      <w:pPr>
        <w:pStyle w:val="81"/>
        <w:numPr>
          <w:ilvl w:val="0"/>
          <w:numId w:val="25"/>
        </w:numPr>
        <w:spacing w:line="360" w:lineRule="auto"/>
        <w:ind w:left="0" w:firstLine="420"/>
        <w:rPr>
          <w:rFonts w:ascii="宋体" w:hAnsi="宋体" w:cs="宋体"/>
          <w:highlight w:val="none"/>
        </w:rPr>
      </w:pPr>
      <w:r>
        <w:rPr>
          <w:rFonts w:hint="eastAsia" w:ascii="宋体" w:hAnsi="宋体" w:cs="宋体"/>
          <w:highlight w:val="none"/>
        </w:rPr>
        <w:t>从业人员基本信息：包括法人代表，经营负责人，技术负责人，财务负责人等。信息包括：姓名、性别、出生年月、职务、职称、文化程度、养护维修项目管理资历、工作简历，电话等。</w:t>
      </w:r>
    </w:p>
    <w:p>
      <w:pPr>
        <w:pStyle w:val="81"/>
        <w:numPr>
          <w:ilvl w:val="0"/>
          <w:numId w:val="25"/>
        </w:numPr>
        <w:spacing w:line="360" w:lineRule="auto"/>
        <w:ind w:left="0" w:firstLine="420"/>
        <w:rPr>
          <w:rFonts w:ascii="宋体" w:hAnsi="宋体" w:cs="宋体"/>
          <w:highlight w:val="none"/>
        </w:rPr>
      </w:pPr>
      <w:r>
        <w:rPr>
          <w:rFonts w:hint="eastAsia" w:ascii="宋体" w:hAnsi="宋体" w:cs="宋体"/>
          <w:highlight w:val="none"/>
        </w:rPr>
        <w:t>机械设备:机具设备名称、型号规格、数量（台）、功率(千瓦）、价值（万元）、备注。</w:t>
      </w:r>
    </w:p>
    <w:p>
      <w:pPr>
        <w:pStyle w:val="81"/>
        <w:numPr>
          <w:ilvl w:val="0"/>
          <w:numId w:val="25"/>
        </w:numPr>
        <w:spacing w:line="360" w:lineRule="auto"/>
        <w:ind w:left="0" w:firstLine="420"/>
        <w:rPr>
          <w:rFonts w:ascii="宋体" w:hAnsi="宋体" w:cs="宋体"/>
          <w:highlight w:val="none"/>
        </w:rPr>
      </w:pPr>
      <w:r>
        <w:rPr>
          <w:rFonts w:hint="eastAsia" w:ascii="宋体" w:hAnsi="宋体" w:cs="宋体"/>
          <w:highlight w:val="none"/>
        </w:rPr>
        <w:t>作业业绩：企业简历取的成就，诚信档案，施工记录等。</w:t>
      </w:r>
    </w:p>
    <w:p>
      <w:pPr>
        <w:pStyle w:val="81"/>
        <w:numPr>
          <w:ilvl w:val="0"/>
          <w:numId w:val="25"/>
        </w:numPr>
        <w:spacing w:line="360" w:lineRule="auto"/>
        <w:ind w:left="0" w:firstLine="420"/>
        <w:rPr>
          <w:rFonts w:ascii="宋体" w:hAnsi="宋体" w:cs="宋体"/>
          <w:highlight w:val="none"/>
        </w:rPr>
      </w:pPr>
      <w:r>
        <w:rPr>
          <w:rFonts w:hint="eastAsia" w:ascii="宋体" w:hAnsi="宋体" w:cs="宋体"/>
          <w:highlight w:val="none"/>
        </w:rPr>
        <w:t>评审情况：企业申请意见、区县主管部门预审意见、市市政（排水）管理处评审意见、发证情况（专业类别，发证日期，证书编号，有效期限，经办人）。</w:t>
      </w:r>
    </w:p>
    <w:p>
      <w:pPr>
        <w:pStyle w:val="81"/>
        <w:numPr>
          <w:ilvl w:val="0"/>
          <w:numId w:val="25"/>
        </w:numPr>
        <w:spacing w:line="360" w:lineRule="auto"/>
        <w:ind w:left="0" w:firstLine="420"/>
        <w:rPr>
          <w:rFonts w:ascii="宋体" w:hAnsi="宋体" w:cs="宋体"/>
          <w:highlight w:val="none"/>
        </w:rPr>
      </w:pPr>
      <w:r>
        <w:rPr>
          <w:rFonts w:hint="eastAsia" w:ascii="宋体" w:hAnsi="宋体" w:cs="宋体"/>
          <w:highlight w:val="none"/>
        </w:rPr>
        <w:t>评审标准：污水处理企业运行评分（处理流量，水质、检验）；排水管道养护维修作业基本条件评审。</w:t>
      </w:r>
    </w:p>
    <w:p>
      <w:pPr>
        <w:pStyle w:val="81"/>
        <w:numPr>
          <w:ilvl w:val="0"/>
          <w:numId w:val="25"/>
        </w:numPr>
        <w:spacing w:line="360" w:lineRule="auto"/>
        <w:ind w:left="0" w:firstLine="420"/>
        <w:rPr>
          <w:rFonts w:ascii="宋体" w:hAnsi="宋体" w:cs="宋体"/>
          <w:highlight w:val="none"/>
        </w:rPr>
      </w:pPr>
      <w:r>
        <w:rPr>
          <w:rFonts w:hint="eastAsia" w:ascii="宋体" w:hAnsi="宋体" w:cs="宋体"/>
          <w:highlight w:val="none"/>
        </w:rPr>
        <w:t>审核评分：根据各类资料形成每一项的得分记录及总得分。包括污水污泥处理，人员素质，基础管理，处理流量，构作物和设备完好率等</w:t>
      </w:r>
    </w:p>
    <w:p>
      <w:pPr>
        <w:pStyle w:val="81"/>
        <w:numPr>
          <w:ilvl w:val="0"/>
          <w:numId w:val="25"/>
        </w:numPr>
        <w:spacing w:line="360" w:lineRule="auto"/>
        <w:ind w:left="0" w:firstLine="420"/>
        <w:rPr>
          <w:rFonts w:ascii="宋体" w:hAnsi="宋体" w:cs="宋体"/>
          <w:highlight w:val="none"/>
        </w:rPr>
      </w:pPr>
      <w:r>
        <w:rPr>
          <w:rFonts w:hint="eastAsia" w:ascii="宋体" w:hAnsi="宋体" w:cs="宋体"/>
          <w:highlight w:val="none"/>
        </w:rPr>
        <w:t>历史记录：企业信息历年申报资料，审核情况，设备人员变化情况，根据绩效考核形成诚信档案等。</w:t>
      </w:r>
    </w:p>
    <w:p>
      <w:pPr>
        <w:spacing w:line="360" w:lineRule="auto"/>
        <w:ind w:firstLine="420" w:firstLineChars="200"/>
        <w:rPr>
          <w:rFonts w:ascii="宋体" w:hAnsi="宋体" w:cs="宋体"/>
          <w:b/>
          <w:bCs/>
          <w:highlight w:val="none"/>
        </w:rPr>
      </w:pPr>
      <w:r>
        <w:rPr>
          <w:rFonts w:hint="eastAsia" w:ascii="宋体" w:hAnsi="宋体" w:cs="宋体"/>
          <w:b/>
          <w:bCs/>
          <w:highlight w:val="none"/>
        </w:rPr>
        <w:t>2、排水设施养护数据</w:t>
      </w:r>
    </w:p>
    <w:p>
      <w:pPr>
        <w:spacing w:line="360" w:lineRule="auto"/>
        <w:ind w:firstLine="420" w:firstLineChars="200"/>
        <w:rPr>
          <w:rFonts w:ascii="宋体" w:hAnsi="宋体" w:cs="宋体"/>
          <w:highlight w:val="none"/>
        </w:rPr>
      </w:pPr>
      <w:r>
        <w:rPr>
          <w:rFonts w:hint="eastAsia" w:ascii="宋体" w:hAnsi="宋体" w:cs="宋体"/>
          <w:highlight w:val="none"/>
        </w:rPr>
        <w:t>主要有养护抽查计划，管道养护维修记录，养护巡查记录，管道检测数据，检测报告及考核情况，各类事件关联管道编码，管道检测历史数据（录像、问题截图）等。</w:t>
      </w:r>
    </w:p>
    <w:p>
      <w:pPr>
        <w:pStyle w:val="81"/>
        <w:numPr>
          <w:ilvl w:val="0"/>
          <w:numId w:val="26"/>
        </w:numPr>
        <w:spacing w:line="360" w:lineRule="auto"/>
        <w:ind w:left="0" w:firstLine="420"/>
        <w:rPr>
          <w:rFonts w:ascii="宋体" w:hAnsi="宋体" w:cs="宋体"/>
          <w:highlight w:val="none"/>
        </w:rPr>
      </w:pPr>
      <w:r>
        <w:rPr>
          <w:rFonts w:hint="eastAsia" w:ascii="宋体" w:hAnsi="宋体" w:cs="宋体"/>
          <w:highlight w:val="none"/>
        </w:rPr>
        <w:t>养护巡查：包括巡查人员信息，巡查GPS监控和巡查养护信息。</w:t>
      </w:r>
    </w:p>
    <w:p>
      <w:pPr>
        <w:pStyle w:val="81"/>
        <w:numPr>
          <w:ilvl w:val="0"/>
          <w:numId w:val="26"/>
        </w:numPr>
        <w:spacing w:line="360" w:lineRule="auto"/>
        <w:ind w:left="0" w:firstLine="420"/>
        <w:rPr>
          <w:rFonts w:ascii="宋体" w:hAnsi="宋体" w:cs="宋体"/>
          <w:highlight w:val="none"/>
        </w:rPr>
      </w:pPr>
      <w:r>
        <w:rPr>
          <w:rFonts w:hint="eastAsia" w:ascii="宋体" w:hAnsi="宋体" w:cs="宋体"/>
          <w:highlight w:val="none"/>
        </w:rPr>
        <w:t>巡查人员：名称，电话，巡查记录，PDA编号；</w:t>
      </w:r>
    </w:p>
    <w:p>
      <w:pPr>
        <w:pStyle w:val="81"/>
        <w:numPr>
          <w:ilvl w:val="0"/>
          <w:numId w:val="26"/>
        </w:numPr>
        <w:spacing w:line="360" w:lineRule="auto"/>
        <w:ind w:left="0" w:firstLine="420"/>
        <w:rPr>
          <w:rFonts w:ascii="宋体" w:hAnsi="宋体" w:cs="宋体"/>
          <w:highlight w:val="none"/>
        </w:rPr>
      </w:pPr>
      <w:r>
        <w:rPr>
          <w:rFonts w:hint="eastAsia" w:ascii="宋体" w:hAnsi="宋体" w:cs="宋体"/>
          <w:highlight w:val="none"/>
        </w:rPr>
        <w:t>巡查GPS监控：经纬度坐标,采集时间；</w:t>
      </w:r>
    </w:p>
    <w:p>
      <w:pPr>
        <w:pStyle w:val="81"/>
        <w:numPr>
          <w:ilvl w:val="0"/>
          <w:numId w:val="26"/>
        </w:numPr>
        <w:spacing w:line="360" w:lineRule="auto"/>
        <w:ind w:left="0" w:firstLine="420"/>
        <w:rPr>
          <w:rFonts w:ascii="宋体" w:hAnsi="宋体" w:cs="宋体"/>
          <w:highlight w:val="none"/>
        </w:rPr>
      </w:pPr>
      <w:r>
        <w:rPr>
          <w:rFonts w:hint="eastAsia" w:ascii="宋体" w:hAnsi="宋体" w:cs="宋体"/>
          <w:highlight w:val="none"/>
        </w:rPr>
        <w:t>巡查养护信息：突发事件时间，纪要，设施照片编号，关联设施编号。</w:t>
      </w:r>
    </w:p>
    <w:p>
      <w:pPr>
        <w:pStyle w:val="81"/>
        <w:numPr>
          <w:ilvl w:val="0"/>
          <w:numId w:val="26"/>
        </w:numPr>
        <w:spacing w:line="360" w:lineRule="auto"/>
        <w:ind w:left="0" w:firstLine="420"/>
        <w:rPr>
          <w:rFonts w:ascii="宋体" w:hAnsi="宋体" w:cs="宋体"/>
          <w:highlight w:val="none"/>
        </w:rPr>
      </w:pPr>
      <w:r>
        <w:rPr>
          <w:rFonts w:hint="eastAsia" w:ascii="宋体" w:hAnsi="宋体" w:cs="宋体"/>
          <w:highlight w:val="none"/>
        </w:rPr>
        <w:t>养护抽查计划：月份，区县，道路名称，所在路段，养护企业，管理单位，主管部门等。</w:t>
      </w:r>
    </w:p>
    <w:p>
      <w:pPr>
        <w:pStyle w:val="81"/>
        <w:numPr>
          <w:ilvl w:val="0"/>
          <w:numId w:val="26"/>
        </w:numPr>
        <w:spacing w:line="360" w:lineRule="auto"/>
        <w:ind w:left="0" w:firstLine="420"/>
        <w:rPr>
          <w:rFonts w:ascii="宋体" w:hAnsi="宋体" w:cs="宋体"/>
          <w:highlight w:val="none"/>
        </w:rPr>
      </w:pPr>
      <w:r>
        <w:rPr>
          <w:rFonts w:hint="eastAsia" w:ascii="宋体" w:hAnsi="宋体" w:cs="宋体"/>
          <w:highlight w:val="none"/>
        </w:rPr>
        <w:t>养护记录：养护管道编码，养护路段，养护方式，清捞检查井编码，污泥量，调换检查井或雨水口盖座，管道检测路段，管道检测方式，修理排水设施编码，修理方法等。</w:t>
      </w:r>
    </w:p>
    <w:p>
      <w:pPr>
        <w:pStyle w:val="81"/>
        <w:numPr>
          <w:ilvl w:val="0"/>
          <w:numId w:val="26"/>
        </w:numPr>
        <w:spacing w:line="360" w:lineRule="auto"/>
        <w:ind w:left="0" w:firstLine="420"/>
        <w:rPr>
          <w:rFonts w:ascii="宋体" w:hAnsi="宋体" w:cs="宋体"/>
          <w:highlight w:val="none"/>
        </w:rPr>
      </w:pPr>
      <w:r>
        <w:rPr>
          <w:rFonts w:hint="eastAsia" w:ascii="宋体" w:hAnsi="宋体" w:cs="宋体"/>
          <w:highlight w:val="none"/>
        </w:rPr>
        <w:t>管道检测信息：工程信息和管道检查信息。</w:t>
      </w:r>
    </w:p>
    <w:p>
      <w:pPr>
        <w:pStyle w:val="81"/>
        <w:numPr>
          <w:ilvl w:val="0"/>
          <w:numId w:val="26"/>
        </w:numPr>
        <w:spacing w:line="360" w:lineRule="auto"/>
        <w:ind w:left="0" w:firstLine="420"/>
        <w:rPr>
          <w:rFonts w:ascii="宋体" w:hAnsi="宋体" w:cs="宋体"/>
          <w:highlight w:val="none"/>
        </w:rPr>
      </w:pPr>
      <w:r>
        <w:rPr>
          <w:rFonts w:hint="eastAsia" w:ascii="宋体" w:hAnsi="宋体" w:cs="宋体"/>
          <w:highlight w:val="none"/>
        </w:rPr>
        <w:t>工程信息：工程名称，单位名称，检测分类（普查、竣工验收、交接、紧急突发、其他），检测设备，委托单位，检测单位等；</w:t>
      </w:r>
    </w:p>
    <w:p>
      <w:pPr>
        <w:pStyle w:val="81"/>
        <w:numPr>
          <w:ilvl w:val="0"/>
          <w:numId w:val="26"/>
        </w:numPr>
        <w:spacing w:line="360" w:lineRule="auto"/>
        <w:ind w:left="0" w:firstLine="420"/>
        <w:rPr>
          <w:rFonts w:ascii="宋体" w:hAnsi="宋体" w:cs="宋体"/>
          <w:highlight w:val="none"/>
        </w:rPr>
      </w:pPr>
      <w:r>
        <w:rPr>
          <w:rFonts w:hint="eastAsia" w:ascii="宋体" w:hAnsi="宋体" w:cs="宋体"/>
          <w:highlight w:val="none"/>
        </w:rPr>
        <w:t>管道检查信息：管段编号，缺陷图号，缺陷名称，缺陷等级，检查方向，时钟时间，距离，积泥深度，问题描述，视频编号，检测方法，检测地点，当前水位。</w:t>
      </w:r>
    </w:p>
    <w:p>
      <w:pPr>
        <w:pStyle w:val="81"/>
        <w:numPr>
          <w:ilvl w:val="0"/>
          <w:numId w:val="26"/>
        </w:numPr>
        <w:spacing w:line="360" w:lineRule="auto"/>
        <w:ind w:left="0" w:firstLine="420"/>
        <w:rPr>
          <w:rFonts w:ascii="宋体" w:hAnsi="宋体" w:cs="宋体"/>
          <w:highlight w:val="none"/>
        </w:rPr>
      </w:pPr>
      <w:r>
        <w:rPr>
          <w:rFonts w:hint="eastAsia" w:ascii="宋体" w:hAnsi="宋体" w:cs="宋体"/>
          <w:highlight w:val="none"/>
        </w:rPr>
        <w:t>养护考核：包括养护考核标准和考核成绩。</w:t>
      </w:r>
    </w:p>
    <w:p>
      <w:pPr>
        <w:pStyle w:val="81"/>
        <w:numPr>
          <w:ilvl w:val="0"/>
          <w:numId w:val="26"/>
        </w:numPr>
        <w:spacing w:line="360" w:lineRule="auto"/>
        <w:ind w:left="0" w:firstLine="420"/>
        <w:rPr>
          <w:rFonts w:ascii="宋体" w:hAnsi="宋体" w:cs="宋体"/>
          <w:highlight w:val="none"/>
        </w:rPr>
      </w:pPr>
      <w:r>
        <w:rPr>
          <w:rFonts w:hint="eastAsia" w:ascii="宋体" w:hAnsi="宋体" w:cs="宋体"/>
          <w:highlight w:val="none"/>
        </w:rPr>
        <w:t>养护考核标准：养护MI范围（一级，二级，三级，积泥深度等级（合格，中度，严重），结构缺陷分类，功能缺陷分类；</w:t>
      </w:r>
    </w:p>
    <w:p>
      <w:pPr>
        <w:pStyle w:val="81"/>
        <w:numPr>
          <w:ilvl w:val="0"/>
          <w:numId w:val="26"/>
        </w:numPr>
        <w:spacing w:line="360" w:lineRule="auto"/>
        <w:ind w:left="0" w:firstLine="420"/>
        <w:rPr>
          <w:rFonts w:ascii="宋体" w:hAnsi="宋体" w:cs="宋体"/>
          <w:highlight w:val="none"/>
        </w:rPr>
      </w:pPr>
      <w:r>
        <w:rPr>
          <w:rFonts w:hint="eastAsia" w:ascii="宋体" w:hAnsi="宋体" w:cs="宋体"/>
          <w:highlight w:val="none"/>
        </w:rPr>
        <w:t>考核成绩：分数，月份，单位，计算方法，依托数据编号等。</w:t>
      </w:r>
    </w:p>
    <w:p>
      <w:pPr>
        <w:spacing w:line="360" w:lineRule="auto"/>
        <w:ind w:firstLine="420" w:firstLineChars="200"/>
        <w:rPr>
          <w:rFonts w:ascii="宋体" w:hAnsi="宋体" w:cs="宋体"/>
          <w:b/>
          <w:bCs/>
          <w:highlight w:val="none"/>
        </w:rPr>
      </w:pPr>
      <w:r>
        <w:rPr>
          <w:rFonts w:hint="eastAsia" w:ascii="宋体" w:hAnsi="宋体" w:cs="宋体"/>
          <w:b/>
          <w:bCs/>
          <w:highlight w:val="none"/>
        </w:rPr>
        <w:t>3、排水户管理数据</w:t>
      </w:r>
    </w:p>
    <w:p>
      <w:pPr>
        <w:spacing w:line="360" w:lineRule="auto"/>
        <w:ind w:firstLine="420" w:firstLineChars="200"/>
        <w:rPr>
          <w:rFonts w:ascii="宋体" w:hAnsi="宋体" w:cs="宋体"/>
          <w:highlight w:val="none"/>
        </w:rPr>
      </w:pPr>
      <w:r>
        <w:rPr>
          <w:rFonts w:hint="eastAsia" w:ascii="宋体" w:hAnsi="宋体" w:cs="宋体"/>
          <w:highlight w:val="none"/>
        </w:rPr>
        <w:t>排水许可证号、排水户编号、填表日期、申请类别、申请单位、排水户名称、排水项目名称、详细地址、营业执照注册号、用水量（含自来水量、自备水量）、排水量（含生产污水量、生活污水量）、污水处理方式、污水处理工艺、基地面积、审核人、审核日期、审批意见、审批负责人、审批日期。</w:t>
      </w:r>
    </w:p>
    <w:p>
      <w:pPr>
        <w:spacing w:line="360" w:lineRule="auto"/>
        <w:ind w:firstLine="420" w:firstLineChars="200"/>
        <w:rPr>
          <w:rFonts w:ascii="宋体" w:hAnsi="宋体" w:cs="宋体"/>
          <w:b/>
          <w:bCs/>
          <w:highlight w:val="none"/>
        </w:rPr>
      </w:pPr>
      <w:r>
        <w:rPr>
          <w:rFonts w:hint="eastAsia" w:ascii="宋体" w:hAnsi="宋体" w:cs="宋体"/>
          <w:b/>
          <w:bCs/>
          <w:highlight w:val="none"/>
        </w:rPr>
        <w:t>4、非结构化数据</w:t>
      </w:r>
    </w:p>
    <w:p>
      <w:pPr>
        <w:spacing w:line="360" w:lineRule="auto"/>
        <w:ind w:firstLine="420" w:firstLineChars="200"/>
        <w:rPr>
          <w:rFonts w:ascii="宋体" w:hAnsi="宋体" w:cs="宋体"/>
          <w:highlight w:val="none"/>
        </w:rPr>
      </w:pPr>
      <w:r>
        <w:rPr>
          <w:rFonts w:hint="eastAsia" w:ascii="宋体" w:hAnsi="宋体" w:cs="宋体"/>
          <w:highlight w:val="none"/>
        </w:rPr>
        <w:t>非结构化数据包括监控视频、照片、工程文档、检测视频等。</w:t>
      </w:r>
    </w:p>
    <w:p>
      <w:pPr>
        <w:spacing w:line="360" w:lineRule="auto"/>
        <w:ind w:firstLine="420" w:firstLineChars="200"/>
        <w:rPr>
          <w:rFonts w:ascii="宋体" w:hAnsi="宋体" w:cs="宋体"/>
          <w:b/>
          <w:bCs/>
          <w:highlight w:val="none"/>
        </w:rPr>
      </w:pPr>
      <w:r>
        <w:rPr>
          <w:rFonts w:hint="eastAsia" w:ascii="宋体" w:hAnsi="宋体" w:cs="宋体"/>
          <w:b/>
          <w:bCs/>
          <w:highlight w:val="none"/>
        </w:rPr>
        <w:t>5、政策法规及标准规范</w:t>
      </w:r>
    </w:p>
    <w:p>
      <w:pPr>
        <w:spacing w:line="360" w:lineRule="auto"/>
        <w:ind w:firstLine="420" w:firstLineChars="200"/>
        <w:rPr>
          <w:rFonts w:ascii="宋体" w:hAnsi="宋体" w:cs="宋体"/>
          <w:highlight w:val="none"/>
        </w:rPr>
      </w:pPr>
      <w:r>
        <w:rPr>
          <w:rFonts w:hint="eastAsia" w:ascii="宋体" w:hAnsi="宋体" w:cs="宋体"/>
          <w:highlight w:val="none"/>
        </w:rPr>
        <w:t>主要包括与排水行业相关法律法规、制度、待出台动态法律；养护设施操作规范。</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4.3业务运行库</w:t>
      </w:r>
    </w:p>
    <w:p>
      <w:pPr>
        <w:spacing w:line="360" w:lineRule="auto"/>
        <w:ind w:firstLine="420" w:firstLineChars="200"/>
        <w:rPr>
          <w:rFonts w:ascii="宋体" w:hAnsi="宋体" w:cs="宋体"/>
          <w:highlight w:val="none"/>
        </w:rPr>
      </w:pPr>
      <w:r>
        <w:rPr>
          <w:rFonts w:hint="eastAsia" w:ascii="宋体" w:hAnsi="宋体" w:cs="宋体"/>
          <w:highlight w:val="none"/>
        </w:rPr>
        <w:t>运行管理数据主要包括各阶段的运行历史数据和实时监测数据、调度预案和调度决策数据。运行历史数据反映工情、水情、雨情等“三情”数据和厂站设备的历史运行技术参数、技术状态等。实时监测数据是指从终端实时采集的各种实时运行数据，反映当前的工情、水情、雨情“三情”情况和厂站设备的运行状态等。</w:t>
      </w:r>
    </w:p>
    <w:p>
      <w:pPr>
        <w:spacing w:line="360" w:lineRule="auto"/>
        <w:ind w:firstLine="420" w:firstLineChars="200"/>
        <w:rPr>
          <w:rFonts w:ascii="宋体" w:hAnsi="宋体" w:cs="宋体"/>
          <w:b/>
          <w:bCs/>
          <w:highlight w:val="none"/>
        </w:rPr>
      </w:pPr>
      <w:r>
        <w:rPr>
          <w:rFonts w:hint="eastAsia" w:ascii="宋体" w:hAnsi="宋体" w:cs="宋体"/>
          <w:b/>
          <w:bCs/>
          <w:highlight w:val="none"/>
        </w:rPr>
        <w:t>1、运行控制历史数据</w:t>
      </w:r>
    </w:p>
    <w:p>
      <w:pPr>
        <w:pStyle w:val="81"/>
        <w:numPr>
          <w:ilvl w:val="0"/>
          <w:numId w:val="27"/>
        </w:numPr>
        <w:spacing w:line="360" w:lineRule="auto"/>
        <w:ind w:left="0" w:firstLine="420"/>
        <w:rPr>
          <w:rFonts w:ascii="宋体" w:hAnsi="宋体" w:cs="宋体"/>
          <w:highlight w:val="none"/>
        </w:rPr>
      </w:pPr>
      <w:r>
        <w:rPr>
          <w:rFonts w:hint="eastAsia" w:ascii="宋体" w:hAnsi="宋体" w:cs="宋体"/>
          <w:highlight w:val="none"/>
        </w:rPr>
        <w:t>记录排水泵站和污水处理厂运行控制的历史数据；</w:t>
      </w:r>
    </w:p>
    <w:p>
      <w:pPr>
        <w:pStyle w:val="81"/>
        <w:numPr>
          <w:ilvl w:val="0"/>
          <w:numId w:val="27"/>
        </w:numPr>
        <w:spacing w:line="360" w:lineRule="auto"/>
        <w:ind w:left="0" w:firstLine="420"/>
        <w:rPr>
          <w:rFonts w:ascii="宋体" w:hAnsi="宋体" w:cs="宋体"/>
          <w:highlight w:val="none"/>
        </w:rPr>
      </w:pPr>
      <w:r>
        <w:rPr>
          <w:rFonts w:hint="eastAsia" w:ascii="宋体" w:hAnsi="宋体" w:cs="宋体"/>
          <w:highlight w:val="none"/>
        </w:rPr>
        <w:t>设备运行历史记录数据；</w:t>
      </w:r>
    </w:p>
    <w:p>
      <w:pPr>
        <w:pStyle w:val="81"/>
        <w:numPr>
          <w:ilvl w:val="0"/>
          <w:numId w:val="27"/>
        </w:numPr>
        <w:spacing w:line="360" w:lineRule="auto"/>
        <w:ind w:left="0" w:firstLine="420"/>
        <w:rPr>
          <w:rFonts w:ascii="宋体" w:hAnsi="宋体" w:cs="宋体"/>
          <w:highlight w:val="none"/>
        </w:rPr>
      </w:pPr>
      <w:r>
        <w:rPr>
          <w:rFonts w:hint="eastAsia" w:ascii="宋体" w:hAnsi="宋体" w:cs="宋体"/>
          <w:highlight w:val="none"/>
        </w:rPr>
        <w:t>调度控制指令历史数据；</w:t>
      </w:r>
    </w:p>
    <w:p>
      <w:pPr>
        <w:pStyle w:val="81"/>
        <w:numPr>
          <w:ilvl w:val="0"/>
          <w:numId w:val="27"/>
        </w:numPr>
        <w:spacing w:line="360" w:lineRule="auto"/>
        <w:ind w:left="0" w:firstLine="420"/>
        <w:rPr>
          <w:rFonts w:ascii="宋体" w:hAnsi="宋体" w:cs="宋体"/>
          <w:highlight w:val="none"/>
        </w:rPr>
      </w:pPr>
      <w:r>
        <w:rPr>
          <w:rFonts w:hint="eastAsia" w:ascii="宋体" w:hAnsi="宋体" w:cs="宋体"/>
          <w:highlight w:val="none"/>
        </w:rPr>
        <w:t>运行经济指标历史记录数据。</w:t>
      </w:r>
    </w:p>
    <w:p>
      <w:pPr>
        <w:spacing w:line="360" w:lineRule="auto"/>
        <w:ind w:firstLine="420" w:firstLineChars="200"/>
        <w:rPr>
          <w:rFonts w:ascii="宋体" w:hAnsi="宋体" w:cs="宋体"/>
          <w:b/>
          <w:bCs/>
          <w:highlight w:val="none"/>
        </w:rPr>
      </w:pPr>
      <w:r>
        <w:rPr>
          <w:rFonts w:hint="eastAsia" w:ascii="宋体" w:hAnsi="宋体" w:cs="宋体"/>
          <w:b/>
          <w:bCs/>
          <w:highlight w:val="none"/>
        </w:rPr>
        <w:t>2、工艺参数历史数据</w:t>
      </w:r>
    </w:p>
    <w:p>
      <w:pPr>
        <w:pStyle w:val="81"/>
        <w:numPr>
          <w:ilvl w:val="0"/>
          <w:numId w:val="28"/>
        </w:numPr>
        <w:spacing w:line="360" w:lineRule="auto"/>
        <w:ind w:left="0" w:firstLine="420"/>
        <w:rPr>
          <w:rFonts w:ascii="宋体" w:hAnsi="宋体" w:cs="宋体"/>
          <w:highlight w:val="none"/>
        </w:rPr>
      </w:pPr>
      <w:r>
        <w:rPr>
          <w:rFonts w:hint="eastAsia" w:ascii="宋体" w:hAnsi="宋体" w:cs="宋体"/>
          <w:highlight w:val="none"/>
        </w:rPr>
        <w:t>记录污水厂、排水泵站的相关工艺参数历史数据；</w:t>
      </w:r>
    </w:p>
    <w:p>
      <w:pPr>
        <w:pStyle w:val="81"/>
        <w:numPr>
          <w:ilvl w:val="0"/>
          <w:numId w:val="28"/>
        </w:numPr>
        <w:spacing w:line="360" w:lineRule="auto"/>
        <w:ind w:left="0" w:firstLine="420"/>
        <w:rPr>
          <w:rFonts w:ascii="宋体" w:hAnsi="宋体" w:cs="宋体"/>
          <w:highlight w:val="none"/>
        </w:rPr>
      </w:pPr>
      <w:r>
        <w:rPr>
          <w:rFonts w:hint="eastAsia" w:ascii="宋体" w:hAnsi="宋体" w:cs="宋体"/>
          <w:highlight w:val="none"/>
        </w:rPr>
        <w:t>采集点监测数据；</w:t>
      </w:r>
    </w:p>
    <w:p>
      <w:pPr>
        <w:pStyle w:val="81"/>
        <w:numPr>
          <w:ilvl w:val="0"/>
          <w:numId w:val="28"/>
        </w:numPr>
        <w:spacing w:line="360" w:lineRule="auto"/>
        <w:ind w:left="0" w:firstLine="420"/>
        <w:rPr>
          <w:rFonts w:ascii="宋体" w:hAnsi="宋体" w:cs="宋体"/>
          <w:highlight w:val="none"/>
        </w:rPr>
      </w:pPr>
      <w:r>
        <w:rPr>
          <w:rFonts w:hint="eastAsia" w:ascii="宋体" w:hAnsi="宋体" w:cs="宋体"/>
          <w:highlight w:val="none"/>
        </w:rPr>
        <w:t>污水厂处理工艺参数变化数据；</w:t>
      </w:r>
    </w:p>
    <w:p>
      <w:pPr>
        <w:pStyle w:val="81"/>
        <w:numPr>
          <w:ilvl w:val="0"/>
          <w:numId w:val="28"/>
        </w:numPr>
        <w:spacing w:line="360" w:lineRule="auto"/>
        <w:ind w:left="0" w:firstLine="420"/>
        <w:rPr>
          <w:rFonts w:ascii="宋体" w:hAnsi="宋体" w:cs="宋体"/>
          <w:highlight w:val="none"/>
        </w:rPr>
      </w:pPr>
      <w:r>
        <w:rPr>
          <w:rFonts w:hint="eastAsia" w:ascii="宋体" w:hAnsi="宋体" w:cs="宋体"/>
          <w:highlight w:val="none"/>
        </w:rPr>
        <w:t>污水厂污泥产量历史记录数据。</w:t>
      </w:r>
    </w:p>
    <w:p>
      <w:pPr>
        <w:spacing w:line="360" w:lineRule="auto"/>
        <w:ind w:firstLine="420" w:firstLineChars="200"/>
        <w:rPr>
          <w:rFonts w:ascii="宋体" w:hAnsi="宋体" w:cs="宋体"/>
          <w:b/>
          <w:bCs/>
          <w:highlight w:val="none"/>
        </w:rPr>
      </w:pPr>
      <w:r>
        <w:rPr>
          <w:rFonts w:hint="eastAsia" w:ascii="宋体" w:hAnsi="宋体" w:cs="宋体"/>
          <w:b/>
          <w:bCs/>
          <w:highlight w:val="none"/>
        </w:rPr>
        <w:t>3、实时监测数据</w:t>
      </w:r>
    </w:p>
    <w:p>
      <w:pPr>
        <w:pStyle w:val="81"/>
        <w:numPr>
          <w:ilvl w:val="0"/>
          <w:numId w:val="29"/>
        </w:numPr>
        <w:spacing w:line="360" w:lineRule="auto"/>
        <w:ind w:left="0" w:firstLine="420"/>
        <w:rPr>
          <w:rFonts w:ascii="宋体" w:hAnsi="宋体" w:cs="宋体"/>
          <w:highlight w:val="none"/>
        </w:rPr>
      </w:pPr>
      <w:r>
        <w:rPr>
          <w:rFonts w:hint="eastAsia" w:ascii="宋体" w:hAnsi="宋体" w:cs="宋体"/>
          <w:highlight w:val="none"/>
        </w:rPr>
        <w:t>泵站运行状况的实时数据；</w:t>
      </w:r>
    </w:p>
    <w:p>
      <w:pPr>
        <w:pStyle w:val="81"/>
        <w:numPr>
          <w:ilvl w:val="0"/>
          <w:numId w:val="29"/>
        </w:numPr>
        <w:spacing w:line="360" w:lineRule="auto"/>
        <w:ind w:left="0" w:firstLine="420"/>
        <w:rPr>
          <w:rFonts w:ascii="宋体" w:hAnsi="宋体" w:cs="宋体"/>
          <w:highlight w:val="none"/>
        </w:rPr>
      </w:pPr>
      <w:r>
        <w:rPr>
          <w:rFonts w:hint="eastAsia" w:ascii="宋体" w:hAnsi="宋体" w:cs="宋体"/>
          <w:highlight w:val="none"/>
        </w:rPr>
        <w:t>污水处理厂运行状况的实时数据；</w:t>
      </w:r>
    </w:p>
    <w:p>
      <w:pPr>
        <w:pStyle w:val="81"/>
        <w:numPr>
          <w:ilvl w:val="0"/>
          <w:numId w:val="29"/>
        </w:numPr>
        <w:spacing w:line="360" w:lineRule="auto"/>
        <w:ind w:left="0" w:firstLine="420"/>
        <w:rPr>
          <w:rFonts w:ascii="宋体" w:hAnsi="宋体" w:cs="宋体"/>
          <w:highlight w:val="none"/>
        </w:rPr>
      </w:pPr>
      <w:r>
        <w:rPr>
          <w:rFonts w:hint="eastAsia" w:ascii="宋体" w:hAnsi="宋体" w:cs="宋体"/>
          <w:highlight w:val="none"/>
        </w:rPr>
        <w:t>工情、水情、雨情实时监测数据等。</w:t>
      </w:r>
    </w:p>
    <w:p>
      <w:pPr>
        <w:pStyle w:val="81"/>
        <w:numPr>
          <w:ilvl w:val="0"/>
          <w:numId w:val="29"/>
        </w:numPr>
        <w:spacing w:line="360" w:lineRule="auto"/>
        <w:ind w:left="0" w:firstLine="420"/>
        <w:rPr>
          <w:rFonts w:ascii="宋体" w:hAnsi="宋体" w:cs="宋体"/>
          <w:highlight w:val="none"/>
        </w:rPr>
      </w:pPr>
      <w:r>
        <w:rPr>
          <w:rFonts w:hint="eastAsia" w:ascii="宋体" w:hAnsi="宋体" w:cs="宋体"/>
          <w:highlight w:val="none"/>
        </w:rPr>
        <w:t>井盖、水质、流量、闸门等监测数据。</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4.4</w:t>
      </w:r>
      <w:r>
        <w:rPr>
          <w:rFonts w:ascii="微软雅黑" w:hAnsi="微软雅黑" w:eastAsia="微软雅黑" w:cs="微软雅黑"/>
          <w:b/>
          <w:bCs/>
          <w:highlight w:val="none"/>
        </w:rPr>
        <w:t xml:space="preserve">地理专题库 </w:t>
      </w:r>
    </w:p>
    <w:p>
      <w:pPr>
        <w:spacing w:line="360" w:lineRule="auto"/>
        <w:ind w:firstLine="420" w:firstLineChars="200"/>
        <w:rPr>
          <w:rFonts w:ascii="宋体" w:hAnsi="宋体" w:cs="宋体"/>
          <w:highlight w:val="none"/>
        </w:rPr>
      </w:pPr>
      <w:r>
        <w:rPr>
          <w:rFonts w:hint="eastAsia" w:ascii="宋体" w:hAnsi="宋体" w:cs="宋体"/>
          <w:highlight w:val="none"/>
        </w:rPr>
        <w:t>包括的基础地形数据如下，实际数据情况按照规划部门提供。</w:t>
      </w:r>
    </w:p>
    <w:p>
      <w:pPr>
        <w:spacing w:line="360" w:lineRule="auto"/>
        <w:ind w:firstLine="420" w:firstLineChars="200"/>
        <w:rPr>
          <w:rFonts w:ascii="宋体" w:hAnsi="宋体" w:cs="宋体"/>
          <w:highlight w:val="none"/>
        </w:rPr>
      </w:pPr>
      <w:r>
        <w:rPr>
          <w:rFonts w:hint="eastAsia" w:ascii="宋体" w:hAnsi="宋体" w:cs="宋体"/>
          <w:highlight w:val="none"/>
        </w:rPr>
        <w:t>1、行政区界层――含行政区划名称信息</w:t>
      </w:r>
    </w:p>
    <w:p>
      <w:pPr>
        <w:spacing w:line="360" w:lineRule="auto"/>
        <w:ind w:firstLine="420" w:firstLineChars="200"/>
        <w:rPr>
          <w:rFonts w:ascii="宋体" w:hAnsi="宋体" w:cs="宋体"/>
          <w:highlight w:val="none"/>
        </w:rPr>
      </w:pPr>
      <w:r>
        <w:rPr>
          <w:rFonts w:hint="eastAsia" w:ascii="宋体" w:hAnsi="宋体" w:cs="宋体"/>
          <w:highlight w:val="none"/>
        </w:rPr>
        <w:t>2、水系信息层――含水系名称信息</w:t>
      </w:r>
    </w:p>
    <w:p>
      <w:pPr>
        <w:spacing w:line="360" w:lineRule="auto"/>
        <w:ind w:firstLine="420" w:firstLineChars="200"/>
        <w:rPr>
          <w:rFonts w:ascii="宋体" w:hAnsi="宋体" w:cs="宋体"/>
          <w:highlight w:val="none"/>
        </w:rPr>
      </w:pPr>
      <w:r>
        <w:rPr>
          <w:rFonts w:hint="eastAsia" w:ascii="宋体" w:hAnsi="宋体" w:cs="宋体"/>
          <w:highlight w:val="none"/>
        </w:rPr>
        <w:t>3、道路边线层――封闭道路</w:t>
      </w:r>
    </w:p>
    <w:p>
      <w:pPr>
        <w:spacing w:line="360" w:lineRule="auto"/>
        <w:ind w:firstLine="420" w:firstLineChars="200"/>
        <w:rPr>
          <w:rFonts w:ascii="宋体" w:hAnsi="宋体" w:cs="宋体"/>
          <w:highlight w:val="none"/>
        </w:rPr>
      </w:pPr>
      <w:r>
        <w:rPr>
          <w:rFonts w:hint="eastAsia" w:ascii="宋体" w:hAnsi="宋体" w:cs="宋体"/>
          <w:highlight w:val="none"/>
        </w:rPr>
        <w:t>4、道路中心线――含道路代码、道路名称等属性信息</w:t>
      </w:r>
    </w:p>
    <w:p>
      <w:pPr>
        <w:spacing w:line="360" w:lineRule="auto"/>
        <w:ind w:firstLine="420" w:firstLineChars="200"/>
        <w:rPr>
          <w:rFonts w:ascii="宋体" w:hAnsi="宋体" w:cs="宋体"/>
          <w:highlight w:val="none"/>
        </w:rPr>
      </w:pPr>
      <w:r>
        <w:rPr>
          <w:rFonts w:hint="eastAsia" w:ascii="宋体" w:hAnsi="宋体" w:cs="宋体"/>
          <w:highlight w:val="none"/>
        </w:rPr>
        <w:t>5、建筑轮廓层――封闭建筑物轮廓</w:t>
      </w:r>
    </w:p>
    <w:p>
      <w:pPr>
        <w:spacing w:line="360" w:lineRule="auto"/>
        <w:ind w:firstLine="420" w:firstLineChars="200"/>
        <w:rPr>
          <w:rFonts w:ascii="宋体" w:hAnsi="宋体" w:cs="宋体"/>
          <w:highlight w:val="none"/>
        </w:rPr>
      </w:pPr>
      <w:r>
        <w:rPr>
          <w:rFonts w:hint="eastAsia" w:ascii="宋体" w:hAnsi="宋体" w:cs="宋体"/>
          <w:highlight w:val="none"/>
        </w:rPr>
        <w:t>6、高程点图层――含高程点数据</w:t>
      </w:r>
    </w:p>
    <w:p>
      <w:pPr>
        <w:spacing w:line="360" w:lineRule="auto"/>
        <w:ind w:firstLine="420" w:firstLineChars="200"/>
        <w:rPr>
          <w:rFonts w:ascii="宋体" w:hAnsi="宋体" w:cs="宋体"/>
          <w:highlight w:val="none"/>
        </w:rPr>
      </w:pPr>
      <w:r>
        <w:rPr>
          <w:rFonts w:hint="eastAsia" w:ascii="宋体" w:hAnsi="宋体" w:cs="宋体"/>
          <w:highlight w:val="none"/>
        </w:rPr>
        <w:t>7、地名数据层――主要地名，辅助定位</w:t>
      </w:r>
    </w:p>
    <w:p>
      <w:pPr>
        <w:spacing w:line="360" w:lineRule="auto"/>
        <w:ind w:firstLine="420" w:firstLineChars="200"/>
        <w:rPr>
          <w:rFonts w:ascii="宋体" w:hAnsi="宋体" w:cs="宋体"/>
          <w:highlight w:val="none"/>
        </w:rPr>
      </w:pPr>
      <w:r>
        <w:rPr>
          <w:rFonts w:hint="eastAsia" w:ascii="宋体" w:hAnsi="宋体" w:cs="宋体"/>
          <w:highlight w:val="none"/>
        </w:rPr>
        <w:t>8、注记层――文字注记，辅助定位</w:t>
      </w:r>
    </w:p>
    <w:p>
      <w:pPr>
        <w:spacing w:line="360" w:lineRule="auto"/>
        <w:ind w:firstLine="420" w:firstLineChars="200"/>
        <w:rPr>
          <w:rFonts w:ascii="宋体" w:hAnsi="宋体" w:cs="宋体"/>
          <w:highlight w:val="none"/>
        </w:rPr>
      </w:pPr>
      <w:r>
        <w:rPr>
          <w:rFonts w:hint="eastAsia" w:ascii="宋体" w:hAnsi="宋体" w:cs="宋体"/>
          <w:highlight w:val="none"/>
        </w:rPr>
        <w:t>9、城市绿地层――含主要的公园、绿地等信息</w:t>
      </w:r>
    </w:p>
    <w:p>
      <w:pPr>
        <w:spacing w:line="360" w:lineRule="auto"/>
        <w:ind w:firstLine="420" w:firstLineChars="200"/>
        <w:rPr>
          <w:rFonts w:ascii="宋体" w:hAnsi="宋体" w:cs="宋体"/>
          <w:highlight w:val="none"/>
        </w:rPr>
      </w:pPr>
      <w:r>
        <w:rPr>
          <w:rFonts w:hint="eastAsia" w:ascii="宋体" w:hAnsi="宋体" w:cs="宋体"/>
          <w:highlight w:val="none"/>
        </w:rPr>
        <w:t>10、特征地物层——标志性建筑、典型地物等，辅助定位</w:t>
      </w:r>
    </w:p>
    <w:p>
      <w:pPr>
        <w:spacing w:line="360" w:lineRule="auto"/>
        <w:ind w:firstLine="420" w:firstLineChars="200"/>
        <w:rPr>
          <w:rFonts w:ascii="宋体" w:hAnsi="宋体" w:cs="宋体"/>
          <w:highlight w:val="none"/>
        </w:rPr>
      </w:pPr>
      <w:r>
        <w:rPr>
          <w:rFonts w:hint="eastAsia" w:ascii="宋体" w:hAnsi="宋体" w:cs="宋体"/>
          <w:highlight w:val="none"/>
        </w:rPr>
        <w:t>11、其他地物层——综合生成标准地形图</w:t>
      </w:r>
    </w:p>
    <w:p>
      <w:pPr>
        <w:spacing w:line="360" w:lineRule="auto"/>
        <w:ind w:firstLine="420" w:firstLineChars="200"/>
        <w:rPr>
          <w:rFonts w:ascii="宋体" w:hAnsi="宋体" w:cs="宋体"/>
          <w:highlight w:val="none"/>
        </w:rPr>
      </w:pPr>
      <w:r>
        <w:rPr>
          <w:rFonts w:hint="eastAsia" w:ascii="宋体" w:hAnsi="宋体" w:cs="宋体"/>
          <w:highlight w:val="none"/>
        </w:rPr>
        <w:t>12、1:500、1:1000、1:2000比例图幅格网层――即图符索引图层</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5</w:t>
      </w:r>
      <w:bookmarkStart w:id="51" w:name="_Toc21767"/>
      <w:bookmarkStart w:id="52" w:name="_Toc19311"/>
      <w:r>
        <w:rPr>
          <w:rFonts w:hint="eastAsia" w:ascii="微软雅黑" w:hAnsi="微软雅黑" w:eastAsia="微软雅黑" w:cs="微软雅黑"/>
          <w:b/>
          <w:bCs/>
          <w:highlight w:val="none"/>
        </w:rPr>
        <w:t>外部接入数据库</w:t>
      </w:r>
      <w:bookmarkEnd w:id="51"/>
      <w:bookmarkEnd w:id="52"/>
    </w:p>
    <w:p>
      <w:pPr>
        <w:pStyle w:val="278"/>
        <w:spacing w:line="360" w:lineRule="auto"/>
        <w:ind w:firstLine="420" w:firstLineChars="200"/>
        <w:rPr>
          <w:b/>
          <w:bCs/>
          <w:highlight w:val="none"/>
        </w:rPr>
      </w:pPr>
      <w:r>
        <w:rPr>
          <w:rFonts w:hint="eastAsia"/>
          <w:b/>
          <w:bCs/>
          <w:highlight w:val="none"/>
        </w:rPr>
        <w:t>1）</w:t>
      </w:r>
      <w:r>
        <w:rPr>
          <w:b/>
          <w:bCs/>
          <w:highlight w:val="none"/>
        </w:rPr>
        <w:t>数据接入</w:t>
      </w:r>
    </w:p>
    <w:p>
      <w:pPr>
        <w:spacing w:line="360" w:lineRule="auto"/>
        <w:ind w:firstLine="420" w:firstLineChars="200"/>
        <w:rPr>
          <w:highlight w:val="none"/>
        </w:rPr>
      </w:pPr>
      <w:r>
        <w:rPr>
          <w:highlight w:val="none"/>
        </w:rPr>
        <w:t>基于物联设备接入系统的全连接能力，向下接入各种硬件、传感器等监测运行数据</w:t>
      </w:r>
    </w:p>
    <w:p>
      <w:pPr>
        <w:pStyle w:val="278"/>
        <w:spacing w:line="360" w:lineRule="auto"/>
        <w:ind w:firstLine="420" w:firstLineChars="200"/>
        <w:rPr>
          <w:b/>
          <w:bCs/>
          <w:highlight w:val="none"/>
        </w:rPr>
      </w:pPr>
      <w:r>
        <w:rPr>
          <w:rFonts w:hint="eastAsia"/>
          <w:b/>
          <w:bCs/>
          <w:highlight w:val="none"/>
        </w:rPr>
        <w:t>2）</w:t>
      </w:r>
      <w:r>
        <w:rPr>
          <w:b/>
          <w:bCs/>
          <w:highlight w:val="none"/>
        </w:rPr>
        <w:t>数据分析</w:t>
      </w:r>
    </w:p>
    <w:p>
      <w:pPr>
        <w:spacing w:line="360" w:lineRule="auto"/>
        <w:ind w:firstLine="420" w:firstLineChars="200"/>
        <w:rPr>
          <w:highlight w:val="none"/>
        </w:rPr>
      </w:pPr>
      <w:r>
        <w:rPr>
          <w:highlight w:val="none"/>
        </w:rPr>
        <w:t>对接入数据进行清洗、挖掘、分析</w:t>
      </w:r>
    </w:p>
    <w:p>
      <w:pPr>
        <w:pStyle w:val="278"/>
        <w:spacing w:line="360" w:lineRule="auto"/>
        <w:ind w:firstLine="420" w:firstLineChars="200"/>
        <w:rPr>
          <w:b/>
          <w:bCs/>
          <w:highlight w:val="none"/>
        </w:rPr>
      </w:pPr>
      <w:r>
        <w:rPr>
          <w:rFonts w:hint="eastAsia"/>
          <w:b/>
          <w:bCs/>
          <w:highlight w:val="none"/>
        </w:rPr>
        <w:t>3）</w:t>
      </w:r>
      <w:r>
        <w:rPr>
          <w:b/>
          <w:bCs/>
          <w:highlight w:val="none"/>
        </w:rPr>
        <w:t>设备管理</w:t>
      </w:r>
    </w:p>
    <w:p>
      <w:pPr>
        <w:spacing w:line="360" w:lineRule="auto"/>
        <w:ind w:firstLine="420" w:firstLineChars="200"/>
        <w:rPr>
          <w:highlight w:val="none"/>
        </w:rPr>
      </w:pPr>
      <w:r>
        <w:rPr>
          <w:highlight w:val="none"/>
        </w:rPr>
        <w:t>对所有网关、设备的基本信息、告警信息、通讯状态等进行综合管理</w:t>
      </w:r>
    </w:p>
    <w:p>
      <w:pPr>
        <w:pStyle w:val="278"/>
        <w:spacing w:line="360" w:lineRule="auto"/>
        <w:ind w:firstLine="420" w:firstLineChars="200"/>
        <w:rPr>
          <w:b/>
          <w:bCs/>
          <w:highlight w:val="none"/>
        </w:rPr>
      </w:pPr>
      <w:r>
        <w:rPr>
          <w:rFonts w:hint="eastAsia"/>
          <w:b/>
          <w:bCs/>
          <w:highlight w:val="none"/>
        </w:rPr>
        <w:t>4）</w:t>
      </w:r>
      <w:r>
        <w:rPr>
          <w:b/>
          <w:bCs/>
          <w:highlight w:val="none"/>
        </w:rPr>
        <w:t>联动规则</w:t>
      </w:r>
    </w:p>
    <w:p>
      <w:pPr>
        <w:spacing w:line="360" w:lineRule="auto"/>
        <w:ind w:firstLine="420" w:firstLineChars="200"/>
        <w:rPr>
          <w:highlight w:val="none"/>
        </w:rPr>
      </w:pPr>
      <w:r>
        <w:rPr>
          <w:highlight w:val="none"/>
        </w:rPr>
        <w:t>提供丰富的能力节点，支持图形化的逻辑编程，可快速完成设备、事件、云端的联动</w:t>
      </w:r>
    </w:p>
    <w:p>
      <w:pPr>
        <w:pStyle w:val="278"/>
        <w:spacing w:line="360" w:lineRule="auto"/>
        <w:ind w:firstLine="420" w:firstLineChars="200"/>
        <w:rPr>
          <w:b/>
          <w:bCs/>
          <w:highlight w:val="none"/>
        </w:rPr>
      </w:pPr>
      <w:r>
        <w:rPr>
          <w:rFonts w:hint="eastAsia"/>
          <w:b/>
          <w:bCs/>
          <w:highlight w:val="none"/>
        </w:rPr>
        <w:t>5）</w:t>
      </w:r>
      <w:r>
        <w:rPr>
          <w:b/>
          <w:bCs/>
          <w:highlight w:val="none"/>
        </w:rPr>
        <w:t>时间告警</w:t>
      </w:r>
    </w:p>
    <w:p>
      <w:pPr>
        <w:spacing w:line="360" w:lineRule="auto"/>
        <w:ind w:firstLine="420" w:firstLineChars="200"/>
        <w:rPr>
          <w:highlight w:val="none"/>
        </w:rPr>
      </w:pPr>
      <w:r>
        <w:rPr>
          <w:highlight w:val="none"/>
        </w:rPr>
        <w:t>查看当前项目的实时告警情况；根据时间条件查询历史告警记录；设置添加告警类型，包括告警名称、类型、等级、通知方式等</w:t>
      </w:r>
    </w:p>
    <w:p>
      <w:pPr>
        <w:pStyle w:val="278"/>
        <w:spacing w:line="360" w:lineRule="auto"/>
        <w:ind w:firstLine="420" w:firstLineChars="200"/>
        <w:rPr>
          <w:b/>
          <w:bCs/>
          <w:highlight w:val="none"/>
        </w:rPr>
      </w:pPr>
      <w:r>
        <w:rPr>
          <w:rFonts w:hint="eastAsia"/>
          <w:b/>
          <w:bCs/>
          <w:highlight w:val="none"/>
        </w:rPr>
        <w:t>6）</w:t>
      </w:r>
      <w:r>
        <w:rPr>
          <w:b/>
          <w:bCs/>
          <w:highlight w:val="none"/>
        </w:rPr>
        <w:t>数据处理</w:t>
      </w:r>
    </w:p>
    <w:p>
      <w:pPr>
        <w:spacing w:line="360" w:lineRule="auto"/>
        <w:ind w:firstLine="420" w:firstLineChars="200"/>
        <w:rPr>
          <w:highlight w:val="none"/>
        </w:rPr>
      </w:pPr>
      <w:r>
        <w:rPr>
          <w:highlight w:val="none"/>
        </w:rPr>
        <w:t>查看设备测点的实时数据；查看设备测点的历史数据；查看设备开关量的变位记录</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6.</w:t>
      </w:r>
      <w:bookmarkStart w:id="53" w:name="_Toc2904"/>
      <w:bookmarkStart w:id="54" w:name="_Toc7731"/>
      <w:r>
        <w:rPr>
          <w:rFonts w:hint="eastAsia" w:ascii="微软雅黑" w:hAnsi="微软雅黑" w:eastAsia="微软雅黑" w:cs="微软雅黑"/>
          <w:b/>
          <w:bCs/>
          <w:highlight w:val="none"/>
        </w:rPr>
        <w:t>数据清洗</w:t>
      </w:r>
      <w:bookmarkEnd w:id="53"/>
      <w:bookmarkEnd w:id="54"/>
    </w:p>
    <w:p>
      <w:pPr>
        <w:spacing w:line="360" w:lineRule="auto"/>
        <w:ind w:firstLine="420" w:firstLineChars="200"/>
        <w:rPr>
          <w:highlight w:val="none"/>
        </w:rPr>
      </w:pPr>
      <w:r>
        <w:rPr>
          <w:highlight w:val="none"/>
        </w:rPr>
        <w:t>数据清洗过程包含过滤与清洗，第一是数据过滤，将</w:t>
      </w:r>
      <w:bookmarkStart w:id="55" w:name="_Hlk38224067"/>
      <w:r>
        <w:rPr>
          <w:highlight w:val="none"/>
        </w:rPr>
        <w:t>各</w:t>
      </w:r>
      <w:bookmarkEnd w:id="55"/>
      <w:r>
        <w:rPr>
          <w:highlight w:val="none"/>
        </w:rPr>
        <w:t>系统源数据按照一定的过滤规则进行区分，符合规则和不符合规则的数据分别存放到不同的数据表中；第二就是数据清洗，即按照清洗规则将数据源中的数据直接进行转换，并代替原来的数据。</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7.</w:t>
      </w:r>
      <w:bookmarkStart w:id="56" w:name="_Toc24505"/>
      <w:bookmarkStart w:id="57" w:name="_Toc625"/>
      <w:r>
        <w:rPr>
          <w:rFonts w:hint="eastAsia" w:ascii="微软雅黑" w:hAnsi="微软雅黑" w:eastAsia="微软雅黑" w:cs="微软雅黑"/>
          <w:b/>
          <w:bCs/>
          <w:highlight w:val="none"/>
        </w:rPr>
        <w:t>数据共享</w:t>
      </w:r>
      <w:bookmarkEnd w:id="56"/>
      <w:bookmarkEnd w:id="57"/>
    </w:p>
    <w:p>
      <w:pPr>
        <w:spacing w:line="360" w:lineRule="auto"/>
        <w:ind w:firstLine="420" w:firstLineChars="200"/>
        <w:rPr>
          <w:highlight w:val="none"/>
        </w:rPr>
      </w:pPr>
      <w:r>
        <w:rPr>
          <w:highlight w:val="none"/>
        </w:rPr>
        <w:t>将数据以接口开放形式供相关业务协调部门调取使用。</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8.</w:t>
      </w:r>
      <w:bookmarkStart w:id="58" w:name="_Toc10583"/>
      <w:bookmarkStart w:id="59" w:name="_Toc25012"/>
      <w:r>
        <w:rPr>
          <w:rFonts w:ascii="微软雅黑" w:hAnsi="微软雅黑" w:eastAsia="微软雅黑" w:cs="微软雅黑"/>
          <w:b/>
          <w:bCs/>
          <w:highlight w:val="none"/>
        </w:rPr>
        <w:t>数据挖掘</w:t>
      </w:r>
      <w:bookmarkEnd w:id="58"/>
      <w:bookmarkEnd w:id="59"/>
    </w:p>
    <w:p>
      <w:pPr>
        <w:spacing w:line="360" w:lineRule="auto"/>
        <w:ind w:firstLine="420" w:firstLineChars="200"/>
        <w:rPr>
          <w:highlight w:val="none"/>
        </w:rPr>
      </w:pPr>
      <w:r>
        <w:rPr>
          <w:highlight w:val="none"/>
        </w:rPr>
        <w:t>包括数据的ETL，ODS，数据仓库，商务智能应用和元数据管理等。</w:t>
      </w:r>
    </w:p>
    <w:p>
      <w:pPr>
        <w:spacing w:line="360" w:lineRule="auto"/>
        <w:ind w:left="420" w:leftChars="200"/>
        <w:jc w:val="left"/>
        <w:rPr>
          <w:rFonts w:ascii="微软雅黑" w:hAnsi="微软雅黑" w:eastAsia="微软雅黑" w:cs="微软雅黑"/>
          <w:b/>
          <w:bCs/>
          <w:highlight w:val="none"/>
        </w:rPr>
      </w:pPr>
      <w:bookmarkStart w:id="60" w:name="_Toc28428"/>
      <w:bookmarkStart w:id="61" w:name="_Toc15869"/>
      <w:r>
        <w:rPr>
          <w:rFonts w:hint="eastAsia" w:ascii="微软雅黑" w:hAnsi="微软雅黑" w:eastAsia="微软雅黑" w:cs="微软雅黑"/>
          <w:b/>
          <w:bCs/>
          <w:highlight w:val="none"/>
        </w:rPr>
        <w:t>四）</w:t>
      </w:r>
      <w:r>
        <w:rPr>
          <w:rFonts w:ascii="微软雅黑" w:hAnsi="微软雅黑" w:eastAsia="微软雅黑" w:cs="微软雅黑"/>
          <w:b/>
          <w:bCs/>
          <w:highlight w:val="none"/>
        </w:rPr>
        <w:t>基础设施层设计</w:t>
      </w:r>
      <w:bookmarkEnd w:id="60"/>
      <w:bookmarkEnd w:id="61"/>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w:t>
      </w:r>
      <w:bookmarkStart w:id="62" w:name="_Toc437528716"/>
      <w:bookmarkStart w:id="63" w:name="_Toc92665437"/>
      <w:bookmarkStart w:id="64" w:name="_Toc6235"/>
      <w:bookmarkStart w:id="65" w:name="_Toc6708"/>
      <w:r>
        <w:rPr>
          <w:rFonts w:ascii="微软雅黑" w:hAnsi="微软雅黑" w:eastAsia="微软雅黑" w:cs="微软雅黑"/>
          <w:b/>
          <w:bCs/>
          <w:highlight w:val="none"/>
        </w:rPr>
        <w:t>智慧排水监测网络建设</w:t>
      </w:r>
      <w:r>
        <w:rPr>
          <w:rFonts w:hint="eastAsia" w:ascii="微软雅黑" w:hAnsi="微软雅黑" w:eastAsia="微软雅黑" w:cs="微软雅黑"/>
          <w:b/>
          <w:bCs/>
          <w:highlight w:val="none"/>
        </w:rPr>
        <w:t>（</w:t>
      </w:r>
      <w:r>
        <w:rPr>
          <w:rFonts w:ascii="微软雅黑" w:hAnsi="微软雅黑" w:eastAsia="微软雅黑" w:cs="微软雅黑"/>
          <w:b/>
          <w:bCs/>
          <w:highlight w:val="none"/>
        </w:rPr>
        <w:t>监测</w:t>
      </w:r>
      <w:bookmarkEnd w:id="62"/>
      <w:r>
        <w:rPr>
          <w:rFonts w:ascii="微软雅黑" w:hAnsi="微软雅黑" w:eastAsia="微软雅黑" w:cs="微软雅黑"/>
          <w:b/>
          <w:bCs/>
          <w:highlight w:val="none"/>
        </w:rPr>
        <w:t>一网络</w:t>
      </w:r>
      <w:bookmarkEnd w:id="63"/>
      <w:bookmarkEnd w:id="64"/>
      <w:bookmarkEnd w:id="65"/>
      <w:r>
        <w:rPr>
          <w:rFonts w:hint="eastAsia" w:ascii="微软雅黑" w:hAnsi="微软雅黑" w:eastAsia="微软雅黑" w:cs="微软雅黑"/>
          <w:b/>
          <w:bCs/>
          <w:highlight w:val="none"/>
        </w:rPr>
        <w:t>）</w:t>
      </w:r>
    </w:p>
    <w:p>
      <w:pPr>
        <w:spacing w:line="360" w:lineRule="auto"/>
        <w:ind w:firstLine="420" w:firstLineChars="200"/>
        <w:rPr>
          <w:rFonts w:ascii="宋体" w:hAnsi="宋体" w:cs="宋体"/>
          <w:highlight w:val="none"/>
        </w:rPr>
      </w:pPr>
      <w:r>
        <w:rPr>
          <w:rFonts w:hint="eastAsia" w:ascii="宋体" w:hAnsi="宋体" w:cs="宋体"/>
          <w:highlight w:val="none"/>
        </w:rPr>
        <w:t>为使监测网络能够全面支撑办公自动化、水政水资源精细化管理和防汛应急管理等工作，满足管理工作不断深化与发展的需要，监测布设方案应该具备技术先进性、功能综合性和适度前瞻性。江北区目前建立了以雨污分流制为主、截污式合流制为辅的混合制排水体系。区管污水管道总长229.3公里，包括污水管道、提升泵站、预留（接户）井、截污井等设施。污水运输方式大部分为重力自流，少数为压力流。江北区排水干管主要有三个去向：一个是位于镇海区的宁波北区污水处理厂，一个是位于鄞州区的江东北区污水处理厂，还有一个是规划建造的江北区下沉式再生水厂。其中，只有外滩片区的部分污水输送到江东北区污水处理厂，其余大部分污水均由宁波北区污水处理厂和江东北区污水处理厂处理。根据“两区四路”的污水收集处理系统现状结合污水处理厂建设规划，设立了“三区七路十九片区”的污水收集格局，如下图所示。“三区”指的是江东北区污水收集分区、宁波北区污水收集分区以及江北区再生水厂收集分区，“七路”指的是新马路、环城北路、风华路、铸锋路、北外环路、绕城高速路以及北环西路永茂西路的污水主管系统。</w:t>
      </w:r>
    </w:p>
    <w:p>
      <w:pPr>
        <w:pStyle w:val="3"/>
        <w:spacing w:after="0" w:line="360" w:lineRule="auto"/>
        <w:ind w:left="0" w:leftChars="0" w:firstLine="420" w:firstLineChars="200"/>
        <w:rPr>
          <w:highlight w:val="none"/>
        </w:rPr>
      </w:pPr>
    </w:p>
    <w:p>
      <w:pPr>
        <w:spacing w:line="360" w:lineRule="auto"/>
        <w:ind w:firstLine="420" w:firstLineChars="200"/>
        <w:jc w:val="center"/>
        <w:rPr>
          <w:rFonts w:eastAsia="仿宋"/>
          <w:highlight w:val="none"/>
        </w:rPr>
      </w:pPr>
      <w:r>
        <w:rPr>
          <w:rFonts w:eastAsia="仿宋"/>
          <w:highlight w:val="none"/>
        </w:rPr>
        <w:drawing>
          <wp:inline distT="0" distB="0" distL="0" distR="0">
            <wp:extent cx="5219700" cy="3693160"/>
            <wp:effectExtent l="0" t="0" r="0" b="2540"/>
            <wp:docPr id="14" name="图片 1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地图&#10;&#10;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20000" cy="3693497"/>
                    </a:xfrm>
                    <a:prstGeom prst="rect">
                      <a:avLst/>
                    </a:prstGeom>
                    <a:noFill/>
                  </pic:spPr>
                </pic:pic>
              </a:graphicData>
            </a:graphic>
          </wp:inline>
        </w:drawing>
      </w:r>
    </w:p>
    <w:p>
      <w:pPr>
        <w:spacing w:line="360" w:lineRule="auto"/>
        <w:ind w:firstLine="420" w:firstLineChars="200"/>
        <w:jc w:val="center"/>
        <w:rPr>
          <w:rFonts w:eastAsia="黑体"/>
          <w:b/>
          <w:bCs/>
          <w:highlight w:val="none"/>
        </w:rPr>
      </w:pPr>
      <w:r>
        <w:rPr>
          <w:rFonts w:eastAsia="黑体"/>
          <w:b/>
          <w:bCs/>
          <w:highlight w:val="none"/>
        </w:rPr>
        <w:t>江北区排水管网三区七路示意图</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1.1</w:t>
      </w:r>
      <w:r>
        <w:rPr>
          <w:rFonts w:ascii="微软雅黑" w:hAnsi="微软雅黑" w:eastAsia="微软雅黑" w:cs="微软雅黑"/>
          <w:b/>
          <w:bCs/>
          <w:highlight w:val="none"/>
        </w:rPr>
        <w:t>监测点位建设与数据采集</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运用物联网、地理信息系统、云服务、5G等新一代信息技术，建设与完善覆盖全区排水系统的监测网络。根据数据采集系统中采集内容的不同，采集系统可分为以下几个数据采集子系统：降雨监测子系统、水质监测子系统、水量监测子系统、视频监控子系统。</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各监测分项传输回来的数据，所提供数据项必须包含且不少于下表的数据项目及要求，最终满足“智慧排水”项目物联数据接入标准。</w:t>
      </w:r>
    </w:p>
    <w:p>
      <w:pPr>
        <w:spacing w:line="360" w:lineRule="auto"/>
        <w:ind w:firstLine="420" w:firstLineChars="200"/>
        <w:jc w:val="center"/>
        <w:rPr>
          <w:rFonts w:ascii="宋体" w:hAnsi="宋体" w:cs="宋体"/>
          <w:b/>
          <w:bCs/>
          <w:szCs w:val="21"/>
          <w:highlight w:val="none"/>
        </w:rPr>
      </w:pPr>
      <w:r>
        <w:rPr>
          <w:rFonts w:hint="eastAsia" w:ascii="宋体" w:hAnsi="宋体" w:cs="宋体"/>
          <w:b/>
          <w:bCs/>
          <w:szCs w:val="21"/>
          <w:highlight w:val="none"/>
        </w:rPr>
        <w:t>数据服务的监测数据指标</w:t>
      </w:r>
    </w:p>
    <w:tbl>
      <w:tblPr>
        <w:tblStyle w:val="50"/>
        <w:tblW w:w="8950"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7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276" w:type="dxa"/>
            <w:vAlign w:val="center"/>
          </w:tcPr>
          <w:p>
            <w:pPr>
              <w:pStyle w:val="239"/>
              <w:snapToGrid w:val="0"/>
              <w:spacing w:line="360" w:lineRule="auto"/>
              <w:rPr>
                <w:rFonts w:ascii="宋体" w:hAnsi="宋体" w:eastAsia="宋体" w:cs="宋体"/>
                <w:b/>
                <w:bCs/>
                <w:sz w:val="21"/>
                <w:szCs w:val="21"/>
                <w:highlight w:val="none"/>
              </w:rPr>
            </w:pPr>
            <w:r>
              <w:rPr>
                <w:rFonts w:hint="eastAsia" w:ascii="宋体" w:hAnsi="宋体" w:eastAsia="宋体" w:cs="宋体"/>
                <w:b/>
                <w:bCs/>
                <w:sz w:val="21"/>
                <w:szCs w:val="21"/>
                <w:highlight w:val="none"/>
              </w:rPr>
              <w:t>监测分项</w:t>
            </w:r>
          </w:p>
        </w:tc>
        <w:tc>
          <w:tcPr>
            <w:tcW w:w="7674" w:type="dxa"/>
            <w:vAlign w:val="center"/>
          </w:tcPr>
          <w:p>
            <w:pPr>
              <w:pStyle w:val="239"/>
              <w:snapToGrid w:val="0"/>
              <w:spacing w:line="360" w:lineRule="auto"/>
              <w:rPr>
                <w:rFonts w:ascii="宋体" w:hAnsi="宋体" w:eastAsia="宋体" w:cs="宋体"/>
                <w:b/>
                <w:bCs/>
                <w:sz w:val="21"/>
                <w:szCs w:val="21"/>
                <w:highlight w:val="none"/>
              </w:rPr>
            </w:pPr>
            <w:r>
              <w:rPr>
                <w:rFonts w:hint="eastAsia" w:ascii="宋体" w:hAnsi="宋体" w:eastAsia="宋体" w:cs="宋体"/>
                <w:b/>
                <w:bCs/>
                <w:sz w:val="21"/>
                <w:szCs w:val="21"/>
                <w:highlight w:val="none"/>
              </w:rPr>
              <w:t>数据项目及要求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76" w:type="dxa"/>
            <w:tcBorders>
              <w:top w:val="single" w:color="auto" w:sz="4" w:space="0"/>
              <w:left w:val="single" w:color="auto" w:sz="4" w:space="0"/>
              <w:bottom w:val="single" w:color="auto" w:sz="4" w:space="0"/>
              <w:right w:val="single" w:color="auto" w:sz="4" w:space="0"/>
            </w:tcBorders>
            <w:vAlign w:val="center"/>
          </w:tcPr>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窨井水位</w:t>
            </w:r>
          </w:p>
        </w:tc>
        <w:tc>
          <w:tcPr>
            <w:tcW w:w="7674" w:type="dxa"/>
            <w:tcBorders>
              <w:top w:val="single" w:color="auto" w:sz="4" w:space="0"/>
              <w:left w:val="single" w:color="auto" w:sz="4" w:space="0"/>
              <w:bottom w:val="single" w:color="auto" w:sz="4" w:space="0"/>
              <w:right w:val="single" w:color="auto" w:sz="4" w:space="0"/>
            </w:tcBorders>
            <w:vAlign w:val="center"/>
          </w:tcPr>
          <w:p>
            <w:pPr>
              <w:pStyle w:val="239"/>
              <w:numPr>
                <w:ilvl w:val="0"/>
                <w:numId w:val="30"/>
              </w:numPr>
              <w:snapToGrid w:val="0"/>
              <w:spacing w:line="360" w:lineRule="auto"/>
              <w:ind w:left="0" w:firstLine="0"/>
              <w:rPr>
                <w:rFonts w:ascii="宋体" w:hAnsi="宋体" w:eastAsia="宋体" w:cs="宋体"/>
                <w:sz w:val="21"/>
                <w:szCs w:val="21"/>
                <w:highlight w:val="none"/>
              </w:rPr>
            </w:pPr>
            <w:r>
              <w:rPr>
                <w:rFonts w:hint="eastAsia" w:ascii="宋体" w:hAnsi="宋体" w:eastAsia="宋体" w:cs="宋体"/>
                <w:sz w:val="21"/>
                <w:szCs w:val="21"/>
                <w:highlight w:val="none"/>
              </w:rPr>
              <w:t>实时监测数据：</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水深数据（单位：cm，能监测井下水位及路面积水深度，量程须满足服务站点实际需求，同时须保障路面积水深度在不高于0.3m的情况下按规定的频率实时传输，精度≤±1cm，分辨力1cm），水位报警数据，设备工作状态、故障状态，采样时间，通信时间，采样频率，通信频率，远程设置，设备电池电量（百分比）、电压（V）；</w:t>
            </w:r>
          </w:p>
          <w:p>
            <w:pPr>
              <w:pStyle w:val="239"/>
              <w:numPr>
                <w:ilvl w:val="0"/>
                <w:numId w:val="30"/>
              </w:numPr>
              <w:snapToGrid w:val="0"/>
              <w:spacing w:line="360" w:lineRule="auto"/>
              <w:ind w:left="0" w:firstLine="0"/>
              <w:rPr>
                <w:rFonts w:ascii="宋体" w:hAnsi="宋体" w:eastAsia="宋体" w:cs="宋体"/>
                <w:sz w:val="21"/>
                <w:szCs w:val="21"/>
                <w:highlight w:val="none"/>
              </w:rPr>
            </w:pPr>
            <w:r>
              <w:rPr>
                <w:rFonts w:hint="eastAsia" w:ascii="宋体" w:hAnsi="宋体" w:eastAsia="宋体" w:cs="宋体"/>
                <w:sz w:val="21"/>
                <w:szCs w:val="21"/>
                <w:highlight w:val="none"/>
              </w:rPr>
              <w:t>一次性提供数据：</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设备通讯协议、通讯规约，设备所在设施数据，宁波2000平面坐标和经纬度坐标，宁波高程，设备属性数据（包括制造商、材质、设备技术及性能参数等），安装记录、验收记录；</w:t>
            </w:r>
          </w:p>
          <w:p>
            <w:pPr>
              <w:pStyle w:val="239"/>
              <w:numPr>
                <w:ilvl w:val="0"/>
                <w:numId w:val="30"/>
              </w:numPr>
              <w:snapToGrid w:val="0"/>
              <w:spacing w:line="360" w:lineRule="auto"/>
              <w:ind w:left="0" w:firstLine="0"/>
              <w:rPr>
                <w:rFonts w:ascii="宋体" w:hAnsi="宋体" w:eastAsia="宋体" w:cs="宋体"/>
                <w:sz w:val="21"/>
                <w:szCs w:val="21"/>
                <w:highlight w:val="none"/>
              </w:rPr>
            </w:pPr>
            <w:r>
              <w:rPr>
                <w:rFonts w:hint="eastAsia" w:ascii="宋体" w:hAnsi="宋体" w:eastAsia="宋体" w:cs="宋体"/>
                <w:sz w:val="21"/>
                <w:szCs w:val="21"/>
                <w:highlight w:val="none"/>
              </w:rPr>
              <w:t>运维数据：</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运维巡检记录、故障记录、维护记录、校验记录、设备置换记录。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76" w:type="dxa"/>
            <w:tcBorders>
              <w:top w:val="single" w:color="auto" w:sz="4" w:space="0"/>
              <w:left w:val="single" w:color="auto" w:sz="4" w:space="0"/>
              <w:bottom w:val="single" w:color="auto" w:sz="4" w:space="0"/>
              <w:right w:val="single" w:color="auto" w:sz="4" w:space="0"/>
            </w:tcBorders>
            <w:vAlign w:val="center"/>
          </w:tcPr>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管网流量</w:t>
            </w:r>
          </w:p>
        </w:tc>
        <w:tc>
          <w:tcPr>
            <w:tcW w:w="7674" w:type="dxa"/>
            <w:tcBorders>
              <w:top w:val="single" w:color="auto" w:sz="4" w:space="0"/>
              <w:left w:val="single" w:color="auto" w:sz="4" w:space="0"/>
              <w:bottom w:val="single" w:color="auto" w:sz="4" w:space="0"/>
              <w:right w:val="single" w:color="auto" w:sz="4" w:space="0"/>
            </w:tcBorders>
            <w:vAlign w:val="center"/>
          </w:tcPr>
          <w:p>
            <w:pPr>
              <w:pStyle w:val="239"/>
              <w:numPr>
                <w:ilvl w:val="0"/>
                <w:numId w:val="30"/>
              </w:numPr>
              <w:snapToGrid w:val="0"/>
              <w:spacing w:line="360" w:lineRule="auto"/>
              <w:ind w:left="0" w:firstLine="0"/>
              <w:rPr>
                <w:rFonts w:ascii="宋体" w:hAnsi="宋体" w:eastAsia="宋体" w:cs="宋体"/>
                <w:sz w:val="21"/>
                <w:szCs w:val="21"/>
                <w:highlight w:val="none"/>
              </w:rPr>
            </w:pPr>
            <w:r>
              <w:rPr>
                <w:rFonts w:hint="eastAsia" w:ascii="宋体" w:hAnsi="宋体" w:eastAsia="宋体" w:cs="宋体"/>
                <w:sz w:val="21"/>
                <w:szCs w:val="21"/>
                <w:highlight w:val="none"/>
              </w:rPr>
              <w:t>实时监测数据：</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水深数据（单位：cm；精度≤±1cm），流速数据（单位：m/s，量程须满足服务站点实际需求，精度≤±2%FS），流量数据（单位：m3/s，速度面积法计算，精度≤±2%FS），水位报警数据，设备工作状态、故障状态，采样时间，通信时间，采样频率，通信频率，远程设置，设备电池电量（百分比）、电压（V）；</w:t>
            </w:r>
          </w:p>
          <w:p>
            <w:pPr>
              <w:pStyle w:val="239"/>
              <w:numPr>
                <w:ilvl w:val="0"/>
                <w:numId w:val="30"/>
              </w:numPr>
              <w:snapToGrid w:val="0"/>
              <w:spacing w:line="360" w:lineRule="auto"/>
              <w:ind w:left="0" w:firstLine="0"/>
              <w:rPr>
                <w:rFonts w:ascii="宋体" w:hAnsi="宋体" w:eastAsia="宋体" w:cs="宋体"/>
                <w:sz w:val="21"/>
                <w:szCs w:val="21"/>
                <w:highlight w:val="none"/>
              </w:rPr>
            </w:pPr>
            <w:r>
              <w:rPr>
                <w:rFonts w:hint="eastAsia" w:ascii="宋体" w:hAnsi="宋体" w:eastAsia="宋体" w:cs="宋体"/>
                <w:sz w:val="21"/>
                <w:szCs w:val="21"/>
                <w:highlight w:val="none"/>
              </w:rPr>
              <w:t>一次性提供数据：</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设备通讯协议、通讯规约，设备所在设施数据，宁波2000平面坐标和经纬度坐标，宁波高程，设备属性数据（包括制造商、材质、设备技术及性能参数等），安装记录、验收记录；</w:t>
            </w:r>
          </w:p>
          <w:p>
            <w:pPr>
              <w:pStyle w:val="239"/>
              <w:numPr>
                <w:ilvl w:val="0"/>
                <w:numId w:val="30"/>
              </w:numPr>
              <w:snapToGrid w:val="0"/>
              <w:spacing w:line="360" w:lineRule="auto"/>
              <w:ind w:left="0" w:firstLine="0"/>
              <w:rPr>
                <w:rFonts w:ascii="宋体" w:hAnsi="宋体" w:eastAsia="宋体" w:cs="宋体"/>
                <w:sz w:val="21"/>
                <w:szCs w:val="21"/>
                <w:highlight w:val="none"/>
              </w:rPr>
            </w:pPr>
            <w:r>
              <w:rPr>
                <w:rFonts w:hint="eastAsia" w:ascii="宋体" w:hAnsi="宋体" w:eastAsia="宋体" w:cs="宋体"/>
                <w:sz w:val="21"/>
                <w:szCs w:val="21"/>
                <w:highlight w:val="none"/>
              </w:rPr>
              <w:t>运维数据：</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运维巡检记录、故障记录、维护记录、校验记录、设备置换记录。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76" w:type="dxa"/>
            <w:tcBorders>
              <w:top w:val="single" w:color="auto" w:sz="4" w:space="0"/>
              <w:left w:val="single" w:color="auto" w:sz="4" w:space="0"/>
              <w:bottom w:val="single" w:color="auto" w:sz="4" w:space="0"/>
              <w:right w:val="single" w:color="auto" w:sz="4" w:space="0"/>
            </w:tcBorders>
            <w:vAlign w:val="center"/>
          </w:tcPr>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管网水质COD</w:t>
            </w:r>
          </w:p>
        </w:tc>
        <w:tc>
          <w:tcPr>
            <w:tcW w:w="7674" w:type="dxa"/>
            <w:tcBorders>
              <w:top w:val="single" w:color="auto" w:sz="4" w:space="0"/>
              <w:left w:val="single" w:color="auto" w:sz="4" w:space="0"/>
              <w:bottom w:val="single" w:color="auto" w:sz="4" w:space="0"/>
              <w:right w:val="single" w:color="auto" w:sz="4" w:space="0"/>
            </w:tcBorders>
            <w:vAlign w:val="center"/>
          </w:tcPr>
          <w:p>
            <w:pPr>
              <w:pStyle w:val="239"/>
              <w:numPr>
                <w:ilvl w:val="0"/>
                <w:numId w:val="30"/>
              </w:numPr>
              <w:snapToGrid w:val="0"/>
              <w:spacing w:line="360" w:lineRule="auto"/>
              <w:ind w:left="0" w:firstLine="0"/>
              <w:rPr>
                <w:rFonts w:ascii="宋体" w:hAnsi="宋体" w:eastAsia="宋体" w:cs="宋体"/>
                <w:sz w:val="21"/>
                <w:szCs w:val="21"/>
                <w:highlight w:val="none"/>
              </w:rPr>
            </w:pPr>
            <w:r>
              <w:rPr>
                <w:rFonts w:hint="eastAsia" w:ascii="宋体" w:hAnsi="宋体" w:eastAsia="宋体" w:cs="宋体"/>
                <w:sz w:val="21"/>
                <w:szCs w:val="21"/>
                <w:highlight w:val="none"/>
              </w:rPr>
              <w:t>实时监测数据：</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水质COD数据（单位：mg/L，量程须满足服务站点实际需求，精度≤±5%F.S，分辨力:1mg/L，24h内不超过±1mg/L零点漂移，24h内不超过±5%量程漂移），设备工作状态、故障状态，采样时间，通信时间，采样频率，通信频率，远程设置，设备电池电量（百分比）、电压（V）；</w:t>
            </w:r>
          </w:p>
          <w:p>
            <w:pPr>
              <w:pStyle w:val="239"/>
              <w:numPr>
                <w:ilvl w:val="0"/>
                <w:numId w:val="30"/>
              </w:numPr>
              <w:snapToGrid w:val="0"/>
              <w:spacing w:line="360" w:lineRule="auto"/>
              <w:ind w:left="0" w:firstLine="0"/>
              <w:rPr>
                <w:rFonts w:ascii="宋体" w:hAnsi="宋体" w:eastAsia="宋体" w:cs="宋体"/>
                <w:sz w:val="21"/>
                <w:szCs w:val="21"/>
                <w:highlight w:val="none"/>
              </w:rPr>
            </w:pPr>
            <w:r>
              <w:rPr>
                <w:rFonts w:hint="eastAsia" w:ascii="宋体" w:hAnsi="宋体" w:eastAsia="宋体" w:cs="宋体"/>
                <w:sz w:val="21"/>
                <w:szCs w:val="21"/>
                <w:highlight w:val="none"/>
              </w:rPr>
              <w:t>一次性提供数据：</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设备通讯协议、通讯规约，设备所在设施数据，宁波2000平面坐标和经纬度坐标，宁波高程，设备属性数据（包括制造商、材质、设备技术及性能参数等），安装记录、验收记录；</w:t>
            </w:r>
          </w:p>
          <w:p>
            <w:pPr>
              <w:pStyle w:val="239"/>
              <w:numPr>
                <w:ilvl w:val="0"/>
                <w:numId w:val="30"/>
              </w:numPr>
              <w:snapToGrid w:val="0"/>
              <w:spacing w:line="360" w:lineRule="auto"/>
              <w:ind w:left="0" w:firstLine="0"/>
              <w:rPr>
                <w:rFonts w:ascii="宋体" w:hAnsi="宋体" w:eastAsia="宋体" w:cs="宋体"/>
                <w:sz w:val="21"/>
                <w:szCs w:val="21"/>
                <w:highlight w:val="none"/>
              </w:rPr>
            </w:pPr>
            <w:r>
              <w:rPr>
                <w:rFonts w:hint="eastAsia" w:ascii="宋体" w:hAnsi="宋体" w:eastAsia="宋体" w:cs="宋体"/>
                <w:sz w:val="21"/>
                <w:szCs w:val="21"/>
                <w:highlight w:val="none"/>
              </w:rPr>
              <w:t>运维数据：</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人工采样比对数据，人工采样比对频率，运维巡检记录、故障记录、维护记录、校验记录、设备置换记录。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76" w:type="dxa"/>
            <w:tcBorders>
              <w:top w:val="single" w:color="auto" w:sz="4" w:space="0"/>
              <w:left w:val="single" w:color="auto" w:sz="4" w:space="0"/>
              <w:bottom w:val="single" w:color="auto" w:sz="4" w:space="0"/>
              <w:right w:val="single" w:color="auto" w:sz="4" w:space="0"/>
            </w:tcBorders>
            <w:vAlign w:val="center"/>
          </w:tcPr>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泵站状态</w:t>
            </w:r>
          </w:p>
        </w:tc>
        <w:tc>
          <w:tcPr>
            <w:tcW w:w="7674" w:type="dxa"/>
            <w:tcBorders>
              <w:top w:val="single" w:color="auto" w:sz="4" w:space="0"/>
              <w:left w:val="single" w:color="auto" w:sz="4" w:space="0"/>
              <w:bottom w:val="single" w:color="auto" w:sz="4" w:space="0"/>
              <w:right w:val="single" w:color="auto" w:sz="4" w:space="0"/>
            </w:tcBorders>
            <w:vAlign w:val="center"/>
          </w:tcPr>
          <w:p>
            <w:pPr>
              <w:pStyle w:val="239"/>
              <w:numPr>
                <w:ilvl w:val="0"/>
                <w:numId w:val="30"/>
              </w:numPr>
              <w:snapToGrid w:val="0"/>
              <w:spacing w:line="360" w:lineRule="auto"/>
              <w:ind w:left="0" w:firstLine="0"/>
              <w:rPr>
                <w:rFonts w:ascii="宋体" w:hAnsi="宋体" w:eastAsia="宋体" w:cs="宋体"/>
                <w:sz w:val="21"/>
                <w:szCs w:val="21"/>
                <w:highlight w:val="none"/>
              </w:rPr>
            </w:pPr>
            <w:r>
              <w:rPr>
                <w:rFonts w:hint="eastAsia" w:ascii="宋体" w:hAnsi="宋体" w:eastAsia="宋体" w:cs="宋体"/>
                <w:sz w:val="21"/>
                <w:szCs w:val="21"/>
                <w:highlight w:val="none"/>
              </w:rPr>
              <w:t>实时监测数据：</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各泵组工作状态、故障状态，出水管流量（当泵站出水管已安装流量计时），泵站检修状态，泵池水深，泵组检修状态；</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本项目新增监测服务设备的采样时间，通信时间，采样频率，通信频率，远程设置，设备电池电量（百分比）、电压（V）；</w:t>
            </w:r>
          </w:p>
          <w:p>
            <w:pPr>
              <w:pStyle w:val="239"/>
              <w:numPr>
                <w:ilvl w:val="0"/>
                <w:numId w:val="30"/>
              </w:numPr>
              <w:snapToGrid w:val="0"/>
              <w:spacing w:line="360" w:lineRule="auto"/>
              <w:ind w:left="0" w:firstLine="0"/>
              <w:rPr>
                <w:rFonts w:ascii="宋体" w:hAnsi="宋体" w:eastAsia="宋体" w:cs="宋体"/>
                <w:sz w:val="21"/>
                <w:szCs w:val="21"/>
                <w:highlight w:val="none"/>
              </w:rPr>
            </w:pPr>
            <w:r>
              <w:rPr>
                <w:rFonts w:hint="eastAsia" w:ascii="宋体" w:hAnsi="宋体" w:eastAsia="宋体" w:cs="宋体"/>
                <w:sz w:val="21"/>
                <w:szCs w:val="21"/>
                <w:highlight w:val="none"/>
              </w:rPr>
              <w:t>一次性提供数据：</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设备通讯协议、通讯规约，设备所在设施数据，宁波2000平面坐标和经纬度坐标，设备属性数据（包括制造商、材质、设备技术及</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性能参数等），安装记录、验收记录；</w:t>
            </w:r>
          </w:p>
          <w:p>
            <w:pPr>
              <w:pStyle w:val="239"/>
              <w:numPr>
                <w:ilvl w:val="0"/>
                <w:numId w:val="30"/>
              </w:numPr>
              <w:snapToGrid w:val="0"/>
              <w:spacing w:line="360" w:lineRule="auto"/>
              <w:ind w:left="0" w:firstLine="0"/>
              <w:rPr>
                <w:rFonts w:ascii="宋体" w:hAnsi="宋体" w:eastAsia="宋体" w:cs="宋体"/>
                <w:sz w:val="21"/>
                <w:szCs w:val="21"/>
                <w:highlight w:val="none"/>
              </w:rPr>
            </w:pPr>
            <w:r>
              <w:rPr>
                <w:rFonts w:hint="eastAsia" w:ascii="宋体" w:hAnsi="宋体" w:eastAsia="宋体" w:cs="宋体"/>
                <w:sz w:val="21"/>
                <w:szCs w:val="21"/>
                <w:highlight w:val="none"/>
              </w:rPr>
              <w:t>运维数据：</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运维巡检记录、故障记录、维护记录、校验记录、设备置换记录。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76" w:type="dxa"/>
            <w:tcBorders>
              <w:top w:val="single" w:color="auto" w:sz="4" w:space="0"/>
              <w:left w:val="single" w:color="auto" w:sz="4" w:space="0"/>
              <w:bottom w:val="single" w:color="auto" w:sz="4" w:space="0"/>
              <w:right w:val="single" w:color="auto" w:sz="4" w:space="0"/>
            </w:tcBorders>
            <w:vAlign w:val="center"/>
          </w:tcPr>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视频监控</w:t>
            </w:r>
          </w:p>
        </w:tc>
        <w:tc>
          <w:tcPr>
            <w:tcW w:w="7674" w:type="dxa"/>
            <w:tcBorders>
              <w:top w:val="single" w:color="auto" w:sz="4" w:space="0"/>
              <w:left w:val="single" w:color="auto" w:sz="4" w:space="0"/>
              <w:bottom w:val="single" w:color="auto" w:sz="4" w:space="0"/>
              <w:right w:val="single" w:color="auto" w:sz="4" w:space="0"/>
            </w:tcBorders>
            <w:vAlign w:val="center"/>
          </w:tcPr>
          <w:p>
            <w:pPr>
              <w:pStyle w:val="239"/>
              <w:numPr>
                <w:ilvl w:val="0"/>
                <w:numId w:val="30"/>
              </w:numPr>
              <w:snapToGrid w:val="0"/>
              <w:spacing w:line="360" w:lineRule="auto"/>
              <w:ind w:left="0" w:firstLine="0"/>
              <w:rPr>
                <w:rFonts w:ascii="宋体" w:hAnsi="宋体" w:eastAsia="宋体" w:cs="宋体"/>
                <w:sz w:val="21"/>
                <w:szCs w:val="21"/>
                <w:highlight w:val="none"/>
              </w:rPr>
            </w:pPr>
            <w:r>
              <w:rPr>
                <w:rFonts w:hint="eastAsia" w:ascii="宋体" w:hAnsi="宋体" w:eastAsia="宋体" w:cs="宋体"/>
                <w:sz w:val="21"/>
                <w:szCs w:val="21"/>
                <w:highlight w:val="none"/>
              </w:rPr>
              <w:t>实时监测数据：</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视频数据（1080P）（保存≥30天），关键视频（保存≥2年），远程设置与云台控制；</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设备工作状态：设备在线状态、运维状态、视频质量诊断等。</w:t>
            </w:r>
          </w:p>
          <w:p>
            <w:pPr>
              <w:pStyle w:val="239"/>
              <w:numPr>
                <w:ilvl w:val="0"/>
                <w:numId w:val="30"/>
              </w:numPr>
              <w:snapToGrid w:val="0"/>
              <w:spacing w:line="360" w:lineRule="auto"/>
              <w:ind w:left="0" w:firstLine="0"/>
              <w:rPr>
                <w:rFonts w:ascii="宋体" w:hAnsi="宋体" w:eastAsia="宋体" w:cs="宋体"/>
                <w:sz w:val="21"/>
                <w:szCs w:val="21"/>
                <w:highlight w:val="none"/>
              </w:rPr>
            </w:pPr>
            <w:r>
              <w:rPr>
                <w:rFonts w:hint="eastAsia" w:ascii="宋体" w:hAnsi="宋体" w:eastAsia="宋体" w:cs="宋体"/>
                <w:sz w:val="21"/>
                <w:szCs w:val="21"/>
                <w:highlight w:val="none"/>
              </w:rPr>
              <w:t>一次性提供数据：</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供电方式及供电点，通讯形式，设备所在设施数据，宁波2000平面坐标和经纬度坐标，设备属性数据（包括制造商、材质、设备技术及性能参数等），安装记录、验收记录；</w:t>
            </w:r>
          </w:p>
          <w:p>
            <w:pPr>
              <w:pStyle w:val="239"/>
              <w:numPr>
                <w:ilvl w:val="0"/>
                <w:numId w:val="30"/>
              </w:numPr>
              <w:snapToGrid w:val="0"/>
              <w:spacing w:line="360" w:lineRule="auto"/>
              <w:ind w:left="0" w:firstLine="0"/>
              <w:rPr>
                <w:rFonts w:ascii="宋体" w:hAnsi="宋体" w:eastAsia="宋体" w:cs="宋体"/>
                <w:sz w:val="21"/>
                <w:szCs w:val="21"/>
                <w:highlight w:val="none"/>
              </w:rPr>
            </w:pPr>
            <w:r>
              <w:rPr>
                <w:rFonts w:hint="eastAsia" w:ascii="宋体" w:hAnsi="宋体" w:eastAsia="宋体" w:cs="宋体"/>
                <w:sz w:val="21"/>
                <w:szCs w:val="21"/>
                <w:highlight w:val="none"/>
              </w:rPr>
              <w:t>运维数据：</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运维巡检记录、故障记录、维护记录、校验记录、设备置换记录。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76" w:type="dxa"/>
            <w:tcBorders>
              <w:top w:val="single" w:color="auto" w:sz="4" w:space="0"/>
              <w:left w:val="single" w:color="auto" w:sz="4" w:space="0"/>
              <w:bottom w:val="single" w:color="auto" w:sz="4" w:space="0"/>
              <w:right w:val="single" w:color="auto" w:sz="4" w:space="0"/>
            </w:tcBorders>
            <w:vAlign w:val="center"/>
          </w:tcPr>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雨量监测</w:t>
            </w:r>
          </w:p>
        </w:tc>
        <w:tc>
          <w:tcPr>
            <w:tcW w:w="7674" w:type="dxa"/>
            <w:tcBorders>
              <w:top w:val="single" w:color="auto" w:sz="4" w:space="0"/>
              <w:left w:val="single" w:color="auto" w:sz="4" w:space="0"/>
              <w:bottom w:val="single" w:color="auto" w:sz="4" w:space="0"/>
              <w:right w:val="single" w:color="auto" w:sz="4" w:space="0"/>
            </w:tcBorders>
            <w:vAlign w:val="center"/>
          </w:tcPr>
          <w:p>
            <w:pPr>
              <w:pStyle w:val="239"/>
              <w:numPr>
                <w:ilvl w:val="0"/>
                <w:numId w:val="30"/>
              </w:numPr>
              <w:snapToGrid w:val="0"/>
              <w:spacing w:line="360" w:lineRule="auto"/>
              <w:ind w:left="0" w:firstLine="0"/>
              <w:rPr>
                <w:rFonts w:ascii="宋体" w:hAnsi="宋体" w:eastAsia="宋体" w:cs="宋体"/>
                <w:sz w:val="21"/>
                <w:szCs w:val="21"/>
                <w:highlight w:val="none"/>
              </w:rPr>
            </w:pPr>
            <w:r>
              <w:rPr>
                <w:rFonts w:hint="eastAsia" w:ascii="宋体" w:hAnsi="宋体" w:eastAsia="宋体" w:cs="宋体"/>
                <w:sz w:val="21"/>
                <w:szCs w:val="21"/>
                <w:highlight w:val="none"/>
              </w:rPr>
              <w:t>实时监测数据：</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雨量数据（单位：mm，能监测分钟降雨量，量程须满足服务站点实际需求，精度≤±3%，分辨力：0.5mm），雨量报警数据，设备工作状态、故障状态，采样时间，通信时间，采样频率，通信频率，远程设置，设备电池电量（百分比）、电压（V）；</w:t>
            </w:r>
          </w:p>
          <w:p>
            <w:pPr>
              <w:pStyle w:val="239"/>
              <w:numPr>
                <w:ilvl w:val="0"/>
                <w:numId w:val="31"/>
              </w:numPr>
              <w:snapToGrid w:val="0"/>
              <w:spacing w:line="360" w:lineRule="auto"/>
              <w:ind w:left="0" w:firstLine="0"/>
              <w:rPr>
                <w:rFonts w:ascii="宋体" w:hAnsi="宋体" w:eastAsia="宋体" w:cs="宋体"/>
                <w:sz w:val="21"/>
                <w:szCs w:val="21"/>
                <w:highlight w:val="none"/>
              </w:rPr>
            </w:pPr>
            <w:r>
              <w:rPr>
                <w:rFonts w:hint="eastAsia" w:ascii="宋体" w:hAnsi="宋体" w:eastAsia="宋体" w:cs="宋体"/>
                <w:sz w:val="21"/>
                <w:szCs w:val="21"/>
                <w:highlight w:val="none"/>
              </w:rPr>
              <w:t>一次性提供数据：</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设备通讯协议、通讯规约，设备所在设施数据，宁波2000平面坐标和经纬度坐标，宁波高程，设备属性数据（包括制造商、材质、设备技术及性能参数等），安装记录、验收记录；</w:t>
            </w:r>
          </w:p>
          <w:p>
            <w:pPr>
              <w:pStyle w:val="239"/>
              <w:numPr>
                <w:ilvl w:val="0"/>
                <w:numId w:val="31"/>
              </w:numPr>
              <w:snapToGrid w:val="0"/>
              <w:spacing w:line="360" w:lineRule="auto"/>
              <w:ind w:left="0" w:firstLine="0"/>
              <w:rPr>
                <w:rFonts w:ascii="宋体" w:hAnsi="宋体" w:eastAsia="宋体" w:cs="宋体"/>
                <w:sz w:val="21"/>
                <w:szCs w:val="21"/>
                <w:highlight w:val="none"/>
              </w:rPr>
            </w:pPr>
            <w:r>
              <w:rPr>
                <w:rFonts w:hint="eastAsia" w:ascii="宋体" w:hAnsi="宋体" w:eastAsia="宋体" w:cs="宋体"/>
                <w:sz w:val="21"/>
                <w:szCs w:val="21"/>
                <w:highlight w:val="none"/>
              </w:rPr>
              <w:t>运维数据：</w:t>
            </w:r>
          </w:p>
          <w:p>
            <w:pPr>
              <w:pStyle w:val="239"/>
              <w:snapToGrid w:val="0"/>
              <w:spacing w:line="360" w:lineRule="auto"/>
              <w:rPr>
                <w:rFonts w:ascii="宋体" w:hAnsi="宋体" w:eastAsia="宋体" w:cs="宋体"/>
                <w:sz w:val="21"/>
                <w:szCs w:val="21"/>
                <w:highlight w:val="none"/>
              </w:rPr>
            </w:pPr>
            <w:r>
              <w:rPr>
                <w:rFonts w:hint="eastAsia" w:ascii="宋体" w:hAnsi="宋体" w:eastAsia="宋体" w:cs="宋体"/>
                <w:sz w:val="21"/>
                <w:szCs w:val="21"/>
                <w:highlight w:val="none"/>
              </w:rPr>
              <w:t>运维巡检记录、故障记录、维护记录、校验记录、设备置换记录。</w:t>
            </w:r>
          </w:p>
        </w:tc>
      </w:tr>
    </w:tbl>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1.2</w:t>
      </w:r>
      <w:r>
        <w:rPr>
          <w:rFonts w:ascii="微软雅黑" w:hAnsi="微软雅黑" w:eastAsia="微软雅黑" w:cs="微软雅黑"/>
          <w:b/>
          <w:bCs/>
          <w:highlight w:val="none"/>
        </w:rPr>
        <w:t>布设原则</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1.2.1</w:t>
      </w:r>
      <w:r>
        <w:rPr>
          <w:rFonts w:ascii="微软雅黑" w:hAnsi="微软雅黑" w:eastAsia="微软雅黑" w:cs="微软雅黑"/>
          <w:b/>
          <w:bCs/>
          <w:highlight w:val="none"/>
        </w:rPr>
        <w:t>排水管网高水位运行监管布设</w:t>
      </w:r>
    </w:p>
    <w:p>
      <w:pPr>
        <w:pStyle w:val="81"/>
        <w:numPr>
          <w:ilvl w:val="0"/>
          <w:numId w:val="32"/>
        </w:numPr>
        <w:spacing w:line="360" w:lineRule="auto"/>
        <w:ind w:left="0" w:firstLine="420"/>
        <w:rPr>
          <w:rFonts w:ascii="宋体" w:hAnsi="宋体" w:cs="宋体"/>
          <w:highlight w:val="none"/>
        </w:rPr>
      </w:pPr>
      <w:r>
        <w:rPr>
          <w:rFonts w:hint="eastAsia" w:ascii="宋体" w:hAnsi="宋体" w:cs="宋体"/>
          <w:highlight w:val="none"/>
        </w:rPr>
        <w:t>监测对象：污水管网、合流制管网、截污井、初雨截流井、污水泵站、合流污水泵站、污水调蓄池。</w:t>
      </w:r>
    </w:p>
    <w:p>
      <w:pPr>
        <w:pStyle w:val="81"/>
        <w:numPr>
          <w:ilvl w:val="0"/>
          <w:numId w:val="32"/>
        </w:numPr>
        <w:spacing w:line="360" w:lineRule="auto"/>
        <w:ind w:left="0" w:firstLine="420"/>
        <w:rPr>
          <w:rFonts w:ascii="宋体" w:hAnsi="宋体" w:cs="宋体"/>
          <w:highlight w:val="none"/>
        </w:rPr>
      </w:pPr>
      <w:r>
        <w:rPr>
          <w:rFonts w:hint="eastAsia" w:ascii="宋体" w:hAnsi="宋体" w:cs="宋体"/>
          <w:highlight w:val="none"/>
        </w:rPr>
        <w:t>积水判别标准：水位高于管道最大设计充满度即为高水位运行。（GB50014-2021《室外排水设计规范》（2021版））</w:t>
      </w:r>
    </w:p>
    <w:p>
      <w:pPr>
        <w:pStyle w:val="81"/>
        <w:numPr>
          <w:ilvl w:val="0"/>
          <w:numId w:val="32"/>
        </w:numPr>
        <w:spacing w:line="360" w:lineRule="auto"/>
        <w:ind w:left="0" w:firstLine="420"/>
        <w:rPr>
          <w:rFonts w:ascii="宋体" w:hAnsi="宋体" w:cs="宋体"/>
          <w:highlight w:val="none"/>
        </w:rPr>
      </w:pPr>
      <w:r>
        <w:rPr>
          <w:rFonts w:hint="eastAsia" w:ascii="宋体" w:hAnsi="宋体" w:cs="宋体"/>
          <w:highlight w:val="none"/>
        </w:rPr>
        <w:t>在支管汇入干管或主干管的汇流处，当支管的管底埋深与干管或主干管的管底埋深一致时，在出流管的管底布置水位监测点，作为汇流处各管的水位；当支管的管底埋深小于干管或主干管的管底埋深时，分别在支管的上游检查井和出流管的下游检查井布置水位监测点。</w:t>
      </w:r>
    </w:p>
    <w:p>
      <w:pPr>
        <w:pStyle w:val="81"/>
        <w:numPr>
          <w:ilvl w:val="0"/>
          <w:numId w:val="32"/>
        </w:numPr>
        <w:spacing w:line="360" w:lineRule="auto"/>
        <w:ind w:left="0" w:firstLine="420"/>
        <w:rPr>
          <w:rFonts w:ascii="宋体" w:hAnsi="宋体" w:cs="宋体"/>
          <w:highlight w:val="none"/>
        </w:rPr>
      </w:pPr>
      <w:r>
        <w:rPr>
          <w:rFonts w:hint="eastAsia" w:ascii="宋体" w:hAnsi="宋体" w:cs="宋体"/>
          <w:highlight w:val="none"/>
        </w:rPr>
        <w:t>当多个支管汇入干管或主干管，其汇流点间距不超过100m时，当做一个汇流点处理，在干管或主干管上的最后一个支流汇流点的下游检查井布设水位监测点。</w:t>
      </w:r>
    </w:p>
    <w:p>
      <w:pPr>
        <w:pStyle w:val="81"/>
        <w:numPr>
          <w:ilvl w:val="0"/>
          <w:numId w:val="32"/>
        </w:numPr>
        <w:spacing w:line="360" w:lineRule="auto"/>
        <w:ind w:left="0" w:firstLine="420"/>
        <w:rPr>
          <w:rFonts w:ascii="宋体" w:hAnsi="宋体" w:cs="宋体"/>
          <w:highlight w:val="none"/>
        </w:rPr>
      </w:pPr>
      <w:r>
        <w:rPr>
          <w:rFonts w:hint="eastAsia" w:ascii="宋体" w:hAnsi="宋体" w:cs="宋体"/>
          <w:highlight w:val="none"/>
        </w:rPr>
        <w:t>在干管汇入主干管，或主干管交汇处，当入流管的管底埋深与出流管的管底埋深一致时，在出流管的管底布置水位监测点，作为汇流处各管的水位；当入流管的管底埋深小于出流管的管底埋深时，分别在入流管的上游检查井和出流管的下游检查井布置水位监测点。</w:t>
      </w:r>
    </w:p>
    <w:p>
      <w:pPr>
        <w:pStyle w:val="81"/>
        <w:numPr>
          <w:ilvl w:val="0"/>
          <w:numId w:val="32"/>
        </w:numPr>
        <w:spacing w:line="360" w:lineRule="auto"/>
        <w:ind w:left="0" w:firstLine="420"/>
        <w:rPr>
          <w:rFonts w:ascii="宋体" w:hAnsi="宋体" w:cs="宋体"/>
          <w:highlight w:val="none"/>
        </w:rPr>
      </w:pPr>
      <w:r>
        <w:rPr>
          <w:rFonts w:hint="eastAsia" w:ascii="宋体" w:hAnsi="宋体" w:cs="宋体"/>
          <w:highlight w:val="none"/>
        </w:rPr>
        <w:t>在干管、主干管变径点的上游检查井安装水位监测点。</w:t>
      </w:r>
    </w:p>
    <w:p>
      <w:pPr>
        <w:pStyle w:val="81"/>
        <w:numPr>
          <w:ilvl w:val="0"/>
          <w:numId w:val="32"/>
        </w:numPr>
        <w:spacing w:line="360" w:lineRule="auto"/>
        <w:ind w:left="0" w:firstLine="420"/>
        <w:rPr>
          <w:rFonts w:ascii="宋体" w:hAnsi="宋体" w:cs="宋体"/>
          <w:highlight w:val="none"/>
        </w:rPr>
      </w:pPr>
      <w:r>
        <w:rPr>
          <w:rFonts w:hint="eastAsia" w:ascii="宋体" w:hAnsi="宋体" w:cs="宋体"/>
          <w:highlight w:val="none"/>
        </w:rPr>
        <w:t>沿干管或主干管，水位监测点间隔不宜超过500m，宜在其间均匀选取检查井，布设水位监测点。</w:t>
      </w:r>
    </w:p>
    <w:p>
      <w:pPr>
        <w:pStyle w:val="81"/>
        <w:numPr>
          <w:ilvl w:val="0"/>
          <w:numId w:val="32"/>
        </w:numPr>
        <w:spacing w:line="360" w:lineRule="auto"/>
        <w:ind w:left="0" w:firstLine="420"/>
        <w:rPr>
          <w:rFonts w:ascii="宋体" w:hAnsi="宋体" w:cs="宋体"/>
          <w:highlight w:val="none"/>
        </w:rPr>
      </w:pPr>
      <w:r>
        <w:rPr>
          <w:rFonts w:hint="eastAsia" w:ascii="宋体" w:hAnsi="宋体" w:cs="宋体"/>
          <w:highlight w:val="none"/>
        </w:rPr>
        <w:t>水位监测点应避开跌水高度＞0.5m的跌水井，若在其下游设置水位监测点，其检查井距离跌水井应≥50m。</w:t>
      </w:r>
    </w:p>
    <w:p>
      <w:pPr>
        <w:pStyle w:val="81"/>
        <w:numPr>
          <w:ilvl w:val="0"/>
          <w:numId w:val="32"/>
        </w:numPr>
        <w:spacing w:line="360" w:lineRule="auto"/>
        <w:ind w:left="0" w:firstLine="420"/>
        <w:rPr>
          <w:rFonts w:ascii="宋体" w:hAnsi="宋体" w:cs="宋体"/>
          <w:highlight w:val="none"/>
        </w:rPr>
      </w:pPr>
      <w:r>
        <w:rPr>
          <w:rFonts w:hint="eastAsia" w:ascii="宋体" w:hAnsi="宋体" w:cs="宋体"/>
          <w:highlight w:val="none"/>
        </w:rPr>
        <w:t>排水泵站和提升泵站的站前100m以内管渠内宜布设水位监测点；泵站后重力流出口下游100m以内管渠内宜布设水位监测点。</w:t>
      </w:r>
    </w:p>
    <w:p>
      <w:pPr>
        <w:pStyle w:val="81"/>
        <w:numPr>
          <w:ilvl w:val="0"/>
          <w:numId w:val="32"/>
        </w:numPr>
        <w:spacing w:line="360" w:lineRule="auto"/>
        <w:ind w:left="0" w:firstLine="420"/>
        <w:rPr>
          <w:rFonts w:ascii="宋体" w:hAnsi="宋体" w:cs="宋体"/>
          <w:highlight w:val="none"/>
        </w:rPr>
      </w:pPr>
      <w:r>
        <w:rPr>
          <w:rFonts w:hint="eastAsia" w:ascii="宋体" w:hAnsi="宋体" w:cs="宋体"/>
          <w:highlight w:val="none"/>
        </w:rPr>
        <w:t>当污水处理厂进水口与中途提升泵站之间的主干管存在非压力管段时，应在非压力管段至少布设一个水位监测点。</w:t>
      </w:r>
    </w:p>
    <w:p>
      <w:pPr>
        <w:pStyle w:val="81"/>
        <w:numPr>
          <w:ilvl w:val="0"/>
          <w:numId w:val="32"/>
        </w:numPr>
        <w:spacing w:line="360" w:lineRule="auto"/>
        <w:ind w:left="0" w:firstLine="420"/>
        <w:rPr>
          <w:rFonts w:ascii="宋体" w:hAnsi="宋体" w:cs="宋体"/>
          <w:highlight w:val="none"/>
        </w:rPr>
      </w:pPr>
      <w:r>
        <w:rPr>
          <w:rFonts w:hint="eastAsia" w:ascii="宋体" w:hAnsi="宋体" w:cs="宋体"/>
          <w:highlight w:val="none"/>
        </w:rPr>
        <w:t>污水截流井、初雨截流井宜布设水位监测点，监测截流井前后水位变化。</w:t>
      </w:r>
    </w:p>
    <w:p>
      <w:pPr>
        <w:pStyle w:val="81"/>
        <w:numPr>
          <w:ilvl w:val="0"/>
          <w:numId w:val="32"/>
        </w:numPr>
        <w:spacing w:line="360" w:lineRule="auto"/>
        <w:ind w:left="0" w:firstLine="420"/>
        <w:rPr>
          <w:rFonts w:ascii="宋体" w:hAnsi="宋体" w:cs="宋体"/>
          <w:highlight w:val="none"/>
        </w:rPr>
      </w:pPr>
      <w:r>
        <w:rPr>
          <w:rFonts w:hint="eastAsia" w:ascii="宋体" w:hAnsi="宋体" w:cs="宋体"/>
          <w:highlight w:val="none"/>
        </w:rPr>
        <w:t>有河水侵入风险的沿河敷设排水管道，应在管道和河道中成对布设水位比对监测点，相邻比对监测点间距不宜超过500m，同时应在出现水位突变位置增设水位比对监测点。</w:t>
      </w:r>
    </w:p>
    <w:p>
      <w:pPr>
        <w:pStyle w:val="81"/>
        <w:numPr>
          <w:ilvl w:val="0"/>
          <w:numId w:val="32"/>
        </w:numPr>
        <w:spacing w:line="360" w:lineRule="auto"/>
        <w:ind w:left="0" w:firstLine="420"/>
        <w:rPr>
          <w:rFonts w:ascii="宋体" w:hAnsi="宋体" w:cs="宋体"/>
          <w:highlight w:val="none"/>
        </w:rPr>
      </w:pPr>
      <w:r>
        <w:rPr>
          <w:rFonts w:hint="eastAsia" w:ascii="宋体" w:hAnsi="宋体" w:cs="宋体"/>
          <w:highlight w:val="none"/>
        </w:rPr>
        <w:t>污水蓄水池的排空管接入污水管或雨污合流管时，宜在排空管接入点下游100m后检查井内设置水位监测点。</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1.2.2</w:t>
      </w:r>
      <w:r>
        <w:rPr>
          <w:rFonts w:ascii="微软雅黑" w:hAnsi="微软雅黑" w:eastAsia="微软雅黑" w:cs="微软雅黑"/>
          <w:b/>
          <w:bCs/>
          <w:highlight w:val="none"/>
        </w:rPr>
        <w:t>排水管网提质增效监管布设</w:t>
      </w:r>
    </w:p>
    <w:p>
      <w:pPr>
        <w:pStyle w:val="81"/>
        <w:numPr>
          <w:ilvl w:val="0"/>
          <w:numId w:val="33"/>
        </w:numPr>
        <w:spacing w:line="360" w:lineRule="auto"/>
        <w:ind w:left="0" w:firstLine="420"/>
        <w:rPr>
          <w:rFonts w:ascii="宋体" w:hAnsi="宋体" w:cs="宋体"/>
          <w:highlight w:val="none"/>
        </w:rPr>
      </w:pPr>
      <w:r>
        <w:rPr>
          <w:rFonts w:hint="eastAsia" w:ascii="宋体" w:hAnsi="宋体" w:cs="宋体"/>
          <w:highlight w:val="none"/>
        </w:rPr>
        <w:t>监测对象：污水管网、初雨截流井、截污井、污水提升泵站、调蓄池。</w:t>
      </w:r>
    </w:p>
    <w:p>
      <w:pPr>
        <w:pStyle w:val="81"/>
        <w:numPr>
          <w:ilvl w:val="0"/>
          <w:numId w:val="33"/>
        </w:numPr>
        <w:spacing w:line="360" w:lineRule="auto"/>
        <w:ind w:left="0" w:firstLine="420"/>
        <w:rPr>
          <w:rFonts w:ascii="宋体" w:hAnsi="宋体" w:cs="宋体"/>
          <w:highlight w:val="none"/>
        </w:rPr>
      </w:pPr>
      <w:r>
        <w:rPr>
          <w:rFonts w:hint="eastAsia" w:ascii="宋体" w:hAnsi="宋体" w:cs="宋体"/>
          <w:highlight w:val="none"/>
        </w:rPr>
        <w:t>在分区流域污水干管汇入污水处理厂主干管的上游检查井处布设流量和SS监测点。</w:t>
      </w:r>
    </w:p>
    <w:p>
      <w:pPr>
        <w:pStyle w:val="81"/>
        <w:numPr>
          <w:ilvl w:val="0"/>
          <w:numId w:val="33"/>
        </w:numPr>
        <w:spacing w:line="360" w:lineRule="auto"/>
        <w:ind w:left="0" w:firstLine="420"/>
        <w:rPr>
          <w:rFonts w:ascii="宋体" w:hAnsi="宋体" w:cs="宋体"/>
          <w:highlight w:val="none"/>
        </w:rPr>
      </w:pPr>
      <w:r>
        <w:rPr>
          <w:rFonts w:hint="eastAsia" w:ascii="宋体" w:hAnsi="宋体" w:cs="宋体"/>
          <w:highlight w:val="none"/>
        </w:rPr>
        <w:t>在重点区域污水提升泵站布设流量和水质监测点，水质监测指标宜选择：CODCr，CODCr采用程序式重铬酸钾法；监测频率均为1小时/1次。</w:t>
      </w:r>
    </w:p>
    <w:p>
      <w:pPr>
        <w:pStyle w:val="81"/>
        <w:numPr>
          <w:ilvl w:val="0"/>
          <w:numId w:val="33"/>
        </w:numPr>
        <w:spacing w:line="360" w:lineRule="auto"/>
        <w:ind w:left="0" w:firstLine="420"/>
        <w:rPr>
          <w:rFonts w:ascii="宋体" w:hAnsi="宋体" w:cs="宋体"/>
          <w:highlight w:val="none"/>
        </w:rPr>
      </w:pPr>
      <w:r>
        <w:rPr>
          <w:rFonts w:hint="eastAsia" w:ascii="宋体" w:hAnsi="宋体" w:cs="宋体"/>
          <w:highlight w:val="none"/>
        </w:rPr>
        <w:t>在工业集聚区总排放口接入公共排水管网的检查井布设流量和水质监测点，水质监测指标宜选择：pH/T、氨氮（NH4-N）、SS；监测方法PH/T采用差分电极法/热敏电阻法，NH4-N采用离子选择电极法；监测频率为半小时/1次。</w:t>
      </w:r>
    </w:p>
    <w:p>
      <w:pPr>
        <w:pStyle w:val="81"/>
        <w:numPr>
          <w:ilvl w:val="0"/>
          <w:numId w:val="33"/>
        </w:numPr>
        <w:spacing w:line="360" w:lineRule="auto"/>
        <w:ind w:left="0" w:firstLine="420"/>
        <w:rPr>
          <w:rFonts w:ascii="宋体" w:hAnsi="宋体" w:cs="宋体"/>
          <w:highlight w:val="none"/>
        </w:rPr>
      </w:pPr>
      <w:r>
        <w:rPr>
          <w:rFonts w:hint="eastAsia" w:ascii="宋体" w:hAnsi="宋体" w:cs="宋体"/>
          <w:highlight w:val="none"/>
        </w:rPr>
        <w:t>在城中村污水排入市政管网的接管井处，宜布设流量和水质监测点；水质监测参数宜选择：pH/T、氨氮（NH4-N）、SS，监测方法NH4-N采用离子选择电极法；监测频率均为半小时/1次。</w:t>
      </w:r>
    </w:p>
    <w:p>
      <w:pPr>
        <w:pStyle w:val="81"/>
        <w:numPr>
          <w:ilvl w:val="0"/>
          <w:numId w:val="33"/>
        </w:numPr>
        <w:spacing w:line="360" w:lineRule="auto"/>
        <w:ind w:left="0" w:firstLine="420"/>
        <w:rPr>
          <w:rFonts w:ascii="宋体" w:hAnsi="宋体" w:cs="宋体"/>
          <w:highlight w:val="none"/>
        </w:rPr>
      </w:pPr>
      <w:r>
        <w:rPr>
          <w:rFonts w:hint="eastAsia" w:ascii="宋体" w:hAnsi="宋体" w:cs="宋体"/>
          <w:highlight w:val="none"/>
        </w:rPr>
        <w:t>在污水（或合流制）干管汇入主干管溢流排入河道的排放口处，布设流量及水质监测点，监测指标可根据投资情况选择以下一种方案：</w:t>
      </w:r>
    </w:p>
    <w:p>
      <w:pPr>
        <w:pStyle w:val="81"/>
        <w:numPr>
          <w:ilvl w:val="0"/>
          <w:numId w:val="34"/>
        </w:numPr>
        <w:spacing w:line="360" w:lineRule="auto"/>
        <w:ind w:firstLine="420"/>
        <w:rPr>
          <w:rFonts w:ascii="宋体" w:hAnsi="宋体" w:cs="宋体"/>
          <w:highlight w:val="none"/>
        </w:rPr>
      </w:pPr>
      <w:r>
        <w:rPr>
          <w:rFonts w:hint="eastAsia" w:ascii="宋体" w:hAnsi="宋体" w:cs="宋体"/>
          <w:highlight w:val="none"/>
        </w:rPr>
        <w:t>投资充裕时，布设流量计和水质监测，水质监测指标包括PH/T、氨氮（NH4-N）、CODCr、SS，监测方法NH4-N采用离子选择电极法，CODCr采用程序式重铬酸钾法；监测频率均为1小时/1次。</w:t>
      </w:r>
    </w:p>
    <w:p>
      <w:pPr>
        <w:pStyle w:val="81"/>
        <w:numPr>
          <w:ilvl w:val="0"/>
          <w:numId w:val="34"/>
        </w:numPr>
        <w:spacing w:line="360" w:lineRule="auto"/>
        <w:ind w:firstLine="420"/>
        <w:rPr>
          <w:rFonts w:ascii="宋体" w:hAnsi="宋体" w:cs="宋体"/>
          <w:highlight w:val="none"/>
        </w:rPr>
      </w:pPr>
      <w:r>
        <w:rPr>
          <w:rFonts w:hint="eastAsia" w:ascii="宋体" w:hAnsi="宋体" w:cs="宋体"/>
          <w:highlight w:val="none"/>
        </w:rPr>
        <w:t>投资较紧张时，布设水位计和SS监测；监测频率为半小时/1次。</w:t>
      </w:r>
    </w:p>
    <w:p>
      <w:pPr>
        <w:pStyle w:val="81"/>
        <w:numPr>
          <w:ilvl w:val="0"/>
          <w:numId w:val="33"/>
        </w:numPr>
        <w:spacing w:line="360" w:lineRule="auto"/>
        <w:ind w:left="0" w:firstLine="420"/>
        <w:rPr>
          <w:rFonts w:ascii="宋体" w:hAnsi="宋体" w:cs="宋体"/>
          <w:highlight w:val="none"/>
        </w:rPr>
      </w:pPr>
      <w:r>
        <w:rPr>
          <w:rFonts w:hint="eastAsia" w:ascii="宋体" w:hAnsi="宋体" w:cs="宋体"/>
          <w:highlight w:val="none"/>
        </w:rPr>
        <w:t>列入重点排污单位名录的排水户（简称重点排水户），必须按照国家或地方有关规定在公共排水设施的连接点前的排放口设置便于采样和水量计量的专用检测井和计量设备，并安装主要水污染物排放自动监测设备；监测指标应包含水量、PH/T、CODcr、氨氮（NH4-N），监测方式必须满足环境保护部门的要求；监测频率为两小时/1次；重点排水户需配置冷藏式采样器作为水质自动留样器，若上述水质参数出现异常，则自动留样。重点排水户必须保证监测设备正常运行，并与环境保护主管部门的监控设备联网。环境保护主管部门应当将监测数据与城镇排水主管部门实时共享。对未与环境保护主管部门的监控设备联网，城镇排水主管部门已进行自动监测的，可以将监测数据与环境保护主管部门共享。重点排水户在其雨水接户井内自建水位及水质监测点，水质监测指标包括PH/T，电导率、CODcr，监测排口污水溢流COD趋势值，并要求把监测设备的工作状态上传到本项目建设的物联网接入平台；监测重点排水户的雨污混接及偷排、漏排情况，监测频率流量为15分钟1次，水质PH/T、电导率为15分钟1次，水质CODcr为1小时/1次。</w:t>
      </w:r>
    </w:p>
    <w:p>
      <w:pPr>
        <w:pStyle w:val="81"/>
        <w:numPr>
          <w:ilvl w:val="0"/>
          <w:numId w:val="33"/>
        </w:numPr>
        <w:spacing w:line="360" w:lineRule="auto"/>
        <w:ind w:left="0" w:firstLine="420"/>
        <w:rPr>
          <w:rFonts w:ascii="宋体" w:hAnsi="宋体" w:cs="宋体"/>
          <w:highlight w:val="none"/>
        </w:rPr>
      </w:pPr>
      <w:r>
        <w:rPr>
          <w:rFonts w:hint="eastAsia" w:ascii="宋体" w:hAnsi="宋体" w:cs="宋体"/>
          <w:highlight w:val="none"/>
        </w:rPr>
        <w:t>对于排水、环保、水文或其他非部门等已经设置相关水质自动监测设备，不应重复设置，在本项目建设的物联网接入平台内接入其实时监测数据。</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1.2.3</w:t>
      </w:r>
      <w:r>
        <w:rPr>
          <w:rFonts w:ascii="微软雅黑" w:hAnsi="微软雅黑" w:eastAsia="微软雅黑" w:cs="微软雅黑"/>
          <w:b/>
          <w:bCs/>
          <w:highlight w:val="none"/>
        </w:rPr>
        <w:t>视频监控点布设</w:t>
      </w:r>
    </w:p>
    <w:p>
      <w:pPr>
        <w:pStyle w:val="81"/>
        <w:numPr>
          <w:ilvl w:val="0"/>
          <w:numId w:val="35"/>
        </w:numPr>
        <w:spacing w:line="360" w:lineRule="auto"/>
        <w:ind w:left="0" w:firstLine="420"/>
        <w:rPr>
          <w:rFonts w:ascii="宋体" w:hAnsi="宋体" w:cs="宋体"/>
          <w:highlight w:val="none"/>
        </w:rPr>
      </w:pPr>
      <w:r>
        <w:rPr>
          <w:rFonts w:hint="eastAsia" w:ascii="宋体" w:hAnsi="宋体" w:cs="宋体"/>
          <w:highlight w:val="none"/>
        </w:rPr>
        <w:t>在重要的排水泵站、提升泵站、水闸、排放口、溢流口、影响通行的易涝点宜布设视频监控点。</w:t>
      </w:r>
    </w:p>
    <w:p>
      <w:pPr>
        <w:pStyle w:val="81"/>
        <w:numPr>
          <w:ilvl w:val="0"/>
          <w:numId w:val="35"/>
        </w:numPr>
        <w:spacing w:line="360" w:lineRule="auto"/>
        <w:ind w:left="0" w:firstLine="420"/>
        <w:rPr>
          <w:rFonts w:ascii="宋体" w:hAnsi="宋体" w:cs="宋体"/>
          <w:highlight w:val="none"/>
        </w:rPr>
      </w:pPr>
      <w:r>
        <w:rPr>
          <w:rFonts w:hint="eastAsia" w:ascii="宋体" w:hAnsi="宋体" w:cs="宋体"/>
          <w:highlight w:val="none"/>
        </w:rPr>
        <w:t>汇水面积大于1平方公里的排水分区节点宜布设视频监控点。</w:t>
      </w:r>
    </w:p>
    <w:p>
      <w:pPr>
        <w:pStyle w:val="81"/>
        <w:numPr>
          <w:ilvl w:val="0"/>
          <w:numId w:val="35"/>
        </w:numPr>
        <w:spacing w:line="360" w:lineRule="auto"/>
        <w:ind w:left="0" w:firstLine="420"/>
        <w:rPr>
          <w:rFonts w:ascii="宋体" w:hAnsi="宋体" w:cs="宋体"/>
          <w:highlight w:val="none"/>
        </w:rPr>
      </w:pPr>
      <w:r>
        <w:rPr>
          <w:rFonts w:hint="eastAsia" w:ascii="宋体" w:hAnsi="宋体" w:cs="宋体"/>
          <w:highlight w:val="none"/>
        </w:rPr>
        <w:t>在邻近溢流口的检查井，或重要的检查井宜布设井下视频监控点。</w:t>
      </w:r>
    </w:p>
    <w:p>
      <w:pPr>
        <w:pStyle w:val="81"/>
        <w:numPr>
          <w:ilvl w:val="0"/>
          <w:numId w:val="35"/>
        </w:numPr>
        <w:spacing w:line="360" w:lineRule="auto"/>
        <w:ind w:left="0" w:firstLine="420"/>
        <w:rPr>
          <w:rFonts w:ascii="宋体" w:hAnsi="宋体" w:cs="宋体"/>
          <w:highlight w:val="none"/>
        </w:rPr>
      </w:pPr>
      <w:r>
        <w:rPr>
          <w:rFonts w:hint="eastAsia" w:ascii="宋体" w:hAnsi="宋体" w:cs="宋体"/>
          <w:highlight w:val="none"/>
        </w:rPr>
        <w:t>下穿地道或隧道、重要水浸黑点宜布设视频监控点。</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1.3</w:t>
      </w:r>
      <w:bookmarkStart w:id="66" w:name="_Toc92665441"/>
      <w:r>
        <w:rPr>
          <w:rFonts w:hint="eastAsia" w:ascii="微软雅黑" w:hAnsi="微软雅黑" w:eastAsia="微软雅黑" w:cs="微软雅黑"/>
          <w:b/>
          <w:bCs/>
          <w:highlight w:val="none"/>
        </w:rPr>
        <w:t>监测布设</w:t>
      </w:r>
      <w:bookmarkEnd w:id="66"/>
    </w:p>
    <w:p>
      <w:pPr>
        <w:spacing w:line="360" w:lineRule="auto"/>
        <w:ind w:firstLine="420" w:firstLineChars="200"/>
        <w:jc w:val="left"/>
        <w:rPr>
          <w:rFonts w:ascii="宋体" w:hAnsi="宋体" w:cs="宋体"/>
          <w:highlight w:val="none"/>
        </w:rPr>
      </w:pPr>
      <w:r>
        <w:rPr>
          <w:rFonts w:hint="eastAsia" w:ascii="宋体" w:hAnsi="宋体" w:cs="宋体"/>
          <w:highlight w:val="none"/>
        </w:rPr>
        <w:t>对于江北区排水系统全过程进行智慧化监控，需构建源头至末端的整体监测网络，主要包含：</w:t>
      </w:r>
    </w:p>
    <w:p>
      <w:pPr>
        <w:pStyle w:val="81"/>
        <w:numPr>
          <w:ilvl w:val="0"/>
          <w:numId w:val="36"/>
        </w:numPr>
        <w:spacing w:line="360" w:lineRule="auto"/>
        <w:ind w:left="0" w:firstLine="422"/>
        <w:jc w:val="left"/>
        <w:rPr>
          <w:rFonts w:ascii="宋体" w:hAnsi="宋体" w:cs="宋体"/>
          <w:highlight w:val="none"/>
        </w:rPr>
      </w:pPr>
      <w:r>
        <w:rPr>
          <w:rFonts w:hint="eastAsia" w:ascii="宋体" w:hAnsi="宋体" w:cs="宋体"/>
          <w:b/>
          <w:bCs/>
          <w:highlight w:val="none"/>
        </w:rPr>
        <w:t>末端</w:t>
      </w:r>
      <w:r>
        <w:rPr>
          <w:rFonts w:hint="eastAsia" w:ascii="宋体" w:hAnsi="宋体" w:cs="宋体"/>
          <w:highlight w:val="none"/>
        </w:rPr>
        <w:t>：排口液位、水质监测；污水厂运行数据接入；</w:t>
      </w:r>
    </w:p>
    <w:p>
      <w:pPr>
        <w:pStyle w:val="81"/>
        <w:numPr>
          <w:ilvl w:val="0"/>
          <w:numId w:val="36"/>
        </w:numPr>
        <w:spacing w:line="360" w:lineRule="auto"/>
        <w:ind w:left="0" w:firstLine="422"/>
        <w:jc w:val="left"/>
        <w:rPr>
          <w:rFonts w:ascii="宋体" w:hAnsi="宋体" w:cs="宋体"/>
          <w:highlight w:val="none"/>
        </w:rPr>
      </w:pPr>
      <w:r>
        <w:rPr>
          <w:rFonts w:hint="eastAsia" w:ascii="宋体" w:hAnsi="宋体" w:cs="宋体"/>
          <w:b/>
          <w:bCs/>
          <w:highlight w:val="none"/>
        </w:rPr>
        <w:t>过程：</w:t>
      </w:r>
      <w:r>
        <w:rPr>
          <w:rFonts w:hint="eastAsia" w:ascii="宋体" w:hAnsi="宋体" w:cs="宋体"/>
          <w:highlight w:val="none"/>
        </w:rPr>
        <w:t>污水管网节点流量、水质检测；外部系统接入点；雨污泵站运行数据接入。</w:t>
      </w:r>
    </w:p>
    <w:p>
      <w:pPr>
        <w:pStyle w:val="81"/>
        <w:numPr>
          <w:ilvl w:val="0"/>
          <w:numId w:val="36"/>
        </w:numPr>
        <w:spacing w:line="360" w:lineRule="auto"/>
        <w:ind w:left="0" w:firstLine="422"/>
        <w:jc w:val="left"/>
        <w:rPr>
          <w:rFonts w:ascii="宋体" w:hAnsi="宋体" w:cs="宋体"/>
          <w:highlight w:val="none"/>
        </w:rPr>
      </w:pPr>
      <w:r>
        <w:rPr>
          <w:rFonts w:hint="eastAsia" w:ascii="宋体" w:hAnsi="宋体" w:cs="宋体"/>
          <w:b/>
          <w:bCs/>
          <w:highlight w:val="none"/>
        </w:rPr>
        <w:t>源头：</w:t>
      </w:r>
      <w:r>
        <w:rPr>
          <w:rFonts w:hint="eastAsia" w:ascii="宋体" w:hAnsi="宋体" w:cs="宋体"/>
          <w:highlight w:val="none"/>
        </w:rPr>
        <w:t>重点排水户流量、水质监测；其他排水户液位、水质监测。</w:t>
      </w:r>
    </w:p>
    <w:p>
      <w:pPr>
        <w:numPr>
          <w:ilvl w:val="0"/>
          <w:numId w:val="37"/>
        </w:numPr>
        <w:spacing w:line="360" w:lineRule="auto"/>
        <w:ind w:firstLine="420" w:firstLineChars="200"/>
        <w:rPr>
          <w:rFonts w:ascii="宋体" w:hAnsi="宋体" w:cs="宋体"/>
          <w:highlight w:val="none"/>
        </w:rPr>
      </w:pPr>
      <w:r>
        <w:rPr>
          <w:rFonts w:hint="eastAsia" w:ascii="宋体" w:hAnsi="宋体" w:cs="宋体"/>
          <w:highlight w:val="none"/>
        </w:rPr>
        <w:t>应当注重污水系统的流量监测，布设在主干管网及分区主管汇入点，有助于实现分区计量，快速溯源问题所在，同时注重出入江北区的流量监测，市管区管交界处的监测，快速进行问题定位。</w:t>
      </w:r>
    </w:p>
    <w:p>
      <w:pPr>
        <w:numPr>
          <w:ilvl w:val="0"/>
          <w:numId w:val="37"/>
        </w:numPr>
        <w:spacing w:line="360" w:lineRule="auto"/>
        <w:ind w:firstLine="420" w:firstLineChars="200"/>
        <w:rPr>
          <w:rFonts w:ascii="宋体" w:hAnsi="宋体" w:cs="宋体"/>
          <w:highlight w:val="none"/>
        </w:rPr>
      </w:pPr>
      <w:r>
        <w:rPr>
          <w:rFonts w:hint="eastAsia" w:ascii="宋体" w:hAnsi="宋体" w:cs="宋体"/>
          <w:highlight w:val="none"/>
        </w:rPr>
        <w:t>为了了解污水系统的管网运行水位，防止长期高水位、污水漫溢问题，增加液位计，形成液位色温图，辅助流量计判断工作。</w:t>
      </w:r>
    </w:p>
    <w:p>
      <w:pPr>
        <w:numPr>
          <w:ilvl w:val="0"/>
          <w:numId w:val="37"/>
        </w:numPr>
        <w:spacing w:line="360" w:lineRule="auto"/>
        <w:ind w:firstLine="420" w:firstLineChars="200"/>
        <w:rPr>
          <w:rFonts w:ascii="宋体" w:hAnsi="宋体" w:cs="宋体"/>
          <w:highlight w:val="none"/>
        </w:rPr>
      </w:pPr>
      <w:r>
        <w:rPr>
          <w:rFonts w:hint="eastAsia" w:ascii="宋体" w:hAnsi="宋体" w:cs="宋体"/>
          <w:highlight w:val="none"/>
        </w:rPr>
        <w:t>雨水系统应当注重液位监测，需要了解区域流量可以通过计算强排泵运行数据获得，雨水系统需要关注积水淹水问题，液位计可以实现，需要了解混接问题的，增加水质，配合液位计可以实现。</w:t>
      </w:r>
    </w:p>
    <w:p>
      <w:pPr>
        <w:numPr>
          <w:ilvl w:val="0"/>
          <w:numId w:val="37"/>
        </w:numPr>
        <w:spacing w:line="360" w:lineRule="auto"/>
        <w:ind w:firstLine="420" w:firstLineChars="200"/>
        <w:rPr>
          <w:rFonts w:ascii="宋体" w:hAnsi="宋体" w:cs="宋体"/>
          <w:highlight w:val="none"/>
        </w:rPr>
      </w:pPr>
      <w:r>
        <w:rPr>
          <w:rFonts w:hint="eastAsia" w:ascii="宋体" w:hAnsi="宋体" w:cs="宋体"/>
          <w:highlight w:val="none"/>
        </w:rPr>
        <w:t>水质检测应当考虑供电和美观问题，建议优先选择泵站内、进出江北区点位、工业、餐饮区等重点区域布设。</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1.3.1雨量监测布设</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考虑江北区排水系统本底数据及管网信息，土地使用性质等资料，对区域内布置了8台雨量计来监测降雨的时序过程。雨量监测结合泵站位置设置，优先设置在不受周边环境影响的位置，便于管理和安装。</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1.3.2流量监测布设</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1.3.2.1泵站流量监测布设</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综合分析管网运行状况与资料，结合雨水管道短管直排的现状，以问题和目标为导向，以区域内泵站为抓手，统筹考虑控源截污和模型支持等各种监测目标，对区域制定了整体的雨水流量监测整体布设方案，主要监控雨水泵站进水流量，共计18台。</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1.3.2.2污水流量监测布设</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综合分析管网运行状况与现状资料，以问题和目标为导向，以区域内污水泵站为抓手，统筹考虑控源截污、提质增效和模型支持等各种监测目标，对区域内十九个片区制定了整体的流量监测整体布设方案，共计流量监测仪70台，其中污水泵站内布置14台。</w:t>
      </w:r>
    </w:p>
    <w:p>
      <w:pPr>
        <w:numPr>
          <w:ilvl w:val="0"/>
          <w:numId w:val="38"/>
        </w:numPr>
        <w:spacing w:line="360" w:lineRule="auto"/>
        <w:ind w:left="0" w:firstLine="420" w:firstLineChars="200"/>
        <w:rPr>
          <w:rFonts w:ascii="宋体" w:hAnsi="宋体" w:cs="宋体"/>
          <w:b/>
          <w:bCs/>
          <w:szCs w:val="21"/>
          <w:highlight w:val="none"/>
        </w:rPr>
      </w:pPr>
      <w:r>
        <w:rPr>
          <w:rFonts w:hint="eastAsia" w:ascii="宋体" w:hAnsi="宋体" w:cs="宋体"/>
          <w:b/>
          <w:bCs/>
          <w:szCs w:val="21"/>
          <w:highlight w:val="none"/>
        </w:rPr>
        <w:t>江东北区布设</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外滩片区排水方向主要为外滩街道南侧区域内的污水被输送至江东北区污水处理厂，为江北区核心区域。为保证污水管网安全及精细化管理，在泵站入口及支管入口设置流量监测仪。考虑此片区的土地类型及商业价值，在此区域内除泵站外总共布置流量计5台。</w:t>
      </w:r>
    </w:p>
    <w:p>
      <w:pPr>
        <w:numPr>
          <w:ilvl w:val="0"/>
          <w:numId w:val="38"/>
        </w:numPr>
        <w:spacing w:line="360" w:lineRule="auto"/>
        <w:ind w:left="0" w:firstLine="420" w:firstLineChars="200"/>
        <w:rPr>
          <w:rFonts w:ascii="宋体" w:hAnsi="宋体" w:cs="宋体"/>
          <w:b/>
          <w:bCs/>
          <w:szCs w:val="21"/>
          <w:highlight w:val="none"/>
        </w:rPr>
      </w:pPr>
      <w:r>
        <w:rPr>
          <w:rFonts w:hint="eastAsia" w:ascii="宋体" w:hAnsi="宋体" w:cs="宋体"/>
          <w:b/>
          <w:bCs/>
          <w:szCs w:val="21"/>
          <w:highlight w:val="none"/>
        </w:rPr>
        <w:t>宁波北区污水处理厂区域布设</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宁波北区污水处理厂区域的来源主干道路主要有环城北路，风华路以及铸峰路，为保证污水管网安全及精细化管理，在泵站入口及支管入口设置流量监测仪。考虑此片区的土地类型及商业价值，在此区域内除泵站外总共布置流量计22台。</w:t>
      </w:r>
    </w:p>
    <w:p>
      <w:pPr>
        <w:numPr>
          <w:ilvl w:val="0"/>
          <w:numId w:val="38"/>
        </w:numPr>
        <w:spacing w:line="360" w:lineRule="auto"/>
        <w:ind w:left="0" w:firstLine="420" w:firstLineChars="200"/>
        <w:rPr>
          <w:rFonts w:ascii="宋体" w:hAnsi="宋体" w:cs="宋体"/>
          <w:b/>
          <w:bCs/>
          <w:szCs w:val="21"/>
          <w:highlight w:val="none"/>
        </w:rPr>
      </w:pPr>
      <w:r>
        <w:rPr>
          <w:rFonts w:hint="eastAsia" w:ascii="宋体" w:hAnsi="宋体" w:cs="宋体"/>
          <w:b/>
          <w:bCs/>
          <w:szCs w:val="21"/>
          <w:highlight w:val="none"/>
        </w:rPr>
        <w:t>再生水厂区域布设</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再生水厂区域的主干道路主要有北环西路、永茂西路以及绕城高速，服务面积较广泛，区域内泵站数量较多。为保证污水管网安全及精细化管理，在泵站入口及支管入口设置流量监测仪。考虑此片区的土地类型及商业价值，在此区域内除泵站外总共布置流量计29台。</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1.3.3液位监测布设</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1.3.3.1雨水液位监测布设</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作为流量计重要的补充部分，液位计应当与流量计统筹布设，以形成系统性的数据便于后期模型校正及分析。液位监测点位的布设遵循覆盖性、关键点、风险点、经济性、可行性的基本原则。主要包含水体水位、窨井水位。液位监测点重点覆盖中心城区、孔浦街道的雨水管网易涝点、积水点和重点路段的雨水管网节点，结合江北区内涝风险区划图、历史内涝点记录数据分析，合理布设液位监测点位。江北区内涝点主要分布在江北核心区、孔浦街道、庄桥街道及其他地势低洼地区，应对现有内涝点及高风险内涝点开展液位监测。对于雨水管网排口及内涝点，结合实际周围环境情况，采用在线监测、视频监控多种手段同时进行。</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综合分析管网运行状况与资料，结合雨水管道短管直排的现状，以区域内雨水排口为主要目标，统筹考虑控源截污和模型支持等各种监测目标，对区域制定了整体的雨水液位监测整体布设方案，主要监控雨水泵站进水流量，总计40台液位计，分期进行流动监测。</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1.3.3.2污水液位监测布设</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管网由于布设在地下，局限于其地理位置、地形条件及安装工艺等限制，主要采用液位计在线监测的方案。综合分析管网运行状况与现状资料，以问题和目标为导向，以流量计为主要控制手段，对区域内九个片区制定了科学的液位监测整体布设方案，共计160台。</w:t>
      </w:r>
    </w:p>
    <w:p>
      <w:pPr>
        <w:pStyle w:val="8"/>
        <w:tabs>
          <w:tab w:val="left" w:pos="100"/>
          <w:tab w:val="left" w:pos="425"/>
          <w:tab w:val="left" w:pos="1134"/>
          <w:tab w:val="left" w:pos="1418"/>
        </w:tabs>
        <w:spacing w:before="0" w:after="0" w:line="360" w:lineRule="auto"/>
        <w:ind w:firstLine="420" w:firstLineChars="200"/>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1.3.4水质监测布设</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水质是排水系统运行状态的关键指标参数，是诊断排水问题的重要支撑数据来源。水质监测指标主要为COD</w:t>
      </w:r>
      <w:r>
        <w:rPr>
          <w:rFonts w:hint="eastAsia" w:ascii="宋体" w:hAnsi="宋体" w:cs="宋体"/>
          <w:szCs w:val="21"/>
          <w:highlight w:val="none"/>
          <w:vertAlign w:val="subscript"/>
        </w:rPr>
        <w:t>Cr</w:t>
      </w:r>
      <w:r>
        <w:rPr>
          <w:rFonts w:hint="eastAsia" w:ascii="宋体" w:hAnsi="宋体" w:cs="宋体"/>
          <w:szCs w:val="21"/>
          <w:highlight w:val="none"/>
        </w:rPr>
        <w:t>。片区内各提升泵站通过水质监测，可通过联调联排调整下游泵站水质情况，也可为污水系统内水质异常情况的分析溯源提供数据基础；片区的外排泵站，受上一级市政污水管网排放限值，更需严格监控。</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在污水泵站布置COD</w:t>
      </w:r>
      <w:r>
        <w:rPr>
          <w:rFonts w:hint="eastAsia" w:ascii="宋体" w:hAnsi="宋体" w:cs="宋体"/>
          <w:szCs w:val="21"/>
          <w:highlight w:val="none"/>
          <w:vertAlign w:val="subscript"/>
        </w:rPr>
        <w:t>Cr</w:t>
      </w:r>
      <w:r>
        <w:rPr>
          <w:rFonts w:hint="eastAsia" w:ascii="宋体" w:hAnsi="宋体" w:cs="宋体"/>
          <w:szCs w:val="21"/>
          <w:highlight w:val="none"/>
        </w:rPr>
        <w:t>全自动在线分析仪，对收集的污水水质进行精细监管。在雨水排口布置悬浮物/浊度计，监测排口悬浮物浓度，用以诊断识别雨污混流、废水偷排等。</w:t>
      </w:r>
    </w:p>
    <w:p>
      <w:pPr>
        <w:pStyle w:val="8"/>
        <w:tabs>
          <w:tab w:val="left" w:pos="100"/>
          <w:tab w:val="left" w:pos="425"/>
          <w:tab w:val="left" w:pos="1134"/>
          <w:tab w:val="left" w:pos="1418"/>
        </w:tabs>
        <w:spacing w:before="0" w:after="0" w:line="360" w:lineRule="auto"/>
        <w:ind w:firstLine="420" w:firstLineChars="200"/>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1.3.5</w:t>
      </w:r>
      <w:r>
        <w:rPr>
          <w:rFonts w:ascii="微软雅黑" w:hAnsi="微软雅黑" w:eastAsia="微软雅黑" w:cs="微软雅黑"/>
          <w:sz w:val="21"/>
          <w:szCs w:val="21"/>
          <w:highlight w:val="none"/>
        </w:rPr>
        <w:t>毒害气体监测布设</w:t>
      </w:r>
    </w:p>
    <w:p>
      <w:pPr>
        <w:spacing w:line="360" w:lineRule="auto"/>
        <w:ind w:firstLine="420" w:firstLineChars="200"/>
        <w:rPr>
          <w:szCs w:val="21"/>
          <w:highlight w:val="none"/>
        </w:rPr>
      </w:pPr>
      <w:r>
        <w:rPr>
          <w:szCs w:val="21"/>
          <w:highlight w:val="none"/>
        </w:rPr>
        <w:t>污水泵站的格栅井下部、泵间底部等易聚集有毒有害气体处应设置监测点，主要监测指标为H2S。井下作业、管道疏通及清淤、化粪池清掏（统称井下作业）时，作业前及作业中应及时监测，可通过手持设备监测H2S。</w:t>
      </w:r>
    </w:p>
    <w:p>
      <w:pPr>
        <w:spacing w:line="360" w:lineRule="auto"/>
        <w:ind w:firstLine="420" w:firstLineChars="200"/>
        <w:rPr>
          <w:szCs w:val="21"/>
          <w:highlight w:val="none"/>
        </w:rPr>
      </w:pPr>
      <w:r>
        <w:rPr>
          <w:szCs w:val="21"/>
          <w:highlight w:val="none"/>
        </w:rPr>
        <w:t>在各污水泵站布设H2S浓度在线监测仪，在线监测设备技术要求参考《下水道及化粪池气体监测技术要求》GB/T 28888执行。按照国家标准《工业场所有害因素职业接触限值》（GBZ 2-2019）的规定，工作场所硫化氢气体的最高容许浓度为10mg/m</w:t>
      </w:r>
      <w:r>
        <w:rPr>
          <w:szCs w:val="21"/>
          <w:highlight w:val="none"/>
          <w:vertAlign w:val="superscript"/>
        </w:rPr>
        <w:t>3</w:t>
      </w:r>
      <w:r>
        <w:rPr>
          <w:szCs w:val="21"/>
          <w:highlight w:val="none"/>
        </w:rPr>
        <w:t>。当硫化氢浓度超过该报警阈值时，报警并同时立即启动可用的通风设备。</w:t>
      </w:r>
    </w:p>
    <w:p>
      <w:pPr>
        <w:pStyle w:val="8"/>
        <w:tabs>
          <w:tab w:val="left" w:pos="100"/>
          <w:tab w:val="left" w:pos="425"/>
          <w:tab w:val="left" w:pos="1134"/>
          <w:tab w:val="left" w:pos="1418"/>
        </w:tabs>
        <w:spacing w:before="0" w:after="0" w:line="360" w:lineRule="auto"/>
        <w:ind w:firstLine="420" w:firstLineChars="200"/>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1.3.6视频监测布设</w:t>
      </w:r>
    </w:p>
    <w:p>
      <w:pPr>
        <w:spacing w:line="360" w:lineRule="auto"/>
        <w:ind w:firstLine="420" w:firstLineChars="200"/>
        <w:rPr>
          <w:highlight w:val="none"/>
        </w:rPr>
      </w:pPr>
      <w:r>
        <w:rPr>
          <w:highlight w:val="none"/>
        </w:rPr>
        <w:t>视频监测设备主要用于内涝积水、企业偷排、泵站监控等，主要安装于重要的排水泵站、闸阀、调蓄设施、排放口、截流设施以及下穿地道或隧道、易涝点，通过直观信息获取支撑排水管理与决策。江北区易涝点位已设有市级监测设备，因此本项目视频监测主要布设于污水泵站及未来暂时不纳管的农污处理终端点位。</w:t>
      </w:r>
    </w:p>
    <w:p>
      <w:pPr>
        <w:pStyle w:val="8"/>
        <w:tabs>
          <w:tab w:val="left" w:pos="100"/>
          <w:tab w:val="left" w:pos="425"/>
          <w:tab w:val="left" w:pos="1134"/>
          <w:tab w:val="left" w:pos="1418"/>
        </w:tabs>
        <w:spacing w:before="0" w:after="0" w:line="360" w:lineRule="auto"/>
        <w:ind w:firstLine="420" w:firstLineChars="200"/>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1.4监测数据服务设备通用指标</w:t>
      </w:r>
    </w:p>
    <w:p>
      <w:pPr>
        <w:numPr>
          <w:ilvl w:val="0"/>
          <w:numId w:val="39"/>
        </w:numPr>
        <w:spacing w:line="360" w:lineRule="auto"/>
        <w:ind w:left="0" w:firstLine="420" w:firstLineChars="200"/>
        <w:rPr>
          <w:highlight w:val="none"/>
        </w:rPr>
      </w:pPr>
      <w:r>
        <w:rPr>
          <w:highlight w:val="none"/>
        </w:rPr>
        <w:t>所有水位监测设备监测量程可根据实际监测目标高度进行扩展，适应不同监测点的量程要求，在有淹没可能的场景，监测设备需加装绝压式水位计，以满足水淹后继续工作；</w:t>
      </w:r>
    </w:p>
    <w:p>
      <w:pPr>
        <w:numPr>
          <w:ilvl w:val="0"/>
          <w:numId w:val="39"/>
        </w:numPr>
        <w:spacing w:line="360" w:lineRule="auto"/>
        <w:ind w:left="0" w:firstLine="420" w:firstLineChars="200"/>
        <w:rPr>
          <w:highlight w:val="none"/>
        </w:rPr>
      </w:pPr>
      <w:r>
        <w:rPr>
          <w:highlight w:val="none"/>
        </w:rPr>
        <w:t>监测设备监测参数或传感器接入个数可扩展，同一地点安装的多台监测设备或传感器尽可能共用一套数据远传模块；</w:t>
      </w:r>
    </w:p>
    <w:p>
      <w:pPr>
        <w:numPr>
          <w:ilvl w:val="0"/>
          <w:numId w:val="39"/>
        </w:numPr>
        <w:spacing w:line="360" w:lineRule="auto"/>
        <w:ind w:left="0" w:firstLine="420" w:firstLineChars="200"/>
        <w:rPr>
          <w:highlight w:val="none"/>
        </w:rPr>
      </w:pPr>
      <w:r>
        <w:rPr>
          <w:highlight w:val="none"/>
        </w:rPr>
        <w:t>所有监测设备具备数据远传功能，根据实际场景选择NB-IoT或LORA或4G传输制式，以适应复杂的野外通信条件，具备良好的网络信号与较强的穿透能力，使得主机在淹没状态下，仍可保持连续的在线监测工作；</w:t>
      </w:r>
    </w:p>
    <w:p>
      <w:pPr>
        <w:numPr>
          <w:ilvl w:val="0"/>
          <w:numId w:val="39"/>
        </w:numPr>
        <w:spacing w:line="360" w:lineRule="auto"/>
        <w:ind w:left="0" w:firstLine="420" w:firstLineChars="200"/>
        <w:rPr>
          <w:highlight w:val="none"/>
        </w:rPr>
      </w:pPr>
      <w:r>
        <w:rPr>
          <w:highlight w:val="none"/>
        </w:rPr>
        <w:t>通信模式：具备NB-IoT或LORA或4G通信能力，首选NB-IoT，在无NB-IoT网络覆盖的地方，则采用其他通信模式，能够按照江北区“智慧排水”项目物联数据接入标准进行数据上传；</w:t>
      </w:r>
    </w:p>
    <w:p>
      <w:pPr>
        <w:numPr>
          <w:ilvl w:val="0"/>
          <w:numId w:val="39"/>
        </w:numPr>
        <w:spacing w:line="360" w:lineRule="auto"/>
        <w:ind w:left="0" w:firstLine="420" w:firstLineChars="200"/>
        <w:rPr>
          <w:highlight w:val="none"/>
        </w:rPr>
      </w:pPr>
      <w:r>
        <w:rPr>
          <w:highlight w:val="none"/>
        </w:rPr>
        <w:t>通信频率：所有监测设备通信频率满足1分钟～60分钟切换，可远程配置通信频率；</w:t>
      </w:r>
    </w:p>
    <w:p>
      <w:pPr>
        <w:numPr>
          <w:ilvl w:val="0"/>
          <w:numId w:val="39"/>
        </w:numPr>
        <w:spacing w:line="360" w:lineRule="auto"/>
        <w:ind w:left="0" w:firstLine="420" w:firstLineChars="200"/>
        <w:rPr>
          <w:highlight w:val="none"/>
        </w:rPr>
      </w:pPr>
      <w:r>
        <w:rPr>
          <w:highlight w:val="none"/>
        </w:rPr>
        <w:t>防护等级：水下或有可能在水下的部分的防护等级为IP68，水上部分的防护等级不低于IP65；</w:t>
      </w:r>
    </w:p>
    <w:p>
      <w:pPr>
        <w:numPr>
          <w:ilvl w:val="0"/>
          <w:numId w:val="39"/>
        </w:numPr>
        <w:spacing w:line="360" w:lineRule="auto"/>
        <w:ind w:left="0" w:firstLine="420" w:firstLineChars="200"/>
        <w:rPr>
          <w:highlight w:val="none"/>
        </w:rPr>
      </w:pPr>
      <w:r>
        <w:rPr>
          <w:highlight w:val="none"/>
        </w:rPr>
        <w:t>所有监测设备满足防腐要求，保证数据质量；</w:t>
      </w:r>
    </w:p>
    <w:p>
      <w:pPr>
        <w:numPr>
          <w:ilvl w:val="0"/>
          <w:numId w:val="39"/>
        </w:numPr>
        <w:spacing w:line="360" w:lineRule="auto"/>
        <w:ind w:left="0" w:firstLine="420" w:firstLineChars="200"/>
        <w:rPr>
          <w:highlight w:val="none"/>
        </w:rPr>
      </w:pPr>
      <w:r>
        <w:rPr>
          <w:highlight w:val="none"/>
        </w:rPr>
        <w:t>监测设备按需配有安装支架及附件，并便于在各种监测场景中安装,满足便携式安装与拆卸的要求，尽可能降低工程施工量，安装后不影响相关设施的正常运维或运行；</w:t>
      </w:r>
    </w:p>
    <w:p>
      <w:pPr>
        <w:numPr>
          <w:ilvl w:val="0"/>
          <w:numId w:val="39"/>
        </w:numPr>
        <w:spacing w:line="360" w:lineRule="auto"/>
        <w:ind w:left="0" w:firstLine="420" w:firstLineChars="200"/>
        <w:rPr>
          <w:highlight w:val="none"/>
        </w:rPr>
      </w:pPr>
      <w:r>
        <w:rPr>
          <w:highlight w:val="none"/>
        </w:rPr>
        <w:t>监测设备支持本项目建设的物联网</w:t>
      </w:r>
      <w:r>
        <w:rPr>
          <w:rFonts w:hint="eastAsia"/>
          <w:highlight w:val="none"/>
        </w:rPr>
        <w:t>接入</w:t>
      </w:r>
      <w:r>
        <w:rPr>
          <w:highlight w:val="none"/>
        </w:rPr>
        <w:t>平台远程控制、修改设备的相关参数，如采集频率、传输频率等以及控制设备的启闭状态；</w:t>
      </w:r>
    </w:p>
    <w:p>
      <w:pPr>
        <w:numPr>
          <w:ilvl w:val="0"/>
          <w:numId w:val="39"/>
        </w:numPr>
        <w:spacing w:line="360" w:lineRule="auto"/>
        <w:ind w:left="0" w:firstLine="420" w:firstLineChars="200"/>
        <w:rPr>
          <w:highlight w:val="none"/>
        </w:rPr>
      </w:pPr>
      <w:r>
        <w:rPr>
          <w:highlight w:val="none"/>
        </w:rPr>
        <w:t>针对长隧道及涵洞场景，监测设备的天线可外置且延长至合适长度；</w:t>
      </w:r>
    </w:p>
    <w:p>
      <w:pPr>
        <w:numPr>
          <w:ilvl w:val="0"/>
          <w:numId w:val="39"/>
        </w:numPr>
        <w:spacing w:line="360" w:lineRule="auto"/>
        <w:ind w:left="0" w:firstLine="420" w:firstLineChars="200"/>
        <w:rPr>
          <w:highlight w:val="none"/>
        </w:rPr>
      </w:pPr>
      <w:r>
        <w:rPr>
          <w:highlight w:val="none"/>
        </w:rPr>
        <w:t>所有监测设备需提供核心传感器参数说明书；</w:t>
      </w:r>
    </w:p>
    <w:p>
      <w:pPr>
        <w:numPr>
          <w:ilvl w:val="0"/>
          <w:numId w:val="39"/>
        </w:numPr>
        <w:spacing w:line="360" w:lineRule="auto"/>
        <w:ind w:left="0" w:firstLine="420" w:firstLineChars="200"/>
        <w:rPr>
          <w:highlight w:val="none"/>
        </w:rPr>
      </w:pPr>
      <w:r>
        <w:rPr>
          <w:highlight w:val="none"/>
        </w:rPr>
        <w:t>喷字（测站编号、“防汛设施、盗窃必究”字样等备），粘贴站点二维码；</w:t>
      </w:r>
    </w:p>
    <w:p>
      <w:pPr>
        <w:numPr>
          <w:ilvl w:val="0"/>
          <w:numId w:val="39"/>
        </w:numPr>
        <w:spacing w:line="360" w:lineRule="auto"/>
        <w:ind w:left="0" w:firstLine="420" w:firstLineChars="200"/>
        <w:rPr>
          <w:highlight w:val="none"/>
        </w:rPr>
      </w:pPr>
      <w:r>
        <w:rPr>
          <w:rFonts w:hint="eastAsia"/>
          <w:highlight w:val="none"/>
        </w:rPr>
        <w:t>硬件质保期三年。</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1.5数据传输要求</w:t>
      </w:r>
    </w:p>
    <w:p>
      <w:pPr>
        <w:autoSpaceDE w:val="0"/>
        <w:autoSpaceDN w:val="0"/>
        <w:adjustRightInd w:val="0"/>
        <w:spacing w:line="360" w:lineRule="auto"/>
        <w:ind w:firstLine="420" w:firstLineChars="200"/>
        <w:rPr>
          <w:color w:val="000000"/>
          <w:kern w:val="0"/>
          <w:highlight w:val="none"/>
        </w:rPr>
      </w:pPr>
      <w:r>
        <w:rPr>
          <w:color w:val="000000"/>
          <w:kern w:val="0"/>
          <w:highlight w:val="none"/>
        </w:rPr>
        <w:t>应按照确定的布设原则，对每一个设计布设点位进行详细的勘察，在勘察的基础上，对监测点位、监测内容、监测频率等进行调整与优化，形成本项目物联监测点建设方案及具体施工图。对于各监测点位，所安装的监测设备、监测方式、数据通信链路、提供的数据内容、运维维护方式等，如下：</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1.5.1通讯网络</w:t>
      </w:r>
    </w:p>
    <w:p>
      <w:pPr>
        <w:autoSpaceDE w:val="0"/>
        <w:autoSpaceDN w:val="0"/>
        <w:adjustRightInd w:val="0"/>
        <w:spacing w:line="360" w:lineRule="auto"/>
        <w:ind w:firstLine="420" w:firstLineChars="200"/>
        <w:rPr>
          <w:color w:val="000000"/>
          <w:kern w:val="0"/>
          <w:highlight w:val="none"/>
        </w:rPr>
      </w:pPr>
      <w:r>
        <w:rPr>
          <w:color w:val="000000"/>
          <w:kern w:val="0"/>
          <w:highlight w:val="none"/>
        </w:rPr>
        <w:t>需选用以下网络通信方式：</w:t>
      </w:r>
    </w:p>
    <w:p>
      <w:pPr>
        <w:pStyle w:val="81"/>
        <w:numPr>
          <w:ilvl w:val="0"/>
          <w:numId w:val="40"/>
        </w:numPr>
        <w:spacing w:line="360" w:lineRule="auto"/>
        <w:ind w:left="0" w:firstLine="420"/>
        <w:rPr>
          <w:highlight w:val="none"/>
        </w:rPr>
      </w:pPr>
      <w:r>
        <w:rPr>
          <w:highlight w:val="none"/>
        </w:rPr>
        <w:t>现场监测终端至本项目建设的物联网</w:t>
      </w:r>
      <w:r>
        <w:rPr>
          <w:rFonts w:hint="eastAsia"/>
          <w:highlight w:val="none"/>
        </w:rPr>
        <w:t>接入</w:t>
      </w:r>
      <w:r>
        <w:rPr>
          <w:highlight w:val="none"/>
        </w:rPr>
        <w:t>平台的通讯优先采用窄带物联网（NB-IOT）,实现实时监测数据的上传。对于NB-IOT网络信号较弱的区域，可更换采用4G的通讯方式，对于4G信号也较弱的场合，可临时采用LORA的通讯方式。</w:t>
      </w:r>
    </w:p>
    <w:p>
      <w:pPr>
        <w:pStyle w:val="81"/>
        <w:numPr>
          <w:ilvl w:val="0"/>
          <w:numId w:val="40"/>
        </w:numPr>
        <w:spacing w:line="360" w:lineRule="auto"/>
        <w:ind w:left="0" w:firstLine="420"/>
        <w:rPr>
          <w:color w:val="000000"/>
          <w:kern w:val="0"/>
          <w:highlight w:val="none"/>
        </w:rPr>
      </w:pPr>
      <w:r>
        <w:rPr>
          <w:highlight w:val="none"/>
        </w:rPr>
        <w:t>视频数据传输可采用光纤有线通讯或4G无线通讯方式。</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1.5.2通讯规约</w:t>
      </w:r>
    </w:p>
    <w:p>
      <w:pPr>
        <w:pStyle w:val="81"/>
        <w:numPr>
          <w:ilvl w:val="0"/>
          <w:numId w:val="41"/>
        </w:numPr>
        <w:spacing w:line="360" w:lineRule="auto"/>
        <w:ind w:left="0" w:firstLine="420"/>
        <w:rPr>
          <w:highlight w:val="none"/>
        </w:rPr>
      </w:pPr>
      <w:r>
        <w:rPr>
          <w:highlight w:val="none"/>
        </w:rPr>
        <w:t>根据本项目的特点，参考通讯传输规约，制定适合排水的通讯规约地方标准，本项目数据服务中采用的设备必须满足此标准定义的通讯规约。</w:t>
      </w:r>
    </w:p>
    <w:p>
      <w:pPr>
        <w:pStyle w:val="81"/>
        <w:numPr>
          <w:ilvl w:val="0"/>
          <w:numId w:val="41"/>
        </w:numPr>
        <w:spacing w:line="360" w:lineRule="auto"/>
        <w:ind w:left="0" w:firstLine="420"/>
        <w:rPr>
          <w:highlight w:val="none"/>
        </w:rPr>
      </w:pPr>
      <w:r>
        <w:rPr>
          <w:highlight w:val="none"/>
        </w:rPr>
        <w:t>为了保证数据的有效性、权威性，所有物联监测设备必须把原始数据（除视频数据）通过通信运营商的信道，直接传送至项目建设的物联网</w:t>
      </w:r>
      <w:r>
        <w:rPr>
          <w:rFonts w:hint="eastAsia"/>
          <w:highlight w:val="none"/>
        </w:rPr>
        <w:t>接入</w:t>
      </w:r>
      <w:r>
        <w:rPr>
          <w:highlight w:val="none"/>
        </w:rPr>
        <w:t>平台；物联监测点应通过同一家通信运营商网络回传数据；监测设备采集的原始数据（除视频数据）传送至项目建设的物联网</w:t>
      </w:r>
      <w:r>
        <w:rPr>
          <w:rFonts w:hint="eastAsia"/>
          <w:highlight w:val="none"/>
        </w:rPr>
        <w:t>接入</w:t>
      </w:r>
      <w:r>
        <w:rPr>
          <w:highlight w:val="none"/>
        </w:rPr>
        <w:t>平台；不得通过对原始数据进行过滤（ETL）或其他手段篡改原始数据，然后再传至本项目建设的物联网</w:t>
      </w:r>
      <w:r>
        <w:rPr>
          <w:rFonts w:hint="eastAsia"/>
          <w:highlight w:val="none"/>
        </w:rPr>
        <w:t>接入</w:t>
      </w:r>
      <w:r>
        <w:rPr>
          <w:highlight w:val="none"/>
        </w:rPr>
        <w:t>平台。</w:t>
      </w:r>
    </w:p>
    <w:p>
      <w:pPr>
        <w:pStyle w:val="81"/>
        <w:numPr>
          <w:ilvl w:val="0"/>
          <w:numId w:val="41"/>
        </w:numPr>
        <w:spacing w:line="360" w:lineRule="auto"/>
        <w:ind w:left="0" w:firstLine="420"/>
        <w:rPr>
          <w:highlight w:val="none"/>
        </w:rPr>
      </w:pPr>
      <w:r>
        <w:rPr>
          <w:highlight w:val="none"/>
        </w:rPr>
        <w:t>应具有多种远程通讯方式，例如：定时通讯方式、随机通讯方式、实时通讯方式、直接通讯方式等。</w:t>
      </w:r>
    </w:p>
    <w:p>
      <w:pPr>
        <w:pStyle w:val="81"/>
        <w:numPr>
          <w:ilvl w:val="0"/>
          <w:numId w:val="41"/>
        </w:numPr>
        <w:spacing w:line="360" w:lineRule="auto"/>
        <w:ind w:left="0" w:firstLine="420"/>
        <w:rPr>
          <w:highlight w:val="none"/>
        </w:rPr>
      </w:pPr>
      <w:r>
        <w:rPr>
          <w:highlight w:val="none"/>
        </w:rPr>
        <w:t>远程数据传输应具有校验功能的通信协议，能够及时纠正传输错误的数据包。</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1.5.3物联监测设备数据传输频次</w:t>
      </w:r>
    </w:p>
    <w:p>
      <w:pPr>
        <w:autoSpaceDE w:val="0"/>
        <w:autoSpaceDN w:val="0"/>
        <w:adjustRightInd w:val="0"/>
        <w:spacing w:line="360" w:lineRule="auto"/>
        <w:ind w:firstLine="420" w:firstLineChars="200"/>
        <w:rPr>
          <w:color w:val="000000"/>
          <w:kern w:val="0"/>
          <w:highlight w:val="none"/>
        </w:rPr>
      </w:pPr>
      <w:r>
        <w:rPr>
          <w:color w:val="000000"/>
          <w:kern w:val="0"/>
          <w:highlight w:val="none"/>
        </w:rPr>
        <w:t>所有物联监测设备（除视频监测）按照下述规定的频次主动报送监测数据，并对报送频次可以在本项目建设的物联网</w:t>
      </w:r>
      <w:r>
        <w:rPr>
          <w:rFonts w:hint="eastAsia"/>
          <w:color w:val="000000"/>
          <w:kern w:val="0"/>
          <w:highlight w:val="none"/>
        </w:rPr>
        <w:t>接入</w:t>
      </w:r>
      <w:r>
        <w:rPr>
          <w:color w:val="000000"/>
          <w:kern w:val="0"/>
          <w:highlight w:val="none"/>
        </w:rPr>
        <w:t>平台进行设置。物联监测设备（除视频监测）从数据开始传输到传输至本项目建设的物联网</w:t>
      </w:r>
      <w:r>
        <w:rPr>
          <w:rFonts w:hint="eastAsia"/>
          <w:color w:val="000000"/>
          <w:kern w:val="0"/>
          <w:highlight w:val="none"/>
        </w:rPr>
        <w:t>接入</w:t>
      </w:r>
      <w:r>
        <w:rPr>
          <w:color w:val="000000"/>
          <w:kern w:val="0"/>
          <w:highlight w:val="none"/>
        </w:rPr>
        <w:t>平台，90%以上的数据时延不得超过60秒。</w:t>
      </w:r>
    </w:p>
    <w:p>
      <w:pPr>
        <w:autoSpaceDE w:val="0"/>
        <w:autoSpaceDN w:val="0"/>
        <w:adjustRightInd w:val="0"/>
        <w:spacing w:line="360" w:lineRule="auto"/>
        <w:ind w:firstLine="420" w:firstLineChars="200"/>
        <w:rPr>
          <w:color w:val="000000"/>
          <w:kern w:val="0"/>
          <w:highlight w:val="none"/>
        </w:rPr>
      </w:pPr>
      <w:r>
        <w:rPr>
          <w:color w:val="000000"/>
          <w:kern w:val="0"/>
          <w:highlight w:val="none"/>
        </w:rPr>
        <w:t>1、易涝点监测频率：根据液位运行风险进行自动切换或远程设置。</w:t>
      </w:r>
    </w:p>
    <w:p>
      <w:pPr>
        <w:pStyle w:val="81"/>
        <w:numPr>
          <w:ilvl w:val="0"/>
          <w:numId w:val="42"/>
        </w:numPr>
        <w:spacing w:line="360" w:lineRule="auto"/>
        <w:ind w:left="0" w:firstLine="420"/>
        <w:rPr>
          <w:highlight w:val="none"/>
        </w:rPr>
      </w:pPr>
      <w:r>
        <w:rPr>
          <w:highlight w:val="none"/>
        </w:rPr>
        <w:t>对于窨井、管道、渠道水位：管渠内水位低于管径或渠高30%时，监测与通讯频率自动切换到15分钟1次；管径或渠高30%≤管渠内水位&lt;管径或渠高的70%时，监测与通讯频率切换到5分钟一次；当管渠内水位≥管径或渠高的70%时，监测与通讯频率自动切换到1分钟一次，或根据业务需求进行远程设置。</w:t>
      </w:r>
    </w:p>
    <w:p>
      <w:pPr>
        <w:pStyle w:val="81"/>
        <w:numPr>
          <w:ilvl w:val="0"/>
          <w:numId w:val="42"/>
        </w:numPr>
        <w:spacing w:line="360" w:lineRule="auto"/>
        <w:ind w:left="0" w:firstLine="420"/>
        <w:rPr>
          <w:highlight w:val="none"/>
        </w:rPr>
      </w:pPr>
      <w:r>
        <w:rPr>
          <w:highlight w:val="none"/>
        </w:rPr>
        <w:t>对于地面积水监测或下穿立交、下穿地道或隧道、涵洞等有车与行人通行的区域：监测点无积水时，监测与通讯频率不低于每6小时上报一次；当积水深度发生变化时，监测与通讯频率不低于1分钟上报一次；有积水但积水深度不发生变化时，监测与通讯频率不低于5分钟上报一次。</w:t>
      </w:r>
    </w:p>
    <w:p>
      <w:pPr>
        <w:autoSpaceDE w:val="0"/>
        <w:autoSpaceDN w:val="0"/>
        <w:adjustRightInd w:val="0"/>
        <w:spacing w:line="360" w:lineRule="auto"/>
        <w:ind w:firstLine="420" w:firstLineChars="200"/>
        <w:rPr>
          <w:color w:val="000000"/>
          <w:kern w:val="0"/>
          <w:highlight w:val="none"/>
        </w:rPr>
      </w:pPr>
      <w:r>
        <w:rPr>
          <w:color w:val="000000"/>
          <w:kern w:val="0"/>
          <w:highlight w:val="none"/>
        </w:rPr>
        <w:t>2、排水管网水位监测频率：</w:t>
      </w:r>
      <w:r>
        <w:rPr>
          <w:highlight w:val="none"/>
        </w:rPr>
        <w:t>管渠内水位低于管径或渠高30%时，监测与通讯频率自动切换到15分钟1次；管径或渠高30%≤管渠内水位&lt;管径或渠高的70%时，监测与通讯频率切换到5分钟一次；当管渠内水位≥管径或渠高的70%时，监测与通讯频率自动切换到1分钟一次，或根据业务需求进行远程设置。</w:t>
      </w:r>
    </w:p>
    <w:p>
      <w:pPr>
        <w:autoSpaceDE w:val="0"/>
        <w:autoSpaceDN w:val="0"/>
        <w:adjustRightInd w:val="0"/>
        <w:spacing w:line="360" w:lineRule="auto"/>
        <w:ind w:firstLine="420" w:firstLineChars="200"/>
        <w:rPr>
          <w:color w:val="000000"/>
          <w:kern w:val="0"/>
          <w:highlight w:val="none"/>
        </w:rPr>
      </w:pPr>
      <w:r>
        <w:rPr>
          <w:color w:val="000000"/>
          <w:kern w:val="0"/>
          <w:highlight w:val="none"/>
        </w:rPr>
        <w:t>3、排水管网流量水质监测频率：流量计数据为每隔15分钟采集传输一次，COD水质仪数据为每隔30分钟采集传输一次，能够按照项目建设的物联网</w:t>
      </w:r>
      <w:r>
        <w:rPr>
          <w:rFonts w:hint="eastAsia"/>
          <w:color w:val="000000"/>
          <w:kern w:val="0"/>
          <w:highlight w:val="none"/>
        </w:rPr>
        <w:t>接入</w:t>
      </w:r>
      <w:r>
        <w:rPr>
          <w:color w:val="000000"/>
          <w:kern w:val="0"/>
          <w:highlight w:val="none"/>
        </w:rPr>
        <w:t>平台通信协议标准进行数据上传，且可远程设置频次。</w:t>
      </w:r>
    </w:p>
    <w:p>
      <w:pPr>
        <w:autoSpaceDE w:val="0"/>
        <w:autoSpaceDN w:val="0"/>
        <w:adjustRightInd w:val="0"/>
        <w:spacing w:line="360" w:lineRule="auto"/>
        <w:ind w:firstLine="420" w:firstLineChars="200"/>
        <w:rPr>
          <w:color w:val="000000"/>
          <w:kern w:val="0"/>
          <w:highlight w:val="none"/>
        </w:rPr>
      </w:pPr>
      <w:r>
        <w:rPr>
          <w:color w:val="000000"/>
          <w:kern w:val="0"/>
          <w:highlight w:val="none"/>
        </w:rPr>
        <w:t>4、闸泵站监测频率：每隔5分钟采集传输一次，能够按照本项目指定的物联平台通信协议标准进行数据上传，且可远程设置频次。</w:t>
      </w:r>
    </w:p>
    <w:p>
      <w:pPr>
        <w:autoSpaceDE w:val="0"/>
        <w:autoSpaceDN w:val="0"/>
        <w:adjustRightInd w:val="0"/>
        <w:spacing w:line="360" w:lineRule="auto"/>
        <w:ind w:firstLine="420" w:firstLineChars="200"/>
        <w:rPr>
          <w:color w:val="000000"/>
          <w:kern w:val="0"/>
          <w:highlight w:val="none"/>
        </w:rPr>
      </w:pPr>
      <w:r>
        <w:rPr>
          <w:color w:val="000000"/>
          <w:kern w:val="0"/>
          <w:highlight w:val="none"/>
        </w:rPr>
        <w:t>5、其他报送指标如下：</w:t>
      </w:r>
    </w:p>
    <w:p>
      <w:pPr>
        <w:pStyle w:val="81"/>
        <w:numPr>
          <w:ilvl w:val="0"/>
          <w:numId w:val="43"/>
        </w:numPr>
        <w:spacing w:line="360" w:lineRule="auto"/>
        <w:ind w:left="0" w:firstLine="420"/>
        <w:rPr>
          <w:highlight w:val="none"/>
        </w:rPr>
      </w:pPr>
      <w:r>
        <w:rPr>
          <w:highlight w:val="none"/>
        </w:rPr>
        <w:t>水位自动采集：能按水文资料整编规范要求，采集水位数据，应能自动采集到1.0cm的水位变化值；采样间隔可编程，并具有数字滤波功能；</w:t>
      </w:r>
    </w:p>
    <w:p>
      <w:pPr>
        <w:pStyle w:val="81"/>
        <w:numPr>
          <w:ilvl w:val="0"/>
          <w:numId w:val="43"/>
        </w:numPr>
        <w:spacing w:line="360" w:lineRule="auto"/>
        <w:ind w:left="0" w:firstLine="420"/>
        <w:rPr>
          <w:highlight w:val="none"/>
        </w:rPr>
      </w:pPr>
      <w:r>
        <w:rPr>
          <w:highlight w:val="none"/>
        </w:rPr>
        <w:t>定时自报：按预先设置的定时间隔，应能向本项目建设的物联网</w:t>
      </w:r>
      <w:r>
        <w:rPr>
          <w:rFonts w:hint="eastAsia"/>
          <w:highlight w:val="none"/>
        </w:rPr>
        <w:t>接入</w:t>
      </w:r>
      <w:r>
        <w:rPr>
          <w:highlight w:val="none"/>
        </w:rPr>
        <w:t>平台发送当前的水位数据，还包括测站站号、时间、电池电压、报文类型等参数；</w:t>
      </w:r>
    </w:p>
    <w:p>
      <w:pPr>
        <w:pStyle w:val="81"/>
        <w:numPr>
          <w:ilvl w:val="0"/>
          <w:numId w:val="43"/>
        </w:numPr>
        <w:spacing w:line="360" w:lineRule="auto"/>
        <w:ind w:left="0" w:firstLine="420"/>
        <w:rPr>
          <w:highlight w:val="none"/>
        </w:rPr>
      </w:pPr>
      <w:r>
        <w:rPr>
          <w:highlight w:val="none"/>
        </w:rPr>
        <w:t>事件自报：在规定的时段内水位变化量超过设定值（时段、变化量可编程），且设定的定时自报时间未到时，应能自动向本项目建设的物联网</w:t>
      </w:r>
      <w:r>
        <w:rPr>
          <w:rFonts w:hint="eastAsia"/>
          <w:highlight w:val="none"/>
        </w:rPr>
        <w:t>接入</w:t>
      </w:r>
      <w:r>
        <w:rPr>
          <w:highlight w:val="none"/>
        </w:rPr>
        <w:t>平台报送数据；</w:t>
      </w:r>
    </w:p>
    <w:p>
      <w:pPr>
        <w:pStyle w:val="81"/>
        <w:numPr>
          <w:ilvl w:val="0"/>
          <w:numId w:val="43"/>
        </w:numPr>
        <w:spacing w:line="360" w:lineRule="auto"/>
        <w:ind w:left="0" w:firstLine="420"/>
        <w:rPr>
          <w:highlight w:val="none"/>
        </w:rPr>
      </w:pPr>
      <w:r>
        <w:rPr>
          <w:highlight w:val="none"/>
        </w:rPr>
        <w:t>应答查询：物联监测设备须能响应本项目建设的物联网</w:t>
      </w:r>
      <w:r>
        <w:rPr>
          <w:rFonts w:hint="eastAsia"/>
          <w:highlight w:val="none"/>
        </w:rPr>
        <w:t>接入</w:t>
      </w:r>
      <w:r>
        <w:rPr>
          <w:highlight w:val="none"/>
        </w:rPr>
        <w:t>平台在设备数据缓存周期内任意时间段内的数据查询请求，并按接收到的指令报送实时数据或历史数据；</w:t>
      </w:r>
    </w:p>
    <w:p>
      <w:pPr>
        <w:pStyle w:val="81"/>
        <w:numPr>
          <w:ilvl w:val="0"/>
          <w:numId w:val="43"/>
        </w:numPr>
        <w:spacing w:line="360" w:lineRule="auto"/>
        <w:ind w:left="0" w:firstLine="420"/>
        <w:rPr>
          <w:highlight w:val="none"/>
        </w:rPr>
      </w:pPr>
      <w:r>
        <w:rPr>
          <w:highlight w:val="none"/>
        </w:rPr>
        <w:t>现场固态存储（除视频）：前端设备本地数据存储至少15天，具备断点续传功能，可编程。可提供现场或远程查询、下载；</w:t>
      </w:r>
    </w:p>
    <w:p>
      <w:pPr>
        <w:pStyle w:val="81"/>
        <w:numPr>
          <w:ilvl w:val="0"/>
          <w:numId w:val="43"/>
        </w:numPr>
        <w:spacing w:line="360" w:lineRule="auto"/>
        <w:ind w:left="0" w:firstLine="420"/>
        <w:rPr>
          <w:highlight w:val="none"/>
        </w:rPr>
      </w:pPr>
      <w:r>
        <w:rPr>
          <w:highlight w:val="none"/>
        </w:rPr>
        <w:t>人工置数：应能将人工观测水位值通过人工置数的方式，向本项目建设的物联网</w:t>
      </w:r>
      <w:r>
        <w:rPr>
          <w:rFonts w:hint="eastAsia"/>
          <w:highlight w:val="none"/>
        </w:rPr>
        <w:t>接入</w:t>
      </w:r>
      <w:r>
        <w:rPr>
          <w:highlight w:val="none"/>
        </w:rPr>
        <w:t>平台报送；</w:t>
      </w:r>
    </w:p>
    <w:p>
      <w:pPr>
        <w:pStyle w:val="81"/>
        <w:numPr>
          <w:ilvl w:val="0"/>
          <w:numId w:val="43"/>
        </w:numPr>
        <w:spacing w:line="360" w:lineRule="auto"/>
        <w:ind w:left="0" w:firstLine="420"/>
        <w:rPr>
          <w:highlight w:val="none"/>
        </w:rPr>
      </w:pPr>
      <w:r>
        <w:rPr>
          <w:highlight w:val="none"/>
        </w:rPr>
        <w:t>现场或远地编程（参数设置）：应能在现场或远地对终端设备进行各项参数设置或读取等编程操作；</w:t>
      </w:r>
    </w:p>
    <w:p>
      <w:pPr>
        <w:pStyle w:val="81"/>
        <w:numPr>
          <w:ilvl w:val="0"/>
          <w:numId w:val="43"/>
        </w:numPr>
        <w:spacing w:line="360" w:lineRule="auto"/>
        <w:ind w:left="0" w:firstLine="420"/>
        <w:rPr>
          <w:highlight w:val="none"/>
        </w:rPr>
      </w:pPr>
      <w:r>
        <w:rPr>
          <w:highlight w:val="none"/>
        </w:rPr>
        <w:t>自动对时，能接收本项目建设的物联网</w:t>
      </w:r>
      <w:r>
        <w:rPr>
          <w:rFonts w:hint="eastAsia"/>
          <w:highlight w:val="none"/>
        </w:rPr>
        <w:t>接入</w:t>
      </w:r>
      <w:r>
        <w:rPr>
          <w:highlight w:val="none"/>
        </w:rPr>
        <w:t>平台的指令校正RTU的时间，全年时钟误差&lt;2分钟；</w:t>
      </w:r>
    </w:p>
    <w:p>
      <w:pPr>
        <w:pStyle w:val="81"/>
        <w:numPr>
          <w:ilvl w:val="0"/>
          <w:numId w:val="43"/>
        </w:numPr>
        <w:spacing w:line="360" w:lineRule="auto"/>
        <w:ind w:left="0" w:firstLine="420"/>
        <w:rPr>
          <w:highlight w:val="none"/>
        </w:rPr>
      </w:pPr>
      <w:r>
        <w:rPr>
          <w:highlight w:val="none"/>
        </w:rPr>
        <w:t>自维护功能：应具有定时工况报告、低电压报警、掉电保护以及自动复位等自维护功能；</w:t>
      </w:r>
    </w:p>
    <w:p>
      <w:pPr>
        <w:pStyle w:val="81"/>
        <w:numPr>
          <w:ilvl w:val="0"/>
          <w:numId w:val="43"/>
        </w:numPr>
        <w:spacing w:line="360" w:lineRule="auto"/>
        <w:ind w:left="0" w:firstLine="420"/>
        <w:rPr>
          <w:highlight w:val="none"/>
        </w:rPr>
      </w:pPr>
      <w:r>
        <w:rPr>
          <w:highlight w:val="none"/>
        </w:rPr>
        <w:t>状态上报：应定时上传设备运行状态日志，如设备开机日志、设备配置信息、传感器未连接状态等信息；</w:t>
      </w:r>
    </w:p>
    <w:p>
      <w:pPr>
        <w:pStyle w:val="81"/>
        <w:numPr>
          <w:ilvl w:val="0"/>
          <w:numId w:val="43"/>
        </w:numPr>
        <w:spacing w:line="360" w:lineRule="auto"/>
        <w:ind w:left="0" w:firstLine="420"/>
        <w:rPr>
          <w:color w:val="000000"/>
          <w:kern w:val="0"/>
          <w:highlight w:val="none"/>
        </w:rPr>
      </w:pPr>
      <w:r>
        <w:rPr>
          <w:highlight w:val="none"/>
        </w:rPr>
        <w:t>当运行参数发生变化时能自动发送到本项目建设的物联网</w:t>
      </w:r>
      <w:r>
        <w:rPr>
          <w:rFonts w:hint="eastAsia"/>
          <w:highlight w:val="none"/>
        </w:rPr>
        <w:t>接入</w:t>
      </w:r>
      <w:r>
        <w:rPr>
          <w:highlight w:val="none"/>
        </w:rPr>
        <w:t>平台。</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1.5.4视频监测站指标</w:t>
      </w:r>
    </w:p>
    <w:p>
      <w:pPr>
        <w:autoSpaceDE w:val="0"/>
        <w:autoSpaceDN w:val="0"/>
        <w:adjustRightInd w:val="0"/>
        <w:spacing w:line="360" w:lineRule="auto"/>
        <w:ind w:firstLine="420" w:firstLineChars="200"/>
        <w:jc w:val="left"/>
        <w:rPr>
          <w:b/>
          <w:bCs/>
          <w:color w:val="000000"/>
          <w:kern w:val="0"/>
          <w:highlight w:val="none"/>
        </w:rPr>
      </w:pPr>
      <w:r>
        <w:rPr>
          <w:b/>
          <w:bCs/>
          <w:color w:val="000000"/>
          <w:kern w:val="0"/>
          <w:highlight w:val="none"/>
        </w:rPr>
        <w:t>1. 存储指标</w:t>
      </w:r>
    </w:p>
    <w:p>
      <w:pPr>
        <w:autoSpaceDE w:val="0"/>
        <w:autoSpaceDN w:val="0"/>
        <w:adjustRightInd w:val="0"/>
        <w:spacing w:line="360" w:lineRule="auto"/>
        <w:ind w:firstLine="420" w:firstLineChars="200"/>
        <w:jc w:val="left"/>
        <w:rPr>
          <w:color w:val="000000"/>
          <w:kern w:val="0"/>
          <w:highlight w:val="none"/>
        </w:rPr>
      </w:pPr>
      <w:r>
        <w:rPr>
          <w:color w:val="000000"/>
          <w:kern w:val="0"/>
          <w:highlight w:val="none"/>
        </w:rPr>
        <w:t>视频采集点图像信息须满足30天的存储时间，发生事故时重要的关键性视频段需满足2年的存储时间，每路视频图像需要按照1080P格式存储和配置不少于3TB的存储空间。</w:t>
      </w:r>
    </w:p>
    <w:p>
      <w:pPr>
        <w:autoSpaceDE w:val="0"/>
        <w:autoSpaceDN w:val="0"/>
        <w:adjustRightInd w:val="0"/>
        <w:spacing w:line="360" w:lineRule="auto"/>
        <w:ind w:firstLine="420" w:firstLineChars="200"/>
        <w:jc w:val="left"/>
        <w:rPr>
          <w:b/>
          <w:bCs/>
          <w:color w:val="000000"/>
          <w:kern w:val="0"/>
          <w:highlight w:val="none"/>
        </w:rPr>
      </w:pPr>
      <w:r>
        <w:rPr>
          <w:b/>
          <w:bCs/>
          <w:color w:val="000000"/>
          <w:kern w:val="0"/>
          <w:highlight w:val="none"/>
        </w:rPr>
        <w:t>2. 视频管理平台及接入</w:t>
      </w:r>
    </w:p>
    <w:p>
      <w:pPr>
        <w:autoSpaceDE w:val="0"/>
        <w:autoSpaceDN w:val="0"/>
        <w:adjustRightInd w:val="0"/>
        <w:spacing w:line="360" w:lineRule="auto"/>
        <w:ind w:firstLine="420" w:firstLineChars="200"/>
        <w:jc w:val="left"/>
        <w:rPr>
          <w:color w:val="000000"/>
          <w:kern w:val="0"/>
          <w:highlight w:val="none"/>
        </w:rPr>
      </w:pPr>
      <w:r>
        <w:rPr>
          <w:color w:val="000000"/>
          <w:kern w:val="0"/>
          <w:highlight w:val="none"/>
        </w:rPr>
        <w:t>负责提供视频平台，以及视频资源传送至指定平台的专线，其带宽不小于200M。视频平台功能应主要功能如下：</w:t>
      </w:r>
    </w:p>
    <w:p>
      <w:pPr>
        <w:numPr>
          <w:ilvl w:val="0"/>
          <w:numId w:val="44"/>
        </w:numPr>
        <w:autoSpaceDE w:val="0"/>
        <w:autoSpaceDN w:val="0"/>
        <w:adjustRightInd w:val="0"/>
        <w:spacing w:line="360" w:lineRule="auto"/>
        <w:ind w:left="0" w:firstLine="420" w:firstLineChars="200"/>
        <w:jc w:val="left"/>
        <w:rPr>
          <w:b/>
          <w:bCs/>
          <w:color w:val="000000"/>
          <w:kern w:val="0"/>
          <w:highlight w:val="none"/>
        </w:rPr>
      </w:pPr>
      <w:r>
        <w:rPr>
          <w:b/>
          <w:bCs/>
          <w:color w:val="000000"/>
          <w:kern w:val="0"/>
          <w:highlight w:val="none"/>
        </w:rPr>
        <w:t>摄像机管理</w:t>
      </w:r>
    </w:p>
    <w:p>
      <w:pPr>
        <w:autoSpaceDE w:val="0"/>
        <w:autoSpaceDN w:val="0"/>
        <w:adjustRightInd w:val="0"/>
        <w:spacing w:line="360" w:lineRule="auto"/>
        <w:ind w:firstLine="420" w:firstLineChars="200"/>
        <w:jc w:val="left"/>
        <w:rPr>
          <w:color w:val="000000"/>
          <w:kern w:val="0"/>
          <w:highlight w:val="none"/>
        </w:rPr>
      </w:pPr>
      <w:r>
        <w:rPr>
          <w:color w:val="000000"/>
          <w:kern w:val="0"/>
          <w:highlight w:val="none"/>
        </w:rPr>
        <w:t>摄像机管理应至少包含摄像机信息配置、摄像机组定义和管理功能。支持按摄像机组进行轮巡。</w:t>
      </w:r>
    </w:p>
    <w:p>
      <w:pPr>
        <w:numPr>
          <w:ilvl w:val="0"/>
          <w:numId w:val="44"/>
        </w:numPr>
        <w:autoSpaceDE w:val="0"/>
        <w:autoSpaceDN w:val="0"/>
        <w:adjustRightInd w:val="0"/>
        <w:spacing w:line="360" w:lineRule="auto"/>
        <w:ind w:left="0" w:firstLine="420" w:firstLineChars="200"/>
        <w:jc w:val="left"/>
        <w:rPr>
          <w:b/>
          <w:bCs/>
          <w:color w:val="000000"/>
          <w:kern w:val="0"/>
          <w:highlight w:val="none"/>
        </w:rPr>
      </w:pPr>
      <w:r>
        <w:rPr>
          <w:b/>
          <w:bCs/>
          <w:color w:val="000000"/>
          <w:kern w:val="0"/>
          <w:highlight w:val="none"/>
        </w:rPr>
        <w:t>存储管理</w:t>
      </w:r>
    </w:p>
    <w:p>
      <w:pPr>
        <w:autoSpaceDE w:val="0"/>
        <w:autoSpaceDN w:val="0"/>
        <w:adjustRightInd w:val="0"/>
        <w:spacing w:line="360" w:lineRule="auto"/>
        <w:ind w:firstLine="420" w:firstLineChars="200"/>
        <w:jc w:val="left"/>
        <w:rPr>
          <w:color w:val="000000"/>
          <w:kern w:val="0"/>
          <w:highlight w:val="none"/>
        </w:rPr>
      </w:pPr>
      <w:r>
        <w:rPr>
          <w:color w:val="000000"/>
          <w:kern w:val="0"/>
          <w:highlight w:val="none"/>
        </w:rPr>
        <w:t>存储管理应至少包含对存储设备中数据进行多条件检索、实时浏览监控文件、录像计划、清盘策略、录像优先保留等基本功能。</w:t>
      </w:r>
    </w:p>
    <w:p>
      <w:pPr>
        <w:spacing w:line="360" w:lineRule="auto"/>
        <w:ind w:firstLine="420" w:firstLineChars="200"/>
        <w:rPr>
          <w:rFonts w:ascii="微软雅黑" w:hAnsi="微软雅黑" w:eastAsia="微软雅黑" w:cs="微软雅黑"/>
          <w:b/>
          <w:bCs/>
          <w:highlight w:val="none"/>
        </w:rPr>
      </w:pPr>
      <w:r>
        <w:rPr>
          <w:rFonts w:hint="eastAsia" w:ascii="微软雅黑" w:hAnsi="微软雅黑" w:eastAsia="微软雅黑" w:cs="微软雅黑"/>
          <w:b/>
          <w:bCs/>
          <w:highlight w:val="none"/>
        </w:rPr>
        <w:t>1.6监测内容与指标目的</w:t>
      </w:r>
    </w:p>
    <w:p>
      <w:pPr>
        <w:autoSpaceDE w:val="0"/>
        <w:autoSpaceDN w:val="0"/>
        <w:adjustRightInd w:val="0"/>
        <w:spacing w:line="360" w:lineRule="auto"/>
        <w:ind w:firstLine="420" w:firstLineChars="200"/>
        <w:jc w:val="left"/>
        <w:rPr>
          <w:color w:val="000000"/>
          <w:kern w:val="0"/>
          <w:highlight w:val="none"/>
        </w:rPr>
      </w:pPr>
      <w:r>
        <w:rPr>
          <w:color w:val="000000"/>
          <w:kern w:val="0"/>
          <w:highlight w:val="none"/>
        </w:rPr>
        <w:t>为确保排水管网的安全运行，管网节点监测的对象应包括排水分区内的关键管网节点、接入相应受纳水体的排放口或接入下游管网的出口。根据监测区域排水系统特点，结合模型率定与验证需求，还可对上游关键节点进行监测，如排水分区上游转输管段、主干管线的支线接入点等流量可能发生剧烈变化的位置。管网节点监测应根据监测目标和管网类型确定监测内容与指标，一般监测内容主要包括液位和流量，并根据需要同步对水质进行检测。由于污水中含有较多有毒有害物质，且具有难闻的气味，若发生溢流会严重影响环境质量。因此有条件的情况下，在溢流风险较高的节点进行液位监测工作时，宜实时动态监测污水管网运行负荷，当液位较高时发出预警报警，通过采取有效措施，避免溢流事故的发生。此外，通过对污水管网液位进行监测可基本掌握区域排污负荷，但液位指标仅可进行定性的判断，进一步补充流量的监测后，可得到各干管准确的排污量；泵站、调蓄池、污水厂等主要设施进出水口连接管道的流量监测，可量化各设施服务区域内污水产生量，支持进一步与理论数据进行比对，评估运行现状、进行合理化调度，为排水管网的运行安全提供支持。</w:t>
      </w:r>
    </w:p>
    <w:p>
      <w:pPr>
        <w:pStyle w:val="23"/>
        <w:spacing w:line="360" w:lineRule="auto"/>
        <w:ind w:firstLine="420" w:firstLineChars="200"/>
        <w:rPr>
          <w:highlight w:val="none"/>
        </w:rPr>
      </w:pPr>
      <w:r>
        <w:rPr>
          <w:highlight w:val="none"/>
        </w:rPr>
        <w:t>污水管网在线监测水质指标选择悬浮物、电导率；合流制泵站排放口等则按需通过自动采样与人工化验相结合的方式，对排水管网水质指标进行较为全面的掌握。根据运行管理要求和水体水质目标等，采样检测的水质指标需考虑pH、温度、溶解氧、电导率、浊度、总磷、总氮、等多参数指标进行检测。</w:t>
      </w:r>
    </w:p>
    <w:p>
      <w:pPr>
        <w:autoSpaceDE w:val="0"/>
        <w:autoSpaceDN w:val="0"/>
        <w:adjustRightInd w:val="0"/>
        <w:spacing w:line="360" w:lineRule="auto"/>
        <w:ind w:firstLine="420" w:firstLineChars="200"/>
        <w:jc w:val="left"/>
        <w:rPr>
          <w:color w:val="000000"/>
          <w:kern w:val="0"/>
          <w:highlight w:val="none"/>
        </w:rPr>
      </w:pPr>
      <w:r>
        <w:rPr>
          <w:color w:val="000000"/>
          <w:kern w:val="0"/>
          <w:highlight w:val="none"/>
        </w:rPr>
        <w:t>雨水液位指标监测成本较低，且准确性高，通过在线监测雨水管网节点的液位变化情况，在降雨尤其是短时强降雨过程中，掌握历史积水点、易涝点及重点路段节点的液位变化，可以对积水事故进行及时的预警和报警，保障城市水安全。流量指标是定量指标，可以通过节点流量监测，统计分析对应区域雨水径流的产生与汇集情况；通过对主要行泄通道的监测，可定量计算区域径流量；补充下游主干管节点的监测，可掌握各分区排水负荷，支持雨水泵站等设施的运行调度。源头监测主要涉及重点排水户接户井及雨水接户井。排水户的选择，应重点考虑排水量大、存在超标超限排放风险的排水户。这类排水户一旦发生偷排漏排情况，会对排水系统及区域水环境产生严重影响。利用在线监测不仅可进行预警预报，避免事故发生，还可支持事后分析，支持事故追责。雨水接户井主要针对海绵化改造的源头项目，在经过系列改造后，通过流量监测定量评价降雨径流量的削减是否达到目标；进一步开展水质监测，可支持水质净化效果的定量评价。</w:t>
      </w:r>
    </w:p>
    <w:p>
      <w:pPr>
        <w:spacing w:line="360" w:lineRule="auto"/>
        <w:ind w:firstLine="420" w:firstLineChars="200"/>
        <w:jc w:val="left"/>
        <w:rPr>
          <w:rFonts w:ascii="微软雅黑" w:hAnsi="微软雅黑" w:eastAsia="微软雅黑" w:cs="微软雅黑"/>
          <w:b/>
          <w:bCs/>
          <w:highlight w:val="none"/>
        </w:rPr>
      </w:pPr>
      <w:bookmarkStart w:id="67" w:name="_Toc8288"/>
      <w:r>
        <w:rPr>
          <w:rFonts w:hint="eastAsia" w:ascii="微软雅黑" w:hAnsi="微软雅黑" w:eastAsia="微软雅黑" w:cs="微软雅黑"/>
          <w:b/>
          <w:bCs/>
          <w:highlight w:val="none"/>
        </w:rPr>
        <w:t>五）智慧排水标准规范编制</w:t>
      </w:r>
      <w:bookmarkEnd w:id="67"/>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1.</w:t>
      </w:r>
      <w:bookmarkStart w:id="68" w:name="_Toc21848"/>
      <w:r>
        <w:rPr>
          <w:rFonts w:hint="eastAsia" w:ascii="微软雅黑" w:hAnsi="微软雅黑" w:eastAsia="微软雅黑" w:cs="微软雅黑"/>
          <w:b/>
          <w:bCs/>
          <w:highlight w:val="none"/>
        </w:rPr>
        <w:t>《江北区物联感知数据传输及接入技术指南》编制</w:t>
      </w:r>
      <w:bookmarkEnd w:id="68"/>
    </w:p>
    <w:p>
      <w:pPr>
        <w:spacing w:line="360" w:lineRule="auto"/>
        <w:ind w:firstLine="420" w:firstLineChars="200"/>
        <w:rPr>
          <w:highlight w:val="none"/>
        </w:rPr>
      </w:pPr>
      <w:r>
        <w:rPr>
          <w:highlight w:val="none"/>
        </w:rPr>
        <w:t>包含</w:t>
      </w:r>
      <w:r>
        <w:rPr>
          <w:rFonts w:hint="eastAsia"/>
          <w:highlight w:val="none"/>
        </w:rPr>
        <w:t>江北区内的</w:t>
      </w:r>
      <w:r>
        <w:rPr>
          <w:highlight w:val="none"/>
        </w:rPr>
        <w:t>物联网设备协议要求、命名规范、设备数据接入、采集要求、主要设备技术要求、格式编码要求、传输要求等。</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2.</w:t>
      </w:r>
      <w:bookmarkStart w:id="69" w:name="_Toc4617"/>
      <w:r>
        <w:rPr>
          <w:rFonts w:hint="eastAsia" w:ascii="微软雅黑" w:hAnsi="微软雅黑" w:eastAsia="微软雅黑" w:cs="微软雅黑"/>
          <w:b/>
          <w:bCs/>
          <w:highlight w:val="none"/>
        </w:rPr>
        <w:t>《江北区排水设施基础感知建设导则》编制</w:t>
      </w:r>
      <w:bookmarkEnd w:id="69"/>
    </w:p>
    <w:p>
      <w:pPr>
        <w:spacing w:line="360" w:lineRule="auto"/>
        <w:ind w:firstLine="420" w:firstLineChars="200"/>
        <w:rPr>
          <w:highlight w:val="none"/>
        </w:rPr>
      </w:pPr>
      <w:r>
        <w:rPr>
          <w:highlight w:val="none"/>
        </w:rPr>
        <w:t>包含</w:t>
      </w:r>
      <w:r>
        <w:rPr>
          <w:rFonts w:hint="eastAsia"/>
          <w:highlight w:val="none"/>
        </w:rPr>
        <w:t>江北区内的</w:t>
      </w:r>
      <w:r>
        <w:rPr>
          <w:highlight w:val="none"/>
        </w:rPr>
        <w:t>排水设施基础感知建设标准以及基础感知建设技术要求。</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3.</w:t>
      </w:r>
      <w:bookmarkStart w:id="70" w:name="_Toc6553"/>
      <w:r>
        <w:rPr>
          <w:rFonts w:hint="eastAsia" w:ascii="微软雅黑" w:hAnsi="微软雅黑" w:eastAsia="微软雅黑" w:cs="微软雅黑"/>
          <w:b/>
          <w:bCs/>
          <w:highlight w:val="none"/>
        </w:rPr>
        <w:t>《江北区地下管线数据建库入库标准》编制</w:t>
      </w:r>
      <w:bookmarkEnd w:id="70"/>
    </w:p>
    <w:p>
      <w:pPr>
        <w:spacing w:line="360" w:lineRule="auto"/>
        <w:ind w:firstLine="420" w:firstLineChars="200"/>
        <w:rPr>
          <w:highlight w:val="none"/>
        </w:rPr>
      </w:pPr>
      <w:r>
        <w:rPr>
          <w:rFonts w:hint="eastAsia"/>
          <w:highlight w:val="none"/>
        </w:rPr>
        <w:t>包含江北区地下管线数据建库与入库标准，统筹地下管线数据。</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4.</w:t>
      </w:r>
      <w:bookmarkStart w:id="71" w:name="_Toc6318"/>
      <w:r>
        <w:rPr>
          <w:rFonts w:hint="eastAsia" w:ascii="微软雅黑" w:hAnsi="微软雅黑" w:eastAsia="微软雅黑" w:cs="微软雅黑"/>
          <w:b/>
          <w:bCs/>
          <w:highlight w:val="none"/>
        </w:rPr>
        <w:t>《江北区CCTV数据建库入库标准》编制</w:t>
      </w:r>
      <w:bookmarkEnd w:id="71"/>
    </w:p>
    <w:p>
      <w:pPr>
        <w:spacing w:line="360" w:lineRule="auto"/>
        <w:ind w:firstLine="420" w:firstLineChars="200"/>
        <w:rPr>
          <w:highlight w:val="none"/>
        </w:rPr>
      </w:pPr>
      <w:r>
        <w:rPr>
          <w:rFonts w:hint="eastAsia"/>
          <w:highlight w:val="none"/>
        </w:rPr>
        <w:t>包含CCTV数据建库与入库的标准，统筹江北区CCTV探测数据。</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5.</w:t>
      </w:r>
      <w:bookmarkStart w:id="72" w:name="_Toc11795"/>
      <w:r>
        <w:rPr>
          <w:rFonts w:hint="eastAsia" w:ascii="微软雅黑" w:hAnsi="微软雅黑" w:eastAsia="微软雅黑" w:cs="微软雅黑"/>
          <w:b/>
          <w:bCs/>
          <w:highlight w:val="none"/>
        </w:rPr>
        <w:t>《江北区排水系统数据传输接入标准》编制</w:t>
      </w:r>
      <w:bookmarkEnd w:id="72"/>
    </w:p>
    <w:p>
      <w:pPr>
        <w:spacing w:line="360" w:lineRule="auto"/>
        <w:ind w:firstLine="420" w:firstLineChars="200"/>
        <w:rPr>
          <w:highlight w:val="none"/>
        </w:rPr>
      </w:pPr>
      <w:r>
        <w:rPr>
          <w:rFonts w:hint="eastAsia"/>
          <w:highlight w:val="none"/>
        </w:rPr>
        <w:t>包含江北区各乡镇街道排水系统对接本系统所涉及到字符串、接口、传输方式等内容制定标准规范</w:t>
      </w:r>
    </w:p>
    <w:p>
      <w:pPr>
        <w:spacing w:line="360" w:lineRule="auto"/>
        <w:ind w:firstLine="420" w:firstLineChars="200"/>
        <w:jc w:val="left"/>
        <w:rPr>
          <w:rFonts w:ascii="微软雅黑" w:hAnsi="微软雅黑" w:eastAsia="微软雅黑" w:cs="微软雅黑"/>
          <w:b/>
          <w:bCs/>
          <w:highlight w:val="none"/>
        </w:rPr>
      </w:pPr>
      <w:bookmarkStart w:id="73" w:name="_Toc31274"/>
      <w:bookmarkStart w:id="74" w:name="_Toc16593"/>
      <w:r>
        <w:rPr>
          <w:rFonts w:hint="eastAsia" w:ascii="微软雅黑" w:hAnsi="微软雅黑" w:eastAsia="微软雅黑" w:cs="微软雅黑"/>
          <w:b/>
          <w:bCs/>
          <w:highlight w:val="none"/>
        </w:rPr>
        <w:t>六）信息安全保障体系设计</w:t>
      </w:r>
      <w:bookmarkEnd w:id="73"/>
      <w:bookmarkEnd w:id="74"/>
    </w:p>
    <w:p>
      <w:pPr>
        <w:spacing w:line="360" w:lineRule="auto"/>
        <w:ind w:firstLine="420" w:firstLineChars="200"/>
        <w:rPr>
          <w:color w:val="002060"/>
          <w:highlight w:val="none"/>
        </w:rPr>
      </w:pPr>
      <w:r>
        <w:rPr>
          <w:bCs/>
          <w:highlight w:val="none"/>
        </w:rPr>
        <w:t>本项目依据《信息系统安全等级保护基本要求》的基本要求，根据宁波市智能化公共数据平台安全防御体系，系统建立完整信息安全体系，使得系统具有身份抗抵赖、系统可管理、操作可审计等特性，从物理、系统、运行、管理等多方面保护信息系统的安全、稳定与可靠。系统建设实现的安全内容及其功能，充分考虑整个系统的安全性。</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1.</w:t>
      </w:r>
      <w:bookmarkStart w:id="75" w:name="_Toc77092962"/>
      <w:bookmarkStart w:id="76" w:name="_Toc19867"/>
      <w:bookmarkStart w:id="77" w:name="_Toc25729"/>
      <w:bookmarkStart w:id="78" w:name="_Toc69475067"/>
      <w:bookmarkStart w:id="79" w:name="_Toc17757"/>
      <w:bookmarkStart w:id="80" w:name="_Toc9548"/>
      <w:r>
        <w:rPr>
          <w:rFonts w:hint="eastAsia" w:ascii="微软雅黑" w:hAnsi="微软雅黑" w:eastAsia="微软雅黑" w:cs="微软雅黑"/>
          <w:b/>
          <w:bCs/>
          <w:highlight w:val="none"/>
        </w:rPr>
        <w:t>云平台安全</w:t>
      </w:r>
      <w:bookmarkEnd w:id="75"/>
      <w:bookmarkEnd w:id="76"/>
      <w:bookmarkEnd w:id="77"/>
      <w:bookmarkEnd w:id="78"/>
      <w:bookmarkEnd w:id="79"/>
      <w:bookmarkEnd w:id="80"/>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1.1</w:t>
      </w:r>
      <w:bookmarkStart w:id="81" w:name="_Toc15297"/>
      <w:bookmarkStart w:id="82" w:name="_Toc5642"/>
      <w:bookmarkStart w:id="83" w:name="_Toc5718"/>
      <w:bookmarkStart w:id="84" w:name="_Toc11491"/>
      <w:r>
        <w:rPr>
          <w:rFonts w:hint="eastAsia" w:ascii="微软雅黑" w:hAnsi="微软雅黑" w:eastAsia="微软雅黑" w:cs="微软雅黑"/>
          <w:b/>
          <w:bCs/>
          <w:highlight w:val="none"/>
        </w:rPr>
        <w:t>云平台安全审计</w:t>
      </w:r>
      <w:bookmarkEnd w:id="81"/>
      <w:bookmarkEnd w:id="82"/>
      <w:bookmarkEnd w:id="83"/>
      <w:bookmarkEnd w:id="84"/>
    </w:p>
    <w:p>
      <w:pPr>
        <w:spacing w:line="360" w:lineRule="auto"/>
        <w:ind w:firstLine="420" w:firstLineChars="200"/>
        <w:rPr>
          <w:bCs/>
          <w:highlight w:val="none"/>
        </w:rPr>
      </w:pPr>
      <w:r>
        <w:rPr>
          <w:bCs/>
          <w:highlight w:val="none"/>
        </w:rPr>
        <w:t>收集云平台内的数据库日志、主机日志，用户侧控制台操作日志、运维侧控制台操作日志，和网络设备日志，具备完整的日志收集、存储、分析、报警等功能。</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2.</w:t>
      </w:r>
      <w:bookmarkStart w:id="85" w:name="_Toc28266"/>
      <w:bookmarkStart w:id="86" w:name="_Toc69475068"/>
      <w:bookmarkStart w:id="87" w:name="_Toc18323"/>
      <w:bookmarkStart w:id="88" w:name="_Toc8021"/>
      <w:bookmarkStart w:id="89" w:name="_Toc22464"/>
      <w:bookmarkStart w:id="90" w:name="_Toc77092963"/>
      <w:r>
        <w:rPr>
          <w:rFonts w:hint="eastAsia" w:ascii="微软雅黑" w:hAnsi="微软雅黑" w:eastAsia="微软雅黑" w:cs="微软雅黑"/>
          <w:b/>
          <w:bCs/>
          <w:highlight w:val="none"/>
        </w:rPr>
        <w:t>网络安全</w:t>
      </w:r>
      <w:bookmarkEnd w:id="85"/>
      <w:bookmarkEnd w:id="86"/>
      <w:bookmarkEnd w:id="87"/>
      <w:bookmarkEnd w:id="88"/>
      <w:bookmarkEnd w:id="89"/>
      <w:bookmarkEnd w:id="90"/>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2.1</w:t>
      </w:r>
      <w:bookmarkStart w:id="91" w:name="_Toc26044"/>
      <w:bookmarkStart w:id="92" w:name="_Toc2976"/>
      <w:bookmarkStart w:id="93" w:name="_Toc31207"/>
      <w:bookmarkStart w:id="94" w:name="_Toc22785"/>
      <w:r>
        <w:rPr>
          <w:rFonts w:hint="eastAsia" w:ascii="微软雅黑" w:hAnsi="微软雅黑" w:eastAsia="微软雅黑" w:cs="微软雅黑"/>
          <w:b/>
          <w:bCs/>
          <w:highlight w:val="none"/>
        </w:rPr>
        <w:t>流量安全监控</w:t>
      </w:r>
      <w:bookmarkEnd w:id="91"/>
      <w:bookmarkEnd w:id="92"/>
      <w:bookmarkEnd w:id="93"/>
      <w:bookmarkEnd w:id="94"/>
    </w:p>
    <w:p>
      <w:pPr>
        <w:spacing w:line="360" w:lineRule="auto"/>
        <w:ind w:firstLine="420" w:firstLineChars="200"/>
        <w:rPr>
          <w:bCs/>
          <w:highlight w:val="none"/>
        </w:rPr>
      </w:pPr>
      <w:r>
        <w:rPr>
          <w:bCs/>
          <w:highlight w:val="none"/>
        </w:rPr>
        <w:t>流量安全监控在云的网络边界，通过流量镜像的方式对出入云的所有网络流量进行逐包监测分析。同时，分析结果将作为云盾其他防护模块的参考依据。</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 xml:space="preserve">2.2 </w:t>
      </w:r>
      <w:bookmarkStart w:id="95" w:name="_Toc15409"/>
      <w:bookmarkStart w:id="96" w:name="_Toc30458"/>
      <w:bookmarkStart w:id="97" w:name="_Toc11208"/>
      <w:bookmarkStart w:id="98" w:name="_Toc29481"/>
      <w:r>
        <w:rPr>
          <w:rFonts w:hint="eastAsia" w:ascii="微软雅黑" w:hAnsi="微软雅黑" w:eastAsia="微软雅黑" w:cs="微软雅黑"/>
          <w:b/>
          <w:bCs/>
          <w:highlight w:val="none"/>
        </w:rPr>
        <w:t>DDoS防护</w:t>
      </w:r>
      <w:bookmarkEnd w:id="95"/>
      <w:bookmarkEnd w:id="96"/>
      <w:bookmarkEnd w:id="97"/>
      <w:bookmarkEnd w:id="98"/>
    </w:p>
    <w:p>
      <w:pPr>
        <w:spacing w:line="360" w:lineRule="auto"/>
        <w:ind w:firstLine="420" w:firstLineChars="200"/>
        <w:rPr>
          <w:bCs/>
          <w:highlight w:val="none"/>
        </w:rPr>
      </w:pPr>
      <w:r>
        <w:rPr>
          <w:bCs/>
          <w:highlight w:val="none"/>
        </w:rPr>
        <w:t>通过DDoS防护服务提供网络链路可用性保证，提升业务连续性；对DDoS攻击流量进行检测及过滤，防御DDoS流量攻击。</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2.3</w:t>
      </w:r>
      <w:bookmarkStart w:id="99" w:name="_Toc10402"/>
      <w:bookmarkStart w:id="100" w:name="_Toc26714"/>
      <w:bookmarkStart w:id="101" w:name="_Toc25821"/>
      <w:bookmarkStart w:id="102" w:name="_Toc7905"/>
      <w:r>
        <w:rPr>
          <w:rFonts w:hint="eastAsia" w:ascii="微软雅黑" w:hAnsi="微软雅黑" w:eastAsia="微软雅黑" w:cs="微软雅黑"/>
          <w:b/>
          <w:bCs/>
          <w:highlight w:val="none"/>
        </w:rPr>
        <w:t>云防火墙</w:t>
      </w:r>
      <w:bookmarkEnd w:id="99"/>
      <w:bookmarkEnd w:id="100"/>
      <w:bookmarkEnd w:id="101"/>
      <w:bookmarkEnd w:id="102"/>
    </w:p>
    <w:p>
      <w:pPr>
        <w:spacing w:line="360" w:lineRule="auto"/>
        <w:ind w:firstLine="420" w:firstLineChars="200"/>
        <w:rPr>
          <w:bCs/>
          <w:highlight w:val="none"/>
        </w:rPr>
      </w:pPr>
      <w:r>
        <w:rPr>
          <w:bCs/>
          <w:highlight w:val="none"/>
        </w:rPr>
        <w:t>通过云防火墙服务，统一管理互联网到前端服务器的访问控制策略（东西向和南北向）。</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3.</w:t>
      </w:r>
      <w:bookmarkStart w:id="103" w:name="_Toc4163"/>
      <w:bookmarkStart w:id="104" w:name="_Toc10669"/>
      <w:r>
        <w:rPr>
          <w:rFonts w:hint="eastAsia" w:ascii="微软雅黑" w:hAnsi="微软雅黑" w:eastAsia="微软雅黑" w:cs="微软雅黑"/>
          <w:b/>
          <w:bCs/>
          <w:highlight w:val="none"/>
        </w:rPr>
        <w:t>主机安全</w:t>
      </w:r>
      <w:bookmarkEnd w:id="103"/>
      <w:bookmarkEnd w:id="104"/>
    </w:p>
    <w:p>
      <w:pPr>
        <w:spacing w:line="360" w:lineRule="auto"/>
        <w:ind w:firstLine="420" w:firstLineChars="200"/>
        <w:rPr>
          <w:bCs/>
          <w:highlight w:val="none"/>
        </w:rPr>
      </w:pPr>
      <w:r>
        <w:rPr>
          <w:bCs/>
          <w:highlight w:val="none"/>
        </w:rPr>
        <w:t>通过日志监控、文件分析、特征扫描等手段，为云服务器（ECS）提供漏洞管理、基线检查、入侵检测、病毒查杀、资产管理、网页防篡改等安全功能。</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4.</w:t>
      </w:r>
      <w:bookmarkStart w:id="105" w:name="_Toc4014"/>
      <w:bookmarkStart w:id="106" w:name="_Toc21121"/>
      <w:bookmarkStart w:id="107" w:name="_Toc7444"/>
      <w:bookmarkStart w:id="108" w:name="_Toc77092965"/>
      <w:bookmarkStart w:id="109" w:name="_Toc27752"/>
      <w:bookmarkStart w:id="110" w:name="_Toc69475070"/>
      <w:r>
        <w:rPr>
          <w:rFonts w:hint="eastAsia" w:ascii="微软雅黑" w:hAnsi="微软雅黑" w:eastAsia="微软雅黑" w:cs="微软雅黑"/>
          <w:b/>
          <w:bCs/>
          <w:highlight w:val="none"/>
        </w:rPr>
        <w:t>应用安全</w:t>
      </w:r>
      <w:bookmarkEnd w:id="105"/>
      <w:bookmarkEnd w:id="106"/>
      <w:bookmarkEnd w:id="107"/>
      <w:bookmarkEnd w:id="108"/>
      <w:bookmarkEnd w:id="109"/>
      <w:bookmarkEnd w:id="110"/>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4.1身份鉴别</w:t>
      </w:r>
    </w:p>
    <w:p>
      <w:pPr>
        <w:spacing w:line="360" w:lineRule="auto"/>
        <w:ind w:firstLine="420" w:firstLineChars="200"/>
        <w:rPr>
          <w:highlight w:val="none"/>
        </w:rPr>
      </w:pPr>
      <w:r>
        <w:rPr>
          <w:rFonts w:hint="eastAsia"/>
          <w:highlight w:val="none"/>
        </w:rPr>
        <w:t>本项目中为提高应用系统安全性需要进行一系列的加固措施，包括：</w:t>
      </w:r>
    </w:p>
    <w:p>
      <w:pPr>
        <w:spacing w:line="360" w:lineRule="auto"/>
        <w:ind w:firstLine="420" w:firstLineChars="200"/>
        <w:rPr>
          <w:highlight w:val="none"/>
        </w:rPr>
      </w:pPr>
      <w:r>
        <w:rPr>
          <w:rFonts w:hint="eastAsia"/>
          <w:highlight w:val="none"/>
        </w:rPr>
        <w:t>1．对登录用户进行身份标识和鉴别，且保证用户名的唯一性。</w:t>
      </w:r>
    </w:p>
    <w:p>
      <w:pPr>
        <w:spacing w:line="360" w:lineRule="auto"/>
        <w:ind w:firstLine="420" w:firstLineChars="200"/>
        <w:rPr>
          <w:highlight w:val="none"/>
        </w:rPr>
      </w:pPr>
      <w:r>
        <w:rPr>
          <w:rFonts w:hint="eastAsia"/>
          <w:highlight w:val="none"/>
        </w:rPr>
        <w:t>2．根据基本要求配置用户名/口令，必须具备一定的复杂度；口令必须具备采用3种以上字符、长度不少于8位。</w:t>
      </w:r>
    </w:p>
    <w:p>
      <w:pPr>
        <w:spacing w:line="360" w:lineRule="auto"/>
        <w:ind w:firstLine="420" w:firstLineChars="200"/>
        <w:rPr>
          <w:highlight w:val="none"/>
        </w:rPr>
      </w:pPr>
      <w:r>
        <w:rPr>
          <w:rFonts w:hint="eastAsia"/>
          <w:highlight w:val="none"/>
        </w:rPr>
        <w:t>3．要求用户定期更换密码，限制用户登录失败尝试次数；</w:t>
      </w:r>
    </w:p>
    <w:p>
      <w:pPr>
        <w:spacing w:line="360" w:lineRule="auto"/>
        <w:ind w:firstLine="420" w:firstLineChars="200"/>
        <w:rPr>
          <w:highlight w:val="none"/>
        </w:rPr>
      </w:pPr>
      <w:r>
        <w:rPr>
          <w:rFonts w:hint="eastAsia"/>
          <w:highlight w:val="none"/>
        </w:rPr>
        <w:t>4．启用登录失败处理功能，登录失败后采取结束会话和自动退出等措施。</w:t>
      </w:r>
    </w:p>
    <w:p>
      <w:pPr>
        <w:spacing w:line="360" w:lineRule="auto"/>
        <w:ind w:firstLine="420" w:firstLineChars="200"/>
        <w:rPr>
          <w:highlight w:val="none"/>
        </w:rPr>
      </w:pPr>
      <w:r>
        <w:rPr>
          <w:rFonts w:hint="eastAsia"/>
          <w:highlight w:val="none"/>
        </w:rPr>
        <w:t>5．采用密码技术防止鉴别信息在网络传输过程中被窃听。</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4.2访问控制</w:t>
      </w:r>
    </w:p>
    <w:p>
      <w:pPr>
        <w:spacing w:line="360" w:lineRule="auto"/>
        <w:ind w:firstLine="420" w:firstLineChars="200"/>
        <w:rPr>
          <w:highlight w:val="none"/>
        </w:rPr>
      </w:pPr>
      <w:r>
        <w:rPr>
          <w:rFonts w:hint="eastAsia"/>
          <w:highlight w:val="none"/>
        </w:rPr>
        <w:t>为了避免越权非法使用应用系统的文件、数据库等资源，为用户分配相应的权限，通过角色控制用户的权限，各用户仅拥有所需的最小权限。采用的措施主要包括：</w:t>
      </w:r>
    </w:p>
    <w:p>
      <w:pPr>
        <w:spacing w:line="360" w:lineRule="auto"/>
        <w:ind w:firstLine="420" w:firstLineChars="200"/>
        <w:rPr>
          <w:highlight w:val="none"/>
        </w:rPr>
      </w:pPr>
      <w:r>
        <w:rPr>
          <w:rFonts w:hint="eastAsia"/>
          <w:highlight w:val="none"/>
        </w:rPr>
        <w:t>1．启用访问控制功能：制定严格的访问控制安全策略，根据策略控制用户对应用系统的访问，特别是文件操作、数据库访问等，控制粒度主体为用户级、客体为文件或数据库表级。</w:t>
      </w:r>
    </w:p>
    <w:p>
      <w:pPr>
        <w:spacing w:line="360" w:lineRule="auto"/>
        <w:ind w:firstLine="420" w:firstLineChars="200"/>
        <w:rPr>
          <w:highlight w:val="none"/>
        </w:rPr>
      </w:pPr>
      <w:r>
        <w:rPr>
          <w:rFonts w:hint="eastAsia"/>
          <w:highlight w:val="none"/>
        </w:rPr>
        <w:t>2．权限控制：对于制定的访问控制规则要能清楚地覆盖资源访问相关的主体、客体及它们之间的操作。对于不同的用户授权原则是进行能够完成工作的最小化授权，避免授权范围过大，并在它们之间形成相互制约的关系。</w:t>
      </w:r>
    </w:p>
    <w:p>
      <w:pPr>
        <w:spacing w:line="360" w:lineRule="auto"/>
        <w:ind w:firstLine="420" w:firstLineChars="200"/>
        <w:rPr>
          <w:highlight w:val="none"/>
        </w:rPr>
      </w:pPr>
      <w:r>
        <w:rPr>
          <w:rFonts w:hint="eastAsia"/>
          <w:highlight w:val="none"/>
        </w:rPr>
        <w:t>3．账号管理：严格限制默认账户的访问权限，重命名默认账户，修改默认口令；及时删除多余的、过期的账户，避免共享账户的存在。</w:t>
      </w:r>
    </w:p>
    <w:p>
      <w:pPr>
        <w:spacing w:line="360" w:lineRule="auto"/>
        <w:ind w:firstLine="420" w:firstLineChars="200"/>
        <w:rPr>
          <w:highlight w:val="none"/>
        </w:rPr>
      </w:pPr>
      <w:r>
        <w:rPr>
          <w:rFonts w:hint="eastAsia"/>
          <w:highlight w:val="none"/>
        </w:rPr>
        <w:t>4．访问控制的实现主要采取两种方式：采用安全操作系统，或对操作系统进行安全增强改造。</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4.3安全审计</w:t>
      </w:r>
    </w:p>
    <w:p>
      <w:pPr>
        <w:spacing w:line="360" w:lineRule="auto"/>
        <w:ind w:firstLine="420" w:firstLineChars="200"/>
        <w:rPr>
          <w:highlight w:val="none"/>
        </w:rPr>
      </w:pPr>
      <w:r>
        <w:rPr>
          <w:rFonts w:hint="eastAsia"/>
          <w:highlight w:val="none"/>
        </w:rPr>
        <w:t>对登录用户所有操作进行审计。系统安全审计包含主机审计和应用审计两个层面，本项目中主机审计由宁波城市大脑环境保障，应用审计主要包括：</w:t>
      </w:r>
    </w:p>
    <w:p>
      <w:pPr>
        <w:spacing w:line="360" w:lineRule="auto"/>
        <w:ind w:firstLine="420" w:firstLineChars="200"/>
        <w:rPr>
          <w:highlight w:val="none"/>
        </w:rPr>
      </w:pPr>
      <w:r>
        <w:rPr>
          <w:rFonts w:hint="eastAsia"/>
          <w:highlight w:val="none"/>
        </w:rPr>
        <w:t>1．审计功能记录系统重要安全事件的日期、时间、发起者信息、类型、描述和结果等，并保护好审计结果，阻止非法删除、修改或覆盖审计记录。同时能够对记录数据进行统计、查询、分析及生成审计报表。</w:t>
      </w:r>
    </w:p>
    <w:p>
      <w:pPr>
        <w:spacing w:line="360" w:lineRule="auto"/>
        <w:ind w:firstLine="420" w:firstLineChars="200"/>
        <w:rPr>
          <w:highlight w:val="none"/>
        </w:rPr>
      </w:pPr>
      <w:r>
        <w:rPr>
          <w:rFonts w:hint="eastAsia"/>
          <w:highlight w:val="none"/>
        </w:rPr>
        <w:t>2．数据库启用自身日志对用户操作进行审计，并覆盖到所有用户。</w:t>
      </w:r>
    </w:p>
    <w:p>
      <w:pPr>
        <w:spacing w:line="360" w:lineRule="auto"/>
        <w:ind w:firstLine="420" w:firstLineChars="200"/>
        <w:rPr>
          <w:highlight w:val="none"/>
        </w:rPr>
      </w:pPr>
      <w:r>
        <w:rPr>
          <w:rFonts w:hint="eastAsia"/>
          <w:highlight w:val="none"/>
        </w:rPr>
        <w:t>3．对审计记录进行全量备份，定期对数据实施异地备份，审计记录留存时间需满足法律法规要求。</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4.4软件容错</w:t>
      </w:r>
    </w:p>
    <w:p>
      <w:pPr>
        <w:spacing w:line="360" w:lineRule="auto"/>
        <w:ind w:firstLine="420" w:firstLineChars="200"/>
        <w:rPr>
          <w:highlight w:val="none"/>
        </w:rPr>
      </w:pPr>
      <w:r>
        <w:rPr>
          <w:rFonts w:hint="eastAsia"/>
          <w:highlight w:val="none"/>
        </w:rPr>
        <w:t>为提高软件可靠性，需提供足够的冗余信息和算法程序，使系统在实际运行时能够及时发现程序设计错误，采取补救措施，保证整个计算机系统的正常运行。包括：</w:t>
      </w:r>
    </w:p>
    <w:p>
      <w:pPr>
        <w:spacing w:line="360" w:lineRule="auto"/>
        <w:ind w:firstLine="420" w:firstLineChars="200"/>
        <w:rPr>
          <w:highlight w:val="none"/>
        </w:rPr>
      </w:pPr>
      <w:r>
        <w:rPr>
          <w:rFonts w:hint="eastAsia"/>
          <w:highlight w:val="none"/>
        </w:rPr>
        <w:t>1．提供数据有效性检验功能，保证通过人机接口输入或通过通信接口输入的数据格式或长度符合系统设定要求；</w:t>
      </w:r>
    </w:p>
    <w:p>
      <w:pPr>
        <w:spacing w:line="360" w:lineRule="auto"/>
        <w:ind w:firstLine="420" w:firstLineChars="200"/>
        <w:rPr>
          <w:highlight w:val="none"/>
        </w:rPr>
      </w:pPr>
      <w:r>
        <w:rPr>
          <w:rFonts w:hint="eastAsia"/>
          <w:highlight w:val="none"/>
        </w:rPr>
        <w:t>2．具备自我保护功能，在故障发生时，应用系统应能够自动保存当前所有状态，确保系统能够进行恢复。</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4.5数据完整性与保密性</w:t>
      </w:r>
    </w:p>
    <w:p>
      <w:pPr>
        <w:spacing w:line="360" w:lineRule="auto"/>
        <w:ind w:firstLine="420" w:firstLineChars="200"/>
        <w:rPr>
          <w:highlight w:val="none"/>
        </w:rPr>
      </w:pPr>
      <w:r>
        <w:rPr>
          <w:rFonts w:hint="eastAsia"/>
          <w:highlight w:val="none"/>
        </w:rPr>
        <w:t>为保证通信过程数据的完整性和保密性，降低非法篡改或信息泄露风险，需选用SSLVPN、https协议、ssh协议进行传输。</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4.6个人信息保护</w:t>
      </w:r>
    </w:p>
    <w:p>
      <w:pPr>
        <w:spacing w:line="360" w:lineRule="auto"/>
        <w:ind w:firstLine="420" w:firstLineChars="200"/>
        <w:rPr>
          <w:highlight w:val="none"/>
        </w:rPr>
      </w:pPr>
      <w:r>
        <w:rPr>
          <w:rFonts w:hint="eastAsia"/>
          <w:highlight w:val="none"/>
        </w:rPr>
        <w:t>仅采集和保存业务必需的用户个人信息；禁止未授权访问和非法使用用户个人信息。个人信息保护方面，数据库收集用户的姓名、联系方式等信息，且限制管理员和业务管理单位可查看。</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4.7资源控制</w:t>
      </w:r>
    </w:p>
    <w:p>
      <w:pPr>
        <w:spacing w:line="360" w:lineRule="auto"/>
        <w:ind w:firstLine="420" w:firstLineChars="200"/>
        <w:rPr>
          <w:highlight w:val="none"/>
        </w:rPr>
      </w:pPr>
      <w:r>
        <w:rPr>
          <w:rFonts w:hint="eastAsia"/>
          <w:highlight w:val="none"/>
        </w:rPr>
        <w:t>为保证应用系统正常的为用户提供服务，必须进行资源控制，否则会出现资源耗尽、服务质量下降甚至服务中断等后果。通过对应用系统进行开发或配置来达到控制的目标，包括：</w:t>
      </w:r>
    </w:p>
    <w:p>
      <w:pPr>
        <w:spacing w:line="360" w:lineRule="auto"/>
        <w:ind w:firstLine="420" w:firstLineChars="200"/>
        <w:rPr>
          <w:highlight w:val="none"/>
        </w:rPr>
      </w:pPr>
      <w:r>
        <w:rPr>
          <w:rFonts w:hint="eastAsia"/>
          <w:highlight w:val="none"/>
        </w:rPr>
        <w:t>1．会话自动结束：当应用系统的通信双方中的一方在一段时间内未作任何响应，另一方应能够及时检测并自动结束会话，释放资源；</w:t>
      </w:r>
    </w:p>
    <w:p>
      <w:pPr>
        <w:spacing w:line="360" w:lineRule="auto"/>
        <w:ind w:firstLine="420" w:firstLineChars="200"/>
        <w:rPr>
          <w:highlight w:val="none"/>
        </w:rPr>
      </w:pPr>
      <w:r>
        <w:rPr>
          <w:rFonts w:hint="eastAsia"/>
          <w:highlight w:val="none"/>
        </w:rPr>
        <w:t>2．会话限制：对应用系统的最大并发会话连接数进行限制，对一个时间段内可能的并发会话连接数进行限制，同时对单个账户的多重并发会话进行限制，设定相关阈值，保证系统可用性。</w:t>
      </w:r>
    </w:p>
    <w:p>
      <w:pPr>
        <w:spacing w:line="360" w:lineRule="auto"/>
        <w:ind w:firstLine="420" w:firstLineChars="200"/>
        <w:rPr>
          <w:highlight w:val="none"/>
        </w:rPr>
      </w:pPr>
      <w:r>
        <w:rPr>
          <w:rFonts w:hint="eastAsia"/>
          <w:highlight w:val="none"/>
        </w:rPr>
        <w:t>3．登录条件限制：通过设定终端接入方式、网络地址范围等条件限制终端登录。</w:t>
      </w:r>
    </w:p>
    <w:p>
      <w:pPr>
        <w:spacing w:line="360" w:lineRule="auto"/>
        <w:ind w:firstLine="420" w:firstLineChars="200"/>
        <w:rPr>
          <w:highlight w:val="none"/>
        </w:rPr>
      </w:pPr>
      <w:r>
        <w:rPr>
          <w:rFonts w:hint="eastAsia"/>
          <w:highlight w:val="none"/>
        </w:rPr>
        <w:t>4．超时锁定：根据安全策略设置登录终端的操作超时锁定。</w:t>
      </w:r>
    </w:p>
    <w:p>
      <w:pPr>
        <w:spacing w:line="360" w:lineRule="auto"/>
        <w:ind w:firstLine="420" w:firstLineChars="200"/>
        <w:rPr>
          <w:highlight w:val="none"/>
        </w:rPr>
      </w:pPr>
      <w:r>
        <w:rPr>
          <w:rFonts w:hint="eastAsia"/>
          <w:highlight w:val="none"/>
        </w:rPr>
        <w:t>5．用户可用资源阈值：限制单个用户对系统资源的最大或最小使用限度，保障正常合理的资源占用。</w:t>
      </w:r>
    </w:p>
    <w:p>
      <w:pPr>
        <w:spacing w:line="360" w:lineRule="auto"/>
        <w:ind w:firstLine="420" w:firstLineChars="200"/>
        <w:rPr>
          <w:highlight w:val="none"/>
        </w:rPr>
      </w:pPr>
      <w:r>
        <w:rPr>
          <w:rFonts w:hint="eastAsia"/>
          <w:highlight w:val="none"/>
        </w:rPr>
        <w:t>6．对系统的服务水平降低到预先规定的最小值进行检测和报警。</w:t>
      </w:r>
    </w:p>
    <w:p>
      <w:pPr>
        <w:spacing w:line="360" w:lineRule="auto"/>
        <w:ind w:firstLine="420" w:firstLineChars="200"/>
        <w:rPr>
          <w:highlight w:val="none"/>
        </w:rPr>
      </w:pPr>
      <w:r>
        <w:rPr>
          <w:rFonts w:hint="eastAsia"/>
          <w:highlight w:val="none"/>
        </w:rPr>
        <w:t>7．提供服务优先级设定功能，并在安装后根据安全策略设定访问账户或请求进程的优先级，根据优先级分配系统资源。</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5.</w:t>
      </w:r>
      <w:bookmarkStart w:id="111" w:name="_Toc20892"/>
      <w:bookmarkStart w:id="112" w:name="_Toc14531"/>
      <w:bookmarkStart w:id="113" w:name="_Toc69475071"/>
      <w:bookmarkStart w:id="114" w:name="_Toc77092966"/>
      <w:bookmarkStart w:id="115" w:name="_Toc23733"/>
      <w:bookmarkStart w:id="116" w:name="_Toc14857"/>
      <w:r>
        <w:rPr>
          <w:rFonts w:hint="eastAsia" w:ascii="微软雅黑" w:hAnsi="微软雅黑" w:eastAsia="微软雅黑" w:cs="微软雅黑"/>
          <w:b/>
          <w:bCs/>
          <w:highlight w:val="none"/>
        </w:rPr>
        <w:t>数据安全</w:t>
      </w:r>
      <w:bookmarkEnd w:id="111"/>
      <w:bookmarkEnd w:id="112"/>
      <w:bookmarkEnd w:id="113"/>
      <w:bookmarkEnd w:id="114"/>
      <w:bookmarkEnd w:id="115"/>
      <w:bookmarkEnd w:id="116"/>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5.1</w:t>
      </w:r>
      <w:bookmarkStart w:id="117" w:name="_Toc1507"/>
      <w:bookmarkStart w:id="118" w:name="_Toc11196"/>
      <w:bookmarkStart w:id="119" w:name="_Toc6754"/>
      <w:bookmarkStart w:id="120" w:name="_Toc8373"/>
      <w:r>
        <w:rPr>
          <w:rFonts w:hint="eastAsia" w:ascii="微软雅黑" w:hAnsi="微软雅黑" w:eastAsia="微软雅黑" w:cs="微软雅黑"/>
          <w:b/>
          <w:bCs/>
          <w:highlight w:val="none"/>
        </w:rPr>
        <w:t>数据库审计</w:t>
      </w:r>
      <w:bookmarkEnd w:id="117"/>
      <w:bookmarkEnd w:id="118"/>
      <w:bookmarkEnd w:id="119"/>
      <w:bookmarkEnd w:id="120"/>
    </w:p>
    <w:p>
      <w:pPr>
        <w:spacing w:line="360" w:lineRule="auto"/>
        <w:ind w:firstLine="420" w:firstLineChars="200"/>
        <w:rPr>
          <w:bCs/>
          <w:highlight w:val="none"/>
        </w:rPr>
      </w:pPr>
      <w:r>
        <w:rPr>
          <w:bCs/>
          <w:highlight w:val="none"/>
        </w:rPr>
        <w:t>数据库审计可实现对云端自建数据库、RDS数据库访问的精确审计，以及准确的应用用户关联审计，并具备风险状况、运行状况、性能状况、语句分布的实时监控能力。</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5.2</w:t>
      </w:r>
      <w:bookmarkStart w:id="121" w:name="_Toc1280"/>
      <w:bookmarkStart w:id="122" w:name="_Toc16300"/>
      <w:bookmarkStart w:id="123" w:name="_Toc5908"/>
      <w:bookmarkStart w:id="124" w:name="_Toc31672"/>
      <w:r>
        <w:rPr>
          <w:rFonts w:hint="eastAsia" w:ascii="微软雅黑" w:hAnsi="微软雅黑" w:eastAsia="微软雅黑" w:cs="微软雅黑"/>
          <w:b/>
          <w:bCs/>
          <w:highlight w:val="none"/>
        </w:rPr>
        <w:t>数据发现与脱敏</w:t>
      </w:r>
      <w:bookmarkEnd w:id="121"/>
      <w:bookmarkEnd w:id="122"/>
      <w:bookmarkEnd w:id="123"/>
      <w:bookmarkEnd w:id="124"/>
    </w:p>
    <w:p>
      <w:pPr>
        <w:spacing w:line="360" w:lineRule="auto"/>
        <w:ind w:firstLine="420" w:firstLineChars="200"/>
        <w:jc w:val="left"/>
        <w:rPr>
          <w:bCs/>
          <w:highlight w:val="none"/>
        </w:rPr>
      </w:pPr>
      <w:r>
        <w:rPr>
          <w:bCs/>
          <w:highlight w:val="none"/>
        </w:rPr>
        <w:t>通过扫描IP段设备流量信息检测数据资产，发现数据库分布，并对敏感数据分级分类；通过对资产SQL语句量和会话并发量判断资产使用热度，根据流量统计发现静默资产；通过数据库授权发现资产权限分布及权限详情；通过对敏感数据进行数据抽取、数据漂白、和动态掩码的脱敏处理，满足生产数据面向测试、开发、培训和数据共享场景的数据安全需求，实现“用”、“护”结合。</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5.3</w:t>
      </w:r>
      <w:bookmarkStart w:id="125" w:name="_Toc5750"/>
      <w:bookmarkStart w:id="126" w:name="_Toc14453"/>
      <w:bookmarkStart w:id="127" w:name="_Toc14628"/>
      <w:bookmarkStart w:id="128" w:name="_Toc8157"/>
      <w:r>
        <w:rPr>
          <w:rFonts w:hint="eastAsia" w:ascii="微软雅黑" w:hAnsi="微软雅黑" w:eastAsia="微软雅黑" w:cs="微软雅黑"/>
          <w:b/>
          <w:bCs/>
          <w:highlight w:val="none"/>
        </w:rPr>
        <w:t>敏感数据保护</w:t>
      </w:r>
      <w:bookmarkEnd w:id="125"/>
      <w:bookmarkEnd w:id="126"/>
      <w:bookmarkEnd w:id="127"/>
      <w:bookmarkEnd w:id="128"/>
    </w:p>
    <w:p>
      <w:pPr>
        <w:spacing w:line="360" w:lineRule="auto"/>
        <w:ind w:firstLine="420" w:firstLineChars="200"/>
        <w:rPr>
          <w:bCs/>
          <w:highlight w:val="none"/>
        </w:rPr>
      </w:pPr>
      <w:r>
        <w:rPr>
          <w:bCs/>
          <w:highlight w:val="none"/>
        </w:rPr>
        <w:t>敏感数据保护是运用大数据分析能力以及人工智能相关技术，通过智能化敏感数据识别，基于业务需求实现分类分级，并在精准识别基础上实现全域流转监控与异常检测，达到精准识别、精准检测、精准分析、有效保护，实现可见、可控、合规的安全保护要求。</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5.4</w:t>
      </w:r>
      <w:bookmarkStart w:id="129" w:name="_Toc1898"/>
      <w:bookmarkStart w:id="130" w:name="_Toc2054"/>
      <w:bookmarkStart w:id="131" w:name="_Toc25535"/>
      <w:r>
        <w:rPr>
          <w:rFonts w:hint="eastAsia" w:ascii="微软雅黑" w:hAnsi="微软雅黑" w:eastAsia="微软雅黑" w:cs="微软雅黑"/>
          <w:b/>
          <w:bCs/>
          <w:highlight w:val="none"/>
        </w:rPr>
        <w:t>数据安全开放防护</w:t>
      </w:r>
      <w:bookmarkEnd w:id="129"/>
      <w:bookmarkEnd w:id="130"/>
      <w:bookmarkEnd w:id="131"/>
    </w:p>
    <w:p>
      <w:pPr>
        <w:spacing w:line="360" w:lineRule="auto"/>
        <w:ind w:firstLine="420" w:firstLineChars="200"/>
        <w:rPr>
          <w:highlight w:val="none"/>
        </w:rPr>
      </w:pPr>
      <w:r>
        <w:rPr>
          <w:bCs/>
          <w:highlight w:val="none"/>
        </w:rPr>
        <w:t>数据安全开放防护提供</w:t>
      </w:r>
      <w:r>
        <w:rPr>
          <w:highlight w:val="none"/>
        </w:rPr>
        <w:t>受限共享数据进行对外交互的安全防护功能。</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5.5</w:t>
      </w:r>
      <w:bookmarkStart w:id="132" w:name="_Toc27330"/>
      <w:bookmarkStart w:id="133" w:name="_Toc31399"/>
      <w:bookmarkStart w:id="134" w:name="_Toc14517"/>
      <w:bookmarkStart w:id="135" w:name="_Toc346"/>
      <w:r>
        <w:rPr>
          <w:rFonts w:hint="eastAsia" w:ascii="微软雅黑" w:hAnsi="微软雅黑" w:eastAsia="微软雅黑" w:cs="微软雅黑"/>
          <w:b/>
          <w:bCs/>
          <w:highlight w:val="none"/>
        </w:rPr>
        <w:t>数据防泄露功能</w:t>
      </w:r>
      <w:bookmarkEnd w:id="132"/>
      <w:bookmarkEnd w:id="133"/>
      <w:bookmarkEnd w:id="134"/>
      <w:bookmarkEnd w:id="135"/>
    </w:p>
    <w:p>
      <w:pPr>
        <w:spacing w:line="360" w:lineRule="auto"/>
        <w:ind w:firstLine="420" w:firstLineChars="200"/>
        <w:rPr>
          <w:highlight w:val="none"/>
        </w:rPr>
      </w:pPr>
      <w:r>
        <w:rPr>
          <w:highlight w:val="none"/>
        </w:rPr>
        <w:t>该功能是基于</w:t>
      </w:r>
      <w:r>
        <w:rPr>
          <w:bCs/>
          <w:highlight w:val="none"/>
        </w:rPr>
        <w:t>网络</w:t>
      </w:r>
      <w:r>
        <w:rPr>
          <w:highlight w:val="none"/>
        </w:rPr>
        <w:t>流量监测，提供数据泄露告警防护功能。</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5.6数据备份</w:t>
      </w:r>
    </w:p>
    <w:p>
      <w:pPr>
        <w:spacing w:line="360" w:lineRule="auto"/>
        <w:ind w:firstLine="420" w:firstLineChars="200"/>
        <w:rPr>
          <w:highlight w:val="none"/>
        </w:rPr>
      </w:pPr>
      <w:r>
        <w:rPr>
          <w:highlight w:val="none"/>
        </w:rPr>
        <w:t>为了有效地发挥备份系统的作用，需根据项目的实际需要制定适当的备份策略。在制订备份策略时要了解以下的信息：备份时间、备份内容、备份方式和备份通道。</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5.6.1数据备份类型</w:t>
      </w:r>
    </w:p>
    <w:p>
      <w:pPr>
        <w:numPr>
          <w:ilvl w:val="0"/>
          <w:numId w:val="45"/>
        </w:numPr>
        <w:spacing w:line="360" w:lineRule="auto"/>
        <w:ind w:firstLine="420" w:firstLineChars="200"/>
        <w:rPr>
          <w:highlight w:val="none"/>
        </w:rPr>
      </w:pPr>
      <w:r>
        <w:rPr>
          <w:highlight w:val="none"/>
        </w:rPr>
        <w:t>对于操作系统和应用程序代码</w:t>
      </w:r>
      <w:r>
        <w:rPr>
          <w:rFonts w:hint="eastAsia"/>
          <w:highlight w:val="none"/>
        </w:rPr>
        <w:t>，</w:t>
      </w:r>
      <w:r>
        <w:rPr>
          <w:highlight w:val="none"/>
        </w:rPr>
        <w:t xml:space="preserve">可在每次系统更新或安装新软件时进行一次全备份。  </w:t>
      </w:r>
    </w:p>
    <w:p>
      <w:pPr>
        <w:numPr>
          <w:ilvl w:val="0"/>
          <w:numId w:val="45"/>
        </w:numPr>
        <w:spacing w:line="360" w:lineRule="auto"/>
        <w:ind w:firstLine="420" w:firstLineChars="200"/>
        <w:rPr>
          <w:highlight w:val="none"/>
        </w:rPr>
      </w:pPr>
      <w:r>
        <w:rPr>
          <w:highlight w:val="none"/>
        </w:rPr>
        <w:t xml:space="preserve">对于一些日常数据更新量大，但总体数据量不是非常大的关键应用数据，可每天在用户使用量较小的时候安排全备份。 </w:t>
      </w:r>
    </w:p>
    <w:p>
      <w:pPr>
        <w:numPr>
          <w:ilvl w:val="0"/>
          <w:numId w:val="45"/>
        </w:numPr>
        <w:spacing w:line="360" w:lineRule="auto"/>
        <w:ind w:firstLine="420" w:firstLineChars="200"/>
        <w:rPr>
          <w:highlight w:val="none"/>
        </w:rPr>
      </w:pPr>
      <w:r>
        <w:rPr>
          <w:highlight w:val="none"/>
        </w:rPr>
        <w:t>对于日常更新量相对于总体数据量较小</w:t>
      </w:r>
      <w:r>
        <w:rPr>
          <w:rFonts w:hint="eastAsia"/>
          <w:highlight w:val="none"/>
        </w:rPr>
        <w:t>，</w:t>
      </w:r>
      <w:r>
        <w:rPr>
          <w:highlight w:val="none"/>
        </w:rPr>
        <w:t>而总体数据量非常大的关键应用数据，可每隔一个月或一周安排一次全备份，在此基础上，每隔一个较短的时间间隔做增量备份。</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5.6.2数据备份方式</w:t>
      </w:r>
    </w:p>
    <w:p>
      <w:pPr>
        <w:numPr>
          <w:ilvl w:val="0"/>
          <w:numId w:val="46"/>
        </w:numPr>
        <w:tabs>
          <w:tab w:val="left" w:pos="0"/>
        </w:tabs>
        <w:spacing w:line="360" w:lineRule="auto"/>
        <w:ind w:left="0" w:firstLine="420" w:firstLineChars="200"/>
        <w:rPr>
          <w:highlight w:val="none"/>
        </w:rPr>
      </w:pPr>
      <w:r>
        <w:rPr>
          <w:highlight w:val="none"/>
        </w:rPr>
        <w:t>全备份：每次备份定义所有数据，优点是恢复快，缺点是备份数据量大，数据多时可能做一次全备份需很长时间</w:t>
      </w:r>
      <w:r>
        <w:rPr>
          <w:rFonts w:hint="eastAsia"/>
          <w:highlight w:val="none"/>
        </w:rPr>
        <w:t>。</w:t>
      </w:r>
    </w:p>
    <w:p>
      <w:pPr>
        <w:numPr>
          <w:ilvl w:val="0"/>
          <w:numId w:val="46"/>
        </w:numPr>
        <w:tabs>
          <w:tab w:val="left" w:pos="0"/>
        </w:tabs>
        <w:spacing w:line="360" w:lineRule="auto"/>
        <w:ind w:left="0" w:firstLine="420" w:firstLineChars="200"/>
        <w:rPr>
          <w:highlight w:val="none"/>
        </w:rPr>
      </w:pPr>
      <w:r>
        <w:rPr>
          <w:highlight w:val="none"/>
        </w:rPr>
        <w:t>增量备份：备份自上一次备份以来更新的所有数据，其优点是每次备份的数据量少，缺点是恢复时需要全备份及多份增量备份。</w:t>
      </w:r>
    </w:p>
    <w:p>
      <w:pPr>
        <w:numPr>
          <w:ilvl w:val="0"/>
          <w:numId w:val="46"/>
        </w:numPr>
        <w:tabs>
          <w:tab w:val="left" w:pos="0"/>
        </w:tabs>
        <w:spacing w:line="360" w:lineRule="auto"/>
        <w:ind w:left="0" w:firstLine="420" w:firstLineChars="200"/>
        <w:rPr>
          <w:highlight w:val="none"/>
        </w:rPr>
      </w:pPr>
      <w:r>
        <w:rPr>
          <w:highlight w:val="none"/>
        </w:rPr>
        <w:t>差分备份：备份自上一次全备份以来更新的所有数据。</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5.6.3数据备份策略</w:t>
      </w:r>
    </w:p>
    <w:p>
      <w:pPr>
        <w:numPr>
          <w:ilvl w:val="0"/>
          <w:numId w:val="47"/>
        </w:numPr>
        <w:spacing w:line="360" w:lineRule="auto"/>
        <w:ind w:left="0" w:firstLine="420" w:firstLineChars="200"/>
        <w:rPr>
          <w:highlight w:val="none"/>
        </w:rPr>
      </w:pPr>
      <w:r>
        <w:rPr>
          <w:highlight w:val="none"/>
        </w:rPr>
        <w:t>根据数据的重要性选择一种或几种备份交叉的形式制定备份策略。</w:t>
      </w:r>
    </w:p>
    <w:p>
      <w:pPr>
        <w:pStyle w:val="278"/>
        <w:numPr>
          <w:ilvl w:val="0"/>
          <w:numId w:val="47"/>
        </w:numPr>
        <w:spacing w:line="360" w:lineRule="auto"/>
        <w:ind w:left="0" w:firstLine="420" w:firstLineChars="200"/>
        <w:rPr>
          <w:highlight w:val="none"/>
        </w:rPr>
      </w:pPr>
      <w:r>
        <w:rPr>
          <w:highlight w:val="none"/>
        </w:rPr>
        <w:t>若数据量比较小或者数据实时性不强或者是只读的，备份的介质可采用磁盘或光盘。在备份策略上执行每天一次数据库增量备份，每周进行一次完全备份</w:t>
      </w:r>
      <w:r>
        <w:rPr>
          <w:rFonts w:hint="eastAsia"/>
          <w:highlight w:val="none"/>
        </w:rPr>
        <w:t>。</w:t>
      </w:r>
      <w:r>
        <w:rPr>
          <w:highlight w:val="none"/>
        </w:rPr>
        <w:t>备份时间尽量选择在晚上等服务器比较空闲的时间段进行，备份数据要妥善保管。</w:t>
      </w:r>
    </w:p>
    <w:p>
      <w:pPr>
        <w:pStyle w:val="278"/>
        <w:numPr>
          <w:ilvl w:val="0"/>
          <w:numId w:val="47"/>
        </w:numPr>
        <w:spacing w:line="360" w:lineRule="auto"/>
        <w:ind w:left="0" w:firstLine="420" w:firstLineChars="200"/>
        <w:rPr>
          <w:highlight w:val="none"/>
        </w:rPr>
      </w:pPr>
      <w:r>
        <w:rPr>
          <w:highlight w:val="none"/>
        </w:rPr>
        <w:t>当对数据的实时性要求较强，或数据的变化较多且数据需要长期保存时</w:t>
      </w:r>
      <w:r>
        <w:rPr>
          <w:rFonts w:hint="eastAsia"/>
          <w:highlight w:val="none"/>
        </w:rPr>
        <w:t>，</w:t>
      </w:r>
      <w:r>
        <w:rPr>
          <w:highlight w:val="none"/>
        </w:rPr>
        <w:t>备份介质可采用磁带或磁盘。在备份策略上可选择每天两次，甚至每小时一次的数据热完全备份或事务日志备份。为了把灾难损失减少到最低，备份数据应保存一个月以上</w:t>
      </w:r>
      <w:r>
        <w:rPr>
          <w:rFonts w:hint="eastAsia"/>
          <w:highlight w:val="none"/>
        </w:rPr>
        <w:t>。</w:t>
      </w:r>
      <w:r>
        <w:rPr>
          <w:highlight w:val="none"/>
        </w:rPr>
        <w:t>另外每当存储数据的数据库结构发生变化</w:t>
      </w:r>
      <w:r>
        <w:rPr>
          <w:rFonts w:hint="eastAsia"/>
          <w:highlight w:val="none"/>
        </w:rPr>
        <w:t>，</w:t>
      </w:r>
      <w:r>
        <w:rPr>
          <w:highlight w:val="none"/>
        </w:rPr>
        <w:t>或进行批量数据处理前应做一次数据库的完全备份，且这个备份数据要长期保存。数据备份也可以考虑光盘备份</w:t>
      </w:r>
      <w:r>
        <w:rPr>
          <w:rFonts w:hint="eastAsia"/>
          <w:highlight w:val="none"/>
        </w:rPr>
        <w:t>。</w:t>
      </w:r>
    </w:p>
    <w:p>
      <w:pPr>
        <w:pStyle w:val="278"/>
        <w:numPr>
          <w:ilvl w:val="0"/>
          <w:numId w:val="47"/>
        </w:numPr>
        <w:spacing w:line="360" w:lineRule="auto"/>
        <w:ind w:left="0" w:firstLine="420" w:firstLineChars="200"/>
        <w:rPr>
          <w:highlight w:val="none"/>
        </w:rPr>
      </w:pPr>
      <w:r>
        <w:rPr>
          <w:highlight w:val="none"/>
        </w:rPr>
        <w:t>当实现数据库文件或者文件组备份策略时，应时常备份事务日志。当巨大的数据库分布在多个文件上时，采用这种策略。</w:t>
      </w:r>
    </w:p>
    <w:p>
      <w:pPr>
        <w:pStyle w:val="278"/>
        <w:numPr>
          <w:ilvl w:val="0"/>
          <w:numId w:val="47"/>
        </w:numPr>
        <w:spacing w:line="360" w:lineRule="auto"/>
        <w:ind w:left="0" w:firstLine="420" w:firstLineChars="200"/>
        <w:rPr>
          <w:highlight w:val="none"/>
        </w:rPr>
      </w:pPr>
      <w:r>
        <w:rPr>
          <w:highlight w:val="none"/>
        </w:rPr>
        <w:t>为了避免数据备份进度的混乱</w:t>
      </w:r>
      <w:r>
        <w:rPr>
          <w:rFonts w:hint="eastAsia"/>
          <w:highlight w:val="none"/>
        </w:rPr>
        <w:t>，</w:t>
      </w:r>
      <w:r>
        <w:rPr>
          <w:highlight w:val="none"/>
        </w:rPr>
        <w:t>应清楚记录所有步骤，并为实施备份的所有备份人员提供此类信息，以免发生问题时因忙乱找不到应使用的备份数据。数据备份与关键应用服务器最好是分散保管在不同的地方，通过网络进行数据备份。定时清洁及维护磁带机或光盘.把磁带和光盘放在合适的地方，避免将磁带和光盘放置在过热和潮湿的环境中。备份的磁带和光盘最好只允许网络管理员和系统管理员访问。要完整、清晰地做好备份磁带和光盘的标签。</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5.6.4数据备份</w:t>
      </w:r>
    </w:p>
    <w:p>
      <w:pPr>
        <w:spacing w:line="360" w:lineRule="auto"/>
        <w:ind w:firstLine="420" w:firstLineChars="200"/>
        <w:rPr>
          <w:highlight w:val="none"/>
        </w:rPr>
      </w:pPr>
      <w:r>
        <w:rPr>
          <w:highlight w:val="none"/>
        </w:rPr>
        <w:t>为了保障数据本身的安全，避免误删除、误操作以及数据库回滚等情况造成的严重后果，对数据建立备份与恢复机制。数据备份可为用户提供一个安全区域，对最近的数据实施备份操作，当出现任何问题如误删除某些文件或者硬盘发生故障时，用户可以恢复自己的数据。</w:t>
      </w:r>
    </w:p>
    <w:p>
      <w:pPr>
        <w:spacing w:line="360" w:lineRule="auto"/>
        <w:ind w:firstLine="420" w:firstLineChars="200"/>
        <w:rPr>
          <w:highlight w:val="none"/>
        </w:rPr>
      </w:pPr>
      <w:r>
        <w:rPr>
          <w:highlight w:val="none"/>
        </w:rPr>
        <w:t>数据备份支持按周、两周、月等周期，数据范围支持全量和增量方式，具体的策略待实施时基于数据量、数据情况进行制定。</w:t>
      </w:r>
    </w:p>
    <w:p>
      <w:pPr>
        <w:spacing w:line="360" w:lineRule="auto"/>
        <w:ind w:firstLine="420" w:firstLineChars="200"/>
        <w:rPr>
          <w:highlight w:val="none"/>
        </w:rPr>
      </w:pPr>
      <w:r>
        <w:rPr>
          <w:highlight w:val="none"/>
        </w:rPr>
        <w:t>本项目</w:t>
      </w:r>
      <w:r>
        <w:rPr>
          <w:rFonts w:hint="eastAsia"/>
          <w:highlight w:val="none"/>
        </w:rPr>
        <w:t>建议采用政务云平台的备份系统进行备份。</w:t>
      </w:r>
      <w:r>
        <w:rPr>
          <w:highlight w:val="none"/>
        </w:rPr>
        <w:t>要求每天增量备份，每周一次全量备份，项目数据备份在同城其他政务云机房中。</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6.</w:t>
      </w:r>
      <w:bookmarkStart w:id="136" w:name="_Toc25031"/>
      <w:bookmarkStart w:id="137" w:name="_Toc14516"/>
      <w:bookmarkStart w:id="138" w:name="_Toc9631"/>
      <w:bookmarkStart w:id="139" w:name="_Toc12910"/>
      <w:r>
        <w:rPr>
          <w:rFonts w:hint="eastAsia" w:ascii="微软雅黑" w:hAnsi="微软雅黑" w:eastAsia="微软雅黑" w:cs="微软雅黑"/>
          <w:b/>
          <w:bCs/>
          <w:highlight w:val="none"/>
        </w:rPr>
        <w:t>安全运营</w:t>
      </w:r>
      <w:bookmarkEnd w:id="136"/>
      <w:bookmarkEnd w:id="137"/>
      <w:bookmarkEnd w:id="138"/>
      <w:bookmarkEnd w:id="139"/>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6.1</w:t>
      </w:r>
      <w:bookmarkStart w:id="140" w:name="_Toc18635"/>
      <w:bookmarkStart w:id="141" w:name="_Toc5823"/>
      <w:bookmarkStart w:id="142" w:name="_Toc15962"/>
      <w:bookmarkStart w:id="143" w:name="_Toc5930"/>
      <w:r>
        <w:rPr>
          <w:rFonts w:hint="eastAsia" w:ascii="微软雅黑" w:hAnsi="微软雅黑" w:eastAsia="微软雅黑" w:cs="微软雅黑"/>
          <w:b/>
          <w:bCs/>
          <w:highlight w:val="none"/>
        </w:rPr>
        <w:t>安全态势感知</w:t>
      </w:r>
      <w:bookmarkEnd w:id="140"/>
      <w:bookmarkEnd w:id="141"/>
      <w:bookmarkEnd w:id="142"/>
      <w:bookmarkEnd w:id="143"/>
    </w:p>
    <w:p>
      <w:pPr>
        <w:spacing w:line="360" w:lineRule="auto"/>
        <w:ind w:firstLine="420" w:firstLineChars="200"/>
        <w:rPr>
          <w:highlight w:val="none"/>
        </w:rPr>
      </w:pPr>
      <w:r>
        <w:rPr>
          <w:highlight w:val="none"/>
        </w:rPr>
        <w:t>态势感知系统可汇集网络流量、以及主机端信息，通过机器学习和数据建模发现潜在的入侵和攻击威胁，从攻击者的角度有效捕捉高级攻击者发起的漏洞攻击、新型病毒攻击事件，并有效展示正在发生的安全攻击行为，实现业务安全可视和可感知。</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6.2</w:t>
      </w:r>
      <w:bookmarkStart w:id="144" w:name="_Toc10152"/>
      <w:bookmarkStart w:id="145" w:name="_Toc23127"/>
      <w:bookmarkStart w:id="146" w:name="_Toc14081"/>
      <w:r>
        <w:rPr>
          <w:rFonts w:hint="eastAsia" w:ascii="微软雅黑" w:hAnsi="微软雅黑" w:eastAsia="微软雅黑" w:cs="微软雅黑"/>
          <w:b/>
          <w:bCs/>
          <w:highlight w:val="none"/>
        </w:rPr>
        <w:t>堡垒机</w:t>
      </w:r>
      <w:bookmarkEnd w:id="144"/>
      <w:bookmarkEnd w:id="145"/>
      <w:bookmarkEnd w:id="146"/>
    </w:p>
    <w:p>
      <w:pPr>
        <w:spacing w:line="360" w:lineRule="auto"/>
        <w:ind w:firstLine="420" w:firstLineChars="200"/>
        <w:rPr>
          <w:highlight w:val="none"/>
        </w:rPr>
      </w:pPr>
      <w:r>
        <w:rPr>
          <w:highlight w:val="none"/>
        </w:rPr>
        <w:t>堡垒机可通过身份管理、授权管理、双因子认证、实时会话监控与切断、审计录像回放、高危指令查询等</w:t>
      </w:r>
      <w:r>
        <w:rPr>
          <w:bCs/>
          <w:highlight w:val="none"/>
        </w:rPr>
        <w:t>功能</w:t>
      </w:r>
      <w:r>
        <w:rPr>
          <w:highlight w:val="none"/>
        </w:rPr>
        <w:t>，为云平台的物理服务器或云服务器（ECS）的运维提供完整的审计回放和权限控制服务。</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7.</w:t>
      </w:r>
      <w:bookmarkStart w:id="147" w:name="_Toc11235"/>
      <w:bookmarkStart w:id="148" w:name="_Toc25519"/>
      <w:bookmarkStart w:id="149" w:name="_Toc26036"/>
      <w:r>
        <w:rPr>
          <w:rFonts w:hint="eastAsia" w:ascii="微软雅黑" w:hAnsi="微软雅黑" w:eastAsia="微软雅黑" w:cs="微软雅黑"/>
          <w:b/>
          <w:bCs/>
          <w:highlight w:val="none"/>
        </w:rPr>
        <w:t>安全等级保护测评</w:t>
      </w:r>
      <w:bookmarkEnd w:id="147"/>
      <w:bookmarkEnd w:id="148"/>
      <w:bookmarkEnd w:id="149"/>
    </w:p>
    <w:p>
      <w:pPr>
        <w:pStyle w:val="23"/>
        <w:spacing w:line="360" w:lineRule="auto"/>
        <w:ind w:firstLine="420" w:firstLineChars="200"/>
        <w:rPr>
          <w:highlight w:val="none"/>
        </w:rPr>
      </w:pPr>
      <w:r>
        <w:rPr>
          <w:highlight w:val="none"/>
        </w:rPr>
        <w:t>本系统的安全等级</w:t>
      </w:r>
      <w:r>
        <w:rPr>
          <w:rFonts w:hint="eastAsia"/>
          <w:highlight w:val="none"/>
        </w:rPr>
        <w:t>初定</w:t>
      </w:r>
      <w:r>
        <w:rPr>
          <w:highlight w:val="none"/>
        </w:rPr>
        <w:t>为</w:t>
      </w:r>
      <w:r>
        <w:rPr>
          <w:rFonts w:hint="eastAsia"/>
          <w:highlight w:val="none"/>
        </w:rPr>
        <w:t>三</w:t>
      </w:r>
      <w:r>
        <w:rPr>
          <w:highlight w:val="none"/>
        </w:rPr>
        <w:t>级。</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8.</w:t>
      </w:r>
      <w:bookmarkStart w:id="150" w:name="_Toc26859"/>
      <w:bookmarkStart w:id="151" w:name="_Toc28643"/>
      <w:r>
        <w:rPr>
          <w:rFonts w:hint="eastAsia" w:ascii="微软雅黑" w:hAnsi="微软雅黑" w:eastAsia="微软雅黑" w:cs="微软雅黑"/>
          <w:b/>
          <w:bCs/>
          <w:highlight w:val="none"/>
        </w:rPr>
        <w:t>代码安全审计测评</w:t>
      </w:r>
      <w:bookmarkEnd w:id="150"/>
      <w:bookmarkEnd w:id="151"/>
    </w:p>
    <w:p>
      <w:pPr>
        <w:spacing w:line="360" w:lineRule="auto"/>
        <w:ind w:firstLine="420" w:firstLineChars="200"/>
        <w:rPr>
          <w:highlight w:val="none"/>
        </w:rPr>
      </w:pPr>
      <w:r>
        <w:rPr>
          <w:rFonts w:hint="eastAsia"/>
          <w:highlight w:val="none"/>
        </w:rPr>
        <w:t>委托具有源代码安全审计测评资质的第三方检测机构，检查源代码中的安全缺陷，检查程序源代码是否存在安全隐患，或者有编码不规范的地方，通过自动化工具或者人工审查的方式，对程序源代码逐条进行检查和分析，发现这些源代码缺陷引发的安全漏洞，并提供代码修订措施和建议。</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9.</w:t>
      </w:r>
      <w:bookmarkStart w:id="152" w:name="_Toc16279"/>
      <w:bookmarkStart w:id="153" w:name="_Toc18009"/>
      <w:bookmarkStart w:id="154" w:name="_Toc27674"/>
      <w:r>
        <w:rPr>
          <w:rFonts w:hint="eastAsia" w:ascii="微软雅黑" w:hAnsi="微软雅黑" w:eastAsia="微软雅黑" w:cs="微软雅黑"/>
          <w:b/>
          <w:bCs/>
          <w:highlight w:val="none"/>
        </w:rPr>
        <w:t>密码应用方案</w:t>
      </w:r>
      <w:bookmarkEnd w:id="152"/>
      <w:bookmarkEnd w:id="153"/>
      <w:bookmarkEnd w:id="154"/>
    </w:p>
    <w:p>
      <w:pPr>
        <w:spacing w:line="360" w:lineRule="auto"/>
        <w:ind w:firstLine="420" w:firstLineChars="200"/>
        <w:rPr>
          <w:highlight w:val="none"/>
        </w:rPr>
      </w:pPr>
      <w:r>
        <w:rPr>
          <w:rFonts w:hint="eastAsia"/>
          <w:highlight w:val="none"/>
        </w:rPr>
        <w:t>本项目依据《信息安全技术信息系统密码应用基本要求》（</w:t>
      </w:r>
      <w:r>
        <w:rPr>
          <w:highlight w:val="none"/>
        </w:rPr>
        <w:t>GB/T39786-2021</w:t>
      </w:r>
      <w:r>
        <w:rPr>
          <w:rFonts w:hint="eastAsia"/>
          <w:highlight w:val="none"/>
        </w:rPr>
        <w:t>），结合当前密码技术、应用和服务的实际，提出了针对本项目密码应用的方案。</w:t>
      </w:r>
    </w:p>
    <w:p>
      <w:pPr>
        <w:spacing w:line="360" w:lineRule="auto"/>
        <w:ind w:firstLine="420" w:firstLineChars="200"/>
        <w:rPr>
          <w:highlight w:val="none"/>
        </w:rPr>
      </w:pPr>
      <w:r>
        <w:rPr>
          <w:rFonts w:hint="eastAsia"/>
          <w:highlight w:val="none"/>
        </w:rPr>
        <w:t>总体上，本项目将从物理和环境安全、网络和通信安全、设备和计算安全、应用和数据安全等四个层面采用密码技术措施，建立安全的密钥管理方案，并采取有效的安全管理措施，对信息系统进行保护，项目使用的商用密码算法、技术应遵循密码相关国家标准和行业标准。</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9.1</w:t>
      </w:r>
      <w:bookmarkStart w:id="155" w:name="_Toc16693"/>
      <w:r>
        <w:rPr>
          <w:rFonts w:hint="eastAsia" w:ascii="微软雅黑" w:hAnsi="微软雅黑" w:eastAsia="微软雅黑" w:cs="微软雅黑"/>
          <w:b/>
          <w:bCs/>
          <w:highlight w:val="none"/>
        </w:rPr>
        <w:t>物理和环境安全</w:t>
      </w:r>
      <w:bookmarkEnd w:id="155"/>
    </w:p>
    <w:p>
      <w:pPr>
        <w:spacing w:line="360" w:lineRule="auto"/>
        <w:ind w:firstLine="420" w:firstLineChars="200"/>
        <w:rPr>
          <w:highlight w:val="none"/>
        </w:rPr>
      </w:pPr>
      <w:r>
        <w:rPr>
          <w:rFonts w:hint="eastAsia"/>
          <w:highlight w:val="none"/>
        </w:rPr>
        <w:t>物理和环境安全主要是实现对信息系统所在机房等重要区域的物理防护，密码应用功能包括：</w:t>
      </w:r>
    </w:p>
    <w:p>
      <w:pPr>
        <w:spacing w:line="360" w:lineRule="auto"/>
        <w:ind w:firstLine="420" w:firstLineChars="200"/>
        <w:rPr>
          <w:highlight w:val="none"/>
        </w:rPr>
      </w:pPr>
      <w:r>
        <w:rPr>
          <w:highlight w:val="none"/>
        </w:rPr>
        <w:t>1.</w:t>
      </w:r>
      <w:r>
        <w:rPr>
          <w:rFonts w:hint="eastAsia"/>
          <w:highlight w:val="none"/>
        </w:rPr>
        <w:t>确认进入各重要区域人员的身份，防止无关和假冒人员进入；</w:t>
      </w:r>
    </w:p>
    <w:p>
      <w:pPr>
        <w:spacing w:line="360" w:lineRule="auto"/>
        <w:ind w:firstLine="420" w:firstLineChars="200"/>
        <w:rPr>
          <w:highlight w:val="none"/>
        </w:rPr>
      </w:pPr>
      <w:r>
        <w:rPr>
          <w:highlight w:val="none"/>
        </w:rPr>
        <w:t>2.</w:t>
      </w:r>
      <w:r>
        <w:rPr>
          <w:rFonts w:hint="eastAsia"/>
          <w:highlight w:val="none"/>
        </w:rPr>
        <w:t>保护电子门禁系统进出记录和视频监控音像记录的完整性，防止被非授权篡改。</w:t>
      </w:r>
    </w:p>
    <w:p>
      <w:pPr>
        <w:spacing w:line="360" w:lineRule="auto"/>
        <w:ind w:firstLine="420" w:firstLineChars="200"/>
        <w:rPr>
          <w:highlight w:val="none"/>
        </w:rPr>
      </w:pPr>
      <w:r>
        <w:rPr>
          <w:rFonts w:hint="eastAsia"/>
          <w:highlight w:val="none"/>
        </w:rPr>
        <w:t>为实现以上要求，本项目结合网络安全等级保护要求，将在机房等重要区域使用基于密码技术的电子门禁系统对出入人员的身份进行鉴别，并对电子门禁系统进出记录等数据进行完整性保护。同时应用基于密码技术的视频监控系统，对视频监控音像记录等数据进行完整性保护。</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9.2</w:t>
      </w:r>
      <w:bookmarkStart w:id="156" w:name="_Toc22536"/>
      <w:r>
        <w:rPr>
          <w:rFonts w:hint="eastAsia" w:ascii="微软雅黑" w:hAnsi="微软雅黑" w:eastAsia="微软雅黑" w:cs="微软雅黑"/>
          <w:b/>
          <w:bCs/>
          <w:highlight w:val="none"/>
        </w:rPr>
        <w:t>网络和通信安全</w:t>
      </w:r>
      <w:bookmarkEnd w:id="156"/>
    </w:p>
    <w:p>
      <w:pPr>
        <w:spacing w:line="360" w:lineRule="auto"/>
        <w:ind w:firstLine="420" w:firstLineChars="200"/>
        <w:rPr>
          <w:highlight w:val="none"/>
        </w:rPr>
      </w:pPr>
      <w:r>
        <w:rPr>
          <w:rFonts w:hint="eastAsia"/>
          <w:highlight w:val="none"/>
        </w:rPr>
        <w:t>网络和通信安全主要是实现对信息系统与外部实体之间网络通信的安全防护，应具备的密码功能包括：</w:t>
      </w:r>
    </w:p>
    <w:p>
      <w:pPr>
        <w:spacing w:line="360" w:lineRule="auto"/>
        <w:ind w:firstLine="420" w:firstLineChars="200"/>
        <w:rPr>
          <w:highlight w:val="none"/>
        </w:rPr>
      </w:pPr>
      <w:r>
        <w:rPr>
          <w:highlight w:val="none"/>
        </w:rPr>
        <w:t>1.</w:t>
      </w:r>
      <w:r>
        <w:rPr>
          <w:rFonts w:hint="eastAsia"/>
          <w:highlight w:val="none"/>
        </w:rPr>
        <w:t>确认通信实体的身份，防止与假冒实体进行通信；</w:t>
      </w:r>
    </w:p>
    <w:p>
      <w:pPr>
        <w:spacing w:line="360" w:lineRule="auto"/>
        <w:ind w:firstLine="420" w:firstLineChars="200"/>
        <w:rPr>
          <w:highlight w:val="none"/>
        </w:rPr>
      </w:pPr>
      <w:r>
        <w:rPr>
          <w:highlight w:val="none"/>
        </w:rPr>
        <w:t>2.</w:t>
      </w:r>
      <w:r>
        <w:rPr>
          <w:rFonts w:hint="eastAsia"/>
          <w:highlight w:val="none"/>
        </w:rPr>
        <w:t>保护通信过程中的数据，防止数据被非授权篡改，防止敏感数据泄露。</w:t>
      </w:r>
    </w:p>
    <w:p>
      <w:pPr>
        <w:spacing w:line="360" w:lineRule="auto"/>
        <w:ind w:firstLine="420" w:firstLineChars="200"/>
        <w:rPr>
          <w:highlight w:val="none"/>
        </w:rPr>
      </w:pPr>
      <w:r>
        <w:rPr>
          <w:rFonts w:hint="eastAsia"/>
          <w:highlight w:val="none"/>
        </w:rPr>
        <w:t>为实现以上要求，本项目将结合网络安全等级保护要求，在具备相应条件的前提下，在非安全网络信道中传输敏感数据时，使用</w:t>
      </w:r>
      <w:r>
        <w:rPr>
          <w:highlight w:val="none"/>
        </w:rPr>
        <w:t>VPN</w:t>
      </w:r>
      <w:r>
        <w:rPr>
          <w:rFonts w:hint="eastAsia"/>
          <w:highlight w:val="none"/>
        </w:rPr>
        <w:t>、</w:t>
      </w:r>
      <w:r>
        <w:rPr>
          <w:highlight w:val="none"/>
        </w:rPr>
        <w:t>SSL</w:t>
      </w:r>
      <w:r>
        <w:rPr>
          <w:rFonts w:hint="eastAsia"/>
          <w:highlight w:val="none"/>
        </w:rPr>
        <w:t>加密等技术，实现通信双方的身份鉴别，通信过程中敏感数据的机密性、完整性保护。</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9.3</w:t>
      </w:r>
      <w:bookmarkStart w:id="157" w:name="_Toc30840"/>
      <w:r>
        <w:rPr>
          <w:rFonts w:hint="eastAsia" w:ascii="微软雅黑" w:hAnsi="微软雅黑" w:eastAsia="微软雅黑" w:cs="微软雅黑"/>
          <w:b/>
          <w:bCs/>
          <w:highlight w:val="none"/>
        </w:rPr>
        <w:t>设备和计算安全</w:t>
      </w:r>
      <w:bookmarkEnd w:id="157"/>
    </w:p>
    <w:p>
      <w:pPr>
        <w:spacing w:line="360" w:lineRule="auto"/>
        <w:ind w:firstLine="420" w:firstLineChars="200"/>
        <w:rPr>
          <w:highlight w:val="none"/>
        </w:rPr>
      </w:pPr>
      <w:r>
        <w:rPr>
          <w:rFonts w:hint="eastAsia"/>
          <w:highlight w:val="none"/>
        </w:rPr>
        <w:t>设备和计算安全主要是实现对信息系统中各类设备和计算环境的安全防护，应具备的密码功能包括：</w:t>
      </w:r>
    </w:p>
    <w:p>
      <w:pPr>
        <w:spacing w:line="360" w:lineRule="auto"/>
        <w:ind w:firstLine="420" w:firstLineChars="200"/>
        <w:rPr>
          <w:highlight w:val="none"/>
        </w:rPr>
      </w:pPr>
      <w:r>
        <w:rPr>
          <w:highlight w:val="none"/>
        </w:rPr>
        <w:t>1.</w:t>
      </w:r>
      <w:r>
        <w:rPr>
          <w:rFonts w:hint="eastAsia"/>
          <w:highlight w:val="none"/>
        </w:rPr>
        <w:t>对设备的特权用户（含系统管理员、安全管理员、审计管理员等）和普通用户的身份进行识别和确认，防止假冒人员登录；</w:t>
      </w:r>
    </w:p>
    <w:p>
      <w:pPr>
        <w:spacing w:line="360" w:lineRule="auto"/>
        <w:ind w:firstLine="420" w:firstLineChars="200"/>
        <w:rPr>
          <w:highlight w:val="none"/>
        </w:rPr>
      </w:pPr>
      <w:r>
        <w:rPr>
          <w:highlight w:val="none"/>
        </w:rPr>
        <w:t>2.</w:t>
      </w:r>
      <w:r>
        <w:rPr>
          <w:rFonts w:hint="eastAsia"/>
          <w:highlight w:val="none"/>
        </w:rPr>
        <w:t>在远程管理时，对管理员的身份鉴别信息（如口令等）进行机密性保护，防止鉴别信息泄漏；</w:t>
      </w:r>
    </w:p>
    <w:p>
      <w:pPr>
        <w:spacing w:line="360" w:lineRule="auto"/>
        <w:ind w:firstLine="420" w:firstLineChars="200"/>
        <w:rPr>
          <w:highlight w:val="none"/>
        </w:rPr>
      </w:pPr>
      <w:r>
        <w:rPr>
          <w:highlight w:val="none"/>
        </w:rPr>
        <w:t>3.</w:t>
      </w:r>
      <w:r>
        <w:rPr>
          <w:rFonts w:hint="eastAsia"/>
          <w:highlight w:val="none"/>
        </w:rPr>
        <w:t>保护计算机、服务器等设备中的系统资源访问控制信息（如设备配置信息、安全策略、资源访问控制列表等）、重要信息资源安全标记（如数据标签等）、日志记录（如系统日志、数据库日志等）和重要可执行程序（如重要应用程序、关键系统文件等），防止被非授权篡改。</w:t>
      </w:r>
    </w:p>
    <w:p>
      <w:pPr>
        <w:spacing w:line="360" w:lineRule="auto"/>
        <w:ind w:firstLine="420" w:firstLineChars="200"/>
        <w:rPr>
          <w:highlight w:val="none"/>
        </w:rPr>
      </w:pPr>
      <w:r>
        <w:rPr>
          <w:rFonts w:hint="eastAsia"/>
          <w:highlight w:val="none"/>
        </w:rPr>
        <w:t>为实现以上要求，本项目在计算机终端和服务器上，将结合网络安全等级保护要求，在具备相应条件的前提下，根据应用系统的实际需要，选用以下密码应用措施：</w:t>
      </w:r>
    </w:p>
    <w:p>
      <w:pPr>
        <w:spacing w:line="360" w:lineRule="auto"/>
        <w:ind w:firstLine="420" w:firstLineChars="200"/>
        <w:rPr>
          <w:highlight w:val="none"/>
        </w:rPr>
      </w:pPr>
      <w:r>
        <w:rPr>
          <w:highlight w:val="none"/>
        </w:rPr>
        <w:t>1.</w:t>
      </w:r>
      <w:r>
        <w:rPr>
          <w:rFonts w:hint="eastAsia"/>
          <w:highlight w:val="none"/>
        </w:rPr>
        <w:t>使用运维安全管理系统（堡垒机），实现系统管理的账号管理、身份验证、授权控制和安全审计。</w:t>
      </w:r>
    </w:p>
    <w:p>
      <w:pPr>
        <w:spacing w:line="360" w:lineRule="auto"/>
        <w:ind w:firstLine="420" w:firstLineChars="200"/>
        <w:rPr>
          <w:highlight w:val="none"/>
        </w:rPr>
      </w:pPr>
      <w:r>
        <w:rPr>
          <w:highlight w:val="none"/>
        </w:rPr>
        <w:t>2.</w:t>
      </w:r>
      <w:r>
        <w:rPr>
          <w:rFonts w:hint="eastAsia"/>
          <w:highlight w:val="none"/>
        </w:rPr>
        <w:t>使用</w:t>
      </w:r>
      <w:r>
        <w:rPr>
          <w:highlight w:val="none"/>
        </w:rPr>
        <w:t>VPN</w:t>
      </w:r>
      <w:r>
        <w:rPr>
          <w:rFonts w:hint="eastAsia"/>
          <w:highlight w:val="none"/>
        </w:rPr>
        <w:t>、</w:t>
      </w:r>
      <w:r>
        <w:rPr>
          <w:highlight w:val="none"/>
        </w:rPr>
        <w:t>SSL</w:t>
      </w:r>
      <w:r>
        <w:rPr>
          <w:rFonts w:hint="eastAsia"/>
          <w:highlight w:val="none"/>
        </w:rPr>
        <w:t>加密等技术，为远程管理搭建安全通信链路，保护鉴别信息的机密性。</w:t>
      </w:r>
    </w:p>
    <w:p>
      <w:pPr>
        <w:spacing w:line="360" w:lineRule="auto"/>
        <w:ind w:firstLine="420" w:firstLineChars="200"/>
        <w:rPr>
          <w:highlight w:val="none"/>
        </w:rPr>
      </w:pPr>
      <w:r>
        <w:rPr>
          <w:highlight w:val="none"/>
        </w:rPr>
        <w:t>3.</w:t>
      </w:r>
      <w:r>
        <w:rPr>
          <w:rFonts w:hint="eastAsia"/>
          <w:highlight w:val="none"/>
        </w:rPr>
        <w:t>在有条件的情况下，将应用可信计算密码支撑平台、签名验签服务器或服务器密码机，实现可信计算能力，建立从系统到应用的信任链，保护重要信息的完整性，保证计算环境的安全可信。</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9.4</w:t>
      </w:r>
      <w:bookmarkStart w:id="158" w:name="_Toc158"/>
      <w:r>
        <w:rPr>
          <w:rFonts w:hint="eastAsia" w:ascii="微软雅黑" w:hAnsi="微软雅黑" w:eastAsia="微软雅黑" w:cs="微软雅黑"/>
          <w:b/>
          <w:bCs/>
          <w:highlight w:val="none"/>
        </w:rPr>
        <w:t>应用和数据安全</w:t>
      </w:r>
      <w:bookmarkEnd w:id="158"/>
    </w:p>
    <w:p>
      <w:pPr>
        <w:spacing w:line="360" w:lineRule="auto"/>
        <w:ind w:firstLine="420" w:firstLineChars="200"/>
        <w:rPr>
          <w:highlight w:val="none"/>
        </w:rPr>
      </w:pPr>
      <w:r>
        <w:rPr>
          <w:rFonts w:hint="eastAsia"/>
          <w:highlight w:val="none"/>
        </w:rPr>
        <w:t>应用和数据安全主要是实现对信息系统中应用及其数据的安全防护，应具备的密码功能包括：</w:t>
      </w:r>
    </w:p>
    <w:p>
      <w:pPr>
        <w:spacing w:line="360" w:lineRule="auto"/>
        <w:ind w:firstLine="420" w:firstLineChars="200"/>
        <w:rPr>
          <w:highlight w:val="none"/>
        </w:rPr>
      </w:pPr>
      <w:r>
        <w:rPr>
          <w:highlight w:val="none"/>
        </w:rPr>
        <w:t>1.</w:t>
      </w:r>
      <w:r>
        <w:rPr>
          <w:rFonts w:hint="eastAsia"/>
          <w:highlight w:val="none"/>
        </w:rPr>
        <w:t>确认应用系统的管理员和普通用户的身份，防止假冒人员登录；</w:t>
      </w:r>
    </w:p>
    <w:p>
      <w:pPr>
        <w:spacing w:line="360" w:lineRule="auto"/>
        <w:ind w:firstLine="420" w:firstLineChars="200"/>
        <w:rPr>
          <w:highlight w:val="none"/>
        </w:rPr>
      </w:pPr>
      <w:r>
        <w:rPr>
          <w:highlight w:val="none"/>
        </w:rPr>
        <w:t>2.</w:t>
      </w:r>
      <w:r>
        <w:rPr>
          <w:rFonts w:hint="eastAsia"/>
          <w:highlight w:val="none"/>
        </w:rPr>
        <w:t>对应用系统的访问控制策略（如安全策略、资源访问控制列表等）、数据库表访问控制信息（如用户身份信息、数据库安全策略、用户权限列表等）、重要信息资源安全标记（如数据标签）等进行保护，防止被非授权篡改；</w:t>
      </w:r>
    </w:p>
    <w:p>
      <w:pPr>
        <w:spacing w:line="360" w:lineRule="auto"/>
        <w:ind w:firstLine="420" w:firstLineChars="200"/>
        <w:rPr>
          <w:highlight w:val="none"/>
        </w:rPr>
      </w:pPr>
      <w:r>
        <w:rPr>
          <w:highlight w:val="none"/>
        </w:rPr>
        <w:t>3.</w:t>
      </w:r>
      <w:r>
        <w:rPr>
          <w:rFonts w:hint="eastAsia"/>
          <w:highlight w:val="none"/>
        </w:rPr>
        <w:t>保护客户端与服务器之间、应用系统之间在非安全网络信道中传输的重要数据（包括但不限于鉴别数据、重要业务数据、重要用户信息等），防止数据泄露；</w:t>
      </w:r>
    </w:p>
    <w:p>
      <w:pPr>
        <w:spacing w:line="360" w:lineRule="auto"/>
        <w:ind w:firstLine="420" w:firstLineChars="200"/>
        <w:rPr>
          <w:highlight w:val="none"/>
        </w:rPr>
      </w:pPr>
      <w:r>
        <w:rPr>
          <w:highlight w:val="none"/>
        </w:rPr>
        <w:t>4.</w:t>
      </w:r>
      <w:r>
        <w:rPr>
          <w:rFonts w:hint="eastAsia"/>
          <w:highlight w:val="none"/>
        </w:rPr>
        <w:t>保护存储的重要数据（包括但不限于鉴别数据、重要业务数据、重要用户信息等），防止数据泄露、非授权篡改；</w:t>
      </w:r>
    </w:p>
    <w:p>
      <w:pPr>
        <w:spacing w:line="360" w:lineRule="auto"/>
        <w:ind w:firstLine="420" w:firstLineChars="200"/>
        <w:rPr>
          <w:highlight w:val="none"/>
        </w:rPr>
      </w:pPr>
      <w:r>
        <w:rPr>
          <w:highlight w:val="none"/>
        </w:rPr>
        <w:t>5.</w:t>
      </w:r>
      <w:r>
        <w:rPr>
          <w:rFonts w:hint="eastAsia"/>
          <w:highlight w:val="none"/>
        </w:rPr>
        <w:t>保护重要日志记录（如认证登录日志、配置操作日志等），防止被非授权篡改；</w:t>
      </w:r>
    </w:p>
    <w:p>
      <w:pPr>
        <w:spacing w:line="360" w:lineRule="auto"/>
        <w:ind w:firstLine="420" w:firstLineChars="200"/>
        <w:rPr>
          <w:highlight w:val="none"/>
        </w:rPr>
      </w:pPr>
      <w:r>
        <w:rPr>
          <w:highlight w:val="none"/>
        </w:rPr>
        <w:t>6.</w:t>
      </w:r>
      <w:r>
        <w:rPr>
          <w:rFonts w:hint="eastAsia"/>
          <w:highlight w:val="none"/>
        </w:rPr>
        <w:t>保护可能涉及法律责任认定的应用系统中的数据发送和数据接收操作，确保发送方和接收方对已经发生的操作行为无法否认。</w:t>
      </w:r>
    </w:p>
    <w:p>
      <w:pPr>
        <w:spacing w:line="360" w:lineRule="auto"/>
        <w:ind w:firstLine="420" w:firstLineChars="200"/>
        <w:rPr>
          <w:highlight w:val="none"/>
        </w:rPr>
      </w:pPr>
      <w:r>
        <w:rPr>
          <w:rFonts w:hint="eastAsia"/>
          <w:highlight w:val="none"/>
        </w:rPr>
        <w:t>为实现以上要求，本项目将结合网络安全等级保护要求，在具备相应条件的前提下，根据应用系统的实际需要，选用以下密码应用措施：</w:t>
      </w:r>
    </w:p>
    <w:p>
      <w:pPr>
        <w:spacing w:line="360" w:lineRule="auto"/>
        <w:ind w:firstLine="420" w:firstLineChars="200"/>
        <w:rPr>
          <w:highlight w:val="none"/>
        </w:rPr>
      </w:pPr>
      <w:r>
        <w:rPr>
          <w:highlight w:val="none"/>
        </w:rPr>
        <w:t>1.</w:t>
      </w:r>
      <w:r>
        <w:rPr>
          <w:rFonts w:hint="eastAsia"/>
          <w:highlight w:val="none"/>
        </w:rPr>
        <w:t>对访问应用服务器的用户进行身份鉴别和权限控制，对客户端与服务器端、应用系统之间传输的数据进行机密性和完整性保护；</w:t>
      </w:r>
    </w:p>
    <w:p>
      <w:pPr>
        <w:spacing w:line="360" w:lineRule="auto"/>
        <w:ind w:firstLine="420" w:firstLineChars="200"/>
        <w:rPr>
          <w:highlight w:val="none"/>
        </w:rPr>
      </w:pPr>
      <w:r>
        <w:rPr>
          <w:highlight w:val="none"/>
        </w:rPr>
        <w:t>2.</w:t>
      </w:r>
      <w:r>
        <w:rPr>
          <w:rFonts w:hint="eastAsia"/>
          <w:highlight w:val="none"/>
        </w:rPr>
        <w:t>使用存储加密模块，对存储的重要数据进行机密性和完整性保护；</w:t>
      </w:r>
    </w:p>
    <w:p>
      <w:pPr>
        <w:spacing w:line="360" w:lineRule="auto"/>
        <w:ind w:firstLine="420" w:firstLineChars="200"/>
        <w:rPr>
          <w:highlight w:val="none"/>
        </w:rPr>
      </w:pPr>
      <w:r>
        <w:rPr>
          <w:highlight w:val="none"/>
        </w:rPr>
        <w:t>3.</w:t>
      </w:r>
      <w:r>
        <w:rPr>
          <w:rFonts w:hint="eastAsia"/>
          <w:highlight w:val="none"/>
        </w:rPr>
        <w:t>使用存储加密模块，对存储的日志记录进行完整性保护；</w:t>
      </w:r>
    </w:p>
    <w:p>
      <w:pPr>
        <w:spacing w:line="360" w:lineRule="auto"/>
        <w:ind w:firstLine="420" w:firstLineChars="200"/>
        <w:rPr>
          <w:highlight w:val="none"/>
        </w:rPr>
      </w:pPr>
      <w:r>
        <w:rPr>
          <w:highlight w:val="none"/>
        </w:rPr>
        <w:t>4.</w:t>
      </w:r>
      <w:r>
        <w:rPr>
          <w:rFonts w:hint="eastAsia"/>
          <w:highlight w:val="none"/>
        </w:rPr>
        <w:t>在有条件的情况下，部署签名验签、电子签章、时间戳等密码产品，对收发的数据及相关操作记录进行签名，实现数据原发行为的不可否认性和数据接收行为的不可否认性；</w:t>
      </w:r>
    </w:p>
    <w:p>
      <w:pPr>
        <w:spacing w:line="360" w:lineRule="auto"/>
        <w:ind w:firstLine="420" w:firstLineChars="200"/>
        <w:rPr>
          <w:highlight w:val="none"/>
        </w:rPr>
      </w:pPr>
      <w:r>
        <w:rPr>
          <w:highlight w:val="none"/>
        </w:rPr>
        <w:t>5.</w:t>
      </w:r>
      <w:r>
        <w:rPr>
          <w:rFonts w:hint="eastAsia"/>
          <w:highlight w:val="none"/>
        </w:rPr>
        <w:t>在有条件的情况下，使用电子认证服务，为关键用户配置智能密码钥匙、智能卡、移动智能终端密码模块等具备身份鉴别功能的密码产品，对关键用户身份进行管理。</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9.5</w:t>
      </w:r>
      <w:bookmarkStart w:id="159" w:name="_Toc18116"/>
      <w:bookmarkStart w:id="160" w:name="_Toc101455623"/>
      <w:bookmarkStart w:id="161" w:name="_Toc9015"/>
      <w:r>
        <w:rPr>
          <w:rFonts w:hint="eastAsia" w:ascii="微软雅黑" w:hAnsi="微软雅黑" w:eastAsia="微软雅黑" w:cs="微软雅黑"/>
          <w:b/>
          <w:bCs/>
          <w:highlight w:val="none"/>
        </w:rPr>
        <w:t>密码</w:t>
      </w:r>
      <w:bookmarkEnd w:id="159"/>
      <w:bookmarkEnd w:id="160"/>
      <w:r>
        <w:rPr>
          <w:rFonts w:hint="eastAsia" w:ascii="微软雅黑" w:hAnsi="微软雅黑" w:eastAsia="微软雅黑" w:cs="微软雅黑"/>
          <w:b/>
          <w:bCs/>
          <w:highlight w:val="none"/>
        </w:rPr>
        <w:t>应用安全性评估</w:t>
      </w:r>
      <w:bookmarkEnd w:id="161"/>
    </w:p>
    <w:p>
      <w:pPr>
        <w:spacing w:line="360" w:lineRule="auto"/>
        <w:ind w:firstLine="420" w:firstLineChars="200"/>
        <w:rPr>
          <w:highlight w:val="none"/>
        </w:rPr>
      </w:pPr>
      <w:r>
        <w:rPr>
          <w:rFonts w:hint="eastAsia"/>
          <w:highlight w:val="none"/>
        </w:rPr>
        <w:t>根据《关于深入开展密码应用安全性评估工作的通知》（宁波市密码管理局</w:t>
      </w:r>
      <w:r>
        <w:rPr>
          <w:highlight w:val="none"/>
        </w:rPr>
        <w:t>2022</w:t>
      </w:r>
      <w:r>
        <w:rPr>
          <w:rFonts w:hint="eastAsia"/>
          <w:highlight w:val="none"/>
        </w:rPr>
        <w:t>年</w:t>
      </w:r>
      <w:r>
        <w:rPr>
          <w:highlight w:val="none"/>
        </w:rPr>
        <w:t>4</w:t>
      </w:r>
      <w:r>
        <w:rPr>
          <w:rFonts w:hint="eastAsia"/>
          <w:highlight w:val="none"/>
        </w:rPr>
        <w:t>月</w:t>
      </w:r>
      <w:r>
        <w:rPr>
          <w:highlight w:val="none"/>
        </w:rPr>
        <w:t>2</w:t>
      </w:r>
      <w:r>
        <w:rPr>
          <w:rFonts w:hint="eastAsia"/>
          <w:highlight w:val="none"/>
        </w:rPr>
        <w:t>日）文件要求，等保三级及以上政务信息系统要落实商用密码应用安全性评估要求，即同步规划、同步建设、同步运营商用密码保障系统，选择经国家密码管理局认可、具备相关资质的检测机构开展密评工作。</w:t>
      </w:r>
    </w:p>
    <w:p>
      <w:pPr>
        <w:spacing w:line="360" w:lineRule="auto"/>
        <w:ind w:firstLine="420" w:firstLineChars="200"/>
        <w:rPr>
          <w:highlight w:val="none"/>
        </w:rPr>
      </w:pPr>
      <w:r>
        <w:rPr>
          <w:rFonts w:hint="eastAsia"/>
          <w:highlight w:val="none"/>
        </w:rPr>
        <w:t>本项目将按照通知要求委托具备相关资质的检测机构开展密评工作，项目实施前将检测机构的名称及测评人员名单报市密码管理局。自密评报告出具之日起</w:t>
      </w:r>
      <w:r>
        <w:rPr>
          <w:highlight w:val="none"/>
        </w:rPr>
        <w:t>30</w:t>
      </w:r>
      <w:r>
        <w:rPr>
          <w:rFonts w:hint="eastAsia"/>
          <w:highlight w:val="none"/>
        </w:rPr>
        <w:t>日内，将《网络与信息系统密评备案信息表》连同密评报告一并报市密码管理局备案。</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10.</w:t>
      </w:r>
      <w:bookmarkStart w:id="162" w:name="_Toc32585"/>
      <w:bookmarkStart w:id="163" w:name="_Toc536"/>
      <w:r>
        <w:rPr>
          <w:rFonts w:hint="eastAsia" w:ascii="微软雅黑" w:hAnsi="微软雅黑" w:eastAsia="微软雅黑" w:cs="微软雅黑"/>
          <w:b/>
          <w:bCs/>
          <w:highlight w:val="none"/>
        </w:rPr>
        <w:t>安全设施配置内容</w:t>
      </w:r>
      <w:bookmarkEnd w:id="162"/>
      <w:bookmarkEnd w:id="163"/>
    </w:p>
    <w:p>
      <w:pPr>
        <w:spacing w:line="360" w:lineRule="auto"/>
        <w:ind w:firstLine="420" w:firstLineChars="200"/>
        <w:rPr>
          <w:highlight w:val="none"/>
        </w:rPr>
      </w:pPr>
      <w:r>
        <w:rPr>
          <w:rFonts w:hint="eastAsia"/>
          <w:highlight w:val="none"/>
        </w:rPr>
        <w:t>本次项目网络安全完全依托于宁波市智能公共数据平台，申请安全设施配置内容如下：</w:t>
      </w:r>
    </w:p>
    <w:tbl>
      <w:tblPr>
        <w:tblStyle w:val="50"/>
        <w:tblW w:w="8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345"/>
        <w:gridCol w:w="3870"/>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9" w:type="dxa"/>
            <w:vAlign w:val="center"/>
          </w:tcPr>
          <w:p>
            <w:pPr>
              <w:pStyle w:val="279"/>
              <w:spacing w:line="360" w:lineRule="auto"/>
              <w:jc w:val="center"/>
              <w:rPr>
                <w:rFonts w:eastAsia="宋体"/>
                <w:sz w:val="21"/>
                <w:szCs w:val="21"/>
                <w:highlight w:val="none"/>
              </w:rPr>
            </w:pPr>
            <w:r>
              <w:rPr>
                <w:rFonts w:eastAsia="宋体"/>
                <w:sz w:val="21"/>
                <w:szCs w:val="21"/>
                <w:highlight w:val="none"/>
              </w:rPr>
              <w:t>序号</w:t>
            </w:r>
          </w:p>
        </w:tc>
        <w:tc>
          <w:tcPr>
            <w:tcW w:w="3345" w:type="dxa"/>
            <w:vAlign w:val="center"/>
          </w:tcPr>
          <w:p>
            <w:pPr>
              <w:pStyle w:val="279"/>
              <w:spacing w:line="360" w:lineRule="auto"/>
              <w:jc w:val="center"/>
              <w:rPr>
                <w:rFonts w:eastAsia="宋体"/>
                <w:sz w:val="21"/>
                <w:szCs w:val="21"/>
                <w:highlight w:val="none"/>
              </w:rPr>
            </w:pPr>
            <w:r>
              <w:rPr>
                <w:rFonts w:eastAsia="宋体"/>
                <w:sz w:val="21"/>
                <w:szCs w:val="21"/>
                <w:highlight w:val="none"/>
              </w:rPr>
              <w:t>安全服务名称</w:t>
            </w:r>
          </w:p>
        </w:tc>
        <w:tc>
          <w:tcPr>
            <w:tcW w:w="3870" w:type="dxa"/>
            <w:vAlign w:val="center"/>
          </w:tcPr>
          <w:p>
            <w:pPr>
              <w:pStyle w:val="279"/>
              <w:spacing w:line="360" w:lineRule="auto"/>
              <w:jc w:val="center"/>
              <w:rPr>
                <w:rFonts w:eastAsia="宋体"/>
                <w:sz w:val="21"/>
                <w:szCs w:val="21"/>
                <w:highlight w:val="none"/>
              </w:rPr>
            </w:pPr>
            <w:r>
              <w:rPr>
                <w:rFonts w:eastAsia="宋体"/>
                <w:sz w:val="21"/>
                <w:szCs w:val="21"/>
                <w:highlight w:val="none"/>
              </w:rPr>
              <w:t>具体配置</w:t>
            </w:r>
          </w:p>
        </w:tc>
        <w:tc>
          <w:tcPr>
            <w:tcW w:w="828" w:type="dxa"/>
            <w:vAlign w:val="center"/>
          </w:tcPr>
          <w:p>
            <w:pPr>
              <w:pStyle w:val="279"/>
              <w:spacing w:line="360" w:lineRule="auto"/>
              <w:jc w:val="center"/>
              <w:rPr>
                <w:rFonts w:eastAsia="宋体"/>
                <w:sz w:val="21"/>
                <w:szCs w:val="21"/>
                <w:highlight w:val="none"/>
              </w:rPr>
            </w:pPr>
            <w:r>
              <w:rPr>
                <w:rFonts w:eastAsia="宋体"/>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9" w:type="dxa"/>
            <w:vAlign w:val="center"/>
          </w:tcPr>
          <w:p>
            <w:pPr>
              <w:pStyle w:val="279"/>
              <w:spacing w:line="360" w:lineRule="auto"/>
              <w:jc w:val="center"/>
              <w:rPr>
                <w:rFonts w:eastAsia="宋体"/>
                <w:sz w:val="21"/>
                <w:szCs w:val="21"/>
                <w:highlight w:val="none"/>
              </w:rPr>
            </w:pPr>
            <w:r>
              <w:rPr>
                <w:rFonts w:eastAsia="宋体"/>
                <w:sz w:val="21"/>
                <w:szCs w:val="21"/>
                <w:highlight w:val="none"/>
              </w:rPr>
              <w:t>1</w:t>
            </w:r>
          </w:p>
        </w:tc>
        <w:tc>
          <w:tcPr>
            <w:tcW w:w="3345" w:type="dxa"/>
            <w:vAlign w:val="center"/>
          </w:tcPr>
          <w:p>
            <w:pPr>
              <w:pStyle w:val="279"/>
              <w:spacing w:line="360" w:lineRule="auto"/>
              <w:jc w:val="center"/>
              <w:rPr>
                <w:rFonts w:eastAsia="宋体"/>
                <w:sz w:val="21"/>
                <w:szCs w:val="21"/>
                <w:highlight w:val="none"/>
              </w:rPr>
            </w:pPr>
            <w:r>
              <w:rPr>
                <w:rFonts w:eastAsia="宋体"/>
                <w:sz w:val="21"/>
                <w:szCs w:val="21"/>
                <w:highlight w:val="none"/>
              </w:rPr>
              <w:t>云防火墙</w:t>
            </w:r>
          </w:p>
        </w:tc>
        <w:tc>
          <w:tcPr>
            <w:tcW w:w="3870" w:type="dxa"/>
            <w:vAlign w:val="center"/>
          </w:tcPr>
          <w:p>
            <w:pPr>
              <w:pStyle w:val="279"/>
              <w:spacing w:line="360" w:lineRule="auto"/>
              <w:jc w:val="center"/>
              <w:rPr>
                <w:rFonts w:eastAsia="宋体"/>
                <w:sz w:val="21"/>
                <w:szCs w:val="21"/>
                <w:highlight w:val="none"/>
              </w:rPr>
            </w:pPr>
            <w:r>
              <w:rPr>
                <w:rFonts w:eastAsia="宋体"/>
                <w:sz w:val="21"/>
                <w:szCs w:val="21"/>
                <w:highlight w:val="none"/>
              </w:rPr>
              <w:t>云防火墙服务</w:t>
            </w:r>
          </w:p>
        </w:tc>
        <w:tc>
          <w:tcPr>
            <w:tcW w:w="828" w:type="dxa"/>
            <w:vAlign w:val="center"/>
          </w:tcPr>
          <w:p>
            <w:pPr>
              <w:pStyle w:val="279"/>
              <w:spacing w:line="360" w:lineRule="auto"/>
              <w:jc w:val="center"/>
              <w:rPr>
                <w:rFonts w:eastAsia="宋体"/>
                <w:sz w:val="21"/>
                <w:szCs w:val="21"/>
                <w:highlight w:val="none"/>
              </w:rPr>
            </w:pPr>
            <w:r>
              <w:rPr>
                <w:rFonts w:eastAsia="宋体"/>
                <w:sz w:val="21"/>
                <w:szCs w:val="21"/>
                <w:highlight w:val="none"/>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9" w:type="dxa"/>
            <w:vAlign w:val="center"/>
          </w:tcPr>
          <w:p>
            <w:pPr>
              <w:pStyle w:val="279"/>
              <w:spacing w:line="360" w:lineRule="auto"/>
              <w:jc w:val="center"/>
              <w:rPr>
                <w:rFonts w:eastAsia="宋体"/>
                <w:sz w:val="21"/>
                <w:szCs w:val="21"/>
                <w:highlight w:val="none"/>
              </w:rPr>
            </w:pPr>
            <w:r>
              <w:rPr>
                <w:rFonts w:eastAsia="宋体"/>
                <w:sz w:val="21"/>
                <w:szCs w:val="21"/>
                <w:highlight w:val="none"/>
              </w:rPr>
              <w:t>2</w:t>
            </w:r>
          </w:p>
        </w:tc>
        <w:tc>
          <w:tcPr>
            <w:tcW w:w="3345" w:type="dxa"/>
            <w:vAlign w:val="center"/>
          </w:tcPr>
          <w:p>
            <w:pPr>
              <w:pStyle w:val="279"/>
              <w:spacing w:line="360" w:lineRule="auto"/>
              <w:jc w:val="center"/>
              <w:rPr>
                <w:rFonts w:eastAsia="宋体"/>
                <w:sz w:val="21"/>
                <w:szCs w:val="21"/>
                <w:highlight w:val="none"/>
              </w:rPr>
            </w:pPr>
            <w:r>
              <w:rPr>
                <w:rFonts w:eastAsia="宋体"/>
                <w:sz w:val="21"/>
                <w:szCs w:val="21"/>
                <w:highlight w:val="none"/>
              </w:rPr>
              <w:t>入侵防御服务</w:t>
            </w:r>
          </w:p>
        </w:tc>
        <w:tc>
          <w:tcPr>
            <w:tcW w:w="3870" w:type="dxa"/>
            <w:vAlign w:val="center"/>
          </w:tcPr>
          <w:p>
            <w:pPr>
              <w:pStyle w:val="279"/>
              <w:spacing w:line="360" w:lineRule="auto"/>
              <w:jc w:val="center"/>
              <w:rPr>
                <w:rFonts w:eastAsia="宋体"/>
                <w:sz w:val="21"/>
                <w:szCs w:val="21"/>
                <w:highlight w:val="none"/>
              </w:rPr>
            </w:pPr>
            <w:r>
              <w:rPr>
                <w:rFonts w:eastAsia="宋体"/>
                <w:sz w:val="21"/>
                <w:szCs w:val="21"/>
                <w:highlight w:val="none"/>
              </w:rPr>
              <w:t>入侵防御服务</w:t>
            </w:r>
          </w:p>
        </w:tc>
        <w:tc>
          <w:tcPr>
            <w:tcW w:w="828" w:type="dxa"/>
            <w:vAlign w:val="center"/>
          </w:tcPr>
          <w:p>
            <w:pPr>
              <w:pStyle w:val="279"/>
              <w:spacing w:line="360" w:lineRule="auto"/>
              <w:jc w:val="center"/>
              <w:rPr>
                <w:rFonts w:eastAsia="宋体"/>
                <w:sz w:val="21"/>
                <w:szCs w:val="21"/>
                <w:highlight w:val="none"/>
              </w:rPr>
            </w:pPr>
            <w:r>
              <w:rPr>
                <w:rFonts w:eastAsia="宋体"/>
                <w:sz w:val="21"/>
                <w:szCs w:val="21"/>
                <w:highlight w:val="none"/>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9" w:type="dxa"/>
            <w:vAlign w:val="center"/>
          </w:tcPr>
          <w:p>
            <w:pPr>
              <w:pStyle w:val="279"/>
              <w:spacing w:line="360" w:lineRule="auto"/>
              <w:jc w:val="center"/>
              <w:rPr>
                <w:rFonts w:eastAsia="宋体"/>
                <w:sz w:val="21"/>
                <w:szCs w:val="21"/>
                <w:highlight w:val="none"/>
              </w:rPr>
            </w:pPr>
            <w:r>
              <w:rPr>
                <w:rFonts w:eastAsia="宋体"/>
                <w:sz w:val="21"/>
                <w:szCs w:val="21"/>
                <w:highlight w:val="none"/>
              </w:rPr>
              <w:t>3</w:t>
            </w:r>
          </w:p>
        </w:tc>
        <w:tc>
          <w:tcPr>
            <w:tcW w:w="3345" w:type="dxa"/>
            <w:vAlign w:val="center"/>
          </w:tcPr>
          <w:p>
            <w:pPr>
              <w:pStyle w:val="279"/>
              <w:spacing w:line="360" w:lineRule="auto"/>
              <w:jc w:val="center"/>
              <w:rPr>
                <w:rFonts w:eastAsia="宋体"/>
                <w:sz w:val="21"/>
                <w:szCs w:val="21"/>
                <w:highlight w:val="none"/>
              </w:rPr>
            </w:pPr>
            <w:r>
              <w:rPr>
                <w:rFonts w:eastAsia="宋体"/>
                <w:sz w:val="21"/>
                <w:szCs w:val="21"/>
                <w:highlight w:val="none"/>
              </w:rPr>
              <w:t>日志审计（包含数据库日志）</w:t>
            </w:r>
          </w:p>
        </w:tc>
        <w:tc>
          <w:tcPr>
            <w:tcW w:w="3870" w:type="dxa"/>
            <w:vAlign w:val="center"/>
          </w:tcPr>
          <w:p>
            <w:pPr>
              <w:pStyle w:val="279"/>
              <w:spacing w:line="360" w:lineRule="auto"/>
              <w:jc w:val="center"/>
              <w:rPr>
                <w:rFonts w:eastAsia="宋体"/>
                <w:sz w:val="21"/>
                <w:szCs w:val="21"/>
                <w:highlight w:val="none"/>
              </w:rPr>
            </w:pPr>
            <w:r>
              <w:rPr>
                <w:rFonts w:eastAsia="宋体"/>
                <w:sz w:val="21"/>
                <w:szCs w:val="21"/>
                <w:highlight w:val="none"/>
              </w:rPr>
              <w:t>支持日志审计能力</w:t>
            </w:r>
          </w:p>
        </w:tc>
        <w:tc>
          <w:tcPr>
            <w:tcW w:w="828" w:type="dxa"/>
            <w:vAlign w:val="center"/>
          </w:tcPr>
          <w:p>
            <w:pPr>
              <w:pStyle w:val="279"/>
              <w:spacing w:line="360" w:lineRule="auto"/>
              <w:jc w:val="center"/>
              <w:rPr>
                <w:rFonts w:eastAsia="宋体"/>
                <w:sz w:val="21"/>
                <w:szCs w:val="21"/>
                <w:highlight w:val="none"/>
              </w:rPr>
            </w:pPr>
            <w:r>
              <w:rPr>
                <w:rFonts w:eastAsia="宋体"/>
                <w:sz w:val="21"/>
                <w:szCs w:val="21"/>
                <w:highlight w:val="none"/>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9" w:type="dxa"/>
            <w:vAlign w:val="center"/>
          </w:tcPr>
          <w:p>
            <w:pPr>
              <w:pStyle w:val="279"/>
              <w:spacing w:line="360" w:lineRule="auto"/>
              <w:jc w:val="center"/>
              <w:rPr>
                <w:rFonts w:eastAsia="宋体"/>
                <w:sz w:val="21"/>
                <w:szCs w:val="21"/>
                <w:highlight w:val="none"/>
              </w:rPr>
            </w:pPr>
            <w:r>
              <w:rPr>
                <w:rFonts w:eastAsia="宋体"/>
                <w:sz w:val="21"/>
                <w:szCs w:val="21"/>
                <w:highlight w:val="none"/>
              </w:rPr>
              <w:t>4</w:t>
            </w:r>
          </w:p>
        </w:tc>
        <w:tc>
          <w:tcPr>
            <w:tcW w:w="3345" w:type="dxa"/>
            <w:vAlign w:val="center"/>
          </w:tcPr>
          <w:p>
            <w:pPr>
              <w:pStyle w:val="279"/>
              <w:spacing w:line="360" w:lineRule="auto"/>
              <w:jc w:val="center"/>
              <w:rPr>
                <w:rFonts w:eastAsia="宋体"/>
                <w:sz w:val="21"/>
                <w:szCs w:val="21"/>
                <w:highlight w:val="none"/>
              </w:rPr>
            </w:pPr>
            <w:r>
              <w:rPr>
                <w:rFonts w:eastAsia="宋体"/>
                <w:sz w:val="21"/>
                <w:szCs w:val="21"/>
                <w:highlight w:val="none"/>
              </w:rPr>
              <w:t>云堡垒机</w:t>
            </w:r>
          </w:p>
        </w:tc>
        <w:tc>
          <w:tcPr>
            <w:tcW w:w="3870" w:type="dxa"/>
            <w:vAlign w:val="center"/>
          </w:tcPr>
          <w:p>
            <w:pPr>
              <w:pStyle w:val="279"/>
              <w:spacing w:line="360" w:lineRule="auto"/>
              <w:jc w:val="center"/>
              <w:rPr>
                <w:rFonts w:eastAsia="宋体"/>
                <w:sz w:val="21"/>
                <w:szCs w:val="21"/>
                <w:highlight w:val="none"/>
              </w:rPr>
            </w:pPr>
            <w:r>
              <w:rPr>
                <w:rFonts w:eastAsia="宋体"/>
                <w:sz w:val="21"/>
                <w:szCs w:val="21"/>
                <w:highlight w:val="none"/>
              </w:rPr>
              <w:t>运维审计</w:t>
            </w:r>
          </w:p>
        </w:tc>
        <w:tc>
          <w:tcPr>
            <w:tcW w:w="828" w:type="dxa"/>
            <w:vAlign w:val="center"/>
          </w:tcPr>
          <w:p>
            <w:pPr>
              <w:pStyle w:val="279"/>
              <w:spacing w:line="360" w:lineRule="auto"/>
              <w:jc w:val="center"/>
              <w:rPr>
                <w:rFonts w:eastAsia="宋体"/>
                <w:sz w:val="21"/>
                <w:szCs w:val="21"/>
                <w:highlight w:val="none"/>
              </w:rPr>
            </w:pPr>
            <w:r>
              <w:rPr>
                <w:rFonts w:eastAsia="宋体"/>
                <w:sz w:val="21"/>
                <w:szCs w:val="21"/>
                <w:highlight w:val="none"/>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9" w:type="dxa"/>
            <w:vAlign w:val="center"/>
          </w:tcPr>
          <w:p>
            <w:pPr>
              <w:pStyle w:val="279"/>
              <w:spacing w:line="360" w:lineRule="auto"/>
              <w:jc w:val="center"/>
              <w:rPr>
                <w:rFonts w:eastAsia="宋体"/>
                <w:sz w:val="21"/>
                <w:szCs w:val="21"/>
                <w:highlight w:val="none"/>
              </w:rPr>
            </w:pPr>
            <w:r>
              <w:rPr>
                <w:rFonts w:eastAsia="宋体"/>
                <w:sz w:val="21"/>
                <w:szCs w:val="21"/>
                <w:highlight w:val="none"/>
              </w:rPr>
              <w:t>5</w:t>
            </w:r>
          </w:p>
        </w:tc>
        <w:tc>
          <w:tcPr>
            <w:tcW w:w="3345" w:type="dxa"/>
            <w:vAlign w:val="center"/>
          </w:tcPr>
          <w:p>
            <w:pPr>
              <w:pStyle w:val="279"/>
              <w:spacing w:line="360" w:lineRule="auto"/>
              <w:jc w:val="center"/>
              <w:rPr>
                <w:rFonts w:eastAsia="宋体"/>
                <w:sz w:val="21"/>
                <w:szCs w:val="21"/>
                <w:highlight w:val="none"/>
              </w:rPr>
            </w:pPr>
            <w:r>
              <w:rPr>
                <w:rFonts w:eastAsia="宋体"/>
                <w:sz w:val="21"/>
                <w:szCs w:val="21"/>
                <w:highlight w:val="none"/>
              </w:rPr>
              <w:t>数据库审计</w:t>
            </w:r>
          </w:p>
        </w:tc>
        <w:tc>
          <w:tcPr>
            <w:tcW w:w="3870" w:type="dxa"/>
            <w:vAlign w:val="center"/>
          </w:tcPr>
          <w:p>
            <w:pPr>
              <w:pStyle w:val="279"/>
              <w:spacing w:line="360" w:lineRule="auto"/>
              <w:jc w:val="center"/>
              <w:rPr>
                <w:rFonts w:eastAsia="宋体"/>
                <w:sz w:val="21"/>
                <w:szCs w:val="21"/>
                <w:highlight w:val="none"/>
              </w:rPr>
            </w:pPr>
            <w:r>
              <w:rPr>
                <w:rFonts w:eastAsia="宋体"/>
                <w:sz w:val="21"/>
                <w:szCs w:val="21"/>
                <w:highlight w:val="none"/>
              </w:rPr>
              <w:t>数据库审计</w:t>
            </w:r>
          </w:p>
        </w:tc>
        <w:tc>
          <w:tcPr>
            <w:tcW w:w="828" w:type="dxa"/>
            <w:vAlign w:val="center"/>
          </w:tcPr>
          <w:p>
            <w:pPr>
              <w:pStyle w:val="279"/>
              <w:spacing w:line="360" w:lineRule="auto"/>
              <w:jc w:val="center"/>
              <w:rPr>
                <w:rFonts w:eastAsia="宋体"/>
                <w:sz w:val="21"/>
                <w:szCs w:val="21"/>
                <w:highlight w:val="none"/>
              </w:rPr>
            </w:pPr>
            <w:r>
              <w:rPr>
                <w:rFonts w:eastAsia="宋体"/>
                <w:sz w:val="21"/>
                <w:szCs w:val="21"/>
                <w:highlight w:val="none"/>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9" w:type="dxa"/>
            <w:vAlign w:val="center"/>
          </w:tcPr>
          <w:p>
            <w:pPr>
              <w:pStyle w:val="279"/>
              <w:spacing w:line="360" w:lineRule="auto"/>
              <w:jc w:val="center"/>
              <w:rPr>
                <w:rFonts w:eastAsia="宋体"/>
                <w:sz w:val="21"/>
                <w:szCs w:val="21"/>
                <w:highlight w:val="none"/>
              </w:rPr>
            </w:pPr>
            <w:r>
              <w:rPr>
                <w:rFonts w:eastAsia="宋体"/>
                <w:sz w:val="21"/>
                <w:szCs w:val="21"/>
                <w:highlight w:val="none"/>
              </w:rPr>
              <w:t>6</w:t>
            </w:r>
          </w:p>
        </w:tc>
        <w:tc>
          <w:tcPr>
            <w:tcW w:w="3345" w:type="dxa"/>
            <w:vAlign w:val="center"/>
          </w:tcPr>
          <w:p>
            <w:pPr>
              <w:pStyle w:val="279"/>
              <w:spacing w:line="360" w:lineRule="auto"/>
              <w:jc w:val="center"/>
              <w:rPr>
                <w:rFonts w:eastAsia="宋体"/>
                <w:sz w:val="21"/>
                <w:szCs w:val="21"/>
                <w:highlight w:val="none"/>
              </w:rPr>
            </w:pPr>
            <w:r>
              <w:rPr>
                <w:rFonts w:eastAsia="宋体"/>
                <w:sz w:val="21"/>
                <w:szCs w:val="21"/>
                <w:highlight w:val="none"/>
              </w:rPr>
              <w:t>WAF</w:t>
            </w:r>
          </w:p>
        </w:tc>
        <w:tc>
          <w:tcPr>
            <w:tcW w:w="3870" w:type="dxa"/>
            <w:vAlign w:val="center"/>
          </w:tcPr>
          <w:p>
            <w:pPr>
              <w:pStyle w:val="279"/>
              <w:spacing w:line="360" w:lineRule="auto"/>
              <w:jc w:val="center"/>
              <w:rPr>
                <w:rFonts w:eastAsia="宋体"/>
                <w:sz w:val="21"/>
                <w:szCs w:val="21"/>
                <w:highlight w:val="none"/>
              </w:rPr>
            </w:pPr>
            <w:r>
              <w:rPr>
                <w:rFonts w:eastAsia="宋体"/>
                <w:sz w:val="21"/>
                <w:szCs w:val="21"/>
                <w:highlight w:val="none"/>
              </w:rPr>
              <w:t>支持web应用防护</w:t>
            </w:r>
          </w:p>
        </w:tc>
        <w:tc>
          <w:tcPr>
            <w:tcW w:w="828" w:type="dxa"/>
            <w:vAlign w:val="center"/>
          </w:tcPr>
          <w:p>
            <w:pPr>
              <w:pStyle w:val="279"/>
              <w:spacing w:line="360" w:lineRule="auto"/>
              <w:jc w:val="center"/>
              <w:rPr>
                <w:rFonts w:eastAsia="宋体"/>
                <w:sz w:val="21"/>
                <w:szCs w:val="21"/>
                <w:highlight w:val="none"/>
              </w:rPr>
            </w:pPr>
            <w:r>
              <w:rPr>
                <w:rFonts w:eastAsia="宋体"/>
                <w:sz w:val="21"/>
                <w:szCs w:val="21"/>
                <w:highlight w:val="none"/>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9" w:type="dxa"/>
            <w:vAlign w:val="center"/>
          </w:tcPr>
          <w:p>
            <w:pPr>
              <w:pStyle w:val="279"/>
              <w:spacing w:line="360" w:lineRule="auto"/>
              <w:jc w:val="center"/>
              <w:rPr>
                <w:rFonts w:eastAsia="宋体"/>
                <w:sz w:val="21"/>
                <w:szCs w:val="21"/>
                <w:highlight w:val="none"/>
              </w:rPr>
            </w:pPr>
            <w:r>
              <w:rPr>
                <w:rFonts w:eastAsia="宋体"/>
                <w:sz w:val="21"/>
                <w:szCs w:val="21"/>
                <w:highlight w:val="none"/>
              </w:rPr>
              <w:t>7</w:t>
            </w:r>
          </w:p>
        </w:tc>
        <w:tc>
          <w:tcPr>
            <w:tcW w:w="3345" w:type="dxa"/>
            <w:vAlign w:val="center"/>
          </w:tcPr>
          <w:p>
            <w:pPr>
              <w:pStyle w:val="279"/>
              <w:spacing w:line="360" w:lineRule="auto"/>
              <w:jc w:val="center"/>
              <w:rPr>
                <w:rFonts w:eastAsia="宋体"/>
                <w:sz w:val="21"/>
                <w:szCs w:val="21"/>
                <w:highlight w:val="none"/>
              </w:rPr>
            </w:pPr>
            <w:r>
              <w:rPr>
                <w:rFonts w:eastAsia="宋体"/>
                <w:sz w:val="21"/>
                <w:szCs w:val="21"/>
                <w:highlight w:val="none"/>
              </w:rPr>
              <w:t>云数据库审计</w:t>
            </w:r>
          </w:p>
        </w:tc>
        <w:tc>
          <w:tcPr>
            <w:tcW w:w="3870" w:type="dxa"/>
            <w:vAlign w:val="center"/>
          </w:tcPr>
          <w:p>
            <w:pPr>
              <w:pStyle w:val="279"/>
              <w:spacing w:line="360" w:lineRule="auto"/>
              <w:jc w:val="center"/>
              <w:rPr>
                <w:rFonts w:eastAsia="宋体"/>
                <w:sz w:val="21"/>
                <w:szCs w:val="21"/>
                <w:highlight w:val="none"/>
              </w:rPr>
            </w:pPr>
            <w:r>
              <w:rPr>
                <w:rFonts w:eastAsia="宋体"/>
                <w:sz w:val="21"/>
                <w:szCs w:val="21"/>
                <w:highlight w:val="none"/>
              </w:rPr>
              <w:t>支持多个数据库实例审计</w:t>
            </w:r>
          </w:p>
        </w:tc>
        <w:tc>
          <w:tcPr>
            <w:tcW w:w="828" w:type="dxa"/>
            <w:vAlign w:val="center"/>
          </w:tcPr>
          <w:p>
            <w:pPr>
              <w:pStyle w:val="279"/>
              <w:spacing w:line="360" w:lineRule="auto"/>
              <w:jc w:val="center"/>
              <w:rPr>
                <w:rFonts w:eastAsia="宋体"/>
                <w:sz w:val="21"/>
                <w:szCs w:val="21"/>
                <w:highlight w:val="none"/>
              </w:rPr>
            </w:pPr>
            <w:r>
              <w:rPr>
                <w:rFonts w:eastAsia="宋体"/>
                <w:sz w:val="21"/>
                <w:szCs w:val="21"/>
                <w:highlight w:val="none"/>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9" w:type="dxa"/>
            <w:vAlign w:val="center"/>
          </w:tcPr>
          <w:p>
            <w:pPr>
              <w:pStyle w:val="279"/>
              <w:spacing w:line="360" w:lineRule="auto"/>
              <w:jc w:val="center"/>
              <w:rPr>
                <w:rFonts w:eastAsia="宋体"/>
                <w:sz w:val="21"/>
                <w:szCs w:val="21"/>
                <w:highlight w:val="none"/>
              </w:rPr>
            </w:pPr>
            <w:r>
              <w:rPr>
                <w:rFonts w:eastAsia="宋体"/>
                <w:sz w:val="21"/>
                <w:szCs w:val="21"/>
                <w:highlight w:val="none"/>
              </w:rPr>
              <w:t>8</w:t>
            </w:r>
          </w:p>
        </w:tc>
        <w:tc>
          <w:tcPr>
            <w:tcW w:w="3345" w:type="dxa"/>
            <w:vAlign w:val="center"/>
          </w:tcPr>
          <w:p>
            <w:pPr>
              <w:pStyle w:val="279"/>
              <w:spacing w:line="360" w:lineRule="auto"/>
              <w:jc w:val="center"/>
              <w:rPr>
                <w:rFonts w:eastAsia="宋体"/>
                <w:sz w:val="21"/>
                <w:szCs w:val="21"/>
                <w:highlight w:val="none"/>
              </w:rPr>
            </w:pPr>
            <w:r>
              <w:rPr>
                <w:rFonts w:eastAsia="宋体"/>
                <w:sz w:val="21"/>
                <w:szCs w:val="21"/>
                <w:highlight w:val="none"/>
              </w:rPr>
              <w:t>云数据库防火墙</w:t>
            </w:r>
          </w:p>
        </w:tc>
        <w:tc>
          <w:tcPr>
            <w:tcW w:w="3870" w:type="dxa"/>
            <w:vAlign w:val="center"/>
          </w:tcPr>
          <w:p>
            <w:pPr>
              <w:pStyle w:val="279"/>
              <w:spacing w:line="360" w:lineRule="auto"/>
              <w:jc w:val="center"/>
              <w:rPr>
                <w:rFonts w:eastAsia="宋体"/>
                <w:sz w:val="21"/>
                <w:szCs w:val="21"/>
                <w:highlight w:val="none"/>
              </w:rPr>
            </w:pPr>
            <w:r>
              <w:rPr>
                <w:rFonts w:eastAsia="宋体"/>
                <w:sz w:val="21"/>
                <w:szCs w:val="21"/>
                <w:highlight w:val="none"/>
              </w:rPr>
              <w:t>支持多个数据库实例审计</w:t>
            </w:r>
          </w:p>
        </w:tc>
        <w:tc>
          <w:tcPr>
            <w:tcW w:w="828" w:type="dxa"/>
            <w:vAlign w:val="center"/>
          </w:tcPr>
          <w:p>
            <w:pPr>
              <w:pStyle w:val="279"/>
              <w:spacing w:line="360" w:lineRule="auto"/>
              <w:jc w:val="center"/>
              <w:rPr>
                <w:rFonts w:eastAsia="宋体"/>
                <w:sz w:val="21"/>
                <w:szCs w:val="21"/>
                <w:highlight w:val="none"/>
              </w:rPr>
            </w:pPr>
            <w:r>
              <w:rPr>
                <w:rFonts w:eastAsia="宋体"/>
                <w:sz w:val="21"/>
                <w:szCs w:val="21"/>
                <w:highlight w:val="none"/>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9" w:type="dxa"/>
            <w:vAlign w:val="center"/>
          </w:tcPr>
          <w:p>
            <w:pPr>
              <w:pStyle w:val="279"/>
              <w:spacing w:line="360" w:lineRule="auto"/>
              <w:jc w:val="center"/>
              <w:rPr>
                <w:rFonts w:eastAsia="宋体"/>
                <w:sz w:val="21"/>
                <w:szCs w:val="21"/>
                <w:highlight w:val="none"/>
              </w:rPr>
            </w:pPr>
            <w:r>
              <w:rPr>
                <w:rFonts w:eastAsia="宋体"/>
                <w:sz w:val="21"/>
                <w:szCs w:val="21"/>
                <w:highlight w:val="none"/>
              </w:rPr>
              <w:t>9</w:t>
            </w:r>
          </w:p>
        </w:tc>
        <w:tc>
          <w:tcPr>
            <w:tcW w:w="3345" w:type="dxa"/>
            <w:vAlign w:val="center"/>
          </w:tcPr>
          <w:p>
            <w:pPr>
              <w:pStyle w:val="279"/>
              <w:spacing w:line="360" w:lineRule="auto"/>
              <w:jc w:val="center"/>
              <w:rPr>
                <w:rFonts w:eastAsia="宋体"/>
                <w:sz w:val="21"/>
                <w:szCs w:val="21"/>
                <w:highlight w:val="none"/>
              </w:rPr>
            </w:pPr>
            <w:r>
              <w:rPr>
                <w:rFonts w:eastAsia="宋体"/>
                <w:sz w:val="21"/>
                <w:szCs w:val="21"/>
                <w:highlight w:val="none"/>
              </w:rPr>
              <w:t>云综合漏扫</w:t>
            </w:r>
          </w:p>
        </w:tc>
        <w:tc>
          <w:tcPr>
            <w:tcW w:w="3870" w:type="dxa"/>
            <w:vAlign w:val="center"/>
          </w:tcPr>
          <w:p>
            <w:pPr>
              <w:pStyle w:val="279"/>
              <w:spacing w:line="360" w:lineRule="auto"/>
              <w:jc w:val="center"/>
              <w:rPr>
                <w:rFonts w:eastAsia="宋体"/>
                <w:sz w:val="21"/>
                <w:szCs w:val="21"/>
                <w:highlight w:val="none"/>
              </w:rPr>
            </w:pPr>
            <w:r>
              <w:rPr>
                <w:rFonts w:eastAsia="宋体"/>
                <w:sz w:val="21"/>
                <w:szCs w:val="21"/>
                <w:highlight w:val="none"/>
              </w:rPr>
              <w:t>网站扫描、系统扫描、数据库扫描</w:t>
            </w:r>
          </w:p>
        </w:tc>
        <w:tc>
          <w:tcPr>
            <w:tcW w:w="828" w:type="dxa"/>
            <w:vAlign w:val="center"/>
          </w:tcPr>
          <w:p>
            <w:pPr>
              <w:pStyle w:val="279"/>
              <w:spacing w:line="360" w:lineRule="auto"/>
              <w:jc w:val="center"/>
              <w:rPr>
                <w:rFonts w:eastAsia="宋体"/>
                <w:sz w:val="21"/>
                <w:szCs w:val="21"/>
                <w:highlight w:val="none"/>
              </w:rPr>
            </w:pPr>
            <w:r>
              <w:rPr>
                <w:rFonts w:eastAsia="宋体"/>
                <w:sz w:val="21"/>
                <w:szCs w:val="21"/>
                <w:highlight w:val="none"/>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9" w:type="dxa"/>
            <w:vAlign w:val="center"/>
          </w:tcPr>
          <w:p>
            <w:pPr>
              <w:pStyle w:val="279"/>
              <w:spacing w:line="360" w:lineRule="auto"/>
              <w:jc w:val="center"/>
              <w:rPr>
                <w:rFonts w:eastAsia="宋体"/>
                <w:sz w:val="21"/>
                <w:szCs w:val="21"/>
                <w:highlight w:val="none"/>
              </w:rPr>
            </w:pPr>
            <w:r>
              <w:rPr>
                <w:rFonts w:eastAsia="宋体"/>
                <w:sz w:val="21"/>
                <w:szCs w:val="21"/>
                <w:highlight w:val="none"/>
              </w:rPr>
              <w:t>10</w:t>
            </w:r>
          </w:p>
        </w:tc>
        <w:tc>
          <w:tcPr>
            <w:tcW w:w="3345" w:type="dxa"/>
            <w:vAlign w:val="center"/>
          </w:tcPr>
          <w:p>
            <w:pPr>
              <w:pStyle w:val="279"/>
              <w:spacing w:line="360" w:lineRule="auto"/>
              <w:jc w:val="center"/>
              <w:rPr>
                <w:rFonts w:eastAsia="宋体"/>
                <w:sz w:val="21"/>
                <w:szCs w:val="21"/>
                <w:highlight w:val="none"/>
              </w:rPr>
            </w:pPr>
            <w:r>
              <w:rPr>
                <w:rFonts w:eastAsia="宋体"/>
                <w:sz w:val="21"/>
                <w:szCs w:val="21"/>
                <w:highlight w:val="none"/>
              </w:rPr>
              <w:t>主机安全</w:t>
            </w:r>
          </w:p>
        </w:tc>
        <w:tc>
          <w:tcPr>
            <w:tcW w:w="3870" w:type="dxa"/>
            <w:vAlign w:val="center"/>
          </w:tcPr>
          <w:p>
            <w:pPr>
              <w:pStyle w:val="279"/>
              <w:spacing w:line="360" w:lineRule="auto"/>
              <w:jc w:val="center"/>
              <w:rPr>
                <w:rFonts w:eastAsia="宋体"/>
                <w:sz w:val="21"/>
                <w:szCs w:val="21"/>
                <w:highlight w:val="none"/>
              </w:rPr>
            </w:pPr>
            <w:r>
              <w:rPr>
                <w:rFonts w:eastAsia="宋体"/>
                <w:sz w:val="21"/>
                <w:szCs w:val="21"/>
                <w:highlight w:val="none"/>
              </w:rPr>
              <w:t>提供主机防护、防病毒</w:t>
            </w:r>
          </w:p>
        </w:tc>
        <w:tc>
          <w:tcPr>
            <w:tcW w:w="828" w:type="dxa"/>
            <w:vAlign w:val="center"/>
          </w:tcPr>
          <w:p>
            <w:pPr>
              <w:pStyle w:val="279"/>
              <w:spacing w:line="360" w:lineRule="auto"/>
              <w:jc w:val="center"/>
              <w:rPr>
                <w:rFonts w:eastAsia="宋体"/>
                <w:sz w:val="21"/>
                <w:szCs w:val="21"/>
                <w:highlight w:val="none"/>
              </w:rPr>
            </w:pPr>
            <w:r>
              <w:rPr>
                <w:rFonts w:eastAsia="宋体"/>
                <w:sz w:val="21"/>
                <w:szCs w:val="21"/>
                <w:highlight w:val="none"/>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9" w:type="dxa"/>
            <w:vAlign w:val="center"/>
          </w:tcPr>
          <w:p>
            <w:pPr>
              <w:pStyle w:val="279"/>
              <w:spacing w:line="360" w:lineRule="auto"/>
              <w:jc w:val="center"/>
              <w:rPr>
                <w:rFonts w:eastAsia="宋体"/>
                <w:sz w:val="21"/>
                <w:szCs w:val="21"/>
                <w:highlight w:val="none"/>
              </w:rPr>
            </w:pPr>
            <w:r>
              <w:rPr>
                <w:rFonts w:eastAsia="宋体"/>
                <w:sz w:val="21"/>
                <w:szCs w:val="21"/>
                <w:highlight w:val="none"/>
              </w:rPr>
              <w:t>11</w:t>
            </w:r>
          </w:p>
        </w:tc>
        <w:tc>
          <w:tcPr>
            <w:tcW w:w="3345" w:type="dxa"/>
            <w:vAlign w:val="center"/>
          </w:tcPr>
          <w:p>
            <w:pPr>
              <w:pStyle w:val="279"/>
              <w:spacing w:line="360" w:lineRule="auto"/>
              <w:jc w:val="center"/>
              <w:rPr>
                <w:rFonts w:eastAsia="宋体"/>
                <w:sz w:val="21"/>
                <w:szCs w:val="21"/>
                <w:highlight w:val="none"/>
              </w:rPr>
            </w:pPr>
            <w:r>
              <w:rPr>
                <w:rFonts w:eastAsia="宋体"/>
                <w:sz w:val="21"/>
                <w:szCs w:val="21"/>
                <w:highlight w:val="none"/>
              </w:rPr>
              <w:t>数据安全交换</w:t>
            </w:r>
          </w:p>
        </w:tc>
        <w:tc>
          <w:tcPr>
            <w:tcW w:w="3870" w:type="dxa"/>
            <w:vAlign w:val="center"/>
          </w:tcPr>
          <w:p>
            <w:pPr>
              <w:pStyle w:val="279"/>
              <w:spacing w:line="360" w:lineRule="auto"/>
              <w:jc w:val="center"/>
              <w:rPr>
                <w:rFonts w:eastAsia="宋体"/>
                <w:sz w:val="21"/>
                <w:szCs w:val="21"/>
                <w:highlight w:val="none"/>
              </w:rPr>
            </w:pPr>
            <w:r>
              <w:rPr>
                <w:rFonts w:eastAsia="宋体"/>
                <w:sz w:val="21"/>
                <w:szCs w:val="21"/>
                <w:highlight w:val="none"/>
              </w:rPr>
              <w:t>提供跨网数据安全交换服务</w:t>
            </w:r>
          </w:p>
        </w:tc>
        <w:tc>
          <w:tcPr>
            <w:tcW w:w="828" w:type="dxa"/>
            <w:vAlign w:val="center"/>
          </w:tcPr>
          <w:p>
            <w:pPr>
              <w:pStyle w:val="279"/>
              <w:spacing w:line="360" w:lineRule="auto"/>
              <w:jc w:val="center"/>
              <w:rPr>
                <w:rFonts w:eastAsia="宋体"/>
                <w:sz w:val="21"/>
                <w:szCs w:val="21"/>
                <w:highlight w:val="none"/>
              </w:rPr>
            </w:pPr>
            <w:r>
              <w:rPr>
                <w:rFonts w:eastAsia="宋体"/>
                <w:sz w:val="21"/>
                <w:szCs w:val="21"/>
                <w:highlight w:val="none"/>
              </w:rPr>
              <w:t>1项</w:t>
            </w:r>
          </w:p>
        </w:tc>
      </w:tr>
    </w:tbl>
    <w:p>
      <w:pPr>
        <w:spacing w:line="360" w:lineRule="auto"/>
        <w:ind w:firstLine="420" w:firstLineChars="200"/>
        <w:rPr>
          <w:highlight w:val="none"/>
        </w:rPr>
      </w:pPr>
    </w:p>
    <w:p>
      <w:pPr>
        <w:spacing w:line="360" w:lineRule="auto"/>
        <w:ind w:firstLine="420" w:firstLineChars="200"/>
        <w:jc w:val="left"/>
        <w:rPr>
          <w:rFonts w:ascii="微软雅黑" w:hAnsi="微软雅黑" w:eastAsia="微软雅黑" w:cs="微软雅黑"/>
          <w:b/>
          <w:bCs/>
          <w:highlight w:val="none"/>
        </w:rPr>
      </w:pPr>
      <w:bookmarkStart w:id="164" w:name="_Toc29815"/>
      <w:bookmarkStart w:id="165" w:name="_Toc17628"/>
      <w:r>
        <w:rPr>
          <w:rFonts w:hint="eastAsia" w:ascii="微软雅黑" w:hAnsi="微软雅黑" w:eastAsia="微软雅黑" w:cs="微软雅黑"/>
          <w:b/>
          <w:bCs/>
          <w:highlight w:val="none"/>
        </w:rPr>
        <w:t>七）</w:t>
      </w:r>
      <w:r>
        <w:rPr>
          <w:rFonts w:hint="eastAsia" w:ascii="微软雅黑" w:hAnsi="微软雅黑" w:eastAsia="微软雅黑" w:cs="微软雅黑"/>
          <w:b/>
          <w:bCs/>
          <w:highlight w:val="none"/>
        </w:rPr>
        <w:t>信创</w:t>
      </w:r>
      <w:bookmarkEnd w:id="164"/>
      <w:bookmarkEnd w:id="165"/>
      <w:r>
        <w:rPr>
          <w:rFonts w:hint="eastAsia" w:ascii="微软雅黑" w:hAnsi="微软雅黑" w:eastAsia="微软雅黑" w:cs="微软雅黑"/>
          <w:b/>
          <w:bCs/>
          <w:highlight w:val="none"/>
        </w:rPr>
        <w:t>要求</w:t>
      </w:r>
    </w:p>
    <w:p>
      <w:pPr>
        <w:spacing w:line="360" w:lineRule="auto"/>
        <w:ind w:firstLine="420" w:firstLineChars="200"/>
        <w:rPr>
          <w:highlight w:val="none"/>
        </w:rPr>
      </w:pPr>
      <w:r>
        <w:rPr>
          <w:highlight w:val="none"/>
        </w:rPr>
        <w:t>本次项目按照国家对信创的要求，在信创平台环境下完成系统的建设开发，使系统对国产化基础环境、国产化浏览器等具有较好的兼容性，使系统在国产化基础上能稳定高效运行，并部署信创云内。</w:t>
      </w:r>
    </w:p>
    <w:p>
      <w:pPr>
        <w:spacing w:line="360" w:lineRule="auto"/>
        <w:ind w:firstLine="420" w:firstLineChars="200"/>
        <w:rPr>
          <w:highlight w:val="none"/>
        </w:rPr>
      </w:pPr>
      <w:r>
        <w:rPr>
          <w:highlight w:val="none"/>
        </w:rPr>
        <w:t>由于当前信创云只提供</w:t>
      </w:r>
      <w:r>
        <w:rPr>
          <w:rFonts w:hint="eastAsia"/>
          <w:highlight w:val="none"/>
        </w:rPr>
        <w:t>虚拟机</w:t>
      </w:r>
      <w:r>
        <w:rPr>
          <w:highlight w:val="none"/>
        </w:rPr>
        <w:t>，需另外采购相关配套软件，因此本项目另外采购配套数据库</w:t>
      </w:r>
      <w:r>
        <w:rPr>
          <w:rFonts w:hint="eastAsia"/>
          <w:highlight w:val="none"/>
        </w:rPr>
        <w:t>2</w:t>
      </w:r>
      <w:r>
        <w:rPr>
          <w:highlight w:val="none"/>
        </w:rPr>
        <w:t>套和中间件</w:t>
      </w:r>
      <w:r>
        <w:rPr>
          <w:rFonts w:hint="eastAsia"/>
          <w:highlight w:val="none"/>
        </w:rPr>
        <w:t>2</w:t>
      </w:r>
      <w:r>
        <w:rPr>
          <w:highlight w:val="none"/>
        </w:rPr>
        <w:t>套。</w:t>
      </w:r>
    </w:p>
    <w:p>
      <w:pPr>
        <w:spacing w:line="360" w:lineRule="auto"/>
        <w:ind w:firstLine="420" w:firstLineChars="200"/>
        <w:jc w:val="left"/>
        <w:rPr>
          <w:rFonts w:ascii="微软雅黑" w:hAnsi="微软雅黑" w:eastAsia="微软雅黑" w:cs="微软雅黑"/>
          <w:b/>
          <w:bCs/>
          <w:highlight w:val="none"/>
        </w:rPr>
      </w:pPr>
      <w:bookmarkStart w:id="166" w:name="_Toc21346"/>
      <w:bookmarkStart w:id="167" w:name="_Toc20938"/>
      <w:bookmarkStart w:id="168" w:name="_Toc20956"/>
      <w:bookmarkStart w:id="169" w:name="_Toc31924"/>
      <w:bookmarkStart w:id="170" w:name="_Toc556"/>
      <w:bookmarkStart w:id="171" w:name="_Toc24560"/>
      <w:r>
        <w:rPr>
          <w:rFonts w:hint="eastAsia" w:ascii="微软雅黑" w:hAnsi="微软雅黑" w:eastAsia="微软雅黑" w:cs="微软雅黑"/>
          <w:b/>
          <w:bCs/>
          <w:highlight w:val="none"/>
        </w:rPr>
        <w:t>八）人员培训需求和计划</w:t>
      </w:r>
      <w:bookmarkEnd w:id="166"/>
      <w:bookmarkEnd w:id="167"/>
      <w:bookmarkEnd w:id="168"/>
      <w:bookmarkEnd w:id="169"/>
      <w:bookmarkEnd w:id="170"/>
      <w:bookmarkEnd w:id="171"/>
    </w:p>
    <w:p>
      <w:pPr>
        <w:widowControl/>
        <w:spacing w:line="360" w:lineRule="auto"/>
        <w:ind w:firstLine="420" w:firstLineChars="200"/>
        <w:rPr>
          <w:highlight w:val="none"/>
        </w:rPr>
      </w:pPr>
      <w:r>
        <w:rPr>
          <w:highlight w:val="none"/>
        </w:rPr>
        <w:t>在项目建设过程中需对相关人员进行技术培训，在以后系统运行过程中亦需根据系统建设、应用开发的深入进行相应内容的培训，以保证系统的管理人员、技术人员和应用人员能够及时、准确地了解和熟练地运行系统。</w:t>
      </w:r>
    </w:p>
    <w:p>
      <w:pPr>
        <w:widowControl/>
        <w:spacing w:line="360" w:lineRule="auto"/>
        <w:ind w:firstLine="420" w:firstLineChars="200"/>
        <w:rPr>
          <w:highlight w:val="none"/>
        </w:rPr>
      </w:pPr>
      <w:r>
        <w:rPr>
          <w:highlight w:val="none"/>
        </w:rPr>
        <w:t>为保证本项目建设质量，提高项目使用人员的业务水平和技术水平，在项目建设中，对相关人员进行多方面、多层次的培训。</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1.</w:t>
      </w:r>
      <w:bookmarkStart w:id="172" w:name="_Toc21254"/>
      <w:bookmarkStart w:id="173" w:name="_Toc2813"/>
      <w:bookmarkStart w:id="174" w:name="_Toc27781"/>
      <w:bookmarkStart w:id="175" w:name="_Toc29572"/>
      <w:bookmarkStart w:id="176" w:name="_Toc14515"/>
      <w:bookmarkStart w:id="177" w:name="_Toc25183"/>
      <w:bookmarkStart w:id="178" w:name="_Toc17679"/>
      <w:bookmarkStart w:id="179" w:name="_Toc7768"/>
      <w:bookmarkStart w:id="180" w:name="_Toc32359"/>
      <w:bookmarkStart w:id="181" w:name="_Toc26764"/>
      <w:bookmarkStart w:id="182" w:name="_Toc11867"/>
      <w:bookmarkStart w:id="183" w:name="_Toc3529"/>
      <w:bookmarkStart w:id="184" w:name="_Toc12825"/>
      <w:r>
        <w:rPr>
          <w:rFonts w:hint="eastAsia" w:ascii="微软雅黑" w:hAnsi="微软雅黑" w:eastAsia="微软雅黑" w:cs="微软雅黑"/>
          <w:b/>
          <w:bCs/>
          <w:highlight w:val="none"/>
        </w:rPr>
        <w:t>培训计划</w:t>
      </w:r>
      <w:bookmarkEnd w:id="172"/>
      <w:bookmarkEnd w:id="173"/>
      <w:bookmarkEnd w:id="174"/>
      <w:bookmarkEnd w:id="175"/>
      <w:bookmarkEnd w:id="176"/>
      <w:bookmarkEnd w:id="177"/>
      <w:bookmarkEnd w:id="178"/>
      <w:bookmarkEnd w:id="179"/>
      <w:bookmarkEnd w:id="180"/>
      <w:bookmarkEnd w:id="181"/>
      <w:bookmarkEnd w:id="182"/>
      <w:bookmarkEnd w:id="183"/>
      <w:bookmarkEnd w:id="184"/>
    </w:p>
    <w:p>
      <w:pPr>
        <w:numPr>
          <w:ilvl w:val="255"/>
          <w:numId w:val="0"/>
        </w:numPr>
        <w:spacing w:line="360" w:lineRule="auto"/>
        <w:ind w:firstLine="420" w:firstLineChars="200"/>
        <w:jc w:val="left"/>
        <w:rPr>
          <w:highlight w:val="none"/>
        </w:rPr>
      </w:pPr>
      <w:r>
        <w:rPr>
          <w:highlight w:val="none"/>
        </w:rPr>
        <w:t>系统管理员培训：掌握系统日常维护各种技术，熟练掌握对网络管理和维护、硬件管理和维护、应用系统的管理和维护以及安全管理等。</w:t>
      </w:r>
    </w:p>
    <w:p>
      <w:pPr>
        <w:widowControl/>
        <w:spacing w:line="360" w:lineRule="auto"/>
        <w:ind w:firstLine="420" w:firstLineChars="200"/>
        <w:rPr>
          <w:highlight w:val="none"/>
        </w:rPr>
      </w:pPr>
      <w:r>
        <w:rPr>
          <w:highlight w:val="none"/>
        </w:rPr>
        <w:t>技术人员培训：通过各种的培训方式，使项目系统技术人员掌握网络系统、应用系统、数据库系统等技术，具备一定的维护能力，在项目实施过程中能够参与项目管理和系统搭建，在系统运行维护过程中能够自行维护。</w:t>
      </w:r>
    </w:p>
    <w:p>
      <w:pPr>
        <w:widowControl/>
        <w:spacing w:line="360" w:lineRule="auto"/>
        <w:ind w:firstLine="420" w:firstLineChars="200"/>
        <w:rPr>
          <w:highlight w:val="none"/>
        </w:rPr>
      </w:pPr>
      <w:r>
        <w:rPr>
          <w:highlight w:val="none"/>
        </w:rPr>
        <w:t>系统操作员培训：能够熟练使用系统各类前台操作模块、快速调用相关业务处理模块并规范输入各种信息。</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2.</w:t>
      </w:r>
      <w:bookmarkStart w:id="185" w:name="_Toc23447"/>
      <w:bookmarkStart w:id="186" w:name="_Toc2805"/>
      <w:r>
        <w:rPr>
          <w:rFonts w:hint="eastAsia" w:ascii="微软雅黑" w:hAnsi="微软雅黑" w:eastAsia="微软雅黑" w:cs="微软雅黑"/>
          <w:b/>
          <w:bCs/>
          <w:highlight w:val="none"/>
        </w:rPr>
        <w:t>培训主要内容</w:t>
      </w:r>
      <w:bookmarkEnd w:id="185"/>
      <w:bookmarkEnd w:id="186"/>
    </w:p>
    <w:p>
      <w:pPr>
        <w:widowControl/>
        <w:spacing w:line="360" w:lineRule="auto"/>
        <w:ind w:firstLine="420" w:firstLineChars="200"/>
        <w:rPr>
          <w:highlight w:val="none"/>
        </w:rPr>
      </w:pPr>
      <w:r>
        <w:rPr>
          <w:highlight w:val="none"/>
        </w:rPr>
        <w:t>培训主要内容有：</w:t>
      </w:r>
    </w:p>
    <w:p>
      <w:pPr>
        <w:widowControl/>
        <w:spacing w:line="360" w:lineRule="auto"/>
        <w:ind w:firstLine="420" w:firstLineChars="200"/>
        <w:rPr>
          <w:highlight w:val="none"/>
        </w:rPr>
      </w:pPr>
      <w:r>
        <w:rPr>
          <w:highlight w:val="none"/>
        </w:rPr>
        <w:t>信息系统使用：对本项目建设的各个系统的使用进行培训。</w:t>
      </w:r>
    </w:p>
    <w:p>
      <w:pPr>
        <w:widowControl/>
        <w:spacing w:line="360" w:lineRule="auto"/>
        <w:ind w:firstLine="420" w:firstLineChars="200"/>
        <w:rPr>
          <w:highlight w:val="none"/>
        </w:rPr>
      </w:pPr>
      <w:r>
        <w:rPr>
          <w:highlight w:val="none"/>
        </w:rPr>
        <w:t>技术维护、支持：对系统建设中所涉及的网络、安全、存储、系统软件等基础技术环境的配置、常见问题解决等进行培训，主要面向对象为技术人员。</w:t>
      </w:r>
    </w:p>
    <w:p>
      <w:pPr>
        <w:spacing w:line="360" w:lineRule="auto"/>
        <w:ind w:firstLine="420" w:firstLineChars="200"/>
        <w:jc w:val="left"/>
        <w:rPr>
          <w:rFonts w:ascii="微软雅黑" w:hAnsi="微软雅黑" w:eastAsia="微软雅黑" w:cs="微软雅黑"/>
          <w:b/>
          <w:bCs/>
          <w:highlight w:val="none"/>
        </w:rPr>
      </w:pPr>
      <w:r>
        <w:rPr>
          <w:rFonts w:hint="eastAsia" w:ascii="微软雅黑" w:hAnsi="微软雅黑" w:eastAsia="微软雅黑" w:cs="微软雅黑"/>
          <w:b/>
          <w:bCs/>
          <w:highlight w:val="none"/>
        </w:rPr>
        <w:t>3.</w:t>
      </w:r>
      <w:bookmarkStart w:id="187" w:name="_Toc3484"/>
      <w:bookmarkStart w:id="188" w:name="_Toc19630"/>
      <w:bookmarkStart w:id="189" w:name="_Toc32195"/>
      <w:bookmarkStart w:id="190" w:name="_Toc27917"/>
      <w:bookmarkStart w:id="191" w:name="_Toc16192"/>
      <w:bookmarkStart w:id="192" w:name="_Toc14703"/>
      <w:bookmarkStart w:id="193" w:name="_Toc3934"/>
      <w:bookmarkStart w:id="194" w:name="_Toc27577"/>
      <w:bookmarkStart w:id="195" w:name="_Toc13391"/>
      <w:bookmarkStart w:id="196" w:name="_Toc14195"/>
      <w:bookmarkStart w:id="197" w:name="_Toc11637"/>
      <w:bookmarkStart w:id="198" w:name="_Toc13994"/>
      <w:bookmarkStart w:id="199" w:name="_Toc11292"/>
      <w:r>
        <w:rPr>
          <w:rFonts w:hint="eastAsia" w:ascii="微软雅黑" w:hAnsi="微软雅黑" w:eastAsia="微软雅黑" w:cs="微软雅黑"/>
          <w:b/>
          <w:bCs/>
          <w:highlight w:val="none"/>
        </w:rPr>
        <w:t>培训主要方式</w:t>
      </w:r>
      <w:bookmarkEnd w:id="187"/>
      <w:bookmarkEnd w:id="188"/>
      <w:bookmarkEnd w:id="189"/>
      <w:bookmarkEnd w:id="190"/>
      <w:bookmarkEnd w:id="191"/>
      <w:bookmarkEnd w:id="192"/>
      <w:bookmarkEnd w:id="193"/>
      <w:bookmarkEnd w:id="194"/>
      <w:bookmarkEnd w:id="195"/>
      <w:bookmarkEnd w:id="196"/>
      <w:bookmarkEnd w:id="197"/>
      <w:bookmarkEnd w:id="198"/>
      <w:bookmarkEnd w:id="199"/>
    </w:p>
    <w:p>
      <w:pPr>
        <w:widowControl/>
        <w:spacing w:line="360" w:lineRule="auto"/>
        <w:ind w:firstLine="420" w:firstLineChars="200"/>
        <w:rPr>
          <w:highlight w:val="none"/>
        </w:rPr>
      </w:pPr>
      <w:r>
        <w:rPr>
          <w:highlight w:val="none"/>
        </w:rPr>
        <w:t>培训主要方式有：网上授课、使用手册。</w:t>
      </w:r>
    </w:p>
    <w:p>
      <w:pPr>
        <w:widowControl/>
        <w:spacing w:line="360" w:lineRule="auto"/>
        <w:ind w:firstLine="420" w:firstLineChars="200"/>
        <w:rPr>
          <w:highlight w:val="none"/>
        </w:rPr>
      </w:pPr>
      <w:r>
        <w:rPr>
          <w:highlight w:val="none"/>
        </w:rPr>
        <w:t>网上授课：主要培训对象为业务人员和日常维护技术人员。</w:t>
      </w:r>
    </w:p>
    <w:p>
      <w:pPr>
        <w:widowControl/>
        <w:spacing w:line="360" w:lineRule="auto"/>
        <w:ind w:firstLine="420" w:firstLineChars="200"/>
        <w:rPr>
          <w:highlight w:val="none"/>
        </w:rPr>
      </w:pPr>
      <w:r>
        <w:rPr>
          <w:highlight w:val="none"/>
        </w:rPr>
        <w:t>使用手册：编制详尽的使用手册，供使用人员参考、使用。</w:t>
      </w:r>
    </w:p>
    <w:p>
      <w:pPr>
        <w:pStyle w:val="9"/>
        <w:ind w:left="635"/>
        <w:rPr>
          <w:rFonts w:ascii="微软雅黑" w:hAnsi="宋体" w:eastAsia="微软雅黑" w:cs="宋体"/>
          <w:highlight w:val="none"/>
        </w:rPr>
      </w:pPr>
      <w:bookmarkStart w:id="200" w:name="_Toc3280"/>
      <w:bookmarkStart w:id="201" w:name="_Toc14214"/>
      <w:r>
        <w:rPr>
          <w:rFonts w:hint="eastAsia" w:ascii="微软雅黑" w:hAnsi="宋体" w:eastAsia="微软雅黑" w:cs="宋体"/>
          <w:highlight w:val="none"/>
          <w:lang w:eastAsia="zh-Hans"/>
        </w:rPr>
        <w:t>九</w:t>
      </w:r>
      <w:r>
        <w:rPr>
          <w:rFonts w:ascii="微软雅黑" w:hAnsi="宋体" w:eastAsia="微软雅黑" w:cs="宋体"/>
          <w:highlight w:val="none"/>
        </w:rPr>
        <w:t>）</w:t>
      </w:r>
      <w:r>
        <w:rPr>
          <w:rFonts w:hint="eastAsia" w:ascii="微软雅黑" w:hAnsi="宋体" w:eastAsia="微软雅黑" w:cs="宋体"/>
          <w:highlight w:val="none"/>
        </w:rPr>
        <w:t>项目实施要求</w:t>
      </w:r>
    </w:p>
    <w:p>
      <w:pPr>
        <w:pStyle w:val="6"/>
        <w:tabs>
          <w:tab w:val="left" w:pos="1740"/>
        </w:tabs>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（一）开发方式要求</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本次系统开发采用现场开发的方式。</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招标文件提出的需求是采购人当前初步的业务需求，最终以中标以后需求规格说明书为准。招标</w:t>
      </w:r>
      <w:r>
        <w:rPr>
          <w:rFonts w:asciiTheme="minorEastAsia" w:hAnsiTheme="minorEastAsia" w:eastAsiaTheme="minorEastAsia"/>
          <w:highlight w:val="none"/>
        </w:rPr>
        <w:t>文件</w:t>
      </w:r>
      <w:r>
        <w:rPr>
          <w:rFonts w:hint="eastAsia" w:asciiTheme="minorEastAsia" w:hAnsiTheme="minorEastAsia" w:eastAsiaTheme="minorEastAsia"/>
          <w:highlight w:val="none"/>
        </w:rPr>
        <w:t>图例</w:t>
      </w:r>
      <w:r>
        <w:rPr>
          <w:rFonts w:asciiTheme="minorEastAsia" w:hAnsiTheme="minorEastAsia" w:eastAsiaTheme="minorEastAsia"/>
          <w:highlight w:val="none"/>
        </w:rPr>
        <w:t>中的各</w:t>
      </w:r>
      <w:r>
        <w:rPr>
          <w:rFonts w:hint="eastAsia" w:asciiTheme="minorEastAsia" w:hAnsiTheme="minorEastAsia" w:eastAsiaTheme="minorEastAsia"/>
          <w:highlight w:val="none"/>
        </w:rPr>
        <w:t>类数值</w:t>
      </w:r>
      <w:r>
        <w:rPr>
          <w:rFonts w:asciiTheme="minorEastAsia" w:hAnsiTheme="minorEastAsia" w:eastAsiaTheme="minorEastAsia"/>
          <w:highlight w:val="none"/>
        </w:rPr>
        <w:t>为参考模拟值，</w:t>
      </w:r>
      <w:r>
        <w:rPr>
          <w:rFonts w:hint="eastAsia" w:asciiTheme="minorEastAsia" w:hAnsiTheme="minorEastAsia" w:eastAsiaTheme="minorEastAsia"/>
          <w:highlight w:val="none"/>
        </w:rPr>
        <w:t>非</w:t>
      </w:r>
      <w:r>
        <w:rPr>
          <w:rFonts w:asciiTheme="minorEastAsia" w:hAnsiTheme="minorEastAsia" w:eastAsiaTheme="minorEastAsia"/>
          <w:highlight w:val="none"/>
        </w:rPr>
        <w:t>业务实际值。</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对招标文件中的合同、技术需求、业务需求存在矛盾或表述不一致的地方，供应商应在提交投标文件前要求采购人澄清。如果供应商未要求采购人澄清的，则在获得成交之后，对这些不一致之处的理解，以采购人的解释为准。在沟通配合方面，供应商必须及时响应采购人的要求，及时排查解决问题。</w:t>
      </w:r>
    </w:p>
    <w:p>
      <w:pPr>
        <w:pStyle w:val="6"/>
        <w:tabs>
          <w:tab w:val="left" w:pos="1740"/>
        </w:tabs>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（二）开发、测试环境要求</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项目各阶段开发、测试所需的基本环境（包括工作环境、网络环境、系统软件、硬件设备等）由供应商自行负责并承担费用。</w:t>
      </w:r>
    </w:p>
    <w:p>
      <w:pPr>
        <w:pStyle w:val="6"/>
        <w:tabs>
          <w:tab w:val="left" w:pos="1740"/>
        </w:tabs>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（三）项目进度要求</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供应商按照项目总体建设进度要求，分阶段制定合理的工作进度计划，并且根据采购人要求进行调整和细化，根据“智慧</w:t>
      </w:r>
      <w:r>
        <w:rPr>
          <w:rFonts w:hint="eastAsia" w:asciiTheme="minorEastAsia" w:hAnsiTheme="minorEastAsia" w:eastAsiaTheme="minorEastAsia"/>
          <w:highlight w:val="none"/>
          <w:lang w:eastAsia="zh-Hans"/>
        </w:rPr>
        <w:t>排水工程</w:t>
      </w:r>
      <w:r>
        <w:rPr>
          <w:rFonts w:hint="eastAsia" w:asciiTheme="minorEastAsia" w:hAnsiTheme="minorEastAsia" w:eastAsiaTheme="minorEastAsia"/>
          <w:highlight w:val="none"/>
        </w:rPr>
        <w:t>”集成要求，给出具体安排及工期。</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项目实施时间从双方签订合同起，供应商须在规定时间内完成本标项规定和要求的建设内容，</w:t>
      </w:r>
    </w:p>
    <w:p>
      <w:pPr>
        <w:pStyle w:val="6"/>
        <w:tabs>
          <w:tab w:val="left" w:pos="1740"/>
        </w:tabs>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（四）项目管理要求</w:t>
      </w:r>
    </w:p>
    <w:p>
      <w:pPr>
        <w:pStyle w:val="7"/>
        <w:spacing w:before="0" w:after="0" w:line="360" w:lineRule="auto"/>
        <w:rPr>
          <w:rFonts w:asciiTheme="minorEastAsia" w:hAnsiTheme="minorEastAsia" w:eastAsiaTheme="minorEastAsia"/>
          <w:sz w:val="21"/>
          <w:szCs w:val="21"/>
          <w:highlight w:val="none"/>
        </w:rPr>
      </w:pPr>
      <w:r>
        <w:rPr>
          <w:rFonts w:asciiTheme="minorEastAsia" w:hAnsiTheme="minorEastAsia" w:eastAsiaTheme="minorEastAsia"/>
          <w:sz w:val="21"/>
          <w:szCs w:val="21"/>
          <w:highlight w:val="none"/>
        </w:rPr>
        <w:t>1.</w:t>
      </w:r>
      <w:r>
        <w:rPr>
          <w:rFonts w:hint="eastAsia" w:asciiTheme="minorEastAsia" w:hAnsiTheme="minorEastAsia" w:eastAsiaTheme="minorEastAsia"/>
          <w:sz w:val="21"/>
          <w:szCs w:val="21"/>
          <w:highlight w:val="none"/>
        </w:rPr>
        <w:t>供应商响应要求</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（1）供应商应就如何制定科学、完整、适合本项目的项目管理规范进行阐述。根据项目特点及应用设计制定严谨、可实施的项目计划；</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（2）供应商应提交项目组组织架构、人员名单、人员简历和人员资质证书等材料。提交组织及资源保障方案，组织设置合理有针对性、专业实施人员配备齐全、保障措施全面可实施；</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（3）供应商应详细说明项目管理工具；</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（4）供应商应就如何实现需求变更管理进行阐述；</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（5）供应商应提交版本控制及发布方案，方案合理，针对不同的版本类型制定适合财政组织特点的制度流程，可实施；</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（6）供应商应分析项目存在的各种风险，阐述应对策略和措施；</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（7）供应商应阐述项目质量保证措施。</w:t>
      </w:r>
    </w:p>
    <w:p>
      <w:pPr>
        <w:pStyle w:val="7"/>
        <w:spacing w:before="0" w:after="0" w:line="360" w:lineRule="auto"/>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2</w:t>
      </w:r>
      <w:r>
        <w:rPr>
          <w:rFonts w:asciiTheme="minorEastAsia" w:hAnsiTheme="minorEastAsia" w:eastAsiaTheme="minorEastAsia"/>
          <w:sz w:val="21"/>
          <w:szCs w:val="21"/>
          <w:highlight w:val="none"/>
        </w:rPr>
        <w:t>.</w:t>
      </w:r>
      <w:r>
        <w:rPr>
          <w:rFonts w:hint="eastAsia" w:asciiTheme="minorEastAsia" w:hAnsiTheme="minorEastAsia" w:eastAsiaTheme="minorEastAsia"/>
          <w:sz w:val="21"/>
          <w:szCs w:val="21"/>
          <w:highlight w:val="none"/>
        </w:rPr>
        <w:t>项目沟通管理</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项目实施过程中，供应商须通过建立制度化的沟通渠道等方式，加强与采购人的沟通。</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首先，供应商须遵守采购人项目管理相关规定，接受采购人项目管理机构和项目负责人的领导，指定负责人与采购人保持沟通和协调。</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其次，供应商须建立项目例会制度，就项目进展情况、存在的问题、需要协调的主要事项、下一阶段工作计划等与采购人进行适时的沟通协调。</w:t>
      </w:r>
    </w:p>
    <w:p>
      <w:pPr>
        <w:pStyle w:val="7"/>
        <w:spacing w:before="0" w:after="0" w:line="360" w:lineRule="auto"/>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3</w:t>
      </w:r>
      <w:r>
        <w:rPr>
          <w:rFonts w:asciiTheme="minorEastAsia" w:hAnsiTheme="minorEastAsia" w:eastAsiaTheme="minorEastAsia"/>
          <w:sz w:val="21"/>
          <w:szCs w:val="21"/>
          <w:highlight w:val="none"/>
        </w:rPr>
        <w:t>.</w:t>
      </w:r>
      <w:r>
        <w:rPr>
          <w:rFonts w:hint="eastAsia" w:asciiTheme="minorEastAsia" w:hAnsiTheme="minorEastAsia" w:eastAsiaTheme="minorEastAsia"/>
          <w:sz w:val="21"/>
          <w:szCs w:val="21"/>
          <w:highlight w:val="none"/>
        </w:rPr>
        <w:t>项目进度管理</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（1）供应商须采用科学合理的方法确定进度目标，编制进度计划和资源供应计划，进行进度控制，在与质量、费用目标协调的基础上，实现工期目标；</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（2）供应商须向采购人提供详细、可行的实施方案，并做好项目实施的准备工作；</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（3）供应商应按采购人要求，制定项目里程碑和进度计划；</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（4）供应商制定的进度计划应细化到每个底层任务的工期不超过</w:t>
      </w:r>
      <w:r>
        <w:rPr>
          <w:rFonts w:asciiTheme="minorEastAsia" w:hAnsiTheme="minorEastAsia" w:eastAsiaTheme="minorEastAsia"/>
          <w:highlight w:val="none"/>
        </w:rPr>
        <w:t>5个工作日</w:t>
      </w:r>
      <w:r>
        <w:rPr>
          <w:rFonts w:hint="eastAsia" w:asciiTheme="minorEastAsia" w:hAnsiTheme="minorEastAsia" w:eastAsiaTheme="minorEastAsia"/>
          <w:highlight w:val="none"/>
        </w:rPr>
        <w:t>；</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（5）供应商应每周提交项目进度周报，更新详细进度计划。</w:t>
      </w:r>
    </w:p>
    <w:p>
      <w:pPr>
        <w:pStyle w:val="7"/>
        <w:spacing w:before="0" w:after="0" w:line="360" w:lineRule="auto"/>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4</w:t>
      </w:r>
      <w:r>
        <w:rPr>
          <w:rFonts w:asciiTheme="minorEastAsia" w:hAnsiTheme="minorEastAsia" w:eastAsiaTheme="minorEastAsia"/>
          <w:sz w:val="21"/>
          <w:szCs w:val="21"/>
          <w:highlight w:val="none"/>
        </w:rPr>
        <w:t>.</w:t>
      </w:r>
      <w:r>
        <w:rPr>
          <w:rFonts w:hint="eastAsia" w:asciiTheme="minorEastAsia" w:hAnsiTheme="minorEastAsia" w:eastAsiaTheme="minorEastAsia"/>
          <w:sz w:val="21"/>
          <w:szCs w:val="21"/>
          <w:highlight w:val="none"/>
        </w:rPr>
        <w:t>风险和问题管理要求</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（1）供应商应对项目风险从识别到分析到应对措施提出完备的可行性方案，针对可能出现的各类问题，供应商要制定有针对性的问题管理流程，保证问题顺利解决；</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（2）供应商应制定跨项目问题解决中对可能出现的争议和冲突进行协调和解决的方案；</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（3）供应商必须指定风险和问题负责人；制订和执行问题分析计划，监控和更新问题状态；</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（4）供应商必须及时发现、处理项目执行过程中的风险和问题，向采购人汇报无法处理的风险和问题；</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（5）供应商应定期汇总工程风险和问题，持续跟踪直至风险和问题关闭。</w:t>
      </w:r>
    </w:p>
    <w:p>
      <w:pPr>
        <w:pStyle w:val="7"/>
        <w:spacing w:before="0" w:after="0" w:line="360" w:lineRule="auto"/>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5</w:t>
      </w:r>
      <w:r>
        <w:rPr>
          <w:rFonts w:asciiTheme="minorEastAsia" w:hAnsiTheme="minorEastAsia" w:eastAsiaTheme="minorEastAsia"/>
          <w:sz w:val="21"/>
          <w:szCs w:val="21"/>
          <w:highlight w:val="none"/>
        </w:rPr>
        <w:t>.</w:t>
      </w:r>
      <w:r>
        <w:rPr>
          <w:rFonts w:hint="eastAsia" w:asciiTheme="minorEastAsia" w:hAnsiTheme="minorEastAsia" w:eastAsiaTheme="minorEastAsia"/>
          <w:sz w:val="21"/>
          <w:szCs w:val="21"/>
          <w:highlight w:val="none"/>
        </w:rPr>
        <w:t>变更管理要求</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变更类型主要包括:范围变更、业务需求变更、技术架构变更、进度变更、交付物变更。供应商应对变更进行有序控制，至少满足以下要求：</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（1）供应商应制定标准的变更管理规范；</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（2）项目变更时，首先需要对变更的影响和范围进行评估，并评估其变更对其他相关项目的影响，经采购人确认后方可实施变更；</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（3）供应商应确保对受影响的交付物按照新基准进行相应调整。</w:t>
      </w:r>
    </w:p>
    <w:p>
      <w:pPr>
        <w:pStyle w:val="7"/>
        <w:spacing w:before="0" w:after="0" w:line="360" w:lineRule="auto"/>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6</w:t>
      </w:r>
      <w:r>
        <w:rPr>
          <w:rFonts w:asciiTheme="minorEastAsia" w:hAnsiTheme="minorEastAsia" w:eastAsiaTheme="minorEastAsia"/>
          <w:sz w:val="21"/>
          <w:szCs w:val="21"/>
          <w:highlight w:val="none"/>
        </w:rPr>
        <w:t>.</w:t>
      </w:r>
      <w:r>
        <w:rPr>
          <w:rFonts w:hint="eastAsia" w:asciiTheme="minorEastAsia" w:hAnsiTheme="minorEastAsia" w:eastAsiaTheme="minorEastAsia"/>
          <w:sz w:val="21"/>
          <w:szCs w:val="21"/>
          <w:highlight w:val="none"/>
        </w:rPr>
        <w:t>软件版本管理要求</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软件版本管理至少应满足以下要求：</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（1）供应商应制定软件版本管理规范；</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2）供应商应建立软件版本控制制度，至少包括：系统升级时的版本管理、补丁管理；明确当前补丁是否包括前期的所有补丁，还是递增的补丁；统一项目的版本号等。如果系统升级影响到其他项目，应提前通知采购人协调其他项目进行相应调整；</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（3）供应商应提供具体版本控制的措施和方案。</w:t>
      </w:r>
    </w:p>
    <w:p>
      <w:pPr>
        <w:pStyle w:val="7"/>
        <w:spacing w:before="0" w:after="0" w:line="360" w:lineRule="auto"/>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7</w:t>
      </w:r>
      <w:r>
        <w:rPr>
          <w:rFonts w:asciiTheme="minorEastAsia" w:hAnsiTheme="minorEastAsia" w:eastAsiaTheme="minorEastAsia"/>
          <w:sz w:val="21"/>
          <w:szCs w:val="21"/>
          <w:highlight w:val="none"/>
        </w:rPr>
        <w:t>.</w:t>
      </w:r>
      <w:r>
        <w:rPr>
          <w:rFonts w:hint="eastAsia" w:asciiTheme="minorEastAsia" w:hAnsiTheme="minorEastAsia" w:eastAsiaTheme="minorEastAsia"/>
          <w:sz w:val="21"/>
          <w:szCs w:val="21"/>
          <w:highlight w:val="none"/>
        </w:rPr>
        <w:t>主要交付成果物</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宁波市江北区综合行政执法局将从软件系统的实际操作、项目过程控制文档、分析设计文档、分析设计模型，阅读源代码等方面入手对交付成果物进行过程控制和审核。</w:t>
      </w:r>
    </w:p>
    <w:p>
      <w:pPr>
        <w:widowControl/>
        <w:spacing w:line="360" w:lineRule="auto"/>
        <w:ind w:firstLine="420" w:firstLineChars="200"/>
        <w:jc w:val="left"/>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要求成交</w:t>
      </w:r>
      <w:r>
        <w:rPr>
          <w:rFonts w:hint="eastAsia" w:asciiTheme="minorEastAsia" w:hAnsiTheme="minorEastAsia" w:eastAsiaTheme="minorEastAsia"/>
          <w:kern w:val="0"/>
          <w:szCs w:val="21"/>
          <w:highlight w:val="none"/>
        </w:rPr>
        <w:t>供应商</w:t>
      </w:r>
      <w:r>
        <w:rPr>
          <w:rFonts w:hint="eastAsia" w:asciiTheme="minorEastAsia" w:hAnsiTheme="minorEastAsia" w:eastAsiaTheme="minorEastAsia"/>
          <w:szCs w:val="21"/>
          <w:highlight w:val="none"/>
        </w:rPr>
        <w:t>提交的成果包括但不局限于以下内容：</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（1）需求分析说明书；</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（2）概要设计说明书；</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（3）详细设计说明书；</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（4）测试计划、测试案例、测试报告；</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（5）数据迁移程序详细设计报告和源码；</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（6）数据迁移程序测试计划、测试案例、测试报告；</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（7）数据迁移实施规划报告；</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（8）可运行的系统；</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（9）全部源代码和执行码；</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（10）软件系统使用的全部软件工具的列表；</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（11）各种培训教材、培训考核试题、培训光盘；</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（12）发布说明；</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（13）部署材料清单；</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（14）系统安装手册（包括开发过程环境设置）；</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（15）系统维护手册。</w:t>
      </w:r>
    </w:p>
    <w:p>
      <w:pPr>
        <w:pStyle w:val="6"/>
        <w:tabs>
          <w:tab w:val="left" w:pos="1740"/>
        </w:tabs>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（五）项目团队要求</w:t>
      </w:r>
    </w:p>
    <w:p>
      <w:pPr>
        <w:spacing w:line="360" w:lineRule="auto"/>
        <w:ind w:firstLine="420" w:firstLineChars="200"/>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在项目开发期间，在</w:t>
      </w:r>
      <w:r>
        <w:rPr>
          <w:rFonts w:asciiTheme="minorEastAsia" w:hAnsiTheme="minorEastAsia" w:eastAsiaTheme="minorEastAsia"/>
          <w:szCs w:val="21"/>
          <w:highlight w:val="none"/>
        </w:rPr>
        <w:t>项目实施地</w:t>
      </w:r>
      <w:r>
        <w:rPr>
          <w:rFonts w:hint="eastAsia" w:asciiTheme="minorEastAsia" w:hAnsiTheme="minorEastAsia" w:eastAsiaTheme="minorEastAsia"/>
          <w:szCs w:val="21"/>
          <w:highlight w:val="none"/>
        </w:rPr>
        <w:t>组建不少于</w:t>
      </w:r>
      <w:r>
        <w:rPr>
          <w:rFonts w:asciiTheme="minorEastAsia" w:hAnsiTheme="minorEastAsia" w:eastAsiaTheme="minorEastAsia"/>
          <w:szCs w:val="21"/>
          <w:highlight w:val="none"/>
        </w:rPr>
        <w:t>6</w:t>
      </w:r>
      <w:r>
        <w:rPr>
          <w:rFonts w:hint="eastAsia" w:asciiTheme="minorEastAsia" w:hAnsiTheme="minorEastAsia" w:eastAsiaTheme="minorEastAsia"/>
          <w:szCs w:val="21"/>
          <w:highlight w:val="none"/>
        </w:rPr>
        <w:t>人的现场需求分析、开发、实施团队。</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项目组所有的人员必须遵守岗位职责和各项管理制度；项目组人员应相对稳定；未经采购人同意，不得更换项目经理和技术专家（系统架构和分析人员</w:t>
      </w:r>
      <w:r>
        <w:rPr>
          <w:rFonts w:asciiTheme="minorEastAsia" w:hAnsiTheme="minorEastAsia" w:eastAsiaTheme="minorEastAsia"/>
          <w:highlight w:val="none"/>
        </w:rPr>
        <w:t>）</w:t>
      </w:r>
      <w:r>
        <w:rPr>
          <w:rFonts w:hint="eastAsia" w:asciiTheme="minorEastAsia" w:hAnsiTheme="minorEastAsia" w:eastAsiaTheme="minorEastAsia"/>
          <w:highlight w:val="none"/>
        </w:rPr>
        <w:t>。</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（1）在开发、试点和推广阶段，供应商实施人员数量、能力必须满足项目实施要求；</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（2）采购人认为供应商的团队成员的水平不足以胜任工作要求的，供应商必须及时更换相关人员。在采购人提出人员更换要求后，供应商符合条件的人员未在一周内到位的</w:t>
      </w:r>
      <w:r>
        <w:rPr>
          <w:rFonts w:asciiTheme="minorEastAsia" w:hAnsiTheme="minorEastAsia" w:eastAsiaTheme="minorEastAsia"/>
          <w:highlight w:val="none"/>
        </w:rPr>
        <w:t>。</w:t>
      </w:r>
    </w:p>
    <w:p>
      <w:pPr>
        <w:spacing w:line="360" w:lineRule="auto"/>
        <w:ind w:firstLine="420" w:firstLineChars="200"/>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（3）供应商应保证项目团队人员充足和人员结构合理，以便于项目顺利进行，并应任命一名全职项目经理。</w:t>
      </w:r>
    </w:p>
    <w:p>
      <w:pPr>
        <w:spacing w:line="360" w:lineRule="auto"/>
        <w:ind w:firstLine="420" w:firstLineChars="200"/>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项目经理应具备以下条件：</w:t>
      </w:r>
    </w:p>
    <w:p>
      <w:pPr>
        <w:pStyle w:val="192"/>
        <w:numPr>
          <w:ilvl w:val="0"/>
          <w:numId w:val="48"/>
        </w:numPr>
        <w:spacing w:line="360" w:lineRule="auto"/>
        <w:ind w:firstLineChars="0"/>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具有优秀的计划、沟通和管理能力；</w:t>
      </w:r>
    </w:p>
    <w:p>
      <w:pPr>
        <w:pStyle w:val="280"/>
        <w:numPr>
          <w:ilvl w:val="0"/>
          <w:numId w:val="48"/>
        </w:numPr>
        <w:spacing w:line="360" w:lineRule="auto"/>
        <w:rPr>
          <w:rFonts w:asciiTheme="minorEastAsia" w:hAnsiTheme="minorEastAsia" w:eastAsiaTheme="minorEastAsia"/>
          <w:highlight w:val="none"/>
        </w:rPr>
      </w:pPr>
      <w:r>
        <w:rPr>
          <w:rFonts w:asciiTheme="minorEastAsia" w:hAnsiTheme="minorEastAsia" w:eastAsiaTheme="minorEastAsia"/>
          <w:highlight w:val="none"/>
        </w:rPr>
        <w:t>熟悉财政业务。</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（4）投标文件内提交开发团队的成员名单及个人简历，并在开发周期内保持稳定；</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w:t>
      </w:r>
      <w:r>
        <w:rPr>
          <w:rFonts w:asciiTheme="minorEastAsia" w:hAnsiTheme="minorEastAsia" w:eastAsiaTheme="minorEastAsia"/>
          <w:highlight w:val="none"/>
        </w:rPr>
        <w:t>5）</w:t>
      </w:r>
      <w:r>
        <w:rPr>
          <w:rFonts w:hint="eastAsia" w:asciiTheme="minorEastAsia" w:hAnsiTheme="minorEastAsia" w:eastAsiaTheme="minorEastAsia"/>
          <w:highlight w:val="none"/>
        </w:rPr>
        <w:t>投标文件内提交专门的开发计划、质量保证计划、项目实施方案；</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（6）在项目参与人员（包括管理人员、开发人员等）方面，供应商应当确保相关人员的自身能力和工作态度等各个方面能满足项目的要求；</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（7）供应商应当协助采购人培养系统运维技术力量，采购人提出要求时必须响应。除非不可抗力，保证核心技术人员的稳定，核心技术人员在系统推广应用完成之前，不能变动，整个项目人员的流失率不得超过</w:t>
      </w:r>
      <w:r>
        <w:rPr>
          <w:rFonts w:asciiTheme="minorEastAsia" w:hAnsiTheme="minorEastAsia" w:eastAsiaTheme="minorEastAsia"/>
          <w:highlight w:val="none"/>
        </w:rPr>
        <w:t>30%</w:t>
      </w:r>
      <w:r>
        <w:rPr>
          <w:rFonts w:hint="eastAsia" w:asciiTheme="minorEastAsia" w:hAnsiTheme="minorEastAsia" w:eastAsiaTheme="minorEastAsia"/>
          <w:highlight w:val="none"/>
        </w:rPr>
        <w:t>。</w:t>
      </w:r>
    </w:p>
    <w:p>
      <w:pPr>
        <w:pStyle w:val="6"/>
        <w:tabs>
          <w:tab w:val="left" w:pos="1740"/>
        </w:tabs>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（六）质量控制要求</w:t>
      </w:r>
    </w:p>
    <w:p>
      <w:pPr>
        <w:pStyle w:val="7"/>
        <w:spacing w:before="0" w:after="0" w:line="360" w:lineRule="auto"/>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1.项目质量要求</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（1）供应商应接受采购人有关软件质量情况的监督，无条件接受采购人的合理要求和建议，并进行认真整改；</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（2）供应商应制定项目质量管理制度，明确项目质量管理工作流程及发现、解决质量问题的方法；</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（3）供应商应根据质量目标层层分解，制定分层次的质量职责，并明确责任人；</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（4）供应商应明确项目质量目标、质量标准，定期举办质量保障评审会和技术研讨会，提供评估流程以确保软件质量，明确项目产出物的评审，确定评审的方式和时间。</w:t>
      </w:r>
    </w:p>
    <w:p>
      <w:pPr>
        <w:pStyle w:val="7"/>
        <w:spacing w:before="0" w:after="0" w:line="360" w:lineRule="auto"/>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2.软件质量要求</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（1）供应商应遵照采购人相关要求和确定的质量模型、度量要求和度量方法，制定软件质量测量计划、建立软件质量测量体系；</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（2）应用架构设计、数据架构设计、基础设施架构设计、安全架构设计必须遵循财政部技术规范，满足采购人要求。</w:t>
      </w:r>
    </w:p>
    <w:p>
      <w:pPr>
        <w:pStyle w:val="6"/>
        <w:tabs>
          <w:tab w:val="left" w:pos="1740"/>
        </w:tabs>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（七）测试要求</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软件测试是保证软件质量、提高软件可靠性的重要手段。为保证本项目的开发质量，供应商必须确保做好各阶段的软件测试工作。</w:t>
      </w:r>
    </w:p>
    <w:p>
      <w:pPr>
        <w:pStyle w:val="7"/>
        <w:spacing w:before="0" w:after="0" w:line="360" w:lineRule="auto"/>
        <w:rPr>
          <w:rFonts w:asciiTheme="minorEastAsia" w:hAnsiTheme="minorEastAsia" w:eastAsiaTheme="minorEastAsia"/>
          <w:sz w:val="21"/>
          <w:szCs w:val="21"/>
          <w:highlight w:val="none"/>
        </w:rPr>
      </w:pPr>
      <w:r>
        <w:rPr>
          <w:rFonts w:asciiTheme="minorEastAsia" w:hAnsiTheme="minorEastAsia" w:eastAsiaTheme="minorEastAsia"/>
          <w:sz w:val="21"/>
          <w:szCs w:val="21"/>
          <w:highlight w:val="none"/>
        </w:rPr>
        <w:t>1.</w:t>
      </w:r>
      <w:r>
        <w:rPr>
          <w:rFonts w:hint="eastAsia" w:asciiTheme="minorEastAsia" w:hAnsiTheme="minorEastAsia" w:eastAsiaTheme="minorEastAsia"/>
          <w:sz w:val="21"/>
          <w:szCs w:val="21"/>
          <w:highlight w:val="none"/>
        </w:rPr>
        <w:t>供应商响应要求</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（1）供应商应就如何做好本项目的软件测试工作进行阐述，重点对测试组织、测试计划、环境准备、测试过程、测试验证、测试工具、测试知识库、提交物以及供应商认为有必要说明的内容进行描述；</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（2）供应商应对如何保证和验证各种类型的测试质量进行阐述；</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（3）供应商应制定并提交本项目测试工作的总体计划和实施方案；</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（4）供应商应就完成此项工作投入的人力资源状况、测试工具和测试环境等进行说明。</w:t>
      </w:r>
    </w:p>
    <w:p>
      <w:pPr>
        <w:pStyle w:val="7"/>
        <w:spacing w:before="0" w:after="0" w:line="360" w:lineRule="auto"/>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2</w:t>
      </w:r>
      <w:r>
        <w:rPr>
          <w:rFonts w:asciiTheme="minorEastAsia" w:hAnsiTheme="minorEastAsia" w:eastAsiaTheme="minorEastAsia"/>
          <w:sz w:val="21"/>
          <w:szCs w:val="21"/>
          <w:highlight w:val="none"/>
        </w:rPr>
        <w:t>.</w:t>
      </w:r>
      <w:r>
        <w:rPr>
          <w:rFonts w:hint="eastAsia" w:asciiTheme="minorEastAsia" w:hAnsiTheme="minorEastAsia" w:eastAsiaTheme="minorEastAsia"/>
          <w:sz w:val="21"/>
          <w:szCs w:val="21"/>
          <w:highlight w:val="none"/>
        </w:rPr>
        <w:t>总体要求</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本项目全面实施标准和规范化测试。供应商应完成全部业务功能、技术功能、安全功能和各种性能等各类测试的测试用例编写和实际数据采集工作。原则上所有测试均以客观的测试用例和测试数据为准，不以个人主观判断作为测试标准。随着项目进度和各种变更，供应商应确保测试用例的更新；</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（2）供应商应根据软件测试过程中的典型性问题、常见性问题和重要性问题建立软件测试知识库；</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（3）如采购人委托第三方测试机构进行测试，供应商应予以无条件配合；</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（4）供应商应提供测试所需工具，所提供测试工具应满足各测试项目的需要，采购人不对此额外付费；</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（5）测试工作从总体上划分为供应商实验室环境的测试和采购人测试环境的测试；</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（6）项目测试须按GB/T 15532-2008《计算机软件测试规范》和GB/T 9386-2008《计算机软件测试文档编制规范》进行软件检查、测试和文档的整理报送。供应商须保证对测试错误和缺陷进行及时修正、补充；</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（7）为了提升交付效率以及避免人工测试可能造成的一些疏漏，供应商需要使用自动化测试技术，并且自动化测试覆盖率要满足一定的要求。</w:t>
      </w:r>
    </w:p>
    <w:p>
      <w:pPr>
        <w:pStyle w:val="7"/>
        <w:spacing w:before="0" w:after="0" w:line="360" w:lineRule="auto"/>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3</w:t>
      </w:r>
      <w:r>
        <w:rPr>
          <w:rFonts w:asciiTheme="minorEastAsia" w:hAnsiTheme="minorEastAsia" w:eastAsiaTheme="minorEastAsia"/>
          <w:sz w:val="21"/>
          <w:szCs w:val="21"/>
          <w:highlight w:val="none"/>
        </w:rPr>
        <w:t>.</w:t>
      </w:r>
      <w:r>
        <w:rPr>
          <w:rFonts w:hint="eastAsia" w:asciiTheme="minorEastAsia" w:hAnsiTheme="minorEastAsia" w:eastAsiaTheme="minorEastAsia"/>
          <w:sz w:val="21"/>
          <w:szCs w:val="21"/>
          <w:highlight w:val="none"/>
        </w:rPr>
        <w:t>测试准备</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本项目的测试准备工作具体包括但不限于以下内容：</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（1）测试计划</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供应商应提前制定测试计划，主要包括测试阶段划分、测试方法、工作流程、人员分工、进度安排等内容。测试计划须经采购人确认；</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（2）测试组织</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供应商应成立专门的测试组织，人员必须由有经验的软件测试工程师组成，并对工作岗位和职责进行明确；</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（3）测试方案</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供应商应对每种类型的测试制定单独的测试方案，内容至少包括测试内容、测试环境、数据要求、测试范围与主要内容、测试工具与测试方法、完成准则等内容。测试方案须经采购人确认。</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测试类型包括但不限于：</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供应商实验室环境完成的单元测试、功能测试、性能测试、安全测试、集成测试、实验室压力测试等；</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采购人测试环境完成的大规模压力测试、用户测试、系统测试等。</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（4）测试用例</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供应商应提供各类测试所需测试用例，至少应满足以下要求：</w:t>
      </w:r>
    </w:p>
    <w:p>
      <w:pPr>
        <w:pStyle w:val="280"/>
        <w:numPr>
          <w:ilvl w:val="0"/>
          <w:numId w:val="49"/>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测试用例的目标清楚，并能满足软件质量管理各个方面的要求；</w:t>
      </w:r>
    </w:p>
    <w:p>
      <w:pPr>
        <w:pStyle w:val="280"/>
        <w:numPr>
          <w:ilvl w:val="0"/>
          <w:numId w:val="49"/>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测试用例的组织和分类设计思路正确、层次清晰、结构合理；</w:t>
      </w:r>
    </w:p>
    <w:p>
      <w:pPr>
        <w:pStyle w:val="280"/>
        <w:numPr>
          <w:ilvl w:val="0"/>
          <w:numId w:val="49"/>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测试用例应覆盖所有测试点、所有路径和所有已知的用户使用场景；</w:t>
      </w:r>
    </w:p>
    <w:p>
      <w:pPr>
        <w:pStyle w:val="280"/>
        <w:numPr>
          <w:ilvl w:val="0"/>
          <w:numId w:val="49"/>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应有充分的负面测试用例，测试各种异常和例外情况；</w:t>
      </w:r>
    </w:p>
    <w:p>
      <w:pPr>
        <w:pStyle w:val="280"/>
        <w:numPr>
          <w:ilvl w:val="0"/>
          <w:numId w:val="49"/>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应根据测试阶段和情况的变化，及时更新维护测试用例。</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（5）测试数据</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供应商应准备模拟测试数据，数据必须满足测试需求，覆盖被测业务和测试边界，满足完整性、一致性等要求。</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供应商应按采购人指定的范围，采集测试所需实际数据，并进行整理，满足测试需要。供应商必须对相关数据进行保密。</w:t>
      </w:r>
    </w:p>
    <w:p>
      <w:pPr>
        <w:pStyle w:val="7"/>
        <w:spacing w:before="0" w:after="0" w:line="360" w:lineRule="auto"/>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4</w:t>
      </w:r>
      <w:r>
        <w:rPr>
          <w:rFonts w:asciiTheme="minorEastAsia" w:hAnsiTheme="minorEastAsia" w:eastAsiaTheme="minorEastAsia"/>
          <w:sz w:val="21"/>
          <w:szCs w:val="21"/>
          <w:highlight w:val="none"/>
        </w:rPr>
        <w:t>.</w:t>
      </w:r>
      <w:r>
        <w:rPr>
          <w:rFonts w:hint="eastAsia" w:asciiTheme="minorEastAsia" w:hAnsiTheme="minorEastAsia" w:eastAsiaTheme="minorEastAsia"/>
          <w:sz w:val="21"/>
          <w:szCs w:val="21"/>
          <w:highlight w:val="none"/>
        </w:rPr>
        <w:t xml:space="preserve">供应商实验室环境测试 </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供应商实验室环境的各种测试工作包括但不限于：</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（1）单元和单元集成测试</w:t>
      </w:r>
    </w:p>
    <w:p>
      <w:pPr>
        <w:pStyle w:val="280"/>
        <w:numPr>
          <w:ilvl w:val="0"/>
          <w:numId w:val="50"/>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供应商应对单元测试流程进行规范，制订一定的覆盖率指标和质量目标，来指导单元测试设计和执行；</w:t>
      </w:r>
    </w:p>
    <w:p>
      <w:pPr>
        <w:pStyle w:val="280"/>
        <w:numPr>
          <w:ilvl w:val="0"/>
          <w:numId w:val="50"/>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供应商应严格按照单元测试流程进行测试；</w:t>
      </w:r>
    </w:p>
    <w:p>
      <w:pPr>
        <w:pStyle w:val="280"/>
        <w:numPr>
          <w:ilvl w:val="0"/>
          <w:numId w:val="50"/>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单元测试通过后，供应商应提交《实验室环境单元和单元集成测试报告》、单元测试用例及相关文档。</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（2）功能测试</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功能测试是对产品的各项功能进行验证，根据功能测试用例，逐项测试，检查本项目是否达到采购人要求的功能。</w:t>
      </w:r>
    </w:p>
    <w:p>
      <w:pPr>
        <w:pStyle w:val="280"/>
        <w:numPr>
          <w:ilvl w:val="0"/>
          <w:numId w:val="51"/>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供应商应对系统的各项功能进行验证，逐项测试，检查产品是否达到采购人要求的功能；</w:t>
      </w:r>
    </w:p>
    <w:p>
      <w:pPr>
        <w:pStyle w:val="280"/>
        <w:numPr>
          <w:ilvl w:val="0"/>
          <w:numId w:val="51"/>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供应商应严格按照功能测试流程进行测试；</w:t>
      </w:r>
    </w:p>
    <w:p>
      <w:pPr>
        <w:pStyle w:val="280"/>
        <w:numPr>
          <w:ilvl w:val="0"/>
          <w:numId w:val="51"/>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功能测试通过后，供应商应提交《实验室环境功能测试报告》、功能测试用例及相关文档。</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（3）性能测试</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性能测试是通过自动化的测试工具模拟多种正常、峰值以及异常负载条件来对系统的各项性能指标进行测试。</w:t>
      </w:r>
    </w:p>
    <w:p>
      <w:pPr>
        <w:pStyle w:val="280"/>
        <w:numPr>
          <w:ilvl w:val="0"/>
          <w:numId w:val="52"/>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供应商应选用合适的测试工具，测试软件在正常、峰值以及异常负载条件下的各项性能指标，性能指标应满足采购人需求；</w:t>
      </w:r>
    </w:p>
    <w:p>
      <w:pPr>
        <w:pStyle w:val="280"/>
        <w:numPr>
          <w:ilvl w:val="0"/>
          <w:numId w:val="52"/>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供应商应严格按照性能测试流程进行测试；</w:t>
      </w:r>
    </w:p>
    <w:p>
      <w:pPr>
        <w:pStyle w:val="280"/>
        <w:numPr>
          <w:ilvl w:val="0"/>
          <w:numId w:val="52"/>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性能测试通过后，供应商应提交《实验室环境性能测试报告》、性能测试用例及相关文档。</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（4）</w:t>
      </w:r>
      <w:r>
        <w:rPr>
          <w:rFonts w:asciiTheme="minorEastAsia" w:hAnsiTheme="minorEastAsia" w:eastAsiaTheme="minorEastAsia"/>
          <w:highlight w:val="none"/>
        </w:rPr>
        <w:t>安全测试</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安全测试是检查软件安全防范能力。</w:t>
      </w:r>
    </w:p>
    <w:p>
      <w:pPr>
        <w:pStyle w:val="280"/>
        <w:numPr>
          <w:ilvl w:val="0"/>
          <w:numId w:val="53"/>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供应商应采用静态和动态检测工具，对软件进行全面检测，以发现软件在设计和编码中的错误、疏忽和其它缺陷；</w:t>
      </w:r>
    </w:p>
    <w:p>
      <w:pPr>
        <w:pStyle w:val="280"/>
        <w:numPr>
          <w:ilvl w:val="0"/>
          <w:numId w:val="53"/>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供应商应全面测试软件的安全功能；</w:t>
      </w:r>
    </w:p>
    <w:p>
      <w:pPr>
        <w:pStyle w:val="280"/>
        <w:numPr>
          <w:ilvl w:val="0"/>
          <w:numId w:val="53"/>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安全测试通过后，供应商应提交《实验室环境安全测试报告》、安全测试用例及相关文档，须经采购人确认。</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（5）压力测试</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压力测试是模拟工作负荷对软件进行破坏性测试和强度稳定性测试，测试软件在一定硬件环境下的性能指标。</w:t>
      </w:r>
    </w:p>
    <w:p>
      <w:pPr>
        <w:pStyle w:val="280"/>
        <w:numPr>
          <w:ilvl w:val="0"/>
          <w:numId w:val="54"/>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压力测试各类业务响应时间应当满足软件的性能要求；</w:t>
      </w:r>
    </w:p>
    <w:p>
      <w:pPr>
        <w:pStyle w:val="280"/>
        <w:numPr>
          <w:ilvl w:val="0"/>
          <w:numId w:val="54"/>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供应商应严格按照压力测试流程进行测试；</w:t>
      </w:r>
    </w:p>
    <w:p>
      <w:pPr>
        <w:pStyle w:val="280"/>
        <w:numPr>
          <w:ilvl w:val="0"/>
          <w:numId w:val="54"/>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压力测试结束后，供应商提交《实验室环境压力测试报告》、压力测试用例及相关文档。</w:t>
      </w:r>
    </w:p>
    <w:p>
      <w:pPr>
        <w:pStyle w:val="7"/>
        <w:spacing w:before="0" w:after="0" w:line="360" w:lineRule="auto"/>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5</w:t>
      </w:r>
      <w:r>
        <w:rPr>
          <w:rFonts w:asciiTheme="minorEastAsia" w:hAnsiTheme="minorEastAsia" w:eastAsiaTheme="minorEastAsia"/>
          <w:sz w:val="21"/>
          <w:szCs w:val="21"/>
          <w:highlight w:val="none"/>
        </w:rPr>
        <w:t>.</w:t>
      </w:r>
      <w:r>
        <w:rPr>
          <w:rFonts w:hint="eastAsia" w:asciiTheme="minorEastAsia" w:hAnsiTheme="minorEastAsia" w:eastAsiaTheme="minorEastAsia"/>
          <w:sz w:val="21"/>
          <w:szCs w:val="21"/>
          <w:highlight w:val="none"/>
        </w:rPr>
        <w:t>采购人测试环境测试</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实验室环境所有测试类型的《软件测试报告》经采购人确认，可进入采购人测试环境的测试。采购人测试环境所需设备由采购人提供，供应商负责安装部署。</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供应商承担的工作包括但不限于以下内容：</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（1）用户测试</w:t>
      </w:r>
    </w:p>
    <w:p>
      <w:pPr>
        <w:pStyle w:val="280"/>
        <w:numPr>
          <w:ilvl w:val="0"/>
          <w:numId w:val="55"/>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供应商应按采购人要求，准备测试方案、测试用例、测试数据；</w:t>
      </w:r>
    </w:p>
    <w:p>
      <w:pPr>
        <w:pStyle w:val="280"/>
        <w:numPr>
          <w:ilvl w:val="0"/>
          <w:numId w:val="55"/>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供应商应做好对用户测试结果的记录和问题的跟踪调试工作；</w:t>
      </w:r>
    </w:p>
    <w:p>
      <w:pPr>
        <w:pStyle w:val="280"/>
        <w:numPr>
          <w:ilvl w:val="0"/>
          <w:numId w:val="55"/>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供应商承担测试阶段的所有费用；</w:t>
      </w:r>
    </w:p>
    <w:p>
      <w:pPr>
        <w:pStyle w:val="280"/>
        <w:numPr>
          <w:ilvl w:val="0"/>
          <w:numId w:val="55"/>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用户测试结束，供应商应提交《用户测试报告》、《用户测试反馈单》、测试用例及相关文档，由采购人确认。</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（2）安全测试</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安全测试是检查软件安全防范能力。</w:t>
      </w:r>
    </w:p>
    <w:p>
      <w:pPr>
        <w:pStyle w:val="280"/>
        <w:numPr>
          <w:ilvl w:val="0"/>
          <w:numId w:val="56"/>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供应商应采用静态和动态检测工具，对软件进行全面检测，以发现软件在设计和编码中的错误、疏忽和其它缺陷；</w:t>
      </w:r>
    </w:p>
    <w:p>
      <w:pPr>
        <w:pStyle w:val="280"/>
        <w:numPr>
          <w:ilvl w:val="0"/>
          <w:numId w:val="56"/>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供应商应全面测试软件的安全功能；</w:t>
      </w:r>
    </w:p>
    <w:p>
      <w:pPr>
        <w:pStyle w:val="280"/>
        <w:numPr>
          <w:ilvl w:val="0"/>
          <w:numId w:val="56"/>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安全测试通过后，供应商应提交《用户环境安全测试报告》、安全测试用例及相关文档，采购人确认。</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（3）压力测试</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在采购人测试环境下，供应商必须对本项目的各项性能指标进行大规模压力测试。</w:t>
      </w:r>
    </w:p>
    <w:p>
      <w:pPr>
        <w:pStyle w:val="280"/>
        <w:numPr>
          <w:ilvl w:val="0"/>
          <w:numId w:val="57"/>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供应商应制定压力测试方案，明确压力测试的测试环境、压力规模、加压时间等，压力测试方案必须经采购人确认；</w:t>
      </w:r>
    </w:p>
    <w:p>
      <w:pPr>
        <w:pStyle w:val="280"/>
        <w:numPr>
          <w:ilvl w:val="0"/>
          <w:numId w:val="57"/>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供应商应严格按照压力测试流程进行测试；；</w:t>
      </w:r>
    </w:p>
    <w:p>
      <w:pPr>
        <w:pStyle w:val="280"/>
        <w:numPr>
          <w:ilvl w:val="0"/>
          <w:numId w:val="57"/>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压力测试结束后，供应商提交《用户环境压力测试报告》、压力测试用例及相关文档，须经采购人确认。</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（4）系统测试。</w:t>
      </w:r>
    </w:p>
    <w:p>
      <w:pPr>
        <w:pStyle w:val="280"/>
        <w:numPr>
          <w:ilvl w:val="0"/>
          <w:numId w:val="58"/>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供应商必须严格按照系统测试流程进行系统测试，并做好对测试结果的记录和问题的跟踪调试工作；</w:t>
      </w:r>
    </w:p>
    <w:p>
      <w:pPr>
        <w:pStyle w:val="280"/>
        <w:numPr>
          <w:ilvl w:val="0"/>
          <w:numId w:val="58"/>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系统测试的主要内容包括：健壮性测试、性能测试等；</w:t>
      </w:r>
    </w:p>
    <w:p>
      <w:pPr>
        <w:pStyle w:val="280"/>
        <w:numPr>
          <w:ilvl w:val="0"/>
          <w:numId w:val="58"/>
        </w:num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系统测试通过后，供应商提交《用户环境系统测试报告》、系统测试用例及相关文档，由采购人确认。</w:t>
      </w:r>
    </w:p>
    <w:p>
      <w:pPr>
        <w:pStyle w:val="7"/>
        <w:spacing w:before="0" w:after="0" w:line="360" w:lineRule="auto"/>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6</w:t>
      </w:r>
      <w:r>
        <w:rPr>
          <w:rFonts w:asciiTheme="minorEastAsia" w:hAnsiTheme="minorEastAsia" w:eastAsiaTheme="minorEastAsia"/>
          <w:sz w:val="21"/>
          <w:szCs w:val="21"/>
          <w:highlight w:val="none"/>
        </w:rPr>
        <w:t>.</w:t>
      </w:r>
      <w:r>
        <w:rPr>
          <w:rFonts w:hint="eastAsia" w:asciiTheme="minorEastAsia" w:hAnsiTheme="minorEastAsia" w:eastAsiaTheme="minorEastAsia"/>
          <w:sz w:val="21"/>
          <w:szCs w:val="21"/>
          <w:highlight w:val="none"/>
        </w:rPr>
        <w:t>主要交付成果物</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（1）测试方案和计划：应当包括各阶段各种测试类型的测试方案和计划；</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（2）测试说明：应当包括测试标准和规范说明、测试设计说明、测试用例说明和测试规程说明；</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（3）测试报告：应当包括各测试阶段和测试类型的测试报告。交付成果物应当满足科学性、完整性和准确性的要求；</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（4）完成准则：供应商提供的所有测试类型的测试均已通过，并且《软件测试报告》和相关文档经采购人确认，视为软件测试完成。</w:t>
      </w:r>
    </w:p>
    <w:p>
      <w:pPr>
        <w:pStyle w:val="6"/>
        <w:tabs>
          <w:tab w:val="left" w:pos="1740"/>
        </w:tabs>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（八）所有权声明</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1）采购人对项目实施过程中所产生的所有成果（包括发明、发现、可运行系统、源代码及相关技术资料、文档等）享有所有权（永久使用权、复制权和修改权等）。除本项目工作所需外，未经采购人书面同意，供应商不得擅自使用、复制采购人的商标、标志、数据信息、文档及其他资料；</w:t>
      </w:r>
    </w:p>
    <w:p>
      <w:pPr>
        <w:pStyle w:val="280"/>
        <w:spacing w:line="360" w:lineRule="auto"/>
        <w:ind w:firstLine="420"/>
        <w:rPr>
          <w:rFonts w:asciiTheme="minorEastAsia" w:hAnsiTheme="minorEastAsia" w:eastAsiaTheme="minorEastAsia"/>
          <w:highlight w:val="none"/>
        </w:rPr>
      </w:pPr>
      <w:r>
        <w:rPr>
          <w:rFonts w:hint="eastAsia" w:asciiTheme="minorEastAsia" w:hAnsiTheme="minorEastAsia" w:eastAsiaTheme="minorEastAsia"/>
          <w:highlight w:val="none"/>
        </w:rPr>
        <w:t>（2）供应商应保证在本项目中所有预装和为本项目安装的软件为在中国境内具有合法版权或使用权的正版软件且无质量瑕疵；</w:t>
      </w:r>
    </w:p>
    <w:p>
      <w:pPr>
        <w:spacing w:line="360" w:lineRule="auto"/>
        <w:ind w:firstLine="420" w:firstLineChars="200"/>
        <w:jc w:val="left"/>
        <w:rPr>
          <w:rFonts w:hint="eastAsia" w:ascii="微软雅黑" w:hAnsi="微软雅黑" w:eastAsia="微软雅黑" w:cs="微软雅黑"/>
          <w:b/>
          <w:bCs/>
          <w:highlight w:val="none"/>
        </w:rPr>
      </w:pPr>
      <w:r>
        <w:rPr>
          <w:rFonts w:hint="eastAsia" w:asciiTheme="minorEastAsia" w:hAnsiTheme="minorEastAsia" w:eastAsiaTheme="minorEastAsia"/>
          <w:highlight w:val="none"/>
        </w:rPr>
        <w:t>（</w:t>
      </w:r>
      <w:r>
        <w:rPr>
          <w:rFonts w:asciiTheme="minorEastAsia" w:hAnsiTheme="minorEastAsia" w:eastAsiaTheme="minorEastAsia"/>
          <w:highlight w:val="none"/>
        </w:rPr>
        <w:t>3</w:t>
      </w:r>
      <w:r>
        <w:rPr>
          <w:rFonts w:hint="eastAsia" w:asciiTheme="minorEastAsia" w:hAnsiTheme="minorEastAsia" w:eastAsiaTheme="minorEastAsia"/>
          <w:highlight w:val="none"/>
        </w:rPr>
        <w:t>）供应商应保证其所提供的产品及服务不侵犯第三方的知识产权，否则，由此给采购人造成的一切损失由供应商承担。</w:t>
      </w:r>
    </w:p>
    <w:p>
      <w:pPr>
        <w:spacing w:line="360" w:lineRule="auto"/>
        <w:ind w:firstLine="420" w:firstLineChars="200"/>
        <w:jc w:val="left"/>
        <w:rPr>
          <w:rFonts w:hint="default" w:ascii="微软雅黑" w:hAnsi="微软雅黑" w:eastAsia="微软雅黑" w:cs="微软雅黑"/>
          <w:b/>
          <w:bCs/>
          <w:highlight w:val="none"/>
          <w:lang w:val="en-US" w:eastAsia="zh-CN"/>
        </w:rPr>
      </w:pPr>
      <w:r>
        <w:rPr>
          <w:rFonts w:hint="eastAsia" w:ascii="微软雅黑" w:hAnsi="微软雅黑" w:eastAsia="微软雅黑" w:cs="微软雅黑"/>
          <w:b/>
          <w:bCs/>
          <w:highlight w:val="none"/>
        </w:rPr>
        <w:t>九）巡检</w:t>
      </w:r>
      <w:bookmarkEnd w:id="200"/>
      <w:bookmarkEnd w:id="201"/>
      <w:r>
        <w:rPr>
          <w:rFonts w:hint="eastAsia" w:ascii="微软雅黑" w:hAnsi="微软雅黑" w:eastAsia="微软雅黑" w:cs="微软雅黑"/>
          <w:b/>
          <w:bCs/>
          <w:highlight w:val="none"/>
          <w:lang w:val="en-US" w:eastAsia="zh-CN"/>
        </w:rPr>
        <w:t>检测服务</w:t>
      </w:r>
    </w:p>
    <w:p>
      <w:pPr>
        <w:autoSpaceDE w:val="0"/>
        <w:autoSpaceDN w:val="0"/>
        <w:adjustRightInd w:val="0"/>
        <w:spacing w:line="360" w:lineRule="auto"/>
        <w:ind w:firstLine="420" w:firstLineChars="200"/>
        <w:rPr>
          <w:rFonts w:hint="default" w:eastAsia="宋体"/>
          <w:color w:val="000000"/>
          <w:kern w:val="0"/>
          <w:highlight w:val="none"/>
          <w:lang w:val="en-US" w:eastAsia="zh-CN"/>
        </w:rPr>
      </w:pPr>
      <w:r>
        <w:rPr>
          <w:rFonts w:hint="eastAsia"/>
          <w:color w:val="000000"/>
          <w:kern w:val="0"/>
          <w:highlight w:val="none"/>
        </w:rPr>
        <w:t>本项目需4名驻点人员</w:t>
      </w:r>
      <w:r>
        <w:rPr>
          <w:rFonts w:hint="eastAsia"/>
          <w:highlight w:val="none"/>
        </w:rPr>
        <w:t>（须为参与项目实施人员）</w:t>
      </w:r>
      <w:r>
        <w:rPr>
          <w:rFonts w:hint="eastAsia"/>
          <w:color w:val="000000"/>
          <w:kern w:val="0"/>
          <w:highlight w:val="none"/>
        </w:rPr>
        <w:t>、1辆专车对物联感知设备进行</w:t>
      </w:r>
      <w:r>
        <w:rPr>
          <w:rFonts w:hint="eastAsia"/>
          <w:color w:val="000000"/>
          <w:kern w:val="0"/>
          <w:highlight w:val="none"/>
          <w:lang w:eastAsia="zh-CN"/>
        </w:rPr>
        <w:t>合同履行期间内的巡检检测服务</w:t>
      </w:r>
      <w:r>
        <w:rPr>
          <w:rFonts w:hint="eastAsia"/>
          <w:color w:val="000000"/>
          <w:kern w:val="0"/>
          <w:highlight w:val="none"/>
        </w:rPr>
        <w:t>，并服从业主和上级行业主管部门有关本项目服务的工作指令分配，30分钟内提供服务响应，急难险重问题需立即派人处理处置。在服务期间内，制定运维方案和应急响应制度，开展日常运维和应急响应工作，包括巡检、检修、置换、记录、校验等。保障物联监测数据的准确、安全和完备</w:t>
      </w:r>
      <w:r>
        <w:rPr>
          <w:rFonts w:hint="eastAsia"/>
          <w:color w:val="000000"/>
          <w:kern w:val="0"/>
          <w:highlight w:val="none"/>
          <w:lang w:eastAsia="zh-CN"/>
        </w:rPr>
        <w:t>。</w:t>
      </w:r>
      <w:r>
        <w:rPr>
          <w:rFonts w:hint="eastAsia"/>
          <w:color w:val="000000"/>
          <w:kern w:val="0"/>
          <w:highlight w:val="none"/>
          <w:lang w:val="en-US" w:eastAsia="zh-CN"/>
        </w:rPr>
        <w:t>须针对每套在线监测设备的测试比对不少于3次，并提供巡检测试报告。</w:t>
      </w:r>
    </w:p>
    <w:p>
      <w:pPr>
        <w:autoSpaceDE w:val="0"/>
        <w:autoSpaceDN w:val="0"/>
        <w:adjustRightInd w:val="0"/>
        <w:spacing w:line="360" w:lineRule="auto"/>
        <w:ind w:firstLine="420" w:firstLineChars="200"/>
        <w:rPr>
          <w:color w:val="000000"/>
          <w:kern w:val="0"/>
          <w:highlight w:val="none"/>
        </w:rPr>
      </w:pPr>
    </w:p>
    <w:p>
      <w:pPr>
        <w:autoSpaceDE w:val="0"/>
        <w:autoSpaceDN w:val="0"/>
        <w:adjustRightInd w:val="0"/>
        <w:spacing w:line="360" w:lineRule="auto"/>
        <w:ind w:firstLine="420" w:firstLineChars="200"/>
        <w:rPr>
          <w:color w:val="000000"/>
          <w:kern w:val="0"/>
          <w:highlight w:val="none"/>
        </w:rPr>
      </w:pPr>
    </w:p>
    <w:p>
      <w:pPr>
        <w:spacing w:line="360" w:lineRule="auto"/>
        <w:ind w:firstLine="560" w:firstLineChars="200"/>
        <w:jc w:val="left"/>
        <w:rPr>
          <w:rFonts w:ascii="微软雅黑" w:hAnsi="微软雅黑" w:eastAsia="微软雅黑" w:cs="微软雅黑"/>
          <w:b/>
          <w:bCs/>
          <w:sz w:val="28"/>
          <w:szCs w:val="36"/>
          <w:highlight w:val="none"/>
        </w:rPr>
        <w:sectPr>
          <w:headerReference r:id="rId8" w:type="default"/>
          <w:footerReference r:id="rId9" w:type="default"/>
          <w:pgSz w:w="11906" w:h="16838"/>
          <w:pgMar w:top="1417" w:right="1417" w:bottom="1417" w:left="1417" w:header="386" w:footer="992" w:gutter="0"/>
          <w:cols w:space="0" w:num="1"/>
          <w:docGrid w:type="linesAndChars" w:linePitch="312" w:charSpace="0"/>
        </w:sectPr>
      </w:pPr>
    </w:p>
    <w:p>
      <w:pPr>
        <w:pStyle w:val="6"/>
        <w:spacing w:before="0" w:after="0"/>
        <w:rPr>
          <w:highlight w:val="none"/>
        </w:rPr>
      </w:pPr>
      <w:r>
        <w:rPr>
          <w:rFonts w:hint="eastAsia"/>
          <w:highlight w:val="none"/>
        </w:rPr>
        <w:t>一、项目清单</w:t>
      </w:r>
    </w:p>
    <w:tbl>
      <w:tblPr>
        <w:tblStyle w:val="50"/>
        <w:tblW w:w="4994" w:type="pct"/>
        <w:tblInd w:w="0" w:type="dxa"/>
        <w:tblLayout w:type="fixed"/>
        <w:tblCellMar>
          <w:top w:w="0" w:type="dxa"/>
          <w:left w:w="108" w:type="dxa"/>
          <w:bottom w:w="0" w:type="dxa"/>
          <w:right w:w="108" w:type="dxa"/>
        </w:tblCellMar>
      </w:tblPr>
      <w:tblGrid>
        <w:gridCol w:w="1112"/>
        <w:gridCol w:w="1635"/>
        <w:gridCol w:w="57"/>
        <w:gridCol w:w="8825"/>
        <w:gridCol w:w="1204"/>
        <w:gridCol w:w="1370"/>
      </w:tblGrid>
      <w:tr>
        <w:tblPrEx>
          <w:tblCellMar>
            <w:top w:w="0" w:type="dxa"/>
            <w:left w:w="108" w:type="dxa"/>
            <w:bottom w:w="0" w:type="dxa"/>
            <w:right w:w="108" w:type="dxa"/>
          </w:tblCellMar>
        </w:tblPrEx>
        <w:trPr>
          <w:trHeight w:val="318" w:hRule="atLeast"/>
          <w:tblHeader/>
        </w:trPr>
        <w:tc>
          <w:tcPr>
            <w:tcW w:w="27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b/>
                <w:bCs/>
                <w:color w:val="000000"/>
                <w:sz w:val="22"/>
                <w:szCs w:val="22"/>
                <w:highlight w:val="none"/>
              </w:rPr>
            </w:pPr>
            <w:r>
              <w:rPr>
                <w:b/>
                <w:bCs/>
                <w:color w:val="000000"/>
                <w:kern w:val="0"/>
                <w:szCs w:val="21"/>
                <w:highlight w:val="none"/>
                <w:lang w:bidi="ar"/>
              </w:rPr>
              <w:t>设备类别及名称</w:t>
            </w:r>
          </w:p>
        </w:tc>
        <w:tc>
          <w:tcPr>
            <w:tcW w:w="888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b/>
                <w:bCs/>
                <w:color w:val="000000"/>
                <w:sz w:val="22"/>
                <w:szCs w:val="22"/>
                <w:highlight w:val="none"/>
              </w:rPr>
            </w:pPr>
            <w:r>
              <w:rPr>
                <w:b/>
                <w:bCs/>
                <w:color w:val="000000"/>
                <w:kern w:val="0"/>
                <w:szCs w:val="21"/>
                <w:highlight w:val="none"/>
                <w:lang w:bidi="ar"/>
              </w:rPr>
              <w:t>参数</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ascii="宋体" w:hAnsi="宋体" w:cs="宋体"/>
                <w:b/>
                <w:bCs/>
                <w:color w:val="000000"/>
                <w:sz w:val="22"/>
                <w:szCs w:val="22"/>
                <w:highlight w:val="none"/>
              </w:rPr>
            </w:pPr>
            <w:r>
              <w:rPr>
                <w:b/>
                <w:bCs/>
                <w:color w:val="000000"/>
                <w:kern w:val="0"/>
                <w:szCs w:val="21"/>
                <w:highlight w:val="none"/>
                <w:lang w:bidi="ar"/>
              </w:rPr>
              <w:t>单位</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b/>
                <w:bCs/>
                <w:color w:val="000000"/>
                <w:kern w:val="0"/>
                <w:szCs w:val="21"/>
                <w:highlight w:val="none"/>
                <w:lang w:bidi="ar"/>
              </w:rPr>
            </w:pPr>
            <w:r>
              <w:rPr>
                <w:rFonts w:hint="eastAsia"/>
                <w:b/>
                <w:bCs/>
                <w:color w:val="000000"/>
                <w:kern w:val="0"/>
                <w:szCs w:val="21"/>
                <w:highlight w:val="none"/>
                <w:lang w:bidi="ar"/>
              </w:rPr>
              <w:t>数量</w:t>
            </w:r>
          </w:p>
        </w:tc>
      </w:tr>
      <w:tr>
        <w:tblPrEx>
          <w:tblCellMar>
            <w:top w:w="0" w:type="dxa"/>
            <w:left w:w="108" w:type="dxa"/>
            <w:bottom w:w="0" w:type="dxa"/>
            <w:right w:w="108" w:type="dxa"/>
          </w:tblCellMar>
        </w:tblPrEx>
        <w:trPr>
          <w:trHeight w:val="318" w:hRule="atLeast"/>
        </w:trPr>
        <w:tc>
          <w:tcPr>
            <w:tcW w:w="14203" w:type="dxa"/>
            <w:gridSpan w:val="6"/>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4840" w:firstLineChars="2200"/>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一、业务应用层</w:t>
            </w:r>
          </w:p>
        </w:tc>
      </w:tr>
      <w:tr>
        <w:tblPrEx>
          <w:tblCellMar>
            <w:top w:w="0" w:type="dxa"/>
            <w:left w:w="108" w:type="dxa"/>
            <w:bottom w:w="0" w:type="dxa"/>
            <w:right w:w="108" w:type="dxa"/>
          </w:tblCellMar>
        </w:tblPrEx>
        <w:trPr>
          <w:trHeight w:val="318" w:hRule="atLeast"/>
        </w:trPr>
        <w:tc>
          <w:tcPr>
            <w:tcW w:w="14203" w:type="dxa"/>
            <w:gridSpan w:val="6"/>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ind w:firstLine="3960" w:firstLineChars="1800"/>
              <w:textAlignment w:val="center"/>
              <w:rPr>
                <w:rFonts w:ascii="宋体" w:hAnsi="宋体" w:cs="宋体"/>
                <w:color w:val="000000"/>
                <w:kern w:val="0"/>
                <w:sz w:val="22"/>
                <w:szCs w:val="22"/>
                <w:highlight w:val="none"/>
                <w:lang w:bidi="ar"/>
              </w:rPr>
            </w:pPr>
            <w:r>
              <w:rPr>
                <w:rFonts w:ascii="宋体" w:hAnsi="宋体" w:cs="宋体"/>
                <w:color w:val="000000"/>
                <w:kern w:val="0"/>
                <w:sz w:val="22"/>
                <w:szCs w:val="22"/>
                <w:highlight w:val="none"/>
                <w:lang w:bidi="ar"/>
              </w:rPr>
              <w:t>1.</w:t>
            </w:r>
            <w:r>
              <w:rPr>
                <w:rFonts w:hint="eastAsia" w:ascii="宋体" w:hAnsi="宋体" w:cs="宋体"/>
                <w:color w:val="000000"/>
                <w:kern w:val="0"/>
                <w:sz w:val="22"/>
                <w:szCs w:val="22"/>
                <w:highlight w:val="none"/>
                <w:lang w:bidi="ar"/>
              </w:rPr>
              <w:t>智慧排水可视化应用（排水一张图）</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基础功能</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2"/>
                <w:szCs w:val="22"/>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2"/>
                <w:szCs w:val="22"/>
                <w:highlight w:val="none"/>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BIM数字资产建立</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kern w:val="0"/>
                <w:sz w:val="22"/>
                <w:szCs w:val="22"/>
                <w:highlight w:val="none"/>
                <w:lang w:bidi="ar"/>
              </w:rPr>
              <w:t>25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智慧排水BIM+GIS系统</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kern w:val="0"/>
                <w:sz w:val="22"/>
                <w:szCs w:val="22"/>
                <w:highlight w:val="none"/>
                <w:lang w:bidi="ar"/>
              </w:rPr>
              <w:t>30</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AR/MR巡检运维系统</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kern w:val="0"/>
                <w:sz w:val="22"/>
                <w:szCs w:val="22"/>
                <w:highlight w:val="none"/>
                <w:lang w:bidi="ar"/>
              </w:rPr>
              <w:t>25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静态信息展示</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动态信息展示</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10</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排水业务展示</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10</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专题信息展示</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kern w:val="0"/>
                <w:sz w:val="22"/>
                <w:szCs w:val="22"/>
                <w:highlight w:val="none"/>
                <w:lang w:bidi="ar"/>
              </w:rPr>
              <w:t>10</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农污信息展示</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5</w:t>
            </w:r>
          </w:p>
        </w:tc>
      </w:tr>
      <w:tr>
        <w:tblPrEx>
          <w:tblCellMar>
            <w:top w:w="0" w:type="dxa"/>
            <w:left w:w="108" w:type="dxa"/>
            <w:bottom w:w="0" w:type="dxa"/>
            <w:right w:w="108" w:type="dxa"/>
          </w:tblCellMar>
        </w:tblPrEx>
        <w:trPr>
          <w:trHeight w:val="288" w:hRule="atLeast"/>
        </w:trPr>
        <w:tc>
          <w:tcPr>
            <w:tcW w:w="14203"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ind w:firstLine="3960" w:firstLineChars="1800"/>
              <w:textAlignment w:val="center"/>
              <w:rPr>
                <w:color w:val="000000"/>
                <w:kern w:val="0"/>
                <w:sz w:val="22"/>
                <w:szCs w:val="22"/>
                <w:highlight w:val="none"/>
                <w:lang w:bidi="ar"/>
              </w:rPr>
            </w:pPr>
            <w:r>
              <w:rPr>
                <w:rFonts w:ascii="宋体" w:hAnsi="宋体" w:cs="宋体"/>
                <w:color w:val="000000"/>
                <w:kern w:val="0"/>
                <w:sz w:val="22"/>
                <w:szCs w:val="22"/>
                <w:highlight w:val="none"/>
                <w:lang w:bidi="ar"/>
              </w:rPr>
              <w:t>2.</w:t>
            </w:r>
            <w:r>
              <w:rPr>
                <w:rFonts w:hint="eastAsia" w:ascii="宋体" w:hAnsi="宋体" w:cs="宋体"/>
                <w:color w:val="000000"/>
                <w:kern w:val="0"/>
                <w:sz w:val="22"/>
                <w:szCs w:val="22"/>
                <w:highlight w:val="none"/>
                <w:lang w:bidi="ar"/>
              </w:rPr>
              <w:t>智慧排水管理系统（管理一平台）</w:t>
            </w:r>
          </w:p>
        </w:tc>
      </w:tr>
      <w:tr>
        <w:tblPrEx>
          <w:tblCellMar>
            <w:top w:w="0" w:type="dxa"/>
            <w:left w:w="108" w:type="dxa"/>
            <w:bottom w:w="0" w:type="dxa"/>
            <w:right w:w="108" w:type="dxa"/>
          </w:tblCellMar>
        </w:tblPrEx>
        <w:trPr>
          <w:trHeight w:val="312"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排水管网监管</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排水户管理（对接）</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kern w:val="0"/>
                <w:sz w:val="22"/>
                <w:szCs w:val="22"/>
                <w:highlight w:val="none"/>
                <w:lang w:bidi="ar"/>
              </w:rPr>
            </w:pPr>
            <w:r>
              <w:rPr>
                <w:color w:val="000000"/>
                <w:kern w:val="0"/>
                <w:sz w:val="22"/>
                <w:szCs w:val="22"/>
                <w:highlight w:val="none"/>
                <w:lang w:bidi="ar"/>
              </w:rPr>
              <w:t>0.8</w:t>
            </w:r>
          </w:p>
        </w:tc>
      </w:tr>
      <w:tr>
        <w:tblPrEx>
          <w:tblCellMar>
            <w:top w:w="0" w:type="dxa"/>
            <w:left w:w="108" w:type="dxa"/>
            <w:bottom w:w="0" w:type="dxa"/>
            <w:right w:w="108" w:type="dxa"/>
          </w:tblCellMar>
        </w:tblPrEx>
        <w:trPr>
          <w:trHeight w:val="312"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排水管井管理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排水管井运行监测</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kern w:val="0"/>
                <w:sz w:val="22"/>
                <w:szCs w:val="22"/>
                <w:highlight w:val="none"/>
                <w:lang w:bidi="ar"/>
              </w:rPr>
            </w:pPr>
            <w:r>
              <w:rPr>
                <w:color w:val="000000"/>
                <w:kern w:val="0"/>
                <w:sz w:val="22"/>
                <w:szCs w:val="22"/>
                <w:highlight w:val="none"/>
                <w:lang w:bidi="ar"/>
              </w:rPr>
              <w:t>1.2</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数据分析</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kern w:val="0"/>
                <w:sz w:val="22"/>
                <w:szCs w:val="22"/>
                <w:highlight w:val="none"/>
                <w:lang w:bidi="ar"/>
              </w:rPr>
            </w:pPr>
            <w:r>
              <w:rPr>
                <w:color w:val="000000"/>
                <w:kern w:val="0"/>
                <w:sz w:val="22"/>
                <w:szCs w:val="22"/>
                <w:highlight w:val="none"/>
                <w:lang w:bidi="ar"/>
              </w:rPr>
              <w:t>1</w:t>
            </w:r>
          </w:p>
        </w:tc>
      </w:tr>
      <w:tr>
        <w:tblPrEx>
          <w:tblCellMar>
            <w:top w:w="0" w:type="dxa"/>
            <w:left w:w="108" w:type="dxa"/>
            <w:bottom w:w="0" w:type="dxa"/>
            <w:right w:w="108" w:type="dxa"/>
          </w:tblCellMar>
        </w:tblPrEx>
        <w:trPr>
          <w:trHeight w:val="312"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排水口管理应用</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基础属性上报和建档</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排水口运行监测</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1.2</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污水网格分区计量管理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color w:val="000000"/>
                <w:sz w:val="22"/>
                <w:szCs w:val="22"/>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kern w:val="0"/>
                <w:sz w:val="22"/>
                <w:szCs w:val="22"/>
                <w:highlight w:val="none"/>
                <w:lang w:bidi="ar"/>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网格管理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color w:val="000000"/>
                <w:sz w:val="22"/>
                <w:szCs w:val="22"/>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kern w:val="0"/>
                <w:sz w:val="22"/>
                <w:szCs w:val="22"/>
                <w:highlight w:val="none"/>
                <w:lang w:bidi="ar"/>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网格综合信息管理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eastAsia="宋体"/>
                <w:color w:val="000000"/>
                <w:sz w:val="22"/>
                <w:szCs w:val="22"/>
                <w:highlight w:val="none"/>
                <w:lang w:val="en-US" w:eastAsia="zh-CN"/>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eastAsia="宋体"/>
                <w:color w:val="000000"/>
                <w:kern w:val="0"/>
                <w:sz w:val="22"/>
                <w:szCs w:val="22"/>
                <w:highlight w:val="none"/>
                <w:lang w:val="en-US" w:eastAsia="zh-CN" w:bidi="ar"/>
              </w:rPr>
            </w:pPr>
            <w:r>
              <w:rPr>
                <w:rFonts w:hint="eastAsia"/>
                <w:color w:val="000000"/>
                <w:kern w:val="0"/>
                <w:sz w:val="22"/>
                <w:szCs w:val="22"/>
                <w:highlight w:val="none"/>
                <w:lang w:val="en-US" w:eastAsia="zh-CN" w:bidi="ar"/>
              </w:rPr>
              <w:t>0.2</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网格范围管理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eastAsia="宋体"/>
                <w:color w:val="000000"/>
                <w:kern w:val="0"/>
                <w:sz w:val="22"/>
                <w:szCs w:val="22"/>
                <w:highlight w:val="none"/>
                <w:lang w:val="en-US" w:eastAsia="zh-CN" w:bidi="ar"/>
              </w:rPr>
            </w:pPr>
            <w:r>
              <w:rPr>
                <w:rFonts w:hint="eastAsia"/>
                <w:color w:val="000000"/>
                <w:kern w:val="0"/>
                <w:sz w:val="22"/>
                <w:szCs w:val="22"/>
                <w:highlight w:val="none"/>
                <w:lang w:val="en-US" w:eastAsia="zh-CN" w:bidi="ar"/>
              </w:rPr>
              <w:t>0.2</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排水户管理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eastAsia="宋体"/>
                <w:color w:val="000000"/>
                <w:kern w:val="0"/>
                <w:sz w:val="22"/>
                <w:szCs w:val="22"/>
                <w:highlight w:val="none"/>
                <w:lang w:val="en-US" w:eastAsia="zh-CN" w:bidi="ar"/>
              </w:rPr>
            </w:pPr>
            <w:r>
              <w:rPr>
                <w:rFonts w:hint="eastAsia"/>
                <w:color w:val="000000"/>
                <w:kern w:val="0"/>
                <w:sz w:val="22"/>
                <w:szCs w:val="22"/>
                <w:highlight w:val="none"/>
                <w:lang w:val="en-US" w:eastAsia="zh-CN" w:bidi="ar"/>
              </w:rPr>
              <w:t>0.3</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户表管理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eastAsia="宋体"/>
                <w:color w:val="000000"/>
                <w:kern w:val="0"/>
                <w:sz w:val="22"/>
                <w:szCs w:val="22"/>
                <w:highlight w:val="none"/>
                <w:lang w:val="en-US" w:eastAsia="zh-CN" w:bidi="ar"/>
              </w:rPr>
            </w:pPr>
            <w:r>
              <w:rPr>
                <w:rFonts w:hint="eastAsia"/>
                <w:color w:val="000000"/>
                <w:kern w:val="0"/>
                <w:sz w:val="22"/>
                <w:szCs w:val="22"/>
                <w:highlight w:val="none"/>
                <w:lang w:val="en-US" w:eastAsia="zh-CN" w:bidi="ar"/>
              </w:rPr>
              <w:t>0.3</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检查井管理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eastAsia="宋体"/>
                <w:color w:val="000000"/>
                <w:kern w:val="0"/>
                <w:sz w:val="22"/>
                <w:szCs w:val="22"/>
                <w:highlight w:val="none"/>
                <w:lang w:val="en-US" w:eastAsia="zh-CN" w:bidi="ar"/>
              </w:rPr>
            </w:pPr>
            <w:r>
              <w:rPr>
                <w:rFonts w:hint="eastAsia"/>
                <w:color w:val="000000"/>
                <w:kern w:val="0"/>
                <w:sz w:val="22"/>
                <w:szCs w:val="22"/>
                <w:highlight w:val="none"/>
                <w:lang w:val="en-US" w:eastAsia="zh-CN" w:bidi="ar"/>
              </w:rPr>
              <w:t>0.3</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排水小区管理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eastAsia="宋体"/>
                <w:color w:val="000000"/>
                <w:kern w:val="0"/>
                <w:sz w:val="22"/>
                <w:szCs w:val="22"/>
                <w:highlight w:val="none"/>
                <w:lang w:val="en-US" w:eastAsia="zh-CN" w:bidi="ar"/>
              </w:rPr>
            </w:pPr>
            <w:r>
              <w:rPr>
                <w:rFonts w:hint="eastAsia"/>
                <w:color w:val="000000"/>
                <w:kern w:val="0"/>
                <w:sz w:val="22"/>
                <w:szCs w:val="22"/>
                <w:highlight w:val="none"/>
                <w:lang w:val="en-US" w:eastAsia="zh-CN" w:bidi="ar"/>
              </w:rPr>
              <w:t>0.3</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网格管理网格水量计量监测</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eastAsia="宋体"/>
                <w:color w:val="000000"/>
                <w:kern w:val="0"/>
                <w:sz w:val="22"/>
                <w:szCs w:val="22"/>
                <w:highlight w:val="none"/>
                <w:lang w:val="en-US" w:eastAsia="zh-CN" w:bidi="ar"/>
              </w:rPr>
            </w:pPr>
            <w:r>
              <w:rPr>
                <w:rFonts w:hint="eastAsia"/>
                <w:color w:val="000000"/>
                <w:kern w:val="0"/>
                <w:sz w:val="22"/>
                <w:szCs w:val="22"/>
                <w:highlight w:val="none"/>
                <w:lang w:val="en-US" w:eastAsia="zh-CN" w:bidi="ar"/>
              </w:rPr>
              <w:t>0.5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网格供排水量查询</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eastAsia="宋体"/>
                <w:color w:val="000000"/>
                <w:kern w:val="0"/>
                <w:sz w:val="22"/>
                <w:szCs w:val="22"/>
                <w:highlight w:val="none"/>
                <w:lang w:val="en-US" w:eastAsia="zh-CN" w:bidi="ar"/>
              </w:rPr>
            </w:pPr>
            <w:r>
              <w:rPr>
                <w:rFonts w:hint="eastAsia"/>
                <w:color w:val="000000"/>
                <w:kern w:val="0"/>
                <w:sz w:val="22"/>
                <w:szCs w:val="22"/>
                <w:highlight w:val="none"/>
                <w:lang w:val="en-US" w:eastAsia="zh-CN" w:bidi="ar"/>
              </w:rPr>
              <w:t>0.2</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供排水平衡异常网格报警</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eastAsia="宋体"/>
                <w:color w:val="000000"/>
                <w:kern w:val="0"/>
                <w:sz w:val="22"/>
                <w:szCs w:val="22"/>
                <w:highlight w:val="none"/>
                <w:lang w:val="en-US" w:eastAsia="zh-CN" w:bidi="ar"/>
              </w:rPr>
            </w:pPr>
            <w:r>
              <w:rPr>
                <w:rFonts w:hint="eastAsia"/>
                <w:color w:val="000000"/>
                <w:kern w:val="0"/>
                <w:sz w:val="22"/>
                <w:szCs w:val="22"/>
                <w:highlight w:val="none"/>
                <w:lang w:val="en-US" w:eastAsia="zh-CN" w:bidi="ar"/>
              </w:rPr>
              <w:t>0.4</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供排水量平衡排序</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eastAsia="宋体"/>
                <w:color w:val="000000"/>
                <w:kern w:val="0"/>
                <w:sz w:val="22"/>
                <w:szCs w:val="22"/>
                <w:highlight w:val="none"/>
                <w:lang w:val="en-US" w:eastAsia="zh-CN" w:bidi="ar"/>
              </w:rPr>
            </w:pPr>
            <w:r>
              <w:rPr>
                <w:rFonts w:hint="eastAsia"/>
                <w:color w:val="000000"/>
                <w:kern w:val="0"/>
                <w:sz w:val="22"/>
                <w:szCs w:val="22"/>
                <w:highlight w:val="none"/>
                <w:lang w:val="en-US" w:eastAsia="zh-CN" w:bidi="ar"/>
              </w:rPr>
              <w:t>0.3</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ascii="宋体" w:hAnsi="宋体" w:cs="宋体"/>
                <w:color w:val="000000"/>
                <w:kern w:val="0"/>
                <w:sz w:val="22"/>
                <w:szCs w:val="22"/>
                <w:highlight w:val="none"/>
                <w:lang w:val="en-US" w:bidi="ar"/>
              </w:rPr>
            </w:pPr>
            <w:r>
              <w:rPr>
                <w:rFonts w:hint="eastAsia" w:ascii="宋体" w:hAnsi="宋体" w:cs="宋体"/>
                <w:color w:val="000000"/>
                <w:kern w:val="0"/>
                <w:sz w:val="22"/>
                <w:szCs w:val="22"/>
                <w:highlight w:val="none"/>
                <w:lang w:val="en-US" w:eastAsia="zh-CN" w:bidi="ar"/>
              </w:rPr>
              <w:t>供排水量平衡分析总览</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eastAsia="宋体"/>
                <w:color w:val="000000"/>
                <w:kern w:val="0"/>
                <w:sz w:val="22"/>
                <w:szCs w:val="22"/>
                <w:highlight w:val="none"/>
                <w:lang w:val="en-US" w:eastAsia="zh-CN" w:bidi="ar"/>
              </w:rPr>
            </w:pPr>
            <w:r>
              <w:rPr>
                <w:rFonts w:hint="eastAsia"/>
                <w:color w:val="000000"/>
                <w:kern w:val="0"/>
                <w:sz w:val="22"/>
                <w:szCs w:val="22"/>
                <w:highlight w:val="none"/>
                <w:lang w:val="en-US" w:eastAsia="zh-CN" w:bidi="ar"/>
              </w:rPr>
              <w:t>0.5</w:t>
            </w:r>
          </w:p>
        </w:tc>
      </w:tr>
      <w:tr>
        <w:tblPrEx>
          <w:tblCellMar>
            <w:top w:w="0" w:type="dxa"/>
            <w:left w:w="108" w:type="dxa"/>
            <w:bottom w:w="0" w:type="dxa"/>
            <w:right w:w="108" w:type="dxa"/>
          </w:tblCellMar>
        </w:tblPrEx>
        <w:trPr>
          <w:trHeight w:val="312"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内涝管理系统</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内涝点台账管理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0.8</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内涝点信息管理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内涝点实时监测</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1.2</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内涝分析查询</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预警预测</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w:t>
            </w:r>
          </w:p>
        </w:tc>
      </w:tr>
      <w:tr>
        <w:tblPrEx>
          <w:tblCellMar>
            <w:top w:w="0" w:type="dxa"/>
            <w:left w:w="108" w:type="dxa"/>
            <w:bottom w:w="0" w:type="dxa"/>
            <w:right w:w="108" w:type="dxa"/>
          </w:tblCellMar>
        </w:tblPrEx>
        <w:trPr>
          <w:trHeight w:val="312"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管网清疏</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内涝点清单</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0.6</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设定清疏范围</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发布清疏任务</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清疏任务反馈</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0.5</w:t>
            </w:r>
          </w:p>
        </w:tc>
      </w:tr>
      <w:tr>
        <w:tblPrEx>
          <w:tblCellMar>
            <w:top w:w="0" w:type="dxa"/>
            <w:left w:w="108" w:type="dxa"/>
            <w:bottom w:w="0" w:type="dxa"/>
            <w:right w:w="108" w:type="dxa"/>
          </w:tblCellMar>
        </w:tblPrEx>
        <w:trPr>
          <w:trHeight w:val="312"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资源管理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抢险队伍管理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0.6</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物资管理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0.6</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车辆管理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w:t>
            </w:r>
            <w:r>
              <w:rPr>
                <w:rFonts w:hint="eastAsia"/>
                <w:color w:val="000000"/>
                <w:kern w:val="0"/>
                <w:sz w:val="22"/>
                <w:szCs w:val="22"/>
                <w:highlight w:val="none"/>
                <w:lang w:bidi="ar"/>
              </w:rPr>
              <w:t>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布防点管理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0.6</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抢险路线管理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0.6</w:t>
            </w:r>
          </w:p>
        </w:tc>
      </w:tr>
      <w:tr>
        <w:tblPrEx>
          <w:tblCellMar>
            <w:top w:w="0" w:type="dxa"/>
            <w:left w:w="108" w:type="dxa"/>
            <w:bottom w:w="0" w:type="dxa"/>
            <w:right w:w="108" w:type="dxa"/>
          </w:tblCellMar>
        </w:tblPrEx>
        <w:trPr>
          <w:trHeight w:val="312"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农污设施监管</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信息管理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0.7</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档案管理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0.8</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视频监控</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2</w:t>
            </w:r>
          </w:p>
        </w:tc>
      </w:tr>
      <w:tr>
        <w:tblPrEx>
          <w:tblCellMar>
            <w:top w:w="0" w:type="dxa"/>
            <w:left w:w="108" w:type="dxa"/>
            <w:bottom w:w="0" w:type="dxa"/>
            <w:right w:w="108" w:type="dxa"/>
          </w:tblCellMar>
        </w:tblPrEx>
        <w:trPr>
          <w:trHeight w:val="312"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管网动态资产管理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设备设施资产管理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3</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管网资产管理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eastAsia="宋体"/>
                <w:color w:val="000000"/>
                <w:sz w:val="22"/>
                <w:szCs w:val="22"/>
                <w:highlight w:val="none"/>
                <w:lang w:val="en-US" w:eastAsia="zh-CN"/>
              </w:rPr>
            </w:pPr>
            <w:r>
              <w:rPr>
                <w:rFonts w:hint="eastAsia"/>
                <w:color w:val="000000"/>
                <w:kern w:val="0"/>
                <w:sz w:val="22"/>
                <w:szCs w:val="22"/>
                <w:highlight w:val="none"/>
                <w:lang w:bidi="ar"/>
              </w:rPr>
              <w:t>3</w:t>
            </w:r>
            <w:r>
              <w:rPr>
                <w:rFonts w:hint="eastAsia"/>
                <w:color w:val="000000"/>
                <w:kern w:val="0"/>
                <w:sz w:val="22"/>
                <w:szCs w:val="22"/>
                <w:highlight w:val="none"/>
                <w:lang w:val="en-US" w:eastAsia="zh-CN" w:bidi="ar"/>
              </w:rPr>
              <w:t>2</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管道修复改造管理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2</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破坏取证管理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1.5</w:t>
            </w:r>
          </w:p>
        </w:tc>
      </w:tr>
      <w:tr>
        <w:tblPrEx>
          <w:tblCellMar>
            <w:top w:w="0" w:type="dxa"/>
            <w:left w:w="108" w:type="dxa"/>
            <w:bottom w:w="0" w:type="dxa"/>
            <w:right w:w="108" w:type="dxa"/>
          </w:tblCellMar>
        </w:tblPrEx>
        <w:trPr>
          <w:trHeight w:val="312"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排水工作管理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r>
      <w:tr>
        <w:tblPrEx>
          <w:tblCellMar>
            <w:top w:w="0" w:type="dxa"/>
            <w:left w:w="108" w:type="dxa"/>
            <w:bottom w:w="0" w:type="dxa"/>
            <w:right w:w="108" w:type="dxa"/>
          </w:tblCellMar>
        </w:tblPrEx>
        <w:trPr>
          <w:trHeight w:val="312"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事件管理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全流程问题管理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问题处理全公开</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0.8</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问题处置</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问题台账管理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w:t>
            </w:r>
          </w:p>
        </w:tc>
      </w:tr>
      <w:tr>
        <w:tblPrEx>
          <w:tblCellMar>
            <w:top w:w="0" w:type="dxa"/>
            <w:left w:w="108" w:type="dxa"/>
            <w:bottom w:w="0" w:type="dxa"/>
            <w:right w:w="108" w:type="dxa"/>
          </w:tblCellMar>
        </w:tblPrEx>
        <w:trPr>
          <w:trHeight w:val="312"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日常巡查管理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巡检管理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0.8</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AR</w:t>
            </w:r>
            <w:r>
              <w:rPr>
                <w:rFonts w:hint="eastAsia" w:ascii="宋体" w:hAnsi="宋体" w:cs="宋体"/>
                <w:color w:val="000000"/>
                <w:kern w:val="0"/>
                <w:sz w:val="22"/>
                <w:szCs w:val="22"/>
                <w:highlight w:val="none"/>
                <w:lang w:bidi="ar"/>
              </w:rPr>
              <w:t>三维展示管网</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10</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智能匹配</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数据核验</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2</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数据展示</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信息审批</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0.7</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知识库</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2</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工单管理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1.5</w:t>
            </w:r>
          </w:p>
        </w:tc>
      </w:tr>
      <w:tr>
        <w:tblPrEx>
          <w:tblCellMar>
            <w:top w:w="0" w:type="dxa"/>
            <w:left w:w="108" w:type="dxa"/>
            <w:bottom w:w="0" w:type="dxa"/>
            <w:right w:w="108" w:type="dxa"/>
          </w:tblCellMar>
        </w:tblPrEx>
        <w:trPr>
          <w:trHeight w:val="312"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养护管理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养护日志管理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计划管理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0.8</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养护任务单管理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工程建设管理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3</w:t>
            </w:r>
          </w:p>
        </w:tc>
      </w:tr>
      <w:tr>
        <w:tblPrEx>
          <w:tblCellMar>
            <w:top w:w="0" w:type="dxa"/>
            <w:left w:w="108" w:type="dxa"/>
            <w:bottom w:w="0" w:type="dxa"/>
            <w:right w:w="108" w:type="dxa"/>
          </w:tblCellMar>
        </w:tblPrEx>
        <w:trPr>
          <w:trHeight w:val="312"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排水业务考核管理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r>
      <w:tr>
        <w:tblPrEx>
          <w:tblCellMar>
            <w:top w:w="0" w:type="dxa"/>
            <w:left w:w="108" w:type="dxa"/>
            <w:bottom w:w="0" w:type="dxa"/>
            <w:right w:w="108" w:type="dxa"/>
          </w:tblCellMar>
        </w:tblPrEx>
        <w:trPr>
          <w:trHeight w:val="312"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市政设施养护考核</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考核评分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0.4</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考核扣罚</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0.4</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表单生成</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0.3</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报表管理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0.6</w:t>
            </w:r>
          </w:p>
        </w:tc>
      </w:tr>
      <w:tr>
        <w:tblPrEx>
          <w:tblCellMar>
            <w:top w:w="0" w:type="dxa"/>
            <w:left w:w="108" w:type="dxa"/>
            <w:bottom w:w="0" w:type="dxa"/>
            <w:right w:w="108" w:type="dxa"/>
          </w:tblCellMar>
        </w:tblPrEx>
        <w:trPr>
          <w:trHeight w:val="312"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农污监督考核管理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材料上报</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0.4</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考核评估</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考核排名</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0.3</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系统对接</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移动端</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color w:val="000000"/>
                <w:sz w:val="22"/>
                <w:szCs w:val="22"/>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kern w:val="0"/>
                <w:sz w:val="22"/>
                <w:szCs w:val="22"/>
                <w:highlight w:val="none"/>
                <w:lang w:bidi="ar"/>
              </w:rPr>
            </w:pPr>
          </w:p>
        </w:tc>
      </w:tr>
      <w:tr>
        <w:tblPrEx>
          <w:tblCellMar>
            <w:top w:w="0" w:type="dxa"/>
            <w:left w:w="108" w:type="dxa"/>
            <w:bottom w:w="0" w:type="dxa"/>
            <w:right w:w="108" w:type="dxa"/>
          </w:tblCellMar>
        </w:tblPrEx>
        <w:trPr>
          <w:trHeight w:val="33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地图展示查询</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0.2</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监测信息</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日常工作</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kern w:val="0"/>
                <w:sz w:val="22"/>
                <w:szCs w:val="22"/>
                <w:highlight w:val="none"/>
                <w:lang w:bidi="ar"/>
              </w:rPr>
              <w:t>2</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数据统计</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档案信息查阅</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我的</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0.6</w:t>
            </w:r>
          </w:p>
        </w:tc>
      </w:tr>
      <w:tr>
        <w:tblPrEx>
          <w:tblCellMar>
            <w:top w:w="0" w:type="dxa"/>
            <w:left w:w="108" w:type="dxa"/>
            <w:bottom w:w="0" w:type="dxa"/>
            <w:right w:w="108" w:type="dxa"/>
          </w:tblCellMar>
        </w:tblPrEx>
        <w:trPr>
          <w:trHeight w:val="288" w:hRule="atLeast"/>
        </w:trPr>
        <w:tc>
          <w:tcPr>
            <w:tcW w:w="14203"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ind w:firstLine="4840" w:firstLineChars="2200"/>
              <w:textAlignment w:val="center"/>
              <w:rPr>
                <w:color w:val="000000"/>
                <w:kern w:val="0"/>
                <w:sz w:val="22"/>
                <w:szCs w:val="22"/>
                <w:highlight w:val="none"/>
                <w:lang w:bidi="ar"/>
              </w:rPr>
            </w:pPr>
            <w:r>
              <w:rPr>
                <w:rFonts w:hint="eastAsia" w:ascii="宋体" w:hAnsi="宋体" w:cs="宋体"/>
                <w:color w:val="000000"/>
                <w:kern w:val="0"/>
                <w:sz w:val="22"/>
                <w:szCs w:val="22"/>
                <w:highlight w:val="none"/>
                <w:lang w:bidi="ar"/>
              </w:rPr>
              <w:t>二、应用支撑层</w:t>
            </w:r>
          </w:p>
        </w:tc>
      </w:tr>
      <w:tr>
        <w:tblPrEx>
          <w:tblCellMar>
            <w:top w:w="0" w:type="dxa"/>
            <w:left w:w="108" w:type="dxa"/>
            <w:bottom w:w="0" w:type="dxa"/>
            <w:right w:w="108" w:type="dxa"/>
          </w:tblCellMar>
        </w:tblPrEx>
        <w:trPr>
          <w:trHeight w:val="312"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智慧排水辅助决策模型</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内涝预报模型</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2"/>
                <w:szCs w:val="22"/>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2"/>
                <w:szCs w:val="22"/>
                <w:highlight w:val="none"/>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城市内涝预报预警模型</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25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模型参数率定及校准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2</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管网问题诊断与健康评估模型</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2"/>
                <w:szCs w:val="22"/>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2"/>
                <w:szCs w:val="22"/>
                <w:highlight w:val="none"/>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雨水管网系统健康度评价</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kern w:val="0"/>
                <w:sz w:val="22"/>
                <w:szCs w:val="22"/>
                <w:highlight w:val="none"/>
                <w:lang w:bidi="ar"/>
              </w:rPr>
              <w:t>15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污水管网系统健康度评价</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kern w:val="0"/>
                <w:sz w:val="22"/>
                <w:szCs w:val="22"/>
                <w:highlight w:val="none"/>
                <w:lang w:bidi="ar"/>
              </w:rPr>
              <w:t>15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管网日常运营智慧管理模型</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2"/>
                <w:szCs w:val="22"/>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2"/>
                <w:szCs w:val="22"/>
                <w:highlight w:val="none"/>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在线监测快速分析与方案优化模型</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排水管网过流能力瓶颈定位模型</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冒溢成因分析与淤塞诊断模型</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排水管网渗漏识别分析模型</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混错接与污染溯源模型</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20</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臭气预警与腐蚀评估模型</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20</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水力模型平台</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15</w:t>
            </w:r>
          </w:p>
        </w:tc>
      </w:tr>
      <w:tr>
        <w:tblPrEx>
          <w:tblCellMar>
            <w:top w:w="0" w:type="dxa"/>
            <w:left w:w="108" w:type="dxa"/>
            <w:bottom w:w="0" w:type="dxa"/>
            <w:right w:w="108" w:type="dxa"/>
          </w:tblCellMar>
        </w:tblPrEx>
        <w:trPr>
          <w:trHeight w:val="312"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物联网接入平台</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设备接入与管理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2</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数据管理与可视化</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2.5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监测数据阀值管理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事件告警</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设备协议管理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1</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数据接口管理与服务</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4</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数据备份管理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2</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数据权限设置</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2</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OCR识别</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kern w:val="0"/>
                <w:sz w:val="22"/>
                <w:szCs w:val="22"/>
                <w:highlight w:val="none"/>
                <w:lang w:bidi="ar"/>
              </w:rPr>
              <w:t>40</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消息通知</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单点登录</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0.5</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操作日志管理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color w:val="000000"/>
                <w:kern w:val="0"/>
                <w:sz w:val="22"/>
                <w:szCs w:val="22"/>
                <w:highlight w:val="none"/>
                <w:lang w:bidi="ar"/>
              </w:rPr>
              <w:t>0.5</w:t>
            </w:r>
          </w:p>
        </w:tc>
      </w:tr>
      <w:tr>
        <w:tblPrEx>
          <w:tblCellMar>
            <w:top w:w="0" w:type="dxa"/>
            <w:left w:w="108" w:type="dxa"/>
            <w:bottom w:w="0" w:type="dxa"/>
            <w:right w:w="108" w:type="dxa"/>
          </w:tblCellMar>
        </w:tblPrEx>
        <w:trPr>
          <w:trHeight w:val="288" w:hRule="atLeast"/>
        </w:trPr>
        <w:tc>
          <w:tcPr>
            <w:tcW w:w="14203"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kern w:val="0"/>
                <w:sz w:val="22"/>
                <w:szCs w:val="22"/>
                <w:highlight w:val="none"/>
                <w:lang w:bidi="ar"/>
              </w:rPr>
            </w:pPr>
            <w:r>
              <w:rPr>
                <w:rFonts w:hint="eastAsia" w:ascii="宋体" w:hAnsi="宋体" w:cs="宋体"/>
                <w:color w:val="000000"/>
                <w:kern w:val="0"/>
                <w:sz w:val="22"/>
                <w:szCs w:val="22"/>
                <w:highlight w:val="none"/>
                <w:lang w:bidi="ar"/>
              </w:rPr>
              <w:t>三、数据资源层</w:t>
            </w:r>
          </w:p>
        </w:tc>
      </w:tr>
      <w:tr>
        <w:tblPrEx>
          <w:tblCellMar>
            <w:top w:w="0" w:type="dxa"/>
            <w:left w:w="108" w:type="dxa"/>
            <w:bottom w:w="0" w:type="dxa"/>
            <w:right w:w="108" w:type="dxa"/>
          </w:tblCellMar>
        </w:tblPrEx>
        <w:trPr>
          <w:trHeight w:val="312"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基础数据库</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4"/>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eastAsia="宋体"/>
                <w:color w:val="000000"/>
                <w:sz w:val="24"/>
                <w:highlight w:val="none"/>
                <w:lang w:eastAsia="zh-CN"/>
              </w:rPr>
            </w:pPr>
            <w:r>
              <w:rPr>
                <w:color w:val="000000"/>
                <w:kern w:val="0"/>
                <w:sz w:val="24"/>
                <w:highlight w:val="none"/>
                <w:lang w:bidi="ar"/>
              </w:rPr>
              <w:t>1</w:t>
            </w:r>
            <w:r>
              <w:rPr>
                <w:rFonts w:hint="eastAsia"/>
                <w:color w:val="000000"/>
                <w:kern w:val="0"/>
                <w:sz w:val="24"/>
                <w:highlight w:val="none"/>
                <w:lang w:val="en-US" w:eastAsia="zh-CN" w:bidi="ar"/>
              </w:rPr>
              <w:t>2</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业务分析库</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eastAsia="宋体"/>
                <w:color w:val="000000"/>
                <w:sz w:val="22"/>
                <w:szCs w:val="22"/>
                <w:highlight w:val="none"/>
                <w:lang w:eastAsia="zh-CN"/>
              </w:rPr>
            </w:pPr>
            <w:r>
              <w:rPr>
                <w:rFonts w:hint="eastAsia"/>
                <w:color w:val="000000"/>
                <w:kern w:val="0"/>
                <w:sz w:val="22"/>
                <w:szCs w:val="22"/>
                <w:highlight w:val="none"/>
                <w:lang w:val="en-US" w:eastAsia="zh-CN" w:bidi="ar"/>
              </w:rPr>
              <w:t>8</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业务运行库</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eastAsia="宋体"/>
                <w:color w:val="000000"/>
                <w:sz w:val="22"/>
                <w:szCs w:val="22"/>
                <w:highlight w:val="none"/>
                <w:lang w:eastAsia="zh-CN"/>
              </w:rPr>
            </w:pPr>
            <w:r>
              <w:rPr>
                <w:color w:val="000000"/>
                <w:kern w:val="0"/>
                <w:sz w:val="22"/>
                <w:szCs w:val="22"/>
                <w:highlight w:val="none"/>
                <w:lang w:bidi="ar"/>
              </w:rPr>
              <w:t>1</w:t>
            </w:r>
            <w:r>
              <w:rPr>
                <w:rFonts w:hint="eastAsia"/>
                <w:color w:val="000000"/>
                <w:kern w:val="0"/>
                <w:sz w:val="22"/>
                <w:szCs w:val="22"/>
                <w:highlight w:val="none"/>
                <w:lang w:val="en-US" w:eastAsia="zh-CN" w:bidi="ar"/>
              </w:rPr>
              <w:t>2</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水务地理专题库</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eastAsia="宋体"/>
                <w:color w:val="000000"/>
                <w:sz w:val="22"/>
                <w:szCs w:val="22"/>
                <w:highlight w:val="none"/>
                <w:lang w:eastAsia="zh-CN"/>
              </w:rPr>
            </w:pPr>
            <w:r>
              <w:rPr>
                <w:rFonts w:hint="eastAsia"/>
                <w:color w:val="000000"/>
                <w:kern w:val="0"/>
                <w:sz w:val="22"/>
                <w:szCs w:val="22"/>
                <w:highlight w:val="none"/>
                <w:lang w:val="en-US" w:eastAsia="zh-CN" w:bidi="ar"/>
              </w:rPr>
              <w:t>8</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数据采集</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eastAsia="宋体"/>
                <w:color w:val="000000"/>
                <w:kern w:val="0"/>
                <w:sz w:val="22"/>
                <w:szCs w:val="22"/>
                <w:highlight w:val="none"/>
                <w:lang w:eastAsia="zh-CN" w:bidi="ar"/>
              </w:rPr>
            </w:pPr>
            <w:r>
              <w:rPr>
                <w:rFonts w:hint="eastAsia"/>
                <w:color w:val="000000"/>
                <w:kern w:val="0"/>
                <w:sz w:val="22"/>
                <w:szCs w:val="22"/>
                <w:highlight w:val="none"/>
                <w:lang w:bidi="ar"/>
              </w:rPr>
              <w:t>1</w:t>
            </w:r>
            <w:r>
              <w:rPr>
                <w:rFonts w:hint="eastAsia"/>
                <w:color w:val="000000"/>
                <w:kern w:val="0"/>
                <w:sz w:val="22"/>
                <w:szCs w:val="22"/>
                <w:highlight w:val="none"/>
                <w:lang w:val="en-US" w:eastAsia="zh-CN" w:bidi="ar"/>
              </w:rPr>
              <w:t>2</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数据清洗</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eastAsia="宋体"/>
                <w:color w:val="000000"/>
                <w:sz w:val="22"/>
                <w:szCs w:val="22"/>
                <w:highlight w:val="none"/>
                <w:lang w:eastAsia="zh-CN"/>
              </w:rPr>
            </w:pPr>
            <w:r>
              <w:rPr>
                <w:rFonts w:hint="eastAsia"/>
                <w:color w:val="000000"/>
                <w:kern w:val="0"/>
                <w:sz w:val="22"/>
                <w:szCs w:val="22"/>
                <w:highlight w:val="none"/>
                <w:lang w:val="en-US" w:eastAsia="zh-CN" w:bidi="ar"/>
              </w:rPr>
              <w:t>4</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Cs w:val="21"/>
                <w:highlight w:val="none"/>
                <w:lang w:bidi="ar"/>
              </w:rPr>
            </w:pPr>
            <w:r>
              <w:rPr>
                <w:rFonts w:hint="eastAsia" w:ascii="宋体" w:hAnsi="宋体" w:cs="宋体"/>
                <w:color w:val="000000"/>
                <w:kern w:val="0"/>
                <w:szCs w:val="21"/>
                <w:highlight w:val="none"/>
                <w:lang w:bidi="ar"/>
              </w:rPr>
              <w:t>数据脱密（暂定价）</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eastAsia="宋体"/>
                <w:color w:val="000000"/>
                <w:kern w:val="0"/>
                <w:sz w:val="22"/>
                <w:szCs w:val="22"/>
                <w:highlight w:val="none"/>
                <w:lang w:eastAsia="zh-CN" w:bidi="ar"/>
              </w:rPr>
            </w:pPr>
            <w:r>
              <w:rPr>
                <w:rFonts w:hint="eastAsia"/>
                <w:color w:val="000000"/>
                <w:kern w:val="0"/>
                <w:sz w:val="22"/>
                <w:szCs w:val="22"/>
                <w:highlight w:val="none"/>
                <w:lang w:bidi="ar"/>
              </w:rPr>
              <w:t>3</w:t>
            </w:r>
            <w:r>
              <w:rPr>
                <w:rFonts w:hint="eastAsia"/>
                <w:color w:val="000000"/>
                <w:kern w:val="0"/>
                <w:sz w:val="22"/>
                <w:szCs w:val="22"/>
                <w:highlight w:val="none"/>
                <w:lang w:val="en-US" w:eastAsia="zh-CN" w:bidi="ar"/>
              </w:rPr>
              <w:t>1</w:t>
            </w:r>
          </w:p>
        </w:tc>
      </w:tr>
      <w:tr>
        <w:tblPrEx>
          <w:tblCellMar>
            <w:top w:w="0" w:type="dxa"/>
            <w:left w:w="108" w:type="dxa"/>
            <w:bottom w:w="0" w:type="dxa"/>
            <w:right w:w="108" w:type="dxa"/>
          </w:tblCellMar>
        </w:tblPrEx>
        <w:trPr>
          <w:trHeight w:val="288" w:hRule="atLeast"/>
        </w:trPr>
        <w:tc>
          <w:tcPr>
            <w:tcW w:w="11629"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外部接入数据库</w:t>
            </w:r>
          </w:p>
        </w:tc>
        <w:tc>
          <w:tcPr>
            <w:tcW w:w="12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color w:val="000000"/>
                <w:sz w:val="22"/>
                <w:szCs w:val="22"/>
                <w:highlight w:val="none"/>
              </w:rPr>
            </w:pPr>
            <w:r>
              <w:rPr>
                <w:rFonts w:hint="eastAsia"/>
                <w:color w:val="000000"/>
                <w:sz w:val="22"/>
                <w:szCs w:val="22"/>
                <w:highlight w:val="none"/>
              </w:rPr>
              <w:t>人/月</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eastAsia="宋体"/>
                <w:color w:val="000000"/>
                <w:kern w:val="0"/>
                <w:sz w:val="22"/>
                <w:szCs w:val="22"/>
                <w:highlight w:val="none"/>
                <w:lang w:val="en-US" w:eastAsia="zh-CN" w:bidi="ar"/>
              </w:rPr>
            </w:pPr>
            <w:r>
              <w:rPr>
                <w:rFonts w:hint="eastAsia"/>
                <w:color w:val="000000"/>
                <w:kern w:val="0"/>
                <w:sz w:val="22"/>
                <w:szCs w:val="22"/>
                <w:highlight w:val="none"/>
                <w:lang w:val="en-US" w:eastAsia="zh-CN" w:bidi="ar"/>
              </w:rPr>
              <w:t>5</w:t>
            </w:r>
          </w:p>
        </w:tc>
      </w:tr>
      <w:tr>
        <w:tblPrEx>
          <w:tblCellMar>
            <w:top w:w="0" w:type="dxa"/>
            <w:left w:w="108" w:type="dxa"/>
            <w:bottom w:w="0" w:type="dxa"/>
            <w:right w:w="108" w:type="dxa"/>
          </w:tblCellMar>
        </w:tblPrEx>
        <w:trPr>
          <w:trHeight w:val="288" w:hRule="atLeast"/>
        </w:trPr>
        <w:tc>
          <w:tcPr>
            <w:tcW w:w="14203"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color w:val="000000"/>
                <w:kern w:val="0"/>
                <w:sz w:val="22"/>
                <w:szCs w:val="22"/>
                <w:highlight w:val="none"/>
                <w:lang w:bidi="ar"/>
              </w:rPr>
            </w:pPr>
            <w:r>
              <w:rPr>
                <w:rFonts w:hint="eastAsia" w:ascii="宋体" w:hAnsi="宋体" w:cs="宋体"/>
                <w:color w:val="000000"/>
                <w:kern w:val="0"/>
                <w:szCs w:val="21"/>
                <w:highlight w:val="none"/>
                <w:lang w:bidi="ar"/>
              </w:rPr>
              <w:t>四、智慧排水标准规范编制</w:t>
            </w:r>
          </w:p>
        </w:tc>
      </w:tr>
      <w:tr>
        <w:tblPrEx>
          <w:tblCellMar>
            <w:top w:w="0" w:type="dxa"/>
            <w:left w:w="108" w:type="dxa"/>
            <w:bottom w:w="0" w:type="dxa"/>
            <w:right w:w="108" w:type="dxa"/>
          </w:tblCellMar>
        </w:tblPrEx>
        <w:trPr>
          <w:trHeight w:val="312" w:hRule="atLeast"/>
        </w:trPr>
        <w:tc>
          <w:tcPr>
            <w:tcW w:w="11629" w:type="dxa"/>
            <w:gridSpan w:val="4"/>
            <w:tcBorders>
              <w:top w:val="single" w:color="000000" w:sz="4" w:space="0"/>
              <w:left w:val="single" w:color="000000" w:sz="4" w:space="0"/>
              <w:bottom w:val="single" w:color="000000" w:sz="4" w:space="0"/>
              <w:right w:val="single" w:color="auto" w:sz="4" w:space="0"/>
            </w:tcBorders>
            <w:shd w:val="clear" w:color="auto" w:fill="FFFFFF"/>
            <w:noWrap/>
            <w:vAlign w:val="center"/>
          </w:tcPr>
          <w:p>
            <w:pPr>
              <w:widowControl/>
              <w:spacing w:line="360" w:lineRule="auto"/>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智慧排水标准规范编制费用</w:t>
            </w:r>
          </w:p>
        </w:tc>
        <w:tc>
          <w:tcPr>
            <w:tcW w:w="1204" w:type="dxa"/>
            <w:tcBorders>
              <w:top w:val="single" w:color="000000" w:sz="4" w:space="0"/>
              <w:left w:val="single" w:color="auto"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r>
              <w:rPr>
                <w:rFonts w:hint="eastAsia"/>
                <w:color w:val="000000"/>
                <w:sz w:val="24"/>
                <w:highlight w:val="none"/>
              </w:rPr>
              <w:t>项</w:t>
            </w:r>
          </w:p>
        </w:tc>
        <w:tc>
          <w:tcPr>
            <w:tcW w:w="1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rPr>
                <w:color w:val="000000"/>
                <w:sz w:val="24"/>
                <w:highlight w:val="none"/>
              </w:rPr>
            </w:pPr>
            <w:r>
              <w:rPr>
                <w:rFonts w:hint="eastAsia"/>
                <w:color w:val="000000"/>
                <w:sz w:val="24"/>
                <w:highlight w:val="none"/>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8" w:hRule="atLeast"/>
        </w:trPr>
        <w:tc>
          <w:tcPr>
            <w:tcW w:w="2804" w:type="dxa"/>
            <w:gridSpan w:val="3"/>
            <w:tcBorders>
              <w:tl2br w:val="nil"/>
              <w:tr2bl w:val="nil"/>
            </w:tcBorders>
            <w:shd w:val="clear" w:color="auto" w:fill="auto"/>
            <w:vAlign w:val="center"/>
          </w:tcPr>
          <w:p>
            <w:pPr>
              <w:widowControl/>
              <w:jc w:val="left"/>
              <w:textAlignment w:val="center"/>
              <w:rPr>
                <w:b/>
                <w:bCs/>
                <w:color w:val="000000"/>
                <w:szCs w:val="21"/>
                <w:highlight w:val="none"/>
              </w:rPr>
            </w:pPr>
            <w:r>
              <w:rPr>
                <w:b/>
                <w:bCs/>
                <w:color w:val="000000"/>
                <w:kern w:val="0"/>
                <w:szCs w:val="21"/>
                <w:highlight w:val="none"/>
                <w:lang w:bidi="ar"/>
              </w:rPr>
              <w:t>设备类别及名称</w:t>
            </w:r>
          </w:p>
        </w:tc>
        <w:tc>
          <w:tcPr>
            <w:tcW w:w="8825" w:type="dxa"/>
            <w:tcBorders>
              <w:right w:val="single" w:color="auto" w:sz="4" w:space="0"/>
              <w:tl2br w:val="nil"/>
              <w:tr2bl w:val="nil"/>
            </w:tcBorders>
            <w:shd w:val="clear" w:color="auto" w:fill="auto"/>
            <w:vAlign w:val="center"/>
          </w:tcPr>
          <w:p>
            <w:pPr>
              <w:widowControl/>
              <w:jc w:val="left"/>
              <w:textAlignment w:val="center"/>
              <w:rPr>
                <w:b/>
                <w:bCs/>
                <w:color w:val="000000"/>
                <w:szCs w:val="21"/>
                <w:highlight w:val="none"/>
              </w:rPr>
            </w:pPr>
            <w:r>
              <w:rPr>
                <w:b/>
                <w:bCs/>
                <w:color w:val="000000"/>
                <w:kern w:val="0"/>
                <w:szCs w:val="21"/>
                <w:highlight w:val="none"/>
                <w:lang w:bidi="ar"/>
              </w:rPr>
              <w:t>参数</w:t>
            </w:r>
          </w:p>
        </w:tc>
        <w:tc>
          <w:tcPr>
            <w:tcW w:w="1204" w:type="dxa"/>
            <w:tcBorders>
              <w:left w:val="single" w:color="auto" w:sz="4" w:space="0"/>
              <w:tl2br w:val="nil"/>
              <w:tr2bl w:val="nil"/>
            </w:tcBorders>
            <w:shd w:val="clear" w:color="auto" w:fill="auto"/>
            <w:vAlign w:val="center"/>
          </w:tcPr>
          <w:p>
            <w:pPr>
              <w:widowControl/>
              <w:jc w:val="center"/>
              <w:textAlignment w:val="center"/>
              <w:rPr>
                <w:b/>
                <w:bCs/>
                <w:color w:val="000000"/>
                <w:szCs w:val="21"/>
                <w:highlight w:val="none"/>
              </w:rPr>
            </w:pPr>
            <w:r>
              <w:rPr>
                <w:b/>
                <w:bCs/>
                <w:color w:val="000000"/>
                <w:kern w:val="0"/>
                <w:szCs w:val="21"/>
                <w:highlight w:val="none"/>
                <w:lang w:bidi="ar"/>
              </w:rPr>
              <w:t>单位</w:t>
            </w:r>
          </w:p>
        </w:tc>
        <w:tc>
          <w:tcPr>
            <w:tcW w:w="1370" w:type="dxa"/>
            <w:tcBorders>
              <w:tl2br w:val="nil"/>
              <w:tr2bl w:val="nil"/>
            </w:tcBorders>
            <w:shd w:val="clear" w:color="auto" w:fill="auto"/>
            <w:vAlign w:val="center"/>
          </w:tcPr>
          <w:p>
            <w:pPr>
              <w:widowControl/>
              <w:jc w:val="left"/>
              <w:textAlignment w:val="center"/>
              <w:rPr>
                <w:b/>
                <w:bCs/>
                <w:color w:val="000000"/>
                <w:szCs w:val="21"/>
                <w:highlight w:val="none"/>
              </w:rPr>
            </w:pPr>
            <w:r>
              <w:rPr>
                <w:b/>
                <w:bCs/>
                <w:color w:val="000000"/>
                <w:kern w:val="0"/>
                <w:szCs w:val="21"/>
                <w:highlight w:val="none"/>
                <w:lang w:bidi="ar"/>
              </w:rPr>
              <w:t>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93" w:hRule="atLeast"/>
        </w:trPr>
        <w:tc>
          <w:tcPr>
            <w:tcW w:w="1112" w:type="dxa"/>
            <w:vMerge w:val="restart"/>
            <w:tcBorders>
              <w:tl2br w:val="nil"/>
              <w:tr2bl w:val="nil"/>
            </w:tcBorders>
            <w:shd w:val="clear" w:color="auto" w:fill="auto"/>
            <w:vAlign w:val="center"/>
          </w:tcPr>
          <w:p>
            <w:pPr>
              <w:widowControl/>
              <w:jc w:val="left"/>
              <w:textAlignment w:val="center"/>
              <w:rPr>
                <w:b/>
                <w:bCs/>
                <w:color w:val="000000"/>
                <w:szCs w:val="21"/>
                <w:highlight w:val="none"/>
              </w:rPr>
            </w:pPr>
            <w:r>
              <w:rPr>
                <w:b/>
                <w:bCs/>
                <w:color w:val="000000"/>
                <w:kern w:val="0"/>
                <w:szCs w:val="21"/>
                <w:highlight w:val="none"/>
                <w:lang w:bidi="ar"/>
              </w:rPr>
              <w:t>前端感知设备</w:t>
            </w:r>
          </w:p>
        </w:tc>
        <w:tc>
          <w:tcPr>
            <w:tcW w:w="1692" w:type="dxa"/>
            <w:gridSpan w:val="2"/>
            <w:tcBorders>
              <w:tl2br w:val="nil"/>
              <w:tr2bl w:val="nil"/>
            </w:tcBorders>
            <w:shd w:val="clear" w:color="auto" w:fill="auto"/>
            <w:noWrap/>
            <w:vAlign w:val="center"/>
          </w:tcPr>
          <w:p>
            <w:pPr>
              <w:widowControl/>
              <w:jc w:val="left"/>
              <w:textAlignment w:val="center"/>
              <w:rPr>
                <w:color w:val="000000"/>
                <w:szCs w:val="21"/>
                <w:highlight w:val="none"/>
              </w:rPr>
            </w:pPr>
            <w:r>
              <w:rPr>
                <w:color w:val="000000"/>
                <w:kern w:val="0"/>
                <w:szCs w:val="21"/>
                <w:highlight w:val="none"/>
                <w:lang w:bidi="ar"/>
              </w:rPr>
              <w:t>雨量计</w:t>
            </w:r>
          </w:p>
        </w:tc>
        <w:tc>
          <w:tcPr>
            <w:tcW w:w="8825" w:type="dxa"/>
            <w:tcBorders>
              <w:right w:val="single" w:color="auto" w:sz="4" w:space="0"/>
              <w:tl2br w:val="nil"/>
              <w:tr2bl w:val="nil"/>
            </w:tcBorders>
            <w:shd w:val="clear" w:color="auto" w:fill="auto"/>
            <w:vAlign w:val="center"/>
          </w:tcPr>
          <w:p>
            <w:pPr>
              <w:widowControl/>
              <w:jc w:val="left"/>
              <w:textAlignment w:val="center"/>
              <w:rPr>
                <w:color w:val="000000"/>
                <w:kern w:val="0"/>
                <w:szCs w:val="21"/>
                <w:highlight w:val="none"/>
                <w:lang w:bidi="ar"/>
              </w:rPr>
            </w:pPr>
            <w:r>
              <w:rPr>
                <w:color w:val="000000"/>
                <w:kern w:val="0"/>
                <w:szCs w:val="21"/>
                <w:highlight w:val="none"/>
                <w:lang w:bidi="ar"/>
              </w:rPr>
              <w:t>1)类型：翻斗式雨量计。</w:t>
            </w:r>
          </w:p>
          <w:p>
            <w:pPr>
              <w:widowControl/>
              <w:jc w:val="left"/>
              <w:textAlignment w:val="center"/>
              <w:rPr>
                <w:color w:val="000000"/>
                <w:kern w:val="0"/>
                <w:szCs w:val="21"/>
                <w:highlight w:val="none"/>
                <w:lang w:bidi="ar"/>
              </w:rPr>
            </w:pPr>
            <w:r>
              <w:rPr>
                <w:color w:val="000000"/>
                <w:kern w:val="0"/>
                <w:szCs w:val="21"/>
                <w:highlight w:val="none"/>
                <w:lang w:bidi="ar"/>
              </w:rPr>
              <w:t>2)符合国家标准《GB/T 21978.2-2014 降水量观测仪器 第 2 部分：翻斗式雨量传感器》的技术规范要求。</w:t>
            </w:r>
          </w:p>
          <w:p>
            <w:pPr>
              <w:widowControl/>
              <w:jc w:val="left"/>
              <w:textAlignment w:val="center"/>
              <w:rPr>
                <w:color w:val="000000"/>
                <w:kern w:val="0"/>
                <w:szCs w:val="21"/>
                <w:highlight w:val="none"/>
                <w:lang w:bidi="ar"/>
              </w:rPr>
            </w:pPr>
            <w:r>
              <w:rPr>
                <w:color w:val="000000"/>
                <w:kern w:val="0"/>
                <w:szCs w:val="21"/>
                <w:highlight w:val="none"/>
                <w:lang w:bidi="ar"/>
              </w:rPr>
              <w:t>3)承雨器口径：ф200±0.6mm。</w:t>
            </w:r>
          </w:p>
          <w:p>
            <w:pPr>
              <w:widowControl/>
              <w:jc w:val="left"/>
              <w:textAlignment w:val="center"/>
              <w:rPr>
                <w:color w:val="000000"/>
                <w:kern w:val="0"/>
                <w:szCs w:val="21"/>
                <w:highlight w:val="none"/>
                <w:lang w:bidi="ar"/>
              </w:rPr>
            </w:pPr>
            <w:r>
              <w:rPr>
                <w:color w:val="000000"/>
                <w:kern w:val="0"/>
                <w:szCs w:val="21"/>
                <w:highlight w:val="none"/>
                <w:lang w:bidi="ar"/>
              </w:rPr>
              <w:t>4)分辨力：</w:t>
            </w:r>
            <w:r>
              <w:rPr>
                <w:rFonts w:hint="eastAsia"/>
                <w:highlight w:val="none"/>
              </w:rPr>
              <w:t>≤</w:t>
            </w:r>
            <w:r>
              <w:rPr>
                <w:color w:val="000000"/>
                <w:kern w:val="0"/>
                <w:szCs w:val="21"/>
                <w:highlight w:val="none"/>
                <w:lang w:bidi="ar"/>
              </w:rPr>
              <w:t>0.5mm。</w:t>
            </w:r>
          </w:p>
          <w:p>
            <w:pPr>
              <w:widowControl/>
              <w:jc w:val="left"/>
              <w:textAlignment w:val="center"/>
              <w:rPr>
                <w:color w:val="000000"/>
                <w:kern w:val="0"/>
                <w:szCs w:val="21"/>
                <w:highlight w:val="none"/>
                <w:lang w:bidi="ar"/>
              </w:rPr>
            </w:pPr>
            <w:r>
              <w:rPr>
                <w:color w:val="000000"/>
                <w:kern w:val="0"/>
                <w:szCs w:val="21"/>
                <w:highlight w:val="none"/>
                <w:lang w:bidi="ar"/>
              </w:rPr>
              <w:t>5)测量准确度：≤±3%（室内人工降水，以仪器自身排水量为准）。</w:t>
            </w:r>
          </w:p>
          <w:p>
            <w:pPr>
              <w:widowControl/>
              <w:jc w:val="left"/>
              <w:textAlignment w:val="center"/>
              <w:rPr>
                <w:color w:val="000000"/>
                <w:kern w:val="0"/>
                <w:szCs w:val="21"/>
                <w:highlight w:val="none"/>
                <w:lang w:bidi="ar"/>
              </w:rPr>
            </w:pPr>
            <w:r>
              <w:rPr>
                <w:color w:val="000000"/>
                <w:kern w:val="0"/>
                <w:szCs w:val="21"/>
                <w:highlight w:val="none"/>
                <w:lang w:bidi="ar"/>
              </w:rPr>
              <w:t>6)外桶为相当或不低于 304 不锈钢材质。</w:t>
            </w:r>
          </w:p>
          <w:p>
            <w:pPr>
              <w:widowControl/>
              <w:jc w:val="left"/>
              <w:textAlignment w:val="center"/>
              <w:rPr>
                <w:color w:val="000000"/>
                <w:kern w:val="0"/>
                <w:szCs w:val="21"/>
                <w:highlight w:val="none"/>
                <w:lang w:bidi="ar"/>
              </w:rPr>
            </w:pPr>
            <w:r>
              <w:rPr>
                <w:color w:val="000000"/>
                <w:kern w:val="0"/>
                <w:szCs w:val="21"/>
                <w:highlight w:val="none"/>
                <w:lang w:bidi="ar"/>
              </w:rPr>
              <w:t>7)</w:t>
            </w:r>
            <w:r>
              <w:rPr>
                <w:rFonts w:hint="eastAsia"/>
                <w:color w:val="000000"/>
                <w:kern w:val="0"/>
                <w:szCs w:val="21"/>
                <w:highlight w:val="none"/>
                <w:lang w:val="en-US" w:eastAsia="zh-CN" w:bidi="ar"/>
              </w:rPr>
              <w:t>防水等级不低于IP65</w:t>
            </w:r>
          </w:p>
          <w:p>
            <w:pPr>
              <w:widowControl/>
              <w:jc w:val="left"/>
              <w:textAlignment w:val="center"/>
              <w:rPr>
                <w:color w:val="000000"/>
                <w:kern w:val="0"/>
                <w:szCs w:val="21"/>
                <w:highlight w:val="none"/>
                <w:lang w:bidi="ar"/>
              </w:rPr>
            </w:pPr>
            <w:r>
              <w:rPr>
                <w:color w:val="000000"/>
                <w:kern w:val="0"/>
                <w:szCs w:val="21"/>
                <w:highlight w:val="none"/>
                <w:lang w:bidi="ar"/>
              </w:rPr>
              <w:t>8)通讯方式：</w:t>
            </w:r>
            <w:r>
              <w:rPr>
                <w:rFonts w:hint="eastAsia"/>
                <w:color w:val="000000"/>
                <w:kern w:val="0"/>
                <w:szCs w:val="21"/>
                <w:highlight w:val="none"/>
                <w:lang w:bidi="ar"/>
              </w:rPr>
              <w:t>4G/NB-IOT/其他通讯方式</w:t>
            </w:r>
            <w:r>
              <w:rPr>
                <w:color w:val="000000"/>
                <w:kern w:val="0"/>
                <w:szCs w:val="21"/>
                <w:highlight w:val="none"/>
                <w:lang w:bidi="ar"/>
              </w:rPr>
              <w:t>；</w:t>
            </w:r>
          </w:p>
          <w:p>
            <w:pPr>
              <w:widowControl/>
              <w:jc w:val="left"/>
              <w:textAlignment w:val="center"/>
              <w:rPr>
                <w:color w:val="000000"/>
                <w:szCs w:val="21"/>
                <w:highlight w:val="none"/>
              </w:rPr>
            </w:pPr>
            <w:r>
              <w:rPr>
                <w:color w:val="000000"/>
                <w:kern w:val="0"/>
                <w:szCs w:val="21"/>
                <w:highlight w:val="none"/>
                <w:lang w:bidi="ar"/>
              </w:rPr>
              <w:t>★提供具有CMA认证的检测机构所出具的产品检验测试报告复印件。</w:t>
            </w:r>
          </w:p>
        </w:tc>
        <w:tc>
          <w:tcPr>
            <w:tcW w:w="1204" w:type="dxa"/>
            <w:tcBorders>
              <w:left w:val="single" w:color="auto" w:sz="4" w:space="0"/>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台</w:t>
            </w:r>
          </w:p>
        </w:tc>
        <w:tc>
          <w:tcPr>
            <w:tcW w:w="1370" w:type="dxa"/>
            <w:tcBorders>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1112" w:type="dxa"/>
            <w:vMerge w:val="continue"/>
            <w:tcBorders>
              <w:tl2br w:val="nil"/>
              <w:tr2bl w:val="nil"/>
            </w:tcBorders>
            <w:shd w:val="clear" w:color="auto" w:fill="auto"/>
            <w:vAlign w:val="center"/>
          </w:tcPr>
          <w:p>
            <w:pPr>
              <w:widowControl/>
              <w:jc w:val="left"/>
              <w:rPr>
                <w:b/>
                <w:bCs/>
                <w:color w:val="000000"/>
                <w:szCs w:val="21"/>
                <w:highlight w:val="none"/>
              </w:rPr>
            </w:pPr>
          </w:p>
        </w:tc>
        <w:tc>
          <w:tcPr>
            <w:tcW w:w="1692" w:type="dxa"/>
            <w:gridSpan w:val="2"/>
            <w:tcBorders>
              <w:tl2br w:val="nil"/>
              <w:tr2bl w:val="nil"/>
            </w:tcBorders>
            <w:shd w:val="clear" w:color="auto" w:fill="auto"/>
            <w:noWrap/>
            <w:vAlign w:val="center"/>
          </w:tcPr>
          <w:p>
            <w:pPr>
              <w:widowControl/>
              <w:jc w:val="left"/>
              <w:textAlignment w:val="center"/>
              <w:rPr>
                <w:color w:val="000000"/>
                <w:szCs w:val="21"/>
                <w:highlight w:val="none"/>
              </w:rPr>
            </w:pPr>
            <w:r>
              <w:rPr>
                <w:color w:val="000000"/>
                <w:kern w:val="0"/>
                <w:szCs w:val="21"/>
                <w:highlight w:val="none"/>
                <w:lang w:bidi="ar"/>
              </w:rPr>
              <w:t>流量监测仪</w:t>
            </w:r>
          </w:p>
        </w:tc>
        <w:tc>
          <w:tcPr>
            <w:tcW w:w="8825" w:type="dxa"/>
            <w:tcBorders>
              <w:right w:val="single" w:color="auto" w:sz="4" w:space="0"/>
              <w:tl2br w:val="nil"/>
              <w:tr2bl w:val="nil"/>
            </w:tcBorders>
            <w:shd w:val="clear" w:color="auto" w:fill="auto"/>
            <w:vAlign w:val="center"/>
          </w:tcPr>
          <w:p>
            <w:pPr>
              <w:widowControl/>
              <w:jc w:val="left"/>
              <w:textAlignment w:val="center"/>
              <w:rPr>
                <w:color w:val="000000"/>
                <w:kern w:val="0"/>
                <w:szCs w:val="21"/>
                <w:highlight w:val="none"/>
                <w:lang w:bidi="ar"/>
              </w:rPr>
            </w:pPr>
            <w:r>
              <w:rPr>
                <w:color w:val="000000"/>
                <w:kern w:val="0"/>
                <w:szCs w:val="21"/>
                <w:highlight w:val="none"/>
                <w:lang w:bidi="ar"/>
              </w:rPr>
              <w:t>1)传感器测量原理：超声波连续波多普勒波，集成水温压力测量；</w:t>
            </w:r>
          </w:p>
          <w:p>
            <w:pPr>
              <w:widowControl/>
              <w:jc w:val="left"/>
              <w:textAlignment w:val="center"/>
              <w:rPr>
                <w:color w:val="000000"/>
                <w:kern w:val="0"/>
                <w:szCs w:val="21"/>
                <w:highlight w:val="none"/>
                <w:lang w:bidi="ar"/>
              </w:rPr>
            </w:pPr>
            <w:r>
              <w:rPr>
                <w:color w:val="000000"/>
                <w:kern w:val="0"/>
                <w:szCs w:val="21"/>
                <w:highlight w:val="none"/>
                <w:lang w:bidi="ar"/>
              </w:rPr>
              <w:t>2)传感器精度：</w:t>
            </w:r>
            <w:r>
              <w:rPr>
                <w:rFonts w:hint="eastAsia"/>
                <w:highlight w:val="none"/>
              </w:rPr>
              <w:t>≤</w:t>
            </w:r>
            <w:r>
              <w:rPr>
                <w:color w:val="000000"/>
                <w:kern w:val="0"/>
                <w:szCs w:val="21"/>
                <w:highlight w:val="none"/>
                <w:lang w:bidi="ar"/>
              </w:rPr>
              <w:t>1%</w:t>
            </w:r>
          </w:p>
          <w:p>
            <w:pPr>
              <w:widowControl/>
              <w:jc w:val="left"/>
              <w:textAlignment w:val="center"/>
              <w:rPr>
                <w:color w:val="000000"/>
                <w:kern w:val="0"/>
                <w:szCs w:val="21"/>
                <w:highlight w:val="none"/>
                <w:lang w:bidi="ar"/>
              </w:rPr>
            </w:pPr>
            <w:r>
              <w:rPr>
                <w:color w:val="000000"/>
                <w:kern w:val="0"/>
                <w:szCs w:val="21"/>
                <w:highlight w:val="none"/>
                <w:lang w:bidi="ar"/>
              </w:rPr>
              <w:t>3)流速测量范围 ：±6m/s；</w:t>
            </w:r>
          </w:p>
          <w:p>
            <w:pPr>
              <w:widowControl/>
              <w:jc w:val="left"/>
              <w:textAlignment w:val="center"/>
              <w:rPr>
                <w:color w:val="000000"/>
                <w:kern w:val="0"/>
                <w:szCs w:val="21"/>
                <w:highlight w:val="none"/>
                <w:lang w:bidi="ar"/>
              </w:rPr>
            </w:pPr>
            <w:r>
              <w:rPr>
                <w:color w:val="000000"/>
                <w:kern w:val="0"/>
                <w:szCs w:val="21"/>
                <w:highlight w:val="none"/>
                <w:lang w:bidi="ar"/>
              </w:rPr>
              <w:t>4)分辨率：</w:t>
            </w:r>
            <w:r>
              <w:rPr>
                <w:rFonts w:hint="eastAsia"/>
                <w:highlight w:val="none"/>
              </w:rPr>
              <w:t>≤</w:t>
            </w:r>
            <w:r>
              <w:rPr>
                <w:color w:val="000000"/>
                <w:kern w:val="0"/>
                <w:szCs w:val="21"/>
                <w:highlight w:val="none"/>
                <w:lang w:bidi="ar"/>
              </w:rPr>
              <w:t>0.001 m/s；</w:t>
            </w:r>
          </w:p>
          <w:p>
            <w:pPr>
              <w:widowControl/>
              <w:jc w:val="left"/>
              <w:textAlignment w:val="center"/>
              <w:rPr>
                <w:color w:val="000000"/>
                <w:kern w:val="0"/>
                <w:szCs w:val="21"/>
                <w:highlight w:val="none"/>
                <w:lang w:bidi="ar"/>
              </w:rPr>
            </w:pPr>
            <w:r>
              <w:rPr>
                <w:color w:val="000000"/>
                <w:kern w:val="0"/>
                <w:szCs w:val="21"/>
                <w:highlight w:val="none"/>
                <w:lang w:bidi="ar"/>
              </w:rPr>
              <w:t>5)测量介质：液体（对不锈钢无腐蚀）；</w:t>
            </w:r>
          </w:p>
          <w:p>
            <w:pPr>
              <w:widowControl/>
              <w:jc w:val="left"/>
              <w:textAlignment w:val="center"/>
              <w:rPr>
                <w:color w:val="000000"/>
                <w:kern w:val="0"/>
                <w:szCs w:val="21"/>
                <w:highlight w:val="none"/>
                <w:lang w:bidi="ar"/>
              </w:rPr>
            </w:pPr>
            <w:r>
              <w:rPr>
                <w:color w:val="000000"/>
                <w:kern w:val="0"/>
                <w:szCs w:val="21"/>
                <w:highlight w:val="none"/>
                <w:lang w:bidi="ar"/>
              </w:rPr>
              <w:t>6)电池寿命：</w:t>
            </w:r>
            <w:r>
              <w:rPr>
                <w:rFonts w:hint="eastAsia"/>
                <w:color w:val="000000"/>
                <w:kern w:val="0"/>
                <w:szCs w:val="21"/>
                <w:highlight w:val="none"/>
                <w:lang w:bidi="ar"/>
              </w:rPr>
              <w:t>18个月以上（采集频率在5min以上的情况下）</w:t>
            </w:r>
            <w:r>
              <w:rPr>
                <w:color w:val="000000"/>
                <w:kern w:val="0"/>
                <w:szCs w:val="21"/>
                <w:highlight w:val="none"/>
                <w:lang w:bidi="ar"/>
              </w:rPr>
              <w:t>；</w:t>
            </w:r>
          </w:p>
          <w:p>
            <w:pPr>
              <w:widowControl/>
              <w:jc w:val="left"/>
              <w:textAlignment w:val="center"/>
              <w:rPr>
                <w:color w:val="000000"/>
                <w:kern w:val="0"/>
                <w:szCs w:val="21"/>
                <w:highlight w:val="none"/>
                <w:lang w:bidi="ar"/>
              </w:rPr>
            </w:pPr>
            <w:r>
              <w:rPr>
                <w:color w:val="000000"/>
                <w:kern w:val="0"/>
                <w:szCs w:val="21"/>
                <w:highlight w:val="none"/>
                <w:lang w:bidi="ar"/>
              </w:rPr>
              <w:t>7)整机防护等级：IP68；</w:t>
            </w:r>
          </w:p>
          <w:p>
            <w:pPr>
              <w:widowControl/>
              <w:jc w:val="left"/>
              <w:textAlignment w:val="center"/>
              <w:rPr>
                <w:color w:val="000000"/>
                <w:kern w:val="0"/>
                <w:szCs w:val="21"/>
                <w:highlight w:val="none"/>
                <w:lang w:bidi="ar"/>
              </w:rPr>
            </w:pPr>
            <w:r>
              <w:rPr>
                <w:color w:val="000000"/>
                <w:kern w:val="0"/>
                <w:szCs w:val="21"/>
                <w:highlight w:val="none"/>
                <w:lang w:bidi="ar"/>
              </w:rPr>
              <w:t>8)设参方式：远程设参，蓝牙设参，按键设参；</w:t>
            </w:r>
          </w:p>
          <w:p>
            <w:pPr>
              <w:widowControl/>
              <w:jc w:val="left"/>
              <w:textAlignment w:val="center"/>
              <w:rPr>
                <w:color w:val="000000"/>
                <w:kern w:val="0"/>
                <w:szCs w:val="21"/>
                <w:highlight w:val="none"/>
                <w:lang w:bidi="ar"/>
              </w:rPr>
            </w:pPr>
            <w:r>
              <w:rPr>
                <w:color w:val="000000"/>
                <w:kern w:val="0"/>
                <w:szCs w:val="21"/>
                <w:highlight w:val="none"/>
                <w:lang w:bidi="ar"/>
              </w:rPr>
              <w:t xml:space="preserve">9)远程无线通讯：4G/NB-IoT </w:t>
            </w:r>
            <w:r>
              <w:rPr>
                <w:rFonts w:hint="eastAsia"/>
                <w:color w:val="000000"/>
                <w:kern w:val="0"/>
                <w:szCs w:val="21"/>
                <w:highlight w:val="none"/>
                <w:lang w:bidi="ar"/>
              </w:rPr>
              <w:t>/或其他通讯方式</w:t>
            </w:r>
            <w:r>
              <w:rPr>
                <w:color w:val="000000"/>
                <w:kern w:val="0"/>
                <w:szCs w:val="21"/>
                <w:highlight w:val="none"/>
                <w:lang w:bidi="ar"/>
              </w:rPr>
              <w:t>；</w:t>
            </w:r>
          </w:p>
          <w:p>
            <w:pPr>
              <w:widowControl/>
              <w:jc w:val="left"/>
              <w:textAlignment w:val="center"/>
              <w:rPr>
                <w:color w:val="000000"/>
                <w:kern w:val="0"/>
                <w:szCs w:val="21"/>
                <w:highlight w:val="none"/>
                <w:lang w:bidi="ar"/>
              </w:rPr>
            </w:pPr>
            <w:r>
              <w:rPr>
                <w:color w:val="000000"/>
                <w:kern w:val="0"/>
                <w:szCs w:val="21"/>
                <w:highlight w:val="none"/>
                <w:lang w:bidi="ar"/>
              </w:rPr>
              <w:t>10)工作温度：-20°C to +</w:t>
            </w:r>
            <w:r>
              <w:rPr>
                <w:rFonts w:hint="eastAsia"/>
                <w:color w:val="000000"/>
                <w:kern w:val="0"/>
                <w:szCs w:val="21"/>
                <w:highlight w:val="none"/>
                <w:lang w:val="en-US" w:eastAsia="zh-CN" w:bidi="ar"/>
              </w:rPr>
              <w:t>70</w:t>
            </w:r>
            <w:r>
              <w:rPr>
                <w:color w:val="000000"/>
                <w:kern w:val="0"/>
                <w:szCs w:val="21"/>
                <w:highlight w:val="none"/>
                <w:lang w:bidi="ar"/>
              </w:rPr>
              <w:t>°C；</w:t>
            </w:r>
          </w:p>
          <w:p>
            <w:pPr>
              <w:widowControl/>
              <w:jc w:val="left"/>
              <w:textAlignment w:val="center"/>
              <w:rPr>
                <w:color w:val="000000"/>
                <w:kern w:val="0"/>
                <w:szCs w:val="21"/>
                <w:highlight w:val="none"/>
                <w:lang w:bidi="ar"/>
              </w:rPr>
            </w:pPr>
            <w:r>
              <w:rPr>
                <w:color w:val="000000"/>
                <w:kern w:val="0"/>
                <w:szCs w:val="21"/>
                <w:highlight w:val="none"/>
                <w:lang w:bidi="ar"/>
              </w:rPr>
              <w:t>11)适用于DN 150 mm 至 2500 mm 的管道；</w:t>
            </w:r>
          </w:p>
          <w:p>
            <w:pPr>
              <w:widowControl/>
              <w:jc w:val="left"/>
              <w:textAlignment w:val="center"/>
              <w:rPr>
                <w:color w:val="000000"/>
                <w:kern w:val="0"/>
                <w:szCs w:val="21"/>
                <w:highlight w:val="none"/>
                <w:lang w:bidi="ar"/>
              </w:rPr>
            </w:pPr>
            <w:r>
              <w:rPr>
                <w:color w:val="000000"/>
                <w:kern w:val="0"/>
                <w:szCs w:val="21"/>
                <w:highlight w:val="none"/>
                <w:lang w:bidi="ar"/>
              </w:rPr>
              <w:t>提供具有CNAS认证的检测机构出具的产品计量认证（校准证书）复印件；</w:t>
            </w:r>
          </w:p>
          <w:p>
            <w:pPr>
              <w:widowControl/>
              <w:jc w:val="left"/>
              <w:textAlignment w:val="center"/>
              <w:rPr>
                <w:color w:val="000000"/>
                <w:szCs w:val="21"/>
                <w:highlight w:val="none"/>
              </w:rPr>
            </w:pPr>
            <w:r>
              <w:rPr>
                <w:color w:val="000000"/>
                <w:kern w:val="0"/>
                <w:szCs w:val="21"/>
                <w:highlight w:val="none"/>
                <w:lang w:bidi="ar"/>
              </w:rPr>
              <w:t>★提供具有盐雾、振动、高温、低温可靠性的产品检测报告复印件。</w:t>
            </w:r>
          </w:p>
        </w:tc>
        <w:tc>
          <w:tcPr>
            <w:tcW w:w="1204" w:type="dxa"/>
            <w:tcBorders>
              <w:left w:val="single" w:color="auto" w:sz="4" w:space="0"/>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台</w:t>
            </w:r>
          </w:p>
        </w:tc>
        <w:tc>
          <w:tcPr>
            <w:tcW w:w="1370" w:type="dxa"/>
            <w:tcBorders>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95" w:hRule="atLeast"/>
        </w:trPr>
        <w:tc>
          <w:tcPr>
            <w:tcW w:w="1112" w:type="dxa"/>
            <w:vMerge w:val="continue"/>
            <w:tcBorders>
              <w:tl2br w:val="nil"/>
              <w:tr2bl w:val="nil"/>
            </w:tcBorders>
            <w:shd w:val="clear" w:color="auto" w:fill="auto"/>
            <w:vAlign w:val="center"/>
          </w:tcPr>
          <w:p>
            <w:pPr>
              <w:widowControl/>
              <w:jc w:val="left"/>
              <w:rPr>
                <w:b/>
                <w:bCs/>
                <w:color w:val="000000"/>
                <w:szCs w:val="21"/>
                <w:highlight w:val="none"/>
              </w:rPr>
            </w:pPr>
          </w:p>
        </w:tc>
        <w:tc>
          <w:tcPr>
            <w:tcW w:w="1692" w:type="dxa"/>
            <w:gridSpan w:val="2"/>
            <w:tcBorders>
              <w:tl2br w:val="nil"/>
              <w:tr2bl w:val="nil"/>
            </w:tcBorders>
            <w:shd w:val="clear" w:color="auto" w:fill="auto"/>
            <w:noWrap/>
            <w:vAlign w:val="center"/>
          </w:tcPr>
          <w:p>
            <w:pPr>
              <w:widowControl/>
              <w:jc w:val="left"/>
              <w:textAlignment w:val="center"/>
              <w:rPr>
                <w:color w:val="000000"/>
                <w:szCs w:val="21"/>
                <w:highlight w:val="none"/>
              </w:rPr>
            </w:pPr>
            <w:r>
              <w:rPr>
                <w:color w:val="000000"/>
                <w:kern w:val="0"/>
                <w:szCs w:val="21"/>
                <w:highlight w:val="none"/>
                <w:lang w:bidi="ar"/>
              </w:rPr>
              <w:t>非满管电磁流量计</w:t>
            </w:r>
          </w:p>
        </w:tc>
        <w:tc>
          <w:tcPr>
            <w:tcW w:w="8825" w:type="dxa"/>
            <w:tcBorders>
              <w:right w:val="single" w:color="auto" w:sz="4" w:space="0"/>
              <w:tl2br w:val="nil"/>
              <w:tr2bl w:val="nil"/>
            </w:tcBorders>
            <w:shd w:val="clear" w:color="auto" w:fill="auto"/>
            <w:vAlign w:val="center"/>
          </w:tcPr>
          <w:p>
            <w:pPr>
              <w:widowControl/>
              <w:jc w:val="left"/>
              <w:textAlignment w:val="center"/>
              <w:rPr>
                <w:highlight w:val="none"/>
              </w:rPr>
            </w:pPr>
            <w:r>
              <w:rPr>
                <w:rFonts w:hint="eastAsia"/>
                <w:highlight w:val="none"/>
              </w:rPr>
              <w:t>1)测量原理：满管/非满管流管式电磁流量计</w:t>
            </w:r>
          </w:p>
          <w:p>
            <w:pPr>
              <w:widowControl/>
              <w:jc w:val="left"/>
              <w:textAlignment w:val="center"/>
              <w:rPr>
                <w:highlight w:val="none"/>
              </w:rPr>
            </w:pPr>
            <w:r>
              <w:rPr>
                <w:rFonts w:hint="eastAsia"/>
                <w:highlight w:val="none"/>
              </w:rPr>
              <w:t>2)测量参数：流速、瞬时流量、累计流量、反向流量、液位高度</w:t>
            </w:r>
          </w:p>
          <w:p>
            <w:pPr>
              <w:widowControl/>
              <w:jc w:val="left"/>
              <w:textAlignment w:val="center"/>
              <w:rPr>
                <w:rFonts w:hint="eastAsia"/>
                <w:highlight w:val="none"/>
              </w:rPr>
            </w:pPr>
            <w:r>
              <w:rPr>
                <w:rFonts w:hint="eastAsia"/>
                <w:highlight w:val="none"/>
              </w:rPr>
              <w:t>3)可采集、传输瞬时值</w:t>
            </w:r>
          </w:p>
          <w:p>
            <w:pPr>
              <w:widowControl/>
              <w:jc w:val="left"/>
              <w:textAlignment w:val="center"/>
              <w:rPr>
                <w:rFonts w:hint="eastAsia" w:eastAsia="宋体"/>
                <w:highlight w:val="none"/>
                <w:lang w:eastAsia="zh-CN"/>
              </w:rPr>
            </w:pPr>
            <w:r>
              <w:rPr>
                <w:rFonts w:hint="eastAsia"/>
                <w:highlight w:val="none"/>
              </w:rPr>
              <w:t xml:space="preserve">4)流速测量范围：±6m/s；流速分辨率：≤ 0.01m/s；流速测量精度：≤ 2% </w:t>
            </w:r>
            <w:r>
              <w:rPr>
                <w:rFonts w:hint="eastAsia"/>
                <w:highlight w:val="none"/>
                <w:lang w:eastAsia="zh-CN"/>
              </w:rPr>
              <w:t>量程</w:t>
            </w:r>
          </w:p>
          <w:p>
            <w:pPr>
              <w:widowControl/>
              <w:jc w:val="left"/>
              <w:textAlignment w:val="center"/>
              <w:rPr>
                <w:highlight w:val="none"/>
              </w:rPr>
            </w:pPr>
            <w:r>
              <w:rPr>
                <w:rFonts w:hint="eastAsia"/>
                <w:highlight w:val="none"/>
              </w:rPr>
              <w:t>5)液位测量：范围：0-10m，分辨率≤1mm，精度≤±0.5%量程；</w:t>
            </w:r>
          </w:p>
          <w:p>
            <w:pPr>
              <w:widowControl/>
              <w:jc w:val="left"/>
              <w:textAlignment w:val="center"/>
              <w:rPr>
                <w:highlight w:val="none"/>
              </w:rPr>
            </w:pPr>
            <w:r>
              <w:rPr>
                <w:rFonts w:hint="eastAsia"/>
                <w:highlight w:val="none"/>
              </w:rPr>
              <w:t>6)流量准确率：≥90%</w:t>
            </w:r>
          </w:p>
          <w:p>
            <w:pPr>
              <w:widowControl/>
              <w:jc w:val="left"/>
              <w:textAlignment w:val="center"/>
              <w:rPr>
                <w:color w:val="000000"/>
                <w:szCs w:val="21"/>
                <w:highlight w:val="none"/>
              </w:rPr>
            </w:pPr>
            <w:r>
              <w:rPr>
                <w:rFonts w:hint="eastAsia"/>
                <w:highlight w:val="none"/>
              </w:rPr>
              <w:t>7)</w:t>
            </w:r>
            <w:r>
              <w:rPr>
                <w:rFonts w:hint="eastAsia"/>
                <w:highlight w:val="none"/>
                <w:lang w:eastAsia="zh-CN"/>
              </w:rPr>
              <w:t>通讯方式：</w:t>
            </w:r>
            <w:r>
              <w:rPr>
                <w:rFonts w:hint="eastAsia"/>
                <w:highlight w:val="none"/>
              </w:rPr>
              <w:t>4G/NB-IoT</w:t>
            </w:r>
            <w:r>
              <w:rPr>
                <w:rFonts w:hint="eastAsia"/>
                <w:highlight w:val="none"/>
                <w:lang w:val="en-US" w:eastAsia="zh-CN"/>
              </w:rPr>
              <w:t>/或其他通讯方式</w:t>
            </w:r>
            <w:r>
              <w:rPr>
                <w:rFonts w:hint="eastAsia"/>
                <w:highlight w:val="none"/>
              </w:rPr>
              <w:t>；</w:t>
            </w:r>
          </w:p>
        </w:tc>
        <w:tc>
          <w:tcPr>
            <w:tcW w:w="1204" w:type="dxa"/>
            <w:tcBorders>
              <w:left w:val="single" w:color="auto" w:sz="4" w:space="0"/>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台</w:t>
            </w:r>
          </w:p>
        </w:tc>
        <w:tc>
          <w:tcPr>
            <w:tcW w:w="1370" w:type="dxa"/>
            <w:tcBorders>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1112" w:type="dxa"/>
            <w:vMerge w:val="continue"/>
            <w:tcBorders>
              <w:tl2br w:val="nil"/>
              <w:tr2bl w:val="nil"/>
            </w:tcBorders>
            <w:shd w:val="clear" w:color="auto" w:fill="auto"/>
            <w:vAlign w:val="center"/>
          </w:tcPr>
          <w:p>
            <w:pPr>
              <w:widowControl/>
              <w:jc w:val="left"/>
              <w:rPr>
                <w:b/>
                <w:bCs/>
                <w:color w:val="000000"/>
                <w:szCs w:val="21"/>
                <w:highlight w:val="none"/>
              </w:rPr>
            </w:pPr>
          </w:p>
        </w:tc>
        <w:tc>
          <w:tcPr>
            <w:tcW w:w="1692" w:type="dxa"/>
            <w:gridSpan w:val="2"/>
            <w:tcBorders>
              <w:tl2br w:val="nil"/>
              <w:tr2bl w:val="nil"/>
            </w:tcBorders>
            <w:shd w:val="clear" w:color="auto" w:fill="auto"/>
            <w:noWrap/>
            <w:vAlign w:val="center"/>
          </w:tcPr>
          <w:p>
            <w:pPr>
              <w:widowControl/>
              <w:jc w:val="left"/>
              <w:textAlignment w:val="center"/>
              <w:rPr>
                <w:color w:val="000000"/>
                <w:szCs w:val="21"/>
                <w:highlight w:val="none"/>
              </w:rPr>
            </w:pPr>
            <w:r>
              <w:rPr>
                <w:color w:val="000000"/>
                <w:kern w:val="0"/>
                <w:szCs w:val="21"/>
                <w:highlight w:val="none"/>
                <w:lang w:bidi="ar"/>
              </w:rPr>
              <w:t>电磁流量计</w:t>
            </w:r>
          </w:p>
        </w:tc>
        <w:tc>
          <w:tcPr>
            <w:tcW w:w="8825" w:type="dxa"/>
            <w:tcBorders>
              <w:right w:val="single" w:color="auto" w:sz="4" w:space="0"/>
              <w:tl2br w:val="nil"/>
              <w:tr2bl w:val="nil"/>
            </w:tcBorders>
            <w:shd w:val="clear" w:color="auto" w:fill="auto"/>
            <w:vAlign w:val="center"/>
          </w:tcPr>
          <w:p>
            <w:pPr>
              <w:widowControl/>
              <w:jc w:val="left"/>
              <w:textAlignment w:val="center"/>
              <w:rPr>
                <w:highlight w:val="none"/>
              </w:rPr>
            </w:pPr>
            <w:r>
              <w:rPr>
                <w:rFonts w:hint="eastAsia"/>
                <w:highlight w:val="none"/>
              </w:rPr>
              <w:t>1)口径：DN200-DN800</w:t>
            </w:r>
          </w:p>
          <w:p>
            <w:pPr>
              <w:widowControl/>
              <w:jc w:val="left"/>
              <w:textAlignment w:val="center"/>
              <w:rPr>
                <w:highlight w:val="none"/>
              </w:rPr>
            </w:pPr>
            <w:r>
              <w:rPr>
                <w:rFonts w:hint="eastAsia"/>
                <w:highlight w:val="none"/>
              </w:rPr>
              <w:t>2)压力等级</w:t>
            </w:r>
            <w:r>
              <w:rPr>
                <w:rFonts w:hint="eastAsia"/>
                <w:highlight w:val="none"/>
                <w:lang w:eastAsia="zh-CN"/>
              </w:rPr>
              <w:t>：</w:t>
            </w:r>
            <w:r>
              <w:rPr>
                <w:rFonts w:hint="eastAsia"/>
                <w:highlight w:val="none"/>
              </w:rPr>
              <w:t>不低于PN10</w:t>
            </w:r>
          </w:p>
          <w:p>
            <w:pPr>
              <w:widowControl/>
              <w:jc w:val="left"/>
              <w:textAlignment w:val="center"/>
              <w:rPr>
                <w:highlight w:val="none"/>
              </w:rPr>
            </w:pPr>
            <w:r>
              <w:rPr>
                <w:rFonts w:hint="eastAsia"/>
                <w:highlight w:val="none"/>
              </w:rPr>
              <w:t>3)精度</w:t>
            </w:r>
            <w:r>
              <w:rPr>
                <w:rFonts w:hint="eastAsia"/>
                <w:highlight w:val="none"/>
                <w:lang w:eastAsia="zh-CN"/>
              </w:rPr>
              <w:t>：</w:t>
            </w:r>
            <w:r>
              <w:rPr>
                <w:rFonts w:hint="eastAsia"/>
                <w:highlight w:val="none"/>
              </w:rPr>
              <w:t>≤ ±0.5%</w:t>
            </w:r>
          </w:p>
          <w:p>
            <w:pPr>
              <w:widowControl/>
              <w:jc w:val="left"/>
              <w:textAlignment w:val="center"/>
              <w:rPr>
                <w:highlight w:val="none"/>
              </w:rPr>
            </w:pPr>
            <w:r>
              <w:rPr>
                <w:rFonts w:hint="eastAsia"/>
                <w:highlight w:val="none"/>
              </w:rPr>
              <w:t>4)电极：316L</w:t>
            </w:r>
          </w:p>
          <w:p>
            <w:pPr>
              <w:widowControl/>
              <w:jc w:val="left"/>
              <w:textAlignment w:val="center"/>
              <w:rPr>
                <w:highlight w:val="none"/>
              </w:rPr>
            </w:pPr>
            <w:r>
              <w:rPr>
                <w:rFonts w:hint="eastAsia"/>
                <w:highlight w:val="none"/>
              </w:rPr>
              <w:t>5)工作温度：＜65℃,</w:t>
            </w:r>
          </w:p>
          <w:p>
            <w:pPr>
              <w:widowControl/>
              <w:jc w:val="left"/>
              <w:textAlignment w:val="center"/>
              <w:rPr>
                <w:highlight w:val="none"/>
              </w:rPr>
            </w:pPr>
            <w:r>
              <w:rPr>
                <w:rFonts w:hint="eastAsia"/>
                <w:highlight w:val="none"/>
              </w:rPr>
              <w:t>6)供电电压：24VDC或220V</w:t>
            </w:r>
            <w:r>
              <w:rPr>
                <w:rFonts w:hint="eastAsia"/>
                <w:highlight w:val="none"/>
                <w:lang w:val="en-US" w:eastAsia="zh-CN"/>
              </w:rPr>
              <w:t>AC</w:t>
            </w:r>
          </w:p>
          <w:p>
            <w:pPr>
              <w:widowControl/>
              <w:jc w:val="left"/>
              <w:textAlignment w:val="center"/>
              <w:rPr>
                <w:rFonts w:hint="eastAsia"/>
                <w:highlight w:val="none"/>
              </w:rPr>
            </w:pPr>
            <w:r>
              <w:rPr>
                <w:rFonts w:hint="eastAsia"/>
                <w:highlight w:val="none"/>
              </w:rPr>
              <w:t>7)防护等级：IP68,</w:t>
            </w:r>
          </w:p>
          <w:p>
            <w:pPr>
              <w:widowControl/>
              <w:jc w:val="left"/>
              <w:textAlignment w:val="center"/>
              <w:rPr>
                <w:rFonts w:hint="eastAsia"/>
                <w:highlight w:val="none"/>
              </w:rPr>
            </w:pPr>
            <w:r>
              <w:rPr>
                <w:rFonts w:hint="eastAsia"/>
                <w:highlight w:val="none"/>
              </w:rPr>
              <w:t>8)</w:t>
            </w:r>
            <w:r>
              <w:rPr>
                <w:rFonts w:hint="eastAsia"/>
                <w:highlight w:val="none"/>
                <w:lang w:eastAsia="zh-CN"/>
              </w:rPr>
              <w:t>数据传输</w:t>
            </w:r>
            <w:r>
              <w:rPr>
                <w:rFonts w:hint="eastAsia"/>
                <w:highlight w:val="none"/>
              </w:rPr>
              <w:t>：4-20mA+RS485+蓝牙</w:t>
            </w:r>
          </w:p>
          <w:p>
            <w:pPr>
              <w:widowControl/>
              <w:jc w:val="left"/>
              <w:textAlignment w:val="center"/>
              <w:rPr>
                <w:rFonts w:hint="eastAsia"/>
                <w:highlight w:val="none"/>
                <w:lang w:eastAsia="zh-CN"/>
              </w:rPr>
            </w:pPr>
            <w:r>
              <w:rPr>
                <w:rFonts w:hint="default" w:ascii="Microsoft New Tai Lue" w:hAnsi="Microsoft New Tai Lue" w:cs="Microsoft New Tai Lue"/>
                <w:highlight w:val="none"/>
                <w:lang w:val="en-US" w:eastAsia="zh-CN"/>
              </w:rPr>
              <w:t>9</w:t>
            </w:r>
            <w:r>
              <w:rPr>
                <w:rFonts w:hint="eastAsia"/>
                <w:highlight w:val="none"/>
              </w:rPr>
              <w:t>)</w:t>
            </w:r>
            <w:r>
              <w:rPr>
                <w:rFonts w:hint="eastAsia"/>
                <w:highlight w:val="none"/>
                <w:lang w:eastAsia="zh-CN"/>
              </w:rPr>
              <w:t>通讯方式：</w:t>
            </w:r>
            <w:r>
              <w:rPr>
                <w:rFonts w:hint="eastAsia"/>
                <w:highlight w:val="none"/>
              </w:rPr>
              <w:t>4G/NB-IoT</w:t>
            </w:r>
            <w:r>
              <w:rPr>
                <w:rFonts w:hint="eastAsia"/>
                <w:highlight w:val="none"/>
                <w:lang w:val="en-US" w:eastAsia="zh-CN"/>
              </w:rPr>
              <w:t>/或其他通讯方式</w:t>
            </w:r>
            <w:r>
              <w:rPr>
                <w:rFonts w:hint="eastAsia"/>
                <w:highlight w:val="none"/>
              </w:rPr>
              <w:t>；</w:t>
            </w:r>
          </w:p>
          <w:p>
            <w:pPr>
              <w:widowControl/>
              <w:jc w:val="left"/>
              <w:textAlignment w:val="center"/>
              <w:rPr>
                <w:rFonts w:hint="eastAsia"/>
                <w:highlight w:val="none"/>
              </w:rPr>
            </w:pPr>
            <w:r>
              <w:rPr>
                <w:rFonts w:hint="eastAsia"/>
                <w:highlight w:val="none"/>
              </w:rPr>
              <w:t>提供相关计量器具型式批准证书复印件；</w:t>
            </w:r>
          </w:p>
          <w:p>
            <w:pPr>
              <w:widowControl/>
              <w:jc w:val="left"/>
              <w:textAlignment w:val="center"/>
              <w:rPr>
                <w:highlight w:val="none"/>
              </w:rPr>
            </w:pPr>
            <w:r>
              <w:rPr>
                <w:rFonts w:hint="eastAsia"/>
                <w:highlight w:val="none"/>
              </w:rPr>
              <w:t>提供具有CMA认证的检测机构所出具的产品检验测试报告复印件；</w:t>
            </w:r>
          </w:p>
          <w:p>
            <w:pPr>
              <w:widowControl/>
              <w:jc w:val="left"/>
              <w:textAlignment w:val="center"/>
              <w:rPr>
                <w:highlight w:val="none"/>
              </w:rPr>
            </w:pPr>
            <w:r>
              <w:rPr>
                <w:rFonts w:hint="eastAsia"/>
                <w:highlight w:val="none"/>
              </w:rPr>
              <w:t>提供由省级及以上检测部门出具的产品检定报告复印件；</w:t>
            </w:r>
          </w:p>
          <w:p>
            <w:pPr>
              <w:widowControl/>
              <w:jc w:val="left"/>
              <w:textAlignment w:val="center"/>
              <w:rPr>
                <w:highlight w:val="none"/>
              </w:rPr>
            </w:pPr>
            <w:r>
              <w:rPr>
                <w:rFonts w:hint="eastAsia"/>
                <w:highlight w:val="none"/>
              </w:rPr>
              <w:t>提供生产厂家具有CNAS认证的实验室认可证书复印件；</w:t>
            </w:r>
          </w:p>
          <w:p>
            <w:pPr>
              <w:widowControl/>
              <w:jc w:val="left"/>
              <w:textAlignment w:val="center"/>
              <w:rPr>
                <w:highlight w:val="none"/>
              </w:rPr>
            </w:pPr>
            <w:r>
              <w:rPr>
                <w:rFonts w:hint="eastAsia"/>
                <w:highlight w:val="none"/>
              </w:rPr>
              <w:t>★提供生产厂家SIL证书复印件；</w:t>
            </w:r>
          </w:p>
          <w:p>
            <w:pPr>
              <w:widowControl/>
              <w:jc w:val="left"/>
              <w:textAlignment w:val="center"/>
              <w:rPr>
                <w:color w:val="000000"/>
                <w:szCs w:val="21"/>
                <w:highlight w:val="none"/>
              </w:rPr>
            </w:pPr>
            <w:r>
              <w:rPr>
                <w:rFonts w:hint="eastAsia"/>
                <w:highlight w:val="none"/>
              </w:rPr>
              <w:t>★提供生产厂家CE证书复印件；</w:t>
            </w:r>
          </w:p>
        </w:tc>
        <w:tc>
          <w:tcPr>
            <w:tcW w:w="1204" w:type="dxa"/>
            <w:tcBorders>
              <w:left w:val="single" w:color="auto" w:sz="4" w:space="0"/>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台</w:t>
            </w:r>
          </w:p>
        </w:tc>
        <w:tc>
          <w:tcPr>
            <w:tcW w:w="1370" w:type="dxa"/>
            <w:tcBorders>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88" w:hRule="atLeast"/>
        </w:trPr>
        <w:tc>
          <w:tcPr>
            <w:tcW w:w="1112" w:type="dxa"/>
            <w:vMerge w:val="continue"/>
            <w:tcBorders>
              <w:tl2br w:val="nil"/>
              <w:tr2bl w:val="nil"/>
            </w:tcBorders>
            <w:shd w:val="clear" w:color="auto" w:fill="auto"/>
            <w:vAlign w:val="center"/>
          </w:tcPr>
          <w:p>
            <w:pPr>
              <w:widowControl/>
              <w:jc w:val="left"/>
              <w:rPr>
                <w:b/>
                <w:bCs/>
                <w:color w:val="000000"/>
                <w:szCs w:val="21"/>
                <w:highlight w:val="none"/>
              </w:rPr>
            </w:pPr>
          </w:p>
        </w:tc>
        <w:tc>
          <w:tcPr>
            <w:tcW w:w="1692" w:type="dxa"/>
            <w:gridSpan w:val="2"/>
            <w:tcBorders>
              <w:tl2br w:val="nil"/>
              <w:tr2bl w:val="nil"/>
            </w:tcBorders>
            <w:shd w:val="clear" w:color="auto" w:fill="auto"/>
            <w:noWrap/>
            <w:vAlign w:val="center"/>
          </w:tcPr>
          <w:p>
            <w:pPr>
              <w:widowControl/>
              <w:jc w:val="left"/>
              <w:textAlignment w:val="center"/>
              <w:rPr>
                <w:color w:val="000000"/>
                <w:szCs w:val="21"/>
                <w:highlight w:val="none"/>
              </w:rPr>
            </w:pPr>
            <w:r>
              <w:rPr>
                <w:color w:val="000000"/>
                <w:kern w:val="0"/>
                <w:szCs w:val="21"/>
                <w:highlight w:val="none"/>
                <w:lang w:bidi="ar"/>
              </w:rPr>
              <w:t>移动式流量监测仪</w:t>
            </w:r>
          </w:p>
        </w:tc>
        <w:tc>
          <w:tcPr>
            <w:tcW w:w="8825" w:type="dxa"/>
            <w:tcBorders>
              <w:right w:val="single" w:color="auto" w:sz="4" w:space="0"/>
              <w:tl2br w:val="nil"/>
              <w:tr2bl w:val="nil"/>
            </w:tcBorders>
            <w:shd w:val="clear" w:color="auto" w:fill="auto"/>
            <w:vAlign w:val="center"/>
          </w:tcPr>
          <w:p>
            <w:pPr>
              <w:widowControl/>
              <w:jc w:val="left"/>
              <w:textAlignment w:val="center"/>
              <w:rPr>
                <w:highlight w:val="none"/>
              </w:rPr>
            </w:pPr>
            <w:r>
              <w:rPr>
                <w:rFonts w:hint="eastAsia"/>
                <w:highlight w:val="none"/>
              </w:rPr>
              <w:t>★</w:t>
            </w:r>
            <w:r>
              <w:rPr>
                <w:rFonts w:hint="eastAsia"/>
                <w:highlight w:val="none"/>
                <w:lang w:eastAsia="zh-CN"/>
              </w:rPr>
              <w:t>移动管道电磁流量计，所有流量都通过电磁流量计，</w:t>
            </w:r>
            <w:r>
              <w:rPr>
                <w:rFonts w:hint="eastAsia"/>
                <w:highlight w:val="none"/>
              </w:rPr>
              <w:t>采用电磁法原理获取准确的流量数据，设备采用电池供电，</w:t>
            </w:r>
            <w:r>
              <w:rPr>
                <w:rFonts w:hint="eastAsia"/>
                <w:highlight w:val="none"/>
                <w:lang w:eastAsia="zh-CN"/>
              </w:rPr>
              <w:t>可</w:t>
            </w:r>
            <w:r>
              <w:rPr>
                <w:rFonts w:hint="eastAsia"/>
                <w:highlight w:val="none"/>
              </w:rPr>
              <w:t>进行10min~72h的在线监测，便于拆卸，可重复使用(需提供产品实物照片)。</w:t>
            </w:r>
          </w:p>
          <w:p>
            <w:pPr>
              <w:widowControl/>
              <w:jc w:val="left"/>
              <w:textAlignment w:val="center"/>
              <w:rPr>
                <w:highlight w:val="none"/>
              </w:rPr>
            </w:pPr>
            <w:r>
              <w:rPr>
                <w:rFonts w:hint="eastAsia"/>
                <w:highlight w:val="none"/>
              </w:rPr>
              <w:t>1)主机防护等级：IP 68</w:t>
            </w:r>
          </w:p>
          <w:p>
            <w:pPr>
              <w:widowControl/>
              <w:jc w:val="left"/>
              <w:textAlignment w:val="center"/>
              <w:rPr>
                <w:highlight w:val="none"/>
              </w:rPr>
            </w:pPr>
            <w:r>
              <w:rPr>
                <w:rFonts w:hint="eastAsia"/>
                <w:highlight w:val="none"/>
              </w:rPr>
              <w:t>2)环境温度：-25～</w:t>
            </w:r>
            <w:r>
              <w:rPr>
                <w:rFonts w:hint="eastAsia"/>
                <w:highlight w:val="none"/>
                <w:lang w:val="en-US" w:eastAsia="zh-CN"/>
              </w:rPr>
              <w:t>70</w:t>
            </w:r>
            <w:r>
              <w:rPr>
                <w:rFonts w:hint="eastAsia"/>
                <w:highlight w:val="none"/>
              </w:rPr>
              <w:t>℃</w:t>
            </w:r>
          </w:p>
          <w:p>
            <w:pPr>
              <w:widowControl/>
              <w:jc w:val="left"/>
              <w:textAlignment w:val="center"/>
              <w:rPr>
                <w:highlight w:val="none"/>
              </w:rPr>
            </w:pPr>
            <w:r>
              <w:rPr>
                <w:rFonts w:hint="eastAsia"/>
                <w:highlight w:val="none"/>
              </w:rPr>
              <w:t>3)采集参数：瞬时速度、瞬时流量、累计流量</w:t>
            </w:r>
          </w:p>
          <w:p>
            <w:pPr>
              <w:widowControl/>
              <w:jc w:val="left"/>
              <w:textAlignment w:val="center"/>
              <w:rPr>
                <w:highlight w:val="none"/>
              </w:rPr>
            </w:pPr>
            <w:r>
              <w:rPr>
                <w:rFonts w:hint="eastAsia"/>
                <w:highlight w:val="none"/>
              </w:rPr>
              <w:t>4)速度测量</w:t>
            </w:r>
            <w:r>
              <w:rPr>
                <w:rFonts w:hint="eastAsia"/>
                <w:color w:val="000000"/>
                <w:kern w:val="0"/>
                <w:szCs w:val="21"/>
                <w:highlight w:val="none"/>
                <w:lang w:bidi="ar"/>
              </w:rPr>
              <w:t>范围</w:t>
            </w:r>
            <w:r>
              <w:rPr>
                <w:rFonts w:hint="eastAsia"/>
                <w:highlight w:val="none"/>
              </w:rPr>
              <w:t>：±6m/s</w:t>
            </w:r>
          </w:p>
          <w:p>
            <w:pPr>
              <w:widowControl/>
              <w:jc w:val="left"/>
              <w:textAlignment w:val="center"/>
              <w:rPr>
                <w:highlight w:val="none"/>
              </w:rPr>
            </w:pPr>
            <w:r>
              <w:rPr>
                <w:rFonts w:hint="eastAsia"/>
                <w:highlight w:val="none"/>
              </w:rPr>
              <w:t xml:space="preserve">5)流量精度：≤± 0.5% </w:t>
            </w:r>
          </w:p>
          <w:p>
            <w:pPr>
              <w:widowControl/>
              <w:jc w:val="left"/>
              <w:textAlignment w:val="center"/>
              <w:rPr>
                <w:highlight w:val="none"/>
              </w:rPr>
            </w:pPr>
            <w:r>
              <w:rPr>
                <w:rFonts w:hint="eastAsia"/>
                <w:highlight w:val="none"/>
              </w:rPr>
              <w:t>6)测量频次：1</w:t>
            </w:r>
            <w:r>
              <w:rPr>
                <w:rFonts w:hint="eastAsia"/>
                <w:highlight w:val="none"/>
                <w:lang w:val="en-US" w:eastAsia="zh-CN"/>
              </w:rPr>
              <w:t>s</w:t>
            </w:r>
            <w:r>
              <w:rPr>
                <w:rFonts w:hint="eastAsia"/>
                <w:highlight w:val="none"/>
              </w:rPr>
              <w:t>/30</w:t>
            </w:r>
            <w:r>
              <w:rPr>
                <w:rFonts w:hint="eastAsia"/>
                <w:highlight w:val="none"/>
                <w:lang w:val="en-US" w:eastAsia="zh-CN"/>
              </w:rPr>
              <w:t>s</w:t>
            </w:r>
            <w:r>
              <w:rPr>
                <w:rFonts w:hint="eastAsia"/>
                <w:highlight w:val="none"/>
              </w:rPr>
              <w:t>/1</w:t>
            </w:r>
            <w:r>
              <w:rPr>
                <w:rFonts w:hint="eastAsia"/>
                <w:highlight w:val="none"/>
                <w:lang w:val="en-US" w:eastAsia="zh-CN"/>
              </w:rPr>
              <w:t>m</w:t>
            </w:r>
            <w:r>
              <w:rPr>
                <w:rFonts w:hint="eastAsia"/>
                <w:highlight w:val="none"/>
              </w:rPr>
              <w:t>in</w:t>
            </w:r>
          </w:p>
          <w:p>
            <w:pPr>
              <w:widowControl/>
              <w:jc w:val="left"/>
              <w:textAlignment w:val="center"/>
              <w:rPr>
                <w:highlight w:val="none"/>
              </w:rPr>
            </w:pPr>
            <w:r>
              <w:rPr>
                <w:rFonts w:hint="eastAsia"/>
                <w:highlight w:val="none"/>
              </w:rPr>
              <w:t>7)通讯环境：井下无手机信号仍可正常通讯</w:t>
            </w:r>
          </w:p>
          <w:p>
            <w:pPr>
              <w:widowControl/>
              <w:jc w:val="left"/>
              <w:textAlignment w:val="center"/>
              <w:rPr>
                <w:highlight w:val="none"/>
              </w:rPr>
            </w:pPr>
            <w:r>
              <w:rPr>
                <w:rFonts w:hint="eastAsia"/>
                <w:highlight w:val="none"/>
              </w:rPr>
              <w:t>8)远程通讯：4G/NB-IOT/其他通讯方式</w:t>
            </w:r>
          </w:p>
          <w:p>
            <w:pPr>
              <w:widowControl/>
              <w:jc w:val="left"/>
              <w:textAlignment w:val="center"/>
              <w:rPr>
                <w:highlight w:val="none"/>
              </w:rPr>
            </w:pPr>
            <w:r>
              <w:rPr>
                <w:rFonts w:hint="eastAsia"/>
                <w:highlight w:val="none"/>
              </w:rPr>
              <w:t>9)通气囊最大耐压值：0.15MPa</w:t>
            </w:r>
          </w:p>
          <w:p>
            <w:pPr>
              <w:widowControl/>
              <w:jc w:val="left"/>
              <w:textAlignment w:val="center"/>
              <w:rPr>
                <w:color w:val="000000"/>
                <w:szCs w:val="21"/>
                <w:highlight w:val="none"/>
              </w:rPr>
            </w:pPr>
            <w:r>
              <w:rPr>
                <w:rFonts w:hint="eastAsia"/>
                <w:highlight w:val="none"/>
              </w:rPr>
              <w:t>10)可测量管径范围：DN300—DN</w:t>
            </w:r>
            <w:r>
              <w:rPr>
                <w:rFonts w:hint="eastAsia"/>
                <w:highlight w:val="none"/>
                <w:lang w:val="en-US" w:eastAsia="zh-CN"/>
              </w:rPr>
              <w:t>120</w:t>
            </w:r>
            <w:r>
              <w:rPr>
                <w:rFonts w:hint="eastAsia"/>
                <w:highlight w:val="none"/>
              </w:rPr>
              <w:t>0mm</w:t>
            </w:r>
          </w:p>
        </w:tc>
        <w:tc>
          <w:tcPr>
            <w:tcW w:w="1204" w:type="dxa"/>
            <w:tcBorders>
              <w:left w:val="single" w:color="auto" w:sz="4" w:space="0"/>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台</w:t>
            </w:r>
          </w:p>
        </w:tc>
        <w:tc>
          <w:tcPr>
            <w:tcW w:w="1370" w:type="dxa"/>
            <w:tcBorders>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1112" w:type="dxa"/>
            <w:vMerge w:val="continue"/>
            <w:tcBorders>
              <w:tl2br w:val="nil"/>
              <w:tr2bl w:val="nil"/>
            </w:tcBorders>
            <w:shd w:val="clear" w:color="auto" w:fill="auto"/>
            <w:vAlign w:val="center"/>
          </w:tcPr>
          <w:p>
            <w:pPr>
              <w:widowControl/>
              <w:jc w:val="left"/>
              <w:rPr>
                <w:b/>
                <w:bCs/>
                <w:color w:val="000000"/>
                <w:szCs w:val="21"/>
                <w:highlight w:val="none"/>
              </w:rPr>
            </w:pPr>
          </w:p>
        </w:tc>
        <w:tc>
          <w:tcPr>
            <w:tcW w:w="1692" w:type="dxa"/>
            <w:gridSpan w:val="2"/>
            <w:tcBorders>
              <w:tl2br w:val="nil"/>
              <w:tr2bl w:val="nil"/>
            </w:tcBorders>
            <w:shd w:val="clear" w:color="auto" w:fill="auto"/>
            <w:noWrap/>
            <w:vAlign w:val="center"/>
          </w:tcPr>
          <w:p>
            <w:pPr>
              <w:widowControl/>
              <w:jc w:val="left"/>
              <w:textAlignment w:val="center"/>
              <w:rPr>
                <w:color w:val="000000"/>
                <w:szCs w:val="21"/>
                <w:highlight w:val="none"/>
              </w:rPr>
            </w:pPr>
            <w:r>
              <w:rPr>
                <w:color w:val="000000"/>
                <w:kern w:val="0"/>
                <w:szCs w:val="21"/>
                <w:highlight w:val="none"/>
                <w:lang w:bidi="ar"/>
              </w:rPr>
              <w:t>超声波-压力双通道液位监测</w:t>
            </w:r>
          </w:p>
        </w:tc>
        <w:tc>
          <w:tcPr>
            <w:tcW w:w="8825" w:type="dxa"/>
            <w:tcBorders>
              <w:right w:val="single" w:color="auto" w:sz="4" w:space="0"/>
              <w:tl2br w:val="nil"/>
              <w:tr2bl w:val="nil"/>
            </w:tcBorders>
            <w:shd w:val="clear" w:color="auto" w:fill="auto"/>
            <w:vAlign w:val="center"/>
          </w:tcPr>
          <w:p>
            <w:pPr>
              <w:widowControl/>
              <w:jc w:val="left"/>
              <w:textAlignment w:val="center"/>
              <w:rPr>
                <w:highlight w:val="none"/>
              </w:rPr>
            </w:pPr>
            <w:r>
              <w:rPr>
                <w:rFonts w:hint="eastAsia"/>
                <w:highlight w:val="none"/>
              </w:rPr>
              <w:t>采用超声波与静压式双结合的方式测量</w:t>
            </w:r>
          </w:p>
          <w:p>
            <w:pPr>
              <w:widowControl/>
              <w:jc w:val="left"/>
              <w:textAlignment w:val="center"/>
              <w:rPr>
                <w:highlight w:val="none"/>
              </w:rPr>
            </w:pPr>
            <w:r>
              <w:rPr>
                <w:rFonts w:hint="eastAsia"/>
                <w:highlight w:val="none"/>
              </w:rPr>
              <w:t>1)压力液位计精度：≤0.5%FS，量程0-10m；</w:t>
            </w:r>
          </w:p>
          <w:p>
            <w:pPr>
              <w:widowControl/>
              <w:jc w:val="left"/>
              <w:textAlignment w:val="center"/>
              <w:rPr>
                <w:highlight w:val="none"/>
              </w:rPr>
            </w:pPr>
            <w:r>
              <w:rPr>
                <w:rFonts w:hint="eastAsia"/>
                <w:highlight w:val="none"/>
              </w:rPr>
              <w:t>2)超声波精度：超声波盲区≤0.35m，测量精度≤0.5%FS</w:t>
            </w:r>
          </w:p>
          <w:p>
            <w:pPr>
              <w:widowControl/>
              <w:jc w:val="left"/>
              <w:textAlignment w:val="center"/>
              <w:rPr>
                <w:highlight w:val="none"/>
              </w:rPr>
            </w:pPr>
            <w:r>
              <w:rPr>
                <w:rFonts w:hint="eastAsia"/>
                <w:highlight w:val="none"/>
              </w:rPr>
              <w:t>3)整机防护等级：IP68；</w:t>
            </w:r>
          </w:p>
          <w:p>
            <w:pPr>
              <w:widowControl/>
              <w:jc w:val="left"/>
              <w:textAlignment w:val="center"/>
              <w:rPr>
                <w:highlight w:val="none"/>
              </w:rPr>
            </w:pPr>
            <w:r>
              <w:rPr>
                <w:rFonts w:hint="eastAsia"/>
                <w:highlight w:val="none"/>
              </w:rPr>
              <w:t>4)设参方式：远程设参，蓝牙设参，按键设参；</w:t>
            </w:r>
          </w:p>
          <w:p>
            <w:pPr>
              <w:widowControl/>
              <w:jc w:val="left"/>
              <w:textAlignment w:val="center"/>
              <w:rPr>
                <w:highlight w:val="none"/>
              </w:rPr>
            </w:pPr>
            <w:r>
              <w:rPr>
                <w:rFonts w:hint="eastAsia"/>
                <w:highlight w:val="none"/>
              </w:rPr>
              <w:t>5)通讯</w:t>
            </w:r>
            <w:r>
              <w:rPr>
                <w:rFonts w:hint="eastAsia"/>
                <w:highlight w:val="none"/>
                <w:lang w:eastAsia="zh-CN"/>
              </w:rPr>
              <w:t>方式</w:t>
            </w:r>
            <w:r>
              <w:rPr>
                <w:rFonts w:hint="eastAsia"/>
                <w:highlight w:val="none"/>
              </w:rPr>
              <w:t>：4G/NB-IOT/其他通讯方式</w:t>
            </w:r>
          </w:p>
          <w:p>
            <w:pPr>
              <w:widowControl/>
              <w:jc w:val="left"/>
              <w:textAlignment w:val="center"/>
              <w:rPr>
                <w:highlight w:val="none"/>
              </w:rPr>
            </w:pPr>
            <w:r>
              <w:rPr>
                <w:rFonts w:hint="eastAsia"/>
                <w:highlight w:val="none"/>
              </w:rPr>
              <w:t>6)工作环境：温度： -40～+85℃；</w:t>
            </w:r>
          </w:p>
          <w:p>
            <w:pPr>
              <w:widowControl/>
              <w:jc w:val="left"/>
              <w:textAlignment w:val="center"/>
              <w:rPr>
                <w:highlight w:val="none"/>
              </w:rPr>
            </w:pPr>
            <w:r>
              <w:rPr>
                <w:rFonts w:hint="eastAsia"/>
                <w:highlight w:val="none"/>
              </w:rPr>
              <w:t>提供具有CNAS认证的检测机构出具的产品计量认证（校准证书）复印件；</w:t>
            </w:r>
          </w:p>
          <w:p>
            <w:pPr>
              <w:widowControl/>
              <w:jc w:val="left"/>
              <w:textAlignment w:val="center"/>
              <w:rPr>
                <w:color w:val="000000"/>
                <w:szCs w:val="21"/>
                <w:highlight w:val="none"/>
              </w:rPr>
            </w:pPr>
            <w:r>
              <w:rPr>
                <w:rFonts w:hint="eastAsia"/>
                <w:highlight w:val="none"/>
              </w:rPr>
              <w:t>★提供具有盐雾、振动、高温、低温可靠性的产品检测报告复印件</w:t>
            </w:r>
          </w:p>
        </w:tc>
        <w:tc>
          <w:tcPr>
            <w:tcW w:w="1204" w:type="dxa"/>
            <w:tcBorders>
              <w:left w:val="single" w:color="auto" w:sz="4" w:space="0"/>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台</w:t>
            </w:r>
          </w:p>
        </w:tc>
        <w:tc>
          <w:tcPr>
            <w:tcW w:w="1370" w:type="dxa"/>
            <w:tcBorders>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1112" w:type="dxa"/>
            <w:vMerge w:val="continue"/>
            <w:tcBorders>
              <w:tl2br w:val="nil"/>
              <w:tr2bl w:val="nil"/>
            </w:tcBorders>
            <w:shd w:val="clear" w:color="auto" w:fill="auto"/>
            <w:vAlign w:val="center"/>
          </w:tcPr>
          <w:p>
            <w:pPr>
              <w:widowControl/>
              <w:jc w:val="left"/>
              <w:rPr>
                <w:b/>
                <w:bCs/>
                <w:color w:val="000000"/>
                <w:szCs w:val="21"/>
                <w:highlight w:val="none"/>
              </w:rPr>
            </w:pPr>
          </w:p>
        </w:tc>
        <w:tc>
          <w:tcPr>
            <w:tcW w:w="1692" w:type="dxa"/>
            <w:gridSpan w:val="2"/>
            <w:tcBorders>
              <w:tl2br w:val="nil"/>
              <w:tr2bl w:val="nil"/>
            </w:tcBorders>
            <w:shd w:val="clear" w:color="auto" w:fill="auto"/>
            <w:noWrap/>
            <w:vAlign w:val="center"/>
          </w:tcPr>
          <w:p>
            <w:pPr>
              <w:widowControl/>
              <w:jc w:val="left"/>
              <w:textAlignment w:val="center"/>
              <w:rPr>
                <w:color w:val="000000"/>
                <w:szCs w:val="21"/>
                <w:highlight w:val="none"/>
              </w:rPr>
            </w:pPr>
            <w:r>
              <w:rPr>
                <w:color w:val="000000"/>
                <w:kern w:val="0"/>
                <w:szCs w:val="21"/>
                <w:highlight w:val="none"/>
                <w:lang w:bidi="ar"/>
              </w:rPr>
              <w:t>多参数水质在线监测仪</w:t>
            </w:r>
          </w:p>
        </w:tc>
        <w:tc>
          <w:tcPr>
            <w:tcW w:w="8825" w:type="dxa"/>
            <w:tcBorders>
              <w:right w:val="single" w:color="auto" w:sz="4" w:space="0"/>
              <w:tl2br w:val="nil"/>
              <w:tr2bl w:val="nil"/>
            </w:tcBorders>
            <w:shd w:val="clear" w:color="auto" w:fill="auto"/>
            <w:vAlign w:val="center"/>
          </w:tcPr>
          <w:p>
            <w:pPr>
              <w:widowControl/>
              <w:jc w:val="left"/>
              <w:textAlignment w:val="center"/>
              <w:rPr>
                <w:highlight w:val="none"/>
              </w:rPr>
            </w:pPr>
            <w:r>
              <w:rPr>
                <w:rFonts w:hint="eastAsia"/>
                <w:highlight w:val="none"/>
              </w:rPr>
              <w:t xml:space="preserve">1)溶解氧:测量范围：0~20mg/L或0~200%饱和度；精度：≤±1%；响应时间：10sec，传感器漂移：1% </w:t>
            </w:r>
            <w:r>
              <w:rPr>
                <w:rFonts w:hint="eastAsia"/>
                <w:highlight w:val="none"/>
                <w:lang w:eastAsia="zh-CN"/>
              </w:rPr>
              <w:t>每年</w:t>
            </w:r>
            <w:r>
              <w:rPr>
                <w:rFonts w:hint="eastAsia"/>
                <w:highlight w:val="none"/>
              </w:rPr>
              <w:t>，传感器防护等级：IP68；</w:t>
            </w:r>
          </w:p>
          <w:p>
            <w:pPr>
              <w:widowControl/>
              <w:jc w:val="left"/>
              <w:textAlignment w:val="center"/>
              <w:rPr>
                <w:highlight w:val="none"/>
              </w:rPr>
            </w:pPr>
            <w:r>
              <w:rPr>
                <w:rFonts w:hint="eastAsia"/>
                <w:highlight w:val="none"/>
              </w:rPr>
              <w:t>2)pH值：测量范围：0~14（0℃~50℃）；精度：≤±0.1pH；分辨率：≤0.01；传感器防护等级：IP68；</w:t>
            </w:r>
          </w:p>
          <w:p>
            <w:pPr>
              <w:widowControl/>
              <w:jc w:val="left"/>
              <w:textAlignment w:val="center"/>
              <w:rPr>
                <w:highlight w:val="none"/>
              </w:rPr>
            </w:pPr>
            <w:r>
              <w:rPr>
                <w:rFonts w:hint="eastAsia"/>
                <w:highlight w:val="none"/>
              </w:rPr>
              <w:t>3）温度（溶解氧内置温度）：温度范围：0℃~50℃，温度精度：≤±0.2℃</w:t>
            </w:r>
          </w:p>
          <w:p>
            <w:pPr>
              <w:widowControl/>
              <w:jc w:val="left"/>
              <w:textAlignment w:val="center"/>
              <w:rPr>
                <w:highlight w:val="none"/>
              </w:rPr>
            </w:pPr>
            <w:r>
              <w:rPr>
                <w:rFonts w:hint="eastAsia"/>
                <w:highlight w:val="none"/>
              </w:rPr>
              <w:t>4)电导率：测量范围:0.1~5000 μS/cm或0.01~100mS/cm；分辨率：≤0.1 μS/cm或0.01mS/cm；精度：≤±1%；传感器防护等级：IP68；</w:t>
            </w:r>
          </w:p>
          <w:p>
            <w:pPr>
              <w:widowControl/>
              <w:jc w:val="left"/>
              <w:textAlignment w:val="center"/>
              <w:rPr>
                <w:highlight w:val="none"/>
              </w:rPr>
            </w:pPr>
            <w:r>
              <w:rPr>
                <w:rFonts w:hint="eastAsia"/>
                <w:highlight w:val="none"/>
              </w:rPr>
              <w:t>5)浊度：测量范围：0-1000NTU；分辨率：≤0.1 NTU；；精度：≤±5%或0.3NTU；传感器防护等级：IP68；</w:t>
            </w:r>
          </w:p>
          <w:p>
            <w:pPr>
              <w:widowControl/>
              <w:jc w:val="left"/>
              <w:textAlignment w:val="center"/>
              <w:rPr>
                <w:highlight w:val="none"/>
              </w:rPr>
            </w:pPr>
            <w:r>
              <w:rPr>
                <w:rFonts w:hint="eastAsia"/>
                <w:highlight w:val="none"/>
              </w:rPr>
              <w:t>6)氨氮：测量范围：0~100 mg/l；分辨率：≤0.01mg/L；精度：≤±10%或 ±0.5mg/L；防护等级：IP68；最深深度：水下10米；传感器接口：RS485，Modbus协议；</w:t>
            </w:r>
            <w:r>
              <w:rPr>
                <w:rFonts w:hint="eastAsia"/>
                <w:highlight w:val="none"/>
                <w:lang w:eastAsia="zh-CN"/>
              </w:rPr>
              <w:t>电</w:t>
            </w:r>
            <w:r>
              <w:rPr>
                <w:rFonts w:hint="eastAsia"/>
                <w:highlight w:val="none"/>
              </w:rPr>
              <w:t>源：9~24VDC，电流＜50mA；</w:t>
            </w:r>
          </w:p>
          <w:p>
            <w:pPr>
              <w:widowControl/>
              <w:jc w:val="left"/>
              <w:textAlignment w:val="center"/>
              <w:rPr>
                <w:highlight w:val="none"/>
              </w:rPr>
            </w:pPr>
            <w:r>
              <w:rPr>
                <w:rFonts w:hint="eastAsia"/>
                <w:highlight w:val="none"/>
              </w:rPr>
              <w:t>7)悬浮物：测量范围：0~10000mg/L；分辨率：≤ 1mg/L；精度：≤±5% 或±20mg/L（取大者）；</w:t>
            </w:r>
          </w:p>
          <w:p>
            <w:pPr>
              <w:widowControl/>
              <w:jc w:val="left"/>
              <w:textAlignment w:val="center"/>
              <w:rPr>
                <w:rFonts w:hint="eastAsia"/>
                <w:highlight w:val="none"/>
              </w:rPr>
            </w:pPr>
            <w:r>
              <w:rPr>
                <w:rFonts w:hint="eastAsia"/>
                <w:highlight w:val="none"/>
              </w:rPr>
              <w:t>8)主机：防护等级：IP68；电池容量：</w:t>
            </w:r>
            <w:r>
              <w:rPr>
                <w:rFonts w:hint="eastAsia"/>
                <w:color w:val="000000"/>
                <w:kern w:val="0"/>
                <w:szCs w:val="21"/>
                <w:highlight w:val="none"/>
                <w:lang w:bidi="ar"/>
              </w:rPr>
              <w:t>≥</w:t>
            </w:r>
            <w:r>
              <w:rPr>
                <w:rFonts w:hint="eastAsia"/>
                <w:highlight w:val="none"/>
              </w:rPr>
              <w:t>76Ah；</w:t>
            </w:r>
          </w:p>
          <w:p>
            <w:pPr>
              <w:widowControl/>
              <w:jc w:val="left"/>
              <w:textAlignment w:val="center"/>
              <w:rPr>
                <w:highlight w:val="none"/>
              </w:rPr>
            </w:pPr>
            <w:r>
              <w:rPr>
                <w:rFonts w:hint="eastAsia"/>
                <w:highlight w:val="none"/>
                <w:lang w:val="en-US" w:eastAsia="zh-CN"/>
              </w:rPr>
              <w:t>9)</w:t>
            </w:r>
            <w:r>
              <w:rPr>
                <w:rFonts w:hint="eastAsia"/>
                <w:highlight w:val="none"/>
              </w:rPr>
              <w:t>通讯方式：4G/NB-IOT/其他通讯方式</w:t>
            </w:r>
          </w:p>
          <w:p>
            <w:pPr>
              <w:widowControl/>
              <w:jc w:val="left"/>
              <w:textAlignment w:val="center"/>
              <w:rPr>
                <w:color w:val="000000"/>
                <w:szCs w:val="21"/>
                <w:highlight w:val="none"/>
              </w:rPr>
            </w:pPr>
            <w:r>
              <w:rPr>
                <w:rFonts w:hint="eastAsia"/>
                <w:highlight w:val="none"/>
              </w:rPr>
              <w:t>★提供具有CMA认证的检测机构所出具的产品检验测试报告复印件。</w:t>
            </w:r>
          </w:p>
        </w:tc>
        <w:tc>
          <w:tcPr>
            <w:tcW w:w="1204" w:type="dxa"/>
            <w:tcBorders>
              <w:left w:val="single" w:color="auto" w:sz="4" w:space="0"/>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台</w:t>
            </w:r>
          </w:p>
        </w:tc>
        <w:tc>
          <w:tcPr>
            <w:tcW w:w="1370" w:type="dxa"/>
            <w:tcBorders>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1112" w:type="dxa"/>
            <w:vMerge w:val="continue"/>
            <w:tcBorders>
              <w:tl2br w:val="nil"/>
              <w:tr2bl w:val="nil"/>
            </w:tcBorders>
            <w:shd w:val="clear" w:color="auto" w:fill="auto"/>
            <w:vAlign w:val="center"/>
          </w:tcPr>
          <w:p>
            <w:pPr>
              <w:widowControl/>
              <w:jc w:val="left"/>
              <w:rPr>
                <w:b/>
                <w:bCs/>
                <w:color w:val="000000"/>
                <w:szCs w:val="21"/>
                <w:highlight w:val="none"/>
              </w:rPr>
            </w:pPr>
          </w:p>
        </w:tc>
        <w:tc>
          <w:tcPr>
            <w:tcW w:w="1692" w:type="dxa"/>
            <w:gridSpan w:val="2"/>
            <w:tcBorders>
              <w:tl2br w:val="nil"/>
              <w:tr2bl w:val="nil"/>
            </w:tcBorders>
            <w:shd w:val="clear" w:color="auto" w:fill="auto"/>
            <w:noWrap/>
            <w:vAlign w:val="center"/>
          </w:tcPr>
          <w:p>
            <w:pPr>
              <w:widowControl/>
              <w:jc w:val="left"/>
              <w:textAlignment w:val="center"/>
              <w:rPr>
                <w:color w:val="000000"/>
                <w:szCs w:val="21"/>
                <w:highlight w:val="none"/>
              </w:rPr>
            </w:pPr>
            <w:r>
              <w:rPr>
                <w:color w:val="000000"/>
                <w:kern w:val="0"/>
                <w:szCs w:val="21"/>
                <w:highlight w:val="none"/>
                <w:lang w:bidi="ar"/>
              </w:rPr>
              <w:t>COD在线监测仪</w:t>
            </w:r>
          </w:p>
        </w:tc>
        <w:tc>
          <w:tcPr>
            <w:tcW w:w="8825" w:type="dxa"/>
            <w:tcBorders>
              <w:right w:val="single" w:color="auto" w:sz="4" w:space="0"/>
              <w:tl2br w:val="nil"/>
              <w:tr2bl w:val="nil"/>
            </w:tcBorders>
            <w:shd w:val="clear" w:color="auto" w:fill="auto"/>
            <w:vAlign w:val="center"/>
          </w:tcPr>
          <w:p>
            <w:pPr>
              <w:widowControl/>
              <w:jc w:val="left"/>
              <w:textAlignment w:val="center"/>
              <w:rPr>
                <w:rFonts w:hint="eastAsia" w:eastAsia="宋体"/>
                <w:highlight w:val="none"/>
                <w:lang w:eastAsia="zh-CN"/>
              </w:rPr>
            </w:pPr>
            <w:r>
              <w:rPr>
                <w:rFonts w:hint="eastAsia"/>
                <w:highlight w:val="none"/>
              </w:rPr>
              <w:t>1)测量原理重铬酸钾法</w:t>
            </w:r>
            <w:r>
              <w:rPr>
                <w:rFonts w:hint="eastAsia"/>
                <w:highlight w:val="none"/>
                <w:lang w:eastAsia="zh-CN"/>
              </w:rPr>
              <w:t>，</w:t>
            </w:r>
            <w:r>
              <w:rPr>
                <w:rFonts w:hint="eastAsia"/>
                <w:highlight w:val="none"/>
              </w:rPr>
              <w:t>符合国标《GB11914-89》或环保部标准《HJ 377-2019)》的技术规范要求</w:t>
            </w:r>
            <w:r>
              <w:rPr>
                <w:rFonts w:hint="eastAsia"/>
                <w:highlight w:val="none"/>
                <w:lang w:eastAsia="zh-CN"/>
              </w:rPr>
              <w:t>；</w:t>
            </w:r>
          </w:p>
          <w:p>
            <w:pPr>
              <w:widowControl/>
              <w:jc w:val="left"/>
              <w:textAlignment w:val="center"/>
              <w:rPr>
                <w:highlight w:val="none"/>
              </w:rPr>
            </w:pPr>
            <w:r>
              <w:rPr>
                <w:rFonts w:hint="eastAsia"/>
                <w:highlight w:val="none"/>
                <w:lang w:val="en-US" w:eastAsia="zh-CN"/>
              </w:rPr>
              <w:t>2</w:t>
            </w:r>
            <w:r>
              <w:rPr>
                <w:rFonts w:hint="eastAsia"/>
                <w:highlight w:val="none"/>
              </w:rPr>
              <w:t>)测量范围:0～100mg/L； 0～200mg/L；0～500mg/L；0～1000mg/L等；可根据用户要求扩展至 5000mg/L。</w:t>
            </w:r>
          </w:p>
          <w:p>
            <w:pPr>
              <w:widowControl/>
              <w:jc w:val="left"/>
              <w:textAlignment w:val="center"/>
              <w:rPr>
                <w:highlight w:val="none"/>
              </w:rPr>
            </w:pPr>
            <w:r>
              <w:rPr>
                <w:rFonts w:hint="eastAsia"/>
                <w:highlight w:val="none"/>
                <w:lang w:val="en-US" w:eastAsia="zh-CN"/>
              </w:rPr>
              <w:t>3</w:t>
            </w:r>
            <w:r>
              <w:rPr>
                <w:rFonts w:hint="eastAsia"/>
                <w:highlight w:val="none"/>
              </w:rPr>
              <w:t>)零点漂移 :≤±5mg/L；</w:t>
            </w:r>
          </w:p>
          <w:p>
            <w:pPr>
              <w:widowControl/>
              <w:jc w:val="left"/>
              <w:textAlignment w:val="center"/>
              <w:rPr>
                <w:highlight w:val="none"/>
              </w:rPr>
            </w:pPr>
            <w:r>
              <w:rPr>
                <w:rFonts w:hint="eastAsia"/>
                <w:highlight w:val="none"/>
                <w:lang w:val="en-US" w:eastAsia="zh-CN"/>
              </w:rPr>
              <w:t>4</w:t>
            </w:r>
            <w:r>
              <w:rPr>
                <w:rFonts w:hint="eastAsia"/>
                <w:highlight w:val="none"/>
              </w:rPr>
              <w:t>)重复性：≤3%；</w:t>
            </w:r>
          </w:p>
          <w:p>
            <w:pPr>
              <w:widowControl/>
              <w:jc w:val="left"/>
              <w:textAlignment w:val="center"/>
              <w:rPr>
                <w:highlight w:val="none"/>
              </w:rPr>
            </w:pPr>
            <w:r>
              <w:rPr>
                <w:rFonts w:hint="eastAsia"/>
                <w:highlight w:val="none"/>
                <w:lang w:val="en-US" w:eastAsia="zh-CN"/>
              </w:rPr>
              <w:t>5</w:t>
            </w:r>
            <w:r>
              <w:rPr>
                <w:rFonts w:hint="eastAsia"/>
                <w:highlight w:val="none"/>
              </w:rPr>
              <w:t>)量程漂移：≤±5% F.S；</w:t>
            </w:r>
          </w:p>
          <w:p>
            <w:pPr>
              <w:widowControl/>
              <w:jc w:val="left"/>
              <w:textAlignment w:val="center"/>
              <w:rPr>
                <w:highlight w:val="none"/>
              </w:rPr>
            </w:pPr>
            <w:r>
              <w:rPr>
                <w:rFonts w:hint="eastAsia"/>
                <w:highlight w:val="none"/>
                <w:lang w:val="en-US" w:eastAsia="zh-CN"/>
              </w:rPr>
              <w:t>6</w:t>
            </w:r>
            <w:r>
              <w:rPr>
                <w:rFonts w:hint="eastAsia"/>
                <w:highlight w:val="none"/>
              </w:rPr>
              <w:t>)记忆效应：≤±5mg/L；</w:t>
            </w:r>
          </w:p>
          <w:p>
            <w:pPr>
              <w:widowControl/>
              <w:jc w:val="left"/>
              <w:textAlignment w:val="center"/>
              <w:rPr>
                <w:highlight w:val="none"/>
              </w:rPr>
            </w:pPr>
            <w:r>
              <w:rPr>
                <w:rFonts w:hint="eastAsia"/>
                <w:highlight w:val="none"/>
                <w:lang w:val="en-US" w:eastAsia="zh-CN"/>
              </w:rPr>
              <w:t>7</w:t>
            </w:r>
            <w:r>
              <w:rPr>
                <w:rFonts w:hint="eastAsia"/>
                <w:highlight w:val="none"/>
              </w:rPr>
              <w:t>)精确度：当COD＜50mg/L时，≤5mg/L，当COD≥50mg/L时，≤10.0%；</w:t>
            </w:r>
          </w:p>
          <w:p>
            <w:pPr>
              <w:widowControl/>
              <w:jc w:val="left"/>
              <w:textAlignment w:val="center"/>
              <w:rPr>
                <w:highlight w:val="none"/>
              </w:rPr>
            </w:pPr>
            <w:r>
              <w:rPr>
                <w:rFonts w:hint="eastAsia"/>
                <w:highlight w:val="none"/>
                <w:lang w:val="en-US" w:eastAsia="zh-CN"/>
              </w:rPr>
              <w:t>8</w:t>
            </w:r>
            <w:r>
              <w:rPr>
                <w:rFonts w:hint="eastAsia"/>
                <w:highlight w:val="none"/>
              </w:rPr>
              <w:t>)最小维护周期：≥168h/次；</w:t>
            </w:r>
          </w:p>
          <w:p>
            <w:pPr>
              <w:widowControl/>
              <w:jc w:val="left"/>
              <w:textAlignment w:val="center"/>
              <w:rPr>
                <w:highlight w:val="none"/>
              </w:rPr>
            </w:pPr>
            <w:r>
              <w:rPr>
                <w:rFonts w:hint="eastAsia"/>
                <w:highlight w:val="none"/>
              </w:rPr>
              <w:t>★</w:t>
            </w:r>
            <w:r>
              <w:rPr>
                <w:rFonts w:hint="eastAsia"/>
                <w:highlight w:val="none"/>
                <w:lang w:val="en-US" w:eastAsia="zh-CN"/>
              </w:rPr>
              <w:t>9</w:t>
            </w:r>
            <w:r>
              <w:rPr>
                <w:rFonts w:hint="eastAsia"/>
                <w:highlight w:val="none"/>
              </w:rPr>
              <w:t>)定量方式：一体式柱塞泵，实现试剂的抽取定量任务，配置优良的驱动模块，实现精细控制（提供产品功能介绍说明）；</w:t>
            </w:r>
          </w:p>
          <w:p>
            <w:pPr>
              <w:widowControl/>
              <w:jc w:val="left"/>
              <w:textAlignment w:val="center"/>
              <w:rPr>
                <w:highlight w:val="none"/>
              </w:rPr>
            </w:pPr>
            <w:r>
              <w:rPr>
                <w:rFonts w:hint="eastAsia"/>
                <w:highlight w:val="none"/>
                <w:lang w:val="en-US" w:eastAsia="zh-CN"/>
              </w:rPr>
              <w:t>10</w:t>
            </w:r>
            <w:r>
              <w:rPr>
                <w:rFonts w:hint="eastAsia"/>
                <w:highlight w:val="none"/>
              </w:rPr>
              <w:t>）试剂检测功能：具有双液体检测器，可实时监测液路状态；</w:t>
            </w:r>
            <w:r>
              <w:rPr>
                <w:rFonts w:hint="eastAsia"/>
                <w:highlight w:val="none"/>
                <w:lang w:val="en-US" w:eastAsia="zh-CN"/>
              </w:rPr>
              <w:t>(含</w:t>
            </w:r>
            <w:r>
              <w:rPr>
                <w:rFonts w:hint="eastAsia"/>
                <w:highlight w:val="none"/>
              </w:rPr>
              <w:t>试剂</w:t>
            </w:r>
            <w:r>
              <w:rPr>
                <w:rFonts w:hint="eastAsia"/>
                <w:highlight w:val="none"/>
                <w:lang w:val="en-US" w:eastAsia="zh-CN"/>
              </w:rPr>
              <w:t>)</w:t>
            </w:r>
          </w:p>
          <w:p>
            <w:pPr>
              <w:widowControl/>
              <w:jc w:val="left"/>
              <w:textAlignment w:val="center"/>
              <w:rPr>
                <w:highlight w:val="none"/>
              </w:rPr>
            </w:pPr>
            <w:r>
              <w:rPr>
                <w:rFonts w:hint="eastAsia"/>
                <w:highlight w:val="none"/>
              </w:rPr>
              <w:t>1</w:t>
            </w:r>
            <w:r>
              <w:rPr>
                <w:rFonts w:hint="eastAsia"/>
                <w:highlight w:val="none"/>
                <w:lang w:val="en-US" w:eastAsia="zh-CN"/>
              </w:rPr>
              <w:t>1</w:t>
            </w:r>
            <w:r>
              <w:rPr>
                <w:rFonts w:hint="eastAsia"/>
                <w:highlight w:val="none"/>
              </w:rPr>
              <w:t>）含水质监测站房及工业空调；</w:t>
            </w:r>
          </w:p>
          <w:p>
            <w:pPr>
              <w:widowControl/>
              <w:jc w:val="left"/>
              <w:textAlignment w:val="center"/>
              <w:rPr>
                <w:highlight w:val="none"/>
              </w:rPr>
            </w:pPr>
            <w:r>
              <w:rPr>
                <w:rFonts w:hint="eastAsia"/>
                <w:highlight w:val="none"/>
              </w:rPr>
              <w:t>★提供由省级及以上检测部门出具的产品有效技术评价分析报告证明材料；</w:t>
            </w:r>
          </w:p>
          <w:p>
            <w:pPr>
              <w:widowControl/>
              <w:jc w:val="left"/>
              <w:textAlignment w:val="center"/>
              <w:rPr>
                <w:color w:val="000000"/>
                <w:szCs w:val="21"/>
                <w:highlight w:val="none"/>
              </w:rPr>
            </w:pPr>
            <w:r>
              <w:rPr>
                <w:rFonts w:hint="eastAsia"/>
                <w:highlight w:val="none"/>
              </w:rPr>
              <w:t>★提供生产厂家中国环境保护产品认证的证书复印件。</w:t>
            </w:r>
          </w:p>
        </w:tc>
        <w:tc>
          <w:tcPr>
            <w:tcW w:w="1204" w:type="dxa"/>
            <w:tcBorders>
              <w:left w:val="single" w:color="auto" w:sz="4" w:space="0"/>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台</w:t>
            </w:r>
          </w:p>
        </w:tc>
        <w:tc>
          <w:tcPr>
            <w:tcW w:w="1370" w:type="dxa"/>
            <w:tcBorders>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1112" w:type="dxa"/>
            <w:vMerge w:val="continue"/>
            <w:tcBorders>
              <w:tl2br w:val="nil"/>
              <w:tr2bl w:val="nil"/>
            </w:tcBorders>
            <w:shd w:val="clear" w:color="auto" w:fill="auto"/>
            <w:vAlign w:val="center"/>
          </w:tcPr>
          <w:p>
            <w:pPr>
              <w:widowControl/>
              <w:jc w:val="left"/>
              <w:rPr>
                <w:b/>
                <w:bCs/>
                <w:color w:val="000000"/>
                <w:szCs w:val="21"/>
                <w:highlight w:val="none"/>
              </w:rPr>
            </w:pPr>
          </w:p>
        </w:tc>
        <w:tc>
          <w:tcPr>
            <w:tcW w:w="1692" w:type="dxa"/>
            <w:gridSpan w:val="2"/>
            <w:tcBorders>
              <w:tl2br w:val="nil"/>
              <w:tr2bl w:val="nil"/>
            </w:tcBorders>
            <w:shd w:val="clear" w:color="auto" w:fill="auto"/>
            <w:noWrap/>
            <w:vAlign w:val="center"/>
          </w:tcPr>
          <w:p>
            <w:pPr>
              <w:widowControl/>
              <w:jc w:val="left"/>
              <w:textAlignment w:val="center"/>
              <w:rPr>
                <w:color w:val="000000"/>
                <w:szCs w:val="21"/>
                <w:highlight w:val="none"/>
              </w:rPr>
            </w:pPr>
            <w:r>
              <w:rPr>
                <w:color w:val="000000"/>
                <w:kern w:val="0"/>
                <w:szCs w:val="21"/>
                <w:highlight w:val="none"/>
                <w:lang w:bidi="ar"/>
              </w:rPr>
              <w:t>水质自动采样仪</w:t>
            </w:r>
          </w:p>
        </w:tc>
        <w:tc>
          <w:tcPr>
            <w:tcW w:w="8825" w:type="dxa"/>
            <w:tcBorders>
              <w:right w:val="single" w:color="auto" w:sz="4" w:space="0"/>
              <w:tl2br w:val="nil"/>
              <w:tr2bl w:val="nil"/>
            </w:tcBorders>
            <w:shd w:val="clear" w:color="auto" w:fill="auto"/>
            <w:vAlign w:val="center"/>
          </w:tcPr>
          <w:p>
            <w:pPr>
              <w:widowControl/>
              <w:jc w:val="left"/>
              <w:textAlignment w:val="center"/>
              <w:rPr>
                <w:highlight w:val="none"/>
              </w:rPr>
            </w:pPr>
            <w:r>
              <w:rPr>
                <w:rFonts w:hint="eastAsia"/>
                <w:highlight w:val="none"/>
              </w:rPr>
              <w:t>1)符合环保部行业标准《HJ/T372-2007》的技术要求</w:t>
            </w:r>
          </w:p>
          <w:p>
            <w:pPr>
              <w:widowControl/>
              <w:jc w:val="left"/>
              <w:textAlignment w:val="center"/>
              <w:rPr>
                <w:highlight w:val="none"/>
              </w:rPr>
            </w:pPr>
            <w:r>
              <w:rPr>
                <w:rFonts w:hint="eastAsia"/>
                <w:highlight w:val="none"/>
              </w:rPr>
              <w:t>2)采样时间间隔1～99h59min</w:t>
            </w:r>
          </w:p>
          <w:p>
            <w:pPr>
              <w:widowControl/>
              <w:jc w:val="left"/>
              <w:textAlignment w:val="center"/>
              <w:rPr>
                <w:highlight w:val="none"/>
              </w:rPr>
            </w:pPr>
            <w:r>
              <w:rPr>
                <w:rFonts w:hint="eastAsia"/>
                <w:highlight w:val="none"/>
              </w:rPr>
              <w:t>3)采样量：1～2000mL</w:t>
            </w:r>
          </w:p>
          <w:p>
            <w:pPr>
              <w:widowControl/>
              <w:jc w:val="left"/>
              <w:textAlignment w:val="center"/>
              <w:rPr>
                <w:color w:val="000000"/>
                <w:szCs w:val="21"/>
                <w:highlight w:val="none"/>
              </w:rPr>
            </w:pPr>
            <w:r>
              <w:rPr>
                <w:rFonts w:hint="eastAsia"/>
                <w:highlight w:val="none"/>
              </w:rPr>
              <w:t>4)等比例采样误差:</w:t>
            </w:r>
            <w:r>
              <w:rPr>
                <w:rFonts w:hint="eastAsia"/>
                <w:highlight w:val="none"/>
                <w:lang w:eastAsia="zh-CN"/>
              </w:rPr>
              <w:t>优于</w:t>
            </w:r>
            <w:r>
              <w:rPr>
                <w:rFonts w:hint="eastAsia"/>
                <w:highlight w:val="none"/>
              </w:rPr>
              <w:t>±5％</w:t>
            </w:r>
          </w:p>
        </w:tc>
        <w:tc>
          <w:tcPr>
            <w:tcW w:w="1204" w:type="dxa"/>
            <w:tcBorders>
              <w:left w:val="single" w:color="auto" w:sz="4" w:space="0"/>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台</w:t>
            </w:r>
          </w:p>
        </w:tc>
        <w:tc>
          <w:tcPr>
            <w:tcW w:w="1370" w:type="dxa"/>
            <w:tcBorders>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1112" w:type="dxa"/>
            <w:vMerge w:val="continue"/>
            <w:tcBorders>
              <w:tl2br w:val="nil"/>
              <w:tr2bl w:val="nil"/>
            </w:tcBorders>
            <w:shd w:val="clear" w:color="auto" w:fill="auto"/>
            <w:vAlign w:val="center"/>
          </w:tcPr>
          <w:p>
            <w:pPr>
              <w:widowControl/>
              <w:jc w:val="left"/>
              <w:rPr>
                <w:b/>
                <w:bCs/>
                <w:color w:val="000000"/>
                <w:szCs w:val="21"/>
                <w:highlight w:val="none"/>
              </w:rPr>
            </w:pPr>
          </w:p>
        </w:tc>
        <w:tc>
          <w:tcPr>
            <w:tcW w:w="1692" w:type="dxa"/>
            <w:gridSpan w:val="2"/>
            <w:tcBorders>
              <w:tl2br w:val="nil"/>
              <w:tr2bl w:val="nil"/>
            </w:tcBorders>
            <w:shd w:val="clear" w:color="auto" w:fill="auto"/>
            <w:noWrap/>
            <w:vAlign w:val="center"/>
          </w:tcPr>
          <w:p>
            <w:pPr>
              <w:widowControl/>
              <w:jc w:val="left"/>
              <w:textAlignment w:val="center"/>
              <w:rPr>
                <w:color w:val="000000"/>
                <w:szCs w:val="21"/>
                <w:highlight w:val="none"/>
              </w:rPr>
            </w:pPr>
            <w:r>
              <w:rPr>
                <w:color w:val="000000"/>
                <w:kern w:val="0"/>
                <w:szCs w:val="21"/>
                <w:highlight w:val="none"/>
                <w:lang w:bidi="ar"/>
              </w:rPr>
              <w:t>SS监测仪器</w:t>
            </w:r>
          </w:p>
        </w:tc>
        <w:tc>
          <w:tcPr>
            <w:tcW w:w="8825" w:type="dxa"/>
            <w:tcBorders>
              <w:right w:val="single" w:color="auto" w:sz="4" w:space="0"/>
              <w:tl2br w:val="nil"/>
              <w:tr2bl w:val="nil"/>
            </w:tcBorders>
            <w:shd w:val="clear" w:color="auto" w:fill="auto"/>
            <w:vAlign w:val="center"/>
          </w:tcPr>
          <w:p>
            <w:pPr>
              <w:widowControl/>
              <w:jc w:val="left"/>
              <w:textAlignment w:val="center"/>
              <w:rPr>
                <w:highlight w:val="none"/>
              </w:rPr>
            </w:pPr>
            <w:r>
              <w:rPr>
                <w:rFonts w:hint="eastAsia"/>
                <w:highlight w:val="none"/>
              </w:rPr>
              <w:t>1)主机防护：防护等级IP68；</w:t>
            </w:r>
          </w:p>
          <w:p>
            <w:pPr>
              <w:widowControl/>
              <w:jc w:val="left"/>
              <w:textAlignment w:val="center"/>
              <w:rPr>
                <w:highlight w:val="none"/>
              </w:rPr>
            </w:pPr>
            <w:r>
              <w:rPr>
                <w:rFonts w:hint="eastAsia"/>
                <w:highlight w:val="none"/>
              </w:rPr>
              <w:t>2)测量范围：0~10000mg/L；</w:t>
            </w:r>
          </w:p>
          <w:p>
            <w:pPr>
              <w:widowControl/>
              <w:jc w:val="left"/>
              <w:textAlignment w:val="center"/>
              <w:rPr>
                <w:highlight w:val="none"/>
              </w:rPr>
            </w:pPr>
            <w:r>
              <w:rPr>
                <w:rFonts w:hint="eastAsia"/>
                <w:highlight w:val="none"/>
              </w:rPr>
              <w:t>3)测量精度：≤±5% 或±20mg/L（取大者）；</w:t>
            </w:r>
          </w:p>
          <w:p>
            <w:pPr>
              <w:widowControl/>
              <w:jc w:val="left"/>
              <w:textAlignment w:val="center"/>
              <w:rPr>
                <w:highlight w:val="none"/>
              </w:rPr>
            </w:pPr>
            <w:r>
              <w:rPr>
                <w:rFonts w:hint="eastAsia"/>
                <w:highlight w:val="none"/>
              </w:rPr>
              <w:t>4)分辨率：1mg/L；</w:t>
            </w:r>
          </w:p>
          <w:p>
            <w:pPr>
              <w:widowControl/>
              <w:jc w:val="left"/>
              <w:textAlignment w:val="center"/>
              <w:rPr>
                <w:highlight w:val="none"/>
              </w:rPr>
            </w:pPr>
            <w:r>
              <w:rPr>
                <w:rFonts w:hint="eastAsia"/>
                <w:highlight w:val="none"/>
                <w:lang w:val="en-US" w:eastAsia="zh-CN"/>
              </w:rPr>
              <w:t>5</w:t>
            </w:r>
            <w:r>
              <w:rPr>
                <w:rFonts w:hint="eastAsia"/>
                <w:highlight w:val="none"/>
              </w:rPr>
              <w:t>)电源：DC12~24V，电流＜50mA；</w:t>
            </w:r>
          </w:p>
          <w:p>
            <w:pPr>
              <w:widowControl/>
              <w:jc w:val="left"/>
              <w:textAlignment w:val="center"/>
              <w:rPr>
                <w:highlight w:val="none"/>
              </w:rPr>
            </w:pPr>
            <w:r>
              <w:rPr>
                <w:rFonts w:hint="eastAsia"/>
                <w:highlight w:val="none"/>
                <w:lang w:val="en-US" w:eastAsia="zh-CN"/>
              </w:rPr>
              <w:t>6</w:t>
            </w:r>
            <w:r>
              <w:rPr>
                <w:rFonts w:hint="eastAsia"/>
                <w:highlight w:val="none"/>
              </w:rPr>
              <w:t>)最深深度：水下30米；</w:t>
            </w:r>
          </w:p>
          <w:p>
            <w:pPr>
              <w:widowControl/>
              <w:jc w:val="left"/>
              <w:textAlignment w:val="center"/>
              <w:rPr>
                <w:highlight w:val="none"/>
              </w:rPr>
            </w:pPr>
            <w:r>
              <w:rPr>
                <w:rFonts w:hint="eastAsia"/>
                <w:highlight w:val="none"/>
                <w:lang w:val="en-US" w:eastAsia="zh-CN"/>
              </w:rPr>
              <w:t>7</w:t>
            </w:r>
            <w:r>
              <w:rPr>
                <w:rFonts w:hint="eastAsia"/>
                <w:highlight w:val="none"/>
              </w:rPr>
              <w:t>)温度范围：0~50℃；</w:t>
            </w:r>
          </w:p>
          <w:p>
            <w:pPr>
              <w:widowControl/>
              <w:jc w:val="left"/>
              <w:textAlignment w:val="center"/>
              <w:rPr>
                <w:rFonts w:hint="eastAsia"/>
                <w:highlight w:val="none"/>
              </w:rPr>
            </w:pPr>
            <w:r>
              <w:rPr>
                <w:rFonts w:hint="eastAsia"/>
                <w:highlight w:val="none"/>
                <w:lang w:val="en-US" w:eastAsia="zh-CN"/>
              </w:rPr>
              <w:t>8</w:t>
            </w:r>
            <w:r>
              <w:rPr>
                <w:rFonts w:hint="eastAsia"/>
                <w:highlight w:val="none"/>
              </w:rPr>
              <w:t>)主机：防护等级：IP68；电池容量：≥76Ah；</w:t>
            </w:r>
          </w:p>
          <w:p>
            <w:pPr>
              <w:widowControl/>
              <w:jc w:val="left"/>
              <w:textAlignment w:val="center"/>
              <w:rPr>
                <w:color w:val="000000"/>
                <w:szCs w:val="21"/>
                <w:highlight w:val="none"/>
              </w:rPr>
            </w:pPr>
            <w:r>
              <w:rPr>
                <w:rFonts w:hint="eastAsia"/>
                <w:highlight w:val="none"/>
                <w:lang w:val="en-US" w:eastAsia="zh-CN"/>
              </w:rPr>
              <w:t>9)</w:t>
            </w:r>
            <w:r>
              <w:rPr>
                <w:rFonts w:hint="eastAsia"/>
                <w:highlight w:val="none"/>
              </w:rPr>
              <w:t>通讯方式：4G/NB-IOT/其他通讯方式；</w:t>
            </w:r>
            <w:r>
              <w:rPr>
                <w:color w:val="000000"/>
                <w:szCs w:val="21"/>
                <w:highlight w:val="none"/>
              </w:rPr>
              <w:t xml:space="preserve"> </w:t>
            </w:r>
          </w:p>
        </w:tc>
        <w:tc>
          <w:tcPr>
            <w:tcW w:w="1204" w:type="dxa"/>
            <w:tcBorders>
              <w:left w:val="single" w:color="auto" w:sz="4" w:space="0"/>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台</w:t>
            </w:r>
          </w:p>
        </w:tc>
        <w:tc>
          <w:tcPr>
            <w:tcW w:w="1370" w:type="dxa"/>
            <w:tcBorders>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1112" w:type="dxa"/>
            <w:vMerge w:val="continue"/>
            <w:tcBorders>
              <w:tl2br w:val="nil"/>
              <w:tr2bl w:val="nil"/>
            </w:tcBorders>
            <w:shd w:val="clear" w:color="auto" w:fill="auto"/>
            <w:vAlign w:val="center"/>
          </w:tcPr>
          <w:p>
            <w:pPr>
              <w:widowControl/>
              <w:jc w:val="left"/>
              <w:rPr>
                <w:b/>
                <w:bCs/>
                <w:color w:val="000000"/>
                <w:szCs w:val="21"/>
                <w:highlight w:val="none"/>
              </w:rPr>
            </w:pPr>
          </w:p>
        </w:tc>
        <w:tc>
          <w:tcPr>
            <w:tcW w:w="1692" w:type="dxa"/>
            <w:gridSpan w:val="2"/>
            <w:tcBorders>
              <w:tl2br w:val="nil"/>
              <w:tr2bl w:val="nil"/>
            </w:tcBorders>
            <w:shd w:val="clear" w:color="auto" w:fill="auto"/>
            <w:noWrap/>
            <w:vAlign w:val="center"/>
          </w:tcPr>
          <w:p>
            <w:pPr>
              <w:widowControl/>
              <w:jc w:val="left"/>
              <w:textAlignment w:val="center"/>
              <w:rPr>
                <w:color w:val="000000"/>
                <w:szCs w:val="21"/>
                <w:highlight w:val="none"/>
              </w:rPr>
            </w:pPr>
            <w:r>
              <w:rPr>
                <w:color w:val="000000"/>
                <w:kern w:val="0"/>
                <w:szCs w:val="21"/>
                <w:highlight w:val="none"/>
                <w:lang w:bidi="ar"/>
              </w:rPr>
              <w:t>H2S监测仪器</w:t>
            </w:r>
          </w:p>
        </w:tc>
        <w:tc>
          <w:tcPr>
            <w:tcW w:w="8825" w:type="dxa"/>
            <w:tcBorders>
              <w:right w:val="single" w:color="auto" w:sz="4" w:space="0"/>
              <w:tl2br w:val="nil"/>
              <w:tr2bl w:val="nil"/>
            </w:tcBorders>
            <w:shd w:val="clear" w:color="auto" w:fill="auto"/>
            <w:vAlign w:val="center"/>
          </w:tcPr>
          <w:p>
            <w:pPr>
              <w:widowControl/>
              <w:jc w:val="left"/>
              <w:textAlignment w:val="center"/>
              <w:rPr>
                <w:rFonts w:hint="eastAsia"/>
                <w:highlight w:val="none"/>
              </w:rPr>
            </w:pPr>
            <w:r>
              <w:rPr>
                <w:rFonts w:hint="eastAsia"/>
                <w:highlight w:val="none"/>
              </w:rPr>
              <w:t>1) 量程：0-1000 ppm</w:t>
            </w:r>
          </w:p>
          <w:p>
            <w:pPr>
              <w:widowControl/>
              <w:jc w:val="left"/>
              <w:textAlignment w:val="center"/>
              <w:rPr>
                <w:rFonts w:hint="eastAsia"/>
                <w:highlight w:val="none"/>
              </w:rPr>
            </w:pPr>
            <w:r>
              <w:rPr>
                <w:rFonts w:hint="eastAsia"/>
                <w:highlight w:val="none"/>
              </w:rPr>
              <w:t>2) 传感器形式： 电化学式传感器；</w:t>
            </w:r>
          </w:p>
          <w:p>
            <w:pPr>
              <w:widowControl/>
              <w:jc w:val="left"/>
              <w:textAlignment w:val="center"/>
              <w:rPr>
                <w:rFonts w:hint="eastAsia"/>
                <w:highlight w:val="none"/>
              </w:rPr>
            </w:pPr>
            <w:r>
              <w:rPr>
                <w:rFonts w:hint="eastAsia"/>
                <w:highlight w:val="none"/>
                <w:lang w:val="en-US" w:eastAsia="zh-CN"/>
              </w:rPr>
              <w:t>3</w:t>
            </w:r>
            <w:r>
              <w:rPr>
                <w:rFonts w:hint="eastAsia"/>
                <w:highlight w:val="none"/>
              </w:rPr>
              <w:t>) 气体精度： +/-2ppm @20ppm gas(常温常压下）；</w:t>
            </w:r>
          </w:p>
          <w:p>
            <w:pPr>
              <w:widowControl/>
              <w:jc w:val="left"/>
              <w:textAlignment w:val="center"/>
              <w:rPr>
                <w:rFonts w:hint="eastAsia"/>
                <w:highlight w:val="none"/>
              </w:rPr>
            </w:pPr>
            <w:r>
              <w:rPr>
                <w:rFonts w:hint="eastAsia"/>
                <w:highlight w:val="none"/>
                <w:lang w:val="en-US" w:eastAsia="zh-CN"/>
              </w:rPr>
              <w:t>4</w:t>
            </w:r>
            <w:r>
              <w:rPr>
                <w:rFonts w:hint="eastAsia"/>
                <w:highlight w:val="none"/>
              </w:rPr>
              <w:t>) 仪器温度范围：-20℃—50℃ ；</w:t>
            </w:r>
          </w:p>
          <w:p>
            <w:pPr>
              <w:widowControl/>
              <w:jc w:val="left"/>
              <w:textAlignment w:val="center"/>
              <w:rPr>
                <w:rFonts w:hint="eastAsia"/>
                <w:highlight w:val="none"/>
              </w:rPr>
            </w:pPr>
            <w:r>
              <w:rPr>
                <w:rFonts w:hint="eastAsia"/>
                <w:highlight w:val="none"/>
                <w:lang w:val="en-US" w:eastAsia="zh-CN"/>
              </w:rPr>
              <w:t>5</w:t>
            </w:r>
            <w:r>
              <w:rPr>
                <w:rFonts w:hint="eastAsia"/>
                <w:highlight w:val="none"/>
              </w:rPr>
              <w:t>) 防护等级： IP66；</w:t>
            </w:r>
          </w:p>
          <w:p>
            <w:pPr>
              <w:widowControl/>
              <w:jc w:val="left"/>
              <w:textAlignment w:val="center"/>
              <w:rPr>
                <w:rFonts w:hint="eastAsia"/>
                <w:highlight w:val="none"/>
              </w:rPr>
            </w:pPr>
            <w:r>
              <w:rPr>
                <w:rFonts w:hint="eastAsia"/>
                <w:highlight w:val="none"/>
                <w:lang w:val="en-US" w:eastAsia="zh-CN"/>
              </w:rPr>
              <w:t>6</w:t>
            </w:r>
            <w:r>
              <w:rPr>
                <w:rFonts w:hint="eastAsia"/>
                <w:highlight w:val="none"/>
              </w:rPr>
              <w:t>) 数据间隔： 1秒至18 小时；</w:t>
            </w:r>
          </w:p>
          <w:p>
            <w:pPr>
              <w:widowControl/>
              <w:jc w:val="left"/>
              <w:textAlignment w:val="center"/>
              <w:rPr>
                <w:rFonts w:hint="eastAsia"/>
                <w:highlight w:val="none"/>
              </w:rPr>
            </w:pPr>
            <w:r>
              <w:rPr>
                <w:rFonts w:hint="eastAsia"/>
                <w:highlight w:val="none"/>
                <w:lang w:val="en-US" w:eastAsia="zh-CN"/>
              </w:rPr>
              <w:t>7</w:t>
            </w:r>
            <w:r>
              <w:rPr>
                <w:rFonts w:hint="eastAsia"/>
                <w:highlight w:val="none"/>
              </w:rPr>
              <w:t>) 数据存储量： 高达 3000000 个数据；</w:t>
            </w:r>
          </w:p>
          <w:p>
            <w:pPr>
              <w:widowControl/>
              <w:jc w:val="left"/>
              <w:textAlignment w:val="center"/>
              <w:rPr>
                <w:rFonts w:hint="eastAsia"/>
                <w:highlight w:val="none"/>
              </w:rPr>
            </w:pPr>
            <w:r>
              <w:rPr>
                <w:rFonts w:hint="eastAsia"/>
                <w:highlight w:val="none"/>
                <w:lang w:val="en-US" w:eastAsia="zh-CN"/>
              </w:rPr>
              <w:t>8</w:t>
            </w:r>
            <w:r>
              <w:rPr>
                <w:rFonts w:hint="eastAsia"/>
                <w:highlight w:val="none"/>
              </w:rPr>
              <w:t>) 数据传输：可进行有线或者无线数据下载；</w:t>
            </w:r>
          </w:p>
          <w:p>
            <w:pPr>
              <w:widowControl/>
              <w:jc w:val="left"/>
              <w:textAlignment w:val="center"/>
              <w:rPr>
                <w:color w:val="000000"/>
                <w:szCs w:val="21"/>
                <w:highlight w:val="none"/>
              </w:rPr>
            </w:pPr>
            <w:r>
              <w:rPr>
                <w:rFonts w:hint="eastAsia"/>
                <w:highlight w:val="none"/>
                <w:lang w:val="en-US" w:eastAsia="zh-CN"/>
              </w:rPr>
              <w:t>9</w:t>
            </w:r>
            <w:r>
              <w:rPr>
                <w:rFonts w:hint="eastAsia"/>
                <w:highlight w:val="none"/>
              </w:rPr>
              <w:t>) 远程通讯：主机附带4G等通讯模块。</w:t>
            </w:r>
          </w:p>
        </w:tc>
        <w:tc>
          <w:tcPr>
            <w:tcW w:w="1204" w:type="dxa"/>
            <w:tcBorders>
              <w:left w:val="single" w:color="auto" w:sz="4" w:space="0"/>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台</w:t>
            </w:r>
          </w:p>
        </w:tc>
        <w:tc>
          <w:tcPr>
            <w:tcW w:w="1370" w:type="dxa"/>
            <w:tcBorders>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1112" w:type="dxa"/>
            <w:vMerge w:val="continue"/>
            <w:tcBorders>
              <w:tl2br w:val="nil"/>
              <w:tr2bl w:val="nil"/>
            </w:tcBorders>
            <w:shd w:val="clear" w:color="auto" w:fill="auto"/>
            <w:vAlign w:val="center"/>
          </w:tcPr>
          <w:p>
            <w:pPr>
              <w:widowControl/>
              <w:jc w:val="left"/>
              <w:rPr>
                <w:b/>
                <w:bCs/>
                <w:color w:val="000000"/>
                <w:szCs w:val="21"/>
                <w:highlight w:val="none"/>
              </w:rPr>
            </w:pPr>
          </w:p>
        </w:tc>
        <w:tc>
          <w:tcPr>
            <w:tcW w:w="1692" w:type="dxa"/>
            <w:gridSpan w:val="2"/>
            <w:tcBorders>
              <w:tl2br w:val="nil"/>
              <w:tr2bl w:val="nil"/>
            </w:tcBorders>
            <w:shd w:val="clear" w:color="auto" w:fill="auto"/>
            <w:noWrap/>
            <w:vAlign w:val="center"/>
          </w:tcPr>
          <w:p>
            <w:pPr>
              <w:widowControl/>
              <w:jc w:val="left"/>
              <w:textAlignment w:val="center"/>
              <w:rPr>
                <w:color w:val="000000"/>
                <w:szCs w:val="21"/>
                <w:highlight w:val="none"/>
              </w:rPr>
            </w:pPr>
            <w:r>
              <w:rPr>
                <w:color w:val="000000"/>
                <w:kern w:val="0"/>
                <w:szCs w:val="21"/>
                <w:highlight w:val="none"/>
                <w:lang w:bidi="ar"/>
              </w:rPr>
              <w:t>视频监控</w:t>
            </w:r>
          </w:p>
        </w:tc>
        <w:tc>
          <w:tcPr>
            <w:tcW w:w="8825" w:type="dxa"/>
            <w:tcBorders>
              <w:right w:val="single" w:color="auto" w:sz="4" w:space="0"/>
              <w:tl2br w:val="nil"/>
              <w:tr2bl w:val="nil"/>
            </w:tcBorders>
            <w:shd w:val="clear" w:color="auto" w:fill="auto"/>
            <w:vAlign w:val="center"/>
          </w:tcPr>
          <w:p>
            <w:pPr>
              <w:widowControl/>
              <w:jc w:val="left"/>
              <w:textAlignment w:val="center"/>
              <w:rPr>
                <w:highlight w:val="none"/>
              </w:rPr>
            </w:pPr>
            <w:r>
              <w:rPr>
                <w:rFonts w:hint="eastAsia"/>
                <w:highlight w:val="none"/>
              </w:rPr>
              <w:t>1</w:t>
            </w:r>
            <w:r>
              <w:rPr>
                <w:highlight w:val="none"/>
              </w:rPr>
              <w:t>）像素：</w:t>
            </w:r>
            <w:r>
              <w:rPr>
                <w:rFonts w:hint="eastAsia"/>
                <w:highlight w:val="none"/>
              </w:rPr>
              <w:t>≥</w:t>
            </w:r>
            <w:r>
              <w:rPr>
                <w:highlight w:val="none"/>
              </w:rPr>
              <w:t>400万；</w:t>
            </w:r>
          </w:p>
          <w:p>
            <w:pPr>
              <w:widowControl/>
              <w:jc w:val="left"/>
              <w:textAlignment w:val="center"/>
              <w:rPr>
                <w:highlight w:val="none"/>
              </w:rPr>
            </w:pPr>
            <w:r>
              <w:rPr>
                <w:rFonts w:hint="eastAsia"/>
                <w:highlight w:val="none"/>
              </w:rPr>
              <w:t>2</w:t>
            </w:r>
            <w:r>
              <w:rPr>
                <w:highlight w:val="none"/>
              </w:rPr>
              <w:t>）最大分辨率：2560×1440；</w:t>
            </w:r>
          </w:p>
          <w:p>
            <w:pPr>
              <w:widowControl/>
              <w:jc w:val="left"/>
              <w:textAlignment w:val="center"/>
              <w:rPr>
                <w:highlight w:val="none"/>
              </w:rPr>
            </w:pPr>
            <w:r>
              <w:rPr>
                <w:rFonts w:hint="eastAsia"/>
                <w:highlight w:val="none"/>
              </w:rPr>
              <w:t>3</w:t>
            </w:r>
            <w:r>
              <w:rPr>
                <w:highlight w:val="none"/>
              </w:rPr>
              <w:t>）最低照度：彩色：0.005Lux@F1.6黑白：0.0005Lux@F1.60Lux（红外灯开启）；</w:t>
            </w:r>
          </w:p>
          <w:p>
            <w:pPr>
              <w:widowControl/>
              <w:jc w:val="left"/>
              <w:textAlignment w:val="center"/>
              <w:rPr>
                <w:highlight w:val="none"/>
              </w:rPr>
            </w:pPr>
            <w:r>
              <w:rPr>
                <w:rFonts w:hint="eastAsia"/>
                <w:highlight w:val="none"/>
              </w:rPr>
              <w:t>4</w:t>
            </w:r>
            <w:r>
              <w:rPr>
                <w:highlight w:val="none"/>
              </w:rPr>
              <w:t>）最大补光距离</w:t>
            </w:r>
            <w:r>
              <w:rPr>
                <w:rFonts w:hint="eastAsia"/>
                <w:highlight w:val="none"/>
              </w:rPr>
              <w:t>≥</w:t>
            </w:r>
            <w:r>
              <w:rPr>
                <w:highlight w:val="none"/>
              </w:rPr>
              <w:t>250m（红外）；</w:t>
            </w:r>
          </w:p>
          <w:p>
            <w:pPr>
              <w:widowControl/>
              <w:jc w:val="left"/>
              <w:textAlignment w:val="center"/>
              <w:rPr>
                <w:highlight w:val="none"/>
              </w:rPr>
            </w:pPr>
            <w:r>
              <w:rPr>
                <w:rFonts w:hint="eastAsia"/>
                <w:highlight w:val="none"/>
              </w:rPr>
              <w:t>5</w:t>
            </w:r>
            <w:r>
              <w:rPr>
                <w:highlight w:val="none"/>
              </w:rPr>
              <w:t>）光学变倍</w:t>
            </w:r>
            <w:r>
              <w:rPr>
                <w:rFonts w:hint="eastAsia"/>
                <w:highlight w:val="none"/>
              </w:rPr>
              <w:t>≥</w:t>
            </w:r>
            <w:r>
              <w:rPr>
                <w:highlight w:val="none"/>
              </w:rPr>
              <w:t>32倍；</w:t>
            </w:r>
          </w:p>
          <w:p>
            <w:pPr>
              <w:widowControl/>
              <w:jc w:val="left"/>
              <w:textAlignment w:val="center"/>
              <w:rPr>
                <w:highlight w:val="none"/>
              </w:rPr>
            </w:pPr>
            <w:r>
              <w:rPr>
                <w:rFonts w:hint="eastAsia"/>
                <w:highlight w:val="none"/>
              </w:rPr>
              <w:t>6</w:t>
            </w:r>
            <w:r>
              <w:rPr>
                <w:highlight w:val="none"/>
              </w:rPr>
              <w:t>）视频结构化：支持机动车、非机动车、人体检测；支持优选；支持抓拍；支持上报最优的抓图。</w:t>
            </w:r>
          </w:p>
          <w:p>
            <w:pPr>
              <w:widowControl/>
              <w:jc w:val="left"/>
              <w:textAlignment w:val="center"/>
              <w:rPr>
                <w:highlight w:val="none"/>
              </w:rPr>
            </w:pPr>
            <w:r>
              <w:rPr>
                <w:rFonts w:hint="eastAsia"/>
                <w:highlight w:val="none"/>
              </w:rPr>
              <w:t>7</w:t>
            </w:r>
            <w:r>
              <w:rPr>
                <w:highlight w:val="none"/>
              </w:rPr>
              <w:t>）周界防范：支持绊线入侵；支持区域入侵；支持穿越围栏；支持徘徊检测；支持物品遗留；支持物品搬移；支持快速移动；支持停车检测；支持人员聚集；支持联动跟踪；</w:t>
            </w:r>
          </w:p>
          <w:p>
            <w:pPr>
              <w:widowControl/>
              <w:jc w:val="left"/>
              <w:textAlignment w:val="center"/>
              <w:rPr>
                <w:highlight w:val="none"/>
              </w:rPr>
            </w:pPr>
            <w:r>
              <w:rPr>
                <w:rFonts w:hint="eastAsia"/>
                <w:highlight w:val="none"/>
              </w:rPr>
              <w:t>8</w:t>
            </w:r>
            <w:r>
              <w:rPr>
                <w:highlight w:val="none"/>
              </w:rPr>
              <w:t>）人脸检测：支持人脸检测；抓拍策略支持优选优先、实时抓拍、质量优先；支持人脸属性提取；</w:t>
            </w:r>
          </w:p>
          <w:p>
            <w:pPr>
              <w:widowControl/>
              <w:jc w:val="left"/>
              <w:textAlignment w:val="center"/>
              <w:rPr>
                <w:highlight w:val="none"/>
              </w:rPr>
            </w:pPr>
            <w:r>
              <w:rPr>
                <w:rFonts w:hint="eastAsia"/>
                <w:highlight w:val="none"/>
              </w:rPr>
              <w:t>9</w:t>
            </w:r>
            <w:r>
              <w:rPr>
                <w:highlight w:val="none"/>
              </w:rPr>
              <w:t>）防抖功能：电子防抖；</w:t>
            </w:r>
          </w:p>
          <w:p>
            <w:pPr>
              <w:widowControl/>
              <w:jc w:val="left"/>
              <w:textAlignment w:val="center"/>
              <w:rPr>
                <w:highlight w:val="none"/>
              </w:rPr>
            </w:pPr>
            <w:r>
              <w:rPr>
                <w:highlight w:val="none"/>
              </w:rPr>
              <w:t>1</w:t>
            </w:r>
            <w:r>
              <w:rPr>
                <w:rFonts w:hint="eastAsia"/>
                <w:highlight w:val="none"/>
              </w:rPr>
              <w:t>0</w:t>
            </w:r>
            <w:r>
              <w:rPr>
                <w:highlight w:val="none"/>
              </w:rPr>
              <w:t>）透雾功能：电子透雾；</w:t>
            </w:r>
          </w:p>
          <w:p>
            <w:pPr>
              <w:widowControl/>
              <w:jc w:val="left"/>
              <w:textAlignment w:val="center"/>
              <w:rPr>
                <w:highlight w:val="none"/>
              </w:rPr>
            </w:pPr>
            <w:r>
              <w:rPr>
                <w:highlight w:val="none"/>
              </w:rPr>
              <w:t>1</w:t>
            </w:r>
            <w:r>
              <w:rPr>
                <w:rFonts w:hint="eastAsia"/>
                <w:highlight w:val="none"/>
              </w:rPr>
              <w:t>1</w:t>
            </w:r>
            <w:r>
              <w:rPr>
                <w:highlight w:val="none"/>
              </w:rPr>
              <w:t>）语音对讲：支持；</w:t>
            </w:r>
          </w:p>
          <w:p>
            <w:pPr>
              <w:widowControl/>
              <w:jc w:val="left"/>
              <w:textAlignment w:val="center"/>
              <w:rPr>
                <w:highlight w:val="none"/>
              </w:rPr>
            </w:pPr>
            <w:r>
              <w:rPr>
                <w:highlight w:val="none"/>
              </w:rPr>
              <w:t>1</w:t>
            </w:r>
            <w:r>
              <w:rPr>
                <w:rFonts w:hint="eastAsia"/>
                <w:highlight w:val="none"/>
              </w:rPr>
              <w:t>2</w:t>
            </w:r>
            <w:r>
              <w:rPr>
                <w:highlight w:val="none"/>
              </w:rPr>
              <w:t>）报警输入：2路，开关量输入（0~5V DC）；</w:t>
            </w:r>
          </w:p>
          <w:p>
            <w:pPr>
              <w:widowControl/>
              <w:jc w:val="left"/>
              <w:textAlignment w:val="center"/>
              <w:rPr>
                <w:highlight w:val="none"/>
              </w:rPr>
            </w:pPr>
            <w:r>
              <w:rPr>
                <w:highlight w:val="none"/>
              </w:rPr>
              <w:t>1</w:t>
            </w:r>
            <w:r>
              <w:rPr>
                <w:rFonts w:hint="eastAsia"/>
                <w:highlight w:val="none"/>
              </w:rPr>
              <w:t>3</w:t>
            </w:r>
            <w:r>
              <w:rPr>
                <w:highlight w:val="none"/>
              </w:rPr>
              <w:t>）供电方式：DC24V /2.5A±30%（标配）；</w:t>
            </w:r>
          </w:p>
          <w:p>
            <w:pPr>
              <w:widowControl/>
              <w:jc w:val="left"/>
              <w:textAlignment w:val="center"/>
              <w:rPr>
                <w:highlight w:val="none"/>
              </w:rPr>
            </w:pPr>
            <w:r>
              <w:rPr>
                <w:highlight w:val="none"/>
              </w:rPr>
              <w:t>1</w:t>
            </w:r>
            <w:r>
              <w:rPr>
                <w:rFonts w:hint="eastAsia"/>
                <w:highlight w:val="none"/>
              </w:rPr>
              <w:t>4</w:t>
            </w:r>
            <w:r>
              <w:rPr>
                <w:highlight w:val="none"/>
              </w:rPr>
              <w:t>）支持IP67防护等级，6000V防雷、防浪涌和防突波保护</w:t>
            </w:r>
          </w:p>
          <w:p>
            <w:pPr>
              <w:widowControl/>
              <w:jc w:val="left"/>
              <w:textAlignment w:val="center"/>
              <w:rPr>
                <w:color w:val="000000"/>
                <w:szCs w:val="21"/>
                <w:highlight w:val="none"/>
              </w:rPr>
            </w:pPr>
            <w:r>
              <w:rPr>
                <w:rFonts w:hint="eastAsia" w:ascii="Times New Roman" w:hAnsi="Times New Roman" w:eastAsia="宋体" w:cs="Times New Roman"/>
                <w:kern w:val="2"/>
                <w:sz w:val="21"/>
                <w:szCs w:val="24"/>
                <w:highlight w:val="none"/>
                <w:lang w:val="en-US" w:eastAsia="zh-CN" w:bidi="ar-SA"/>
              </w:rPr>
              <w:t>15</w:t>
            </w:r>
            <w:r>
              <w:rPr>
                <w:rFonts w:hint="eastAsia" w:cs="Times New Roman"/>
                <w:kern w:val="2"/>
                <w:sz w:val="21"/>
                <w:szCs w:val="24"/>
                <w:highlight w:val="none"/>
                <w:lang w:val="en-US" w:eastAsia="zh-CN" w:bidi="ar-SA"/>
              </w:rPr>
              <w:t>）</w:t>
            </w:r>
            <w:r>
              <w:rPr>
                <w:rFonts w:hint="eastAsia" w:ascii="Times New Roman" w:hAnsi="Times New Roman" w:eastAsia="宋体" w:cs="Times New Roman"/>
                <w:kern w:val="2"/>
                <w:sz w:val="21"/>
                <w:szCs w:val="24"/>
                <w:highlight w:val="none"/>
                <w:lang w:val="en-US" w:eastAsia="zh-CN" w:bidi="ar-SA"/>
              </w:rPr>
              <w:t>配置存储容量不低于128GB</w:t>
            </w:r>
          </w:p>
        </w:tc>
        <w:tc>
          <w:tcPr>
            <w:tcW w:w="1204" w:type="dxa"/>
            <w:tcBorders>
              <w:left w:val="single" w:color="auto" w:sz="4" w:space="0"/>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台</w:t>
            </w:r>
          </w:p>
        </w:tc>
        <w:tc>
          <w:tcPr>
            <w:tcW w:w="1370" w:type="dxa"/>
            <w:tcBorders>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1112" w:type="dxa"/>
            <w:vMerge w:val="restart"/>
            <w:tcBorders>
              <w:tl2br w:val="nil"/>
              <w:tr2bl w:val="nil"/>
            </w:tcBorders>
            <w:shd w:val="clear" w:color="auto" w:fill="auto"/>
            <w:vAlign w:val="center"/>
          </w:tcPr>
          <w:p>
            <w:pPr>
              <w:widowControl/>
              <w:jc w:val="left"/>
              <w:textAlignment w:val="center"/>
              <w:rPr>
                <w:b/>
                <w:bCs/>
                <w:color w:val="000000"/>
                <w:szCs w:val="21"/>
                <w:highlight w:val="none"/>
              </w:rPr>
            </w:pPr>
            <w:r>
              <w:rPr>
                <w:b/>
                <w:bCs/>
                <w:color w:val="000000"/>
                <w:kern w:val="0"/>
                <w:szCs w:val="21"/>
                <w:highlight w:val="none"/>
                <w:lang w:bidi="ar"/>
              </w:rPr>
              <w:t>多媒体</w:t>
            </w:r>
          </w:p>
        </w:tc>
        <w:tc>
          <w:tcPr>
            <w:tcW w:w="1692" w:type="dxa"/>
            <w:gridSpan w:val="2"/>
            <w:tcBorders>
              <w:tl2br w:val="nil"/>
              <w:tr2bl w:val="nil"/>
            </w:tcBorders>
            <w:shd w:val="clear" w:color="auto" w:fill="auto"/>
            <w:noWrap/>
            <w:vAlign w:val="center"/>
          </w:tcPr>
          <w:p>
            <w:pPr>
              <w:widowControl/>
              <w:jc w:val="left"/>
              <w:textAlignment w:val="center"/>
              <w:rPr>
                <w:color w:val="000000"/>
                <w:szCs w:val="21"/>
                <w:highlight w:val="none"/>
              </w:rPr>
            </w:pPr>
            <w:r>
              <w:rPr>
                <w:color w:val="000000"/>
                <w:kern w:val="0"/>
                <w:szCs w:val="21"/>
                <w:highlight w:val="none"/>
                <w:lang w:bidi="ar"/>
              </w:rPr>
              <w:t>高清显示大屏及配套设备</w:t>
            </w:r>
          </w:p>
        </w:tc>
        <w:tc>
          <w:tcPr>
            <w:tcW w:w="8825" w:type="dxa"/>
            <w:tcBorders>
              <w:right w:val="single" w:color="auto" w:sz="4" w:space="0"/>
              <w:tl2br w:val="nil"/>
              <w:tr2bl w:val="nil"/>
            </w:tcBorders>
            <w:shd w:val="clear" w:color="auto" w:fill="auto"/>
            <w:vAlign w:val="center"/>
          </w:tcPr>
          <w:p>
            <w:pPr>
              <w:widowControl/>
              <w:jc w:val="left"/>
              <w:textAlignment w:val="center"/>
              <w:rPr>
                <w:highlight w:val="none"/>
              </w:rPr>
            </w:pPr>
            <w:r>
              <w:rPr>
                <w:highlight w:val="none"/>
              </w:rPr>
              <w:t>1）像素间距：1.25mm；</w:t>
            </w:r>
          </w:p>
          <w:p>
            <w:pPr>
              <w:widowControl/>
              <w:jc w:val="left"/>
              <w:textAlignment w:val="center"/>
              <w:rPr>
                <w:highlight w:val="none"/>
              </w:rPr>
            </w:pPr>
            <w:r>
              <w:rPr>
                <w:highlight w:val="none"/>
              </w:rPr>
              <w:t>2）封装类型：SMD1010；</w:t>
            </w:r>
          </w:p>
          <w:p>
            <w:pPr>
              <w:widowControl/>
              <w:jc w:val="left"/>
              <w:textAlignment w:val="center"/>
              <w:rPr>
                <w:highlight w:val="none"/>
              </w:rPr>
            </w:pPr>
            <w:r>
              <w:rPr>
                <w:rFonts w:hint="eastAsia"/>
                <w:highlight w:val="none"/>
              </w:rPr>
              <w:t>3）模组分辨率：256*128</w:t>
            </w:r>
          </w:p>
          <w:p>
            <w:pPr>
              <w:widowControl/>
              <w:jc w:val="left"/>
              <w:textAlignment w:val="center"/>
              <w:rPr>
                <w:highlight w:val="none"/>
              </w:rPr>
            </w:pPr>
            <w:r>
              <w:rPr>
                <w:rFonts w:hint="eastAsia"/>
                <w:highlight w:val="none"/>
              </w:rPr>
              <w:t>4）模组尺寸：320mm*160mm</w:t>
            </w:r>
          </w:p>
          <w:p>
            <w:pPr>
              <w:widowControl/>
              <w:jc w:val="left"/>
              <w:textAlignment w:val="center"/>
              <w:rPr>
                <w:highlight w:val="none"/>
              </w:rPr>
            </w:pPr>
            <w:r>
              <w:rPr>
                <w:highlight w:val="none"/>
              </w:rPr>
              <w:t>5）像素密度：640000 dots/m²</w:t>
            </w:r>
          </w:p>
          <w:p>
            <w:pPr>
              <w:widowControl/>
              <w:jc w:val="left"/>
              <w:textAlignment w:val="center"/>
              <w:rPr>
                <w:highlight w:val="none"/>
              </w:rPr>
            </w:pPr>
            <w:r>
              <w:rPr>
                <w:highlight w:val="none"/>
              </w:rPr>
              <w:t>6）光学参数：灰度等级14 bit；颜色281.4 trillion；支持单点亮度校正；支持单点色度校正；发光点中心距偏差≤3%；亮度均匀性≥95%；色度均匀性：±0.005Cx,Cy之内；</w:t>
            </w:r>
          </w:p>
          <w:p>
            <w:pPr>
              <w:widowControl/>
              <w:jc w:val="left"/>
              <w:textAlignment w:val="center"/>
              <w:rPr>
                <w:highlight w:val="none"/>
              </w:rPr>
            </w:pPr>
            <w:r>
              <w:rPr>
                <w:highlight w:val="none"/>
              </w:rPr>
              <w:t>7）电气参数：输入电源AC100~230V/50~60 Hz；输入功率(最大值)≤660 W/m²；输入功率(典型值)≤220 W/m²</w:t>
            </w:r>
          </w:p>
          <w:p>
            <w:pPr>
              <w:widowControl/>
              <w:jc w:val="left"/>
              <w:textAlignment w:val="center"/>
              <w:rPr>
                <w:highlight w:val="none"/>
              </w:rPr>
            </w:pPr>
            <w:r>
              <w:rPr>
                <w:highlight w:val="none"/>
              </w:rPr>
              <w:t>8）环境参数：工作温湿度-10℃~+40℃/10%~65%RH（无结霜）；存储温湿度-15℃~+45℃/10%~60%RH（无结霜）</w:t>
            </w:r>
          </w:p>
          <w:p>
            <w:pPr>
              <w:widowControl/>
              <w:jc w:val="left"/>
              <w:textAlignment w:val="center"/>
              <w:rPr>
                <w:highlight w:val="none"/>
              </w:rPr>
            </w:pPr>
            <w:r>
              <w:rPr>
                <w:highlight w:val="none"/>
              </w:rPr>
              <w:t>9）维护方式：前维护/后维护</w:t>
            </w:r>
          </w:p>
          <w:p>
            <w:pPr>
              <w:widowControl/>
              <w:jc w:val="left"/>
              <w:textAlignment w:val="center"/>
              <w:rPr>
                <w:highlight w:val="none"/>
              </w:rPr>
            </w:pPr>
            <w:r>
              <w:rPr>
                <w:highlight w:val="none"/>
              </w:rPr>
              <w:t>10）标配单卡单电源</w:t>
            </w:r>
          </w:p>
          <w:p>
            <w:pPr>
              <w:widowControl/>
              <w:jc w:val="left"/>
              <w:textAlignment w:val="center"/>
              <w:rPr>
                <w:highlight w:val="none"/>
              </w:rPr>
            </w:pPr>
            <w:r>
              <w:rPr>
                <w:rFonts w:hint="eastAsia"/>
                <w:highlight w:val="none"/>
              </w:rPr>
              <w:t>11）配套支架框架及相应独立主控板卡</w:t>
            </w:r>
          </w:p>
          <w:p>
            <w:pPr>
              <w:widowControl/>
              <w:jc w:val="left"/>
              <w:textAlignment w:val="center"/>
              <w:rPr>
                <w:highlight w:val="none"/>
              </w:rPr>
            </w:pPr>
            <w:r>
              <w:rPr>
                <w:rFonts w:hint="eastAsia"/>
                <w:highlight w:val="none"/>
              </w:rPr>
              <w:t>★显示屏生产厂家服务能力符合国家标准《商品售后服务评价体系》GB/T27922-2011，且能力达到五星级；（提供相关证书）</w:t>
            </w:r>
          </w:p>
          <w:p>
            <w:pPr>
              <w:pStyle w:val="2"/>
              <w:ind w:left="0" w:leftChars="0" w:firstLine="0" w:firstLineChars="0"/>
              <w:rPr>
                <w:highlight w:val="none"/>
              </w:rPr>
            </w:pPr>
            <w:r>
              <w:rPr>
                <w:rFonts w:hint="eastAsia"/>
                <w:highlight w:val="none"/>
              </w:rPr>
              <w:t>★显示屏生产厂家是推动行业绿色发展先进单位；（提供相关证明）</w:t>
            </w:r>
          </w:p>
        </w:tc>
        <w:tc>
          <w:tcPr>
            <w:tcW w:w="1204" w:type="dxa"/>
            <w:tcBorders>
              <w:left w:val="single" w:color="auto" w:sz="4" w:space="0"/>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m</w:t>
            </w:r>
            <w:r>
              <w:rPr>
                <w:color w:val="000000"/>
                <w:kern w:val="0"/>
                <w:szCs w:val="21"/>
                <w:highlight w:val="none"/>
                <w:vertAlign w:val="superscript"/>
                <w:lang w:bidi="ar"/>
              </w:rPr>
              <w:t>2</w:t>
            </w:r>
          </w:p>
        </w:tc>
        <w:tc>
          <w:tcPr>
            <w:tcW w:w="1370" w:type="dxa"/>
            <w:tcBorders>
              <w:tl2br w:val="nil"/>
              <w:tr2bl w:val="nil"/>
            </w:tcBorders>
            <w:shd w:val="clear" w:color="auto" w:fill="auto"/>
            <w:vAlign w:val="center"/>
          </w:tcPr>
          <w:p>
            <w:pPr>
              <w:widowControl/>
              <w:jc w:val="center"/>
              <w:textAlignment w:val="center"/>
              <w:rPr>
                <w:rFonts w:hint="eastAsia" w:eastAsia="宋体"/>
                <w:color w:val="000000"/>
                <w:szCs w:val="21"/>
                <w:highlight w:val="none"/>
                <w:lang w:eastAsia="zh-CN"/>
              </w:rPr>
            </w:pPr>
            <w:r>
              <w:rPr>
                <w:rFonts w:hint="eastAsia"/>
                <w:color w:val="000000"/>
                <w:kern w:val="0"/>
                <w:szCs w:val="21"/>
                <w:highlight w:val="none"/>
                <w:lang w:bidi="ar"/>
              </w:rPr>
              <w:t>2</w:t>
            </w:r>
            <w:r>
              <w:rPr>
                <w:rFonts w:hint="eastAsia"/>
                <w:color w:val="000000"/>
                <w:kern w:val="0"/>
                <w:szCs w:val="21"/>
                <w:highlight w:val="none"/>
                <w:lang w:val="en-US" w:eastAsia="zh-CN" w:bidi="ar"/>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1112" w:type="dxa"/>
            <w:vMerge w:val="continue"/>
            <w:tcBorders>
              <w:tl2br w:val="nil"/>
              <w:tr2bl w:val="nil"/>
            </w:tcBorders>
            <w:shd w:val="clear" w:color="auto" w:fill="auto"/>
            <w:vAlign w:val="center"/>
          </w:tcPr>
          <w:p>
            <w:pPr>
              <w:widowControl/>
              <w:jc w:val="left"/>
              <w:textAlignment w:val="center"/>
              <w:rPr>
                <w:b/>
                <w:bCs/>
                <w:color w:val="000000"/>
                <w:kern w:val="0"/>
                <w:szCs w:val="21"/>
                <w:highlight w:val="none"/>
                <w:lang w:bidi="ar"/>
              </w:rPr>
            </w:pPr>
          </w:p>
        </w:tc>
        <w:tc>
          <w:tcPr>
            <w:tcW w:w="1692" w:type="dxa"/>
            <w:gridSpan w:val="2"/>
            <w:tcBorders>
              <w:tl2br w:val="nil"/>
              <w:tr2bl w:val="nil"/>
            </w:tcBorders>
            <w:shd w:val="clear" w:color="auto" w:fill="auto"/>
            <w:noWrap/>
            <w:vAlign w:val="center"/>
          </w:tcPr>
          <w:p>
            <w:pPr>
              <w:widowControl/>
              <w:jc w:val="left"/>
              <w:textAlignment w:val="center"/>
              <w:rPr>
                <w:color w:val="000000"/>
                <w:kern w:val="0"/>
                <w:szCs w:val="21"/>
                <w:highlight w:val="none"/>
                <w:lang w:bidi="ar"/>
              </w:rPr>
            </w:pPr>
            <w:r>
              <w:rPr>
                <w:rFonts w:hint="eastAsia"/>
                <w:color w:val="000000"/>
                <w:kern w:val="0"/>
                <w:sz w:val="22"/>
                <w:szCs w:val="22"/>
                <w:highlight w:val="none"/>
                <w:lang w:bidi="ar"/>
              </w:rPr>
              <w:t>视频矩阵</w:t>
            </w:r>
          </w:p>
        </w:tc>
        <w:tc>
          <w:tcPr>
            <w:tcW w:w="8825" w:type="dxa"/>
            <w:tcBorders>
              <w:right w:val="single" w:color="auto" w:sz="4" w:space="0"/>
              <w:tl2br w:val="nil"/>
              <w:tr2bl w:val="nil"/>
            </w:tcBorders>
            <w:shd w:val="clear" w:color="auto" w:fill="auto"/>
            <w:vAlign w:val="center"/>
          </w:tcPr>
          <w:p>
            <w:pPr>
              <w:widowControl/>
              <w:jc w:val="left"/>
              <w:textAlignment w:val="center"/>
              <w:rPr>
                <w:color w:val="000000"/>
                <w:kern w:val="0"/>
                <w:sz w:val="22"/>
                <w:szCs w:val="22"/>
                <w:highlight w:val="none"/>
                <w:lang w:bidi="ar"/>
              </w:rPr>
            </w:pPr>
            <w:r>
              <w:rPr>
                <w:rFonts w:hint="eastAsia"/>
                <w:color w:val="000000"/>
                <w:kern w:val="0"/>
                <w:sz w:val="22"/>
                <w:szCs w:val="22"/>
                <w:highlight w:val="none"/>
                <w:lang w:bidi="ar"/>
              </w:rPr>
              <w:t>1）标准19”的4U机架设计，电信运营级机箱系统</w:t>
            </w:r>
          </w:p>
          <w:p>
            <w:pPr>
              <w:widowControl/>
              <w:jc w:val="left"/>
              <w:textAlignment w:val="center"/>
              <w:rPr>
                <w:color w:val="000000"/>
                <w:kern w:val="0"/>
                <w:sz w:val="22"/>
                <w:szCs w:val="22"/>
                <w:highlight w:val="none"/>
                <w:lang w:bidi="ar"/>
              </w:rPr>
            </w:pPr>
            <w:r>
              <w:rPr>
                <w:rFonts w:hint="eastAsia"/>
                <w:color w:val="000000"/>
                <w:kern w:val="0"/>
                <w:sz w:val="22"/>
                <w:szCs w:val="22"/>
                <w:highlight w:val="none"/>
                <w:lang w:bidi="ar"/>
              </w:rPr>
              <w:t>2）插卡式模块设计，可根据市场需求灵活配置；业务卡支持热插拔，可方便进行维护</w:t>
            </w:r>
          </w:p>
          <w:p>
            <w:pPr>
              <w:widowControl/>
              <w:jc w:val="left"/>
              <w:textAlignment w:val="center"/>
              <w:rPr>
                <w:color w:val="000000"/>
                <w:kern w:val="0"/>
                <w:sz w:val="22"/>
                <w:szCs w:val="22"/>
                <w:highlight w:val="none"/>
                <w:lang w:bidi="ar"/>
              </w:rPr>
            </w:pPr>
            <w:r>
              <w:rPr>
                <w:rFonts w:hint="eastAsia"/>
                <w:color w:val="000000"/>
                <w:kern w:val="0"/>
                <w:sz w:val="22"/>
                <w:szCs w:val="22"/>
                <w:highlight w:val="none"/>
                <w:lang w:bidi="ar"/>
              </w:rPr>
              <w:t>3）冗余风扇散热系统设计，吹抽两种模式同时工作，智能调控温度，配合机箱结构，形成固定风道，确保机箱内温度平衡</w:t>
            </w:r>
          </w:p>
          <w:p>
            <w:pPr>
              <w:widowControl/>
              <w:jc w:val="left"/>
              <w:textAlignment w:val="center"/>
              <w:rPr>
                <w:color w:val="000000"/>
                <w:kern w:val="0"/>
                <w:sz w:val="22"/>
                <w:szCs w:val="22"/>
                <w:highlight w:val="none"/>
                <w:lang w:bidi="ar"/>
              </w:rPr>
            </w:pPr>
            <w:r>
              <w:rPr>
                <w:rFonts w:hint="eastAsia"/>
                <w:color w:val="000000"/>
                <w:kern w:val="0"/>
                <w:sz w:val="22"/>
                <w:szCs w:val="22"/>
                <w:highlight w:val="none"/>
                <w:lang w:bidi="ar"/>
              </w:rPr>
              <w:t>4）双通道冗余电源设计（标配单电源），支持直流/交流电源，适应于机房等应用环境</w:t>
            </w:r>
          </w:p>
          <w:p>
            <w:pPr>
              <w:widowControl/>
              <w:jc w:val="left"/>
              <w:textAlignment w:val="center"/>
              <w:rPr>
                <w:color w:val="000000"/>
                <w:kern w:val="0"/>
                <w:sz w:val="22"/>
                <w:szCs w:val="22"/>
                <w:highlight w:val="none"/>
                <w:lang w:bidi="ar"/>
              </w:rPr>
            </w:pPr>
            <w:r>
              <w:rPr>
                <w:rFonts w:hint="eastAsia"/>
                <w:color w:val="000000"/>
                <w:kern w:val="0"/>
                <w:sz w:val="22"/>
                <w:szCs w:val="22"/>
                <w:highlight w:val="none"/>
                <w:lang w:bidi="ar"/>
              </w:rPr>
              <w:t>5）支持模拟，数字视频信号的输入和矩阵输出</w:t>
            </w:r>
          </w:p>
          <w:p>
            <w:pPr>
              <w:widowControl/>
              <w:jc w:val="left"/>
              <w:textAlignment w:val="center"/>
              <w:rPr>
                <w:color w:val="000000"/>
                <w:kern w:val="0"/>
                <w:sz w:val="22"/>
                <w:szCs w:val="22"/>
                <w:highlight w:val="none"/>
                <w:lang w:bidi="ar"/>
              </w:rPr>
            </w:pPr>
            <w:r>
              <w:rPr>
                <w:rFonts w:hint="eastAsia"/>
                <w:color w:val="000000"/>
                <w:kern w:val="0"/>
                <w:sz w:val="22"/>
                <w:szCs w:val="22"/>
                <w:highlight w:val="none"/>
                <w:lang w:bidi="ar"/>
              </w:rPr>
              <w:t>6）支持标清，高清视频信号的矩阵切换和输出</w:t>
            </w:r>
          </w:p>
          <w:p>
            <w:pPr>
              <w:widowControl/>
              <w:jc w:val="left"/>
              <w:textAlignment w:val="center"/>
              <w:rPr>
                <w:color w:val="000000"/>
                <w:kern w:val="0"/>
                <w:sz w:val="22"/>
                <w:szCs w:val="22"/>
                <w:highlight w:val="none"/>
                <w:lang w:bidi="ar"/>
              </w:rPr>
            </w:pPr>
            <w:r>
              <w:rPr>
                <w:rFonts w:hint="eastAsia"/>
                <w:color w:val="000000"/>
                <w:kern w:val="0"/>
                <w:sz w:val="22"/>
                <w:szCs w:val="22"/>
                <w:highlight w:val="none"/>
                <w:lang w:bidi="ar"/>
              </w:rPr>
              <w:t>7）支持模拟/SDI/HDCVI信号无压缩直接输出上墙</w:t>
            </w:r>
          </w:p>
          <w:p>
            <w:pPr>
              <w:widowControl/>
              <w:jc w:val="left"/>
              <w:textAlignment w:val="center"/>
              <w:rPr>
                <w:color w:val="000000"/>
                <w:kern w:val="0"/>
                <w:sz w:val="22"/>
                <w:szCs w:val="22"/>
                <w:highlight w:val="none"/>
                <w:lang w:bidi="ar"/>
              </w:rPr>
            </w:pPr>
            <w:r>
              <w:rPr>
                <w:rFonts w:hint="eastAsia"/>
                <w:color w:val="000000"/>
                <w:kern w:val="0"/>
                <w:sz w:val="22"/>
                <w:szCs w:val="22"/>
                <w:highlight w:val="none"/>
                <w:lang w:bidi="ar"/>
              </w:rPr>
              <w:t>8）采用H.264或MPEG4视频压缩标准，支持双码流技术，可变码流，支持复合流和视频流编码，复合流编码时音频和视频同步</w:t>
            </w:r>
          </w:p>
          <w:p>
            <w:pPr>
              <w:widowControl/>
              <w:jc w:val="left"/>
              <w:textAlignment w:val="center"/>
              <w:rPr>
                <w:color w:val="000000"/>
                <w:kern w:val="0"/>
                <w:sz w:val="22"/>
                <w:szCs w:val="22"/>
                <w:highlight w:val="none"/>
                <w:lang w:bidi="ar"/>
              </w:rPr>
            </w:pPr>
            <w:r>
              <w:rPr>
                <w:rFonts w:hint="eastAsia"/>
                <w:color w:val="000000"/>
                <w:kern w:val="0"/>
                <w:sz w:val="22"/>
                <w:szCs w:val="22"/>
                <w:highlight w:val="none"/>
                <w:lang w:bidi="ar"/>
              </w:rPr>
              <w:t>9）80路高清视频编码能力（满配）或320路标清视频编码能力（满配）</w:t>
            </w:r>
          </w:p>
          <w:p>
            <w:pPr>
              <w:widowControl/>
              <w:jc w:val="left"/>
              <w:textAlignment w:val="center"/>
              <w:rPr>
                <w:color w:val="000000"/>
                <w:kern w:val="0"/>
                <w:sz w:val="22"/>
                <w:szCs w:val="22"/>
                <w:highlight w:val="none"/>
                <w:lang w:bidi="ar"/>
              </w:rPr>
            </w:pPr>
            <w:r>
              <w:rPr>
                <w:rFonts w:hint="eastAsia"/>
                <w:color w:val="000000"/>
                <w:kern w:val="0"/>
                <w:sz w:val="22"/>
                <w:szCs w:val="22"/>
                <w:highlight w:val="none"/>
                <w:lang w:bidi="ar"/>
              </w:rPr>
              <w:t>10）支持VGA、DVI、HDMI、CVBS、HD-SDI、3G-SDI输出显示</w:t>
            </w:r>
          </w:p>
          <w:p>
            <w:pPr>
              <w:widowControl/>
              <w:jc w:val="left"/>
              <w:textAlignment w:val="center"/>
              <w:rPr>
                <w:color w:val="000000"/>
                <w:kern w:val="0"/>
                <w:sz w:val="22"/>
                <w:szCs w:val="22"/>
                <w:highlight w:val="none"/>
                <w:lang w:bidi="ar"/>
              </w:rPr>
            </w:pPr>
            <w:r>
              <w:rPr>
                <w:rFonts w:hint="eastAsia"/>
                <w:color w:val="000000"/>
                <w:kern w:val="0"/>
                <w:sz w:val="22"/>
                <w:szCs w:val="22"/>
                <w:highlight w:val="none"/>
                <w:lang w:bidi="ar"/>
              </w:rPr>
              <w:t>11）支持300W/500W/800W/1200W解码</w:t>
            </w:r>
          </w:p>
          <w:p>
            <w:pPr>
              <w:widowControl/>
              <w:jc w:val="left"/>
              <w:textAlignment w:val="center"/>
              <w:rPr>
                <w:color w:val="000000"/>
                <w:kern w:val="0"/>
                <w:sz w:val="22"/>
                <w:szCs w:val="22"/>
                <w:highlight w:val="none"/>
                <w:lang w:bidi="ar"/>
              </w:rPr>
            </w:pPr>
            <w:r>
              <w:rPr>
                <w:rFonts w:hint="eastAsia"/>
                <w:color w:val="000000"/>
                <w:kern w:val="0"/>
                <w:sz w:val="22"/>
                <w:szCs w:val="22"/>
                <w:highlight w:val="none"/>
                <w:lang w:bidi="ar"/>
              </w:rPr>
              <w:t>12）支持TCP/IP协议，支持RTP/RTSP/RTCP/TCP/UDP/DHCP等网络协议</w:t>
            </w:r>
          </w:p>
          <w:p>
            <w:pPr>
              <w:widowControl/>
              <w:jc w:val="left"/>
              <w:textAlignment w:val="center"/>
              <w:rPr>
                <w:color w:val="000000"/>
                <w:kern w:val="0"/>
                <w:sz w:val="22"/>
                <w:szCs w:val="22"/>
                <w:highlight w:val="none"/>
                <w:lang w:bidi="ar"/>
              </w:rPr>
            </w:pPr>
            <w:r>
              <w:rPr>
                <w:rFonts w:hint="eastAsia"/>
                <w:color w:val="000000"/>
                <w:kern w:val="0"/>
                <w:sz w:val="22"/>
                <w:szCs w:val="22"/>
                <w:highlight w:val="none"/>
                <w:lang w:bidi="ar"/>
              </w:rPr>
              <w:t>13）支持远程控制模拟，数字视频切换上墙</w:t>
            </w:r>
          </w:p>
          <w:p>
            <w:pPr>
              <w:widowControl/>
              <w:jc w:val="left"/>
              <w:textAlignment w:val="center"/>
              <w:rPr>
                <w:color w:val="000000"/>
                <w:kern w:val="0"/>
                <w:sz w:val="22"/>
                <w:szCs w:val="22"/>
                <w:highlight w:val="none"/>
                <w:lang w:bidi="ar"/>
              </w:rPr>
            </w:pPr>
            <w:r>
              <w:rPr>
                <w:rFonts w:hint="eastAsia"/>
                <w:color w:val="000000"/>
                <w:kern w:val="0"/>
                <w:sz w:val="22"/>
                <w:szCs w:val="22"/>
                <w:highlight w:val="none"/>
                <w:lang w:bidi="ar"/>
              </w:rPr>
              <w:t>14）支持远程获取和配置参数，支持远程导出和导入参数</w:t>
            </w:r>
          </w:p>
          <w:p>
            <w:pPr>
              <w:widowControl/>
              <w:jc w:val="left"/>
              <w:textAlignment w:val="center"/>
              <w:rPr>
                <w:color w:val="000000"/>
                <w:kern w:val="0"/>
                <w:sz w:val="22"/>
                <w:szCs w:val="22"/>
                <w:highlight w:val="none"/>
                <w:lang w:bidi="ar"/>
              </w:rPr>
            </w:pPr>
            <w:r>
              <w:rPr>
                <w:rFonts w:hint="eastAsia"/>
                <w:color w:val="000000"/>
                <w:kern w:val="0"/>
                <w:sz w:val="22"/>
                <w:szCs w:val="22"/>
                <w:highlight w:val="none"/>
                <w:lang w:bidi="ar"/>
              </w:rPr>
              <w:t>15）支持远程获取系统运行状态、系统日志</w:t>
            </w:r>
          </w:p>
          <w:p>
            <w:pPr>
              <w:widowControl/>
              <w:jc w:val="left"/>
              <w:textAlignment w:val="center"/>
              <w:rPr>
                <w:color w:val="000000"/>
                <w:kern w:val="0"/>
                <w:sz w:val="22"/>
                <w:szCs w:val="22"/>
                <w:highlight w:val="none"/>
                <w:lang w:bidi="ar"/>
              </w:rPr>
            </w:pPr>
            <w:r>
              <w:rPr>
                <w:rFonts w:hint="eastAsia"/>
                <w:color w:val="000000"/>
                <w:kern w:val="0"/>
                <w:sz w:val="22"/>
                <w:szCs w:val="22"/>
                <w:highlight w:val="none"/>
                <w:lang w:bidi="ar"/>
              </w:rPr>
              <w:t>16）支持远程重启，远程升级和恢复默认设置等操作</w:t>
            </w:r>
          </w:p>
          <w:p>
            <w:pPr>
              <w:widowControl/>
              <w:jc w:val="left"/>
              <w:textAlignment w:val="center"/>
              <w:rPr>
                <w:rFonts w:hint="eastAsia"/>
                <w:color w:val="000000"/>
                <w:kern w:val="0"/>
                <w:sz w:val="22"/>
                <w:szCs w:val="22"/>
                <w:highlight w:val="none"/>
                <w:lang w:bidi="ar"/>
              </w:rPr>
            </w:pPr>
            <w:r>
              <w:rPr>
                <w:rFonts w:hint="eastAsia"/>
                <w:color w:val="000000"/>
                <w:kern w:val="0"/>
                <w:sz w:val="22"/>
                <w:szCs w:val="22"/>
                <w:highlight w:val="none"/>
                <w:lang w:bidi="ar"/>
              </w:rPr>
              <w:t>17）支持用户权限管理，支持黑白名单功能</w:t>
            </w:r>
          </w:p>
          <w:p>
            <w:pPr>
              <w:widowControl/>
              <w:jc w:val="left"/>
              <w:textAlignment w:val="center"/>
              <w:rPr>
                <w:color w:val="000000"/>
                <w:kern w:val="0"/>
                <w:sz w:val="22"/>
                <w:szCs w:val="22"/>
                <w:highlight w:val="none"/>
                <w:lang w:bidi="ar"/>
              </w:rPr>
            </w:pPr>
            <w:r>
              <w:rPr>
                <w:rFonts w:hint="eastAsia"/>
                <w:color w:val="000000"/>
                <w:kern w:val="0"/>
                <w:sz w:val="22"/>
                <w:szCs w:val="22"/>
                <w:highlight w:val="none"/>
                <w:lang w:bidi="ar"/>
              </w:rPr>
              <w:t>18）内含3张HDMI解码卡。每张具有6路HDMI视频接口，支持H264、H265等编码格式解码，支持300W/500W/800W/1200W解码，支持视音频同步解码，支持任意拼接，支持开窗和漫游功能，单屏支持36个窗口，支持高清底图显示，支持高清全景拼接</w:t>
            </w:r>
          </w:p>
          <w:p>
            <w:pPr>
              <w:pStyle w:val="2"/>
              <w:keepNext w:val="0"/>
              <w:keepLines w:val="0"/>
              <w:pageBreakBefore w:val="0"/>
              <w:kinsoku/>
              <w:wordWrap/>
              <w:overflowPunct/>
              <w:topLinePunct w:val="0"/>
              <w:autoSpaceDE/>
              <w:autoSpaceDN/>
              <w:bidi w:val="0"/>
              <w:adjustRightInd/>
              <w:snapToGrid/>
              <w:ind w:left="0" w:leftChars="0" w:firstLine="0" w:firstLineChars="0"/>
              <w:rPr>
                <w:highlight w:val="none"/>
              </w:rPr>
            </w:pPr>
            <w:r>
              <w:rPr>
                <w:rFonts w:hint="eastAsia"/>
                <w:color w:val="000000"/>
                <w:kern w:val="0"/>
                <w:sz w:val="22"/>
                <w:szCs w:val="22"/>
                <w:highlight w:val="none"/>
                <w:lang w:bidi="ar"/>
              </w:rPr>
              <w:t>19）内含1张HDMI编码卡。每张编码卡是4路HDMI编码卡；音频输入接口：无接口，HDMI接口自带音频；编码格式：H.264/MPEG4；编码能力：单板4路1080P，支持1080P/720P/UXGA/SXGA+ /SXGA/XGA/SVGA/VGA分辨率</w:t>
            </w:r>
          </w:p>
          <w:p>
            <w:pPr>
              <w:keepNext w:val="0"/>
              <w:keepLines w:val="0"/>
              <w:pageBreakBefore w:val="0"/>
              <w:widowControl/>
              <w:kinsoku/>
              <w:wordWrap/>
              <w:overflowPunct/>
              <w:topLinePunct w:val="0"/>
              <w:autoSpaceDE/>
              <w:autoSpaceDN/>
              <w:bidi w:val="0"/>
              <w:adjustRightInd/>
              <w:snapToGrid/>
              <w:jc w:val="left"/>
              <w:textAlignment w:val="center"/>
              <w:rPr>
                <w:color w:val="000000"/>
                <w:kern w:val="0"/>
                <w:sz w:val="22"/>
                <w:szCs w:val="22"/>
                <w:highlight w:val="none"/>
                <w:lang w:bidi="ar"/>
              </w:rPr>
            </w:pPr>
            <w:r>
              <w:rPr>
                <w:rFonts w:hint="eastAsia"/>
                <w:color w:val="000000"/>
                <w:kern w:val="0"/>
                <w:sz w:val="22"/>
                <w:szCs w:val="22"/>
                <w:highlight w:val="none"/>
                <w:lang w:bidi="ar"/>
              </w:rPr>
              <w:t>★投标产品支持接入分辨率为8640×3840、4000×3000、3296×2472、2592×2048、2048×1536、1920×1080、1600×1200、1280×720、704×576的视频。（提供公安部权威检测机构出具的检测报告原件或复印件）</w:t>
            </w:r>
          </w:p>
          <w:p>
            <w:pPr>
              <w:widowControl/>
              <w:jc w:val="left"/>
              <w:textAlignment w:val="center"/>
              <w:rPr>
                <w:color w:val="000000"/>
                <w:kern w:val="0"/>
                <w:sz w:val="22"/>
                <w:szCs w:val="22"/>
                <w:highlight w:val="none"/>
                <w:lang w:bidi="ar"/>
              </w:rPr>
            </w:pPr>
            <w:r>
              <w:rPr>
                <w:rFonts w:hint="eastAsia"/>
                <w:color w:val="000000"/>
                <w:kern w:val="0"/>
                <w:sz w:val="22"/>
                <w:szCs w:val="22"/>
                <w:highlight w:val="none"/>
                <w:lang w:bidi="ar"/>
              </w:rPr>
              <w:t>★投标产品不使用额外服务器板卡，标配支持108路视频（1920×1080、30fps、8Mbps）同时进行接收和转发。（提供公安部权威检测机构出具的检测报告原件或复印件）</w:t>
            </w:r>
          </w:p>
          <w:p>
            <w:pPr>
              <w:widowControl/>
              <w:jc w:val="left"/>
              <w:textAlignment w:val="center"/>
              <w:rPr>
                <w:rFonts w:hint="eastAsia" w:eastAsia="宋体"/>
                <w:color w:val="000000"/>
                <w:kern w:val="0"/>
                <w:sz w:val="22"/>
                <w:szCs w:val="22"/>
                <w:highlight w:val="none"/>
                <w:lang w:eastAsia="zh-CN" w:bidi="ar"/>
              </w:rPr>
            </w:pPr>
            <w:r>
              <w:rPr>
                <w:rFonts w:hint="eastAsia"/>
                <w:color w:val="000000"/>
                <w:kern w:val="0"/>
                <w:sz w:val="22"/>
                <w:szCs w:val="22"/>
                <w:highlight w:val="none"/>
                <w:lang w:bidi="ar"/>
              </w:rPr>
              <w:t>★支持视频开窗、漫游、图层叠加功能，支持在底图上开窗漫游；单个输出端口具备≥64个窗口的开窗性能；单通道支持64个图层叠加，图层支持置顶或置底设置。（提供公安部权威检测机构出具的检测报告原件或复印件</w:t>
            </w:r>
            <w:r>
              <w:rPr>
                <w:rFonts w:hint="eastAsia"/>
                <w:color w:val="000000"/>
                <w:kern w:val="0"/>
                <w:sz w:val="22"/>
                <w:szCs w:val="22"/>
                <w:highlight w:val="none"/>
                <w:lang w:eastAsia="zh-CN" w:bidi="ar"/>
              </w:rPr>
              <w:t>）</w:t>
            </w:r>
          </w:p>
        </w:tc>
        <w:tc>
          <w:tcPr>
            <w:tcW w:w="1204" w:type="dxa"/>
            <w:tcBorders>
              <w:left w:val="single" w:color="auto" w:sz="4" w:space="0"/>
              <w:tl2br w:val="nil"/>
              <w:tr2bl w:val="nil"/>
            </w:tcBorders>
            <w:shd w:val="clear" w:color="auto" w:fill="auto"/>
            <w:vAlign w:val="center"/>
          </w:tcPr>
          <w:p>
            <w:pPr>
              <w:widowControl/>
              <w:jc w:val="center"/>
              <w:textAlignment w:val="center"/>
              <w:rPr>
                <w:color w:val="000000"/>
                <w:kern w:val="0"/>
                <w:szCs w:val="21"/>
                <w:highlight w:val="none"/>
                <w:lang w:bidi="ar"/>
              </w:rPr>
            </w:pPr>
            <w:r>
              <w:rPr>
                <w:rFonts w:hint="eastAsia"/>
                <w:color w:val="000000"/>
                <w:kern w:val="0"/>
                <w:szCs w:val="21"/>
                <w:highlight w:val="none"/>
                <w:lang w:bidi="ar"/>
              </w:rPr>
              <w:t>套</w:t>
            </w:r>
          </w:p>
        </w:tc>
        <w:tc>
          <w:tcPr>
            <w:tcW w:w="1370" w:type="dxa"/>
            <w:tcBorders>
              <w:tl2br w:val="nil"/>
              <w:tr2bl w:val="nil"/>
            </w:tcBorders>
            <w:shd w:val="clear" w:color="auto" w:fill="auto"/>
            <w:vAlign w:val="center"/>
          </w:tcPr>
          <w:p>
            <w:pPr>
              <w:widowControl/>
              <w:jc w:val="center"/>
              <w:textAlignment w:val="center"/>
              <w:rPr>
                <w:color w:val="000000"/>
                <w:kern w:val="0"/>
                <w:szCs w:val="21"/>
                <w:highlight w:val="none"/>
                <w:lang w:bidi="ar"/>
              </w:rPr>
            </w:pPr>
            <w:r>
              <w:rPr>
                <w:rFonts w:hint="eastAsia"/>
                <w:color w:val="000000"/>
                <w:kern w:val="0"/>
                <w:szCs w:val="21"/>
                <w:highlight w:val="none"/>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1112" w:type="dxa"/>
            <w:vMerge w:val="continue"/>
            <w:tcBorders>
              <w:tl2br w:val="nil"/>
              <w:tr2bl w:val="nil"/>
            </w:tcBorders>
            <w:shd w:val="clear" w:color="auto" w:fill="auto"/>
            <w:vAlign w:val="center"/>
          </w:tcPr>
          <w:p>
            <w:pPr>
              <w:widowControl/>
              <w:jc w:val="left"/>
              <w:rPr>
                <w:b/>
                <w:bCs/>
                <w:color w:val="000000"/>
                <w:szCs w:val="21"/>
                <w:highlight w:val="none"/>
              </w:rPr>
            </w:pPr>
          </w:p>
        </w:tc>
        <w:tc>
          <w:tcPr>
            <w:tcW w:w="1692" w:type="dxa"/>
            <w:gridSpan w:val="2"/>
            <w:tcBorders>
              <w:tl2br w:val="nil"/>
              <w:tr2bl w:val="nil"/>
            </w:tcBorders>
            <w:shd w:val="clear" w:color="auto" w:fill="auto"/>
            <w:noWrap/>
            <w:vAlign w:val="center"/>
          </w:tcPr>
          <w:p>
            <w:pPr>
              <w:widowControl/>
              <w:jc w:val="left"/>
              <w:textAlignment w:val="center"/>
              <w:rPr>
                <w:color w:val="000000"/>
                <w:szCs w:val="21"/>
                <w:highlight w:val="none"/>
              </w:rPr>
            </w:pPr>
            <w:r>
              <w:rPr>
                <w:color w:val="000000"/>
                <w:kern w:val="0"/>
                <w:szCs w:val="21"/>
                <w:highlight w:val="none"/>
                <w:lang w:bidi="ar"/>
              </w:rPr>
              <w:t>高性能工作站</w:t>
            </w:r>
          </w:p>
        </w:tc>
        <w:tc>
          <w:tcPr>
            <w:tcW w:w="8825" w:type="dxa"/>
            <w:tcBorders>
              <w:right w:val="single" w:color="auto" w:sz="4" w:space="0"/>
              <w:tl2br w:val="nil"/>
              <w:tr2bl w:val="nil"/>
            </w:tcBorders>
            <w:shd w:val="clear" w:color="auto" w:fill="auto"/>
            <w:vAlign w:val="center"/>
          </w:tcPr>
          <w:p>
            <w:pPr>
              <w:widowControl/>
              <w:jc w:val="left"/>
              <w:rPr>
                <w:rFonts w:hint="eastAsia" w:eastAsia="宋体"/>
                <w:color w:val="000000"/>
                <w:szCs w:val="21"/>
                <w:highlight w:val="none"/>
                <w:lang w:eastAsia="zh-CN"/>
              </w:rPr>
            </w:pPr>
            <w:r>
              <w:rPr>
                <w:rFonts w:hint="eastAsia"/>
                <w:color w:val="000000"/>
                <w:szCs w:val="21"/>
                <w:highlight w:val="none"/>
              </w:rPr>
              <w:t xml:space="preserve">1)CPU：2颗高性能CPU </w:t>
            </w:r>
            <w:r>
              <w:rPr>
                <w:rFonts w:hint="eastAsia"/>
                <w:color w:val="000000"/>
                <w:szCs w:val="21"/>
                <w:highlight w:val="none"/>
                <w:lang w:eastAsia="zh-CN"/>
              </w:rPr>
              <w:t>，主频不低于</w:t>
            </w:r>
            <w:r>
              <w:rPr>
                <w:rFonts w:hint="eastAsia"/>
                <w:color w:val="000000"/>
                <w:szCs w:val="21"/>
                <w:highlight w:val="none"/>
                <w:lang w:val="en-US" w:eastAsia="zh-CN"/>
              </w:rPr>
              <w:t>3.0GHZ，单个CPU核心数不低于18核</w:t>
            </w:r>
          </w:p>
          <w:p>
            <w:pPr>
              <w:widowControl/>
              <w:jc w:val="left"/>
              <w:rPr>
                <w:color w:val="000000"/>
                <w:szCs w:val="21"/>
                <w:highlight w:val="none"/>
              </w:rPr>
            </w:pPr>
            <w:r>
              <w:rPr>
                <w:rFonts w:hint="eastAsia"/>
                <w:color w:val="000000"/>
                <w:szCs w:val="21"/>
                <w:highlight w:val="none"/>
              </w:rPr>
              <w:t>2)内存：4根*32GB 2666MHz DDR4 ECC RDIMM</w:t>
            </w:r>
          </w:p>
          <w:p>
            <w:pPr>
              <w:widowControl/>
              <w:jc w:val="left"/>
              <w:rPr>
                <w:color w:val="000000"/>
                <w:szCs w:val="21"/>
                <w:highlight w:val="none"/>
              </w:rPr>
            </w:pPr>
            <w:r>
              <w:rPr>
                <w:rFonts w:hint="eastAsia"/>
                <w:color w:val="000000"/>
                <w:szCs w:val="21"/>
                <w:highlight w:val="none"/>
              </w:rPr>
              <w:t>3)存储：3块*10TB 7.2K RPM NLSAS 512e 3.5英寸热插拔硬盘；</w:t>
            </w:r>
          </w:p>
          <w:p>
            <w:pPr>
              <w:widowControl/>
              <w:jc w:val="left"/>
              <w:rPr>
                <w:color w:val="000000"/>
                <w:szCs w:val="21"/>
                <w:highlight w:val="none"/>
              </w:rPr>
            </w:pPr>
            <w:r>
              <w:rPr>
                <w:rFonts w:hint="eastAsia"/>
                <w:color w:val="000000"/>
                <w:szCs w:val="21"/>
                <w:highlight w:val="none"/>
              </w:rPr>
              <w:t xml:space="preserve">4）1张* RTX 3090 显卡  </w:t>
            </w:r>
            <w:r>
              <w:rPr>
                <w:rFonts w:hint="eastAsia" w:eastAsia="等线"/>
                <w:color w:val="000000"/>
                <w:kern w:val="0"/>
                <w:sz w:val="22"/>
                <w:szCs w:val="22"/>
                <w:highlight w:val="none"/>
                <w:lang w:bidi="ar"/>
              </w:rPr>
              <w:t xml:space="preserve">       </w:t>
            </w:r>
          </w:p>
        </w:tc>
        <w:tc>
          <w:tcPr>
            <w:tcW w:w="1204" w:type="dxa"/>
            <w:tcBorders>
              <w:left w:val="single" w:color="auto" w:sz="4" w:space="0"/>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台</w:t>
            </w:r>
          </w:p>
        </w:tc>
        <w:tc>
          <w:tcPr>
            <w:tcW w:w="1370" w:type="dxa"/>
            <w:tcBorders>
              <w:tl2br w:val="nil"/>
              <w:tr2bl w:val="nil"/>
            </w:tcBorders>
            <w:shd w:val="clear" w:color="auto" w:fill="auto"/>
            <w:vAlign w:val="center"/>
          </w:tcPr>
          <w:p>
            <w:pPr>
              <w:widowControl/>
              <w:jc w:val="center"/>
              <w:textAlignment w:val="center"/>
              <w:rPr>
                <w:color w:val="000000"/>
                <w:szCs w:val="21"/>
                <w:highlight w:val="none"/>
              </w:rPr>
            </w:pPr>
            <w:r>
              <w:rPr>
                <w:color w:val="000000"/>
                <w:kern w:val="0"/>
                <w:szCs w:val="21"/>
                <w:highlight w:val="none"/>
                <w:lang w:bidi="ar"/>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8" w:hRule="atLeast"/>
        </w:trPr>
        <w:tc>
          <w:tcPr>
            <w:tcW w:w="1112" w:type="dxa"/>
            <w:vMerge w:val="restart"/>
            <w:tcBorders>
              <w:tl2br w:val="nil"/>
              <w:tr2bl w:val="nil"/>
            </w:tcBorders>
            <w:shd w:val="clear" w:color="auto" w:fill="auto"/>
            <w:vAlign w:val="center"/>
          </w:tcPr>
          <w:p>
            <w:pPr>
              <w:widowControl/>
              <w:jc w:val="left"/>
              <w:textAlignment w:val="center"/>
              <w:rPr>
                <w:b/>
                <w:bCs/>
                <w:color w:val="000000"/>
                <w:szCs w:val="21"/>
                <w:highlight w:val="none"/>
              </w:rPr>
            </w:pPr>
            <w:r>
              <w:rPr>
                <w:b/>
                <w:bCs/>
                <w:color w:val="000000"/>
                <w:kern w:val="0"/>
                <w:szCs w:val="21"/>
                <w:highlight w:val="none"/>
                <w:lang w:bidi="ar"/>
              </w:rPr>
              <w:t>网络传输费用</w:t>
            </w:r>
          </w:p>
        </w:tc>
        <w:tc>
          <w:tcPr>
            <w:tcW w:w="1692" w:type="dxa"/>
            <w:gridSpan w:val="2"/>
            <w:tcBorders>
              <w:tl2br w:val="nil"/>
              <w:tr2bl w:val="nil"/>
            </w:tcBorders>
            <w:shd w:val="clear" w:color="auto" w:fill="auto"/>
            <w:noWrap/>
            <w:vAlign w:val="center"/>
          </w:tcPr>
          <w:p>
            <w:pPr>
              <w:widowControl/>
              <w:jc w:val="left"/>
              <w:textAlignment w:val="center"/>
              <w:rPr>
                <w:color w:val="000000"/>
                <w:szCs w:val="21"/>
                <w:highlight w:val="none"/>
              </w:rPr>
            </w:pPr>
            <w:r>
              <w:rPr>
                <w:color w:val="000000"/>
                <w:kern w:val="0"/>
                <w:szCs w:val="21"/>
                <w:highlight w:val="none"/>
                <w:lang w:bidi="ar"/>
              </w:rPr>
              <w:t>视频传输费用（VPN）</w:t>
            </w:r>
          </w:p>
        </w:tc>
        <w:tc>
          <w:tcPr>
            <w:tcW w:w="8825" w:type="dxa"/>
            <w:tcBorders>
              <w:tl2br w:val="nil"/>
              <w:tr2bl w:val="nil"/>
            </w:tcBorders>
            <w:shd w:val="clear" w:color="auto" w:fill="auto"/>
            <w:noWrap/>
            <w:vAlign w:val="center"/>
          </w:tcPr>
          <w:p>
            <w:pPr>
              <w:widowControl/>
              <w:jc w:val="left"/>
              <w:rPr>
                <w:color w:val="000000"/>
                <w:szCs w:val="21"/>
                <w:highlight w:val="none"/>
              </w:rPr>
            </w:pPr>
            <w:r>
              <w:rPr>
                <w:rFonts w:hint="eastAsia"/>
                <w:color w:val="000000"/>
                <w:szCs w:val="21"/>
                <w:highlight w:val="none"/>
              </w:rPr>
              <w:t>包含54台摄像机的传输费用。共计三年费用。</w:t>
            </w:r>
          </w:p>
        </w:tc>
        <w:tc>
          <w:tcPr>
            <w:tcW w:w="1204" w:type="dxa"/>
            <w:tcBorders>
              <w:tl2br w:val="nil"/>
              <w:tr2bl w:val="nil"/>
            </w:tcBorders>
            <w:shd w:val="clear" w:color="auto" w:fill="auto"/>
            <w:vAlign w:val="center"/>
          </w:tcPr>
          <w:p>
            <w:pPr>
              <w:widowControl/>
              <w:jc w:val="center"/>
              <w:textAlignment w:val="center"/>
              <w:rPr>
                <w:b/>
                <w:bCs/>
                <w:color w:val="000000"/>
                <w:szCs w:val="21"/>
                <w:highlight w:val="none"/>
              </w:rPr>
            </w:pPr>
            <w:r>
              <w:rPr>
                <w:b/>
                <w:bCs/>
                <w:color w:val="000000"/>
                <w:kern w:val="0"/>
                <w:szCs w:val="21"/>
                <w:highlight w:val="none"/>
                <w:lang w:bidi="ar"/>
              </w:rPr>
              <w:t>条·年</w:t>
            </w:r>
          </w:p>
        </w:tc>
        <w:tc>
          <w:tcPr>
            <w:tcW w:w="1370" w:type="dxa"/>
            <w:tcBorders>
              <w:tl2br w:val="nil"/>
              <w:tr2bl w:val="nil"/>
            </w:tcBorders>
            <w:shd w:val="clear" w:color="auto" w:fill="auto"/>
            <w:vAlign w:val="center"/>
          </w:tcPr>
          <w:p>
            <w:pPr>
              <w:widowControl/>
              <w:jc w:val="center"/>
              <w:textAlignment w:val="center"/>
              <w:rPr>
                <w:rFonts w:hint="default" w:eastAsia="宋体"/>
                <w:color w:val="000000"/>
                <w:szCs w:val="21"/>
                <w:highlight w:val="none"/>
                <w:lang w:val="en-US" w:eastAsia="zh-CN"/>
              </w:rPr>
            </w:pPr>
            <w:r>
              <w:rPr>
                <w:rFonts w:hint="eastAsia"/>
                <w:color w:val="000000"/>
                <w:kern w:val="0"/>
                <w:szCs w:val="21"/>
                <w:highlight w:val="none"/>
                <w:lang w:val="en-US" w:eastAsia="zh-CN" w:bidi="ar"/>
              </w:rPr>
              <w:t>162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1112" w:type="dxa"/>
            <w:vMerge w:val="continue"/>
            <w:tcBorders>
              <w:tl2br w:val="nil"/>
              <w:tr2bl w:val="nil"/>
            </w:tcBorders>
            <w:shd w:val="clear" w:color="auto" w:fill="auto"/>
            <w:vAlign w:val="center"/>
          </w:tcPr>
          <w:p>
            <w:pPr>
              <w:widowControl/>
              <w:jc w:val="left"/>
              <w:rPr>
                <w:b/>
                <w:bCs/>
                <w:color w:val="000000"/>
                <w:szCs w:val="21"/>
                <w:highlight w:val="none"/>
              </w:rPr>
            </w:pPr>
          </w:p>
        </w:tc>
        <w:tc>
          <w:tcPr>
            <w:tcW w:w="1692" w:type="dxa"/>
            <w:gridSpan w:val="2"/>
            <w:tcBorders>
              <w:tl2br w:val="nil"/>
              <w:tr2bl w:val="nil"/>
            </w:tcBorders>
            <w:shd w:val="clear" w:color="auto" w:fill="auto"/>
            <w:noWrap/>
            <w:vAlign w:val="center"/>
          </w:tcPr>
          <w:p>
            <w:pPr>
              <w:widowControl/>
              <w:jc w:val="left"/>
              <w:textAlignment w:val="center"/>
              <w:rPr>
                <w:color w:val="000000"/>
                <w:szCs w:val="21"/>
                <w:highlight w:val="none"/>
              </w:rPr>
            </w:pPr>
            <w:r>
              <w:rPr>
                <w:color w:val="000000"/>
                <w:kern w:val="0"/>
                <w:szCs w:val="21"/>
                <w:highlight w:val="none"/>
                <w:lang w:bidi="ar"/>
              </w:rPr>
              <w:t>远程传输费用（SIM卡）</w:t>
            </w:r>
          </w:p>
        </w:tc>
        <w:tc>
          <w:tcPr>
            <w:tcW w:w="8825" w:type="dxa"/>
            <w:tcBorders>
              <w:tl2br w:val="nil"/>
              <w:tr2bl w:val="nil"/>
            </w:tcBorders>
            <w:shd w:val="clear" w:color="auto" w:fill="auto"/>
            <w:noWrap/>
            <w:vAlign w:val="center"/>
          </w:tcPr>
          <w:p>
            <w:pPr>
              <w:widowControl/>
              <w:jc w:val="left"/>
              <w:rPr>
                <w:color w:val="000000"/>
                <w:szCs w:val="21"/>
                <w:highlight w:val="none"/>
              </w:rPr>
            </w:pPr>
            <w:r>
              <w:rPr>
                <w:rFonts w:hint="eastAsia"/>
                <w:color w:val="000000"/>
                <w:szCs w:val="21"/>
                <w:highlight w:val="none"/>
              </w:rPr>
              <w:t>包含雨量计（8台）、流量监测仪（78台）、非满管电磁流量计（10台）、电磁流量计（14台）、移动式流量监测仪（5台）、超声波-压力双通道液位监测（200台）、多参数水质在线监测仪（2台）、COD在线监测仪（14台）、水质自动采样仪（5台）、SS/浊度计（40台）、H2S监测仪器（14台），共计数量390台的SIM卡费用。共计三年费用。</w:t>
            </w:r>
          </w:p>
        </w:tc>
        <w:tc>
          <w:tcPr>
            <w:tcW w:w="1204" w:type="dxa"/>
            <w:tcBorders>
              <w:tl2br w:val="nil"/>
              <w:tr2bl w:val="nil"/>
            </w:tcBorders>
            <w:shd w:val="clear" w:color="auto" w:fill="auto"/>
            <w:vAlign w:val="center"/>
          </w:tcPr>
          <w:p>
            <w:pPr>
              <w:widowControl/>
              <w:jc w:val="center"/>
              <w:textAlignment w:val="center"/>
              <w:rPr>
                <w:b/>
                <w:bCs/>
                <w:color w:val="000000"/>
                <w:szCs w:val="21"/>
                <w:highlight w:val="none"/>
              </w:rPr>
            </w:pPr>
            <w:r>
              <w:rPr>
                <w:b/>
                <w:bCs/>
                <w:color w:val="000000"/>
                <w:kern w:val="0"/>
                <w:szCs w:val="21"/>
                <w:highlight w:val="none"/>
                <w:lang w:bidi="ar"/>
              </w:rPr>
              <w:t>台·年</w:t>
            </w:r>
          </w:p>
        </w:tc>
        <w:tc>
          <w:tcPr>
            <w:tcW w:w="1370" w:type="dxa"/>
            <w:tcBorders>
              <w:tl2br w:val="nil"/>
              <w:tr2bl w:val="nil"/>
            </w:tcBorders>
            <w:shd w:val="clear" w:color="auto" w:fill="auto"/>
            <w:vAlign w:val="center"/>
          </w:tcPr>
          <w:p>
            <w:pPr>
              <w:widowControl/>
              <w:jc w:val="center"/>
              <w:textAlignment w:val="center"/>
              <w:rPr>
                <w:rFonts w:hint="default" w:eastAsia="宋体"/>
                <w:color w:val="000000"/>
                <w:szCs w:val="21"/>
                <w:highlight w:val="none"/>
                <w:lang w:val="en-US" w:eastAsia="zh-CN"/>
              </w:rPr>
            </w:pPr>
            <w:r>
              <w:rPr>
                <w:rFonts w:hint="eastAsia"/>
                <w:color w:val="000000"/>
                <w:kern w:val="0"/>
                <w:szCs w:val="21"/>
                <w:highlight w:val="none"/>
                <w:lang w:val="en-US" w:eastAsia="zh-CN" w:bidi="ar"/>
              </w:rPr>
              <w:t>1170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0" w:hRule="atLeast"/>
        </w:trPr>
        <w:tc>
          <w:tcPr>
            <w:tcW w:w="2804" w:type="dxa"/>
            <w:gridSpan w:val="3"/>
            <w:tcBorders>
              <w:tl2br w:val="nil"/>
              <w:tr2bl w:val="nil"/>
            </w:tcBorders>
            <w:shd w:val="clear" w:color="auto" w:fill="auto"/>
            <w:vAlign w:val="center"/>
          </w:tcPr>
          <w:p>
            <w:pPr>
              <w:widowControl/>
              <w:jc w:val="left"/>
              <w:textAlignment w:val="center"/>
              <w:rPr>
                <w:b/>
                <w:bCs/>
                <w:color w:val="000000"/>
                <w:szCs w:val="21"/>
                <w:highlight w:val="none"/>
              </w:rPr>
            </w:pPr>
            <w:r>
              <w:rPr>
                <w:b/>
                <w:bCs/>
                <w:color w:val="000000"/>
                <w:kern w:val="0"/>
                <w:szCs w:val="21"/>
                <w:highlight w:val="none"/>
                <w:lang w:bidi="ar"/>
              </w:rPr>
              <w:t>集成费（前端基础施工、安装调试、辅材辅件等）</w:t>
            </w:r>
          </w:p>
        </w:tc>
        <w:tc>
          <w:tcPr>
            <w:tcW w:w="8825" w:type="dxa"/>
            <w:tcBorders>
              <w:tl2br w:val="nil"/>
              <w:tr2bl w:val="nil"/>
            </w:tcBorders>
            <w:shd w:val="clear" w:color="auto" w:fill="auto"/>
            <w:vAlign w:val="center"/>
          </w:tcPr>
          <w:p>
            <w:pPr>
              <w:widowControl/>
              <w:jc w:val="left"/>
              <w:rPr>
                <w:b/>
                <w:bCs/>
                <w:color w:val="000000"/>
                <w:szCs w:val="21"/>
                <w:highlight w:val="none"/>
              </w:rPr>
            </w:pPr>
          </w:p>
        </w:tc>
        <w:tc>
          <w:tcPr>
            <w:tcW w:w="1204" w:type="dxa"/>
            <w:tcBorders>
              <w:tl2br w:val="nil"/>
              <w:tr2bl w:val="nil"/>
            </w:tcBorders>
            <w:shd w:val="clear" w:color="auto" w:fill="auto"/>
            <w:vAlign w:val="center"/>
          </w:tcPr>
          <w:p>
            <w:pPr>
              <w:widowControl/>
              <w:jc w:val="center"/>
              <w:textAlignment w:val="center"/>
              <w:rPr>
                <w:b/>
                <w:bCs/>
                <w:color w:val="000000"/>
                <w:szCs w:val="21"/>
                <w:highlight w:val="none"/>
              </w:rPr>
            </w:pPr>
            <w:r>
              <w:rPr>
                <w:b/>
                <w:bCs/>
                <w:color w:val="000000"/>
                <w:kern w:val="0"/>
                <w:szCs w:val="21"/>
                <w:highlight w:val="none"/>
                <w:lang w:bidi="ar"/>
              </w:rPr>
              <w:t>项</w:t>
            </w:r>
          </w:p>
        </w:tc>
        <w:tc>
          <w:tcPr>
            <w:tcW w:w="1370" w:type="dxa"/>
            <w:tcBorders>
              <w:tl2br w:val="nil"/>
              <w:tr2bl w:val="nil"/>
            </w:tcBorders>
            <w:shd w:val="clear" w:color="auto" w:fill="auto"/>
            <w:vAlign w:val="center"/>
          </w:tcPr>
          <w:p>
            <w:pPr>
              <w:widowControl/>
              <w:jc w:val="center"/>
              <w:textAlignment w:val="center"/>
              <w:rPr>
                <w:b/>
                <w:bCs/>
                <w:color w:val="000000"/>
                <w:szCs w:val="21"/>
                <w:highlight w:val="none"/>
              </w:rPr>
            </w:pPr>
            <w:r>
              <w:rPr>
                <w:b/>
                <w:bCs/>
                <w:color w:val="000000"/>
                <w:kern w:val="0"/>
                <w:szCs w:val="21"/>
                <w:highlight w:val="none"/>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0" w:hRule="atLeast"/>
        </w:trPr>
        <w:tc>
          <w:tcPr>
            <w:tcW w:w="2804" w:type="dxa"/>
            <w:gridSpan w:val="3"/>
            <w:vMerge w:val="restart"/>
            <w:tcBorders>
              <w:tl2br w:val="nil"/>
              <w:tr2bl w:val="nil"/>
            </w:tcBorders>
            <w:shd w:val="clear" w:color="auto" w:fill="auto"/>
            <w:vAlign w:val="center"/>
          </w:tcPr>
          <w:p>
            <w:pPr>
              <w:widowControl/>
              <w:jc w:val="left"/>
              <w:textAlignment w:val="center"/>
              <w:rPr>
                <w:b/>
                <w:bCs/>
                <w:color w:val="000000"/>
                <w:kern w:val="0"/>
                <w:szCs w:val="21"/>
                <w:highlight w:val="none"/>
                <w:lang w:bidi="ar"/>
              </w:rPr>
            </w:pPr>
            <w:r>
              <w:rPr>
                <w:b/>
                <w:bCs/>
                <w:color w:val="000000"/>
                <w:kern w:val="0"/>
                <w:szCs w:val="21"/>
                <w:highlight w:val="none"/>
                <w:lang w:bidi="ar"/>
              </w:rPr>
              <w:t>信创相关产品采购</w:t>
            </w:r>
          </w:p>
        </w:tc>
        <w:tc>
          <w:tcPr>
            <w:tcW w:w="8825" w:type="dxa"/>
            <w:tcBorders>
              <w:tl2br w:val="nil"/>
              <w:tr2bl w:val="nil"/>
            </w:tcBorders>
            <w:shd w:val="clear" w:color="auto" w:fill="auto"/>
            <w:vAlign w:val="center"/>
          </w:tcPr>
          <w:p>
            <w:pPr>
              <w:widowControl/>
              <w:jc w:val="left"/>
              <w:rPr>
                <w:b/>
                <w:bCs/>
                <w:color w:val="000000"/>
                <w:szCs w:val="21"/>
                <w:highlight w:val="none"/>
              </w:rPr>
            </w:pPr>
            <w:r>
              <w:rPr>
                <w:rFonts w:hint="eastAsia"/>
                <w:color w:val="000000"/>
                <w:szCs w:val="21"/>
                <w:highlight w:val="none"/>
              </w:rPr>
              <w:t>数据库</w:t>
            </w:r>
          </w:p>
        </w:tc>
        <w:tc>
          <w:tcPr>
            <w:tcW w:w="1204" w:type="dxa"/>
            <w:tcBorders>
              <w:tl2br w:val="nil"/>
              <w:tr2bl w:val="nil"/>
            </w:tcBorders>
            <w:shd w:val="clear" w:color="auto" w:fill="auto"/>
            <w:vAlign w:val="center"/>
          </w:tcPr>
          <w:p>
            <w:pPr>
              <w:widowControl/>
              <w:jc w:val="center"/>
              <w:textAlignment w:val="center"/>
              <w:rPr>
                <w:b/>
                <w:bCs/>
                <w:color w:val="000000"/>
                <w:kern w:val="0"/>
                <w:szCs w:val="21"/>
                <w:highlight w:val="none"/>
                <w:lang w:bidi="ar"/>
              </w:rPr>
            </w:pPr>
            <w:r>
              <w:rPr>
                <w:rFonts w:hint="eastAsia"/>
                <w:color w:val="000000"/>
                <w:kern w:val="0"/>
                <w:szCs w:val="21"/>
                <w:highlight w:val="none"/>
                <w:lang w:bidi="ar"/>
              </w:rPr>
              <w:t>套</w:t>
            </w:r>
          </w:p>
        </w:tc>
        <w:tc>
          <w:tcPr>
            <w:tcW w:w="1370" w:type="dxa"/>
            <w:tcBorders>
              <w:tl2br w:val="nil"/>
              <w:tr2bl w:val="nil"/>
            </w:tcBorders>
            <w:shd w:val="clear" w:color="auto" w:fill="auto"/>
            <w:vAlign w:val="center"/>
          </w:tcPr>
          <w:p>
            <w:pPr>
              <w:widowControl/>
              <w:jc w:val="center"/>
              <w:textAlignment w:val="center"/>
              <w:rPr>
                <w:b/>
                <w:bCs/>
                <w:color w:val="000000"/>
                <w:kern w:val="0"/>
                <w:szCs w:val="21"/>
                <w:highlight w:val="none"/>
                <w:lang w:bidi="ar"/>
              </w:rPr>
            </w:pPr>
            <w:r>
              <w:rPr>
                <w:rFonts w:hint="eastAsia"/>
                <w:color w:val="000000"/>
                <w:kern w:val="0"/>
                <w:szCs w:val="21"/>
                <w:highlight w:val="none"/>
                <w:lang w:bidi="ar"/>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0" w:hRule="atLeast"/>
        </w:trPr>
        <w:tc>
          <w:tcPr>
            <w:tcW w:w="2804" w:type="dxa"/>
            <w:gridSpan w:val="3"/>
            <w:vMerge w:val="continue"/>
            <w:tcBorders>
              <w:tl2br w:val="nil"/>
              <w:tr2bl w:val="nil"/>
            </w:tcBorders>
            <w:shd w:val="clear" w:color="auto" w:fill="auto"/>
            <w:vAlign w:val="center"/>
          </w:tcPr>
          <w:p>
            <w:pPr>
              <w:widowControl/>
              <w:jc w:val="left"/>
              <w:textAlignment w:val="center"/>
              <w:rPr>
                <w:b/>
                <w:bCs/>
                <w:color w:val="000000"/>
                <w:kern w:val="0"/>
                <w:szCs w:val="21"/>
                <w:highlight w:val="none"/>
                <w:lang w:bidi="ar"/>
              </w:rPr>
            </w:pPr>
          </w:p>
        </w:tc>
        <w:tc>
          <w:tcPr>
            <w:tcW w:w="8825" w:type="dxa"/>
            <w:tcBorders>
              <w:tl2br w:val="nil"/>
              <w:tr2bl w:val="nil"/>
            </w:tcBorders>
            <w:shd w:val="clear" w:color="auto" w:fill="auto"/>
            <w:vAlign w:val="center"/>
          </w:tcPr>
          <w:p>
            <w:pPr>
              <w:widowControl/>
              <w:jc w:val="left"/>
              <w:rPr>
                <w:b/>
                <w:bCs/>
                <w:color w:val="000000"/>
                <w:szCs w:val="21"/>
                <w:highlight w:val="none"/>
              </w:rPr>
            </w:pPr>
            <w:r>
              <w:rPr>
                <w:rFonts w:hint="eastAsia"/>
                <w:color w:val="000000"/>
                <w:szCs w:val="21"/>
                <w:highlight w:val="none"/>
              </w:rPr>
              <w:t>中间件</w:t>
            </w:r>
          </w:p>
        </w:tc>
        <w:tc>
          <w:tcPr>
            <w:tcW w:w="1204" w:type="dxa"/>
            <w:tcBorders>
              <w:tl2br w:val="nil"/>
              <w:tr2bl w:val="nil"/>
            </w:tcBorders>
            <w:shd w:val="clear" w:color="auto" w:fill="auto"/>
            <w:vAlign w:val="center"/>
          </w:tcPr>
          <w:p>
            <w:pPr>
              <w:widowControl/>
              <w:jc w:val="center"/>
              <w:textAlignment w:val="center"/>
              <w:rPr>
                <w:b/>
                <w:bCs/>
                <w:color w:val="000000"/>
                <w:kern w:val="0"/>
                <w:szCs w:val="21"/>
                <w:highlight w:val="none"/>
                <w:lang w:bidi="ar"/>
              </w:rPr>
            </w:pPr>
            <w:r>
              <w:rPr>
                <w:rFonts w:hint="eastAsia"/>
                <w:color w:val="000000"/>
                <w:kern w:val="0"/>
                <w:szCs w:val="21"/>
                <w:highlight w:val="none"/>
                <w:lang w:bidi="ar"/>
              </w:rPr>
              <w:t>套</w:t>
            </w:r>
          </w:p>
        </w:tc>
        <w:tc>
          <w:tcPr>
            <w:tcW w:w="1370" w:type="dxa"/>
            <w:tcBorders>
              <w:tl2br w:val="nil"/>
              <w:tr2bl w:val="nil"/>
            </w:tcBorders>
            <w:shd w:val="clear" w:color="auto" w:fill="auto"/>
            <w:vAlign w:val="center"/>
          </w:tcPr>
          <w:p>
            <w:pPr>
              <w:widowControl/>
              <w:jc w:val="center"/>
              <w:textAlignment w:val="center"/>
              <w:rPr>
                <w:b/>
                <w:bCs/>
                <w:color w:val="000000"/>
                <w:kern w:val="0"/>
                <w:szCs w:val="21"/>
                <w:highlight w:val="none"/>
                <w:lang w:bidi="ar"/>
              </w:rPr>
            </w:pPr>
            <w:r>
              <w:rPr>
                <w:rFonts w:hint="eastAsia"/>
                <w:color w:val="000000"/>
                <w:kern w:val="0"/>
                <w:szCs w:val="21"/>
                <w:highlight w:val="none"/>
                <w:lang w:bidi="ar"/>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0" w:hRule="atLeast"/>
        </w:trPr>
        <w:tc>
          <w:tcPr>
            <w:tcW w:w="11629" w:type="dxa"/>
            <w:gridSpan w:val="4"/>
            <w:tcBorders>
              <w:tl2br w:val="nil"/>
              <w:tr2bl w:val="nil"/>
            </w:tcBorders>
            <w:shd w:val="clear" w:color="auto" w:fill="auto"/>
            <w:vAlign w:val="center"/>
          </w:tcPr>
          <w:p>
            <w:pPr>
              <w:widowControl/>
              <w:jc w:val="center"/>
              <w:rPr>
                <w:rFonts w:hint="eastAsia" w:eastAsia="宋体"/>
                <w:color w:val="000000"/>
                <w:szCs w:val="21"/>
                <w:highlight w:val="none"/>
                <w:lang w:eastAsia="zh-CN"/>
              </w:rPr>
            </w:pPr>
            <w:r>
              <w:rPr>
                <w:rFonts w:hint="eastAsia"/>
                <w:b/>
                <w:bCs/>
                <w:color w:val="000000"/>
                <w:kern w:val="0"/>
                <w:szCs w:val="21"/>
                <w:highlight w:val="none"/>
                <w:lang w:bidi="ar"/>
              </w:rPr>
              <w:t>巡检</w:t>
            </w:r>
            <w:r>
              <w:rPr>
                <w:rFonts w:hint="eastAsia"/>
                <w:b/>
                <w:bCs/>
                <w:color w:val="000000"/>
                <w:kern w:val="0"/>
                <w:szCs w:val="21"/>
                <w:highlight w:val="none"/>
                <w:lang w:val="en-US" w:eastAsia="zh-CN" w:bidi="ar"/>
              </w:rPr>
              <w:t>检测服务</w:t>
            </w:r>
            <w:r>
              <w:rPr>
                <w:rFonts w:hint="eastAsia"/>
                <w:b/>
                <w:bCs/>
                <w:color w:val="000000"/>
                <w:kern w:val="0"/>
                <w:szCs w:val="21"/>
                <w:highlight w:val="none"/>
                <w:lang w:bidi="ar"/>
              </w:rPr>
              <w:t>费用</w:t>
            </w:r>
            <w:r>
              <w:rPr>
                <w:rFonts w:hint="eastAsia"/>
                <w:b/>
                <w:bCs/>
                <w:color w:val="000000"/>
                <w:kern w:val="0"/>
                <w:szCs w:val="21"/>
                <w:highlight w:val="none"/>
                <w:lang w:eastAsia="zh-CN" w:bidi="ar"/>
              </w:rPr>
              <w:t>（</w:t>
            </w:r>
            <w:r>
              <w:rPr>
                <w:rFonts w:hint="eastAsia"/>
                <w:b/>
                <w:bCs/>
                <w:color w:val="000000"/>
                <w:kern w:val="0"/>
                <w:szCs w:val="21"/>
                <w:highlight w:val="none"/>
                <w:lang w:val="en-US" w:eastAsia="zh-CN" w:bidi="ar"/>
              </w:rPr>
              <w:t>合同履行期间</w:t>
            </w:r>
            <w:r>
              <w:rPr>
                <w:rFonts w:hint="eastAsia"/>
                <w:b/>
                <w:bCs/>
                <w:color w:val="000000"/>
                <w:kern w:val="0"/>
                <w:szCs w:val="21"/>
                <w:highlight w:val="none"/>
                <w:lang w:eastAsia="zh-CN" w:bidi="ar"/>
              </w:rPr>
              <w:t>）</w:t>
            </w:r>
          </w:p>
        </w:tc>
        <w:tc>
          <w:tcPr>
            <w:tcW w:w="1204" w:type="dxa"/>
            <w:tcBorders>
              <w:tl2br w:val="nil"/>
              <w:tr2bl w:val="nil"/>
            </w:tcBorders>
            <w:shd w:val="clear" w:color="auto" w:fill="auto"/>
            <w:vAlign w:val="center"/>
          </w:tcPr>
          <w:p>
            <w:pPr>
              <w:widowControl/>
              <w:jc w:val="center"/>
              <w:textAlignment w:val="center"/>
              <w:rPr>
                <w:rFonts w:hint="eastAsia"/>
                <w:color w:val="000000"/>
                <w:kern w:val="0"/>
                <w:szCs w:val="21"/>
                <w:highlight w:val="none"/>
                <w:lang w:bidi="ar"/>
              </w:rPr>
            </w:pPr>
            <w:r>
              <w:rPr>
                <w:b/>
                <w:bCs/>
                <w:color w:val="000000"/>
                <w:kern w:val="0"/>
                <w:szCs w:val="21"/>
                <w:highlight w:val="none"/>
                <w:lang w:bidi="ar"/>
              </w:rPr>
              <w:t>项</w:t>
            </w:r>
          </w:p>
        </w:tc>
        <w:tc>
          <w:tcPr>
            <w:tcW w:w="1370" w:type="dxa"/>
            <w:tcBorders>
              <w:tl2br w:val="nil"/>
              <w:tr2bl w:val="nil"/>
            </w:tcBorders>
            <w:shd w:val="clear" w:color="auto" w:fill="auto"/>
            <w:vAlign w:val="center"/>
          </w:tcPr>
          <w:p>
            <w:pPr>
              <w:widowControl/>
              <w:jc w:val="center"/>
              <w:textAlignment w:val="center"/>
              <w:rPr>
                <w:rFonts w:hint="eastAsia" w:eastAsia="宋体"/>
                <w:color w:val="000000"/>
                <w:kern w:val="0"/>
                <w:szCs w:val="21"/>
                <w:highlight w:val="none"/>
                <w:lang w:val="en-US" w:eastAsia="zh-CN" w:bidi="ar"/>
              </w:rPr>
            </w:pPr>
            <w:r>
              <w:rPr>
                <w:rFonts w:hint="eastAsia"/>
                <w:color w:val="000000"/>
                <w:kern w:val="0"/>
                <w:szCs w:val="21"/>
                <w:highlight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0" w:hRule="atLeast"/>
        </w:trPr>
        <w:tc>
          <w:tcPr>
            <w:tcW w:w="11629" w:type="dxa"/>
            <w:gridSpan w:val="4"/>
            <w:tcBorders>
              <w:tl2br w:val="nil"/>
              <w:tr2bl w:val="nil"/>
            </w:tcBorders>
            <w:shd w:val="clear" w:color="auto" w:fill="auto"/>
            <w:vAlign w:val="center"/>
          </w:tcPr>
          <w:p>
            <w:pPr>
              <w:widowControl/>
              <w:jc w:val="center"/>
              <w:rPr>
                <w:b/>
                <w:bCs/>
                <w:color w:val="000000"/>
                <w:szCs w:val="21"/>
                <w:highlight w:val="none"/>
              </w:rPr>
            </w:pPr>
            <w:r>
              <w:rPr>
                <w:rFonts w:hint="eastAsia"/>
                <w:b/>
                <w:bCs/>
                <w:color w:val="000000"/>
                <w:kern w:val="0"/>
                <w:szCs w:val="21"/>
                <w:highlight w:val="none"/>
                <w:lang w:bidi="ar"/>
              </w:rPr>
              <w:t>三级等保费用</w:t>
            </w:r>
          </w:p>
        </w:tc>
        <w:tc>
          <w:tcPr>
            <w:tcW w:w="1204" w:type="dxa"/>
            <w:tcBorders>
              <w:tl2br w:val="nil"/>
              <w:tr2bl w:val="nil"/>
            </w:tcBorders>
            <w:shd w:val="clear" w:color="auto" w:fill="auto"/>
            <w:vAlign w:val="center"/>
          </w:tcPr>
          <w:p>
            <w:pPr>
              <w:widowControl/>
              <w:jc w:val="center"/>
              <w:textAlignment w:val="center"/>
              <w:rPr>
                <w:b/>
                <w:bCs/>
                <w:color w:val="000000"/>
                <w:kern w:val="0"/>
                <w:szCs w:val="21"/>
                <w:highlight w:val="none"/>
                <w:lang w:bidi="ar"/>
              </w:rPr>
            </w:pPr>
            <w:r>
              <w:rPr>
                <w:b/>
                <w:bCs/>
                <w:color w:val="000000"/>
                <w:kern w:val="0"/>
                <w:szCs w:val="21"/>
                <w:highlight w:val="none"/>
                <w:lang w:bidi="ar"/>
              </w:rPr>
              <w:t>项</w:t>
            </w:r>
          </w:p>
        </w:tc>
        <w:tc>
          <w:tcPr>
            <w:tcW w:w="1370" w:type="dxa"/>
            <w:tcBorders>
              <w:tl2br w:val="nil"/>
              <w:tr2bl w:val="nil"/>
            </w:tcBorders>
            <w:shd w:val="clear" w:color="auto" w:fill="auto"/>
            <w:vAlign w:val="center"/>
          </w:tcPr>
          <w:p>
            <w:pPr>
              <w:widowControl/>
              <w:jc w:val="center"/>
              <w:textAlignment w:val="center"/>
              <w:rPr>
                <w:b/>
                <w:bCs/>
                <w:color w:val="000000"/>
                <w:kern w:val="0"/>
                <w:szCs w:val="21"/>
                <w:highlight w:val="none"/>
                <w:lang w:bidi="ar"/>
              </w:rPr>
            </w:pPr>
            <w:r>
              <w:rPr>
                <w:b/>
                <w:bCs/>
                <w:color w:val="000000"/>
                <w:kern w:val="0"/>
                <w:szCs w:val="21"/>
                <w:highlight w:val="none"/>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0" w:hRule="atLeast"/>
        </w:trPr>
        <w:tc>
          <w:tcPr>
            <w:tcW w:w="11629" w:type="dxa"/>
            <w:gridSpan w:val="4"/>
            <w:tcBorders>
              <w:tl2br w:val="nil"/>
              <w:tr2bl w:val="nil"/>
            </w:tcBorders>
            <w:shd w:val="clear" w:color="auto" w:fill="auto"/>
            <w:vAlign w:val="center"/>
          </w:tcPr>
          <w:p>
            <w:pPr>
              <w:widowControl/>
              <w:jc w:val="center"/>
              <w:rPr>
                <w:b/>
                <w:bCs/>
                <w:color w:val="000000"/>
                <w:szCs w:val="21"/>
                <w:highlight w:val="none"/>
              </w:rPr>
            </w:pPr>
            <w:r>
              <w:rPr>
                <w:rFonts w:hint="eastAsia"/>
                <w:b/>
                <w:bCs/>
                <w:color w:val="000000"/>
                <w:kern w:val="0"/>
                <w:szCs w:val="21"/>
                <w:highlight w:val="none"/>
                <w:lang w:bidi="ar"/>
              </w:rPr>
              <w:t>密码安全测评费用</w:t>
            </w:r>
          </w:p>
        </w:tc>
        <w:tc>
          <w:tcPr>
            <w:tcW w:w="1204" w:type="dxa"/>
            <w:tcBorders>
              <w:tl2br w:val="nil"/>
              <w:tr2bl w:val="nil"/>
            </w:tcBorders>
            <w:shd w:val="clear" w:color="auto" w:fill="auto"/>
            <w:vAlign w:val="center"/>
          </w:tcPr>
          <w:p>
            <w:pPr>
              <w:widowControl/>
              <w:jc w:val="center"/>
              <w:textAlignment w:val="center"/>
              <w:rPr>
                <w:b/>
                <w:bCs/>
                <w:color w:val="000000"/>
                <w:kern w:val="0"/>
                <w:szCs w:val="21"/>
                <w:highlight w:val="none"/>
                <w:lang w:bidi="ar"/>
              </w:rPr>
            </w:pPr>
            <w:r>
              <w:rPr>
                <w:b/>
                <w:bCs/>
                <w:color w:val="000000"/>
                <w:kern w:val="0"/>
                <w:szCs w:val="21"/>
                <w:highlight w:val="none"/>
                <w:lang w:bidi="ar"/>
              </w:rPr>
              <w:t>项</w:t>
            </w:r>
          </w:p>
        </w:tc>
        <w:tc>
          <w:tcPr>
            <w:tcW w:w="1370" w:type="dxa"/>
            <w:tcBorders>
              <w:tl2br w:val="nil"/>
              <w:tr2bl w:val="nil"/>
            </w:tcBorders>
            <w:shd w:val="clear" w:color="auto" w:fill="auto"/>
            <w:vAlign w:val="center"/>
          </w:tcPr>
          <w:p>
            <w:pPr>
              <w:widowControl/>
              <w:jc w:val="center"/>
              <w:textAlignment w:val="center"/>
              <w:rPr>
                <w:b/>
                <w:bCs/>
                <w:color w:val="000000"/>
                <w:kern w:val="0"/>
                <w:szCs w:val="21"/>
                <w:highlight w:val="none"/>
                <w:lang w:bidi="ar"/>
              </w:rPr>
            </w:pPr>
            <w:r>
              <w:rPr>
                <w:b/>
                <w:bCs/>
                <w:color w:val="000000"/>
                <w:kern w:val="0"/>
                <w:szCs w:val="21"/>
                <w:highlight w:val="none"/>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0" w:hRule="atLeast"/>
        </w:trPr>
        <w:tc>
          <w:tcPr>
            <w:tcW w:w="11629" w:type="dxa"/>
            <w:gridSpan w:val="4"/>
            <w:tcBorders>
              <w:tl2br w:val="nil"/>
              <w:tr2bl w:val="nil"/>
            </w:tcBorders>
            <w:shd w:val="clear" w:color="auto" w:fill="auto"/>
            <w:vAlign w:val="center"/>
          </w:tcPr>
          <w:p>
            <w:pPr>
              <w:widowControl/>
              <w:jc w:val="center"/>
              <w:rPr>
                <w:b/>
                <w:bCs/>
                <w:color w:val="000000"/>
                <w:szCs w:val="21"/>
                <w:highlight w:val="none"/>
              </w:rPr>
            </w:pPr>
            <w:r>
              <w:rPr>
                <w:rFonts w:hint="eastAsia"/>
                <w:b/>
                <w:bCs/>
                <w:color w:val="000000"/>
                <w:kern w:val="0"/>
                <w:szCs w:val="21"/>
                <w:highlight w:val="none"/>
                <w:lang w:bidi="ar"/>
              </w:rPr>
              <w:t>代码审计费用</w:t>
            </w:r>
          </w:p>
        </w:tc>
        <w:tc>
          <w:tcPr>
            <w:tcW w:w="1204" w:type="dxa"/>
            <w:tcBorders>
              <w:tl2br w:val="nil"/>
              <w:tr2bl w:val="nil"/>
            </w:tcBorders>
            <w:shd w:val="clear" w:color="auto" w:fill="auto"/>
            <w:vAlign w:val="center"/>
          </w:tcPr>
          <w:p>
            <w:pPr>
              <w:widowControl/>
              <w:jc w:val="center"/>
              <w:textAlignment w:val="center"/>
              <w:rPr>
                <w:b/>
                <w:bCs/>
                <w:color w:val="000000"/>
                <w:kern w:val="0"/>
                <w:szCs w:val="21"/>
                <w:highlight w:val="none"/>
                <w:lang w:bidi="ar"/>
              </w:rPr>
            </w:pPr>
            <w:r>
              <w:rPr>
                <w:b/>
                <w:bCs/>
                <w:color w:val="000000"/>
                <w:kern w:val="0"/>
                <w:szCs w:val="21"/>
                <w:highlight w:val="none"/>
                <w:lang w:bidi="ar"/>
              </w:rPr>
              <w:t>项</w:t>
            </w:r>
          </w:p>
        </w:tc>
        <w:tc>
          <w:tcPr>
            <w:tcW w:w="1370" w:type="dxa"/>
            <w:tcBorders>
              <w:tl2br w:val="nil"/>
              <w:tr2bl w:val="nil"/>
            </w:tcBorders>
            <w:shd w:val="clear" w:color="auto" w:fill="auto"/>
            <w:vAlign w:val="center"/>
          </w:tcPr>
          <w:p>
            <w:pPr>
              <w:widowControl/>
              <w:jc w:val="center"/>
              <w:textAlignment w:val="center"/>
              <w:rPr>
                <w:b/>
                <w:bCs/>
                <w:color w:val="000000"/>
                <w:kern w:val="0"/>
                <w:szCs w:val="21"/>
                <w:highlight w:val="none"/>
                <w:lang w:bidi="ar"/>
              </w:rPr>
            </w:pPr>
            <w:r>
              <w:rPr>
                <w:b/>
                <w:bCs/>
                <w:color w:val="000000"/>
                <w:kern w:val="0"/>
                <w:szCs w:val="21"/>
                <w:highlight w:val="none"/>
                <w:lang w:bidi="ar"/>
              </w:rPr>
              <w:t>1</w:t>
            </w:r>
          </w:p>
        </w:tc>
      </w:tr>
    </w:tbl>
    <w:p>
      <w:pPr>
        <w:numPr>
          <w:ilvl w:val="0"/>
          <w:numId w:val="59"/>
        </w:numPr>
        <w:spacing w:line="360" w:lineRule="auto"/>
        <w:ind w:firstLine="420" w:firstLineChars="200"/>
        <w:rPr>
          <w:highlight w:val="none"/>
        </w:rPr>
        <w:sectPr>
          <w:pgSz w:w="16838" w:h="11906" w:orient="landscape"/>
          <w:pgMar w:top="1417" w:right="1417" w:bottom="1417" w:left="1417" w:header="386" w:footer="992" w:gutter="0"/>
          <w:cols w:space="0" w:num="1"/>
          <w:docGrid w:type="linesAndChars" w:linePitch="312" w:charSpace="0"/>
        </w:sectPr>
      </w:pPr>
      <w:r>
        <w:rPr>
          <w:rFonts w:hint="eastAsia"/>
          <w:highlight w:val="none"/>
        </w:rPr>
        <w:br w:type="page"/>
      </w:r>
      <w:bookmarkStart w:id="202" w:name="_Toc7180"/>
      <w:bookmarkStart w:id="203" w:name="_Toc9893"/>
    </w:p>
    <w:bookmarkEnd w:id="202"/>
    <w:bookmarkEnd w:id="203"/>
    <w:p>
      <w:pPr>
        <w:pStyle w:val="29"/>
        <w:snapToGrid w:val="0"/>
        <w:spacing w:before="120" w:after="120"/>
        <w:outlineLvl w:val="0"/>
        <w:rPr>
          <w:rFonts w:hAnsi="宋体" w:cs="宋体"/>
          <w:b/>
          <w:bCs/>
          <w:highlight w:val="none"/>
        </w:rPr>
      </w:pPr>
      <w:r>
        <w:rPr>
          <w:rFonts w:hint="eastAsia" w:hAnsi="宋体" w:cs="宋体"/>
          <w:b/>
          <w:bCs/>
          <w:highlight w:val="none"/>
        </w:rPr>
        <w:t>五、商务要求表</w:t>
      </w:r>
    </w:p>
    <w:tbl>
      <w:tblPr>
        <w:tblStyle w:val="50"/>
        <w:tblW w:w="86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69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739" w:type="dxa"/>
            <w:vAlign w:val="center"/>
          </w:tcPr>
          <w:p>
            <w:pPr>
              <w:spacing w:line="360" w:lineRule="auto"/>
              <w:jc w:val="center"/>
              <w:rPr>
                <w:rFonts w:ascii="宋体" w:hAnsi="宋体" w:cs="宋体"/>
                <w:highlight w:val="none"/>
              </w:rPr>
            </w:pPr>
            <w:r>
              <w:rPr>
                <w:rFonts w:hint="eastAsia"/>
                <w:highlight w:val="none"/>
              </w:rPr>
              <w:t>▲</w:t>
            </w:r>
            <w:r>
              <w:rPr>
                <w:rFonts w:hint="eastAsia" w:ascii="宋体" w:hAnsi="宋体" w:cs="宋体"/>
                <w:highlight w:val="none"/>
              </w:rPr>
              <w:t>项目进度要求</w:t>
            </w:r>
          </w:p>
        </w:tc>
        <w:tc>
          <w:tcPr>
            <w:tcW w:w="6911" w:type="dxa"/>
            <w:vAlign w:val="center"/>
          </w:tcPr>
          <w:p>
            <w:pPr>
              <w:spacing w:line="360" w:lineRule="auto"/>
              <w:rPr>
                <w:rFonts w:ascii="宋体" w:hAnsi="宋体" w:cs="宋体"/>
                <w:highlight w:val="none"/>
              </w:rPr>
            </w:pPr>
            <w:r>
              <w:rPr>
                <w:rFonts w:hint="eastAsia" w:ascii="宋体" w:hAnsi="宋体" w:cs="宋体"/>
                <w:highlight w:val="none"/>
                <w:lang w:eastAsia="zh-CN"/>
              </w:rPr>
              <w:t>自合同签订之日起至2023年4月通过初验，进入为期6个月的试运行期，试运行完成后组织项目终验</w:t>
            </w:r>
            <w:r>
              <w:rPr>
                <w:rFonts w:hint="eastAsia" w:ascii="宋体" w:hAnsi="宋体" w:cs="宋体"/>
                <w:highlight w:val="none"/>
              </w:rPr>
              <w:t>。</w:t>
            </w:r>
          </w:p>
          <w:p>
            <w:pPr>
              <w:spacing w:line="360" w:lineRule="auto"/>
              <w:rPr>
                <w:rFonts w:ascii="宋体" w:hAnsi="宋体" w:cs="宋体"/>
                <w:highlight w:val="none"/>
              </w:rPr>
            </w:pPr>
            <w:r>
              <w:rPr>
                <w:rFonts w:hint="eastAsia" w:ascii="宋体" w:hAnsi="宋体" w:cs="宋体"/>
                <w:highlight w:val="none"/>
              </w:rPr>
              <w:t>投标人应按照上述时间安排，</w:t>
            </w:r>
            <w:r>
              <w:rPr>
                <w:rFonts w:hint="eastAsia" w:ascii="宋体" w:hAnsi="宋体" w:cs="宋体"/>
                <w:highlight w:val="none"/>
              </w:rPr>
              <w:t>完善</w:t>
            </w:r>
            <w:r>
              <w:rPr>
                <w:rFonts w:hint="eastAsia" w:ascii="宋体" w:hAnsi="宋体" w:eastAsia="宋体" w:cs="宋体"/>
                <w:highlight w:val="none"/>
                <w:lang w:eastAsia="zh-Hans"/>
              </w:rPr>
              <w:t>调研需求及系统平台深化设计</w:t>
            </w:r>
            <w:r>
              <w:rPr>
                <w:rFonts w:hint="eastAsia" w:ascii="宋体" w:hAnsi="宋体" w:eastAsia="宋体" w:cs="宋体"/>
                <w:highlight w:val="none"/>
              </w:rPr>
              <w:t>，</w:t>
            </w:r>
            <w:r>
              <w:rPr>
                <w:rFonts w:hint="eastAsia" w:ascii="宋体" w:hAnsi="宋体" w:cs="宋体"/>
                <w:highlight w:val="none"/>
              </w:rPr>
              <w:t>制定相应的项目实施详细进度计划，确定每个实施阶段的时间表及工作目标。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739" w:type="dxa"/>
            <w:vAlign w:val="center"/>
          </w:tcPr>
          <w:p>
            <w:pPr>
              <w:spacing w:line="360" w:lineRule="auto"/>
              <w:jc w:val="center"/>
              <w:rPr>
                <w:rFonts w:ascii="宋体" w:hAnsi="宋体" w:cs="宋体"/>
                <w:highlight w:val="none"/>
              </w:rPr>
            </w:pPr>
            <w:r>
              <w:rPr>
                <w:rFonts w:hint="eastAsia"/>
                <w:highlight w:val="none"/>
              </w:rPr>
              <w:t>▲</w:t>
            </w:r>
            <w:r>
              <w:rPr>
                <w:rFonts w:hint="eastAsia" w:ascii="宋体" w:hAnsi="宋体" w:cs="宋体"/>
                <w:highlight w:val="none"/>
              </w:rPr>
              <w:t>售后服务要求</w:t>
            </w:r>
          </w:p>
        </w:tc>
        <w:tc>
          <w:tcPr>
            <w:tcW w:w="6911" w:type="dxa"/>
            <w:vAlign w:val="center"/>
          </w:tcPr>
          <w:p>
            <w:pPr>
              <w:numPr>
                <w:ilvl w:val="0"/>
                <w:numId w:val="60"/>
              </w:numPr>
              <w:spacing w:line="360" w:lineRule="auto"/>
              <w:rPr>
                <w:rFonts w:hint="eastAsia"/>
                <w:color w:val="000000"/>
                <w:kern w:val="0"/>
                <w:highlight w:val="none"/>
                <w:lang w:eastAsia="zh-CN"/>
              </w:rPr>
            </w:pPr>
            <w:r>
              <w:rPr>
                <w:rFonts w:hint="eastAsia"/>
                <w:highlight w:val="none"/>
              </w:rPr>
              <w:t>中标人</w:t>
            </w:r>
            <w:r>
              <w:rPr>
                <w:rFonts w:hint="eastAsia"/>
                <w:highlight w:val="none"/>
                <w:lang w:val="en-US" w:eastAsia="zh-CN"/>
              </w:rPr>
              <w:t>须提供</w:t>
            </w:r>
            <w:r>
              <w:rPr>
                <w:rFonts w:hint="eastAsia"/>
                <w:color w:val="000000"/>
                <w:kern w:val="0"/>
                <w:highlight w:val="none"/>
              </w:rPr>
              <w:t>4名驻点人员</w:t>
            </w:r>
            <w:r>
              <w:rPr>
                <w:rFonts w:hint="eastAsia"/>
                <w:highlight w:val="none"/>
              </w:rPr>
              <w:t>（须为参与项目实施人员）</w:t>
            </w:r>
            <w:r>
              <w:rPr>
                <w:rFonts w:hint="eastAsia"/>
                <w:color w:val="000000"/>
                <w:kern w:val="0"/>
                <w:highlight w:val="none"/>
              </w:rPr>
              <w:t>、1辆专车对物联感知设备进行</w:t>
            </w:r>
            <w:r>
              <w:rPr>
                <w:rFonts w:hint="eastAsia"/>
                <w:color w:val="000000"/>
                <w:kern w:val="0"/>
                <w:highlight w:val="none"/>
                <w:lang w:eastAsia="zh-CN"/>
              </w:rPr>
              <w:t>合同履行期间内</w:t>
            </w:r>
            <w:r>
              <w:rPr>
                <w:rFonts w:hint="eastAsia"/>
                <w:color w:val="000000"/>
                <w:kern w:val="0"/>
                <w:highlight w:val="none"/>
                <w:lang w:eastAsia="zh-CN"/>
              </w:rPr>
              <w:t>的巡检检测服务</w:t>
            </w:r>
            <w:r>
              <w:rPr>
                <w:rFonts w:hint="eastAsia"/>
                <w:color w:val="000000"/>
                <w:kern w:val="0"/>
                <w:highlight w:val="none"/>
              </w:rPr>
              <w:t>，并服从业主和上级行业主管部门有关本项目服务的工作指令分配，30分钟内提供服务响应，急难险重问题需立即派人处理处置。在服务期间内，制定运维方案和应急响应制度，开展日常运维和应急响应工作，包括巡检、检修、置换、记录、校验等。保障物联监测数据的准确、安全和完备</w:t>
            </w:r>
            <w:r>
              <w:rPr>
                <w:rFonts w:hint="eastAsia"/>
                <w:color w:val="000000"/>
                <w:kern w:val="0"/>
                <w:highlight w:val="none"/>
                <w:lang w:eastAsia="zh-CN"/>
              </w:rPr>
              <w:t>。</w:t>
            </w:r>
            <w:r>
              <w:rPr>
                <w:rFonts w:hint="eastAsia"/>
                <w:color w:val="000000"/>
                <w:kern w:val="0"/>
                <w:highlight w:val="none"/>
                <w:lang w:val="en-US" w:eastAsia="zh-CN"/>
              </w:rPr>
              <w:t>须针对每套在线监测设备的测试比对不少于3次，并提供巡检测试报告。</w:t>
            </w:r>
          </w:p>
          <w:p>
            <w:pPr>
              <w:pStyle w:val="2"/>
              <w:numPr>
                <w:ilvl w:val="0"/>
                <w:numId w:val="0"/>
              </w:numPr>
              <w:rPr>
                <w:rFonts w:hint="eastAsia" w:eastAsia="宋体"/>
                <w:highlight w:val="none"/>
                <w:lang w:val="en-US" w:eastAsia="zh-CN"/>
              </w:rPr>
            </w:pPr>
            <w:r>
              <w:rPr>
                <w:rFonts w:hint="eastAsia"/>
                <w:highlight w:val="none"/>
                <w:lang w:val="en-US" w:eastAsia="zh-CN"/>
              </w:rPr>
              <w:t>2、</w:t>
            </w:r>
            <w:r>
              <w:rPr>
                <w:rFonts w:hint="eastAsia"/>
                <w:highlight w:val="none"/>
              </w:rPr>
              <w:t>中标人应保证对硬件设备提供</w:t>
            </w:r>
            <w:r>
              <w:rPr>
                <w:rFonts w:hint="eastAsia"/>
                <w:highlight w:val="none"/>
                <w:lang w:eastAsia="zh-CN"/>
              </w:rPr>
              <w:t>至少3年的质保期，从项目通过终验之日起。</w:t>
            </w:r>
          </w:p>
          <w:p>
            <w:pPr>
              <w:spacing w:line="360" w:lineRule="auto"/>
              <w:rPr>
                <w:highlight w:val="none"/>
              </w:rPr>
            </w:pPr>
            <w:r>
              <w:rPr>
                <w:rFonts w:hint="eastAsia"/>
                <w:highlight w:val="none"/>
                <w:lang w:val="en-US" w:eastAsia="zh-CN"/>
              </w:rPr>
              <w:t>2.1</w:t>
            </w:r>
            <w:r>
              <w:rPr>
                <w:rFonts w:hint="eastAsia"/>
                <w:highlight w:val="none"/>
              </w:rPr>
              <w:t>质保期内：</w:t>
            </w:r>
          </w:p>
          <w:p>
            <w:pPr>
              <w:spacing w:line="360" w:lineRule="auto"/>
              <w:rPr>
                <w:highlight w:val="none"/>
              </w:rPr>
            </w:pPr>
            <w:r>
              <w:rPr>
                <w:rFonts w:hint="eastAsia"/>
                <w:highlight w:val="none"/>
              </w:rPr>
              <w:t>1）质保期内本项目采购的所有设备出现故障，投标人负责免费维修，对不能修复的设备负责免费更换。</w:t>
            </w:r>
          </w:p>
          <w:p>
            <w:pPr>
              <w:spacing w:line="360" w:lineRule="auto"/>
              <w:rPr>
                <w:highlight w:val="none"/>
              </w:rPr>
            </w:pPr>
            <w:r>
              <w:rPr>
                <w:rFonts w:hint="eastAsia"/>
                <w:highlight w:val="none"/>
              </w:rPr>
              <w:t>3）接到采购人通知后30分钟内响应，4小时内到达维修现场，一般问题12小时内修复，重大问题5个工作日内修复。</w:t>
            </w:r>
          </w:p>
          <w:p>
            <w:pPr>
              <w:spacing w:line="360" w:lineRule="auto"/>
              <w:rPr>
                <w:highlight w:val="none"/>
              </w:rPr>
            </w:pPr>
            <w:r>
              <w:rPr>
                <w:rFonts w:hint="eastAsia"/>
                <w:highlight w:val="none"/>
              </w:rPr>
              <w:t>4）一个月内出现二次及以上未及时响应或维修，采购人有权指定其他有维修能力的单位进行维修，所产生的费用由中标人支付。</w:t>
            </w:r>
          </w:p>
          <w:p>
            <w:pPr>
              <w:spacing w:line="360" w:lineRule="auto"/>
              <w:rPr>
                <w:highlight w:val="none"/>
              </w:rPr>
            </w:pPr>
            <w:r>
              <w:rPr>
                <w:rFonts w:hint="eastAsia"/>
                <w:highlight w:val="none"/>
              </w:rPr>
              <w:t>5）中标人配备一支稳定的专业技术队伍，负责本项目的维护工作，并开通报修电话，确保7×24小时接听系统故障报修，提供维护人员名单表</w:t>
            </w:r>
            <w:r>
              <w:rPr>
                <w:rFonts w:hint="eastAsia"/>
                <w:highlight w:val="none"/>
              </w:rPr>
              <w:t>，</w:t>
            </w:r>
            <w:r>
              <w:rPr>
                <w:rFonts w:hint="eastAsia"/>
                <w:highlight w:val="none"/>
              </w:rPr>
              <w:t>未经</w:t>
            </w:r>
            <w:r>
              <w:rPr>
                <w:rFonts w:hint="eastAsia"/>
                <w:highlight w:val="none"/>
                <w:lang w:val="en-US" w:eastAsia="zh-CN"/>
              </w:rPr>
              <w:t>采购人</w:t>
            </w:r>
            <w:r>
              <w:rPr>
                <w:rFonts w:hint="eastAsia"/>
                <w:highlight w:val="none"/>
              </w:rPr>
              <w:t>同意不得随意更换人员</w:t>
            </w:r>
            <w:r>
              <w:rPr>
                <w:rFonts w:hint="eastAsia"/>
                <w:highlight w:val="none"/>
              </w:rPr>
              <w:t>。</w:t>
            </w:r>
          </w:p>
          <w:p>
            <w:pPr>
              <w:spacing w:line="360" w:lineRule="auto"/>
              <w:rPr>
                <w:rFonts w:hint="eastAsia"/>
                <w:highlight w:val="none"/>
              </w:rPr>
            </w:pPr>
            <w:r>
              <w:rPr>
                <w:rFonts w:hint="eastAsia"/>
                <w:highlight w:val="none"/>
              </w:rPr>
              <w:t>6）针对本项目配备足够的交通工具、通信工具、检测仪器及维修设备, 制定质保期内对系统的巡视制度和对用户的回访计划。</w:t>
            </w:r>
          </w:p>
          <w:p>
            <w:pPr>
              <w:spacing w:line="360" w:lineRule="auto"/>
              <w:rPr>
                <w:highlight w:val="none"/>
              </w:rPr>
            </w:pPr>
            <w:r>
              <w:rPr>
                <w:rFonts w:hint="eastAsia"/>
                <w:highlight w:val="none"/>
                <w:lang w:val="en-US" w:eastAsia="zh-CN"/>
              </w:rPr>
              <w:t>2.2</w:t>
            </w:r>
            <w:r>
              <w:rPr>
                <w:rFonts w:hint="eastAsia"/>
                <w:highlight w:val="none"/>
              </w:rPr>
              <w:t>质保期外：</w:t>
            </w:r>
          </w:p>
          <w:p>
            <w:pPr>
              <w:spacing w:line="360" w:lineRule="auto"/>
              <w:rPr>
                <w:highlight w:val="none"/>
              </w:rPr>
            </w:pPr>
            <w:r>
              <w:rPr>
                <w:rFonts w:hint="eastAsia"/>
                <w:highlight w:val="none"/>
              </w:rPr>
              <w:t>1）中标人需承诺提供长期的版本升级和更新支持，属于软件存在的不完善问题，随时提供免费服务。</w:t>
            </w:r>
          </w:p>
          <w:p>
            <w:pPr>
              <w:spacing w:line="360" w:lineRule="auto"/>
              <w:rPr>
                <w:highlight w:val="none"/>
              </w:rPr>
            </w:pPr>
            <w:r>
              <w:rPr>
                <w:rFonts w:hint="eastAsia"/>
                <w:highlight w:val="none"/>
              </w:rPr>
              <w:t>2）中标人需承诺提供长期的咨询和技术支持服务。</w:t>
            </w:r>
          </w:p>
          <w:p>
            <w:pPr>
              <w:spacing w:line="360" w:lineRule="auto"/>
              <w:rPr>
                <w:highlight w:val="none"/>
              </w:rPr>
            </w:pPr>
            <w:r>
              <w:rPr>
                <w:rFonts w:hint="eastAsia"/>
                <w:highlight w:val="none"/>
              </w:rPr>
              <w:t>3）对于涉及本项目的后续需求，中标人需提供技术和工程方面的配合工作。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739" w:type="dxa"/>
            <w:vAlign w:val="center"/>
          </w:tcPr>
          <w:p>
            <w:pPr>
              <w:spacing w:line="360" w:lineRule="auto"/>
              <w:jc w:val="center"/>
              <w:rPr>
                <w:rFonts w:ascii="宋体" w:hAnsi="宋体" w:cs="宋体"/>
                <w:highlight w:val="none"/>
              </w:rPr>
            </w:pPr>
            <w:r>
              <w:rPr>
                <w:rFonts w:hint="eastAsia"/>
                <w:highlight w:val="none"/>
              </w:rPr>
              <w:t>▲</w:t>
            </w:r>
            <w:r>
              <w:rPr>
                <w:rFonts w:hint="eastAsia" w:ascii="宋体" w:hAnsi="宋体" w:cs="宋体"/>
                <w:highlight w:val="none"/>
              </w:rPr>
              <w:t>付款条件</w:t>
            </w:r>
          </w:p>
        </w:tc>
        <w:tc>
          <w:tcPr>
            <w:tcW w:w="6911" w:type="dxa"/>
            <w:vAlign w:val="center"/>
          </w:tcPr>
          <w:p>
            <w:pPr>
              <w:pStyle w:val="23"/>
              <w:spacing w:line="360" w:lineRule="auto"/>
              <w:rPr>
                <w:rFonts w:hint="eastAsia" w:ascii="宋体" w:hAnsi="宋体" w:cs="宋体"/>
                <w:bCs/>
                <w:highlight w:val="none"/>
                <w:lang w:eastAsia="zh-CN"/>
              </w:rPr>
            </w:pPr>
            <w:r>
              <w:rPr>
                <w:rFonts w:hint="eastAsia" w:ascii="宋体" w:hAnsi="宋体" w:cs="宋体"/>
                <w:bCs/>
                <w:highlight w:val="none"/>
                <w:lang w:eastAsia="zh-CN"/>
              </w:rPr>
              <w:t>合同签订后15个工作日内支付合同总价的20%；项目实施完成且通过初验后支付合同总价的50%；</w:t>
            </w:r>
            <w:r>
              <w:rPr>
                <w:rFonts w:hint="eastAsia" w:ascii="宋体" w:hAnsi="宋体" w:cs="宋体"/>
                <w:bCs/>
                <w:highlight w:val="none"/>
                <w:lang w:eastAsia="zh-CN"/>
              </w:rPr>
              <w:t>项目通过终验且最终经采购人确认后付清应付余款</w:t>
            </w:r>
            <w:r>
              <w:rPr>
                <w:rFonts w:hint="eastAsia" w:ascii="宋体" w:hAnsi="宋体" w:cs="宋体"/>
                <w:bCs/>
                <w:highlight w:val="none"/>
                <w:lang w:eastAsia="zh-CN"/>
              </w:rPr>
              <w:t>。</w:t>
            </w:r>
          </w:p>
          <w:p>
            <w:pPr>
              <w:pStyle w:val="23"/>
              <w:spacing w:line="360" w:lineRule="auto"/>
              <w:rPr>
                <w:rFonts w:hint="eastAsia"/>
                <w:highlight w:val="none"/>
                <w:lang w:eastAsia="zh-CN"/>
              </w:rPr>
            </w:pPr>
            <w:r>
              <w:rPr>
                <w:rFonts w:hint="eastAsia" w:ascii="宋体" w:hAnsi="宋体" w:cs="宋体"/>
                <w:bCs/>
                <w:highlight w:val="none"/>
                <w:lang w:eastAsia="zh-CN"/>
              </w:rPr>
              <w:t>注：</w:t>
            </w:r>
            <w:r>
              <w:rPr>
                <w:rFonts w:hint="eastAsia" w:ascii="宋体" w:hAnsi="宋体" w:cs="宋体"/>
                <w:bCs/>
                <w:highlight w:val="none"/>
                <w:lang w:val="en-US" w:eastAsia="zh-CN"/>
              </w:rPr>
              <w:t>如联合体中标的，各款项由招标人统一支付给联合体牵头人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739" w:type="dxa"/>
            <w:vAlign w:val="center"/>
          </w:tcPr>
          <w:p>
            <w:pPr>
              <w:spacing w:line="360" w:lineRule="auto"/>
              <w:jc w:val="center"/>
              <w:rPr>
                <w:rFonts w:ascii="宋体" w:hAnsi="宋体" w:cs="宋体"/>
                <w:highlight w:val="none"/>
              </w:rPr>
            </w:pPr>
            <w:r>
              <w:rPr>
                <w:rFonts w:hint="eastAsia"/>
                <w:highlight w:val="none"/>
              </w:rPr>
              <w:t>▲</w:t>
            </w:r>
            <w:r>
              <w:rPr>
                <w:rFonts w:hint="eastAsia" w:ascii="宋体" w:hAnsi="宋体" w:cs="宋体"/>
                <w:highlight w:val="none"/>
              </w:rPr>
              <w:t>履约保证金</w:t>
            </w:r>
          </w:p>
        </w:tc>
        <w:tc>
          <w:tcPr>
            <w:tcW w:w="6911" w:type="dxa"/>
            <w:vAlign w:val="center"/>
          </w:tcPr>
          <w:p>
            <w:pPr>
              <w:spacing w:line="400" w:lineRule="exact"/>
              <w:rPr>
                <w:rFonts w:ascii="宋体" w:hAnsi="宋体" w:cs="宋体"/>
                <w:bCs/>
                <w:kern w:val="0"/>
                <w:szCs w:val="20"/>
                <w:highlight w:val="none"/>
              </w:rPr>
            </w:pPr>
            <w:r>
              <w:rPr>
                <w:rFonts w:hint="eastAsia" w:ascii="宋体" w:hAnsi="宋体" w:cs="宋体"/>
                <w:bCs/>
                <w:highlight w:val="none"/>
              </w:rPr>
              <w:t>1、</w:t>
            </w:r>
            <w:r>
              <w:rPr>
                <w:rFonts w:hint="eastAsia" w:ascii="宋体" w:hAnsi="宋体" w:cs="宋体"/>
                <w:bCs/>
                <w:kern w:val="0"/>
                <w:szCs w:val="20"/>
                <w:highlight w:val="none"/>
              </w:rPr>
              <w:t>履约保证金金额：合同总价的1%。</w:t>
            </w:r>
          </w:p>
          <w:p>
            <w:pPr>
              <w:pStyle w:val="23"/>
              <w:spacing w:line="360" w:lineRule="auto"/>
              <w:rPr>
                <w:rFonts w:ascii="宋体" w:hAnsi="宋体" w:cs="宋体"/>
                <w:bCs/>
                <w:highlight w:val="none"/>
              </w:rPr>
            </w:pPr>
            <w:r>
              <w:rPr>
                <w:rFonts w:hint="eastAsia" w:ascii="宋体" w:hAnsi="宋体" w:cs="宋体"/>
                <w:bCs/>
                <w:highlight w:val="none"/>
              </w:rPr>
              <w:t>2、履约保证金形式：支票、电汇、汇票、本票、保函等采购人认可的非现金形式。</w:t>
            </w:r>
          </w:p>
          <w:p>
            <w:pPr>
              <w:spacing w:line="360" w:lineRule="auto"/>
              <w:rPr>
                <w:rFonts w:ascii="Arial" w:hAnsi="Arial"/>
                <w:szCs w:val="21"/>
                <w:highlight w:val="none"/>
              </w:rPr>
            </w:pPr>
            <w:r>
              <w:rPr>
                <w:rFonts w:hint="eastAsia" w:ascii="宋体" w:hAnsi="宋体" w:cs="宋体"/>
                <w:bCs/>
                <w:kern w:val="0"/>
                <w:szCs w:val="20"/>
                <w:highlight w:val="none"/>
              </w:rPr>
              <w:t>3、</w:t>
            </w:r>
            <w:r>
              <w:rPr>
                <w:rFonts w:hint="eastAsia" w:ascii="Arial" w:hAnsi="Arial"/>
                <w:szCs w:val="21"/>
                <w:highlight w:val="none"/>
              </w:rPr>
              <w:t>递交期限：合同签订后15日内</w:t>
            </w:r>
            <w:r>
              <w:rPr>
                <w:rFonts w:hint="eastAsia" w:ascii="Arial" w:hAnsi="Arial"/>
                <w:szCs w:val="21"/>
                <w:highlight w:val="none"/>
                <w:lang w:eastAsia="zh-CN"/>
              </w:rPr>
              <w:t>（</w:t>
            </w:r>
            <w:r>
              <w:rPr>
                <w:rFonts w:hint="eastAsia" w:ascii="Arial" w:hAnsi="Arial"/>
                <w:szCs w:val="21"/>
                <w:highlight w:val="none"/>
                <w:lang w:val="en-US" w:eastAsia="zh-CN"/>
              </w:rPr>
              <w:t>如联合体中标的，由联合体牵头人统一提交</w:t>
            </w:r>
            <w:r>
              <w:rPr>
                <w:rFonts w:hint="eastAsia" w:ascii="Arial" w:hAnsi="Arial"/>
                <w:szCs w:val="21"/>
                <w:highlight w:val="none"/>
                <w:lang w:eastAsia="zh-CN"/>
              </w:rPr>
              <w:t>）。</w:t>
            </w:r>
          </w:p>
          <w:p>
            <w:pPr>
              <w:spacing w:line="360" w:lineRule="auto"/>
              <w:rPr>
                <w:rFonts w:ascii="宋体" w:hAnsi="宋体" w:cs="宋体"/>
                <w:highlight w:val="none"/>
              </w:rPr>
            </w:pPr>
            <w:r>
              <w:rPr>
                <w:rFonts w:hint="eastAsia" w:ascii="宋体" w:hAnsi="宋体" w:cs="宋体"/>
                <w:bCs/>
                <w:highlight w:val="none"/>
              </w:rPr>
              <w:t>合同履行期间，中标人不得将履约保证金取回或作任何抵押。履约保证金于项目通过正式验收后，无质量和服务问题，无息退还履约保证金。（服务期内中标人未按要求提供服务的或者服务质量不达标的，采购人有权扣罚其履约保证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739" w:type="dxa"/>
            <w:vAlign w:val="center"/>
          </w:tcPr>
          <w:p>
            <w:pPr>
              <w:spacing w:line="360" w:lineRule="auto"/>
              <w:jc w:val="center"/>
              <w:rPr>
                <w:rFonts w:hint="eastAsia"/>
                <w:highlight w:val="none"/>
              </w:rPr>
            </w:pPr>
            <w:r>
              <w:rPr>
                <w:rFonts w:hint="eastAsia"/>
                <w:highlight w:val="none"/>
              </w:rPr>
              <w:t>▲</w:t>
            </w:r>
            <w:r>
              <w:rPr>
                <w:rFonts w:hint="eastAsia" w:ascii="宋体" w:hAnsi="宋体" w:cs="宋体"/>
                <w:highlight w:val="none"/>
              </w:rPr>
              <w:t>验收</w:t>
            </w:r>
            <w:r>
              <w:rPr>
                <w:rFonts w:hint="eastAsia" w:ascii="宋体" w:hAnsi="宋体" w:cs="宋体"/>
                <w:highlight w:val="none"/>
                <w:lang w:val="en-US" w:eastAsia="zh-CN"/>
              </w:rPr>
              <w:t>流程</w:t>
            </w:r>
          </w:p>
        </w:tc>
        <w:tc>
          <w:tcPr>
            <w:tcW w:w="6911" w:type="dxa"/>
            <w:vAlign w:val="center"/>
          </w:tcPr>
          <w:p>
            <w:pPr>
              <w:spacing w:line="360" w:lineRule="auto"/>
              <w:rPr>
                <w:rFonts w:hint="eastAsia" w:ascii="宋体" w:hAnsi="宋体" w:eastAsia="宋体" w:cs="宋体"/>
                <w:highlight w:val="none"/>
                <w:lang w:eastAsia="zh-CN"/>
              </w:rPr>
            </w:pPr>
            <w:r>
              <w:rPr>
                <w:rFonts w:hint="eastAsia" w:ascii="宋体" w:hAnsi="宋体" w:cs="宋体"/>
                <w:highlight w:val="none"/>
              </w:rPr>
              <w:t>项目的验收包括初步验收、试运行和竣工验收</w:t>
            </w:r>
            <w:r>
              <w:rPr>
                <w:rFonts w:hint="eastAsia" w:ascii="宋体" w:hAnsi="宋体" w:cs="宋体"/>
                <w:highlight w:val="none"/>
                <w:lang w:eastAsia="zh-CN"/>
              </w:rPr>
              <w:t>：</w:t>
            </w:r>
          </w:p>
          <w:p>
            <w:pPr>
              <w:spacing w:line="360" w:lineRule="auto"/>
              <w:rPr>
                <w:rFonts w:hint="eastAsia" w:ascii="宋体" w:hAnsi="宋体" w:cs="宋体"/>
                <w:highlight w:val="none"/>
              </w:rPr>
            </w:pPr>
            <w:r>
              <w:rPr>
                <w:rFonts w:hint="eastAsia" w:ascii="宋体" w:hAnsi="宋体" w:cs="宋体"/>
                <w:highlight w:val="none"/>
              </w:rPr>
              <w:t>1）项目初步验收</w:t>
            </w:r>
          </w:p>
          <w:p>
            <w:pPr>
              <w:spacing w:line="360" w:lineRule="auto"/>
              <w:rPr>
                <w:rFonts w:hint="eastAsia" w:ascii="宋体" w:hAnsi="宋体" w:cs="宋体"/>
                <w:highlight w:val="none"/>
              </w:rPr>
            </w:pPr>
            <w:r>
              <w:rPr>
                <w:rFonts w:hint="eastAsia" w:ascii="宋体" w:hAnsi="宋体" w:cs="宋体"/>
                <w:highlight w:val="none"/>
              </w:rPr>
              <w:t>项目初步验收前，中标方应首先对系统进行自测，并将系统自测报告提交</w:t>
            </w:r>
            <w:r>
              <w:rPr>
                <w:rFonts w:hint="eastAsia" w:ascii="宋体" w:hAnsi="宋体" w:cs="宋体"/>
                <w:highlight w:val="none"/>
                <w:lang w:val="en-US" w:eastAsia="zh-CN"/>
              </w:rPr>
              <w:t>采购人</w:t>
            </w:r>
            <w:r>
              <w:rPr>
                <w:rFonts w:hint="eastAsia" w:ascii="宋体" w:hAnsi="宋体" w:cs="宋体"/>
                <w:highlight w:val="none"/>
              </w:rPr>
              <w:t>和监理方审查。中标方依本合同约定向</w:t>
            </w:r>
            <w:r>
              <w:rPr>
                <w:rFonts w:hint="eastAsia" w:ascii="宋体" w:hAnsi="宋体" w:cs="宋体"/>
                <w:highlight w:val="none"/>
                <w:lang w:val="en-US" w:eastAsia="zh-CN"/>
              </w:rPr>
              <w:t>采购人</w:t>
            </w:r>
            <w:r>
              <w:rPr>
                <w:rFonts w:hint="eastAsia" w:ascii="宋体" w:hAnsi="宋体" w:cs="宋体"/>
                <w:highlight w:val="none"/>
              </w:rPr>
              <w:t>提交成果及相关文档，并向</w:t>
            </w:r>
            <w:r>
              <w:rPr>
                <w:rFonts w:hint="eastAsia" w:ascii="宋体" w:hAnsi="宋体" w:cs="宋体"/>
                <w:highlight w:val="none"/>
                <w:lang w:val="en-US" w:eastAsia="zh-CN"/>
              </w:rPr>
              <w:t>采购人</w:t>
            </w:r>
            <w:r>
              <w:rPr>
                <w:rFonts w:hint="eastAsia" w:ascii="宋体" w:hAnsi="宋体" w:cs="宋体"/>
                <w:highlight w:val="none"/>
              </w:rPr>
              <w:t>提出初验申请。</w:t>
            </w:r>
            <w:r>
              <w:rPr>
                <w:rFonts w:hint="eastAsia" w:ascii="宋体" w:hAnsi="宋体" w:cs="宋体"/>
                <w:highlight w:val="none"/>
                <w:lang w:val="en-US" w:eastAsia="zh-CN"/>
              </w:rPr>
              <w:t>采购人</w:t>
            </w:r>
            <w:r>
              <w:rPr>
                <w:rFonts w:hint="eastAsia" w:ascii="宋体" w:hAnsi="宋体" w:cs="宋体"/>
                <w:highlight w:val="none"/>
              </w:rPr>
              <w:t>接到中标方初验申请后，组织监理方</w:t>
            </w:r>
            <w:r>
              <w:rPr>
                <w:rFonts w:hint="eastAsia" w:ascii="宋体" w:hAnsi="宋体" w:cs="宋体"/>
                <w:highlight w:val="none"/>
                <w:lang w:val="en-US" w:eastAsia="zh-CN"/>
              </w:rPr>
              <w:t>等</w:t>
            </w:r>
            <w:r>
              <w:rPr>
                <w:rFonts w:hint="eastAsia" w:ascii="宋体" w:hAnsi="宋体" w:cs="宋体"/>
                <w:highlight w:val="none"/>
              </w:rPr>
              <w:t>与中标方联合进行初验，初验合格后联合签署初验报告。</w:t>
            </w:r>
          </w:p>
          <w:p>
            <w:pPr>
              <w:spacing w:line="360" w:lineRule="auto"/>
              <w:rPr>
                <w:rFonts w:hint="eastAsia" w:ascii="宋体" w:hAnsi="宋体" w:cs="宋体"/>
                <w:highlight w:val="none"/>
              </w:rPr>
            </w:pPr>
            <w:r>
              <w:rPr>
                <w:rFonts w:hint="eastAsia" w:ascii="宋体" w:hAnsi="宋体" w:cs="宋体"/>
                <w:highlight w:val="none"/>
              </w:rPr>
              <w:t>2）试运行</w:t>
            </w:r>
          </w:p>
          <w:p>
            <w:pPr>
              <w:spacing w:line="360" w:lineRule="auto"/>
              <w:rPr>
                <w:rFonts w:hint="eastAsia" w:ascii="宋体" w:hAnsi="宋体" w:cs="宋体"/>
                <w:highlight w:val="none"/>
              </w:rPr>
            </w:pPr>
            <w:r>
              <w:rPr>
                <w:rFonts w:hint="eastAsia" w:ascii="宋体" w:hAnsi="宋体" w:cs="宋体"/>
                <w:highlight w:val="none"/>
              </w:rPr>
              <w:t>初步验收合格后，系统进入试运行，试运行时间为</w:t>
            </w:r>
            <w:r>
              <w:rPr>
                <w:rFonts w:hint="eastAsia" w:ascii="宋体" w:hAnsi="宋体" w:cs="宋体"/>
                <w:highlight w:val="none"/>
                <w:lang w:val="en-US" w:eastAsia="zh-CN"/>
              </w:rPr>
              <w:t>6</w:t>
            </w:r>
            <w:r>
              <w:rPr>
                <w:rFonts w:hint="eastAsia" w:ascii="宋体" w:hAnsi="宋体" w:cs="宋体"/>
                <w:highlight w:val="none"/>
                <w:lang w:eastAsia="zh-CN"/>
              </w:rPr>
              <w:t>个月</w:t>
            </w:r>
            <w:r>
              <w:rPr>
                <w:rFonts w:hint="eastAsia" w:ascii="宋体" w:hAnsi="宋体" w:cs="宋体"/>
                <w:highlight w:val="none"/>
              </w:rPr>
              <w:t>。试运行结束后出具试运行合格报告。</w:t>
            </w:r>
          </w:p>
          <w:p>
            <w:pPr>
              <w:spacing w:line="360" w:lineRule="auto"/>
              <w:rPr>
                <w:rFonts w:hint="eastAsia" w:ascii="宋体" w:hAnsi="宋体" w:cs="宋体"/>
                <w:highlight w:val="none"/>
              </w:rPr>
            </w:pPr>
            <w:r>
              <w:rPr>
                <w:rFonts w:hint="eastAsia" w:ascii="宋体" w:hAnsi="宋体" w:cs="宋体"/>
                <w:highlight w:val="none"/>
              </w:rPr>
              <w:t>3）竣工验收</w:t>
            </w:r>
          </w:p>
          <w:p>
            <w:pPr>
              <w:spacing w:line="360" w:lineRule="auto"/>
              <w:rPr>
                <w:rFonts w:hint="eastAsia" w:ascii="宋体" w:hAnsi="宋体" w:cs="宋体"/>
                <w:bCs/>
                <w:highlight w:val="none"/>
              </w:rPr>
            </w:pPr>
            <w:r>
              <w:rPr>
                <w:rFonts w:hint="eastAsia" w:ascii="宋体" w:hAnsi="宋体" w:cs="宋体"/>
                <w:highlight w:val="none"/>
              </w:rPr>
              <w:t>系统通过试运行后，中标方向</w:t>
            </w:r>
            <w:r>
              <w:rPr>
                <w:rFonts w:hint="eastAsia" w:ascii="宋体" w:hAnsi="宋体" w:cs="宋体"/>
                <w:highlight w:val="none"/>
                <w:lang w:val="en-US" w:eastAsia="zh-CN"/>
              </w:rPr>
              <w:t>采购人</w:t>
            </w:r>
            <w:r>
              <w:rPr>
                <w:rFonts w:hint="eastAsia" w:ascii="宋体" w:hAnsi="宋体" w:cs="宋体"/>
                <w:highlight w:val="none"/>
              </w:rPr>
              <w:t>提出竣工验收申请，</w:t>
            </w:r>
            <w:r>
              <w:rPr>
                <w:rFonts w:hint="eastAsia" w:ascii="宋体" w:hAnsi="宋体" w:cs="宋体"/>
                <w:highlight w:val="none"/>
                <w:lang w:val="en-US" w:eastAsia="zh-CN"/>
              </w:rPr>
              <w:t>采购人</w:t>
            </w:r>
            <w:r>
              <w:rPr>
                <w:rFonts w:hint="eastAsia" w:ascii="宋体" w:hAnsi="宋体" w:cs="宋体"/>
                <w:highlight w:val="none"/>
              </w:rPr>
              <w:t>组织相关单位进行系统的竣工验收。系统竣工验收合格的条件必须至少满足以下三个要求：已提供了合同要求的全部软</w:t>
            </w:r>
            <w:r>
              <w:rPr>
                <w:rFonts w:hint="eastAsia" w:ascii="宋体" w:hAnsi="宋体" w:cs="宋体"/>
                <w:highlight w:val="none"/>
                <w:lang w:val="en-US" w:eastAsia="zh-CN"/>
              </w:rPr>
              <w:t>硬</w:t>
            </w:r>
            <w:r>
              <w:rPr>
                <w:rFonts w:hint="eastAsia" w:ascii="宋体" w:hAnsi="宋体" w:cs="宋体"/>
                <w:highlight w:val="none"/>
              </w:rPr>
              <w:t>件和资料；试运行时性能满足合同要求；性能测试和试运行验收时出现的问题已被解决。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739" w:type="dxa"/>
            <w:vAlign w:val="center"/>
          </w:tcPr>
          <w:p>
            <w:pPr>
              <w:spacing w:line="360" w:lineRule="auto"/>
              <w:jc w:val="center"/>
              <w:rPr>
                <w:rFonts w:ascii="宋体" w:hAnsi="宋体" w:cs="宋体"/>
                <w:highlight w:val="none"/>
              </w:rPr>
            </w:pPr>
            <w:r>
              <w:rPr>
                <w:rFonts w:hint="eastAsia"/>
                <w:highlight w:val="none"/>
              </w:rPr>
              <w:t>▲</w:t>
            </w:r>
            <w:r>
              <w:rPr>
                <w:rFonts w:hint="eastAsia" w:ascii="宋体" w:hAnsi="宋体" w:cs="宋体"/>
                <w:highlight w:val="none"/>
              </w:rPr>
              <w:t>合同终止</w:t>
            </w:r>
          </w:p>
        </w:tc>
        <w:tc>
          <w:tcPr>
            <w:tcW w:w="6911" w:type="dxa"/>
          </w:tcPr>
          <w:p>
            <w:pPr>
              <w:spacing w:line="360" w:lineRule="auto"/>
              <w:rPr>
                <w:rFonts w:ascii="宋体" w:hAnsi="宋体" w:cs="宋体"/>
                <w:highlight w:val="none"/>
              </w:rPr>
            </w:pPr>
            <w:r>
              <w:rPr>
                <w:rFonts w:hint="eastAsia" w:ascii="宋体" w:hAnsi="宋体" w:cs="宋体"/>
                <w:highlight w:val="none"/>
              </w:rPr>
              <w:t>中标人有以下情形的，采购人有权终止合同：</w:t>
            </w:r>
          </w:p>
          <w:p>
            <w:pPr>
              <w:spacing w:line="360" w:lineRule="auto"/>
              <w:rPr>
                <w:rFonts w:ascii="宋体" w:hAnsi="宋体" w:cs="宋体"/>
                <w:highlight w:val="none"/>
              </w:rPr>
            </w:pPr>
            <w:r>
              <w:rPr>
                <w:rFonts w:hint="eastAsia" w:ascii="宋体" w:hAnsi="宋体" w:cs="宋体"/>
                <w:highlight w:val="none"/>
              </w:rPr>
              <w:t>1、未能在合同规定的期限（或采购人同意延长的最终期限）内按合同要求提供全部或部分服务、以及完成采购人合理要求的其他服务；</w:t>
            </w:r>
          </w:p>
          <w:p>
            <w:pPr>
              <w:spacing w:line="360" w:lineRule="auto"/>
              <w:rPr>
                <w:rFonts w:ascii="宋体" w:hAnsi="宋体" w:cs="宋体"/>
                <w:highlight w:val="none"/>
              </w:rPr>
            </w:pPr>
            <w:r>
              <w:rPr>
                <w:rFonts w:hint="eastAsia" w:ascii="宋体" w:hAnsi="宋体" w:cs="宋体"/>
                <w:highlight w:val="none"/>
              </w:rPr>
              <w:t>2、未能履行合同规定的其它义务。</w:t>
            </w:r>
          </w:p>
        </w:tc>
      </w:tr>
    </w:tbl>
    <w:p>
      <w:pPr>
        <w:rPr>
          <w:rFonts w:ascii="宋体" w:hAnsi="宋体" w:cs="宋体"/>
          <w:sz w:val="28"/>
          <w:szCs w:val="28"/>
          <w:highlight w:val="none"/>
        </w:rPr>
      </w:pPr>
      <w:r>
        <w:rPr>
          <w:rFonts w:hint="eastAsia" w:ascii="宋体" w:hAnsi="宋体" w:cs="宋体"/>
          <w:sz w:val="28"/>
          <w:szCs w:val="28"/>
          <w:highlight w:val="none"/>
        </w:rPr>
        <w:br w:type="page"/>
      </w:r>
    </w:p>
    <w:p>
      <w:pPr>
        <w:pStyle w:val="48"/>
        <w:spacing w:before="120" w:after="120"/>
        <w:rPr>
          <w:rFonts w:ascii="宋体" w:hAnsi="宋体" w:cs="宋体"/>
          <w:sz w:val="28"/>
          <w:szCs w:val="28"/>
          <w:highlight w:val="none"/>
        </w:rPr>
      </w:pPr>
      <w:r>
        <w:rPr>
          <w:rFonts w:hint="eastAsia" w:ascii="宋体" w:hAnsi="宋体" w:cs="宋体"/>
          <w:sz w:val="28"/>
          <w:szCs w:val="28"/>
          <w:highlight w:val="none"/>
        </w:rPr>
        <w:t>第三章 投标人须知</w:t>
      </w:r>
      <w:bookmarkEnd w:id="10"/>
      <w:bookmarkEnd w:id="11"/>
    </w:p>
    <w:p>
      <w:pPr>
        <w:pStyle w:val="29"/>
        <w:spacing w:line="360" w:lineRule="auto"/>
        <w:ind w:firstLine="420" w:firstLineChars="200"/>
        <w:outlineLvl w:val="0"/>
        <w:rPr>
          <w:rFonts w:hAnsi="宋体" w:cs="宋体"/>
          <w:b/>
          <w:highlight w:val="none"/>
        </w:rPr>
      </w:pPr>
      <w:r>
        <w:rPr>
          <w:rFonts w:hint="eastAsia" w:hAnsi="宋体" w:cs="宋体"/>
          <w:b/>
          <w:highlight w:val="none"/>
        </w:rPr>
        <w:t>前附表</w:t>
      </w:r>
    </w:p>
    <w:tbl>
      <w:tblPr>
        <w:tblStyle w:val="51"/>
        <w:tblW w:w="9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687"/>
        <w:gridCol w:w="7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68" w:type="dxa"/>
            <w:vAlign w:val="center"/>
          </w:tcPr>
          <w:p>
            <w:pPr>
              <w:pStyle w:val="23"/>
              <w:jc w:val="center"/>
              <w:rPr>
                <w:b/>
                <w:bCs/>
                <w:color w:val="auto"/>
                <w:szCs w:val="21"/>
                <w:highlight w:val="none"/>
              </w:rPr>
            </w:pPr>
            <w:r>
              <w:rPr>
                <w:rFonts w:hint="eastAsia"/>
                <w:b/>
                <w:bCs/>
                <w:color w:val="auto"/>
                <w:szCs w:val="21"/>
                <w:highlight w:val="none"/>
              </w:rPr>
              <w:t>序号</w:t>
            </w:r>
          </w:p>
        </w:tc>
        <w:tc>
          <w:tcPr>
            <w:tcW w:w="9011" w:type="dxa"/>
            <w:gridSpan w:val="2"/>
            <w:vAlign w:val="center"/>
          </w:tcPr>
          <w:p>
            <w:pPr>
              <w:pStyle w:val="23"/>
              <w:jc w:val="center"/>
              <w:rPr>
                <w:b/>
                <w:bCs/>
                <w:color w:val="auto"/>
                <w:szCs w:val="21"/>
                <w:highlight w:val="none"/>
              </w:rPr>
            </w:pPr>
            <w:r>
              <w:rPr>
                <w:rFonts w:hint="eastAsia"/>
                <w:b/>
                <w:bCs/>
                <w:color w:val="auto"/>
                <w:szCs w:val="21"/>
                <w:highlight w:val="none"/>
              </w:rPr>
              <w:t>条款及内容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9" w:hRule="atLeast"/>
          <w:jc w:val="center"/>
        </w:trPr>
        <w:tc>
          <w:tcPr>
            <w:tcW w:w="768" w:type="dxa"/>
            <w:vAlign w:val="center"/>
          </w:tcPr>
          <w:p>
            <w:pPr>
              <w:spacing w:line="360" w:lineRule="auto"/>
              <w:jc w:val="center"/>
              <w:rPr>
                <w:b/>
                <w:bCs/>
                <w:color w:val="auto"/>
                <w:sz w:val="28"/>
                <w:szCs w:val="28"/>
                <w:highlight w:val="none"/>
              </w:rPr>
            </w:pPr>
            <w:r>
              <w:rPr>
                <w:rFonts w:hint="eastAsia" w:ascii="宋体" w:hAnsi="宋体" w:cs="宋体"/>
                <w:color w:val="auto"/>
                <w:szCs w:val="21"/>
                <w:highlight w:val="none"/>
              </w:rPr>
              <w:t>1</w:t>
            </w:r>
          </w:p>
        </w:tc>
        <w:tc>
          <w:tcPr>
            <w:tcW w:w="1687" w:type="dxa"/>
            <w:vAlign w:val="center"/>
          </w:tcPr>
          <w:p>
            <w:pPr>
              <w:spacing w:line="360" w:lineRule="auto"/>
              <w:jc w:val="center"/>
              <w:rPr>
                <w:b/>
                <w:bCs/>
                <w:color w:val="auto"/>
                <w:sz w:val="28"/>
                <w:szCs w:val="28"/>
                <w:highlight w:val="none"/>
              </w:rPr>
            </w:pPr>
            <w:r>
              <w:rPr>
                <w:rFonts w:hint="eastAsia" w:ascii="宋体" w:hAnsi="宋体" w:cs="宋体"/>
                <w:color w:val="auto"/>
                <w:szCs w:val="21"/>
                <w:highlight w:val="none"/>
              </w:rPr>
              <w:t>采购人</w:t>
            </w:r>
          </w:p>
        </w:tc>
        <w:tc>
          <w:tcPr>
            <w:tcW w:w="7324" w:type="dxa"/>
            <w:vAlign w:val="center"/>
          </w:tcPr>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采购人：宁波市江北区综合行政执法局</w:t>
            </w:r>
          </w:p>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地址：宁波市江北区环城北路东段225号</w:t>
            </w:r>
          </w:p>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联系人：周老师</w:t>
            </w:r>
          </w:p>
          <w:p>
            <w:pPr>
              <w:spacing w:line="360" w:lineRule="auto"/>
              <w:jc w:val="left"/>
              <w:rPr>
                <w:b/>
                <w:bCs/>
                <w:color w:val="auto"/>
                <w:sz w:val="28"/>
                <w:szCs w:val="28"/>
                <w:highlight w:val="none"/>
              </w:rPr>
            </w:pPr>
            <w:r>
              <w:rPr>
                <w:rFonts w:hint="eastAsia" w:ascii="宋体" w:hAnsi="宋体" w:cs="宋体"/>
                <w:color w:val="auto"/>
                <w:szCs w:val="21"/>
                <w:highlight w:val="none"/>
              </w:rPr>
              <w:t xml:space="preserve">联系电话：0574-87660957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jc w:val="center"/>
        </w:trPr>
        <w:tc>
          <w:tcPr>
            <w:tcW w:w="768" w:type="dxa"/>
            <w:vAlign w:val="center"/>
          </w:tcPr>
          <w:p>
            <w:pPr>
              <w:spacing w:line="360" w:lineRule="auto"/>
              <w:jc w:val="center"/>
              <w:rPr>
                <w:b/>
                <w:bCs/>
                <w:color w:val="auto"/>
                <w:sz w:val="28"/>
                <w:szCs w:val="28"/>
                <w:highlight w:val="none"/>
              </w:rPr>
            </w:pPr>
            <w:r>
              <w:rPr>
                <w:rFonts w:hint="eastAsia" w:ascii="宋体" w:hAnsi="宋体" w:cs="宋体"/>
                <w:color w:val="auto"/>
                <w:szCs w:val="21"/>
                <w:highlight w:val="none"/>
              </w:rPr>
              <w:t>2</w:t>
            </w:r>
          </w:p>
        </w:tc>
        <w:tc>
          <w:tcPr>
            <w:tcW w:w="1687" w:type="dxa"/>
            <w:vAlign w:val="center"/>
          </w:tcPr>
          <w:p>
            <w:pPr>
              <w:spacing w:line="360" w:lineRule="auto"/>
              <w:jc w:val="center"/>
              <w:rPr>
                <w:b/>
                <w:bCs/>
                <w:color w:val="auto"/>
                <w:sz w:val="28"/>
                <w:szCs w:val="28"/>
                <w:highlight w:val="none"/>
              </w:rPr>
            </w:pPr>
            <w:r>
              <w:rPr>
                <w:rFonts w:hint="eastAsia" w:ascii="宋体" w:hAnsi="宋体" w:cs="宋体"/>
                <w:color w:val="auto"/>
                <w:szCs w:val="21"/>
                <w:highlight w:val="none"/>
              </w:rPr>
              <w:t>代理机构</w:t>
            </w:r>
          </w:p>
        </w:tc>
        <w:tc>
          <w:tcPr>
            <w:tcW w:w="7324" w:type="dxa"/>
            <w:vAlign w:val="center"/>
          </w:tcPr>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采购代理机构：宁波市盛达工程管理咨询有限公司</w:t>
            </w:r>
          </w:p>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地址：宁波市江北区唐虞路319号（创富商业中心） 5楼</w:t>
            </w:r>
          </w:p>
          <w:p>
            <w:pPr>
              <w:spacing w:line="360" w:lineRule="auto"/>
              <w:jc w:val="left"/>
              <w:rPr>
                <w:rFonts w:cs="Arial" w:asciiTheme="minorEastAsia" w:hAnsiTheme="minorEastAsia" w:eastAsiaTheme="minorEastAsia"/>
                <w:color w:val="auto"/>
                <w:szCs w:val="21"/>
                <w:highlight w:val="none"/>
              </w:rPr>
            </w:pPr>
            <w:r>
              <w:rPr>
                <w:rFonts w:hint="eastAsia" w:ascii="宋体" w:hAnsi="宋体" w:cs="宋体"/>
                <w:color w:val="auto"/>
                <w:szCs w:val="21"/>
                <w:highlight w:val="none"/>
              </w:rPr>
              <w:t>联系人：</w:t>
            </w:r>
            <w:r>
              <w:rPr>
                <w:rFonts w:hint="eastAsia" w:cs="Arial" w:asciiTheme="minorEastAsia" w:hAnsiTheme="minorEastAsia" w:eastAsiaTheme="minorEastAsia"/>
                <w:color w:val="auto"/>
                <w:szCs w:val="21"/>
                <w:highlight w:val="none"/>
              </w:rPr>
              <w:t>王瑶红、方海杰</w:t>
            </w:r>
          </w:p>
          <w:p>
            <w:pPr>
              <w:spacing w:line="360" w:lineRule="auto"/>
              <w:jc w:val="left"/>
              <w:rPr>
                <w:b/>
                <w:bCs/>
                <w:color w:val="auto"/>
                <w:sz w:val="28"/>
                <w:szCs w:val="28"/>
                <w:highlight w:val="none"/>
              </w:rPr>
            </w:pPr>
            <w:r>
              <w:rPr>
                <w:rFonts w:hint="eastAsia" w:ascii="宋体" w:hAnsi="宋体" w:cs="宋体"/>
                <w:color w:val="auto"/>
                <w:szCs w:val="21"/>
                <w:highlight w:val="none"/>
              </w:rPr>
              <w:t>联系电话：0574-87636525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8" w:type="dxa"/>
            <w:vAlign w:val="center"/>
          </w:tcPr>
          <w:p>
            <w:pPr>
              <w:spacing w:line="360" w:lineRule="auto"/>
              <w:jc w:val="center"/>
              <w:rPr>
                <w:b/>
                <w:bCs/>
                <w:color w:val="auto"/>
                <w:sz w:val="28"/>
                <w:szCs w:val="28"/>
                <w:highlight w:val="none"/>
              </w:rPr>
            </w:pPr>
            <w:r>
              <w:rPr>
                <w:rFonts w:hint="eastAsia" w:ascii="宋体" w:hAnsi="宋体" w:cs="宋体"/>
                <w:color w:val="auto"/>
                <w:szCs w:val="21"/>
                <w:highlight w:val="none"/>
              </w:rPr>
              <w:t>3</w:t>
            </w:r>
          </w:p>
        </w:tc>
        <w:tc>
          <w:tcPr>
            <w:tcW w:w="1687" w:type="dxa"/>
            <w:vAlign w:val="center"/>
          </w:tcPr>
          <w:p>
            <w:pPr>
              <w:spacing w:line="360" w:lineRule="auto"/>
              <w:jc w:val="center"/>
              <w:rPr>
                <w:b/>
                <w:bCs/>
                <w:color w:val="auto"/>
                <w:sz w:val="28"/>
                <w:szCs w:val="28"/>
                <w:highlight w:val="none"/>
              </w:rPr>
            </w:pPr>
            <w:r>
              <w:rPr>
                <w:rFonts w:hint="eastAsia" w:ascii="宋体" w:hAnsi="宋体" w:cs="宋体"/>
                <w:color w:val="auto"/>
                <w:szCs w:val="21"/>
                <w:highlight w:val="none"/>
              </w:rPr>
              <w:t>发布媒体</w:t>
            </w:r>
          </w:p>
        </w:tc>
        <w:tc>
          <w:tcPr>
            <w:tcW w:w="7324" w:type="dxa"/>
            <w:vAlign w:val="center"/>
          </w:tcPr>
          <w:p>
            <w:pPr>
              <w:spacing w:line="360" w:lineRule="auto"/>
              <w:jc w:val="left"/>
              <w:rPr>
                <w:rFonts w:ascii="宋体" w:hAnsi="宋体" w:cs="宋体"/>
                <w:color w:val="auto"/>
                <w:kern w:val="0"/>
                <w:szCs w:val="21"/>
                <w:highlight w:val="none"/>
                <w:lang w:val="en"/>
              </w:rPr>
            </w:pPr>
            <w:r>
              <w:rPr>
                <w:rFonts w:hint="eastAsia" w:ascii="宋体" w:hAnsi="宋体" w:cs="宋体"/>
                <w:color w:val="auto"/>
                <w:kern w:val="0"/>
                <w:szCs w:val="21"/>
                <w:highlight w:val="none"/>
                <w:lang w:val="en"/>
              </w:rPr>
              <w:t xml:space="preserve">浙江政府采购网                </w:t>
            </w:r>
            <w:r>
              <w:rPr>
                <w:rFonts w:hint="eastAsia" w:ascii="宋体" w:hAnsi="宋体" w:cs="宋体"/>
                <w:color w:val="auto"/>
                <w:szCs w:val="21"/>
                <w:highlight w:val="none"/>
              </w:rPr>
              <w:t xml:space="preserve">    </w:t>
            </w:r>
            <w:r>
              <w:rPr>
                <w:color w:val="auto"/>
                <w:highlight w:val="none"/>
              </w:rPr>
              <w:fldChar w:fldCharType="begin"/>
            </w:r>
            <w:r>
              <w:rPr>
                <w:color w:val="auto"/>
                <w:highlight w:val="none"/>
              </w:rPr>
              <w:instrText xml:space="preserve"> HYPERLINK "http://zfcg.czt.zj.gov.cn/" </w:instrText>
            </w:r>
            <w:r>
              <w:rPr>
                <w:color w:val="auto"/>
                <w:highlight w:val="none"/>
              </w:rPr>
              <w:fldChar w:fldCharType="separate"/>
            </w:r>
            <w:r>
              <w:rPr>
                <w:rFonts w:ascii="宋体" w:hAnsi="宋体" w:cs="宋体"/>
                <w:color w:val="auto"/>
                <w:szCs w:val="21"/>
                <w:highlight w:val="none"/>
              </w:rPr>
              <w:t>http://zfcg.czt.zj.gov.cn/</w:t>
            </w:r>
            <w:r>
              <w:rPr>
                <w:rFonts w:ascii="宋体" w:hAnsi="宋体" w:cs="宋体"/>
                <w:color w:val="auto"/>
                <w:szCs w:val="21"/>
                <w:highlight w:val="none"/>
              </w:rPr>
              <w:fldChar w:fldCharType="end"/>
            </w:r>
          </w:p>
          <w:p>
            <w:pPr>
              <w:spacing w:line="360" w:lineRule="auto"/>
              <w:jc w:val="left"/>
              <w:rPr>
                <w:rFonts w:ascii="宋体" w:hAnsi="宋体" w:cs="宋体"/>
                <w:color w:val="auto"/>
                <w:kern w:val="0"/>
                <w:szCs w:val="21"/>
                <w:highlight w:val="none"/>
                <w:lang w:val="en"/>
              </w:rPr>
            </w:pPr>
            <w:r>
              <w:rPr>
                <w:rFonts w:ascii="宋体" w:hAnsi="宋体" w:cs="宋体"/>
                <w:color w:val="auto"/>
                <w:kern w:val="0"/>
                <w:szCs w:val="21"/>
                <w:highlight w:val="none"/>
                <w:lang w:val="en"/>
              </w:rPr>
              <w:t>宁波</w:t>
            </w:r>
            <w:r>
              <w:rPr>
                <w:rFonts w:hint="eastAsia" w:ascii="宋体" w:hAnsi="宋体" w:cs="宋体"/>
                <w:color w:val="auto"/>
                <w:kern w:val="0"/>
                <w:szCs w:val="21"/>
                <w:highlight w:val="none"/>
                <w:lang w:val="en"/>
              </w:rPr>
              <w:t xml:space="preserve">政府采购网 </w:t>
            </w:r>
            <w:r>
              <w:rPr>
                <w:rFonts w:ascii="宋体" w:hAnsi="宋体" w:cs="宋体"/>
                <w:color w:val="auto"/>
                <w:kern w:val="0"/>
                <w:szCs w:val="21"/>
                <w:highlight w:val="none"/>
                <w:lang w:val="en"/>
              </w:rPr>
              <w:t xml:space="preserve">                   http://www.nbzfcg.cn/</w:t>
            </w:r>
          </w:p>
          <w:p>
            <w:pPr>
              <w:spacing w:line="360" w:lineRule="auto"/>
              <w:jc w:val="left"/>
              <w:rPr>
                <w:b/>
                <w:bCs/>
                <w:color w:val="auto"/>
                <w:sz w:val="28"/>
                <w:szCs w:val="28"/>
                <w:highlight w:val="none"/>
              </w:rPr>
            </w:pPr>
            <w:r>
              <w:rPr>
                <w:rFonts w:hint="eastAsia" w:ascii="宋体" w:hAnsi="宋体" w:cs="宋体"/>
                <w:color w:val="auto"/>
                <w:kern w:val="0"/>
                <w:szCs w:val="21"/>
                <w:highlight w:val="none"/>
                <w:lang w:val="en"/>
              </w:rPr>
              <w:t>宁波市公共资源交易网（江北分区分网）</w:t>
            </w:r>
            <w:r>
              <w:rPr>
                <w:rFonts w:hint="eastAsia" w:ascii="宋体" w:hAnsi="宋体" w:cs="宋体"/>
                <w:color w:val="auto"/>
                <w:szCs w:val="21"/>
                <w:highlight w:val="none"/>
              </w:rPr>
              <w:t xml:space="preserve">    </w:t>
            </w:r>
            <w:r>
              <w:rPr>
                <w:color w:val="auto"/>
                <w:highlight w:val="none"/>
              </w:rPr>
              <w:fldChar w:fldCharType="begin"/>
            </w:r>
            <w:r>
              <w:rPr>
                <w:color w:val="auto"/>
                <w:highlight w:val="none"/>
              </w:rPr>
              <w:instrText xml:space="preserve"> HYPERLINK "http://jiangbei.nbggzy.cn/" </w:instrText>
            </w:r>
            <w:r>
              <w:rPr>
                <w:color w:val="auto"/>
                <w:highlight w:val="none"/>
              </w:rPr>
              <w:fldChar w:fldCharType="separate"/>
            </w:r>
            <w:r>
              <w:rPr>
                <w:rFonts w:ascii="宋体" w:hAnsi="宋体" w:cs="宋体"/>
                <w:color w:val="auto"/>
                <w:szCs w:val="21"/>
                <w:highlight w:val="none"/>
              </w:rPr>
              <w:t>http://jiangbei.nbggzy.cn/</w:t>
            </w:r>
            <w:r>
              <w:rPr>
                <w:rFonts w:ascii="宋体" w:hAnsi="宋体" w:cs="宋体"/>
                <w:color w:val="auto"/>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68" w:type="dxa"/>
            <w:vAlign w:val="center"/>
          </w:tcPr>
          <w:p>
            <w:pPr>
              <w:spacing w:line="360" w:lineRule="auto"/>
              <w:ind w:left="-108" w:right="-113"/>
              <w:jc w:val="center"/>
              <w:rPr>
                <w:rFonts w:ascii="宋体" w:hAnsi="宋体" w:cs="宋体"/>
                <w:color w:val="auto"/>
                <w:szCs w:val="21"/>
                <w:highlight w:val="none"/>
              </w:rPr>
            </w:pPr>
            <w:r>
              <w:rPr>
                <w:rFonts w:hint="eastAsia" w:ascii="宋体" w:hAnsi="宋体" w:cs="宋体"/>
                <w:color w:val="auto"/>
                <w:szCs w:val="21"/>
                <w:highlight w:val="none"/>
              </w:rPr>
              <w:t>4</w:t>
            </w:r>
          </w:p>
        </w:tc>
        <w:tc>
          <w:tcPr>
            <w:tcW w:w="1687"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项目名称</w:t>
            </w:r>
          </w:p>
        </w:tc>
        <w:tc>
          <w:tcPr>
            <w:tcW w:w="7324" w:type="dxa"/>
            <w:vAlign w:val="center"/>
          </w:tcPr>
          <w:p>
            <w:pPr>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江北区城乡排水管网数字化智能化管控平台（智慧排水工程）项目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68" w:type="dxa"/>
            <w:vAlign w:val="center"/>
          </w:tcPr>
          <w:p>
            <w:pPr>
              <w:spacing w:line="360" w:lineRule="auto"/>
              <w:ind w:left="-108" w:right="-113"/>
              <w:jc w:val="center"/>
              <w:rPr>
                <w:rFonts w:ascii="宋体" w:hAnsi="宋体" w:cs="宋体"/>
                <w:color w:val="auto"/>
                <w:szCs w:val="21"/>
                <w:highlight w:val="none"/>
              </w:rPr>
            </w:pPr>
            <w:r>
              <w:rPr>
                <w:rFonts w:hint="eastAsia" w:ascii="宋体" w:hAnsi="宋体" w:cs="宋体"/>
                <w:color w:val="auto"/>
                <w:szCs w:val="21"/>
                <w:highlight w:val="none"/>
              </w:rPr>
              <w:t>5</w:t>
            </w:r>
          </w:p>
        </w:tc>
        <w:tc>
          <w:tcPr>
            <w:tcW w:w="1687"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资金来源</w:t>
            </w:r>
          </w:p>
        </w:tc>
        <w:tc>
          <w:tcPr>
            <w:tcW w:w="7324" w:type="dxa"/>
            <w:vAlign w:val="center"/>
          </w:tcPr>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区财政出资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768" w:type="dxa"/>
            <w:vAlign w:val="center"/>
          </w:tcPr>
          <w:p>
            <w:pPr>
              <w:spacing w:line="360" w:lineRule="auto"/>
              <w:ind w:left="-108" w:right="-113"/>
              <w:jc w:val="center"/>
              <w:rPr>
                <w:rFonts w:ascii="宋体" w:hAnsi="宋体" w:cs="宋体"/>
                <w:color w:val="auto"/>
                <w:szCs w:val="21"/>
                <w:highlight w:val="none"/>
              </w:rPr>
            </w:pPr>
            <w:r>
              <w:rPr>
                <w:rFonts w:hint="eastAsia" w:ascii="宋体" w:hAnsi="宋体" w:cs="宋体"/>
                <w:color w:val="auto"/>
                <w:szCs w:val="21"/>
                <w:highlight w:val="none"/>
              </w:rPr>
              <w:t>6</w:t>
            </w:r>
          </w:p>
        </w:tc>
        <w:tc>
          <w:tcPr>
            <w:tcW w:w="1687"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▲服务期限</w:t>
            </w:r>
          </w:p>
        </w:tc>
        <w:tc>
          <w:tcPr>
            <w:tcW w:w="7324" w:type="dxa"/>
            <w:vAlign w:val="center"/>
          </w:tcPr>
          <w:p>
            <w:pPr>
              <w:spacing w:line="360" w:lineRule="auto"/>
              <w:jc w:val="left"/>
              <w:rPr>
                <w:rFonts w:ascii="宋体" w:hAnsi="宋体" w:cs="宋体"/>
                <w:color w:val="auto"/>
                <w:szCs w:val="21"/>
                <w:highlight w:val="none"/>
              </w:rPr>
            </w:pPr>
            <w:r>
              <w:rPr>
                <w:rFonts w:hint="eastAsia" w:ascii="宋体" w:hAnsi="宋体" w:cs="宋体"/>
                <w:color w:val="auto"/>
                <w:szCs w:val="21"/>
                <w:highlight w:val="none"/>
                <w:lang w:eastAsia="zh-CN"/>
              </w:rPr>
              <w:t>自合同签订之日起至2023年4月通过初验，进入为期6个月的试运行期，试运行完成后组织项目终验</w:t>
            </w:r>
            <w:r>
              <w:rPr>
                <w:rFonts w:hint="eastAsia" w:ascii="宋体" w:hAnsi="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768" w:type="dxa"/>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7</w:t>
            </w:r>
          </w:p>
        </w:tc>
        <w:tc>
          <w:tcPr>
            <w:tcW w:w="1687" w:type="dxa"/>
            <w:vAlign w:val="center"/>
          </w:tcPr>
          <w:p>
            <w:pPr>
              <w:pStyle w:val="23"/>
              <w:spacing w:line="360" w:lineRule="auto"/>
              <w:jc w:val="center"/>
              <w:rPr>
                <w:rFonts w:ascii="宋体" w:hAnsi="宋体" w:cs="宋体"/>
                <w:color w:val="auto"/>
                <w:szCs w:val="21"/>
                <w:highlight w:val="none"/>
              </w:rPr>
            </w:pPr>
            <w:r>
              <w:rPr>
                <w:rFonts w:hint="eastAsia"/>
                <w:color w:val="auto"/>
                <w:highlight w:val="none"/>
              </w:rPr>
              <w:t>▲售后服务</w:t>
            </w:r>
          </w:p>
        </w:tc>
        <w:tc>
          <w:tcPr>
            <w:tcW w:w="7324" w:type="dxa"/>
            <w:vAlign w:val="center"/>
          </w:tcPr>
          <w:p>
            <w:pPr>
              <w:numPr>
                <w:ilvl w:val="0"/>
                <w:numId w:val="0"/>
              </w:numPr>
              <w:spacing w:line="360" w:lineRule="auto"/>
              <w:rPr>
                <w:rFonts w:hint="eastAsia"/>
                <w:color w:val="auto"/>
                <w:kern w:val="0"/>
                <w:highlight w:val="none"/>
                <w:lang w:eastAsia="zh-CN"/>
              </w:rPr>
            </w:pPr>
            <w:r>
              <w:rPr>
                <w:rFonts w:hint="eastAsia"/>
                <w:color w:val="auto"/>
                <w:highlight w:val="none"/>
                <w:lang w:val="en-US" w:eastAsia="zh-CN"/>
              </w:rPr>
              <w:t>1、</w:t>
            </w:r>
            <w:r>
              <w:rPr>
                <w:rFonts w:hint="eastAsia"/>
                <w:color w:val="auto"/>
                <w:highlight w:val="none"/>
              </w:rPr>
              <w:t>中标人</w:t>
            </w:r>
            <w:r>
              <w:rPr>
                <w:rFonts w:hint="eastAsia"/>
                <w:color w:val="auto"/>
                <w:highlight w:val="none"/>
                <w:lang w:val="en-US" w:eastAsia="zh-CN"/>
              </w:rPr>
              <w:t>须提供</w:t>
            </w:r>
            <w:r>
              <w:rPr>
                <w:rFonts w:hint="eastAsia"/>
                <w:color w:val="auto"/>
                <w:kern w:val="0"/>
                <w:highlight w:val="none"/>
              </w:rPr>
              <w:t>4名驻点人员</w:t>
            </w:r>
            <w:r>
              <w:rPr>
                <w:rFonts w:hint="eastAsia"/>
                <w:color w:val="auto"/>
                <w:highlight w:val="none"/>
              </w:rPr>
              <w:t>（须为参与项目实施人员）</w:t>
            </w:r>
            <w:r>
              <w:rPr>
                <w:rFonts w:hint="eastAsia"/>
                <w:color w:val="auto"/>
                <w:kern w:val="0"/>
                <w:highlight w:val="none"/>
              </w:rPr>
              <w:t>、1辆专车对物联感知设备进行</w:t>
            </w:r>
            <w:r>
              <w:rPr>
                <w:rFonts w:hint="eastAsia"/>
                <w:color w:val="auto"/>
                <w:kern w:val="0"/>
                <w:highlight w:val="none"/>
                <w:lang w:eastAsia="zh-CN"/>
              </w:rPr>
              <w:t>合同履行期间内的巡检检测服务</w:t>
            </w:r>
            <w:r>
              <w:rPr>
                <w:rFonts w:hint="eastAsia"/>
                <w:color w:val="auto"/>
                <w:kern w:val="0"/>
                <w:highlight w:val="none"/>
              </w:rPr>
              <w:t>，并服从业主和上级行业主管部门有关本项目服务的工作指令分配，30分钟内提供服务响应，急难险重问题需立即派人处理处置。在服务期间内，制定运维方案和应急响应制度，开展日常运维和应急响应工作，包括巡检、检修、置换、记录、校验等。保障物联监测数据的准确、安全和完备</w:t>
            </w:r>
            <w:r>
              <w:rPr>
                <w:rFonts w:hint="eastAsia"/>
                <w:color w:val="auto"/>
                <w:kern w:val="0"/>
                <w:highlight w:val="none"/>
                <w:lang w:eastAsia="zh-CN"/>
              </w:rPr>
              <w:t>。</w:t>
            </w:r>
            <w:r>
              <w:rPr>
                <w:rFonts w:hint="eastAsia"/>
                <w:color w:val="auto"/>
                <w:kern w:val="0"/>
                <w:highlight w:val="none"/>
                <w:lang w:val="en-US" w:eastAsia="zh-CN"/>
              </w:rPr>
              <w:t>须针对每套在线监测设备的测试比对不少于3次，并提供巡检测试报告。</w:t>
            </w:r>
          </w:p>
          <w:p>
            <w:pPr>
              <w:pStyle w:val="2"/>
              <w:numPr>
                <w:ilvl w:val="0"/>
                <w:numId w:val="0"/>
              </w:numPr>
              <w:rPr>
                <w:rFonts w:hint="eastAsia" w:eastAsia="宋体"/>
                <w:color w:val="auto"/>
                <w:highlight w:val="none"/>
                <w:lang w:val="en-US" w:eastAsia="zh-CN"/>
              </w:rPr>
            </w:pPr>
            <w:r>
              <w:rPr>
                <w:rFonts w:hint="eastAsia"/>
                <w:color w:val="auto"/>
                <w:highlight w:val="none"/>
                <w:lang w:val="en-US" w:eastAsia="zh-CN"/>
              </w:rPr>
              <w:t>2、</w:t>
            </w:r>
            <w:r>
              <w:rPr>
                <w:rFonts w:hint="eastAsia"/>
                <w:color w:val="auto"/>
                <w:highlight w:val="none"/>
              </w:rPr>
              <w:t>中标人应保证对硬件设备提供</w:t>
            </w:r>
            <w:r>
              <w:rPr>
                <w:rFonts w:hint="eastAsia"/>
                <w:color w:val="auto"/>
                <w:highlight w:val="none"/>
                <w:lang w:eastAsia="zh-CN"/>
              </w:rPr>
              <w:t>至少3年的质保期，从项目通过终验之日起。</w:t>
            </w:r>
          </w:p>
          <w:p>
            <w:pPr>
              <w:spacing w:line="360" w:lineRule="auto"/>
              <w:rPr>
                <w:color w:val="auto"/>
                <w:highlight w:val="none"/>
              </w:rPr>
            </w:pPr>
            <w:r>
              <w:rPr>
                <w:rFonts w:hint="eastAsia"/>
                <w:color w:val="auto"/>
                <w:highlight w:val="none"/>
                <w:lang w:val="en-US" w:eastAsia="zh-CN"/>
              </w:rPr>
              <w:t>2.1</w:t>
            </w:r>
            <w:r>
              <w:rPr>
                <w:rFonts w:hint="eastAsia"/>
                <w:color w:val="auto"/>
                <w:highlight w:val="none"/>
              </w:rPr>
              <w:t>质保期内：</w:t>
            </w:r>
          </w:p>
          <w:p>
            <w:pPr>
              <w:spacing w:line="360" w:lineRule="auto"/>
              <w:rPr>
                <w:color w:val="auto"/>
                <w:highlight w:val="none"/>
              </w:rPr>
            </w:pPr>
            <w:r>
              <w:rPr>
                <w:rFonts w:hint="eastAsia"/>
                <w:color w:val="auto"/>
                <w:highlight w:val="none"/>
              </w:rPr>
              <w:t>1）质保期内本项目采购的所有设备出现故障，投标人负责免费维修，对不能修复的设备负责免费更换。</w:t>
            </w:r>
          </w:p>
          <w:p>
            <w:pPr>
              <w:spacing w:line="360" w:lineRule="auto"/>
              <w:rPr>
                <w:color w:val="auto"/>
                <w:highlight w:val="none"/>
              </w:rPr>
            </w:pPr>
            <w:r>
              <w:rPr>
                <w:rFonts w:hint="eastAsia"/>
                <w:color w:val="auto"/>
                <w:highlight w:val="none"/>
                <w:lang w:val="en-US" w:eastAsia="zh-CN"/>
              </w:rPr>
              <w:t>2</w:t>
            </w:r>
            <w:r>
              <w:rPr>
                <w:rFonts w:hint="eastAsia"/>
                <w:color w:val="auto"/>
                <w:highlight w:val="none"/>
              </w:rPr>
              <w:t>）接到采购人通知后30分钟内响应，4小时内到达维修现场，一般问题12小时内修复，重大问题5个工作日内修复。</w:t>
            </w:r>
          </w:p>
          <w:p>
            <w:pPr>
              <w:spacing w:line="360" w:lineRule="auto"/>
              <w:rPr>
                <w:color w:val="auto"/>
                <w:highlight w:val="none"/>
              </w:rPr>
            </w:pPr>
            <w:r>
              <w:rPr>
                <w:rFonts w:hint="eastAsia"/>
                <w:color w:val="auto"/>
                <w:highlight w:val="none"/>
                <w:lang w:val="en-US" w:eastAsia="zh-CN"/>
              </w:rPr>
              <w:t>3</w:t>
            </w:r>
            <w:r>
              <w:rPr>
                <w:rFonts w:hint="eastAsia"/>
                <w:color w:val="auto"/>
                <w:highlight w:val="none"/>
              </w:rPr>
              <w:t>）一个月内出现二次及以上未及时响应或维修，采购人有权指定其他有维修能力的单位进行维修，所产生的费用由中标人支付。</w:t>
            </w:r>
          </w:p>
          <w:p>
            <w:pPr>
              <w:spacing w:line="360" w:lineRule="auto"/>
              <w:rPr>
                <w:color w:val="auto"/>
                <w:highlight w:val="none"/>
              </w:rPr>
            </w:pPr>
            <w:r>
              <w:rPr>
                <w:rFonts w:hint="eastAsia"/>
                <w:color w:val="auto"/>
                <w:highlight w:val="none"/>
                <w:lang w:val="en-US" w:eastAsia="zh-CN"/>
              </w:rPr>
              <w:t>4</w:t>
            </w:r>
            <w:r>
              <w:rPr>
                <w:rFonts w:hint="eastAsia"/>
                <w:color w:val="auto"/>
                <w:highlight w:val="none"/>
              </w:rPr>
              <w:t>）中标人配备一支稳定的专业技术队伍，负责本项目的维护工作，并开通报修电话，确保7×24小时接听系统故障报修，提供维护人员名单表，未经</w:t>
            </w:r>
            <w:r>
              <w:rPr>
                <w:rFonts w:hint="eastAsia"/>
                <w:color w:val="auto"/>
                <w:highlight w:val="none"/>
                <w:lang w:val="en-US" w:eastAsia="zh-CN"/>
              </w:rPr>
              <w:t>采购人</w:t>
            </w:r>
            <w:r>
              <w:rPr>
                <w:rFonts w:hint="eastAsia"/>
                <w:color w:val="auto"/>
                <w:highlight w:val="none"/>
              </w:rPr>
              <w:t>同意不得随意更换人员。</w:t>
            </w:r>
          </w:p>
          <w:p>
            <w:pPr>
              <w:spacing w:line="360" w:lineRule="auto"/>
              <w:rPr>
                <w:rFonts w:hint="eastAsia"/>
                <w:color w:val="auto"/>
                <w:highlight w:val="none"/>
              </w:rPr>
            </w:pPr>
            <w:r>
              <w:rPr>
                <w:rFonts w:hint="eastAsia"/>
                <w:color w:val="auto"/>
                <w:highlight w:val="none"/>
                <w:lang w:val="en-US" w:eastAsia="zh-CN"/>
              </w:rPr>
              <w:t>5</w:t>
            </w:r>
            <w:r>
              <w:rPr>
                <w:rFonts w:hint="eastAsia"/>
                <w:color w:val="auto"/>
                <w:highlight w:val="none"/>
              </w:rPr>
              <w:t>）针对本项目配备足够的交通工具、通信工具、检测仪器及维修设备, 制定质保期内对系统的巡视制度和对用户的回访计划。</w:t>
            </w:r>
          </w:p>
          <w:p>
            <w:pPr>
              <w:spacing w:line="360" w:lineRule="auto"/>
              <w:rPr>
                <w:color w:val="auto"/>
                <w:highlight w:val="none"/>
              </w:rPr>
            </w:pPr>
            <w:r>
              <w:rPr>
                <w:rFonts w:hint="eastAsia"/>
                <w:color w:val="auto"/>
                <w:highlight w:val="none"/>
                <w:lang w:val="en-US" w:eastAsia="zh-CN"/>
              </w:rPr>
              <w:t>2.2</w:t>
            </w:r>
            <w:r>
              <w:rPr>
                <w:rFonts w:hint="eastAsia"/>
                <w:color w:val="auto"/>
                <w:highlight w:val="none"/>
              </w:rPr>
              <w:t>质保期外：</w:t>
            </w:r>
          </w:p>
          <w:p>
            <w:pPr>
              <w:spacing w:line="360" w:lineRule="auto"/>
              <w:rPr>
                <w:color w:val="auto"/>
                <w:highlight w:val="none"/>
              </w:rPr>
            </w:pPr>
            <w:r>
              <w:rPr>
                <w:rFonts w:hint="eastAsia"/>
                <w:color w:val="auto"/>
                <w:highlight w:val="none"/>
              </w:rPr>
              <w:t>1）中标人需承诺提供长期的版本升级和更新支持，属于软件存在的不完善问题，随时提供免费服务。</w:t>
            </w:r>
          </w:p>
          <w:p>
            <w:pPr>
              <w:spacing w:line="360" w:lineRule="auto"/>
              <w:rPr>
                <w:color w:val="auto"/>
                <w:highlight w:val="none"/>
              </w:rPr>
            </w:pPr>
            <w:r>
              <w:rPr>
                <w:rFonts w:hint="eastAsia"/>
                <w:color w:val="auto"/>
                <w:highlight w:val="none"/>
              </w:rPr>
              <w:t>2）中标人需承诺提供长期的咨询和技术支持服务。</w:t>
            </w:r>
          </w:p>
          <w:p>
            <w:pPr>
              <w:pStyle w:val="22"/>
              <w:spacing w:line="360" w:lineRule="auto"/>
              <w:rPr>
                <w:rFonts w:ascii="宋体" w:hAnsi="宋体" w:cs="宋体"/>
                <w:color w:val="auto"/>
                <w:szCs w:val="21"/>
                <w:highlight w:val="none"/>
              </w:rPr>
            </w:pPr>
            <w:r>
              <w:rPr>
                <w:rFonts w:hint="eastAsia"/>
                <w:color w:val="auto"/>
                <w:highlight w:val="none"/>
              </w:rPr>
              <w:t>3）对于涉及本项目的后续需求，中标人需提供技术和工程方面的配合工作。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68" w:type="dxa"/>
            <w:vAlign w:val="center"/>
          </w:tcPr>
          <w:p>
            <w:pPr>
              <w:pStyle w:val="23"/>
              <w:jc w:val="center"/>
              <w:rPr>
                <w:color w:val="auto"/>
                <w:sz w:val="28"/>
                <w:szCs w:val="28"/>
                <w:highlight w:val="none"/>
              </w:rPr>
            </w:pPr>
            <w:r>
              <w:rPr>
                <w:rFonts w:hint="eastAsia" w:ascii="宋体" w:hAnsi="宋体" w:cs="宋体"/>
                <w:color w:val="auto"/>
                <w:kern w:val="2"/>
                <w:szCs w:val="21"/>
                <w:highlight w:val="none"/>
              </w:rPr>
              <w:t>8</w:t>
            </w:r>
          </w:p>
        </w:tc>
        <w:tc>
          <w:tcPr>
            <w:tcW w:w="1687"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采购方式</w:t>
            </w:r>
          </w:p>
        </w:tc>
        <w:tc>
          <w:tcPr>
            <w:tcW w:w="7324" w:type="dxa"/>
            <w:vAlign w:val="center"/>
          </w:tcPr>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公开采购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768" w:type="dxa"/>
            <w:vAlign w:val="center"/>
          </w:tcPr>
          <w:p>
            <w:pPr>
              <w:pStyle w:val="23"/>
              <w:jc w:val="center"/>
              <w:rPr>
                <w:color w:val="auto"/>
                <w:kern w:val="2"/>
                <w:szCs w:val="24"/>
                <w:highlight w:val="none"/>
              </w:rPr>
            </w:pPr>
            <w:r>
              <w:rPr>
                <w:rFonts w:hint="eastAsia"/>
                <w:color w:val="auto"/>
                <w:kern w:val="2"/>
                <w:szCs w:val="24"/>
                <w:highlight w:val="none"/>
              </w:rPr>
              <w:t>9</w:t>
            </w:r>
          </w:p>
        </w:tc>
        <w:tc>
          <w:tcPr>
            <w:tcW w:w="1687"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现场踏勘</w:t>
            </w:r>
          </w:p>
        </w:tc>
        <w:tc>
          <w:tcPr>
            <w:tcW w:w="7324" w:type="dxa"/>
            <w:vAlign w:val="center"/>
          </w:tcPr>
          <w:p>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本项目不统一组织现场勘察，供应商可自行对本项目现场和周围环境进行勘察。勘察现场所发生的费用由供应商自己承担。不论何种原因所造成，在勘察过程中，供应商自行对由此次踏勘现场而造成的死亡、人身伤害、财产损失、损害以及任何其它损失、损害和引起的费用和开支承担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768" w:type="dxa"/>
            <w:vAlign w:val="center"/>
          </w:tcPr>
          <w:p>
            <w:pPr>
              <w:pStyle w:val="23"/>
              <w:jc w:val="center"/>
              <w:rPr>
                <w:color w:val="auto"/>
                <w:kern w:val="2"/>
                <w:szCs w:val="24"/>
                <w:highlight w:val="none"/>
              </w:rPr>
            </w:pPr>
            <w:r>
              <w:rPr>
                <w:rFonts w:hint="eastAsia"/>
                <w:color w:val="auto"/>
                <w:kern w:val="2"/>
                <w:szCs w:val="24"/>
                <w:highlight w:val="none"/>
              </w:rPr>
              <w:t>10</w:t>
            </w:r>
          </w:p>
        </w:tc>
        <w:tc>
          <w:tcPr>
            <w:tcW w:w="1687" w:type="dxa"/>
            <w:vAlign w:val="center"/>
          </w:tcPr>
          <w:p>
            <w:pPr>
              <w:pStyle w:val="23"/>
              <w:jc w:val="center"/>
              <w:rPr>
                <w:color w:val="auto"/>
                <w:sz w:val="28"/>
                <w:szCs w:val="28"/>
                <w:highlight w:val="none"/>
              </w:rPr>
            </w:pPr>
            <w:r>
              <w:rPr>
                <w:rFonts w:hint="eastAsia" w:ascii="宋体" w:hAnsi="宋体" w:cs="宋体"/>
                <w:color w:val="auto"/>
                <w:szCs w:val="21"/>
                <w:highlight w:val="none"/>
              </w:rPr>
              <w:t>▲投标报价及费用</w:t>
            </w:r>
          </w:p>
        </w:tc>
        <w:tc>
          <w:tcPr>
            <w:tcW w:w="7324" w:type="dxa"/>
            <w:vAlign w:val="center"/>
          </w:tcPr>
          <w:p>
            <w:pPr>
              <w:pStyle w:val="23"/>
              <w:spacing w:line="360" w:lineRule="auto"/>
              <w:rPr>
                <w:b/>
                <w:bCs/>
                <w:color w:val="auto"/>
                <w:highlight w:val="none"/>
              </w:rPr>
            </w:pPr>
            <w:r>
              <w:rPr>
                <w:rFonts w:hint="eastAsia"/>
                <w:b/>
                <w:bCs/>
                <w:color w:val="auto"/>
                <w:highlight w:val="none"/>
              </w:rPr>
              <w:t>1、本项目最高限价为：</w:t>
            </w:r>
            <w:r>
              <w:rPr>
                <w:rFonts w:hint="eastAsia" w:ascii="宋体" w:hAnsi="宋体" w:cs="宋体"/>
                <w:color w:val="auto"/>
                <w:szCs w:val="21"/>
                <w:highlight w:val="none"/>
                <w:u w:val="single"/>
                <w:lang w:eastAsia="zh-CN"/>
              </w:rPr>
              <w:t>28137600</w:t>
            </w:r>
            <w:r>
              <w:rPr>
                <w:rFonts w:hint="eastAsia"/>
                <w:b/>
                <w:bCs/>
                <w:color w:val="auto"/>
                <w:highlight w:val="none"/>
              </w:rPr>
              <w:t>元。投标总价超过最高限价的，其投标作无效标处理。</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rPr>
              <w:t>2、本项目采用</w:t>
            </w:r>
            <w:r>
              <w:rPr>
                <w:rFonts w:hint="eastAsia"/>
                <w:color w:val="auto"/>
                <w:highlight w:val="none"/>
                <w:lang w:val="en-US" w:eastAsia="zh-CN"/>
              </w:rPr>
              <w:t>总价包干</w:t>
            </w:r>
            <w:r>
              <w:rPr>
                <w:rFonts w:hint="eastAsia"/>
                <w:color w:val="auto"/>
                <w:highlight w:val="none"/>
              </w:rPr>
              <w:t>合同；本次投标报价应包括软件平台制作、人员费用、设备采购、包装运输、装卸、税金、</w:t>
            </w:r>
            <w:r>
              <w:rPr>
                <w:rFonts w:hint="eastAsia"/>
                <w:color w:val="auto"/>
                <w:highlight w:val="none"/>
                <w:lang w:eastAsia="zh-CN"/>
              </w:rPr>
              <w:t>保险、仓储、安装、</w:t>
            </w:r>
            <w:r>
              <w:rPr>
                <w:rFonts w:hint="eastAsia"/>
                <w:color w:val="auto"/>
                <w:highlight w:val="none"/>
                <w:lang w:val="en-US" w:eastAsia="zh-CN"/>
              </w:rPr>
              <w:t>检测（包括项目实施过程中的检测等）</w:t>
            </w:r>
            <w:r>
              <w:rPr>
                <w:rFonts w:hint="eastAsia"/>
                <w:color w:val="auto"/>
                <w:highlight w:val="none"/>
              </w:rPr>
              <w:t>、软件及设备安装、调试、系统的调试与兼容、验收取证、技术培训、售后服务、提交相应技术资料、返工、税费、合理利润、中标服务费</w:t>
            </w:r>
            <w:r>
              <w:rPr>
                <w:rFonts w:hint="eastAsia"/>
                <w:color w:val="auto"/>
                <w:highlight w:val="none"/>
                <w:lang w:eastAsia="zh-CN"/>
              </w:rPr>
              <w:t>、</w:t>
            </w:r>
            <w:r>
              <w:rPr>
                <w:rFonts w:hint="eastAsia" w:ascii="宋体" w:hAnsi="宋体" w:cs="宋体"/>
                <w:color w:val="auto"/>
                <w:szCs w:val="28"/>
                <w:highlight w:val="none"/>
                <w:lang w:eastAsia="zh-Hans"/>
              </w:rPr>
              <w:t>软件检测费用、脱密费用、计量部门检测费用</w:t>
            </w:r>
            <w:r>
              <w:rPr>
                <w:rFonts w:hint="eastAsia"/>
                <w:color w:val="auto"/>
                <w:highlight w:val="none"/>
              </w:rPr>
              <w:t>等一切为完成本项目的所有费用，采购人不再另行支付其他任何形式的费用。</w:t>
            </w:r>
          </w:p>
          <w:p>
            <w:pPr>
              <w:pStyle w:val="24"/>
              <w:keepNext w:val="0"/>
              <w:keepLines w:val="0"/>
              <w:pageBreakBefore w:val="0"/>
              <w:widowControl w:val="0"/>
              <w:kinsoku/>
              <w:wordWrap/>
              <w:overflowPunct/>
              <w:topLinePunct w:val="0"/>
              <w:autoSpaceDE/>
              <w:autoSpaceDN/>
              <w:bidi w:val="0"/>
              <w:adjustRightInd/>
              <w:snapToGrid/>
              <w:spacing w:line="360" w:lineRule="auto"/>
              <w:ind w:left="0" w:leftChars="0"/>
              <w:jc w:val="left"/>
              <w:textAlignment w:val="auto"/>
              <w:rPr>
                <w:color w:val="auto"/>
                <w:highlight w:val="none"/>
              </w:rPr>
            </w:pPr>
            <w:r>
              <w:rPr>
                <w:rFonts w:hint="eastAsia"/>
                <w:color w:val="auto"/>
                <w:kern w:val="0"/>
                <w:szCs w:val="20"/>
                <w:highlight w:val="none"/>
              </w:rPr>
              <w:t>3、供应商应考虑投标及交货期间的设备及材料等费用的上涨因素，材料价格波动等</w:t>
            </w:r>
            <w:r>
              <w:rPr>
                <w:rFonts w:hint="eastAsia"/>
                <w:color w:val="auto"/>
                <w:highlight w:val="none"/>
              </w:rPr>
              <w:t>项目实施过程中可能遇到的各种风险，事后不得以任何理由要求增加费用。</w:t>
            </w:r>
          </w:p>
          <w:p>
            <w:pPr>
              <w:spacing w:line="360" w:lineRule="auto"/>
              <w:rPr>
                <w:color w:val="auto"/>
                <w:szCs w:val="21"/>
                <w:highlight w:val="none"/>
              </w:rPr>
            </w:pPr>
            <w:r>
              <w:rPr>
                <w:rFonts w:hint="eastAsia"/>
                <w:color w:val="auto"/>
                <w:szCs w:val="21"/>
                <w:highlight w:val="none"/>
              </w:rPr>
              <w:t>4不论投标结果如何，供应商均应自行承担所有与投标有关的全部费用。</w:t>
            </w:r>
          </w:p>
          <w:p>
            <w:pPr>
              <w:pStyle w:val="172"/>
              <w:spacing w:before="3" w:line="360" w:lineRule="auto"/>
              <w:ind w:right="83"/>
              <w:jc w:val="left"/>
              <w:rPr>
                <w:color w:val="auto"/>
                <w:sz w:val="20"/>
                <w:szCs w:val="20"/>
                <w:highlight w:val="none"/>
                <w:lang w:val="en-US"/>
              </w:rPr>
            </w:pPr>
            <w:r>
              <w:rPr>
                <w:rFonts w:hint="eastAsia"/>
                <w:color w:val="auto"/>
                <w:szCs w:val="21"/>
                <w:highlight w:val="none"/>
                <w:lang w:val="en-US" w:eastAsia="zh-CN"/>
              </w:rPr>
              <w:t>5</w:t>
            </w:r>
            <w:r>
              <w:rPr>
                <w:rFonts w:hint="eastAsia"/>
                <w:color w:val="auto"/>
                <w:szCs w:val="21"/>
                <w:highlight w:val="none"/>
              </w:rPr>
              <w:t>、系统软件、通用软件必须是具有在中国境内的合法使用权或版权的正版软件，涉及到第三方提出侵权或知识产权的起诉及支付版税等费用由投标人承担所有责任及费用。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768" w:type="dxa"/>
            <w:vAlign w:val="center"/>
          </w:tcPr>
          <w:p>
            <w:pPr>
              <w:pStyle w:val="23"/>
              <w:jc w:val="center"/>
              <w:rPr>
                <w:color w:val="auto"/>
                <w:kern w:val="2"/>
                <w:szCs w:val="24"/>
                <w:highlight w:val="none"/>
              </w:rPr>
            </w:pPr>
            <w:r>
              <w:rPr>
                <w:rFonts w:hint="eastAsia"/>
                <w:color w:val="auto"/>
                <w:kern w:val="2"/>
                <w:szCs w:val="24"/>
                <w:highlight w:val="none"/>
              </w:rPr>
              <w:t>11</w:t>
            </w:r>
          </w:p>
        </w:tc>
        <w:tc>
          <w:tcPr>
            <w:tcW w:w="1687" w:type="dxa"/>
            <w:vAlign w:val="center"/>
          </w:tcPr>
          <w:p>
            <w:pPr>
              <w:pStyle w:val="23"/>
              <w:jc w:val="center"/>
              <w:rPr>
                <w:rFonts w:ascii="宋体" w:hAnsi="宋体" w:cs="宋体"/>
                <w:color w:val="auto"/>
                <w:szCs w:val="21"/>
                <w:highlight w:val="none"/>
              </w:rPr>
            </w:pPr>
            <w:r>
              <w:rPr>
                <w:rFonts w:hint="eastAsia" w:ascii="宋体" w:hAnsi="宋体" w:cs="宋体"/>
                <w:color w:val="auto"/>
                <w:szCs w:val="21"/>
                <w:highlight w:val="none"/>
              </w:rPr>
              <w:t>付款方式</w:t>
            </w:r>
          </w:p>
        </w:tc>
        <w:tc>
          <w:tcPr>
            <w:tcW w:w="7324" w:type="dxa"/>
            <w:vAlign w:val="center"/>
          </w:tcPr>
          <w:p>
            <w:pPr>
              <w:pStyle w:val="23"/>
              <w:spacing w:line="360" w:lineRule="auto"/>
              <w:rPr>
                <w:rFonts w:hint="eastAsia" w:ascii="宋体" w:hAnsi="宋体" w:cs="宋体"/>
                <w:bCs/>
                <w:color w:val="auto"/>
                <w:highlight w:val="none"/>
                <w:lang w:eastAsia="zh-CN"/>
              </w:rPr>
            </w:pPr>
            <w:r>
              <w:rPr>
                <w:rFonts w:hint="eastAsia" w:ascii="宋体" w:hAnsi="宋体" w:cs="宋体"/>
                <w:bCs/>
                <w:color w:val="auto"/>
                <w:highlight w:val="none"/>
                <w:lang w:eastAsia="zh-CN"/>
              </w:rPr>
              <w:t>合同签订后15个工作日内支付合同总价的20%；项目实施完成且通过初验后支付合同总价的50%；项目通过终验且最终经采购人确认后付清应付余款。</w:t>
            </w:r>
          </w:p>
          <w:p>
            <w:pPr>
              <w:pStyle w:val="23"/>
              <w:spacing w:line="360" w:lineRule="auto"/>
              <w:rPr>
                <w:color w:val="auto"/>
                <w:sz w:val="21"/>
                <w:szCs w:val="21"/>
                <w:highlight w:val="none"/>
              </w:rPr>
            </w:pPr>
            <w:r>
              <w:rPr>
                <w:rFonts w:hint="eastAsia" w:ascii="宋体" w:hAnsi="宋体" w:cs="宋体"/>
                <w:bCs/>
                <w:color w:val="auto"/>
                <w:highlight w:val="none"/>
                <w:lang w:eastAsia="zh-CN"/>
              </w:rPr>
              <w:t>注：</w:t>
            </w:r>
            <w:r>
              <w:rPr>
                <w:rFonts w:hint="eastAsia" w:ascii="宋体" w:hAnsi="宋体" w:cs="宋体"/>
                <w:bCs/>
                <w:color w:val="auto"/>
                <w:highlight w:val="none"/>
                <w:lang w:val="en-US" w:eastAsia="zh-CN"/>
              </w:rPr>
              <w:t>如联合体中标的，各款项由招标人统一支付给联合体牵头人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jc w:val="center"/>
        </w:trPr>
        <w:tc>
          <w:tcPr>
            <w:tcW w:w="768" w:type="dxa"/>
            <w:vAlign w:val="center"/>
          </w:tcPr>
          <w:p>
            <w:pPr>
              <w:pStyle w:val="23"/>
              <w:jc w:val="center"/>
              <w:rPr>
                <w:color w:val="auto"/>
                <w:kern w:val="2"/>
                <w:szCs w:val="24"/>
                <w:highlight w:val="none"/>
              </w:rPr>
            </w:pPr>
            <w:r>
              <w:rPr>
                <w:rFonts w:hint="eastAsia"/>
                <w:color w:val="auto"/>
                <w:kern w:val="2"/>
                <w:szCs w:val="24"/>
                <w:highlight w:val="none"/>
              </w:rPr>
              <w:t>12</w:t>
            </w:r>
          </w:p>
        </w:tc>
        <w:tc>
          <w:tcPr>
            <w:tcW w:w="1687" w:type="dxa"/>
            <w:vAlign w:val="center"/>
          </w:tcPr>
          <w:p>
            <w:pPr>
              <w:pStyle w:val="23"/>
              <w:jc w:val="center"/>
              <w:rPr>
                <w:color w:val="auto"/>
                <w:kern w:val="2"/>
                <w:szCs w:val="24"/>
                <w:highlight w:val="none"/>
              </w:rPr>
            </w:pPr>
            <w:r>
              <w:rPr>
                <w:rFonts w:hint="eastAsia" w:ascii="宋体" w:hAnsi="宋体" w:cs="宋体"/>
                <w:color w:val="auto"/>
                <w:szCs w:val="21"/>
                <w:highlight w:val="none"/>
              </w:rPr>
              <w:t>▲</w:t>
            </w:r>
            <w:r>
              <w:rPr>
                <w:rFonts w:hint="eastAsia" w:ascii="宋体" w:hAnsi="宋体" w:cs="宋体"/>
                <w:bCs/>
                <w:color w:val="auto"/>
                <w:highlight w:val="none"/>
              </w:rPr>
              <w:t>履约保证金金</w:t>
            </w:r>
          </w:p>
        </w:tc>
        <w:tc>
          <w:tcPr>
            <w:tcW w:w="7324" w:type="dxa"/>
            <w:vAlign w:val="center"/>
          </w:tcPr>
          <w:p>
            <w:pPr>
              <w:spacing w:line="400" w:lineRule="exact"/>
              <w:rPr>
                <w:rFonts w:ascii="宋体" w:hAnsi="宋体" w:cs="宋体"/>
                <w:bCs/>
                <w:color w:val="auto"/>
                <w:kern w:val="0"/>
                <w:szCs w:val="20"/>
                <w:highlight w:val="none"/>
              </w:rPr>
            </w:pPr>
            <w:r>
              <w:rPr>
                <w:rFonts w:hint="eastAsia" w:ascii="宋体" w:hAnsi="宋体" w:cs="宋体"/>
                <w:bCs/>
                <w:color w:val="auto"/>
                <w:highlight w:val="none"/>
              </w:rPr>
              <w:t>1、</w:t>
            </w:r>
            <w:r>
              <w:rPr>
                <w:rFonts w:hint="eastAsia" w:ascii="宋体" w:hAnsi="宋体" w:cs="宋体"/>
                <w:bCs/>
                <w:color w:val="auto"/>
                <w:kern w:val="0"/>
                <w:szCs w:val="20"/>
                <w:highlight w:val="none"/>
              </w:rPr>
              <w:t>履约保证金金额：合同总价的1%。</w:t>
            </w:r>
          </w:p>
          <w:p>
            <w:pPr>
              <w:pStyle w:val="23"/>
              <w:spacing w:line="360" w:lineRule="auto"/>
              <w:rPr>
                <w:rFonts w:ascii="宋体" w:hAnsi="宋体" w:cs="宋体"/>
                <w:bCs/>
                <w:color w:val="auto"/>
                <w:highlight w:val="none"/>
              </w:rPr>
            </w:pPr>
            <w:r>
              <w:rPr>
                <w:rFonts w:hint="eastAsia" w:ascii="宋体" w:hAnsi="宋体" w:cs="宋体"/>
                <w:bCs/>
                <w:color w:val="auto"/>
                <w:highlight w:val="none"/>
              </w:rPr>
              <w:t>2、履约保证金形式：支票、电汇、汇票、本票、保函等采购人认可的非现金形式。</w:t>
            </w:r>
          </w:p>
          <w:p>
            <w:pPr>
              <w:spacing w:line="360" w:lineRule="auto"/>
              <w:rPr>
                <w:rFonts w:ascii="Arial" w:hAnsi="Arial"/>
                <w:color w:val="auto"/>
                <w:szCs w:val="21"/>
                <w:highlight w:val="none"/>
              </w:rPr>
            </w:pPr>
            <w:r>
              <w:rPr>
                <w:rFonts w:hint="eastAsia" w:ascii="宋体" w:hAnsi="宋体" w:cs="宋体"/>
                <w:bCs/>
                <w:color w:val="auto"/>
                <w:kern w:val="0"/>
                <w:szCs w:val="20"/>
                <w:highlight w:val="none"/>
              </w:rPr>
              <w:t>3、</w:t>
            </w:r>
            <w:r>
              <w:rPr>
                <w:rFonts w:hint="eastAsia" w:ascii="Arial" w:hAnsi="Arial"/>
                <w:color w:val="auto"/>
                <w:szCs w:val="21"/>
                <w:highlight w:val="none"/>
              </w:rPr>
              <w:t>递交期限：合同签订后15日内</w:t>
            </w:r>
            <w:r>
              <w:rPr>
                <w:rFonts w:hint="eastAsia" w:ascii="Arial" w:hAnsi="Arial"/>
                <w:color w:val="auto"/>
                <w:szCs w:val="21"/>
                <w:highlight w:val="none"/>
                <w:lang w:eastAsia="zh-CN"/>
              </w:rPr>
              <w:t>（</w:t>
            </w:r>
            <w:r>
              <w:rPr>
                <w:rFonts w:hint="eastAsia" w:ascii="Arial" w:hAnsi="Arial"/>
                <w:color w:val="auto"/>
                <w:szCs w:val="21"/>
                <w:highlight w:val="none"/>
                <w:lang w:val="en-US" w:eastAsia="zh-CN"/>
              </w:rPr>
              <w:t>如联合体中标的，由联合体牵头人统一提交</w:t>
            </w:r>
            <w:r>
              <w:rPr>
                <w:rFonts w:hint="eastAsia" w:ascii="Arial" w:hAnsi="Arial"/>
                <w:color w:val="auto"/>
                <w:szCs w:val="21"/>
                <w:highlight w:val="none"/>
                <w:lang w:eastAsia="zh-CN"/>
              </w:rPr>
              <w:t>）。</w:t>
            </w:r>
          </w:p>
          <w:p>
            <w:pPr>
              <w:spacing w:line="360" w:lineRule="auto"/>
              <w:rPr>
                <w:color w:val="auto"/>
                <w:kern w:val="2"/>
                <w:szCs w:val="24"/>
                <w:highlight w:val="none"/>
              </w:rPr>
            </w:pPr>
            <w:r>
              <w:rPr>
                <w:rFonts w:hint="eastAsia" w:ascii="宋体" w:hAnsi="宋体" w:cs="宋体"/>
                <w:bCs/>
                <w:color w:val="auto"/>
                <w:highlight w:val="none"/>
              </w:rPr>
              <w:t>合同履行期间，中标人不得将履约保证金取回或作任何抵押。履约保证金于项目通过正式验收后，无质量和服务问题，无息退还履约保证金。（服务期内中标人未按要求提供服务的或者服务质量不达标的，采购人有权扣罚其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68" w:type="dxa"/>
            <w:vAlign w:val="center"/>
          </w:tcPr>
          <w:p>
            <w:pPr>
              <w:pStyle w:val="23"/>
              <w:jc w:val="center"/>
              <w:rPr>
                <w:color w:val="auto"/>
                <w:kern w:val="2"/>
                <w:szCs w:val="24"/>
                <w:highlight w:val="none"/>
              </w:rPr>
            </w:pPr>
            <w:r>
              <w:rPr>
                <w:rFonts w:hint="eastAsia"/>
                <w:color w:val="auto"/>
                <w:kern w:val="2"/>
                <w:szCs w:val="24"/>
                <w:highlight w:val="none"/>
              </w:rPr>
              <w:t>13</w:t>
            </w:r>
          </w:p>
        </w:tc>
        <w:tc>
          <w:tcPr>
            <w:tcW w:w="1687" w:type="dxa"/>
            <w:vAlign w:val="center"/>
          </w:tcPr>
          <w:p>
            <w:pPr>
              <w:pStyle w:val="23"/>
              <w:jc w:val="center"/>
              <w:rPr>
                <w:rFonts w:ascii="宋体" w:hAnsi="宋体" w:cs="宋体"/>
                <w:color w:val="auto"/>
                <w:szCs w:val="21"/>
                <w:highlight w:val="none"/>
              </w:rPr>
            </w:pPr>
            <w:r>
              <w:rPr>
                <w:rFonts w:hint="eastAsia" w:ascii="宋体" w:hAnsi="宋体" w:cs="宋体"/>
                <w:color w:val="auto"/>
                <w:szCs w:val="21"/>
                <w:highlight w:val="none"/>
              </w:rPr>
              <w:t>▲投标有效期</w:t>
            </w:r>
          </w:p>
        </w:tc>
        <w:tc>
          <w:tcPr>
            <w:tcW w:w="7324" w:type="dxa"/>
            <w:vAlign w:val="center"/>
          </w:tcPr>
          <w:p>
            <w:pPr>
              <w:pStyle w:val="23"/>
              <w:jc w:val="both"/>
              <w:rPr>
                <w:rFonts w:ascii="宋体" w:hAnsi="宋体" w:cs="宋体"/>
                <w:color w:val="auto"/>
                <w:szCs w:val="21"/>
                <w:highlight w:val="none"/>
              </w:rPr>
            </w:pPr>
            <w:r>
              <w:rPr>
                <w:rFonts w:hint="eastAsia" w:ascii="宋体" w:hAnsi="宋体" w:cs="宋体"/>
                <w:color w:val="auto"/>
                <w:szCs w:val="21"/>
                <w:highlight w:val="none"/>
              </w:rPr>
              <w:t>投标截止日起90天。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68" w:type="dxa"/>
            <w:vAlign w:val="center"/>
          </w:tcPr>
          <w:p>
            <w:pPr>
              <w:pStyle w:val="23"/>
              <w:jc w:val="center"/>
              <w:rPr>
                <w:color w:val="auto"/>
                <w:kern w:val="2"/>
                <w:szCs w:val="24"/>
                <w:highlight w:val="none"/>
              </w:rPr>
            </w:pPr>
            <w:r>
              <w:rPr>
                <w:rFonts w:hint="eastAsia"/>
                <w:color w:val="auto"/>
                <w:kern w:val="2"/>
                <w:szCs w:val="24"/>
                <w:highlight w:val="none"/>
              </w:rPr>
              <w:t>14</w:t>
            </w:r>
          </w:p>
        </w:tc>
        <w:tc>
          <w:tcPr>
            <w:tcW w:w="1687" w:type="dxa"/>
            <w:vAlign w:val="center"/>
          </w:tcPr>
          <w:p>
            <w:pPr>
              <w:pStyle w:val="23"/>
              <w:jc w:val="center"/>
              <w:rPr>
                <w:color w:val="auto"/>
                <w:kern w:val="2"/>
                <w:szCs w:val="24"/>
                <w:highlight w:val="none"/>
              </w:rPr>
            </w:pPr>
            <w:r>
              <w:rPr>
                <w:rFonts w:hint="eastAsia" w:ascii="宋体" w:hAnsi="宋体" w:cs="宋体"/>
                <w:color w:val="auto"/>
                <w:szCs w:val="21"/>
                <w:highlight w:val="none"/>
              </w:rPr>
              <w:t>▲</w:t>
            </w:r>
            <w:r>
              <w:rPr>
                <w:rFonts w:hint="eastAsia"/>
                <w:color w:val="auto"/>
                <w:kern w:val="2"/>
                <w:szCs w:val="24"/>
                <w:highlight w:val="none"/>
              </w:rPr>
              <w:t>投标保证金</w:t>
            </w:r>
          </w:p>
        </w:tc>
        <w:tc>
          <w:tcPr>
            <w:tcW w:w="7324" w:type="dxa"/>
            <w:vAlign w:val="center"/>
          </w:tcPr>
          <w:p>
            <w:pPr>
              <w:pStyle w:val="23"/>
              <w:spacing w:line="360" w:lineRule="auto"/>
              <w:rPr>
                <w:color w:val="auto"/>
                <w:kern w:val="2"/>
                <w:szCs w:val="24"/>
                <w:highlight w:val="none"/>
              </w:rPr>
            </w:pPr>
            <w:r>
              <w:rPr>
                <w:rFonts w:hint="eastAsia" w:ascii="宋体" w:hAnsi="宋体" w:cs="宋体"/>
                <w:color w:val="auto"/>
                <w:szCs w:val="21"/>
                <w:highlight w:val="none"/>
              </w:rPr>
              <w:t>不适用（本项目所有涉及保证金内容的条款均不适用）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6" w:hRule="atLeast"/>
          <w:jc w:val="center"/>
        </w:trPr>
        <w:tc>
          <w:tcPr>
            <w:tcW w:w="768" w:type="dxa"/>
            <w:vAlign w:val="center"/>
          </w:tcPr>
          <w:p>
            <w:pPr>
              <w:pStyle w:val="23"/>
              <w:jc w:val="center"/>
              <w:rPr>
                <w:color w:val="auto"/>
                <w:kern w:val="2"/>
                <w:szCs w:val="24"/>
                <w:highlight w:val="none"/>
              </w:rPr>
            </w:pPr>
            <w:r>
              <w:rPr>
                <w:rFonts w:hint="eastAsia"/>
                <w:color w:val="auto"/>
                <w:kern w:val="2"/>
                <w:szCs w:val="24"/>
                <w:highlight w:val="none"/>
              </w:rPr>
              <w:t>15</w:t>
            </w:r>
          </w:p>
        </w:tc>
        <w:tc>
          <w:tcPr>
            <w:tcW w:w="1687" w:type="dxa"/>
            <w:vAlign w:val="center"/>
          </w:tcPr>
          <w:p>
            <w:pPr>
              <w:pStyle w:val="23"/>
              <w:jc w:val="center"/>
              <w:rPr>
                <w:color w:val="auto"/>
                <w:kern w:val="2"/>
                <w:szCs w:val="24"/>
                <w:highlight w:val="none"/>
              </w:rPr>
            </w:pPr>
            <w:r>
              <w:rPr>
                <w:rFonts w:hint="eastAsia" w:ascii="宋体" w:hAnsi="宋体" w:cs="宋体"/>
                <w:color w:val="auto"/>
                <w:szCs w:val="21"/>
                <w:highlight w:val="none"/>
              </w:rPr>
              <w:t>投标文件要求</w:t>
            </w:r>
          </w:p>
        </w:tc>
        <w:tc>
          <w:tcPr>
            <w:tcW w:w="7324" w:type="dxa"/>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本项目实行网上投标，供应商应准备以下投标文件：</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▲（1）上传到政府采购云平台的电子投标文件（含资格文件、商务和技术文件、报价文件）1份。</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（2）以U盘存储的电子备份投标文件（含资格文件、商务和技术文件、报价文件）1份（</w:t>
            </w:r>
            <w:r>
              <w:rPr>
                <w:rFonts w:hint="eastAsia"/>
                <w:color w:val="auto"/>
                <w:highlight w:val="none"/>
              </w:rPr>
              <w:t>电子备份投标文件不作实质性要求，是否提交由投标人自行决定</w:t>
            </w:r>
            <w:r>
              <w:rPr>
                <w:rFonts w:hint="eastAsia" w:ascii="宋体" w:hAnsi="宋体" w:cs="宋体"/>
                <w:color w:val="auto"/>
                <w:szCs w:val="21"/>
                <w:highlight w:val="none"/>
              </w:rPr>
              <w:t>，用于异常情况处理）。</w:t>
            </w:r>
          </w:p>
          <w:p>
            <w:pPr>
              <w:pStyle w:val="22"/>
              <w:spacing w:line="360" w:lineRule="auto"/>
              <w:rPr>
                <w:color w:val="auto"/>
                <w:highlight w:val="none"/>
              </w:rPr>
            </w:pPr>
            <w:r>
              <w:rPr>
                <w:rFonts w:hint="eastAsia" w:ascii="宋体" w:hAnsi="宋体" w:cs="宋体"/>
                <w:color w:val="auto"/>
                <w:szCs w:val="21"/>
                <w:highlight w:val="none"/>
              </w:rPr>
              <w:t>（3）纸质备份文件：中标人须在中标后3个工作日内提供资格文件、商务和技术文件、报价文件正副本各1份，纸质投标文件需与电子投标文件一致。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68" w:type="dxa"/>
            <w:vAlign w:val="center"/>
          </w:tcPr>
          <w:p>
            <w:pPr>
              <w:pStyle w:val="23"/>
              <w:jc w:val="center"/>
              <w:rPr>
                <w:color w:val="auto"/>
                <w:kern w:val="2"/>
                <w:szCs w:val="24"/>
                <w:highlight w:val="none"/>
              </w:rPr>
            </w:pPr>
            <w:r>
              <w:rPr>
                <w:rFonts w:hint="eastAsia"/>
                <w:color w:val="auto"/>
                <w:kern w:val="2"/>
                <w:szCs w:val="24"/>
                <w:highlight w:val="none"/>
              </w:rPr>
              <w:t>16</w:t>
            </w:r>
          </w:p>
        </w:tc>
        <w:tc>
          <w:tcPr>
            <w:tcW w:w="1687" w:type="dxa"/>
            <w:vAlign w:val="center"/>
          </w:tcPr>
          <w:p>
            <w:pPr>
              <w:pStyle w:val="23"/>
              <w:jc w:val="center"/>
              <w:rPr>
                <w:rFonts w:ascii="宋体" w:hAnsi="宋体" w:cs="宋体"/>
                <w:color w:val="auto"/>
                <w:kern w:val="2"/>
                <w:szCs w:val="21"/>
                <w:highlight w:val="none"/>
              </w:rPr>
            </w:pPr>
            <w:r>
              <w:rPr>
                <w:rFonts w:hint="eastAsia" w:ascii="宋体" w:hAnsi="宋体" w:cs="宋体"/>
                <w:color w:val="auto"/>
                <w:kern w:val="2"/>
                <w:szCs w:val="21"/>
                <w:highlight w:val="none"/>
              </w:rPr>
              <w:t>投标截止时间及地点</w:t>
            </w:r>
          </w:p>
        </w:tc>
        <w:tc>
          <w:tcPr>
            <w:tcW w:w="7324" w:type="dxa"/>
            <w:vAlign w:val="center"/>
          </w:tcPr>
          <w:p>
            <w:pPr>
              <w:pStyle w:val="23"/>
              <w:spacing w:line="360" w:lineRule="auto"/>
              <w:rPr>
                <w:rFonts w:ascii="宋体" w:hAnsi="宋体" w:cs="宋体"/>
                <w:color w:val="auto"/>
                <w:kern w:val="2"/>
                <w:szCs w:val="21"/>
                <w:highlight w:val="none"/>
              </w:rPr>
            </w:pPr>
            <w:r>
              <w:rPr>
                <w:rFonts w:hint="eastAsia" w:ascii="宋体" w:hAnsi="宋体" w:cs="宋体"/>
                <w:color w:val="auto"/>
                <w:kern w:val="2"/>
                <w:szCs w:val="21"/>
                <w:highlight w:val="none"/>
              </w:rPr>
              <w:t>详见招标文件第一章 公开招标采购公告。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68" w:type="dxa"/>
            <w:vAlign w:val="center"/>
          </w:tcPr>
          <w:p>
            <w:pPr>
              <w:pStyle w:val="23"/>
              <w:jc w:val="center"/>
              <w:rPr>
                <w:color w:val="auto"/>
                <w:kern w:val="2"/>
                <w:szCs w:val="24"/>
                <w:highlight w:val="none"/>
              </w:rPr>
            </w:pPr>
            <w:r>
              <w:rPr>
                <w:rFonts w:hint="eastAsia"/>
                <w:color w:val="auto"/>
                <w:kern w:val="2"/>
                <w:szCs w:val="24"/>
                <w:highlight w:val="none"/>
              </w:rPr>
              <w:t>17</w:t>
            </w:r>
          </w:p>
        </w:tc>
        <w:tc>
          <w:tcPr>
            <w:tcW w:w="1687" w:type="dxa"/>
            <w:vAlign w:val="center"/>
          </w:tcPr>
          <w:p>
            <w:pPr>
              <w:pStyle w:val="23"/>
              <w:jc w:val="center"/>
              <w:rPr>
                <w:rFonts w:ascii="宋体" w:hAnsi="宋体" w:cs="宋体"/>
                <w:color w:val="auto"/>
                <w:kern w:val="2"/>
                <w:szCs w:val="21"/>
                <w:highlight w:val="none"/>
              </w:rPr>
            </w:pPr>
            <w:r>
              <w:rPr>
                <w:rFonts w:hint="eastAsia" w:ascii="宋体" w:hAnsi="宋体" w:cs="宋体"/>
                <w:color w:val="auto"/>
                <w:kern w:val="2"/>
                <w:szCs w:val="21"/>
                <w:highlight w:val="none"/>
              </w:rPr>
              <w:t>开标时间及地点</w:t>
            </w:r>
          </w:p>
        </w:tc>
        <w:tc>
          <w:tcPr>
            <w:tcW w:w="7324" w:type="dxa"/>
            <w:vAlign w:val="center"/>
          </w:tcPr>
          <w:p>
            <w:pPr>
              <w:pStyle w:val="23"/>
              <w:spacing w:line="360" w:lineRule="auto"/>
              <w:rPr>
                <w:rFonts w:ascii="宋体" w:hAnsi="宋体" w:cs="宋体"/>
                <w:color w:val="auto"/>
                <w:kern w:val="2"/>
                <w:szCs w:val="21"/>
                <w:highlight w:val="none"/>
              </w:rPr>
            </w:pPr>
            <w:r>
              <w:rPr>
                <w:rFonts w:hint="eastAsia" w:ascii="宋体" w:hAnsi="宋体" w:cs="宋体"/>
                <w:color w:val="auto"/>
                <w:kern w:val="2"/>
                <w:szCs w:val="21"/>
                <w:highlight w:val="none"/>
              </w:rPr>
              <w:t>详见招标文件第一章 公开招标采购公告。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68" w:type="dxa"/>
            <w:vAlign w:val="center"/>
          </w:tcPr>
          <w:p>
            <w:pPr>
              <w:pStyle w:val="23"/>
              <w:jc w:val="center"/>
              <w:rPr>
                <w:color w:val="auto"/>
                <w:kern w:val="2"/>
                <w:szCs w:val="24"/>
                <w:highlight w:val="none"/>
              </w:rPr>
            </w:pPr>
            <w:r>
              <w:rPr>
                <w:rFonts w:hint="eastAsia"/>
                <w:color w:val="auto"/>
                <w:kern w:val="2"/>
                <w:szCs w:val="24"/>
                <w:highlight w:val="none"/>
              </w:rPr>
              <w:t>18</w:t>
            </w:r>
          </w:p>
        </w:tc>
        <w:tc>
          <w:tcPr>
            <w:tcW w:w="1687" w:type="dxa"/>
            <w:vAlign w:val="center"/>
          </w:tcPr>
          <w:p>
            <w:pPr>
              <w:pStyle w:val="23"/>
              <w:jc w:val="center"/>
              <w:rPr>
                <w:rFonts w:ascii="宋体" w:hAnsi="宋体" w:cs="宋体"/>
                <w:color w:val="auto"/>
                <w:kern w:val="2"/>
                <w:szCs w:val="21"/>
                <w:highlight w:val="none"/>
              </w:rPr>
            </w:pPr>
            <w:r>
              <w:rPr>
                <w:rFonts w:hint="eastAsia" w:ascii="宋体" w:hAnsi="宋体" w:cs="宋体"/>
                <w:color w:val="auto"/>
                <w:kern w:val="2"/>
                <w:szCs w:val="21"/>
                <w:highlight w:val="none"/>
              </w:rPr>
              <w:t>评标办法及评分标准</w:t>
            </w:r>
          </w:p>
        </w:tc>
        <w:tc>
          <w:tcPr>
            <w:tcW w:w="7324" w:type="dxa"/>
            <w:vAlign w:val="center"/>
          </w:tcPr>
          <w:p>
            <w:pPr>
              <w:pStyle w:val="23"/>
              <w:spacing w:line="360" w:lineRule="auto"/>
              <w:rPr>
                <w:rFonts w:ascii="宋体" w:hAnsi="宋体" w:cs="宋体"/>
                <w:color w:val="auto"/>
                <w:kern w:val="2"/>
                <w:szCs w:val="21"/>
                <w:highlight w:val="none"/>
              </w:rPr>
            </w:pPr>
            <w:r>
              <w:rPr>
                <w:rFonts w:hint="eastAsia" w:ascii="宋体" w:hAnsi="宋体" w:cs="宋体"/>
                <w:color w:val="auto"/>
                <w:szCs w:val="21"/>
                <w:highlight w:val="none"/>
              </w:rPr>
              <w:t>详见招标文件第四章 评标办法及评分标准。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68" w:type="dxa"/>
            <w:vAlign w:val="center"/>
          </w:tcPr>
          <w:p>
            <w:pPr>
              <w:pStyle w:val="23"/>
              <w:jc w:val="center"/>
              <w:rPr>
                <w:color w:val="auto"/>
                <w:kern w:val="2"/>
                <w:szCs w:val="24"/>
                <w:highlight w:val="none"/>
              </w:rPr>
            </w:pPr>
            <w:r>
              <w:rPr>
                <w:rFonts w:hint="eastAsia"/>
                <w:color w:val="auto"/>
                <w:kern w:val="2"/>
                <w:szCs w:val="24"/>
                <w:highlight w:val="none"/>
              </w:rPr>
              <w:t>19</w:t>
            </w:r>
          </w:p>
        </w:tc>
        <w:tc>
          <w:tcPr>
            <w:tcW w:w="1687" w:type="dxa"/>
            <w:vAlign w:val="center"/>
          </w:tcPr>
          <w:p>
            <w:pPr>
              <w:pStyle w:val="23"/>
              <w:spacing w:line="360" w:lineRule="auto"/>
              <w:jc w:val="center"/>
              <w:rPr>
                <w:rFonts w:ascii="宋体" w:hAnsi="宋体" w:cs="宋体"/>
                <w:color w:val="auto"/>
                <w:szCs w:val="21"/>
                <w:highlight w:val="none"/>
              </w:rPr>
            </w:pPr>
            <w:r>
              <w:rPr>
                <w:rFonts w:hint="eastAsia" w:ascii="宋体" w:hAnsi="宋体" w:cs="宋体"/>
                <w:color w:val="auto"/>
                <w:szCs w:val="21"/>
                <w:highlight w:val="none"/>
              </w:rPr>
              <w:t>签订合同时间</w:t>
            </w:r>
          </w:p>
        </w:tc>
        <w:tc>
          <w:tcPr>
            <w:tcW w:w="7324" w:type="dxa"/>
            <w:vAlign w:val="center"/>
          </w:tcPr>
          <w:p>
            <w:pPr>
              <w:pStyle w:val="23"/>
              <w:spacing w:line="360" w:lineRule="auto"/>
              <w:rPr>
                <w:rFonts w:ascii="宋体" w:hAnsi="宋体" w:cs="宋体"/>
                <w:color w:val="auto"/>
                <w:szCs w:val="21"/>
                <w:highlight w:val="none"/>
              </w:rPr>
            </w:pPr>
            <w:r>
              <w:rPr>
                <w:rFonts w:hint="eastAsia" w:ascii="宋体" w:hAnsi="宋体" w:cs="宋体"/>
                <w:color w:val="auto"/>
                <w:szCs w:val="21"/>
                <w:highlight w:val="none"/>
              </w:rPr>
              <w:t>中标通知书发出后30日内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768" w:type="dxa"/>
            <w:vAlign w:val="center"/>
          </w:tcPr>
          <w:p>
            <w:pPr>
              <w:pStyle w:val="23"/>
              <w:jc w:val="center"/>
              <w:rPr>
                <w:color w:val="auto"/>
                <w:kern w:val="2"/>
                <w:szCs w:val="24"/>
                <w:highlight w:val="none"/>
              </w:rPr>
            </w:pPr>
            <w:r>
              <w:rPr>
                <w:rFonts w:hint="eastAsia"/>
                <w:color w:val="auto"/>
                <w:kern w:val="2"/>
                <w:szCs w:val="24"/>
                <w:highlight w:val="none"/>
              </w:rPr>
              <w:t>20</w:t>
            </w:r>
          </w:p>
        </w:tc>
        <w:tc>
          <w:tcPr>
            <w:tcW w:w="1687" w:type="dxa"/>
            <w:vAlign w:val="center"/>
          </w:tcPr>
          <w:p>
            <w:pPr>
              <w:pStyle w:val="23"/>
              <w:spacing w:line="360" w:lineRule="auto"/>
              <w:jc w:val="center"/>
              <w:rPr>
                <w:color w:val="auto"/>
                <w:kern w:val="2"/>
                <w:szCs w:val="21"/>
                <w:highlight w:val="none"/>
              </w:rPr>
            </w:pPr>
            <w:r>
              <w:rPr>
                <w:rFonts w:hint="eastAsia"/>
                <w:color w:val="auto"/>
                <w:kern w:val="2"/>
                <w:szCs w:val="21"/>
                <w:highlight w:val="none"/>
              </w:rPr>
              <w:t>中标服务费</w:t>
            </w:r>
          </w:p>
        </w:tc>
        <w:tc>
          <w:tcPr>
            <w:tcW w:w="7324" w:type="dxa"/>
            <w:vAlign w:val="center"/>
          </w:tcPr>
          <w:p>
            <w:pPr>
              <w:autoSpaceDE w:val="0"/>
              <w:autoSpaceDN w:val="0"/>
              <w:spacing w:line="360" w:lineRule="auto"/>
              <w:rPr>
                <w:color w:val="auto"/>
                <w:szCs w:val="21"/>
                <w:highlight w:val="none"/>
              </w:rPr>
            </w:pPr>
            <w:r>
              <w:rPr>
                <w:rFonts w:hint="eastAsia"/>
                <w:color w:val="auto"/>
                <w:szCs w:val="21"/>
                <w:highlight w:val="none"/>
              </w:rPr>
              <w:t>1、招标代理费参照国家计委计价格【2002】1980号文件规定执行，报价为包干价，包括招标预算的编制及审核；招标文件编制；场地租用费；公告费；税费；内部管理费等。为完成本项目招投标的所有费用。招标代理费按68000元为基数打折计算，</w:t>
            </w:r>
            <w:r>
              <w:rPr>
                <w:rFonts w:hint="eastAsia"/>
                <w:color w:val="auto"/>
                <w:szCs w:val="21"/>
                <w:highlight w:val="none"/>
                <w:lang w:eastAsia="zh-CN"/>
              </w:rPr>
              <w:t>为</w:t>
            </w:r>
            <w:r>
              <w:rPr>
                <w:rFonts w:hint="eastAsia"/>
                <w:color w:val="auto"/>
                <w:szCs w:val="21"/>
                <w:highlight w:val="none"/>
                <w:lang w:val="en-US" w:eastAsia="zh-CN"/>
              </w:rPr>
              <w:t>48000元整</w:t>
            </w:r>
            <w:r>
              <w:rPr>
                <w:rFonts w:hint="eastAsia"/>
                <w:color w:val="auto"/>
                <w:szCs w:val="21"/>
                <w:highlight w:val="none"/>
              </w:rPr>
              <w:t>计取招标服务费，由中标单位支付服务费。</w:t>
            </w:r>
          </w:p>
          <w:p>
            <w:pPr>
              <w:autoSpaceDE w:val="0"/>
              <w:autoSpaceDN w:val="0"/>
              <w:spacing w:line="360" w:lineRule="auto"/>
              <w:rPr>
                <w:color w:val="auto"/>
                <w:szCs w:val="21"/>
                <w:highlight w:val="none"/>
              </w:rPr>
            </w:pPr>
            <w:r>
              <w:rPr>
                <w:rFonts w:hint="eastAsia"/>
                <w:color w:val="auto"/>
                <w:szCs w:val="21"/>
                <w:highlight w:val="none"/>
              </w:rPr>
              <w:t>2、招标代理服务费只收现金、银行票汇款、电汇款。</w:t>
            </w:r>
          </w:p>
          <w:p>
            <w:pPr>
              <w:autoSpaceDE w:val="0"/>
              <w:autoSpaceDN w:val="0"/>
              <w:spacing w:line="360" w:lineRule="auto"/>
              <w:rPr>
                <w:color w:val="auto"/>
                <w:szCs w:val="21"/>
                <w:highlight w:val="none"/>
              </w:rPr>
            </w:pPr>
            <w:r>
              <w:rPr>
                <w:rFonts w:hint="eastAsia"/>
                <w:color w:val="auto"/>
                <w:szCs w:val="21"/>
                <w:highlight w:val="none"/>
              </w:rPr>
              <w:t>3、服务费缴纳：</w:t>
            </w:r>
          </w:p>
          <w:p>
            <w:pPr>
              <w:autoSpaceDE w:val="0"/>
              <w:autoSpaceDN w:val="0"/>
              <w:spacing w:line="360" w:lineRule="auto"/>
              <w:rPr>
                <w:color w:val="auto"/>
                <w:szCs w:val="21"/>
                <w:highlight w:val="none"/>
              </w:rPr>
            </w:pPr>
            <w:r>
              <w:rPr>
                <w:rFonts w:hint="eastAsia"/>
                <w:color w:val="auto"/>
                <w:szCs w:val="21"/>
                <w:highlight w:val="none"/>
              </w:rPr>
              <w:t>账户名称：宁波市盛达工程管理咨询有限公司</w:t>
            </w:r>
          </w:p>
          <w:p>
            <w:pPr>
              <w:autoSpaceDE w:val="0"/>
              <w:autoSpaceDN w:val="0"/>
              <w:spacing w:line="360" w:lineRule="auto"/>
              <w:rPr>
                <w:color w:val="auto"/>
                <w:szCs w:val="21"/>
                <w:highlight w:val="none"/>
              </w:rPr>
            </w:pPr>
            <w:r>
              <w:rPr>
                <w:rFonts w:hint="eastAsia"/>
                <w:color w:val="auto"/>
                <w:szCs w:val="21"/>
                <w:highlight w:val="none"/>
              </w:rPr>
              <w:t>开户银行：宁波银行南苑支行</w:t>
            </w:r>
          </w:p>
          <w:p>
            <w:pPr>
              <w:pStyle w:val="7"/>
              <w:spacing w:before="0" w:after="0" w:line="360" w:lineRule="auto"/>
              <w:outlineLvl w:val="3"/>
              <w:rPr>
                <w:rFonts w:ascii="Times New Roman" w:hAnsi="Times New Roman" w:eastAsia="宋体"/>
                <w:color w:val="auto"/>
                <w:sz w:val="21"/>
                <w:szCs w:val="21"/>
                <w:highlight w:val="none"/>
              </w:rPr>
            </w:pPr>
            <w:r>
              <w:rPr>
                <w:rFonts w:hint="eastAsia" w:ascii="Times New Roman" w:hAnsi="Times New Roman" w:eastAsia="宋体"/>
                <w:b w:val="0"/>
                <w:bCs w:val="0"/>
                <w:color w:val="auto"/>
                <w:sz w:val="21"/>
                <w:szCs w:val="21"/>
                <w:highlight w:val="none"/>
              </w:rPr>
              <w:t>账号：24040122000059033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68" w:type="dxa"/>
            <w:vAlign w:val="center"/>
          </w:tcPr>
          <w:p>
            <w:pPr>
              <w:pStyle w:val="23"/>
              <w:jc w:val="center"/>
              <w:rPr>
                <w:color w:val="auto"/>
                <w:kern w:val="2"/>
                <w:szCs w:val="24"/>
                <w:highlight w:val="none"/>
              </w:rPr>
            </w:pPr>
            <w:r>
              <w:rPr>
                <w:rFonts w:hint="eastAsia"/>
                <w:color w:val="auto"/>
                <w:kern w:val="2"/>
                <w:szCs w:val="24"/>
                <w:highlight w:val="none"/>
              </w:rPr>
              <w:t>21</w:t>
            </w:r>
          </w:p>
        </w:tc>
        <w:tc>
          <w:tcPr>
            <w:tcW w:w="1687" w:type="dxa"/>
            <w:vAlign w:val="center"/>
          </w:tcPr>
          <w:p>
            <w:pPr>
              <w:pStyle w:val="23"/>
              <w:spacing w:line="360" w:lineRule="auto"/>
              <w:jc w:val="center"/>
              <w:rPr>
                <w:rFonts w:ascii="宋体" w:hAnsi="宋体" w:cs="宋体"/>
                <w:color w:val="auto"/>
                <w:szCs w:val="21"/>
                <w:highlight w:val="none"/>
              </w:rPr>
            </w:pPr>
            <w:r>
              <w:rPr>
                <w:rFonts w:hint="eastAsia"/>
                <w:color w:val="auto"/>
                <w:szCs w:val="21"/>
                <w:highlight w:val="none"/>
              </w:rPr>
              <w:t>▲合同履约期限</w:t>
            </w:r>
          </w:p>
        </w:tc>
        <w:tc>
          <w:tcPr>
            <w:tcW w:w="7324" w:type="dxa"/>
            <w:vAlign w:val="center"/>
          </w:tcPr>
          <w:p>
            <w:pPr>
              <w:pStyle w:val="22"/>
              <w:spacing w:after="0"/>
              <w:rPr>
                <w:rFonts w:ascii="宋体" w:hAnsi="宋体" w:cs="宋体"/>
                <w:color w:val="auto"/>
                <w:szCs w:val="21"/>
                <w:highlight w:val="none"/>
              </w:rPr>
            </w:pPr>
            <w:r>
              <w:rPr>
                <w:rFonts w:hint="eastAsia" w:ascii="宋体" w:cs="宋体"/>
                <w:color w:val="auto"/>
                <w:szCs w:val="21"/>
                <w:highlight w:val="none"/>
              </w:rPr>
              <w:t>自合同签订生效之日至双方合同义务完全履行完毕后止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68" w:type="dxa"/>
            <w:vAlign w:val="center"/>
          </w:tcPr>
          <w:p>
            <w:pPr>
              <w:pStyle w:val="23"/>
              <w:jc w:val="center"/>
              <w:rPr>
                <w:color w:val="auto"/>
                <w:kern w:val="2"/>
                <w:szCs w:val="24"/>
                <w:highlight w:val="none"/>
              </w:rPr>
            </w:pPr>
            <w:r>
              <w:rPr>
                <w:rFonts w:hint="eastAsia"/>
                <w:color w:val="auto"/>
                <w:kern w:val="2"/>
                <w:szCs w:val="24"/>
                <w:highlight w:val="none"/>
              </w:rPr>
              <w:t>22</w:t>
            </w:r>
          </w:p>
        </w:tc>
        <w:tc>
          <w:tcPr>
            <w:tcW w:w="1687" w:type="dxa"/>
            <w:vAlign w:val="center"/>
          </w:tcPr>
          <w:p>
            <w:pPr>
              <w:pStyle w:val="23"/>
              <w:jc w:val="center"/>
              <w:rPr>
                <w:color w:val="auto"/>
                <w:kern w:val="2"/>
                <w:szCs w:val="21"/>
                <w:highlight w:val="none"/>
              </w:rPr>
            </w:pPr>
            <w:r>
              <w:rPr>
                <w:rFonts w:hint="eastAsia"/>
                <w:color w:val="auto"/>
                <w:kern w:val="2"/>
                <w:szCs w:val="21"/>
                <w:highlight w:val="none"/>
              </w:rPr>
              <w:t>解释</w:t>
            </w:r>
          </w:p>
        </w:tc>
        <w:tc>
          <w:tcPr>
            <w:tcW w:w="7324" w:type="dxa"/>
            <w:vAlign w:val="center"/>
          </w:tcPr>
          <w:p>
            <w:pPr>
              <w:pStyle w:val="23"/>
              <w:jc w:val="both"/>
              <w:rPr>
                <w:color w:val="auto"/>
                <w:kern w:val="2"/>
                <w:szCs w:val="21"/>
                <w:highlight w:val="none"/>
              </w:rPr>
            </w:pPr>
            <w:r>
              <w:rPr>
                <w:rFonts w:hint="eastAsia" w:ascii="宋体" w:hAnsi="宋体" w:cs="宋体"/>
                <w:color w:val="auto"/>
                <w:szCs w:val="21"/>
                <w:highlight w:val="none"/>
              </w:rPr>
              <w:t>本招标文件的解释权属于招标采购单位</w:t>
            </w:r>
          </w:p>
        </w:tc>
      </w:tr>
    </w:tbl>
    <w:p>
      <w:pPr>
        <w:pStyle w:val="23"/>
        <w:rPr>
          <w:b/>
          <w:bCs/>
          <w:sz w:val="28"/>
          <w:szCs w:val="28"/>
          <w:highlight w:val="none"/>
        </w:rPr>
      </w:pPr>
    </w:p>
    <w:p>
      <w:pPr>
        <w:spacing w:line="440" w:lineRule="exact"/>
        <w:ind w:firstLine="420" w:firstLineChars="200"/>
        <w:rPr>
          <w:rFonts w:ascii="宋体" w:hAnsi="宋体"/>
          <w:szCs w:val="21"/>
          <w:highlight w:val="none"/>
        </w:rPr>
        <w:sectPr>
          <w:pgSz w:w="11906" w:h="16838"/>
          <w:pgMar w:top="1417" w:right="1417" w:bottom="1417" w:left="1417" w:header="386" w:footer="992" w:gutter="0"/>
          <w:cols w:space="0" w:num="1"/>
          <w:docGrid w:type="linesAndChars" w:linePitch="312" w:charSpace="0"/>
        </w:sectPr>
      </w:pPr>
      <w:bookmarkStart w:id="204" w:name="_Toc14965616"/>
      <w:bookmarkStart w:id="205" w:name="_Toc14965747"/>
      <w:bookmarkStart w:id="206" w:name="_Toc393025322"/>
    </w:p>
    <w:bookmarkEnd w:id="204"/>
    <w:bookmarkEnd w:id="205"/>
    <w:bookmarkEnd w:id="206"/>
    <w:p>
      <w:pPr>
        <w:pStyle w:val="29"/>
        <w:spacing w:line="360" w:lineRule="auto"/>
        <w:ind w:firstLine="420" w:firstLineChars="200"/>
        <w:outlineLvl w:val="0"/>
        <w:rPr>
          <w:rFonts w:hAnsi="宋体" w:cs="宋体"/>
          <w:b/>
          <w:highlight w:val="none"/>
        </w:rPr>
      </w:pPr>
      <w:r>
        <w:rPr>
          <w:rFonts w:hint="eastAsia" w:hAnsi="宋体" w:cs="宋体"/>
          <w:b/>
          <w:highlight w:val="none"/>
        </w:rPr>
        <w:t xml:space="preserve"> 一   总  则</w:t>
      </w:r>
    </w:p>
    <w:p>
      <w:pPr>
        <w:spacing w:line="360" w:lineRule="auto"/>
        <w:ind w:firstLine="420" w:firstLineChars="200"/>
        <w:outlineLvl w:val="1"/>
        <w:rPr>
          <w:rFonts w:ascii="宋体" w:hAnsi="宋体" w:cs="宋体"/>
          <w:b/>
          <w:szCs w:val="21"/>
          <w:highlight w:val="none"/>
        </w:rPr>
      </w:pPr>
      <w:r>
        <w:rPr>
          <w:rFonts w:hint="eastAsia" w:ascii="宋体" w:hAnsi="宋体" w:cs="宋体"/>
          <w:b/>
          <w:szCs w:val="21"/>
          <w:highlight w:val="none"/>
        </w:rPr>
        <w:t>（一） 适用范围</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本招标文件适用于</w:t>
      </w:r>
      <w:r>
        <w:rPr>
          <w:rFonts w:hint="eastAsia" w:ascii="宋体" w:hAnsi="宋体" w:cs="宋体"/>
          <w:bCs/>
          <w:szCs w:val="21"/>
          <w:highlight w:val="none"/>
          <w:u w:val="single"/>
          <w:lang w:eastAsia="zh-CN"/>
        </w:rPr>
        <w:t>江北区城乡排水管网数字化智能化管控平台（智慧排水工程）项目</w:t>
      </w:r>
      <w:r>
        <w:rPr>
          <w:rFonts w:hint="eastAsia" w:ascii="宋体" w:hAnsi="宋体" w:cs="宋体"/>
          <w:szCs w:val="21"/>
          <w:highlight w:val="none"/>
        </w:rPr>
        <w:t>的招标、投标、评标、定标、验收、合同履约、付款等行为（法律、法规另有规定的，从其规定）。</w:t>
      </w:r>
    </w:p>
    <w:p>
      <w:pPr>
        <w:spacing w:line="360" w:lineRule="auto"/>
        <w:ind w:firstLine="420" w:firstLineChars="200"/>
        <w:outlineLvl w:val="1"/>
        <w:rPr>
          <w:rFonts w:ascii="宋体" w:hAnsi="宋体" w:cs="宋体"/>
          <w:b/>
          <w:szCs w:val="21"/>
          <w:highlight w:val="none"/>
        </w:rPr>
      </w:pPr>
      <w:r>
        <w:rPr>
          <w:rFonts w:hint="eastAsia" w:ascii="宋体" w:hAnsi="宋体" w:cs="宋体"/>
          <w:b/>
          <w:szCs w:val="21"/>
          <w:highlight w:val="none"/>
        </w:rPr>
        <w:t>（二）定义</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1.“采购单位”系指组织本次招标的代理机构和采购单位。</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2.“供应商”系指向招标方提交投标文件的单位。</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3.“产品”系指供方按招标文件规定，须向采购单位提供的一切设备、保险、税金、备品备件、工具、手册及其它有关技术资料和材料。</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4.“服务”系指招标文件规定投标人须承担的安装、调试、技术协助、校准、培训、技术指导以及其他类似的义务。</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5.“项目”系指供应商按招标文件规定向采购人提供的产品和服务。</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6.“书面形式”包括信函、传真、电报等。</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7.“▲”系指“实质性要求”条款，投标文件对这些条款的任何负偏离将视为没有对采购文件的实质性要求做出响应，将被认定为无效投标。</w:t>
      </w:r>
    </w:p>
    <w:p>
      <w:pPr>
        <w:spacing w:line="360" w:lineRule="auto"/>
        <w:ind w:firstLine="420" w:firstLineChars="200"/>
        <w:outlineLvl w:val="1"/>
        <w:rPr>
          <w:rFonts w:ascii="宋体" w:hAnsi="宋体" w:cs="宋体"/>
          <w:b/>
          <w:szCs w:val="21"/>
          <w:highlight w:val="none"/>
        </w:rPr>
      </w:pPr>
      <w:r>
        <w:rPr>
          <w:rFonts w:hint="eastAsia" w:ascii="宋体" w:hAnsi="宋体" w:cs="宋体"/>
          <w:b/>
          <w:szCs w:val="21"/>
          <w:highlight w:val="none"/>
        </w:rPr>
        <w:t>（三）招标方式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本次招标采用公开招标方式进行。</w:t>
      </w:r>
    </w:p>
    <w:p>
      <w:pPr>
        <w:spacing w:line="360" w:lineRule="auto"/>
        <w:ind w:firstLine="420" w:firstLineChars="200"/>
        <w:outlineLvl w:val="1"/>
        <w:rPr>
          <w:rFonts w:ascii="宋体" w:hAnsi="宋体" w:cs="宋体"/>
          <w:b/>
          <w:szCs w:val="21"/>
          <w:highlight w:val="none"/>
        </w:rPr>
      </w:pPr>
      <w:r>
        <w:rPr>
          <w:rFonts w:hint="eastAsia" w:ascii="宋体" w:hAnsi="宋体" w:cs="宋体"/>
          <w:b/>
          <w:szCs w:val="21"/>
          <w:highlight w:val="none"/>
        </w:rPr>
        <w:t>（四）投标委托</w:t>
      </w:r>
    </w:p>
    <w:p>
      <w:pPr>
        <w:spacing w:line="360" w:lineRule="auto"/>
        <w:ind w:firstLine="420" w:firstLineChars="200"/>
        <w:rPr>
          <w:rFonts w:ascii="宋体" w:hAnsi="宋体" w:cs="宋体"/>
          <w:b/>
          <w:szCs w:val="21"/>
          <w:highlight w:val="none"/>
        </w:rPr>
      </w:pPr>
      <w:r>
        <w:rPr>
          <w:rFonts w:hint="eastAsia" w:ascii="宋体" w:hAnsi="宋体" w:cs="宋体"/>
          <w:b/>
          <w:szCs w:val="21"/>
          <w:highlight w:val="none"/>
        </w:rPr>
        <w:t>供应商代表须携带有效身份证原件。如供应商代表不是法定代表人，须有法定代表人出具的授权委托书，未按上述要求提供的作无效标处理。</w:t>
      </w:r>
    </w:p>
    <w:p>
      <w:pPr>
        <w:spacing w:line="360" w:lineRule="auto"/>
        <w:ind w:firstLine="420" w:firstLineChars="200"/>
        <w:outlineLvl w:val="1"/>
        <w:rPr>
          <w:rFonts w:ascii="宋体" w:hAnsi="宋体" w:cs="宋体"/>
          <w:b/>
          <w:szCs w:val="21"/>
          <w:highlight w:val="none"/>
        </w:rPr>
      </w:pPr>
      <w:r>
        <w:rPr>
          <w:rFonts w:hint="eastAsia" w:ascii="宋体" w:hAnsi="宋体" w:cs="宋体"/>
          <w:b/>
          <w:szCs w:val="21"/>
          <w:highlight w:val="none"/>
        </w:rPr>
        <w:t>（五）投标费用</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不论投标结果如何，供应商均应自行承担所有与投标有关的全部费用（招标文件有相反规定除外）。</w:t>
      </w:r>
    </w:p>
    <w:p>
      <w:pPr>
        <w:spacing w:line="360" w:lineRule="auto"/>
        <w:ind w:firstLine="420" w:firstLineChars="200"/>
        <w:outlineLvl w:val="1"/>
        <w:rPr>
          <w:rFonts w:ascii="宋体" w:hAnsi="宋体" w:cs="宋体"/>
          <w:b/>
          <w:szCs w:val="21"/>
          <w:highlight w:val="none"/>
        </w:rPr>
      </w:pPr>
      <w:r>
        <w:rPr>
          <w:rFonts w:hint="eastAsia" w:ascii="宋体" w:hAnsi="宋体" w:cs="宋体"/>
          <w:b/>
          <w:szCs w:val="21"/>
          <w:highlight w:val="none"/>
        </w:rPr>
        <w:t>（六）联合体投标</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本项目接受联合体投标，</w:t>
      </w:r>
      <w:r>
        <w:rPr>
          <w:rFonts w:hint="eastAsia" w:ascii="宋体" w:hAnsi="宋体"/>
          <w:szCs w:val="21"/>
          <w:highlight w:val="none"/>
        </w:rPr>
        <w:t>联合体牵头人和成员总数量最多不超过</w:t>
      </w:r>
      <w:r>
        <w:rPr>
          <w:rFonts w:ascii="宋体" w:hAnsi="宋体"/>
          <w:szCs w:val="21"/>
          <w:highlight w:val="none"/>
        </w:rPr>
        <w:t>2</w:t>
      </w:r>
      <w:r>
        <w:rPr>
          <w:rFonts w:hint="eastAsia" w:ascii="宋体" w:hAnsi="宋体"/>
          <w:szCs w:val="21"/>
          <w:highlight w:val="none"/>
        </w:rPr>
        <w:t>家</w:t>
      </w:r>
      <w:r>
        <w:rPr>
          <w:rFonts w:hint="eastAsia" w:ascii="宋体" w:hAnsi="宋体" w:cs="宋体"/>
          <w:szCs w:val="21"/>
          <w:highlight w:val="none"/>
        </w:rPr>
        <w:t>。</w:t>
      </w:r>
    </w:p>
    <w:p>
      <w:pPr>
        <w:spacing w:line="360" w:lineRule="auto"/>
        <w:ind w:firstLine="420" w:firstLineChars="200"/>
        <w:outlineLvl w:val="1"/>
        <w:rPr>
          <w:rFonts w:ascii="宋体" w:hAnsi="宋体" w:cs="宋体"/>
          <w:b/>
          <w:szCs w:val="21"/>
          <w:highlight w:val="none"/>
        </w:rPr>
      </w:pPr>
      <w:r>
        <w:rPr>
          <w:rFonts w:hint="eastAsia" w:ascii="宋体" w:hAnsi="宋体" w:cs="宋体"/>
          <w:b/>
          <w:szCs w:val="21"/>
          <w:highlight w:val="none"/>
        </w:rPr>
        <w:t>（七）转包与分包</w:t>
      </w:r>
    </w:p>
    <w:p>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本项目不允许转包。</w:t>
      </w:r>
    </w:p>
    <w:p>
      <w:pPr>
        <w:spacing w:line="360" w:lineRule="auto"/>
        <w:ind w:firstLine="420" w:firstLineChars="200"/>
        <w:outlineLvl w:val="1"/>
        <w:rPr>
          <w:rFonts w:ascii="宋体" w:hAnsi="宋体" w:cs="宋体"/>
          <w:b/>
          <w:szCs w:val="21"/>
          <w:highlight w:val="none"/>
        </w:rPr>
      </w:pPr>
      <w:r>
        <w:rPr>
          <w:rFonts w:hint="eastAsia" w:ascii="宋体" w:hAnsi="宋体" w:cs="宋体"/>
          <w:b/>
          <w:szCs w:val="21"/>
          <w:highlight w:val="none"/>
        </w:rPr>
        <w:t>（八）特别说明</w:t>
      </w:r>
    </w:p>
    <w:p>
      <w:pPr>
        <w:widowControl/>
        <w:spacing w:line="360" w:lineRule="auto"/>
        <w:ind w:firstLine="420" w:firstLineChars="200"/>
        <w:rPr>
          <w:rFonts w:ascii="宋体" w:hAnsi="宋体" w:cs="宋体"/>
          <w:szCs w:val="21"/>
          <w:highlight w:val="none"/>
        </w:rPr>
      </w:pPr>
      <w:r>
        <w:rPr>
          <w:rFonts w:hint="eastAsia" w:ascii="宋体" w:hAnsi="宋体" w:cs="宋体"/>
          <w:szCs w:val="21"/>
          <w:highlight w:val="none"/>
        </w:rPr>
        <w:t>▲1.采用最低评标价法的采购项目，提供相同品牌产品的不同投标人参加同一合同项下投标的，以其中通过资格审查、符合性审查且报价最低的参加评标；报价相同的，由采购人或采购人委托评标委员会按照招标文件规定的方式确定一个参加评标的投标人，招标文件未规定的采取随机抽取方式确定，其他投标无效。</w:t>
      </w:r>
    </w:p>
    <w:p>
      <w:pPr>
        <w:widowControl/>
        <w:spacing w:line="360" w:lineRule="auto"/>
        <w:ind w:firstLine="420" w:firstLineChars="200"/>
        <w:rPr>
          <w:rFonts w:ascii="宋体" w:hAnsi="宋体" w:cs="宋体"/>
          <w:kern w:val="0"/>
          <w:szCs w:val="21"/>
          <w:highlight w:val="none"/>
        </w:rPr>
      </w:pPr>
      <w:r>
        <w:rPr>
          <w:rFonts w:hint="eastAsia" w:ascii="宋体" w:hAnsi="宋体" w:cs="宋体"/>
          <w:szCs w:val="21"/>
          <w:highlight w:val="none"/>
        </w:rPr>
        <w:t>采用综合评分法的采购项目，</w:t>
      </w:r>
      <w:r>
        <w:rPr>
          <w:rFonts w:hint="eastAsia" w:ascii="宋体" w:hAnsi="宋体" w:cs="宋体"/>
          <w:kern w:val="0"/>
          <w:szCs w:val="21"/>
          <w:highlight w:val="none"/>
        </w:rPr>
        <w:t>提供相同品牌产品且通过资格审查、符合性审查的不同投标人参加同一合同项下投标的，按一家投标人计算，评审后得分最高的同品牌投标获得中标人推荐资格；评审得分相同的，由评标委员会按照采购文件规定的方式确定一个投标获得中标人的推荐资格，采购文件未规定的采取随机抽取的方式确定，其他同品牌投标人不作为中标候选人。</w:t>
      </w:r>
    </w:p>
    <w:p>
      <w:pPr>
        <w:widowControl/>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非单一产品采购项目，多家投标人提供的核心产品品牌相同的，按前款处理。</w:t>
      </w:r>
    </w:p>
    <w:p>
      <w:pPr>
        <w:widowControl/>
        <w:spacing w:line="360" w:lineRule="auto"/>
        <w:ind w:firstLine="420" w:firstLineChars="200"/>
        <w:rPr>
          <w:rFonts w:ascii="宋体" w:hAnsi="宋体" w:cs="宋体"/>
          <w:szCs w:val="21"/>
          <w:highlight w:val="none"/>
        </w:rPr>
      </w:pPr>
      <w:r>
        <w:rPr>
          <w:rFonts w:hint="eastAsia" w:ascii="宋体" w:hAnsi="宋体" w:cs="宋体"/>
          <w:szCs w:val="21"/>
          <w:highlight w:val="none"/>
        </w:rPr>
        <w:t>▲2.投标人应仔细阅读招标文件的所有内容，按照招标文件的要求提交投标文件，并对所提供的全部资料的真实性承担法律责任。</w:t>
      </w:r>
    </w:p>
    <w:p>
      <w:pPr>
        <w:pStyle w:val="29"/>
        <w:spacing w:line="360" w:lineRule="auto"/>
        <w:ind w:firstLine="420" w:firstLineChars="200"/>
        <w:rPr>
          <w:rFonts w:hAnsi="宋体" w:cs="宋体"/>
          <w:b/>
          <w:highlight w:val="none"/>
        </w:rPr>
      </w:pPr>
      <w:r>
        <w:rPr>
          <w:rFonts w:hint="eastAsia" w:hAnsi="宋体" w:cs="宋体"/>
          <w:highlight w:val="none"/>
        </w:rPr>
        <w:t>▲3.投标人在投标活动中提供任何虚假材料,其投标无效。</w:t>
      </w:r>
    </w:p>
    <w:p>
      <w:pPr>
        <w:spacing w:line="360" w:lineRule="auto"/>
        <w:ind w:firstLine="420" w:firstLineChars="200"/>
        <w:outlineLvl w:val="1"/>
        <w:rPr>
          <w:rFonts w:ascii="宋体" w:hAnsi="宋体" w:cs="宋体"/>
          <w:b/>
          <w:szCs w:val="21"/>
          <w:highlight w:val="none"/>
        </w:rPr>
      </w:pPr>
      <w:r>
        <w:rPr>
          <w:rFonts w:hint="eastAsia" w:ascii="宋体" w:hAnsi="宋体" w:cs="宋体"/>
          <w:b/>
          <w:szCs w:val="21"/>
          <w:highlight w:val="none"/>
        </w:rPr>
        <w:t>（九）质疑和投诉</w:t>
      </w:r>
    </w:p>
    <w:p>
      <w:pPr>
        <w:pStyle w:val="29"/>
        <w:spacing w:line="360" w:lineRule="auto"/>
        <w:ind w:firstLine="420" w:firstLineChars="200"/>
        <w:rPr>
          <w:rFonts w:hAnsi="宋体" w:cs="宋体"/>
          <w:highlight w:val="none"/>
        </w:rPr>
      </w:pPr>
      <w:r>
        <w:rPr>
          <w:rFonts w:hint="eastAsia" w:hAnsi="宋体" w:cs="宋体"/>
          <w:highlight w:val="none"/>
        </w:rPr>
        <w:t>1.供应商认为采购文件、采购过程、中标或者成交结果使自己的权益受到损害的，须在应知其利益受损之日起七个工作日内以书面形式向采购人、采购代理机构提出质疑。供应商应当在法定质疑期内一次性提出针对同一采购程序环节的质疑。</w:t>
      </w:r>
    </w:p>
    <w:p>
      <w:pPr>
        <w:pStyle w:val="29"/>
        <w:spacing w:line="360" w:lineRule="auto"/>
        <w:ind w:firstLine="420" w:firstLineChars="200"/>
        <w:rPr>
          <w:rFonts w:hAnsi="宋体" w:cs="宋体"/>
          <w:highlight w:val="none"/>
        </w:rPr>
      </w:pPr>
      <w:r>
        <w:rPr>
          <w:rFonts w:hint="eastAsia" w:hAnsi="宋体" w:cs="宋体"/>
          <w:highlight w:val="none"/>
        </w:rPr>
        <w:t>2.提出质疑的供应商应当是参与所质疑项目采购活动的供应商。未依法获取采购文件的，不得就采购文件提出质疑；未提交投标文件的供应商，视为与采购结果没有利害关系，不得就采购响应截止时间后的采购过程、采购结果提出质疑。</w:t>
      </w:r>
    </w:p>
    <w:p>
      <w:pPr>
        <w:pStyle w:val="29"/>
        <w:spacing w:line="360" w:lineRule="auto"/>
        <w:ind w:firstLine="420" w:firstLineChars="200"/>
        <w:rPr>
          <w:rFonts w:hAnsi="宋体" w:cs="宋体"/>
          <w:highlight w:val="none"/>
        </w:rPr>
      </w:pPr>
      <w:r>
        <w:rPr>
          <w:rFonts w:hint="eastAsia" w:hAnsi="宋体" w:cs="宋体"/>
          <w:highlight w:val="none"/>
        </w:rPr>
        <w:t>3.供应商提出质疑应当提交质疑函和必要的证明材料，质函应当面以书面形式提出，质疑函格式和内容须符合财政部《质疑函范本》要求，供应商可到中国政府采购网自行下载财政部《质疑函范本》。</w:t>
      </w:r>
    </w:p>
    <w:p>
      <w:pPr>
        <w:pStyle w:val="29"/>
        <w:spacing w:line="360" w:lineRule="auto"/>
        <w:ind w:firstLine="420" w:firstLineChars="200"/>
        <w:rPr>
          <w:rFonts w:hAnsi="宋体" w:cs="宋体"/>
          <w:highlight w:val="none"/>
        </w:rPr>
      </w:pPr>
      <w:r>
        <w:rPr>
          <w:rFonts w:hint="eastAsia" w:hAnsi="宋体" w:cs="宋体"/>
          <w:highlight w:val="none"/>
        </w:rPr>
        <w:t>4.接收书面质疑函的方式：质疑人可通过送达、邮寄、传真的形式提交书面质疑函，通过邮寄方式提交的书面质疑函以被质疑人签收邮件之日为收到书面质疑文件之日，通过传真方式提交的书面质疑函以被质疑人收到书面质疑文件原件之日为收到书面质疑文件之日。采购人和采购代理机构接收质疑函的联系方式：见本采购文件第一章有关联系方式。</w:t>
      </w:r>
    </w:p>
    <w:p>
      <w:pPr>
        <w:pStyle w:val="29"/>
        <w:spacing w:line="360" w:lineRule="auto"/>
        <w:ind w:firstLine="420" w:firstLineChars="200"/>
        <w:rPr>
          <w:rFonts w:hAnsi="宋体" w:cs="宋体"/>
          <w:bCs/>
          <w:highlight w:val="none"/>
        </w:rPr>
      </w:pPr>
      <w:r>
        <w:rPr>
          <w:rFonts w:hint="eastAsia" w:hAnsi="宋体" w:cs="宋体"/>
          <w:highlight w:val="none"/>
        </w:rPr>
        <w:t>5.供应商对采购人或采购代理机构的质疑答复不满意或者采购人或采购代理机构未在规定时间内作出答复的，可以在答复期满后十五个工作日内向同级采购监管部门投诉。</w:t>
      </w:r>
    </w:p>
    <w:p>
      <w:pPr>
        <w:pStyle w:val="29"/>
        <w:spacing w:line="360" w:lineRule="auto"/>
        <w:ind w:firstLine="420" w:firstLineChars="200"/>
        <w:outlineLvl w:val="0"/>
        <w:rPr>
          <w:rFonts w:hAnsi="宋体" w:cs="宋体"/>
          <w:b/>
          <w:highlight w:val="none"/>
        </w:rPr>
      </w:pPr>
      <w:r>
        <w:rPr>
          <w:rFonts w:hint="eastAsia" w:hAnsi="宋体" w:cs="宋体"/>
          <w:b/>
          <w:highlight w:val="none"/>
        </w:rPr>
        <w:t>二  招标文件</w:t>
      </w:r>
    </w:p>
    <w:p>
      <w:pPr>
        <w:spacing w:line="360" w:lineRule="auto"/>
        <w:ind w:firstLine="420" w:firstLineChars="200"/>
        <w:outlineLvl w:val="1"/>
        <w:rPr>
          <w:rFonts w:ascii="宋体" w:hAnsi="宋体" w:cs="宋体"/>
          <w:b/>
          <w:szCs w:val="21"/>
          <w:highlight w:val="none"/>
        </w:rPr>
      </w:pPr>
      <w:r>
        <w:rPr>
          <w:rFonts w:hint="eastAsia" w:ascii="宋体" w:hAnsi="宋体" w:cs="宋体"/>
          <w:b/>
          <w:szCs w:val="21"/>
          <w:highlight w:val="none"/>
        </w:rPr>
        <w:t>（一）招标文件的构成。本招标文件由以下部份组成：</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1.招标公告</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2.招标需求</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3.供应商须知</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4.评标办法及标准</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5.合同主要条款</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6.投标文件格式</w:t>
      </w:r>
    </w:p>
    <w:p>
      <w:pPr>
        <w:spacing w:line="360" w:lineRule="auto"/>
        <w:ind w:firstLine="420" w:firstLineChars="200"/>
        <w:outlineLvl w:val="1"/>
        <w:rPr>
          <w:rFonts w:ascii="宋体" w:hAnsi="宋体" w:cs="宋体"/>
          <w:b/>
          <w:szCs w:val="21"/>
          <w:highlight w:val="none"/>
        </w:rPr>
      </w:pPr>
      <w:r>
        <w:rPr>
          <w:rFonts w:hint="eastAsia" w:ascii="宋体" w:hAnsi="宋体" w:cs="宋体"/>
          <w:b/>
          <w:szCs w:val="21"/>
          <w:highlight w:val="none"/>
        </w:rPr>
        <w:t>（二）供应商的风险</w:t>
      </w:r>
    </w:p>
    <w:p>
      <w:pPr>
        <w:pStyle w:val="41"/>
        <w:spacing w:after="0" w:line="360" w:lineRule="auto"/>
        <w:ind w:left="0" w:leftChars="0" w:firstLine="420" w:firstLineChars="200"/>
        <w:rPr>
          <w:rFonts w:ascii="宋体" w:hAnsi="宋体" w:cs="宋体"/>
          <w:sz w:val="21"/>
          <w:szCs w:val="21"/>
          <w:highlight w:val="none"/>
        </w:rPr>
      </w:pPr>
      <w:r>
        <w:rPr>
          <w:rFonts w:hint="eastAsia" w:ascii="宋体" w:hAnsi="宋体" w:cs="宋体"/>
          <w:sz w:val="21"/>
          <w:szCs w:val="21"/>
          <w:highlight w:val="none"/>
        </w:rPr>
        <w:t>供应商没有按照招标文件要求提供全部资料，或者供应商没有对招标文件在各方面作出实质性响应是供应商的风险，并可能导致其投标被拒绝。</w:t>
      </w:r>
    </w:p>
    <w:p>
      <w:pPr>
        <w:spacing w:line="360" w:lineRule="auto"/>
        <w:ind w:firstLine="420" w:firstLineChars="200"/>
        <w:outlineLvl w:val="1"/>
        <w:rPr>
          <w:rFonts w:ascii="宋体" w:hAnsi="宋体" w:cs="宋体"/>
          <w:b/>
          <w:szCs w:val="21"/>
          <w:highlight w:val="none"/>
        </w:rPr>
      </w:pPr>
      <w:r>
        <w:rPr>
          <w:rFonts w:hint="eastAsia" w:ascii="宋体" w:hAnsi="宋体" w:cs="宋体"/>
          <w:b/>
          <w:szCs w:val="21"/>
          <w:highlight w:val="none"/>
        </w:rPr>
        <w:t xml:space="preserve">（三）招标文件的澄清与修改 </w:t>
      </w:r>
    </w:p>
    <w:p>
      <w:pPr>
        <w:pStyle w:val="29"/>
        <w:spacing w:line="360" w:lineRule="auto"/>
        <w:ind w:firstLine="420" w:firstLineChars="200"/>
        <w:rPr>
          <w:rFonts w:hAnsi="宋体" w:cs="宋体"/>
          <w:highlight w:val="none"/>
        </w:rPr>
      </w:pPr>
      <w:r>
        <w:rPr>
          <w:rFonts w:hint="eastAsia" w:hAnsi="宋体" w:cs="宋体"/>
          <w:highlight w:val="none"/>
        </w:rPr>
        <w:t>1.采购人对采购文件进行必要的澄清或者修改的，在发布招标公告的网站上发布更正公告。澄清或者修改的内容可能影响投标文件编制的，更正公告在投标截止时间至少15日前发出；不足15日的，顺延提交投标文件截止时间。</w:t>
      </w:r>
    </w:p>
    <w:p>
      <w:pPr>
        <w:pStyle w:val="29"/>
        <w:spacing w:line="360" w:lineRule="auto"/>
        <w:ind w:firstLine="420" w:firstLineChars="200"/>
        <w:rPr>
          <w:rFonts w:hAnsi="宋体" w:cs="宋体"/>
          <w:highlight w:val="none"/>
        </w:rPr>
      </w:pPr>
      <w:r>
        <w:rPr>
          <w:rFonts w:hint="eastAsia" w:hAnsi="宋体" w:cs="宋体"/>
          <w:highlight w:val="none"/>
        </w:rPr>
        <w:t>2.更正公告为采购文件的组成部分，一经在网站发布，视同已通知所有采购文件的收受人，不再采用其它方式传达相关信息, 若因未能及时了解到上述网站上发布的相关信息而导致的一切后果自行承担。</w:t>
      </w:r>
    </w:p>
    <w:p>
      <w:pPr>
        <w:pStyle w:val="29"/>
        <w:spacing w:line="360" w:lineRule="auto"/>
        <w:ind w:firstLine="420" w:firstLineChars="200"/>
        <w:rPr>
          <w:rFonts w:hAnsi="宋体" w:cs="宋体"/>
          <w:highlight w:val="none"/>
        </w:rPr>
      </w:pPr>
      <w:r>
        <w:rPr>
          <w:rFonts w:hint="eastAsia" w:hAnsi="宋体" w:cs="宋体"/>
          <w:highlight w:val="none"/>
        </w:rPr>
        <w:t>3.如更正公告有重新发布电子采购文件的，投标人应下载最新发布的电子招标文件制作投标文件。</w:t>
      </w:r>
    </w:p>
    <w:p>
      <w:pPr>
        <w:pStyle w:val="29"/>
        <w:spacing w:line="360" w:lineRule="auto"/>
        <w:ind w:firstLine="420" w:firstLineChars="200"/>
        <w:rPr>
          <w:rFonts w:hAnsi="宋体" w:cs="宋体"/>
          <w:highlight w:val="none"/>
        </w:rPr>
      </w:pPr>
      <w:r>
        <w:rPr>
          <w:rFonts w:hint="eastAsia" w:hAnsi="宋体" w:cs="宋体"/>
          <w:highlight w:val="none"/>
        </w:rPr>
        <w:t>4.投标人在规定的时间内未对招标文件提出疑问、质疑或要求澄清的，将视其为无异议。对采购文件中描述有歧义或前后不一致的地方，评标委员会有权进行评判，但对同一条款的评判应适用于每个投标人。</w:t>
      </w:r>
    </w:p>
    <w:p>
      <w:pPr>
        <w:pStyle w:val="29"/>
        <w:spacing w:line="360" w:lineRule="auto"/>
        <w:ind w:firstLine="420" w:firstLineChars="200"/>
        <w:outlineLvl w:val="0"/>
        <w:rPr>
          <w:rFonts w:hAnsi="宋体" w:cs="宋体"/>
          <w:b/>
          <w:highlight w:val="none"/>
        </w:rPr>
      </w:pPr>
      <w:r>
        <w:rPr>
          <w:rFonts w:hint="eastAsia" w:hAnsi="宋体" w:cs="宋体"/>
          <w:b/>
          <w:highlight w:val="none"/>
        </w:rPr>
        <w:t>三、投标文件的编制</w:t>
      </w:r>
    </w:p>
    <w:p>
      <w:pPr>
        <w:spacing w:line="360" w:lineRule="auto"/>
        <w:ind w:firstLine="420" w:firstLineChars="200"/>
        <w:outlineLvl w:val="1"/>
        <w:rPr>
          <w:rFonts w:ascii="宋体" w:hAnsi="宋体" w:cs="宋体"/>
          <w:b/>
          <w:szCs w:val="21"/>
          <w:highlight w:val="none"/>
        </w:rPr>
      </w:pPr>
      <w:r>
        <w:rPr>
          <w:rFonts w:hint="eastAsia" w:ascii="宋体" w:hAnsi="宋体" w:cs="宋体"/>
          <w:b/>
          <w:szCs w:val="21"/>
          <w:highlight w:val="none"/>
        </w:rPr>
        <w:t>（一）投标文件由资格文件、商务技术文件及报价文件组成</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1、资格文件内容主要包括但不限于以下内容：</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（1）资格条件自查表（格式见第六章 投标文件格式）；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（2）投标人投标声明书（格式见第六章 投标文件格式）；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（3）法定代表人身份证明或法定代表人授权委托书（格式见第六章 投标文件格式）；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（4）具备《中华人民共和国政府采购法》第二十二条规定的资格条件的承诺函（格式见第六章 投标文件格式）；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（5）提供具有履行合同所必需的设备和专业技术能力的书面声明（格式见第六章 投标文件格式）；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（6）提供参加政府采购活动前3年内在经营活动中没有重大违法记录的书面声明（格式见第六章 投标文件格式）；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（7）联合体协议书（如有）（格式见第六章 投标文件格式）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（8）投标承诺函（格式见第六章 投标文件格式）；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（9）投标人认为有必要说明的其他资料。</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2、商务技术文件内容主要包括但不限于以下内容：</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（1）投标人符合性自查表；</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（2）法定代表人身份证明或法定代表人授权委托书（格式见第六章 投标文件格式）；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（3）投标人响应表（格式见第六章 投标文件格式）；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（4）商务条款偏离表（格式见第六章 投标文件格式）；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（5）技术条款偏离表（格式见第六章 投标文件格式）；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（6）投标人基本情况表（格式见第六章 投标文件格式）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（7）针对本项目第四章评标办法及评标标准中的条款拟定各种方案（格式自拟）；</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（8）第四章评标办法及评标标准中需提供的其他相关证书及合同等复印件加盖公章（如有）； </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（9）投标人认为有必要提供的或评分标准要求提供的或本技术规格书中要求提供的其他技术资料及说明。</w:t>
      </w:r>
    </w:p>
    <w:p>
      <w:pPr>
        <w:pStyle w:val="81"/>
        <w:spacing w:line="360" w:lineRule="auto"/>
        <w:ind w:firstLine="422"/>
        <w:rPr>
          <w:rFonts w:ascii="宋体" w:hAnsi="宋体" w:cs="宋体"/>
          <w:szCs w:val="21"/>
          <w:highlight w:val="none"/>
        </w:rPr>
      </w:pPr>
      <w:r>
        <w:rPr>
          <w:rFonts w:hint="eastAsia" w:ascii="宋体" w:hAnsi="宋体" w:cs="宋体"/>
          <w:b/>
          <w:szCs w:val="21"/>
          <w:highlight w:val="none"/>
        </w:rPr>
        <w:t>▲</w:t>
      </w:r>
      <w:r>
        <w:rPr>
          <w:rFonts w:hint="eastAsia" w:ascii="宋体" w:hAnsi="宋体" w:cs="宋体"/>
          <w:b/>
          <w:bCs/>
          <w:szCs w:val="21"/>
          <w:highlight w:val="none"/>
        </w:rPr>
        <w:t>注：商务技术文件中不能出现报价。</w:t>
      </w:r>
    </w:p>
    <w:p>
      <w:pPr>
        <w:spacing w:line="360" w:lineRule="auto"/>
        <w:ind w:firstLine="420" w:firstLineChars="200"/>
        <w:rPr>
          <w:rFonts w:ascii="宋体" w:hAnsi="宋体" w:cs="宋体"/>
          <w:b/>
          <w:szCs w:val="21"/>
          <w:highlight w:val="none"/>
        </w:rPr>
      </w:pPr>
      <w:r>
        <w:rPr>
          <w:rFonts w:hint="eastAsia" w:ascii="宋体" w:hAnsi="宋体" w:cs="宋体"/>
          <w:b/>
          <w:bCs/>
          <w:szCs w:val="21"/>
          <w:highlight w:val="none"/>
        </w:rPr>
        <w:t>3、报价文件内容主要包括但不限于以下内容：</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（1）投标函（格式见第六章 投标文件格式）；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（3）开标一览表（格式见第六章 投标文件格式）；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（4）投标分项报价表（（格式自拟））；</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（5）中小企业声明函（格式见第六章 投标文件格式）；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（6）残疾人福利性单位声明函（如为）（（格式见第六章 投标文件格式））；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注：本项目为非专门面向中小企业采购的项目，如果供应商和制造商为中小企业，应同时提供供应商和制造商的中小企业声明函。如未按照要求提供，将不得享受评标标准中注明的针对小微企业的价格扣除优惠。</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（8）政府采购统计基础信息表（格式见第六章 投标文件格式）；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（9）投标人针对报价需要说明的其他文件和说明。</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政府采购活动。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已有总公司授权的，总公司取得的相关资质证书对分公司有效。</w:t>
      </w:r>
    </w:p>
    <w:p>
      <w:pPr>
        <w:spacing w:line="360" w:lineRule="auto"/>
        <w:ind w:firstLine="420" w:firstLineChars="200"/>
        <w:outlineLvl w:val="1"/>
        <w:rPr>
          <w:rFonts w:ascii="宋体" w:hAnsi="宋体" w:cs="宋体"/>
          <w:b/>
          <w:szCs w:val="21"/>
          <w:highlight w:val="none"/>
        </w:rPr>
      </w:pPr>
      <w:r>
        <w:rPr>
          <w:rFonts w:hint="eastAsia" w:ascii="宋体" w:hAnsi="宋体" w:cs="宋体"/>
          <w:b/>
          <w:szCs w:val="21"/>
          <w:highlight w:val="none"/>
        </w:rPr>
        <w:t>（二）投标文件的语言及计量</w:t>
      </w:r>
    </w:p>
    <w:p>
      <w:pPr>
        <w:spacing w:line="360" w:lineRule="auto"/>
        <w:ind w:firstLine="420" w:firstLineChars="200"/>
        <w:rPr>
          <w:rFonts w:ascii="宋体" w:hAnsi="宋体" w:cs="宋体"/>
          <w:b/>
          <w:szCs w:val="21"/>
          <w:highlight w:val="none"/>
        </w:rPr>
      </w:pPr>
      <w:r>
        <w:rPr>
          <w:rFonts w:hint="eastAsia" w:ascii="宋体" w:hAnsi="宋体" w:cs="宋体"/>
          <w:b/>
          <w:szCs w:val="21"/>
          <w:highlight w:val="none"/>
        </w:rPr>
        <w:t>▲1投标文件以及投标方与招标方就有关投标事宜的所有来往函电，均应以中文汉语书写。除签名、盖章、专用名称等特殊情形外，以中文汉语以外的文字表述的投标文件视同未提供。</w:t>
      </w:r>
    </w:p>
    <w:p>
      <w:pPr>
        <w:spacing w:line="360" w:lineRule="auto"/>
        <w:ind w:firstLine="420" w:firstLineChars="200"/>
        <w:rPr>
          <w:rFonts w:ascii="宋体" w:hAnsi="宋体" w:cs="宋体"/>
          <w:b/>
          <w:szCs w:val="21"/>
          <w:highlight w:val="none"/>
        </w:rPr>
      </w:pPr>
      <w:r>
        <w:rPr>
          <w:rFonts w:hint="eastAsia" w:ascii="宋体" w:hAnsi="宋体" w:cs="宋体"/>
          <w:b/>
          <w:szCs w:val="21"/>
          <w:highlight w:val="none"/>
        </w:rPr>
        <w:t>▲2投标计量单位，招标文件已有明确规定的，使用招标文件规定的计量单位；招标文件没有规定的，应采用中华人民共和国法定计量单位（货币单位：人民币元），否则视同未响应。</w:t>
      </w:r>
    </w:p>
    <w:p>
      <w:pPr>
        <w:spacing w:line="360" w:lineRule="auto"/>
        <w:ind w:firstLine="420" w:firstLineChars="200"/>
        <w:outlineLvl w:val="1"/>
        <w:rPr>
          <w:rFonts w:ascii="宋体" w:hAnsi="宋体" w:cs="宋体"/>
          <w:b/>
          <w:szCs w:val="21"/>
          <w:highlight w:val="none"/>
        </w:rPr>
      </w:pPr>
      <w:r>
        <w:rPr>
          <w:rFonts w:hint="eastAsia" w:ascii="宋体" w:hAnsi="宋体" w:cs="宋体"/>
          <w:b/>
          <w:szCs w:val="21"/>
          <w:highlight w:val="none"/>
        </w:rPr>
        <w:t>（三）投标报价</w:t>
      </w:r>
    </w:p>
    <w:p>
      <w:pPr>
        <w:pStyle w:val="29"/>
        <w:spacing w:line="360" w:lineRule="auto"/>
        <w:ind w:firstLine="420" w:firstLineChars="200"/>
        <w:rPr>
          <w:rFonts w:hAnsi="宋体" w:cs="宋体"/>
          <w:highlight w:val="none"/>
        </w:rPr>
      </w:pPr>
      <w:r>
        <w:rPr>
          <w:rFonts w:hint="eastAsia" w:hAnsi="宋体" w:cs="宋体"/>
          <w:highlight w:val="none"/>
        </w:rPr>
        <w:t>1.投标报价应按招标文件中相关附表格式填写。</w:t>
      </w:r>
    </w:p>
    <w:p>
      <w:pPr>
        <w:pStyle w:val="29"/>
        <w:spacing w:line="360" w:lineRule="auto"/>
        <w:ind w:firstLine="420" w:firstLineChars="200"/>
        <w:rPr>
          <w:rFonts w:hAnsi="宋体" w:cs="宋体"/>
          <w:b/>
          <w:highlight w:val="none"/>
        </w:rPr>
      </w:pPr>
      <w:r>
        <w:rPr>
          <w:rFonts w:hint="eastAsia" w:hAnsi="宋体" w:cs="宋体"/>
          <w:b/>
          <w:highlight w:val="none"/>
        </w:rPr>
        <w:t>▲2.投标报价是履行合同的最终价格，须包含完成完整的服务所需的所有费用，应包含所有与本采购服务相关的、应支付的所有费用。</w:t>
      </w:r>
    </w:p>
    <w:p>
      <w:pPr>
        <w:tabs>
          <w:tab w:val="left" w:pos="525"/>
        </w:tabs>
        <w:spacing w:line="360" w:lineRule="auto"/>
        <w:ind w:firstLine="420" w:firstLineChars="200"/>
        <w:rPr>
          <w:rFonts w:ascii="宋体" w:hAnsi="宋体" w:cs="宋体"/>
          <w:b/>
          <w:szCs w:val="21"/>
          <w:highlight w:val="none"/>
        </w:rPr>
      </w:pPr>
      <w:r>
        <w:rPr>
          <w:rFonts w:hint="eastAsia" w:ascii="宋体" w:hAnsi="宋体" w:cs="宋体"/>
          <w:b/>
          <w:szCs w:val="21"/>
          <w:highlight w:val="none"/>
        </w:rPr>
        <w:t>▲3.投标文件只允许有一个报价，有选择的或有条件的报价将不予接受。</w:t>
      </w:r>
    </w:p>
    <w:p>
      <w:pPr>
        <w:spacing w:line="360" w:lineRule="auto"/>
        <w:ind w:firstLine="420" w:firstLineChars="200"/>
        <w:outlineLvl w:val="1"/>
        <w:rPr>
          <w:rFonts w:ascii="宋体" w:hAnsi="宋体" w:cs="宋体"/>
          <w:b/>
          <w:szCs w:val="21"/>
          <w:highlight w:val="none"/>
        </w:rPr>
      </w:pPr>
      <w:r>
        <w:rPr>
          <w:rFonts w:hint="eastAsia" w:ascii="宋体" w:hAnsi="宋体" w:cs="宋体"/>
          <w:b/>
          <w:szCs w:val="21"/>
          <w:highlight w:val="none"/>
        </w:rPr>
        <w:t>（四）投标文件的有效期</w:t>
      </w:r>
    </w:p>
    <w:p>
      <w:pPr>
        <w:pStyle w:val="15"/>
        <w:tabs>
          <w:tab w:val="left" w:pos="720"/>
          <w:tab w:val="clear" w:pos="360"/>
        </w:tabs>
        <w:spacing w:line="360" w:lineRule="auto"/>
        <w:ind w:left="0" w:firstLine="420" w:firstLineChars="200"/>
        <w:rPr>
          <w:rFonts w:ascii="宋体" w:hAnsi="宋体" w:cs="宋体"/>
          <w:b/>
          <w:highlight w:val="none"/>
        </w:rPr>
      </w:pPr>
      <w:r>
        <w:rPr>
          <w:rFonts w:hint="eastAsia" w:ascii="宋体" w:hAnsi="宋体" w:cs="宋体"/>
          <w:b/>
          <w:highlight w:val="none"/>
        </w:rPr>
        <w:t>▲1.自投标截止日起</w:t>
      </w:r>
      <w:r>
        <w:rPr>
          <w:rFonts w:hint="eastAsia" w:ascii="宋体" w:hAnsi="宋体" w:cs="宋体"/>
          <w:b/>
          <w:highlight w:val="none"/>
          <w:u w:val="single"/>
        </w:rPr>
        <w:t>90</w:t>
      </w:r>
      <w:r>
        <w:rPr>
          <w:rFonts w:hint="eastAsia" w:ascii="宋体" w:hAnsi="宋体" w:cs="宋体"/>
          <w:b/>
          <w:highlight w:val="none"/>
        </w:rPr>
        <w:t>天投标文件应保持有效。有效期不足的投标文件将被拒绝。</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2.在特殊情况下，招标人可与供应商协商延长投标书的有效期，这种要求和答复均以书面形式进行。</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3.中标人的投标文件自开标之日起至合同履行完毕止均应保持有效。</w:t>
      </w:r>
    </w:p>
    <w:p>
      <w:pPr>
        <w:spacing w:line="360" w:lineRule="auto"/>
        <w:ind w:firstLine="420" w:firstLineChars="200"/>
        <w:outlineLvl w:val="1"/>
        <w:rPr>
          <w:rFonts w:ascii="宋体" w:hAnsi="宋体" w:cs="宋体"/>
          <w:b/>
          <w:szCs w:val="21"/>
          <w:highlight w:val="none"/>
        </w:rPr>
      </w:pPr>
      <w:r>
        <w:rPr>
          <w:rFonts w:hint="eastAsia" w:ascii="宋体" w:hAnsi="宋体" w:cs="宋体"/>
          <w:b/>
          <w:szCs w:val="21"/>
          <w:highlight w:val="none"/>
        </w:rPr>
        <w:t>（五）投标文件的签署和份数</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1、投标人应按本采购文件规定的格式和顺序编制、装订投标文件并标注页码，投标文件内容不完整、编排混乱导致投标文件被误读、漏读或者查找不到相关内容的，是投标人的责任。</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2、投标人应</w:t>
      </w:r>
      <w:r>
        <w:rPr>
          <w:rFonts w:hint="eastAsia" w:ascii="宋体" w:hAnsi="宋体" w:cs="宋体"/>
          <w:b/>
          <w:szCs w:val="21"/>
          <w:highlight w:val="none"/>
        </w:rPr>
        <w:t>▲</w:t>
      </w:r>
      <w:r>
        <w:rPr>
          <w:rFonts w:hint="eastAsia" w:ascii="宋体" w:hAnsi="宋体" w:cs="宋体"/>
          <w:szCs w:val="21"/>
          <w:highlight w:val="none"/>
        </w:rPr>
        <w:t>①上传至政府采购云平台的电子投标文件（含资格文件、商务技术文件、报价文件）1 份。</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②可提供以U盘存储的数据电文形式的备份投标文件（含资格文件、商务技术文件、报价文件）1份。</w:t>
      </w:r>
    </w:p>
    <w:p>
      <w:pPr>
        <w:spacing w:line="360" w:lineRule="auto"/>
        <w:ind w:firstLine="420" w:firstLineChars="200"/>
        <w:rPr>
          <w:rFonts w:ascii="宋体" w:hAnsi="宋体" w:cs="宋体"/>
          <w:b/>
          <w:bCs/>
          <w:szCs w:val="21"/>
          <w:highlight w:val="none"/>
        </w:rPr>
      </w:pPr>
      <w:r>
        <w:rPr>
          <w:rFonts w:hint="eastAsia" w:ascii="宋体" w:hAnsi="宋体" w:cs="宋体"/>
          <w:b/>
          <w:bCs/>
          <w:szCs w:val="21"/>
          <w:highlight w:val="none"/>
        </w:rPr>
        <w:t>以 U 盘存储的电子备份投标文件，须按“政采云投标人项目采购-电子招投标操作指南” 制作的备份文件（电子备份投标文件后缀格式为“.bfbs”）</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3、投标文件的效力：投标文件的启用，按先后顺位分别为电子投标文件、以U盘存储的电子备份投标文件。在下一顺位的投标文件启用时，前一顺位的投标文件自动失效。电子投标文件未能按时解密，投标人提供了电子备份投标文件以电子备份投标文件作为评标依据。电子投标文件已按时解密的，电子备份投标文件自动失效。</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4、（如有）投标文件的正本需打印或用不褪色的墨水填写，投标文件正本除本《投标须知》中规定的可提供复印件外均须提供原件。副本为正本的复印件。</w:t>
      </w:r>
    </w:p>
    <w:p>
      <w:pPr>
        <w:spacing w:line="360" w:lineRule="auto"/>
        <w:ind w:firstLine="420" w:firstLineChars="200"/>
        <w:rPr>
          <w:rFonts w:ascii="宋体" w:hAnsi="宋体" w:cs="宋体"/>
          <w:szCs w:val="21"/>
          <w:highlight w:val="none"/>
        </w:rPr>
      </w:pPr>
      <w:r>
        <w:rPr>
          <w:rFonts w:hint="eastAsia" w:ascii="宋体" w:hAnsi="宋体" w:cs="宋体"/>
          <w:b/>
          <w:szCs w:val="21"/>
          <w:highlight w:val="none"/>
        </w:rPr>
        <w:t>▲</w:t>
      </w:r>
      <w:r>
        <w:rPr>
          <w:rFonts w:hint="eastAsia" w:ascii="宋体" w:hAnsi="宋体" w:cs="宋体"/>
          <w:bCs/>
          <w:szCs w:val="21"/>
          <w:highlight w:val="none"/>
        </w:rPr>
        <w:t>5、</w:t>
      </w:r>
      <w:r>
        <w:rPr>
          <w:rFonts w:hint="eastAsia" w:ascii="宋体" w:hAnsi="宋体" w:cs="宋体"/>
          <w:szCs w:val="21"/>
          <w:highlight w:val="none"/>
        </w:rPr>
        <w:t>投标文件须由投标人在规定位置盖章并由法定代表人或法定代表人的授权委托人签署，投标人应写全称。法定代表人授权委托书、投标声明书必须由法定代表人签名并加盖单位公章。</w:t>
      </w:r>
      <w:r>
        <w:rPr>
          <w:rFonts w:hint="eastAsia" w:ascii="宋体" w:hAnsi="宋体" w:cs="宋体"/>
          <w:b/>
          <w:bCs/>
          <w:szCs w:val="21"/>
          <w:highlight w:val="none"/>
        </w:rPr>
        <w:t>电子投标文件中所须加盖公章部分均采用CA签章。</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6、投标文件不得涂改，若有修改错漏处，须加盖单位公章或者法定代表人或授权委托人签名或盖章。投标文件因字迹潦草或表达不清所引起的后果由投标人负责。</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7、投标人递交的企业宣传册、产品宣传册不属于投标文件有效组成资料的不作为评审依据。</w:t>
      </w:r>
    </w:p>
    <w:p>
      <w:pPr>
        <w:pStyle w:val="29"/>
        <w:spacing w:line="360" w:lineRule="auto"/>
        <w:ind w:firstLine="420" w:firstLineChars="200"/>
        <w:outlineLvl w:val="0"/>
        <w:rPr>
          <w:rFonts w:hAnsi="宋体" w:cs="宋体"/>
          <w:b/>
          <w:highlight w:val="none"/>
        </w:rPr>
      </w:pPr>
      <w:bookmarkStart w:id="207" w:name="_Toc21235"/>
      <w:bookmarkStart w:id="208" w:name="_Toc24813"/>
      <w:r>
        <w:rPr>
          <w:rFonts w:hint="eastAsia" w:hAnsi="宋体" w:cs="宋体"/>
          <w:b/>
          <w:highlight w:val="none"/>
        </w:rPr>
        <w:t>四、投标文件的包装、递交、修改和撤回</w:t>
      </w:r>
      <w:bookmarkEnd w:id="207"/>
      <w:bookmarkEnd w:id="208"/>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1、电子投标文件的备份文件单独包封，外包装封面上应注明投标人名称、投标人地址、投标文件名称（电子投标文件的备份文件）、投标项目名称、项目编号及“开标时启封”字样，并加盖投标人公章。</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2、投标文件的补充和修改</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传输递交的投标、响应文件，将被拒收。</w:t>
      </w:r>
    </w:p>
    <w:p>
      <w:pPr>
        <w:pStyle w:val="29"/>
        <w:spacing w:line="360" w:lineRule="auto"/>
        <w:ind w:firstLine="420" w:firstLineChars="200"/>
        <w:outlineLvl w:val="0"/>
        <w:rPr>
          <w:rFonts w:hAnsi="宋体" w:cs="宋体"/>
          <w:b/>
          <w:highlight w:val="none"/>
        </w:rPr>
      </w:pPr>
      <w:r>
        <w:rPr>
          <w:rFonts w:hint="eastAsia" w:hAnsi="宋体" w:cs="宋体"/>
          <w:b/>
          <w:highlight w:val="none"/>
        </w:rPr>
        <w:t>五、开标</w:t>
      </w:r>
    </w:p>
    <w:p>
      <w:pPr>
        <w:spacing w:line="360" w:lineRule="auto"/>
        <w:ind w:firstLine="420" w:firstLineChars="200"/>
        <w:outlineLvl w:val="1"/>
        <w:rPr>
          <w:rFonts w:ascii="宋体" w:hAnsi="宋体" w:cs="宋体"/>
          <w:b/>
          <w:szCs w:val="21"/>
          <w:highlight w:val="none"/>
        </w:rPr>
      </w:pPr>
      <w:r>
        <w:rPr>
          <w:rFonts w:hint="eastAsia" w:ascii="宋体" w:hAnsi="宋体" w:cs="宋体"/>
          <w:b/>
          <w:szCs w:val="21"/>
          <w:highlight w:val="none"/>
        </w:rPr>
        <w:t>（一）开标准备</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投标人应当在采购文件要求提交投标文件的截止时间前，将投标文件密封送达投标地点，在完成投标文件和人员信息登记后立即离开，采购代理机构将在规定的时间和地点进行开标。采购代理机构收到投标文件后，应当记载投标文件送达时间和密封情况，签收保存并向投标人出具签收回执。投标人的法定代表人或其授权代表未按时签到登记的，视同放弃开标监督权利、认可开标结果。</w:t>
      </w:r>
    </w:p>
    <w:p>
      <w:pPr>
        <w:spacing w:line="360" w:lineRule="auto"/>
        <w:ind w:firstLine="420" w:firstLineChars="200"/>
        <w:outlineLvl w:val="1"/>
        <w:rPr>
          <w:rFonts w:ascii="宋体" w:hAnsi="宋体" w:cs="宋体"/>
          <w:b/>
          <w:szCs w:val="21"/>
          <w:highlight w:val="none"/>
        </w:rPr>
      </w:pPr>
      <w:r>
        <w:rPr>
          <w:rFonts w:hint="eastAsia" w:ascii="宋体" w:hAnsi="宋体" w:cs="宋体"/>
          <w:b/>
          <w:szCs w:val="21"/>
          <w:highlight w:val="none"/>
        </w:rPr>
        <w:t>（二）电子招投标开标及评审程序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1.投标截止时间后，投标人登录政府采购云平台，用“项目采购-开标评标”功能对电子备份投标文件进行在线解密。在线解密电子备份投标文件时间为开标时间起60分钟内。</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2.采购人或代理机构对投标人的资格进行审查；</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3.评标委员会对商务技术响应文件进行评审；</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4.在系统上公开资格和商务技术评审结果；</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5.在系统上公开报价开标情况；</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6.评标委员会对报价情况进行评审；</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7.在系统上公布评审结果。</w:t>
      </w:r>
    </w:p>
    <w:p>
      <w:pPr>
        <w:pStyle w:val="29"/>
        <w:snapToGrid w:val="0"/>
        <w:spacing w:line="360" w:lineRule="auto"/>
        <w:ind w:firstLine="420" w:firstLineChars="200"/>
        <w:rPr>
          <w:rFonts w:hAnsi="宋体" w:cs="宋体"/>
          <w:highlight w:val="none"/>
        </w:rPr>
      </w:pPr>
      <w:r>
        <w:rPr>
          <w:rFonts w:hint="eastAsia" w:hAnsi="宋体" w:cs="宋体"/>
          <w:highlight w:val="none"/>
        </w:rPr>
        <w:t>特别说明：政采云公司如对电子化开标及评审程序有调整的，按调整后的程序操作。</w:t>
      </w:r>
    </w:p>
    <w:p>
      <w:pPr>
        <w:pStyle w:val="29"/>
        <w:spacing w:line="360" w:lineRule="auto"/>
        <w:ind w:firstLine="420" w:firstLineChars="200"/>
        <w:outlineLvl w:val="0"/>
        <w:rPr>
          <w:rFonts w:hAnsi="宋体" w:cs="宋体"/>
          <w:b/>
          <w:highlight w:val="none"/>
        </w:rPr>
      </w:pPr>
      <w:r>
        <w:rPr>
          <w:rFonts w:hint="eastAsia" w:hAnsi="宋体" w:cs="宋体"/>
          <w:b/>
          <w:highlight w:val="none"/>
        </w:rPr>
        <w:t>六、采购方式变更</w:t>
      </w:r>
    </w:p>
    <w:p>
      <w:pPr>
        <w:pStyle w:val="29"/>
        <w:snapToGrid w:val="0"/>
        <w:spacing w:line="360" w:lineRule="auto"/>
        <w:ind w:firstLine="420" w:firstLineChars="200"/>
        <w:rPr>
          <w:rFonts w:hAnsi="宋体" w:cs="宋体"/>
          <w:highlight w:val="none"/>
        </w:rPr>
      </w:pPr>
      <w:r>
        <w:rPr>
          <w:rFonts w:hint="eastAsia" w:hAnsi="宋体" w:cs="宋体"/>
          <w:highlight w:val="none"/>
        </w:rPr>
        <w:t>至投标截止时间或在评审期间，出现参与投标或者对招标文件作出实质性响应的供应商不足3家的情况，招标采购单位有权全部或部分终止招标。经相关政府采购管理部门批准，招标采购单位可以按照原招标文件确定的采购方式进行，或者改用竞争性谈判或者单一来源方式采购。</w:t>
      </w:r>
    </w:p>
    <w:p>
      <w:pPr>
        <w:pStyle w:val="29"/>
        <w:spacing w:line="360" w:lineRule="auto"/>
        <w:ind w:firstLine="420" w:firstLineChars="200"/>
        <w:outlineLvl w:val="0"/>
        <w:rPr>
          <w:rFonts w:hAnsi="宋体" w:cs="宋体"/>
          <w:b/>
          <w:highlight w:val="none"/>
        </w:rPr>
      </w:pPr>
      <w:r>
        <w:rPr>
          <w:rFonts w:hint="eastAsia" w:hAnsi="宋体" w:cs="宋体"/>
          <w:b/>
          <w:highlight w:val="none"/>
        </w:rPr>
        <w:t>七、特别说明</w:t>
      </w:r>
    </w:p>
    <w:p>
      <w:pPr>
        <w:widowControl/>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政府采购活动中有关中小企业的相关规定（采购进口产品项目不适用）</w:t>
      </w:r>
    </w:p>
    <w:p>
      <w:pPr>
        <w:widowControl/>
        <w:snapToGrid w:val="0"/>
        <w:spacing w:line="360" w:lineRule="auto"/>
        <w:ind w:left="420" w:leftChars="200"/>
        <w:rPr>
          <w:rFonts w:ascii="宋体" w:hAnsi="宋体" w:cs="宋体"/>
          <w:szCs w:val="21"/>
          <w:highlight w:val="none"/>
        </w:rPr>
      </w:pPr>
      <w:r>
        <w:rPr>
          <w:rFonts w:hint="eastAsia" w:ascii="宋体" w:hAnsi="宋体" w:cs="宋体"/>
          <w:b/>
          <w:bCs/>
          <w:szCs w:val="21"/>
          <w:highlight w:val="none"/>
        </w:rPr>
        <w:t>本项目对应的中小企业划分标准所属行业：</w:t>
      </w:r>
      <w:r>
        <w:rPr>
          <w:rFonts w:hint="eastAsia" w:ascii="宋体" w:hAnsi="宋体" w:cs="宋体"/>
          <w:b/>
          <w:bCs/>
          <w:szCs w:val="21"/>
          <w:highlight w:val="none"/>
          <w:u w:val="single"/>
        </w:rPr>
        <w:t>软件和信息技术服务业。</w:t>
      </w:r>
    </w:p>
    <w:p>
      <w:pPr>
        <w:widowControl/>
        <w:numPr>
          <w:ilvl w:val="0"/>
          <w:numId w:val="61"/>
        </w:num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参加政府采购活动的中小企业（含中型、小型、微型企业，其他地方同）应当同时符合以下条件：</w:t>
      </w:r>
    </w:p>
    <w:p>
      <w:pPr>
        <w:widowControl/>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（一）符合中小企业划分标准（具体见工信部联企业[2011]300号）；</w:t>
      </w:r>
    </w:p>
    <w:p>
      <w:pPr>
        <w:widowControl/>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（二）提供本企业制造的货物、承担的工程或者服务，或者提供其他中小企业制造的货物。本项所称货物不包括使用大型企业注册商标的货物。</w:t>
      </w:r>
    </w:p>
    <w:p>
      <w:pPr>
        <w:widowControl/>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（三）小型、微型企业提供中型企业制造的货物的，视同为中型企业。</w:t>
      </w:r>
    </w:p>
    <w:p>
      <w:pPr>
        <w:widowControl/>
        <w:numPr>
          <w:ilvl w:val="0"/>
          <w:numId w:val="61"/>
        </w:num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参加政府采购活动的中小企业应当提供《中小企业声明函》。</w:t>
      </w:r>
    </w:p>
    <w:p>
      <w:pPr>
        <w:widowControl/>
        <w:numPr>
          <w:ilvl w:val="0"/>
          <w:numId w:val="61"/>
        </w:num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对于非专门面向中小企业的项目，对小型和微型企业产品的价格应给予10％-20％的扣除，用扣除后的价格参与评审。具体扣除比例见第四章 评标办法及评分标准（如有）。</w:t>
      </w:r>
    </w:p>
    <w:p>
      <w:pPr>
        <w:pStyle w:val="29"/>
        <w:spacing w:before="0" w:beforeLines="0" w:after="0" w:afterLines="0" w:line="360" w:lineRule="auto"/>
        <w:ind w:firstLine="420" w:firstLineChars="200"/>
        <w:rPr>
          <w:rFonts w:ascii="宋体" w:hAnsi="宋体" w:cs="宋体"/>
          <w:szCs w:val="21"/>
          <w:highlight w:val="none"/>
        </w:rPr>
      </w:pPr>
      <w:r>
        <w:rPr>
          <w:rFonts w:hint="eastAsia" w:hAnsi="宋体" w:cs="宋体"/>
          <w:color w:val="auto"/>
          <w:sz w:val="21"/>
          <w:szCs w:val="21"/>
          <w:highlight w:val="none"/>
          <w:lang w:val="en-US" w:eastAsia="zh-CN"/>
        </w:rPr>
        <w:t>4</w:t>
      </w:r>
      <w:r>
        <w:rPr>
          <w:rFonts w:hint="eastAsia" w:hAnsi="宋体" w:cs="宋体"/>
          <w:color w:val="auto"/>
          <w:sz w:val="21"/>
          <w:szCs w:val="21"/>
          <w:highlight w:val="none"/>
          <w:lang w:val="zh-CN"/>
        </w:rPr>
        <w:t>、大中型企业和其他自然人、法人或者其他组织与小型、微型企业组成联合体共同参加非专门面向中小企业的政府采购活动。联合协议中约定，小型、微型企业的协议合同金额占到联合体协议合同总金额30％以上的，可给予联合体价格扣除，用扣除后的价格参与评审。是否给予联合体价格扣除及具体扣除比例见第四章 评标办法及评分标准。联合体各方均为小型、微型企业的，联合体视同为小型、微型企业。组成联合体的大中型企业和其他自然人、法人或者其他组织，与小型、微型企业之间不得存在投资关系。</w:t>
      </w:r>
    </w:p>
    <w:p>
      <w:pPr>
        <w:pStyle w:val="29"/>
        <w:spacing w:before="0" w:beforeLines="0" w:after="0" w:afterLines="0" w:line="360" w:lineRule="auto"/>
        <w:ind w:firstLine="420" w:firstLineChars="200"/>
        <w:rPr>
          <w:rFonts w:hint="eastAsia" w:hAnsi="宋体" w:cs="宋体"/>
          <w:color w:val="auto"/>
          <w:sz w:val="21"/>
          <w:szCs w:val="21"/>
          <w:highlight w:val="none"/>
          <w:lang w:val="zh-CN"/>
        </w:rPr>
      </w:pPr>
      <w:r>
        <w:rPr>
          <w:rFonts w:hint="eastAsia" w:hAnsi="宋体" w:cs="宋体"/>
          <w:color w:val="auto"/>
          <w:sz w:val="21"/>
          <w:szCs w:val="21"/>
          <w:highlight w:val="none"/>
          <w:lang w:val="en-US" w:eastAsia="zh-CN"/>
        </w:rPr>
        <w:t>5</w:t>
      </w:r>
      <w:r>
        <w:rPr>
          <w:rFonts w:hint="eastAsia" w:hAnsi="宋体" w:cs="宋体"/>
          <w:color w:val="auto"/>
          <w:sz w:val="21"/>
          <w:szCs w:val="21"/>
          <w:highlight w:val="none"/>
          <w:lang w:val="zh-CN"/>
        </w:rPr>
        <w:t>、如果在采购活动过程中相关采购当事人对投标人“中小企业”资格有异议的，投标人应当向采购代理机构和采购监管部门提供由第三方机构审计确认的财务会计报告和劳动部门提供的年度社会保障基金缴纳清单，或者相关行业主管部门出具的“中小企业”资格确认证明。</w:t>
      </w:r>
    </w:p>
    <w:p>
      <w:pPr>
        <w:pStyle w:val="29"/>
        <w:spacing w:before="0" w:beforeLines="0" w:after="0" w:afterLines="0" w:line="360" w:lineRule="auto"/>
        <w:ind w:firstLine="420" w:firstLineChars="200"/>
        <w:rPr>
          <w:rFonts w:hint="eastAsia" w:hAnsi="宋体" w:cs="宋体"/>
          <w:color w:val="auto"/>
          <w:sz w:val="21"/>
          <w:szCs w:val="21"/>
          <w:highlight w:val="none"/>
          <w:lang w:val="zh-CN"/>
        </w:rPr>
      </w:pPr>
      <w:r>
        <w:rPr>
          <w:rFonts w:hint="eastAsia" w:hAnsi="宋体" w:cs="宋体"/>
          <w:color w:val="auto"/>
          <w:sz w:val="21"/>
          <w:szCs w:val="21"/>
          <w:highlight w:val="none"/>
          <w:lang w:val="en-US" w:eastAsia="zh-CN"/>
        </w:rPr>
        <w:t>6</w:t>
      </w:r>
      <w:r>
        <w:rPr>
          <w:rFonts w:hint="eastAsia" w:hAnsi="宋体" w:cs="宋体"/>
          <w:color w:val="auto"/>
          <w:sz w:val="21"/>
          <w:szCs w:val="21"/>
          <w:highlight w:val="none"/>
          <w:lang w:val="zh-CN"/>
        </w:rPr>
        <w:t>、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pPr>
        <w:widowControl/>
        <w:spacing w:line="360" w:lineRule="auto"/>
        <w:ind w:firstLine="420" w:firstLineChars="200"/>
        <w:rPr>
          <w:rFonts w:ascii="宋体" w:hAnsi="宋体" w:cs="宋体"/>
          <w:szCs w:val="21"/>
          <w:highlight w:val="none"/>
        </w:rPr>
      </w:pPr>
      <w:r>
        <w:rPr>
          <w:rFonts w:hint="eastAsia" w:ascii="宋体" w:hAnsi="宋体" w:cs="宋体"/>
          <w:color w:val="auto"/>
          <w:szCs w:val="21"/>
          <w:highlight w:val="none"/>
        </w:rPr>
        <w:t>根据《关于促进残疾人就业政府采购政策的通知》（财库[2017]141号）规定，在政府采购活动中，残疾人福利性单位视同小型、微型企业。残疾人福利性单位参加政府采购活动时，提供《残疾人福利性单位声明函》。</w:t>
      </w:r>
      <w:r>
        <w:rPr>
          <w:rFonts w:hint="eastAsia" w:ascii="宋体" w:hAnsi="宋体" w:cs="宋体"/>
          <w:szCs w:val="21"/>
          <w:highlight w:val="none"/>
        </w:rPr>
        <w:t xml:space="preserve">        </w:t>
      </w:r>
    </w:p>
    <w:p>
      <w:pPr>
        <w:widowControl/>
        <w:spacing w:line="360" w:lineRule="auto"/>
        <w:ind w:firstLine="420" w:firstLineChars="200"/>
        <w:rPr>
          <w:rFonts w:ascii="宋体" w:hAnsi="宋体" w:cs="宋体"/>
          <w:highlight w:val="none"/>
        </w:rPr>
      </w:pPr>
      <w:r>
        <w:rPr>
          <w:rFonts w:hint="eastAsia" w:ascii="宋体" w:hAnsi="宋体" w:cs="宋体"/>
          <w:highlight w:val="none"/>
        </w:rPr>
        <w:t xml:space="preserve">                  </w:t>
      </w:r>
    </w:p>
    <w:p>
      <w:pPr>
        <w:widowControl/>
        <w:numPr>
          <w:ilvl w:val="0"/>
          <w:numId w:val="62"/>
        </w:numPr>
        <w:spacing w:line="360" w:lineRule="auto"/>
        <w:jc w:val="center"/>
        <w:outlineLvl w:val="0"/>
        <w:rPr>
          <w:rFonts w:ascii="宋体" w:hAnsi="宋体" w:cs="宋体"/>
          <w:b/>
          <w:bCs/>
          <w:sz w:val="28"/>
          <w:szCs w:val="28"/>
          <w:highlight w:val="none"/>
        </w:rPr>
      </w:pPr>
      <w:r>
        <w:rPr>
          <w:rFonts w:hint="eastAsia" w:ascii="宋体" w:hAnsi="宋体" w:cs="宋体"/>
          <w:highlight w:val="none"/>
        </w:rPr>
        <w:br w:type="page"/>
      </w:r>
      <w:r>
        <w:rPr>
          <w:rFonts w:hint="eastAsia" w:ascii="宋体" w:hAnsi="宋体" w:cs="宋体"/>
          <w:b/>
          <w:bCs/>
          <w:sz w:val="28"/>
          <w:szCs w:val="28"/>
          <w:highlight w:val="none"/>
        </w:rPr>
        <w:t xml:space="preserve"> 评标办法及评分标准</w:t>
      </w:r>
    </w:p>
    <w:p>
      <w:pPr>
        <w:pStyle w:val="22"/>
        <w:spacing w:after="0"/>
        <w:ind w:firstLine="420" w:firstLineChars="200"/>
        <w:jc w:val="center"/>
        <w:rPr>
          <w:highlight w:val="none"/>
        </w:rPr>
      </w:pPr>
      <w:r>
        <w:rPr>
          <w:rFonts w:hint="eastAsia"/>
          <w:highlight w:val="none"/>
        </w:rPr>
        <w:t>（综合评分法）</w:t>
      </w:r>
    </w:p>
    <w:p>
      <w:pPr>
        <w:rPr>
          <w:highlight w:val="none"/>
        </w:rPr>
      </w:pPr>
    </w:p>
    <w:p>
      <w:pPr>
        <w:pStyle w:val="29"/>
        <w:widowControl/>
        <w:spacing w:line="360" w:lineRule="auto"/>
        <w:ind w:firstLine="394" w:firstLineChars="188"/>
        <w:rPr>
          <w:rFonts w:hAnsi="宋体" w:cs="宋体"/>
          <w:b/>
          <w:highlight w:val="none"/>
        </w:rPr>
      </w:pPr>
      <w:r>
        <w:rPr>
          <w:rFonts w:hint="eastAsia" w:hAnsi="宋体" w:cs="宋体"/>
          <w:b/>
          <w:bCs/>
          <w:highlight w:val="none"/>
        </w:rPr>
        <w:t>本办法严格遵照《中华人民共和国政府采购法》、《政府采购货物和服务招标投标管理办法》、《宁波市政府采购招标采购方式暂行实施规程》，结合项目所在地政府有关政府采购规定和项目的实际情况制定。</w:t>
      </w:r>
    </w:p>
    <w:p>
      <w:pPr>
        <w:pStyle w:val="29"/>
        <w:spacing w:line="360" w:lineRule="auto"/>
        <w:ind w:firstLine="420" w:firstLineChars="200"/>
        <w:outlineLvl w:val="0"/>
        <w:rPr>
          <w:rFonts w:hAnsi="宋体" w:cs="宋体"/>
          <w:b/>
          <w:highlight w:val="none"/>
        </w:rPr>
      </w:pPr>
      <w:r>
        <w:rPr>
          <w:rFonts w:hint="eastAsia" w:hAnsi="宋体" w:cs="宋体"/>
          <w:b/>
          <w:highlight w:val="none"/>
        </w:rPr>
        <w:t>一、总则</w:t>
      </w:r>
    </w:p>
    <w:p>
      <w:pPr>
        <w:widowControl/>
        <w:spacing w:line="360" w:lineRule="auto"/>
        <w:ind w:firstLine="420" w:firstLineChars="200"/>
        <w:rPr>
          <w:rFonts w:ascii="宋体" w:hAnsi="宋体" w:cs="宋体"/>
          <w:szCs w:val="21"/>
          <w:highlight w:val="none"/>
        </w:rPr>
      </w:pPr>
      <w:r>
        <w:rPr>
          <w:rFonts w:hint="eastAsia" w:ascii="宋体" w:hAnsi="宋体" w:cs="宋体"/>
          <w:szCs w:val="21"/>
          <w:highlight w:val="none"/>
        </w:rPr>
        <w:t>招标活动遵循公平、公正、科学、择优的原则依法进行，招标活动及当事人接受依法实施的监督。</w:t>
      </w:r>
    </w:p>
    <w:p>
      <w:pPr>
        <w:widowControl/>
        <w:spacing w:line="360" w:lineRule="auto"/>
        <w:ind w:firstLine="420" w:firstLineChars="200"/>
        <w:rPr>
          <w:rFonts w:ascii="宋体" w:hAnsi="宋体" w:cs="宋体"/>
          <w:szCs w:val="21"/>
          <w:highlight w:val="none"/>
        </w:rPr>
      </w:pPr>
      <w:r>
        <w:rPr>
          <w:rFonts w:hint="eastAsia" w:ascii="宋体" w:hAnsi="宋体" w:cs="宋体"/>
          <w:szCs w:val="21"/>
          <w:highlight w:val="none"/>
        </w:rPr>
        <w:t>综合评分法，采用百分制，总分100分。供应商的综合得分为技术商务得分与报价得分之和。按综合得分由高到低的排序，推荐中标候选人。若供应商的综合得分相等，则投标报价低者列前；若投标报价也相同时，采取随机抽签的方式确定排序。</w:t>
      </w:r>
    </w:p>
    <w:p>
      <w:pPr>
        <w:widowControl/>
        <w:spacing w:line="360" w:lineRule="auto"/>
        <w:ind w:firstLine="420" w:firstLineChars="200"/>
        <w:rPr>
          <w:rFonts w:ascii="宋体" w:hAnsi="宋体" w:cs="宋体"/>
          <w:szCs w:val="21"/>
          <w:highlight w:val="none"/>
        </w:rPr>
      </w:pPr>
      <w:r>
        <w:rPr>
          <w:rFonts w:hint="eastAsia" w:ascii="宋体" w:hAnsi="宋体" w:cs="宋体"/>
          <w:szCs w:val="21"/>
          <w:highlight w:val="none"/>
        </w:rPr>
        <w:t>本项目需要落实的政府采购政策：《关于促进残疾人就业政府采购政策的通知》（财库[2017]141号）、《政府采购促进中小企业发展暂行办法》（财库[2011]181号）、《关于政府采购支持监狱企业发展有关问题的通知》（财库[2014]68号）</w:t>
      </w:r>
    </w:p>
    <w:p>
      <w:pPr>
        <w:widowControl/>
        <w:spacing w:line="360" w:lineRule="auto"/>
        <w:ind w:firstLine="420" w:firstLineChars="200"/>
        <w:rPr>
          <w:rFonts w:ascii="宋体" w:hAnsi="宋体" w:cs="宋体"/>
          <w:szCs w:val="21"/>
          <w:highlight w:val="none"/>
        </w:rPr>
      </w:pPr>
      <w:r>
        <w:rPr>
          <w:rFonts w:hint="eastAsia" w:ascii="宋体" w:hAnsi="宋体" w:cs="宋体"/>
          <w:szCs w:val="21"/>
          <w:highlight w:val="none"/>
        </w:rPr>
        <w:t>本次采购为非专门面向中小企业，本次评标将对符合小微企业的价格给予20%的扣除，用扣除后的价格参与评审。价格扣除只用于评审过程，如中标，中标价格仍按照其投标价格进行公示。</w:t>
      </w:r>
    </w:p>
    <w:p>
      <w:pPr>
        <w:widowControl/>
        <w:spacing w:line="360" w:lineRule="auto"/>
        <w:ind w:firstLine="420" w:firstLineChars="200"/>
        <w:rPr>
          <w:rFonts w:ascii="宋体" w:hAnsi="宋体" w:cs="宋体"/>
          <w:szCs w:val="21"/>
          <w:highlight w:val="none"/>
        </w:rPr>
      </w:pPr>
      <w:r>
        <w:rPr>
          <w:rFonts w:hint="eastAsia" w:ascii="宋体" w:hAnsi="宋体" w:cs="宋体"/>
          <w:szCs w:val="21"/>
          <w:highlight w:val="none"/>
        </w:rPr>
        <w:t>评标委员会成员对需要共同认定的事项存在争议的，应当按照少数服从多数的原则作出结论。</w:t>
      </w:r>
    </w:p>
    <w:p>
      <w:pPr>
        <w:pStyle w:val="29"/>
        <w:spacing w:line="360" w:lineRule="auto"/>
        <w:ind w:firstLine="420" w:firstLineChars="200"/>
        <w:outlineLvl w:val="0"/>
        <w:rPr>
          <w:rFonts w:hAnsi="宋体" w:cs="宋体"/>
          <w:b/>
          <w:highlight w:val="none"/>
        </w:rPr>
      </w:pPr>
      <w:r>
        <w:rPr>
          <w:rFonts w:hint="eastAsia" w:hAnsi="宋体" w:cs="宋体"/>
          <w:b/>
          <w:highlight w:val="none"/>
        </w:rPr>
        <w:t>二、评标过程</w:t>
      </w:r>
    </w:p>
    <w:p>
      <w:pPr>
        <w:widowControl/>
        <w:spacing w:line="360" w:lineRule="auto"/>
        <w:ind w:left="420" w:leftChars="200"/>
        <w:rPr>
          <w:rFonts w:ascii="宋体" w:hAnsi="宋体" w:cs="宋体"/>
          <w:b/>
          <w:szCs w:val="21"/>
          <w:highlight w:val="none"/>
        </w:rPr>
      </w:pPr>
      <w:r>
        <w:rPr>
          <w:rFonts w:hint="eastAsia" w:ascii="宋体" w:hAnsi="宋体" w:cs="宋体"/>
          <w:b/>
          <w:szCs w:val="21"/>
          <w:highlight w:val="none"/>
        </w:rPr>
        <w:t>（一）资格条件审查</w:t>
      </w:r>
    </w:p>
    <w:p>
      <w:pPr>
        <w:widowControl/>
        <w:spacing w:line="360" w:lineRule="auto"/>
        <w:ind w:firstLine="420" w:firstLineChars="200"/>
        <w:rPr>
          <w:rFonts w:ascii="宋体" w:hAnsi="宋体" w:cs="宋体"/>
          <w:szCs w:val="21"/>
          <w:highlight w:val="none"/>
        </w:rPr>
      </w:pPr>
      <w:r>
        <w:rPr>
          <w:rFonts w:hint="eastAsia" w:ascii="宋体" w:hAnsi="宋体" w:cs="宋体"/>
          <w:szCs w:val="21"/>
          <w:highlight w:val="none"/>
        </w:rPr>
        <w:t>由采购人或采购代理机构对投标人的资格进行审查。对投标人单位负责人是否为同一人或者存在直接控股、管理关系的，采购代理机构将使用天眼查、企查查等相关工具进行查询核实，如存在不符合采购文件要求的情形的，将否决其投标。</w:t>
      </w:r>
    </w:p>
    <w:p>
      <w:pPr>
        <w:widowControl/>
        <w:spacing w:line="360" w:lineRule="auto"/>
        <w:ind w:firstLine="420" w:firstLineChars="200"/>
        <w:rPr>
          <w:rFonts w:ascii="宋体" w:hAnsi="宋体" w:cs="宋体"/>
          <w:szCs w:val="21"/>
          <w:highlight w:val="none"/>
        </w:rPr>
      </w:pPr>
      <w:r>
        <w:rPr>
          <w:rFonts w:hint="eastAsia" w:ascii="宋体" w:hAnsi="宋体" w:cs="宋体"/>
          <w:szCs w:val="21"/>
          <w:highlight w:val="none"/>
        </w:rPr>
        <w:t>评标委员会负责对采购代理机构提交的关联性审查复核。</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56" w:type="dxa"/>
            <w:vAlign w:val="center"/>
          </w:tcPr>
          <w:p>
            <w:pPr>
              <w:spacing w:line="360" w:lineRule="auto"/>
              <w:jc w:val="center"/>
              <w:rPr>
                <w:rFonts w:ascii="宋体" w:hAnsi="宋体" w:cs="宋体"/>
                <w:b/>
                <w:szCs w:val="21"/>
                <w:highlight w:val="none"/>
              </w:rPr>
            </w:pPr>
            <w:r>
              <w:rPr>
                <w:rFonts w:hint="eastAsia" w:ascii="宋体" w:hAnsi="宋体" w:cs="宋体"/>
                <w:b/>
                <w:szCs w:val="21"/>
                <w:highlight w:val="none"/>
              </w:rPr>
              <w:t>审查类别</w:t>
            </w:r>
          </w:p>
        </w:tc>
        <w:tc>
          <w:tcPr>
            <w:tcW w:w="7401" w:type="dxa"/>
            <w:vAlign w:val="center"/>
          </w:tcPr>
          <w:p>
            <w:pPr>
              <w:spacing w:line="360" w:lineRule="auto"/>
              <w:jc w:val="center"/>
              <w:rPr>
                <w:rFonts w:ascii="宋体" w:hAnsi="宋体" w:cs="宋体"/>
                <w:b/>
                <w:szCs w:val="21"/>
                <w:highlight w:val="none"/>
              </w:rPr>
            </w:pPr>
            <w:r>
              <w:rPr>
                <w:rFonts w:hint="eastAsia" w:ascii="宋体" w:hAnsi="宋体" w:cs="宋体"/>
                <w:b/>
                <w:szCs w:val="21"/>
                <w:highlight w:val="none"/>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Merge w:val="restart"/>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资格条件审查</w:t>
            </w:r>
          </w:p>
        </w:tc>
        <w:tc>
          <w:tcPr>
            <w:tcW w:w="7401" w:type="dxa"/>
            <w:vAlign w:val="center"/>
          </w:tcPr>
          <w:p>
            <w:pPr>
              <w:spacing w:line="360" w:lineRule="auto"/>
              <w:rPr>
                <w:rFonts w:ascii="宋体" w:hAnsi="宋体" w:cs="宋体"/>
                <w:szCs w:val="21"/>
                <w:highlight w:val="none"/>
              </w:rPr>
            </w:pPr>
            <w:r>
              <w:rPr>
                <w:rFonts w:hint="eastAsia" w:ascii="宋体" w:hAnsi="宋体" w:cs="宋体"/>
                <w:szCs w:val="21"/>
                <w:highlight w:val="none"/>
              </w:rPr>
              <w:t>满足《中华人民共和国政府采购法》第二十二条规定。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Merge w:val="continue"/>
            <w:vAlign w:val="center"/>
          </w:tcPr>
          <w:p>
            <w:pPr>
              <w:spacing w:line="360" w:lineRule="auto"/>
              <w:jc w:val="center"/>
              <w:rPr>
                <w:rFonts w:ascii="宋体" w:hAnsi="宋体" w:cs="宋体"/>
                <w:szCs w:val="21"/>
                <w:highlight w:val="none"/>
              </w:rPr>
            </w:pPr>
          </w:p>
        </w:tc>
        <w:tc>
          <w:tcPr>
            <w:tcW w:w="7401" w:type="dxa"/>
            <w:vAlign w:val="center"/>
          </w:tcPr>
          <w:p>
            <w:pPr>
              <w:spacing w:line="360" w:lineRule="auto"/>
              <w:rPr>
                <w:rFonts w:ascii="宋体" w:hAnsi="宋体" w:cs="宋体"/>
                <w:szCs w:val="21"/>
                <w:highlight w:val="none"/>
              </w:rPr>
            </w:pPr>
            <w:r>
              <w:rPr>
                <w:rFonts w:hint="eastAsia" w:ascii="宋体" w:hAnsi="宋体" w:cs="宋体"/>
                <w:szCs w:val="21"/>
                <w:highlight w:val="none"/>
              </w:rPr>
              <w:t>落实政府采购政策需满足的资格要求：无。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56" w:type="dxa"/>
            <w:vMerge w:val="continue"/>
            <w:vAlign w:val="center"/>
          </w:tcPr>
          <w:p>
            <w:pPr>
              <w:spacing w:line="360" w:lineRule="auto"/>
              <w:rPr>
                <w:rFonts w:ascii="宋体" w:hAnsi="宋体" w:cs="宋体"/>
                <w:szCs w:val="21"/>
                <w:highlight w:val="none"/>
              </w:rPr>
            </w:pPr>
          </w:p>
        </w:tc>
        <w:tc>
          <w:tcPr>
            <w:tcW w:w="7401" w:type="dxa"/>
            <w:vAlign w:val="center"/>
          </w:tcPr>
          <w:p>
            <w:pPr>
              <w:spacing w:line="360" w:lineRule="auto"/>
              <w:rPr>
                <w:rFonts w:ascii="宋体" w:hAnsi="宋体" w:cs="宋体"/>
                <w:szCs w:val="21"/>
                <w:highlight w:val="none"/>
              </w:rPr>
            </w:pPr>
            <w:r>
              <w:rPr>
                <w:rFonts w:hint="eastAsia" w:ascii="宋体" w:hAnsi="宋体" w:cs="宋体"/>
                <w:szCs w:val="21"/>
                <w:highlight w:val="none"/>
              </w:rPr>
              <w:t>本项目的特定资格要求：无。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56" w:type="dxa"/>
            <w:vMerge w:val="continue"/>
            <w:vAlign w:val="center"/>
          </w:tcPr>
          <w:p>
            <w:pPr>
              <w:spacing w:line="360" w:lineRule="auto"/>
              <w:rPr>
                <w:rFonts w:ascii="宋体" w:hAnsi="宋体" w:cs="宋体"/>
                <w:szCs w:val="21"/>
                <w:highlight w:val="none"/>
              </w:rPr>
            </w:pPr>
          </w:p>
        </w:tc>
        <w:tc>
          <w:tcPr>
            <w:tcW w:w="7401" w:type="dxa"/>
            <w:vAlign w:val="center"/>
          </w:tcPr>
          <w:p>
            <w:pPr>
              <w:spacing w:line="360" w:lineRule="auto"/>
              <w:rPr>
                <w:rFonts w:ascii="宋体" w:hAnsi="宋体" w:cs="宋体"/>
                <w:szCs w:val="21"/>
                <w:highlight w:val="none"/>
              </w:rPr>
            </w:pPr>
            <w:r>
              <w:rPr>
                <w:rFonts w:hint="eastAsia" w:ascii="宋体" w:hAnsi="宋体" w:cs="宋体"/>
                <w:szCs w:val="21"/>
                <w:highlight w:val="none"/>
              </w:rPr>
              <w:t>本项目联合体投标：</w:t>
            </w:r>
            <w:r>
              <w:rPr>
                <w:rFonts w:hint="eastAsia" w:ascii="宋体" w:hAnsi="宋体" w:cs="宋体"/>
                <w:szCs w:val="21"/>
                <w:highlight w:val="none"/>
              </w:rPr>
              <w:sym w:font="Wingdings 2" w:char="0052"/>
            </w:r>
            <w:r>
              <w:rPr>
                <w:rFonts w:hint="eastAsia" w:ascii="宋体" w:hAnsi="宋体" w:cs="宋体"/>
                <w:szCs w:val="21"/>
                <w:highlight w:val="none"/>
              </w:rPr>
              <w:t>接受   □不接受。</w:t>
            </w:r>
            <w:r>
              <w:rPr>
                <w:rFonts w:hint="eastAsia" w:ascii="宋体" w:hAnsi="宋体"/>
                <w:szCs w:val="21"/>
                <w:highlight w:val="none"/>
              </w:rPr>
              <w:t>联合体牵头人和成员总数量最多不超过</w:t>
            </w:r>
            <w:r>
              <w:rPr>
                <w:rFonts w:ascii="宋体" w:hAnsi="宋体"/>
                <w:szCs w:val="21"/>
                <w:highlight w:val="none"/>
              </w:rPr>
              <w:t>2</w:t>
            </w:r>
            <w:r>
              <w:rPr>
                <w:rFonts w:hint="eastAsia" w:ascii="宋体" w:hAnsi="宋体"/>
                <w:szCs w:val="21"/>
                <w:highlight w:val="none"/>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656" w:type="dxa"/>
            <w:vMerge w:val="continue"/>
            <w:vAlign w:val="center"/>
          </w:tcPr>
          <w:p>
            <w:pPr>
              <w:spacing w:line="360" w:lineRule="auto"/>
              <w:rPr>
                <w:rFonts w:ascii="宋体" w:hAnsi="宋体" w:cs="宋体"/>
                <w:szCs w:val="21"/>
                <w:highlight w:val="none"/>
              </w:rPr>
            </w:pPr>
          </w:p>
        </w:tc>
        <w:tc>
          <w:tcPr>
            <w:tcW w:w="7401" w:type="dxa"/>
            <w:vAlign w:val="center"/>
          </w:tcPr>
          <w:p>
            <w:pPr>
              <w:spacing w:line="360" w:lineRule="auto"/>
              <w:rPr>
                <w:rFonts w:ascii="宋体" w:hAnsi="宋体" w:cs="宋体"/>
                <w:szCs w:val="21"/>
                <w:highlight w:val="none"/>
              </w:rPr>
            </w:pPr>
            <w:r>
              <w:rPr>
                <w:rFonts w:hint="eastAsia" w:ascii="宋体" w:hAnsi="宋体" w:cs="宋体"/>
                <w:szCs w:val="21"/>
                <w:highlight w:val="none"/>
              </w:rPr>
              <w:t>投标人应符合《中华人民共和国政府采购法》第二十二条规定的供应商资格条件；且必须为未被列入信用中国网站(www.creditchina.gov.cn)、中国政府采购网(www.ccgp.gov.cn)渠道信用记录失信被执行人、重大税收违法案件当事人名单、政府采购严重违法失信行为信息记录名单的投标人（以代理机构于投标截止日当天在“信用中国”网站（www.creditchina.gov.cn）及中国政府采购网查询结果为准，如相关失信记录已失效，供应商需提供相关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656" w:type="dxa"/>
            <w:vMerge w:val="continue"/>
            <w:vAlign w:val="center"/>
          </w:tcPr>
          <w:p>
            <w:pPr>
              <w:spacing w:line="360" w:lineRule="auto"/>
              <w:rPr>
                <w:rFonts w:ascii="宋体" w:hAnsi="宋体" w:cs="宋体"/>
                <w:szCs w:val="21"/>
                <w:highlight w:val="none"/>
              </w:rPr>
            </w:pPr>
          </w:p>
        </w:tc>
        <w:tc>
          <w:tcPr>
            <w:tcW w:w="7401" w:type="dxa"/>
            <w:vAlign w:val="center"/>
          </w:tcPr>
          <w:p>
            <w:pPr>
              <w:spacing w:line="360" w:lineRule="auto"/>
              <w:rPr>
                <w:rFonts w:ascii="宋体" w:hAnsi="宋体" w:cs="宋体"/>
                <w:szCs w:val="21"/>
                <w:highlight w:val="none"/>
              </w:rPr>
            </w:pPr>
            <w:r>
              <w:rPr>
                <w:rFonts w:hint="eastAsia" w:ascii="宋体" w:hAnsi="宋体" w:cs="宋体"/>
                <w:szCs w:val="21"/>
                <w:highlight w:val="none"/>
              </w:rPr>
              <w:t>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tc>
      </w:tr>
    </w:tbl>
    <w:p>
      <w:pPr>
        <w:widowControl/>
        <w:spacing w:line="360" w:lineRule="auto"/>
        <w:ind w:firstLine="420" w:firstLineChars="200"/>
        <w:rPr>
          <w:rFonts w:ascii="宋体" w:hAnsi="宋体" w:cs="宋体"/>
          <w:b/>
          <w:bCs/>
          <w:szCs w:val="21"/>
          <w:highlight w:val="none"/>
        </w:rPr>
      </w:pPr>
    </w:p>
    <w:p>
      <w:pPr>
        <w:widowControl/>
        <w:spacing w:line="360" w:lineRule="auto"/>
        <w:ind w:firstLine="420" w:firstLineChars="200"/>
        <w:rPr>
          <w:rFonts w:ascii="宋体" w:hAnsi="宋体" w:cs="宋体"/>
          <w:b/>
          <w:bCs/>
          <w:szCs w:val="21"/>
          <w:highlight w:val="none"/>
        </w:rPr>
      </w:pPr>
      <w:r>
        <w:rPr>
          <w:rFonts w:hint="eastAsia" w:ascii="宋体" w:hAnsi="宋体" w:cs="宋体"/>
          <w:b/>
          <w:bCs/>
          <w:szCs w:val="21"/>
          <w:highlight w:val="none"/>
        </w:rPr>
        <w:t>（二）符合性审查</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评标委员会应当对符合资格的投标人的投标文件进行符合性审查，以确定其是否满足采购文件的实质性要求。</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6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Align w:val="center"/>
          </w:tcPr>
          <w:p>
            <w:pPr>
              <w:spacing w:line="360" w:lineRule="auto"/>
              <w:jc w:val="center"/>
              <w:rPr>
                <w:rFonts w:ascii="宋体" w:hAnsi="宋体" w:cs="宋体"/>
                <w:b/>
                <w:szCs w:val="21"/>
                <w:highlight w:val="none"/>
              </w:rPr>
            </w:pPr>
            <w:r>
              <w:rPr>
                <w:rFonts w:hint="eastAsia" w:ascii="宋体" w:hAnsi="宋体" w:cs="宋体"/>
                <w:b/>
                <w:szCs w:val="21"/>
                <w:highlight w:val="none"/>
              </w:rPr>
              <w:t>审查类别</w:t>
            </w:r>
          </w:p>
        </w:tc>
        <w:tc>
          <w:tcPr>
            <w:tcW w:w="6895" w:type="dxa"/>
            <w:vAlign w:val="center"/>
          </w:tcPr>
          <w:p>
            <w:pPr>
              <w:spacing w:line="360" w:lineRule="auto"/>
              <w:jc w:val="center"/>
              <w:rPr>
                <w:rFonts w:ascii="宋体" w:hAnsi="宋体" w:cs="宋体"/>
                <w:b/>
                <w:szCs w:val="21"/>
                <w:highlight w:val="none"/>
              </w:rPr>
            </w:pPr>
            <w:r>
              <w:rPr>
                <w:rFonts w:hint="eastAsia" w:ascii="宋体" w:hAnsi="宋体" w:cs="宋体"/>
                <w:b/>
                <w:szCs w:val="21"/>
                <w:highlight w:val="none"/>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1" w:type="dxa"/>
            <w:vMerge w:val="restart"/>
            <w:vAlign w:val="center"/>
          </w:tcPr>
          <w:p>
            <w:pPr>
              <w:spacing w:line="360" w:lineRule="auto"/>
              <w:jc w:val="center"/>
              <w:rPr>
                <w:rFonts w:ascii="宋体" w:hAnsi="宋体" w:cs="宋体"/>
                <w:szCs w:val="21"/>
                <w:highlight w:val="none"/>
              </w:rPr>
            </w:pPr>
            <w:r>
              <w:rPr>
                <w:rFonts w:hint="eastAsia" w:ascii="宋体" w:hAnsi="宋体" w:cs="宋体"/>
                <w:szCs w:val="21"/>
                <w:highlight w:val="none"/>
              </w:rPr>
              <w:t>符合性审查</w:t>
            </w:r>
          </w:p>
          <w:p>
            <w:pPr>
              <w:spacing w:line="360" w:lineRule="auto"/>
              <w:jc w:val="center"/>
              <w:rPr>
                <w:rFonts w:ascii="宋体" w:hAnsi="宋体" w:cs="宋体"/>
                <w:szCs w:val="21"/>
                <w:highlight w:val="none"/>
              </w:rPr>
            </w:pPr>
            <w:r>
              <w:rPr>
                <w:rFonts w:hint="eastAsia" w:ascii="宋体" w:hAnsi="宋体" w:cs="宋体"/>
                <w:szCs w:val="21"/>
                <w:highlight w:val="none"/>
              </w:rPr>
              <w:t>（技术商务文件）</w:t>
            </w:r>
          </w:p>
        </w:tc>
        <w:tc>
          <w:tcPr>
            <w:tcW w:w="6895" w:type="dxa"/>
            <w:vAlign w:val="center"/>
          </w:tcPr>
          <w:p>
            <w:pPr>
              <w:tabs>
                <w:tab w:val="left" w:pos="612"/>
              </w:tabs>
              <w:spacing w:line="360" w:lineRule="auto"/>
              <w:rPr>
                <w:rFonts w:ascii="宋体" w:hAnsi="宋体" w:cs="宋体"/>
                <w:szCs w:val="21"/>
                <w:highlight w:val="none"/>
              </w:rPr>
            </w:pPr>
            <w:r>
              <w:rPr>
                <w:rFonts w:hint="eastAsia" w:ascii="宋体" w:hAnsi="宋体" w:cs="宋体"/>
                <w:szCs w:val="21"/>
                <w:highlight w:val="none"/>
              </w:rPr>
              <w:t>具备招标文件中规定的资格要求；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1" w:type="dxa"/>
            <w:vMerge w:val="continue"/>
            <w:vAlign w:val="center"/>
          </w:tcPr>
          <w:p>
            <w:pPr>
              <w:spacing w:line="360" w:lineRule="auto"/>
              <w:jc w:val="center"/>
              <w:rPr>
                <w:rFonts w:ascii="宋体" w:hAnsi="宋体" w:cs="宋体"/>
                <w:szCs w:val="21"/>
                <w:highlight w:val="none"/>
              </w:rPr>
            </w:pPr>
          </w:p>
        </w:tc>
        <w:tc>
          <w:tcPr>
            <w:tcW w:w="6895" w:type="dxa"/>
            <w:vAlign w:val="center"/>
          </w:tcPr>
          <w:p>
            <w:pPr>
              <w:tabs>
                <w:tab w:val="left" w:pos="612"/>
              </w:tabs>
              <w:spacing w:line="360" w:lineRule="auto"/>
              <w:rPr>
                <w:rFonts w:ascii="宋体" w:hAnsi="宋体" w:cs="宋体"/>
                <w:szCs w:val="21"/>
                <w:highlight w:val="none"/>
              </w:rPr>
            </w:pPr>
            <w:r>
              <w:rPr>
                <w:rFonts w:hint="eastAsia" w:ascii="宋体" w:hAnsi="宋体" w:cs="宋体"/>
                <w:szCs w:val="21"/>
                <w:highlight w:val="none"/>
              </w:rPr>
              <w:t>按照采购文件规定要求签署或盖章；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vAlign w:val="center"/>
          </w:tcPr>
          <w:p>
            <w:pPr>
              <w:spacing w:line="360" w:lineRule="auto"/>
              <w:jc w:val="center"/>
              <w:rPr>
                <w:rFonts w:ascii="宋体" w:hAnsi="宋体" w:cs="宋体"/>
                <w:szCs w:val="21"/>
                <w:highlight w:val="none"/>
              </w:rPr>
            </w:pPr>
          </w:p>
        </w:tc>
        <w:tc>
          <w:tcPr>
            <w:tcW w:w="6895" w:type="dxa"/>
            <w:vAlign w:val="center"/>
          </w:tcPr>
          <w:p>
            <w:pPr>
              <w:tabs>
                <w:tab w:val="left" w:pos="612"/>
              </w:tabs>
              <w:spacing w:line="360" w:lineRule="auto"/>
              <w:rPr>
                <w:rFonts w:ascii="宋体" w:hAnsi="宋体" w:cs="宋体"/>
                <w:szCs w:val="21"/>
                <w:highlight w:val="none"/>
              </w:rPr>
            </w:pPr>
            <w:r>
              <w:rPr>
                <w:rFonts w:hint="eastAsia" w:ascii="宋体" w:hAnsi="宋体" w:cs="宋体"/>
                <w:szCs w:val="21"/>
                <w:highlight w:val="none"/>
              </w:rPr>
              <w:t>投标文件有法定代表人（负责人）签署本人姓名（或印盖本人姓名章），或签署人提供有效的法定代表人（负责人）授权委托书且授权委托书填写项目齐全的；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vAlign w:val="center"/>
          </w:tcPr>
          <w:p>
            <w:pPr>
              <w:spacing w:line="360" w:lineRule="auto"/>
              <w:jc w:val="center"/>
              <w:rPr>
                <w:rFonts w:ascii="宋体" w:hAnsi="宋体" w:cs="宋体"/>
                <w:szCs w:val="21"/>
                <w:highlight w:val="none"/>
              </w:rPr>
            </w:pPr>
          </w:p>
        </w:tc>
        <w:tc>
          <w:tcPr>
            <w:tcW w:w="6895" w:type="dxa"/>
            <w:vAlign w:val="center"/>
          </w:tcPr>
          <w:p>
            <w:pPr>
              <w:tabs>
                <w:tab w:val="left" w:pos="612"/>
              </w:tabs>
              <w:spacing w:line="360" w:lineRule="auto"/>
              <w:rPr>
                <w:rFonts w:ascii="宋体" w:hAnsi="宋体" w:cs="宋体"/>
                <w:szCs w:val="21"/>
                <w:highlight w:val="none"/>
              </w:rPr>
            </w:pPr>
            <w:r>
              <w:rPr>
                <w:rFonts w:hint="eastAsia" w:ascii="宋体" w:hAnsi="宋体" w:cs="宋体"/>
                <w:szCs w:val="21"/>
                <w:highlight w:val="none"/>
              </w:rPr>
              <w:t>投标文件项目齐全；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vAlign w:val="center"/>
          </w:tcPr>
          <w:p>
            <w:pPr>
              <w:spacing w:line="360" w:lineRule="auto"/>
              <w:jc w:val="center"/>
              <w:rPr>
                <w:rFonts w:ascii="宋体" w:hAnsi="宋体" w:cs="宋体"/>
                <w:szCs w:val="21"/>
                <w:highlight w:val="none"/>
              </w:rPr>
            </w:pPr>
          </w:p>
        </w:tc>
        <w:tc>
          <w:tcPr>
            <w:tcW w:w="6895" w:type="dxa"/>
            <w:vAlign w:val="center"/>
          </w:tcPr>
          <w:p>
            <w:pPr>
              <w:tabs>
                <w:tab w:val="left" w:pos="612"/>
              </w:tabs>
              <w:spacing w:line="360" w:lineRule="auto"/>
              <w:rPr>
                <w:rFonts w:ascii="宋体" w:hAnsi="宋体" w:cs="宋体"/>
                <w:szCs w:val="21"/>
                <w:highlight w:val="none"/>
              </w:rPr>
            </w:pPr>
            <w:r>
              <w:rPr>
                <w:rFonts w:hint="eastAsia" w:ascii="宋体" w:hAnsi="宋体" w:cs="宋体"/>
                <w:szCs w:val="21"/>
                <w:highlight w:val="none"/>
              </w:rPr>
              <w:t>投标文件标明的响应或偏离与事实相符且无虚假投标的；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vAlign w:val="center"/>
          </w:tcPr>
          <w:p>
            <w:pPr>
              <w:spacing w:line="360" w:lineRule="auto"/>
              <w:jc w:val="center"/>
              <w:rPr>
                <w:rFonts w:ascii="宋体" w:hAnsi="宋体" w:cs="宋体"/>
                <w:szCs w:val="21"/>
                <w:highlight w:val="none"/>
              </w:rPr>
            </w:pPr>
          </w:p>
        </w:tc>
        <w:tc>
          <w:tcPr>
            <w:tcW w:w="6895" w:type="dxa"/>
            <w:vAlign w:val="center"/>
          </w:tcPr>
          <w:p>
            <w:pPr>
              <w:tabs>
                <w:tab w:val="left" w:pos="612"/>
              </w:tabs>
              <w:spacing w:line="360" w:lineRule="auto"/>
              <w:rPr>
                <w:rFonts w:ascii="宋体" w:hAnsi="宋体" w:cs="宋体"/>
                <w:szCs w:val="21"/>
                <w:highlight w:val="none"/>
              </w:rPr>
            </w:pPr>
            <w:r>
              <w:rPr>
                <w:rFonts w:hint="eastAsia" w:ascii="宋体" w:hAnsi="宋体" w:cs="宋体"/>
                <w:szCs w:val="21"/>
                <w:highlight w:val="none"/>
              </w:rPr>
              <w:t>投标文件的实质性内容使用中文表述且意思表述明确，前后无矛盾且使用计量单位符合采购文件要求的；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vAlign w:val="center"/>
          </w:tcPr>
          <w:p>
            <w:pPr>
              <w:spacing w:line="360" w:lineRule="auto"/>
              <w:jc w:val="center"/>
              <w:rPr>
                <w:rFonts w:ascii="宋体" w:hAnsi="宋体" w:cs="宋体"/>
                <w:szCs w:val="21"/>
                <w:highlight w:val="none"/>
              </w:rPr>
            </w:pPr>
          </w:p>
        </w:tc>
        <w:tc>
          <w:tcPr>
            <w:tcW w:w="6895" w:type="dxa"/>
            <w:vAlign w:val="center"/>
          </w:tcPr>
          <w:p>
            <w:pPr>
              <w:tabs>
                <w:tab w:val="left" w:pos="612"/>
              </w:tabs>
              <w:spacing w:line="360" w:lineRule="auto"/>
              <w:rPr>
                <w:rFonts w:ascii="宋体" w:hAnsi="宋体" w:cs="宋体"/>
                <w:szCs w:val="21"/>
                <w:highlight w:val="none"/>
              </w:rPr>
            </w:pPr>
            <w:r>
              <w:rPr>
                <w:rFonts w:hint="eastAsia" w:ascii="宋体" w:hAnsi="宋体" w:cs="宋体"/>
                <w:szCs w:val="21"/>
                <w:highlight w:val="none"/>
              </w:rPr>
              <w:t>带“▲”的条款满足采购文件要求、已实质性响应采购文件要求且投标文件无采购人不能接受的附加条件的；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vAlign w:val="center"/>
          </w:tcPr>
          <w:p>
            <w:pPr>
              <w:spacing w:line="360" w:lineRule="auto"/>
              <w:jc w:val="center"/>
              <w:rPr>
                <w:rFonts w:ascii="宋体" w:hAnsi="宋体" w:cs="宋体"/>
                <w:szCs w:val="21"/>
                <w:highlight w:val="none"/>
              </w:rPr>
            </w:pPr>
          </w:p>
        </w:tc>
        <w:tc>
          <w:tcPr>
            <w:tcW w:w="6895" w:type="dxa"/>
            <w:vAlign w:val="center"/>
          </w:tcPr>
          <w:p>
            <w:pPr>
              <w:tabs>
                <w:tab w:val="left" w:pos="612"/>
              </w:tabs>
              <w:spacing w:line="360" w:lineRule="auto"/>
              <w:rPr>
                <w:rFonts w:ascii="宋体" w:hAnsi="宋体" w:cs="宋体"/>
                <w:szCs w:val="21"/>
                <w:highlight w:val="none"/>
              </w:rPr>
            </w:pPr>
            <w:r>
              <w:rPr>
                <w:rFonts w:hint="eastAsia" w:ascii="宋体" w:hAnsi="宋体" w:cs="宋体"/>
                <w:szCs w:val="21"/>
                <w:highlight w:val="none"/>
              </w:rPr>
              <w:t>投标技术方案明确，不存在一个或一个以上备选（替代）投标方案的；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vAlign w:val="center"/>
          </w:tcPr>
          <w:p>
            <w:pPr>
              <w:spacing w:line="360" w:lineRule="auto"/>
              <w:jc w:val="center"/>
              <w:rPr>
                <w:rFonts w:ascii="宋体" w:hAnsi="宋体" w:cs="宋体"/>
                <w:szCs w:val="21"/>
                <w:highlight w:val="none"/>
              </w:rPr>
            </w:pPr>
          </w:p>
        </w:tc>
        <w:tc>
          <w:tcPr>
            <w:tcW w:w="6895" w:type="dxa"/>
            <w:vAlign w:val="center"/>
          </w:tcPr>
          <w:p>
            <w:pPr>
              <w:tabs>
                <w:tab w:val="left" w:pos="612"/>
              </w:tabs>
              <w:spacing w:line="360" w:lineRule="auto"/>
              <w:rPr>
                <w:rFonts w:ascii="宋体" w:hAnsi="宋体" w:cs="宋体"/>
                <w:szCs w:val="21"/>
                <w:highlight w:val="none"/>
              </w:rPr>
            </w:pPr>
            <w:r>
              <w:rPr>
                <w:rFonts w:hint="eastAsia" w:ascii="宋体" w:hAnsi="宋体" w:cs="宋体"/>
                <w:szCs w:val="21"/>
                <w:highlight w:val="none"/>
              </w:rPr>
              <w:t>技术商务文件中未出现报价或单价的；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vAlign w:val="center"/>
          </w:tcPr>
          <w:p>
            <w:pPr>
              <w:spacing w:line="360" w:lineRule="auto"/>
              <w:jc w:val="center"/>
              <w:rPr>
                <w:rFonts w:ascii="宋体" w:hAnsi="宋体" w:cs="宋体"/>
                <w:szCs w:val="21"/>
                <w:highlight w:val="none"/>
              </w:rPr>
            </w:pPr>
          </w:p>
        </w:tc>
        <w:tc>
          <w:tcPr>
            <w:tcW w:w="6895" w:type="dxa"/>
            <w:vAlign w:val="center"/>
          </w:tcPr>
          <w:p>
            <w:pPr>
              <w:tabs>
                <w:tab w:val="left" w:pos="612"/>
              </w:tabs>
              <w:spacing w:line="360" w:lineRule="auto"/>
              <w:rPr>
                <w:rFonts w:ascii="宋体" w:hAnsi="宋体" w:cs="宋体"/>
                <w:szCs w:val="21"/>
                <w:highlight w:val="none"/>
              </w:rPr>
            </w:pPr>
            <w:r>
              <w:rPr>
                <w:rFonts w:hint="eastAsia" w:ascii="宋体" w:hAnsi="宋体" w:cs="宋体"/>
                <w:szCs w:val="21"/>
                <w:highlight w:val="none"/>
              </w:rPr>
              <w:t>不存在法律、法规和采购文件规定的其他无效情形；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vAlign w:val="center"/>
          </w:tcPr>
          <w:p>
            <w:pPr>
              <w:spacing w:line="360" w:lineRule="auto"/>
              <w:jc w:val="center"/>
              <w:rPr>
                <w:rFonts w:ascii="宋体" w:hAnsi="宋体" w:cs="宋体"/>
                <w:szCs w:val="21"/>
                <w:highlight w:val="none"/>
              </w:rPr>
            </w:pPr>
          </w:p>
        </w:tc>
        <w:tc>
          <w:tcPr>
            <w:tcW w:w="6895" w:type="dxa"/>
            <w:vAlign w:val="center"/>
          </w:tcPr>
          <w:p>
            <w:pPr>
              <w:tabs>
                <w:tab w:val="left" w:pos="612"/>
              </w:tabs>
              <w:spacing w:line="360" w:lineRule="auto"/>
              <w:rPr>
                <w:rFonts w:ascii="宋体" w:hAnsi="宋体" w:cs="宋体"/>
                <w:szCs w:val="21"/>
                <w:highlight w:val="none"/>
              </w:rPr>
            </w:pPr>
            <w:r>
              <w:rPr>
                <w:rFonts w:hint="eastAsia" w:ascii="宋体" w:hAnsi="宋体" w:cs="宋体"/>
                <w:szCs w:val="21"/>
                <w:highlight w:val="none"/>
              </w:rPr>
              <w:t>不存在投标文件的有效期不满足采购文件要求情形；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vAlign w:val="center"/>
          </w:tcPr>
          <w:p>
            <w:pPr>
              <w:spacing w:line="360" w:lineRule="auto"/>
              <w:jc w:val="center"/>
              <w:rPr>
                <w:rFonts w:ascii="宋体" w:hAnsi="宋体" w:cs="宋体"/>
                <w:szCs w:val="21"/>
                <w:highlight w:val="none"/>
              </w:rPr>
            </w:pPr>
          </w:p>
        </w:tc>
        <w:tc>
          <w:tcPr>
            <w:tcW w:w="6895" w:type="dxa"/>
            <w:vAlign w:val="center"/>
          </w:tcPr>
          <w:p>
            <w:pPr>
              <w:spacing w:line="360" w:lineRule="auto"/>
              <w:rPr>
                <w:rFonts w:ascii="宋体" w:hAnsi="宋体" w:cs="宋体"/>
                <w:szCs w:val="21"/>
                <w:highlight w:val="none"/>
              </w:rPr>
            </w:pPr>
            <w:r>
              <w:rPr>
                <w:rFonts w:hint="eastAsia" w:ascii="宋体" w:hAnsi="宋体" w:cs="宋体"/>
                <w:szCs w:val="21"/>
                <w:highlight w:val="none"/>
              </w:rPr>
              <w:t>技术商务文件不存在采购文件所规定的其它无效投标条款要求。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restart"/>
            <w:vAlign w:val="center"/>
          </w:tcPr>
          <w:p>
            <w:pPr>
              <w:spacing w:line="360" w:lineRule="auto"/>
              <w:jc w:val="center"/>
              <w:rPr>
                <w:rFonts w:ascii="宋体" w:hAnsi="宋体" w:cs="宋体"/>
                <w:szCs w:val="21"/>
                <w:highlight w:val="none"/>
              </w:rPr>
            </w:pPr>
            <w:r>
              <w:rPr>
                <w:rFonts w:hint="eastAsia" w:ascii="宋体" w:hAnsi="宋体" w:cs="宋体"/>
                <w:szCs w:val="21"/>
                <w:highlight w:val="none"/>
              </w:rPr>
              <w:t>符合性审查</w:t>
            </w:r>
          </w:p>
          <w:p>
            <w:pPr>
              <w:spacing w:line="360" w:lineRule="auto"/>
              <w:jc w:val="center"/>
              <w:rPr>
                <w:rFonts w:ascii="宋体" w:hAnsi="宋体" w:cs="宋体"/>
                <w:szCs w:val="21"/>
                <w:highlight w:val="none"/>
              </w:rPr>
            </w:pPr>
            <w:r>
              <w:rPr>
                <w:rFonts w:hint="eastAsia" w:ascii="宋体" w:hAnsi="宋体" w:cs="宋体"/>
                <w:szCs w:val="21"/>
                <w:highlight w:val="none"/>
              </w:rPr>
              <w:t>（报价文件）</w:t>
            </w:r>
          </w:p>
        </w:tc>
        <w:tc>
          <w:tcPr>
            <w:tcW w:w="6895" w:type="dxa"/>
            <w:vAlign w:val="center"/>
          </w:tcPr>
          <w:p>
            <w:pPr>
              <w:spacing w:line="360" w:lineRule="auto"/>
              <w:rPr>
                <w:rFonts w:ascii="宋体" w:hAnsi="宋体" w:cs="宋体"/>
                <w:szCs w:val="21"/>
                <w:highlight w:val="none"/>
              </w:rPr>
            </w:pPr>
            <w:r>
              <w:rPr>
                <w:rFonts w:hint="eastAsia" w:ascii="宋体" w:hAnsi="宋体" w:cs="宋体"/>
                <w:szCs w:val="21"/>
                <w:highlight w:val="none"/>
              </w:rPr>
              <w:t>按照采购文件规定要求签署或盖章；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1" w:type="dxa"/>
            <w:vMerge w:val="continue"/>
            <w:vAlign w:val="center"/>
          </w:tcPr>
          <w:p>
            <w:pPr>
              <w:spacing w:line="360" w:lineRule="auto"/>
              <w:ind w:firstLine="210" w:firstLineChars="100"/>
              <w:rPr>
                <w:rFonts w:ascii="宋体" w:hAnsi="宋体" w:cs="宋体"/>
                <w:szCs w:val="21"/>
                <w:highlight w:val="none"/>
              </w:rPr>
            </w:pPr>
          </w:p>
        </w:tc>
        <w:tc>
          <w:tcPr>
            <w:tcW w:w="6895" w:type="dxa"/>
            <w:vAlign w:val="center"/>
          </w:tcPr>
          <w:p>
            <w:pPr>
              <w:spacing w:line="360" w:lineRule="auto"/>
              <w:rPr>
                <w:rFonts w:ascii="宋体" w:hAnsi="宋体" w:cs="宋体"/>
                <w:szCs w:val="21"/>
                <w:highlight w:val="none"/>
              </w:rPr>
            </w:pPr>
            <w:r>
              <w:rPr>
                <w:rFonts w:hint="eastAsia" w:ascii="宋体" w:hAnsi="宋体" w:cs="宋体"/>
                <w:szCs w:val="21"/>
                <w:highlight w:val="none"/>
              </w:rPr>
              <w:t>投标文件项目齐全；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vAlign w:val="center"/>
          </w:tcPr>
          <w:p>
            <w:pPr>
              <w:spacing w:line="360" w:lineRule="auto"/>
              <w:ind w:firstLine="210" w:firstLineChars="100"/>
              <w:rPr>
                <w:rFonts w:ascii="宋体" w:hAnsi="宋体" w:cs="宋体"/>
                <w:szCs w:val="21"/>
                <w:highlight w:val="none"/>
              </w:rPr>
            </w:pPr>
          </w:p>
        </w:tc>
        <w:tc>
          <w:tcPr>
            <w:tcW w:w="6895" w:type="dxa"/>
            <w:vAlign w:val="center"/>
          </w:tcPr>
          <w:p>
            <w:pPr>
              <w:spacing w:line="360" w:lineRule="auto"/>
              <w:rPr>
                <w:rFonts w:ascii="宋体" w:hAnsi="宋体" w:cs="宋体"/>
                <w:szCs w:val="21"/>
                <w:highlight w:val="none"/>
              </w:rPr>
            </w:pPr>
            <w:r>
              <w:rPr>
                <w:rFonts w:hint="eastAsia" w:ascii="宋体" w:hAnsi="宋体" w:cs="宋体"/>
                <w:szCs w:val="21"/>
                <w:highlight w:val="none"/>
              </w:rPr>
              <w:t>采用人民币报价或者按照采购文件标明的币种报价的；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vAlign w:val="center"/>
          </w:tcPr>
          <w:p>
            <w:pPr>
              <w:spacing w:line="360" w:lineRule="auto"/>
              <w:ind w:firstLine="210" w:firstLineChars="100"/>
              <w:rPr>
                <w:rFonts w:ascii="宋体" w:hAnsi="宋体" w:cs="宋体"/>
                <w:szCs w:val="21"/>
                <w:highlight w:val="none"/>
              </w:rPr>
            </w:pPr>
          </w:p>
        </w:tc>
        <w:tc>
          <w:tcPr>
            <w:tcW w:w="6895" w:type="dxa"/>
            <w:vAlign w:val="center"/>
          </w:tcPr>
          <w:p>
            <w:pPr>
              <w:spacing w:line="360" w:lineRule="auto"/>
              <w:rPr>
                <w:rFonts w:ascii="宋体" w:hAnsi="宋体" w:cs="宋体"/>
                <w:szCs w:val="21"/>
                <w:highlight w:val="none"/>
              </w:rPr>
            </w:pPr>
            <w:r>
              <w:rPr>
                <w:rFonts w:hint="eastAsia" w:ascii="宋体" w:hAnsi="宋体" w:cs="宋体"/>
                <w:szCs w:val="21"/>
                <w:highlight w:val="none"/>
              </w:rPr>
              <w:t>不存在报价超出最高限价，或者超出采购预算金额，采购人不能支付的情形。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vAlign w:val="center"/>
          </w:tcPr>
          <w:p>
            <w:pPr>
              <w:spacing w:line="360" w:lineRule="auto"/>
              <w:ind w:firstLine="210" w:firstLineChars="100"/>
              <w:rPr>
                <w:rFonts w:ascii="宋体" w:hAnsi="宋体" w:cs="宋体"/>
                <w:szCs w:val="21"/>
                <w:highlight w:val="none"/>
              </w:rPr>
            </w:pPr>
          </w:p>
        </w:tc>
        <w:tc>
          <w:tcPr>
            <w:tcW w:w="6895" w:type="dxa"/>
            <w:vAlign w:val="center"/>
          </w:tcPr>
          <w:p>
            <w:pPr>
              <w:spacing w:line="360" w:lineRule="auto"/>
              <w:rPr>
                <w:rFonts w:ascii="宋体" w:hAnsi="宋体" w:cs="宋体"/>
                <w:szCs w:val="21"/>
                <w:highlight w:val="none"/>
              </w:rPr>
            </w:pPr>
            <w:r>
              <w:rPr>
                <w:rFonts w:hint="eastAsia" w:ascii="宋体" w:hAnsi="宋体" w:cs="宋体"/>
                <w:szCs w:val="21"/>
                <w:highlight w:val="none"/>
              </w:rPr>
              <w:t>不存在投标报价具有选择性的情形；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vAlign w:val="center"/>
          </w:tcPr>
          <w:p>
            <w:pPr>
              <w:spacing w:line="360" w:lineRule="auto"/>
              <w:ind w:firstLine="210" w:firstLineChars="100"/>
              <w:rPr>
                <w:rFonts w:ascii="宋体" w:hAnsi="宋体" w:cs="宋体"/>
                <w:szCs w:val="21"/>
                <w:highlight w:val="none"/>
              </w:rPr>
            </w:pPr>
          </w:p>
        </w:tc>
        <w:tc>
          <w:tcPr>
            <w:tcW w:w="6895" w:type="dxa"/>
            <w:vAlign w:val="center"/>
          </w:tcPr>
          <w:p>
            <w:pPr>
              <w:spacing w:line="360" w:lineRule="auto"/>
              <w:rPr>
                <w:rFonts w:ascii="宋体" w:hAnsi="宋体" w:cs="宋体"/>
                <w:szCs w:val="21"/>
                <w:highlight w:val="none"/>
              </w:rPr>
            </w:pPr>
            <w:r>
              <w:rPr>
                <w:rFonts w:hint="eastAsia" w:ascii="宋体" w:hAnsi="宋体" w:cs="宋体"/>
                <w:szCs w:val="21"/>
                <w:highlight w:val="none"/>
              </w:rPr>
              <w:t>投标报价中未出现重大缺项、漏项；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vAlign w:val="center"/>
          </w:tcPr>
          <w:p>
            <w:pPr>
              <w:spacing w:line="360" w:lineRule="auto"/>
              <w:ind w:firstLine="210" w:firstLineChars="100"/>
              <w:rPr>
                <w:rFonts w:ascii="宋体" w:hAnsi="宋体" w:cs="宋体"/>
                <w:szCs w:val="21"/>
                <w:highlight w:val="none"/>
              </w:rPr>
            </w:pPr>
          </w:p>
        </w:tc>
        <w:tc>
          <w:tcPr>
            <w:tcW w:w="6895" w:type="dxa"/>
            <w:vAlign w:val="center"/>
          </w:tcPr>
          <w:p>
            <w:pPr>
              <w:spacing w:line="360" w:lineRule="auto"/>
              <w:rPr>
                <w:rFonts w:ascii="宋体" w:hAnsi="宋体" w:cs="宋体"/>
                <w:szCs w:val="21"/>
                <w:highlight w:val="none"/>
              </w:rPr>
            </w:pPr>
            <w:r>
              <w:rPr>
                <w:rFonts w:hint="eastAsia" w:ascii="宋体" w:hAnsi="宋体" w:cs="宋体"/>
                <w:szCs w:val="21"/>
                <w:highlight w:val="none"/>
              </w:rPr>
              <w:t>不存在评标委员会认为投标人的报价明显低于其他通过符合性审查投标人的报价，有可能影响产品质量或者不能诚信履约的且不能在评标现场合理时间内提供相关证明材料说明其报价的合理性的情形；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vAlign w:val="center"/>
          </w:tcPr>
          <w:p>
            <w:pPr>
              <w:spacing w:line="360" w:lineRule="auto"/>
              <w:ind w:firstLine="210" w:firstLineChars="100"/>
              <w:rPr>
                <w:rFonts w:ascii="宋体" w:hAnsi="宋体" w:cs="宋体"/>
                <w:szCs w:val="21"/>
                <w:highlight w:val="none"/>
              </w:rPr>
            </w:pPr>
          </w:p>
        </w:tc>
        <w:tc>
          <w:tcPr>
            <w:tcW w:w="6895" w:type="dxa"/>
            <w:vAlign w:val="center"/>
          </w:tcPr>
          <w:p>
            <w:pPr>
              <w:spacing w:line="360" w:lineRule="auto"/>
              <w:rPr>
                <w:rFonts w:ascii="宋体" w:hAnsi="宋体" w:cs="宋体"/>
                <w:szCs w:val="21"/>
                <w:highlight w:val="none"/>
              </w:rPr>
            </w:pPr>
            <w:r>
              <w:rPr>
                <w:rFonts w:hint="eastAsia" w:ascii="宋体" w:hAnsi="宋体" w:cs="宋体"/>
                <w:szCs w:val="21"/>
                <w:highlight w:val="none"/>
              </w:rPr>
              <w:t>投标文件（报价文件）内容与投标文件（技术商务文件）内容不存在重大差异的；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vAlign w:val="center"/>
          </w:tcPr>
          <w:p>
            <w:pPr>
              <w:spacing w:line="360" w:lineRule="auto"/>
              <w:ind w:firstLine="210" w:firstLineChars="100"/>
              <w:rPr>
                <w:rFonts w:ascii="宋体" w:hAnsi="宋体" w:cs="宋体"/>
                <w:szCs w:val="21"/>
                <w:highlight w:val="none"/>
              </w:rPr>
            </w:pPr>
          </w:p>
        </w:tc>
        <w:tc>
          <w:tcPr>
            <w:tcW w:w="6895" w:type="dxa"/>
            <w:vAlign w:val="center"/>
          </w:tcPr>
          <w:p>
            <w:pPr>
              <w:spacing w:line="360" w:lineRule="auto"/>
              <w:rPr>
                <w:rFonts w:ascii="宋体" w:hAnsi="宋体" w:cs="宋体"/>
                <w:szCs w:val="21"/>
                <w:highlight w:val="none"/>
              </w:rPr>
            </w:pPr>
            <w:r>
              <w:rPr>
                <w:rFonts w:hint="eastAsia" w:ascii="宋体" w:hAnsi="宋体" w:cs="宋体"/>
                <w:szCs w:val="21"/>
                <w:highlight w:val="none"/>
              </w:rPr>
              <w:t>不存在法律、法规和采购文件规定的其他无效情形；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vAlign w:val="center"/>
          </w:tcPr>
          <w:p>
            <w:pPr>
              <w:spacing w:line="360" w:lineRule="auto"/>
              <w:ind w:firstLine="210" w:firstLineChars="100"/>
              <w:rPr>
                <w:rFonts w:ascii="宋体" w:hAnsi="宋体" w:cs="宋体"/>
                <w:szCs w:val="21"/>
                <w:highlight w:val="none"/>
              </w:rPr>
            </w:pPr>
          </w:p>
        </w:tc>
        <w:tc>
          <w:tcPr>
            <w:tcW w:w="6895" w:type="dxa"/>
            <w:vAlign w:val="center"/>
          </w:tcPr>
          <w:p>
            <w:pPr>
              <w:spacing w:line="360" w:lineRule="auto"/>
              <w:rPr>
                <w:rFonts w:ascii="宋体" w:hAnsi="宋体" w:cs="宋体"/>
                <w:szCs w:val="21"/>
                <w:highlight w:val="none"/>
              </w:rPr>
            </w:pPr>
            <w:r>
              <w:rPr>
                <w:rFonts w:hint="eastAsia" w:ascii="宋体" w:hAnsi="宋体" w:cs="宋体"/>
                <w:szCs w:val="21"/>
                <w:highlight w:val="none"/>
              </w:rPr>
              <w:t>报价文件不存在采购文件所规定的其它无效投标条款要求。</w:t>
            </w:r>
          </w:p>
        </w:tc>
      </w:tr>
    </w:tbl>
    <w:p>
      <w:pPr>
        <w:widowControl/>
        <w:spacing w:line="360" w:lineRule="auto"/>
        <w:ind w:firstLine="420" w:firstLineChars="200"/>
        <w:rPr>
          <w:rFonts w:ascii="宋体" w:hAnsi="宋体" w:cs="宋体"/>
          <w:b/>
          <w:bCs/>
          <w:szCs w:val="21"/>
          <w:highlight w:val="none"/>
        </w:rPr>
      </w:pPr>
      <w:r>
        <w:rPr>
          <w:rFonts w:hint="eastAsia" w:ascii="宋体" w:hAnsi="宋体" w:cs="宋体"/>
          <w:b/>
          <w:bCs/>
          <w:szCs w:val="21"/>
          <w:highlight w:val="none"/>
        </w:rPr>
        <w:t>（三）投标无效的情形</w:t>
      </w:r>
    </w:p>
    <w:p>
      <w:pPr>
        <w:spacing w:line="360" w:lineRule="auto"/>
        <w:ind w:firstLine="420" w:firstLineChars="200"/>
        <w:contextualSpacing/>
        <w:rPr>
          <w:rFonts w:ascii="宋体" w:hAnsi="宋体" w:cs="宋体"/>
          <w:b/>
          <w:bCs/>
          <w:szCs w:val="21"/>
          <w:highlight w:val="none"/>
        </w:rPr>
      </w:pPr>
      <w:r>
        <w:rPr>
          <w:rFonts w:hint="eastAsia" w:ascii="宋体" w:hAnsi="宋体" w:cs="宋体"/>
          <w:szCs w:val="21"/>
          <w:highlight w:val="none"/>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修改或者补正投标文件必须以书面形式进行，限期内不补正或经补正后仍不符合招标文件要求的，应认定其投标无效。投标人修改、补正投标文件后，不影响评标委员会对其投标文件所作的评价和评分结果。</w:t>
      </w:r>
    </w:p>
    <w:p>
      <w:pPr>
        <w:spacing w:line="360" w:lineRule="auto"/>
        <w:ind w:firstLine="420" w:firstLineChars="200"/>
        <w:contextualSpacing/>
        <w:rPr>
          <w:rFonts w:ascii="宋体" w:hAnsi="宋体" w:cs="宋体"/>
          <w:b/>
          <w:bCs/>
          <w:szCs w:val="21"/>
          <w:highlight w:val="none"/>
        </w:rPr>
      </w:pPr>
      <w:r>
        <w:rPr>
          <w:rFonts w:hint="eastAsia" w:ascii="宋体" w:hAnsi="宋体" w:cs="宋体"/>
          <w:b/>
          <w:bCs/>
          <w:szCs w:val="21"/>
          <w:highlight w:val="none"/>
        </w:rPr>
        <w:t>A、在符合性审查（技术商务文件）时，如发现下列情形之一的，将被视为无效投标文件：</w:t>
      </w:r>
    </w:p>
    <w:p>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1、资格证明文件不全的或者不符合采购文件标明的资格要求的；</w:t>
      </w:r>
    </w:p>
    <w:p>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2、未按照采购文件规定要求签署或盖章；</w:t>
      </w:r>
    </w:p>
    <w:p>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3、投标文件无法定代表人（负责人）签署本人姓名（或印盖本人姓名章），或签署人未提供有效的法定代表人（负责人）授权委托书或授权委托书填写项目不齐全的；</w:t>
      </w:r>
    </w:p>
    <w:p>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4、投标文件项目不齐全；</w:t>
      </w:r>
    </w:p>
    <w:p>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5、投标文件标明的响应或偏离与事实不符或虚假投标的；</w:t>
      </w:r>
    </w:p>
    <w:p>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6、投标文件的实质性内容未使用中文表述、意思表述不明确、前后矛盾或者使用计量单位不符合采购文件要求的（经评标委员会认定并允许其当场更正的笔误除外）；</w:t>
      </w:r>
    </w:p>
    <w:p>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7、带“▲”的条款不能满足采购文件要求、未实质性响应采购文件要求或者投标文件有采购人不能接受的附加条件的；</w:t>
      </w:r>
    </w:p>
    <w:p>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8、投标技术方案不明确，存在一个或一个以上备选（替代）投标方案的；</w:t>
      </w:r>
    </w:p>
    <w:p>
      <w:pPr>
        <w:spacing w:line="360" w:lineRule="auto"/>
        <w:ind w:firstLine="420" w:firstLineChars="200"/>
        <w:contextualSpacing/>
        <w:rPr>
          <w:rFonts w:ascii="宋体" w:hAnsi="宋体" w:cs="宋体"/>
          <w:kern w:val="1"/>
          <w:szCs w:val="21"/>
          <w:highlight w:val="none"/>
        </w:rPr>
      </w:pPr>
      <w:r>
        <w:rPr>
          <w:rFonts w:hint="eastAsia" w:ascii="宋体" w:hAnsi="宋体" w:cs="宋体"/>
          <w:kern w:val="1"/>
          <w:szCs w:val="21"/>
          <w:highlight w:val="none"/>
        </w:rPr>
        <w:t>9、技术商务文件中出现报价或单价的；</w:t>
      </w:r>
    </w:p>
    <w:p>
      <w:pPr>
        <w:spacing w:line="360" w:lineRule="auto"/>
        <w:ind w:firstLine="420" w:firstLineChars="200"/>
        <w:contextualSpacing/>
        <w:rPr>
          <w:rFonts w:ascii="宋体" w:hAnsi="宋体" w:cs="宋体"/>
          <w:kern w:val="1"/>
          <w:szCs w:val="21"/>
          <w:highlight w:val="none"/>
        </w:rPr>
      </w:pPr>
      <w:r>
        <w:rPr>
          <w:rFonts w:hint="eastAsia" w:ascii="宋体" w:hAnsi="宋体" w:cs="宋体"/>
          <w:kern w:val="1"/>
          <w:szCs w:val="21"/>
          <w:highlight w:val="none"/>
        </w:rPr>
        <w:t>10、法律、法规和采购文件规定的其他无效情形；</w:t>
      </w:r>
    </w:p>
    <w:p>
      <w:pPr>
        <w:spacing w:line="360" w:lineRule="auto"/>
        <w:ind w:firstLine="420" w:firstLineChars="200"/>
        <w:contextualSpacing/>
        <w:rPr>
          <w:rFonts w:ascii="宋体" w:hAnsi="宋体" w:cs="宋体"/>
          <w:kern w:val="1"/>
          <w:szCs w:val="21"/>
          <w:highlight w:val="none"/>
        </w:rPr>
      </w:pPr>
      <w:r>
        <w:rPr>
          <w:rFonts w:hint="eastAsia" w:ascii="宋体" w:hAnsi="宋体" w:cs="宋体"/>
          <w:kern w:val="1"/>
          <w:szCs w:val="21"/>
          <w:highlight w:val="none"/>
        </w:rPr>
        <w:t>11、投标文件的有效期不满足采购文件要求；</w:t>
      </w:r>
    </w:p>
    <w:p>
      <w:pPr>
        <w:spacing w:line="360" w:lineRule="auto"/>
        <w:ind w:firstLine="420" w:firstLineChars="200"/>
        <w:contextualSpacing/>
        <w:rPr>
          <w:rFonts w:ascii="宋体" w:hAnsi="宋体" w:cs="宋体"/>
          <w:kern w:val="1"/>
          <w:szCs w:val="21"/>
          <w:highlight w:val="none"/>
        </w:rPr>
      </w:pPr>
      <w:r>
        <w:rPr>
          <w:rFonts w:hint="eastAsia" w:ascii="宋体" w:hAnsi="宋体" w:cs="宋体"/>
          <w:kern w:val="1"/>
          <w:szCs w:val="21"/>
          <w:highlight w:val="none"/>
        </w:rPr>
        <w:t>12、技术商务文件存在采购文件所规定的其它无效投标条款要求。</w:t>
      </w:r>
    </w:p>
    <w:p>
      <w:pPr>
        <w:spacing w:line="360" w:lineRule="auto"/>
        <w:ind w:firstLine="420" w:firstLineChars="200"/>
        <w:contextualSpacing/>
        <w:rPr>
          <w:rFonts w:ascii="宋体" w:hAnsi="宋体" w:cs="宋体"/>
          <w:b/>
          <w:bCs/>
          <w:szCs w:val="21"/>
          <w:highlight w:val="none"/>
        </w:rPr>
      </w:pPr>
      <w:r>
        <w:rPr>
          <w:rFonts w:hint="eastAsia" w:ascii="宋体" w:hAnsi="宋体" w:cs="宋体"/>
          <w:b/>
          <w:bCs/>
          <w:szCs w:val="21"/>
          <w:highlight w:val="none"/>
        </w:rPr>
        <w:t>B、在符合性审查（报价文件）时，如发现下列情形之一的，将被视为无效投标文件：</w:t>
      </w:r>
    </w:p>
    <w:p>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1、未按照采购文件规定要求签署或盖章；</w:t>
      </w:r>
    </w:p>
    <w:p>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2、投标文件项目不齐全；</w:t>
      </w:r>
    </w:p>
    <w:p>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3、未采用人民币报价或者未按照采购文件标明的币种报价的；</w:t>
      </w:r>
    </w:p>
    <w:p>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4、报价超出最高限价，或者超出采购预算金额，采购人不能支付的；</w:t>
      </w:r>
    </w:p>
    <w:p>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5、投标报价具有选择性的；</w:t>
      </w:r>
    </w:p>
    <w:p>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6、投标报价中出现重大缺项、漏项；</w:t>
      </w:r>
    </w:p>
    <w:p>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7、评标委员会认为投标人的报价明显低于其他通过符合性审查投标人的报价，有可能影响产品质量或者不能诚信履约的，且不能在评标现场合理时间内提供相关证明材料说明其报价的合理性的；</w:t>
      </w:r>
    </w:p>
    <w:p>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8、投标文件（报价文件）内容与投标文件（技术商务文件）内容有重大差异的；</w:t>
      </w:r>
    </w:p>
    <w:p>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9、法律、法规和采购文件规定的其他无效情形；</w:t>
      </w:r>
    </w:p>
    <w:p>
      <w:pPr>
        <w:tabs>
          <w:tab w:val="left" w:pos="0"/>
          <w:tab w:val="left" w:pos="723"/>
        </w:tabs>
        <w:spacing w:line="360" w:lineRule="auto"/>
        <w:ind w:firstLine="420" w:firstLineChars="200"/>
        <w:contextualSpacing/>
        <w:rPr>
          <w:rFonts w:ascii="宋体" w:hAnsi="宋体" w:cs="宋体"/>
          <w:kern w:val="1"/>
          <w:szCs w:val="21"/>
          <w:highlight w:val="none"/>
        </w:rPr>
      </w:pPr>
      <w:r>
        <w:rPr>
          <w:rFonts w:hint="eastAsia" w:ascii="宋体" w:hAnsi="宋体" w:cs="宋体"/>
          <w:kern w:val="1"/>
          <w:szCs w:val="21"/>
          <w:highlight w:val="none"/>
        </w:rPr>
        <w:t>10、报价文件存在采购文件所规定的其它无效投标条款要求。</w:t>
      </w:r>
    </w:p>
    <w:p>
      <w:pPr>
        <w:spacing w:line="360" w:lineRule="auto"/>
        <w:ind w:firstLine="420" w:firstLineChars="200"/>
        <w:rPr>
          <w:rFonts w:ascii="宋体" w:hAnsi="宋体" w:cs="宋体"/>
          <w:b/>
          <w:bCs/>
          <w:szCs w:val="21"/>
          <w:highlight w:val="none"/>
        </w:rPr>
      </w:pPr>
      <w:r>
        <w:rPr>
          <w:rFonts w:hint="eastAsia" w:ascii="宋体" w:hAnsi="宋体" w:cs="宋体"/>
          <w:b/>
          <w:bCs/>
          <w:szCs w:val="21"/>
          <w:highlight w:val="none"/>
        </w:rPr>
        <w:t>C、评审时如发现下列情形之一的，视为投标人串通投标，其投标无效：</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1、不同投标人的投标文件由同一单位或者个人编制；</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2、不同投标人委托同一单位或者个人办理投标事宜；</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3、不同投标人的投标文件载明的项目管理成员或者联系人员为同一人；</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4、不同投标人的投标文件异常一致或者投标报价呈规律性差异；</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5、不同投标人的投标文件相互混装；</w:t>
      </w:r>
    </w:p>
    <w:p>
      <w:pPr>
        <w:widowControl/>
        <w:spacing w:line="360" w:lineRule="auto"/>
        <w:ind w:firstLine="420" w:firstLineChars="200"/>
        <w:rPr>
          <w:rFonts w:ascii="宋体" w:hAnsi="宋体" w:cs="宋体"/>
          <w:b/>
          <w:bCs/>
          <w:szCs w:val="21"/>
          <w:highlight w:val="none"/>
        </w:rPr>
      </w:pPr>
      <w:r>
        <w:rPr>
          <w:rFonts w:hint="eastAsia" w:ascii="宋体" w:hAnsi="宋体" w:cs="宋体"/>
          <w:b/>
          <w:bCs/>
          <w:szCs w:val="21"/>
          <w:highlight w:val="none"/>
        </w:rPr>
        <w:t>（四）澄清问题</w:t>
      </w:r>
    </w:p>
    <w:p>
      <w:pPr>
        <w:widowControl/>
        <w:spacing w:line="360" w:lineRule="auto"/>
        <w:ind w:firstLine="420" w:firstLineChars="200"/>
        <w:rPr>
          <w:rFonts w:ascii="宋体" w:hAnsi="宋体" w:cs="宋体"/>
          <w:szCs w:val="21"/>
          <w:highlight w:val="none"/>
        </w:rPr>
      </w:pPr>
      <w:r>
        <w:rPr>
          <w:rFonts w:hint="eastAsia" w:ascii="宋体" w:hAnsi="宋体" w:cs="宋体"/>
          <w:szCs w:val="21"/>
          <w:highlight w:val="none"/>
        </w:rPr>
        <w:t>对投标文件中含义不明确、同类问题表述不一致或者有明显文字和计算错误的内容，评标委员会要求投标人作出必要的澄清、说明或者纠正。投标人的澄清、说明或者补正应当采用书面形式，由其授权的代表签字，并不得超出投标文件的范围或者改变投标文件的实质性内容。</w:t>
      </w:r>
    </w:p>
    <w:p>
      <w:pPr>
        <w:widowControl/>
        <w:spacing w:line="360" w:lineRule="auto"/>
        <w:ind w:firstLine="420" w:firstLineChars="200"/>
        <w:rPr>
          <w:rFonts w:ascii="宋体" w:hAnsi="宋体" w:cs="宋体"/>
          <w:b/>
          <w:bCs/>
          <w:szCs w:val="21"/>
          <w:highlight w:val="none"/>
        </w:rPr>
      </w:pPr>
      <w:r>
        <w:rPr>
          <w:rFonts w:hint="eastAsia" w:ascii="宋体" w:hAnsi="宋体" w:cs="宋体"/>
          <w:b/>
          <w:bCs/>
          <w:szCs w:val="21"/>
          <w:highlight w:val="none"/>
        </w:rPr>
        <w:t>（五）详细评审</w:t>
      </w:r>
    </w:p>
    <w:p>
      <w:pPr>
        <w:widowControl/>
        <w:spacing w:line="360" w:lineRule="auto"/>
        <w:ind w:firstLine="420" w:firstLineChars="200"/>
        <w:rPr>
          <w:rFonts w:ascii="宋体" w:hAnsi="宋体" w:cs="宋体"/>
          <w:szCs w:val="21"/>
          <w:highlight w:val="none"/>
        </w:rPr>
      </w:pPr>
      <w:r>
        <w:rPr>
          <w:rFonts w:hint="eastAsia" w:ascii="宋体" w:hAnsi="宋体" w:cs="宋体"/>
          <w:szCs w:val="21"/>
          <w:highlight w:val="none"/>
        </w:rPr>
        <w:t>评标委员会对初步评审合格的投标文件，依照本办法对投标文件作进一步评审、比较。评标委员会成员经过阅标、审标和询标，对各投标人进行打分。</w:t>
      </w:r>
    </w:p>
    <w:p>
      <w:pPr>
        <w:widowControl/>
        <w:spacing w:line="360" w:lineRule="auto"/>
        <w:ind w:firstLine="420" w:firstLineChars="200"/>
        <w:rPr>
          <w:rFonts w:ascii="宋体" w:hAnsi="宋体" w:cs="宋体"/>
          <w:szCs w:val="21"/>
          <w:highlight w:val="none"/>
        </w:rPr>
      </w:pPr>
      <w:r>
        <w:rPr>
          <w:rFonts w:hint="eastAsia" w:ascii="宋体" w:hAnsi="宋体" w:cs="宋体"/>
          <w:szCs w:val="21"/>
          <w:highlight w:val="none"/>
        </w:rPr>
        <w:t>评委打分参照：评分标准。评委打分采用记名方式进行独立打分，汇总所有评委会成员评分取算术平均值（小数点后保留二位数）为该投标人的商务技术得分。报价文件经评标委员会评审后按评分标准表进行统一计算（小数点后保留二位小数）。最终汇总商务技术得分和报价得分（小数点后保留二位小数）。</w:t>
      </w:r>
    </w:p>
    <w:p>
      <w:pPr>
        <w:widowControl/>
        <w:spacing w:line="360" w:lineRule="auto"/>
        <w:ind w:firstLine="420" w:firstLineChars="200"/>
        <w:rPr>
          <w:rFonts w:ascii="宋体" w:hAnsi="宋体" w:cs="宋体"/>
          <w:b/>
          <w:bCs/>
          <w:szCs w:val="21"/>
          <w:highlight w:val="none"/>
        </w:rPr>
      </w:pPr>
      <w:r>
        <w:rPr>
          <w:rFonts w:hint="eastAsia" w:ascii="宋体" w:hAnsi="宋体" w:cs="宋体"/>
          <w:b/>
          <w:bCs/>
          <w:szCs w:val="21"/>
          <w:highlight w:val="none"/>
        </w:rPr>
        <w:t>（六）推荐中标候选人原则</w:t>
      </w:r>
    </w:p>
    <w:p>
      <w:pPr>
        <w:widowControl/>
        <w:spacing w:line="360" w:lineRule="auto"/>
        <w:ind w:firstLine="420" w:firstLineChars="200"/>
        <w:rPr>
          <w:rFonts w:ascii="宋体" w:hAnsi="宋体" w:cs="宋体"/>
          <w:szCs w:val="21"/>
          <w:highlight w:val="none"/>
        </w:rPr>
      </w:pPr>
      <w:r>
        <w:rPr>
          <w:rFonts w:hint="eastAsia" w:ascii="宋体" w:hAnsi="宋体" w:cs="宋体"/>
          <w:szCs w:val="21"/>
          <w:highlight w:val="none"/>
        </w:rPr>
        <w:t>评标委员会根据投标人的综合得分由高到低的排序，推荐中标候选人。若供应商的综合得分相等，则投标报价低者列前；若投标报价也相同时，采取随机抽签的方式确定排序。</w:t>
      </w:r>
    </w:p>
    <w:p>
      <w:pPr>
        <w:widowControl/>
        <w:spacing w:line="360" w:lineRule="auto"/>
        <w:ind w:firstLine="420" w:firstLineChars="200"/>
        <w:rPr>
          <w:rFonts w:ascii="宋体" w:hAnsi="宋体" w:cs="宋体"/>
          <w:b/>
          <w:bCs/>
          <w:szCs w:val="21"/>
          <w:highlight w:val="none"/>
        </w:rPr>
      </w:pPr>
      <w:r>
        <w:rPr>
          <w:rFonts w:hint="eastAsia" w:ascii="宋体" w:hAnsi="宋体" w:cs="宋体"/>
          <w:b/>
          <w:bCs/>
          <w:szCs w:val="21"/>
          <w:highlight w:val="none"/>
        </w:rPr>
        <w:t>（七）中标结果</w:t>
      </w:r>
    </w:p>
    <w:p>
      <w:pPr>
        <w:pStyle w:val="32"/>
        <w:widowControl/>
        <w:spacing w:line="360" w:lineRule="auto"/>
        <w:ind w:left="0" w:leftChars="0" w:firstLine="420" w:firstLineChars="200"/>
        <w:jc w:val="left"/>
        <w:rPr>
          <w:rFonts w:ascii="宋体" w:hAnsi="宋体" w:cs="宋体"/>
          <w:sz w:val="20"/>
          <w:szCs w:val="20"/>
          <w:highlight w:val="none"/>
        </w:rPr>
      </w:pPr>
      <w:r>
        <w:rPr>
          <w:rFonts w:hint="eastAsia" w:ascii="宋体" w:hAnsi="宋体" w:cs="宋体"/>
          <w:szCs w:val="21"/>
          <w:highlight w:val="none"/>
        </w:rPr>
        <w:t>评标委员会按综合得分由高到低的排序，向采购人推荐中标候选人。代理机构应当自评审结束之日起2个工作日内将评审报告送交采购人。采购人应当自收到评审报告之日起5个工作日内在评审报告推荐的中标候选人中按顺序确定1名中标供应商。中标供应商因不可抗力或者自身原因不能履行政府采购合同的，采购人可以按照评审报告推荐的下一中标候选人为中标供应商或重新招标。</w:t>
      </w:r>
    </w:p>
    <w:p>
      <w:pPr>
        <w:spacing w:line="360" w:lineRule="auto"/>
        <w:ind w:firstLine="420" w:firstLineChars="200"/>
        <w:outlineLvl w:val="0"/>
        <w:rPr>
          <w:rFonts w:ascii="宋体" w:hAnsi="宋体" w:cs="宋体"/>
          <w:b/>
          <w:szCs w:val="21"/>
          <w:highlight w:val="none"/>
        </w:rPr>
      </w:pPr>
      <w:r>
        <w:rPr>
          <w:rFonts w:hint="eastAsia" w:ascii="宋体" w:hAnsi="宋体" w:cs="宋体"/>
          <w:szCs w:val="21"/>
          <w:highlight w:val="none"/>
        </w:rPr>
        <w:br w:type="page"/>
      </w:r>
      <w:r>
        <w:rPr>
          <w:rFonts w:hint="eastAsia" w:ascii="宋体" w:hAnsi="宋体" w:cs="宋体"/>
          <w:b/>
          <w:szCs w:val="21"/>
          <w:highlight w:val="none"/>
        </w:rPr>
        <w:t>三、评分细则</w:t>
      </w:r>
    </w:p>
    <w:p>
      <w:pPr>
        <w:pStyle w:val="16"/>
        <w:rPr>
          <w:highlight w:val="none"/>
        </w:rPr>
      </w:pPr>
    </w:p>
    <w:tbl>
      <w:tblPr>
        <w:tblStyle w:val="50"/>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7764"/>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133" w:type="dxa"/>
          </w:tcPr>
          <w:p>
            <w:pPr>
              <w:adjustRightInd w:val="0"/>
              <w:spacing w:line="360" w:lineRule="auto"/>
              <w:jc w:val="center"/>
              <w:textAlignment w:val="baseline"/>
              <w:rPr>
                <w:rFonts w:ascii="宋体" w:hAnsi="宋体" w:cs="宋体"/>
                <w:b/>
                <w:szCs w:val="21"/>
                <w:highlight w:val="none"/>
              </w:rPr>
            </w:pPr>
            <w:bookmarkStart w:id="209" w:name="OLE_LINK1"/>
            <w:r>
              <w:rPr>
                <w:rFonts w:hint="eastAsia" w:ascii="宋体" w:hAnsi="宋体" w:cs="宋体"/>
                <w:b/>
                <w:szCs w:val="21"/>
                <w:highlight w:val="none"/>
              </w:rPr>
              <w:t>项目</w:t>
            </w:r>
          </w:p>
        </w:tc>
        <w:tc>
          <w:tcPr>
            <w:tcW w:w="7764" w:type="dxa"/>
          </w:tcPr>
          <w:p>
            <w:pPr>
              <w:adjustRightInd w:val="0"/>
              <w:spacing w:line="360" w:lineRule="auto"/>
              <w:jc w:val="center"/>
              <w:textAlignment w:val="baseline"/>
              <w:rPr>
                <w:rFonts w:ascii="宋体" w:hAnsi="宋体" w:cs="宋体"/>
                <w:b/>
                <w:szCs w:val="21"/>
                <w:highlight w:val="none"/>
              </w:rPr>
            </w:pPr>
            <w:r>
              <w:rPr>
                <w:rFonts w:hint="eastAsia" w:ascii="宋体" w:hAnsi="宋体" w:cs="宋体"/>
                <w:b/>
                <w:szCs w:val="21"/>
                <w:highlight w:val="none"/>
              </w:rPr>
              <w:t>评分内容及标准</w:t>
            </w:r>
          </w:p>
        </w:tc>
        <w:tc>
          <w:tcPr>
            <w:tcW w:w="822" w:type="dxa"/>
          </w:tcPr>
          <w:p>
            <w:pPr>
              <w:adjustRightInd w:val="0"/>
              <w:spacing w:line="360" w:lineRule="auto"/>
              <w:jc w:val="center"/>
              <w:textAlignment w:val="baseline"/>
              <w:rPr>
                <w:rFonts w:ascii="宋体" w:hAnsi="宋体" w:cs="宋体"/>
                <w:b/>
                <w:szCs w:val="21"/>
                <w:highlight w:val="none"/>
              </w:rPr>
            </w:pPr>
            <w:r>
              <w:rPr>
                <w:rFonts w:hint="eastAsia" w:ascii="宋体" w:hAnsi="宋体" w:cs="宋体"/>
                <w:b/>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1133" w:type="dxa"/>
            <w:vMerge w:val="restart"/>
            <w:vAlign w:val="center"/>
          </w:tcPr>
          <w:p>
            <w:pPr>
              <w:pStyle w:val="29"/>
              <w:adjustRightInd w:val="0"/>
              <w:spacing w:line="360" w:lineRule="auto"/>
              <w:jc w:val="center"/>
              <w:textAlignment w:val="baseline"/>
              <w:rPr>
                <w:rFonts w:hAnsi="宋体" w:cs="宋体"/>
                <w:bCs/>
                <w:highlight w:val="none"/>
              </w:rPr>
            </w:pPr>
            <w:r>
              <w:rPr>
                <w:rFonts w:hint="eastAsia" w:hAnsi="宋体" w:cs="宋体"/>
                <w:bCs/>
                <w:highlight w:val="none"/>
              </w:rPr>
              <w:t>技术商务部分</w:t>
            </w:r>
          </w:p>
          <w:p>
            <w:pPr>
              <w:pStyle w:val="29"/>
              <w:adjustRightInd w:val="0"/>
              <w:spacing w:line="360" w:lineRule="auto"/>
              <w:jc w:val="center"/>
              <w:textAlignment w:val="baseline"/>
              <w:rPr>
                <w:rFonts w:hAnsi="宋体" w:cs="宋体"/>
                <w:bCs/>
                <w:highlight w:val="none"/>
              </w:rPr>
            </w:pPr>
            <w:r>
              <w:rPr>
                <w:rFonts w:hint="eastAsia" w:hAnsi="宋体" w:cs="宋体"/>
                <w:bCs/>
                <w:highlight w:val="none"/>
              </w:rPr>
              <w:t>（80分）</w:t>
            </w:r>
          </w:p>
        </w:tc>
        <w:tc>
          <w:tcPr>
            <w:tcW w:w="7764" w:type="dxa"/>
          </w:tcPr>
          <w:p>
            <w:pPr>
              <w:adjustRightInd w:val="0"/>
              <w:spacing w:line="360" w:lineRule="auto"/>
              <w:jc w:val="left"/>
              <w:rPr>
                <w:rFonts w:ascii="宋体"/>
                <w:b/>
                <w:bCs/>
                <w:color w:val="000000" w:themeColor="text1"/>
                <w:kern w:val="0"/>
                <w:szCs w:val="21"/>
                <w:highlight w:val="none"/>
                <w14:textFill>
                  <w14:solidFill>
                    <w14:schemeClr w14:val="tx1"/>
                  </w14:solidFill>
                </w14:textFill>
              </w:rPr>
            </w:pPr>
            <w:r>
              <w:rPr>
                <w:rFonts w:hint="eastAsia" w:ascii="宋体"/>
                <w:b/>
                <w:bCs/>
                <w:color w:val="000000" w:themeColor="text1"/>
                <w:kern w:val="0"/>
                <w:szCs w:val="21"/>
                <w:highlight w:val="none"/>
                <w14:textFill>
                  <w14:solidFill>
                    <w14:schemeClr w14:val="tx1"/>
                  </w14:solidFill>
                </w14:textFill>
              </w:rPr>
              <w:t>技术指标响应性（30分）</w:t>
            </w:r>
          </w:p>
          <w:p>
            <w:pPr>
              <w:pStyle w:val="64"/>
              <w:spacing w:line="360" w:lineRule="auto"/>
              <w:ind w:left="0" w:leftChars="0" w:firstLine="0"/>
              <w:rPr>
                <w:rFonts w:ascii="宋体"/>
                <w:color w:val="000000" w:themeColor="text1"/>
                <w:kern w:val="0"/>
                <w:szCs w:val="21"/>
                <w:highlight w:val="none"/>
                <w:lang w:val="zh-CN"/>
                <w14:textFill>
                  <w14:solidFill>
                    <w14:schemeClr w14:val="tx1"/>
                  </w14:solidFill>
                </w14:textFill>
              </w:rPr>
            </w:pPr>
            <w:r>
              <w:rPr>
                <w:rFonts w:hint="eastAsia" w:ascii="宋体"/>
                <w:color w:val="000000" w:themeColor="text1"/>
                <w:kern w:val="0"/>
                <w:szCs w:val="21"/>
                <w:highlight w:val="none"/>
                <w:lang w:val="zh-CN"/>
                <w14:textFill>
                  <w14:solidFill>
                    <w14:schemeClr w14:val="tx1"/>
                  </w14:solidFill>
                </w14:textFill>
              </w:rPr>
              <w:t>（</w:t>
            </w:r>
            <w:r>
              <w:rPr>
                <w:rFonts w:hint="eastAsia" w:ascii="宋体"/>
                <w:color w:val="000000" w:themeColor="text1"/>
                <w:kern w:val="0"/>
                <w:szCs w:val="21"/>
                <w:highlight w:val="none"/>
                <w14:textFill>
                  <w14:solidFill>
                    <w14:schemeClr w14:val="tx1"/>
                  </w14:solidFill>
                </w14:textFill>
              </w:rPr>
              <w:t>1</w:t>
            </w:r>
            <w:r>
              <w:rPr>
                <w:rFonts w:hint="eastAsia" w:ascii="宋体"/>
                <w:color w:val="000000" w:themeColor="text1"/>
                <w:kern w:val="0"/>
                <w:szCs w:val="21"/>
                <w:highlight w:val="none"/>
                <w:lang w:val="zh-CN"/>
                <w14:textFill>
                  <w14:solidFill>
                    <w14:schemeClr w14:val="tx1"/>
                  </w14:solidFill>
                </w14:textFill>
              </w:rPr>
              <w:t>）评标委员会根据投标产品技术指标对第二章中“主要设备参数清单”内容的响应情况：全部满足或者优于招标要求的得</w:t>
            </w:r>
            <w:r>
              <w:rPr>
                <w:rFonts w:hint="eastAsia" w:ascii="宋体"/>
                <w:color w:val="000000" w:themeColor="text1"/>
                <w:kern w:val="0"/>
                <w:szCs w:val="21"/>
                <w:highlight w:val="none"/>
                <w14:textFill>
                  <w14:solidFill>
                    <w14:schemeClr w14:val="tx1"/>
                  </w14:solidFill>
                </w14:textFill>
              </w:rPr>
              <w:t>30</w:t>
            </w:r>
            <w:r>
              <w:rPr>
                <w:rFonts w:hint="eastAsia" w:ascii="宋体"/>
                <w:color w:val="000000" w:themeColor="text1"/>
                <w:kern w:val="0"/>
                <w:szCs w:val="21"/>
                <w:highlight w:val="none"/>
                <w:lang w:val="zh-CN"/>
                <w14:textFill>
                  <w14:solidFill>
                    <w14:schemeClr w14:val="tx1"/>
                  </w14:solidFill>
                </w14:textFill>
              </w:rPr>
              <w:t>分。</w:t>
            </w:r>
          </w:p>
          <w:p>
            <w:pPr>
              <w:pStyle w:val="64"/>
              <w:spacing w:line="360" w:lineRule="auto"/>
              <w:ind w:left="0" w:leftChars="0" w:firstLine="0"/>
              <w:rPr>
                <w:rFonts w:ascii="宋体"/>
                <w:color w:val="000000" w:themeColor="text1"/>
                <w:kern w:val="0"/>
                <w:szCs w:val="21"/>
                <w:highlight w:val="none"/>
                <w:lang w:val="zh-CN"/>
                <w14:textFill>
                  <w14:solidFill>
                    <w14:schemeClr w14:val="tx1"/>
                  </w14:solidFill>
                </w14:textFill>
              </w:rPr>
            </w:pPr>
            <w:r>
              <w:rPr>
                <w:rFonts w:hint="eastAsia" w:ascii="宋体"/>
                <w:color w:val="000000" w:themeColor="text1"/>
                <w:kern w:val="0"/>
                <w:szCs w:val="21"/>
                <w:highlight w:val="none"/>
                <w:lang w:val="zh-CN"/>
                <w14:textFill>
                  <w14:solidFill>
                    <w14:schemeClr w14:val="tx1"/>
                  </w14:solidFill>
                </w14:textFill>
              </w:rPr>
              <w:t>（</w:t>
            </w:r>
            <w:r>
              <w:rPr>
                <w:rFonts w:hint="eastAsia" w:ascii="宋体"/>
                <w:color w:val="000000" w:themeColor="text1"/>
                <w:kern w:val="0"/>
                <w:szCs w:val="21"/>
                <w:highlight w:val="none"/>
                <w14:textFill>
                  <w14:solidFill>
                    <w14:schemeClr w14:val="tx1"/>
                  </w14:solidFill>
                </w14:textFill>
              </w:rPr>
              <w:t>2</w:t>
            </w:r>
            <w:r>
              <w:rPr>
                <w:rFonts w:hint="eastAsia" w:ascii="宋体"/>
                <w:color w:val="000000" w:themeColor="text1"/>
                <w:kern w:val="0"/>
                <w:szCs w:val="21"/>
                <w:highlight w:val="none"/>
                <w:lang w:val="zh-CN"/>
                <w14:textFill>
                  <w14:solidFill>
                    <w14:schemeClr w14:val="tx1"/>
                  </w14:solidFill>
                </w14:textFill>
              </w:rPr>
              <w:t>）一般参数负偏离每条扣1分，本项扣完为止；</w:t>
            </w:r>
          </w:p>
          <w:p>
            <w:pPr>
              <w:pStyle w:val="64"/>
              <w:spacing w:line="360" w:lineRule="auto"/>
              <w:ind w:left="0" w:leftChars="0" w:firstLine="0"/>
              <w:rPr>
                <w:rFonts w:ascii="宋体"/>
                <w:color w:val="000000" w:themeColor="text1"/>
                <w:kern w:val="0"/>
                <w:szCs w:val="21"/>
                <w:highlight w:val="none"/>
                <w:lang w:val="zh-CN"/>
                <w14:textFill>
                  <w14:solidFill>
                    <w14:schemeClr w14:val="tx1"/>
                  </w14:solidFill>
                </w14:textFill>
              </w:rPr>
            </w:pPr>
            <w:r>
              <w:rPr>
                <w:rFonts w:hint="eastAsia" w:ascii="宋体"/>
                <w:color w:val="000000" w:themeColor="text1"/>
                <w:kern w:val="0"/>
                <w:szCs w:val="21"/>
                <w:highlight w:val="none"/>
                <w:lang w:val="zh-CN"/>
                <w14:textFill>
                  <w14:solidFill>
                    <w14:schemeClr w14:val="tx1"/>
                  </w14:solidFill>
                </w14:textFill>
              </w:rPr>
              <w:t>（</w:t>
            </w:r>
            <w:r>
              <w:rPr>
                <w:rFonts w:hint="eastAsia" w:ascii="宋体"/>
                <w:color w:val="000000" w:themeColor="text1"/>
                <w:kern w:val="0"/>
                <w:szCs w:val="21"/>
                <w:highlight w:val="none"/>
                <w14:textFill>
                  <w14:solidFill>
                    <w14:schemeClr w14:val="tx1"/>
                  </w14:solidFill>
                </w14:textFill>
              </w:rPr>
              <w:t>3</w:t>
            </w:r>
            <w:r>
              <w:rPr>
                <w:rFonts w:hint="eastAsia" w:ascii="宋体"/>
                <w:color w:val="000000" w:themeColor="text1"/>
                <w:kern w:val="0"/>
                <w:szCs w:val="21"/>
                <w:highlight w:val="none"/>
                <w:lang w:val="zh-CN"/>
                <w14:textFill>
                  <w14:solidFill>
                    <w14:schemeClr w14:val="tx1"/>
                  </w14:solidFill>
                </w14:textFill>
              </w:rPr>
              <w:t>）打“★”重要参数如有负偏离 每条扣 2 分，本项扣完为止。</w:t>
            </w:r>
          </w:p>
          <w:p>
            <w:pPr>
              <w:pStyle w:val="64"/>
              <w:spacing w:line="360" w:lineRule="auto"/>
              <w:ind w:left="0" w:leftChars="0" w:firstLine="0"/>
              <w:rPr>
                <w:highlight w:val="none"/>
              </w:rPr>
            </w:pPr>
            <w:r>
              <w:rPr>
                <w:rFonts w:hint="eastAsia" w:ascii="宋体"/>
                <w:color w:val="000000" w:themeColor="text1"/>
                <w:kern w:val="0"/>
                <w:szCs w:val="21"/>
                <w:highlight w:val="none"/>
                <w:lang w:val="zh-CN"/>
                <w14:textFill>
                  <w14:solidFill>
                    <w14:schemeClr w14:val="tx1"/>
                  </w14:solidFill>
                </w14:textFill>
              </w:rPr>
              <w:t>注：招标文件要求提供的功能截图或相关证明材料复印件，需附在投标文件中并加盖公章，如未提供或提供内容不全、不清晰，则不得分。</w:t>
            </w:r>
          </w:p>
        </w:tc>
        <w:tc>
          <w:tcPr>
            <w:tcW w:w="822" w:type="dxa"/>
            <w:vAlign w:val="center"/>
          </w:tcPr>
          <w:p>
            <w:pPr>
              <w:pStyle w:val="29"/>
              <w:adjustRightInd w:val="0"/>
              <w:spacing w:line="360" w:lineRule="auto"/>
              <w:jc w:val="center"/>
              <w:textAlignment w:val="baseline"/>
              <w:rPr>
                <w:rFonts w:hAnsi="宋体" w:cs="宋体"/>
                <w:bCs/>
                <w:highlight w:val="none"/>
              </w:rPr>
            </w:pPr>
            <w:r>
              <w:rPr>
                <w:rFonts w:hint="eastAsia" w:hAnsi="Times New Roman"/>
                <w:color w:val="000000" w:themeColor="text1"/>
                <w:kern w:val="0"/>
                <w:highlight w:val="none"/>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jc w:val="center"/>
        </w:trPr>
        <w:tc>
          <w:tcPr>
            <w:tcW w:w="1133" w:type="dxa"/>
            <w:vMerge w:val="continue"/>
            <w:vAlign w:val="center"/>
          </w:tcPr>
          <w:p>
            <w:pPr>
              <w:pStyle w:val="29"/>
              <w:adjustRightInd w:val="0"/>
              <w:spacing w:line="360" w:lineRule="auto"/>
              <w:jc w:val="center"/>
              <w:textAlignment w:val="baseline"/>
              <w:rPr>
                <w:rFonts w:hAnsi="宋体" w:cs="宋体"/>
                <w:bCs/>
                <w:highlight w:val="none"/>
              </w:rPr>
            </w:pPr>
          </w:p>
        </w:tc>
        <w:tc>
          <w:tcPr>
            <w:tcW w:w="7764" w:type="dxa"/>
          </w:tcPr>
          <w:p>
            <w:pPr>
              <w:adjustRightInd w:val="0"/>
              <w:spacing w:line="360" w:lineRule="auto"/>
              <w:jc w:val="left"/>
              <w:rPr>
                <w:rFonts w:ascii="宋体"/>
                <w:b/>
                <w:bCs/>
                <w:color w:val="000000" w:themeColor="text1"/>
                <w:kern w:val="0"/>
                <w:szCs w:val="21"/>
                <w:highlight w:val="none"/>
                <w14:textFill>
                  <w14:solidFill>
                    <w14:schemeClr w14:val="tx1"/>
                  </w14:solidFill>
                </w14:textFill>
              </w:rPr>
            </w:pPr>
            <w:r>
              <w:rPr>
                <w:rFonts w:hint="eastAsia" w:ascii="宋体"/>
                <w:b/>
                <w:bCs/>
                <w:color w:val="000000" w:themeColor="text1"/>
                <w:kern w:val="0"/>
                <w:szCs w:val="21"/>
                <w:highlight w:val="none"/>
                <w14:textFill>
                  <w14:solidFill>
                    <w14:schemeClr w14:val="tx1"/>
                  </w14:solidFill>
                </w14:textFill>
              </w:rPr>
              <w:t>对本项目的理解及总体规划研究思路（8分）</w:t>
            </w:r>
          </w:p>
          <w:p>
            <w:pPr>
              <w:pStyle w:val="3"/>
              <w:snapToGrid w:val="0"/>
              <w:spacing w:after="0" w:line="360" w:lineRule="auto"/>
              <w:ind w:left="0" w:leftChars="0"/>
              <w:rPr>
                <w:highlight w:val="none"/>
              </w:rPr>
            </w:pPr>
            <w:r>
              <w:rPr>
                <w:rFonts w:hint="eastAsia" w:ascii="宋体"/>
                <w:color w:val="000000" w:themeColor="text1"/>
                <w:kern w:val="0"/>
                <w:szCs w:val="21"/>
                <w:highlight w:val="none"/>
                <w14:textFill>
                  <w14:solidFill>
                    <w14:schemeClr w14:val="tx1"/>
                  </w14:solidFill>
                </w14:textFill>
              </w:rPr>
              <w:t>投标人规划内容理念先进、思路清晰、技术架构正确；总体框架、体系建设思路切合实际，合理可行。内容完善、思路全面准确的得5-8</w:t>
            </w:r>
            <w:r>
              <w:rPr>
                <w:rFonts w:ascii="宋体"/>
                <w:color w:val="000000" w:themeColor="text1"/>
                <w:kern w:val="0"/>
                <w:szCs w:val="21"/>
                <w:highlight w:val="none"/>
                <w14:textFill>
                  <w14:solidFill>
                    <w14:schemeClr w14:val="tx1"/>
                  </w14:solidFill>
                </w14:textFill>
              </w:rPr>
              <w:t>分；内容完整、思路较准确的得</w:t>
            </w:r>
            <w:r>
              <w:rPr>
                <w:rFonts w:hint="eastAsia" w:ascii="宋体"/>
                <w:color w:val="000000" w:themeColor="text1"/>
                <w:kern w:val="0"/>
                <w:szCs w:val="21"/>
                <w:highlight w:val="none"/>
                <w14:textFill>
                  <w14:solidFill>
                    <w14:schemeClr w14:val="tx1"/>
                  </w14:solidFill>
                </w14:textFill>
              </w:rPr>
              <w:t>3</w:t>
            </w:r>
            <w:r>
              <w:rPr>
                <w:rFonts w:ascii="宋体"/>
                <w:color w:val="000000" w:themeColor="text1"/>
                <w:kern w:val="0"/>
                <w:szCs w:val="21"/>
                <w:highlight w:val="none"/>
                <w14:textFill>
                  <w14:solidFill>
                    <w14:schemeClr w14:val="tx1"/>
                  </w14:solidFill>
                </w14:textFill>
              </w:rPr>
              <w:t>-</w:t>
            </w:r>
            <w:r>
              <w:rPr>
                <w:rFonts w:hint="eastAsia" w:ascii="宋体"/>
                <w:color w:val="000000" w:themeColor="text1"/>
                <w:kern w:val="0"/>
                <w:szCs w:val="21"/>
                <w:highlight w:val="none"/>
                <w14:textFill>
                  <w14:solidFill>
                    <w14:schemeClr w14:val="tx1"/>
                  </w14:solidFill>
                </w14:textFill>
              </w:rPr>
              <w:t>5</w:t>
            </w:r>
            <w:r>
              <w:rPr>
                <w:rFonts w:ascii="宋体"/>
                <w:color w:val="000000" w:themeColor="text1"/>
                <w:kern w:val="0"/>
                <w:szCs w:val="21"/>
                <w:highlight w:val="none"/>
                <w14:textFill>
                  <w14:solidFill>
                    <w14:schemeClr w14:val="tx1"/>
                  </w14:solidFill>
                </w14:textFill>
              </w:rPr>
              <w:t>分；项目理解内容不充分、认知把握不准确得0-</w:t>
            </w:r>
            <w:r>
              <w:rPr>
                <w:rFonts w:hint="eastAsia" w:ascii="宋体"/>
                <w:color w:val="000000" w:themeColor="text1"/>
                <w:kern w:val="0"/>
                <w:szCs w:val="21"/>
                <w:highlight w:val="none"/>
                <w14:textFill>
                  <w14:solidFill>
                    <w14:schemeClr w14:val="tx1"/>
                  </w14:solidFill>
                </w14:textFill>
              </w:rPr>
              <w:t>3</w:t>
            </w:r>
            <w:r>
              <w:rPr>
                <w:rFonts w:ascii="宋体"/>
                <w:color w:val="000000" w:themeColor="text1"/>
                <w:kern w:val="0"/>
                <w:szCs w:val="21"/>
                <w:highlight w:val="none"/>
                <w14:textFill>
                  <w14:solidFill>
                    <w14:schemeClr w14:val="tx1"/>
                  </w14:solidFill>
                </w14:textFill>
              </w:rPr>
              <w:t>分；不提供不得分。</w:t>
            </w:r>
          </w:p>
        </w:tc>
        <w:tc>
          <w:tcPr>
            <w:tcW w:w="822" w:type="dxa"/>
            <w:vAlign w:val="center"/>
          </w:tcPr>
          <w:p>
            <w:pPr>
              <w:pStyle w:val="29"/>
              <w:adjustRightInd w:val="0"/>
              <w:spacing w:line="360" w:lineRule="auto"/>
              <w:jc w:val="center"/>
              <w:textAlignment w:val="baseline"/>
              <w:rPr>
                <w:rFonts w:hAnsi="宋体" w:cs="宋体"/>
                <w:bCs/>
                <w:highlight w:val="none"/>
              </w:rPr>
            </w:pPr>
            <w:r>
              <w:rPr>
                <w:rFonts w:hint="eastAsia" w:hAnsi="宋体" w:cs="宋体"/>
                <w:bCs/>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1133" w:type="dxa"/>
            <w:vMerge w:val="continue"/>
            <w:vAlign w:val="center"/>
          </w:tcPr>
          <w:p>
            <w:pPr>
              <w:pStyle w:val="29"/>
              <w:adjustRightInd w:val="0"/>
              <w:spacing w:line="360" w:lineRule="auto"/>
              <w:jc w:val="center"/>
              <w:textAlignment w:val="baseline"/>
              <w:rPr>
                <w:rFonts w:hAnsi="宋体" w:cs="宋体"/>
                <w:bCs/>
                <w:highlight w:val="none"/>
              </w:rPr>
            </w:pPr>
          </w:p>
        </w:tc>
        <w:tc>
          <w:tcPr>
            <w:tcW w:w="7764" w:type="dxa"/>
          </w:tcPr>
          <w:p>
            <w:pPr>
              <w:pStyle w:val="3"/>
              <w:snapToGrid w:val="0"/>
              <w:spacing w:after="0" w:line="360" w:lineRule="auto"/>
              <w:ind w:left="0" w:leftChars="0"/>
              <w:rPr>
                <w:rFonts w:ascii="宋体"/>
                <w:b/>
                <w:bCs/>
                <w:color w:val="000000" w:themeColor="text1"/>
                <w:kern w:val="0"/>
                <w:szCs w:val="21"/>
                <w:highlight w:val="none"/>
                <w14:textFill>
                  <w14:solidFill>
                    <w14:schemeClr w14:val="tx1"/>
                  </w14:solidFill>
                </w14:textFill>
              </w:rPr>
            </w:pPr>
            <w:r>
              <w:rPr>
                <w:rFonts w:hint="eastAsia" w:ascii="宋体"/>
                <w:b/>
                <w:bCs/>
                <w:color w:val="000000" w:themeColor="text1"/>
                <w:kern w:val="0"/>
                <w:szCs w:val="21"/>
                <w:highlight w:val="none"/>
                <w:lang w:val="zh-CN"/>
                <w14:textFill>
                  <w14:solidFill>
                    <w14:schemeClr w14:val="tx1"/>
                  </w14:solidFill>
                </w14:textFill>
              </w:rPr>
              <w:t>本项目应重视的问题及关键环节（</w:t>
            </w:r>
            <w:r>
              <w:rPr>
                <w:rFonts w:hint="eastAsia" w:ascii="宋体"/>
                <w:b/>
                <w:bCs/>
                <w:color w:val="000000" w:themeColor="text1"/>
                <w:kern w:val="0"/>
                <w:szCs w:val="21"/>
                <w:highlight w:val="none"/>
                <w14:textFill>
                  <w14:solidFill>
                    <w14:schemeClr w14:val="tx1"/>
                  </w14:solidFill>
                </w14:textFill>
              </w:rPr>
              <w:t>8分）</w:t>
            </w:r>
          </w:p>
          <w:p>
            <w:pPr>
              <w:pStyle w:val="3"/>
              <w:snapToGrid w:val="0"/>
              <w:spacing w:after="0" w:line="360" w:lineRule="auto"/>
              <w:ind w:left="0" w:leftChars="0"/>
              <w:rPr>
                <w:highlight w:val="none"/>
              </w:rPr>
            </w:pPr>
            <w:r>
              <w:rPr>
                <w:rFonts w:hint="eastAsia" w:ascii="宋体"/>
                <w:color w:val="000000" w:themeColor="text1"/>
                <w:kern w:val="0"/>
                <w:szCs w:val="21"/>
                <w:highlight w:val="none"/>
                <w14:textFill>
                  <w14:solidFill>
                    <w14:schemeClr w14:val="tx1"/>
                  </w14:solidFill>
                </w14:textFill>
              </w:rPr>
              <w:t>本项目工作中的关键问题（可视化展示，运行监管，精准计量，资产管理，巡检</w:t>
            </w:r>
            <w:r>
              <w:rPr>
                <w:rFonts w:hint="eastAsia" w:ascii="宋体"/>
                <w:color w:val="000000" w:themeColor="text1"/>
                <w:kern w:val="0"/>
                <w:szCs w:val="21"/>
                <w:highlight w:val="none"/>
                <w:lang w:val="en-US" w:eastAsia="zh-CN"/>
                <w14:textFill>
                  <w14:solidFill>
                    <w14:schemeClr w14:val="tx1"/>
                  </w14:solidFill>
                </w14:textFill>
              </w:rPr>
              <w:t>检测</w:t>
            </w:r>
            <w:r>
              <w:rPr>
                <w:rFonts w:hint="eastAsia" w:ascii="宋体"/>
                <w:color w:val="000000" w:themeColor="text1"/>
                <w:kern w:val="0"/>
                <w:szCs w:val="21"/>
                <w:highlight w:val="none"/>
                <w14:textFill>
                  <w14:solidFill>
                    <w14:schemeClr w14:val="tx1"/>
                  </w14:solidFill>
                </w14:textFill>
              </w:rPr>
              <w:t>，模型分析，数据</w:t>
            </w:r>
            <w:r>
              <w:rPr>
                <w:rFonts w:hint="eastAsia" w:ascii="宋体"/>
                <w:color w:val="000000" w:themeColor="text1"/>
                <w:kern w:val="0"/>
                <w:szCs w:val="21"/>
                <w:highlight w:val="none"/>
                <w:lang w:eastAsia="zh-CN"/>
                <w14:textFill>
                  <w14:solidFill>
                    <w14:schemeClr w14:val="tx1"/>
                  </w14:solidFill>
                </w14:textFill>
              </w:rPr>
              <w:t>治理</w:t>
            </w:r>
            <w:r>
              <w:rPr>
                <w:rFonts w:hint="eastAsia" w:ascii="宋体"/>
                <w:color w:val="000000" w:themeColor="text1"/>
                <w:kern w:val="0"/>
                <w:szCs w:val="21"/>
                <w:highlight w:val="none"/>
                <w14:textFill>
                  <w14:solidFill>
                    <w14:schemeClr w14:val="tx1"/>
                  </w14:solidFill>
                </w14:textFill>
              </w:rPr>
              <w:t>）分析全面、准确、清晰；相应对策及建议合理、可行、可靠。工作重点把握准确，可实施性强，得5-8</w:t>
            </w:r>
            <w:r>
              <w:rPr>
                <w:rFonts w:ascii="宋体"/>
                <w:color w:val="000000" w:themeColor="text1"/>
                <w:kern w:val="0"/>
                <w:szCs w:val="21"/>
                <w:highlight w:val="none"/>
                <w14:textFill>
                  <w14:solidFill>
                    <w14:schemeClr w14:val="tx1"/>
                  </w14:solidFill>
                </w14:textFill>
              </w:rPr>
              <w:t>分；工作重点把握基本正确、可实施性较强，得</w:t>
            </w:r>
            <w:r>
              <w:rPr>
                <w:rFonts w:hint="eastAsia" w:ascii="宋体"/>
                <w:color w:val="000000" w:themeColor="text1"/>
                <w:kern w:val="0"/>
                <w:szCs w:val="21"/>
                <w:highlight w:val="none"/>
                <w14:textFill>
                  <w14:solidFill>
                    <w14:schemeClr w14:val="tx1"/>
                  </w14:solidFill>
                </w14:textFill>
              </w:rPr>
              <w:t>3-5</w:t>
            </w:r>
            <w:r>
              <w:rPr>
                <w:rFonts w:ascii="宋体"/>
                <w:color w:val="000000" w:themeColor="text1"/>
                <w:kern w:val="0"/>
                <w:szCs w:val="21"/>
                <w:highlight w:val="none"/>
                <w14:textFill>
                  <w14:solidFill>
                    <w14:schemeClr w14:val="tx1"/>
                  </w14:solidFill>
                </w14:textFill>
              </w:rPr>
              <w:t>分；工作重点把握不准确，可实施性一般，得0-</w:t>
            </w:r>
            <w:r>
              <w:rPr>
                <w:rFonts w:hint="eastAsia" w:ascii="宋体"/>
                <w:color w:val="000000" w:themeColor="text1"/>
                <w:kern w:val="0"/>
                <w:szCs w:val="21"/>
                <w:highlight w:val="none"/>
                <w14:textFill>
                  <w14:solidFill>
                    <w14:schemeClr w14:val="tx1"/>
                  </w14:solidFill>
                </w14:textFill>
              </w:rPr>
              <w:t>3</w:t>
            </w:r>
            <w:r>
              <w:rPr>
                <w:rFonts w:ascii="宋体"/>
                <w:color w:val="000000" w:themeColor="text1"/>
                <w:kern w:val="0"/>
                <w:szCs w:val="21"/>
                <w:highlight w:val="none"/>
                <w14:textFill>
                  <w14:solidFill>
                    <w14:schemeClr w14:val="tx1"/>
                  </w14:solidFill>
                </w14:textFill>
              </w:rPr>
              <w:t>分；不提供不得分。</w:t>
            </w:r>
          </w:p>
        </w:tc>
        <w:tc>
          <w:tcPr>
            <w:tcW w:w="822" w:type="dxa"/>
            <w:vAlign w:val="center"/>
          </w:tcPr>
          <w:p>
            <w:pPr>
              <w:pStyle w:val="29"/>
              <w:adjustRightInd w:val="0"/>
              <w:spacing w:line="360" w:lineRule="auto"/>
              <w:jc w:val="center"/>
              <w:textAlignment w:val="baseline"/>
              <w:rPr>
                <w:rFonts w:hAnsi="宋体" w:cs="宋体"/>
                <w:bCs/>
                <w:highlight w:val="none"/>
              </w:rPr>
            </w:pPr>
            <w:r>
              <w:rPr>
                <w:rFonts w:hint="eastAsia" w:hAnsi="宋体" w:cs="宋体"/>
                <w:bCs/>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133" w:type="dxa"/>
            <w:vMerge w:val="continue"/>
            <w:vAlign w:val="center"/>
          </w:tcPr>
          <w:p>
            <w:pPr>
              <w:pStyle w:val="29"/>
              <w:adjustRightInd w:val="0"/>
              <w:spacing w:line="360" w:lineRule="auto"/>
              <w:jc w:val="center"/>
              <w:textAlignment w:val="baseline"/>
              <w:rPr>
                <w:rFonts w:hAnsi="宋体" w:cs="宋体"/>
                <w:bCs/>
                <w:highlight w:val="none"/>
              </w:rPr>
            </w:pPr>
          </w:p>
        </w:tc>
        <w:tc>
          <w:tcPr>
            <w:tcW w:w="7764" w:type="dxa"/>
          </w:tcPr>
          <w:p>
            <w:pPr>
              <w:pStyle w:val="62"/>
              <w:spacing w:line="360" w:lineRule="auto"/>
              <w:ind w:firstLine="0" w:firstLineChars="0"/>
              <w:rPr>
                <w:rFonts w:hint="eastAsia" w:ascii="Times New Roman" w:hAnsi="Times New Roman" w:cs="Times New Roman"/>
                <w:b/>
                <w:bCs/>
                <w:highlight w:val="none"/>
                <w:lang w:val="zh-CN"/>
              </w:rPr>
            </w:pPr>
            <w:r>
              <w:rPr>
                <w:rFonts w:hint="eastAsia" w:ascii="Times New Roman" w:hAnsi="Times New Roman" w:cs="Times New Roman"/>
                <w:b/>
                <w:bCs/>
                <w:highlight w:val="none"/>
                <w:lang w:val="zh-CN"/>
              </w:rPr>
              <w:t>施工进度计划及进度保证措施（</w:t>
            </w:r>
            <w:r>
              <w:rPr>
                <w:rFonts w:hint="eastAsia" w:ascii="Times New Roman" w:hAnsi="Times New Roman" w:cs="Times New Roman"/>
                <w:b/>
                <w:bCs/>
                <w:highlight w:val="none"/>
                <w:lang w:val="en-US" w:eastAsia="zh-CN"/>
              </w:rPr>
              <w:t>5分</w:t>
            </w:r>
            <w:r>
              <w:rPr>
                <w:rFonts w:hint="eastAsia" w:ascii="Times New Roman" w:hAnsi="Times New Roman" w:cs="Times New Roman"/>
                <w:b/>
                <w:bCs/>
                <w:highlight w:val="none"/>
                <w:lang w:val="zh-CN"/>
              </w:rPr>
              <w:t>）</w:t>
            </w:r>
          </w:p>
          <w:p>
            <w:pPr>
              <w:pStyle w:val="62"/>
              <w:spacing w:line="360" w:lineRule="auto"/>
              <w:ind w:firstLine="0" w:firstLineChars="0"/>
              <w:rPr>
                <w:highlight w:val="none"/>
                <w:lang w:val="zh-CN"/>
              </w:rPr>
            </w:pPr>
            <w:r>
              <w:rPr>
                <w:rFonts w:hint="eastAsia" w:ascii="Times New Roman" w:hAnsi="Times New Roman" w:cs="Times New Roman"/>
                <w:highlight w:val="none"/>
                <w:lang w:val="zh-CN"/>
              </w:rPr>
              <w:t>进度计划满足招标文件要求，进度保证措施合理、可行，后期服务措施有力。进度计划及保证措施合理，得</w:t>
            </w:r>
            <w:r>
              <w:rPr>
                <w:rFonts w:hint="eastAsia" w:ascii="Times New Roman" w:hAnsi="Times New Roman" w:cs="Times New Roman"/>
                <w:highlight w:val="none"/>
                <w:lang w:val="en-US" w:eastAsia="zh-CN"/>
              </w:rPr>
              <w:t>3</w:t>
            </w:r>
            <w:r>
              <w:rPr>
                <w:rFonts w:hint="eastAsia" w:ascii="Times New Roman" w:hAnsi="Times New Roman" w:cs="Times New Roman"/>
                <w:highlight w:val="none"/>
                <w:lang w:val="zh-CN"/>
              </w:rPr>
              <w:t>-5分；进度计划及保证措施较合理，得2-3分；进度计划及保证措施一般，得0-</w:t>
            </w:r>
            <w:r>
              <w:rPr>
                <w:rFonts w:hint="eastAsia" w:ascii="Times New Roman" w:hAnsi="Times New Roman" w:cs="Times New Roman"/>
                <w:highlight w:val="none"/>
                <w:lang w:val="en-US" w:eastAsia="zh-CN"/>
              </w:rPr>
              <w:t>2</w:t>
            </w:r>
            <w:r>
              <w:rPr>
                <w:rFonts w:hint="eastAsia" w:ascii="Times New Roman" w:hAnsi="Times New Roman" w:cs="Times New Roman"/>
                <w:highlight w:val="none"/>
                <w:lang w:val="zh-CN"/>
              </w:rPr>
              <w:t>分；不提供不得分。</w:t>
            </w:r>
          </w:p>
        </w:tc>
        <w:tc>
          <w:tcPr>
            <w:tcW w:w="822" w:type="dxa"/>
            <w:vAlign w:val="center"/>
          </w:tcPr>
          <w:p>
            <w:pPr>
              <w:pStyle w:val="29"/>
              <w:adjustRightInd w:val="0"/>
              <w:spacing w:line="360" w:lineRule="auto"/>
              <w:jc w:val="center"/>
              <w:textAlignment w:val="baseline"/>
              <w:rPr>
                <w:rFonts w:hAnsi="宋体" w:cs="宋体"/>
                <w:bCs/>
                <w:highlight w:val="none"/>
              </w:rPr>
            </w:pPr>
            <w:r>
              <w:rPr>
                <w:rFonts w:hint="eastAsia" w:hAnsi="宋体" w:cs="宋体"/>
                <w:bCs/>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133" w:type="dxa"/>
            <w:vMerge w:val="continue"/>
            <w:vAlign w:val="center"/>
          </w:tcPr>
          <w:p>
            <w:pPr>
              <w:pStyle w:val="29"/>
              <w:adjustRightInd w:val="0"/>
              <w:spacing w:line="360" w:lineRule="auto"/>
              <w:jc w:val="center"/>
              <w:textAlignment w:val="baseline"/>
              <w:rPr>
                <w:rFonts w:hAnsi="宋体" w:cs="宋体"/>
                <w:bCs/>
                <w:highlight w:val="none"/>
              </w:rPr>
            </w:pPr>
          </w:p>
        </w:tc>
        <w:tc>
          <w:tcPr>
            <w:tcW w:w="7764" w:type="dxa"/>
          </w:tcPr>
          <w:p>
            <w:pPr>
              <w:adjustRightInd w:val="0"/>
              <w:spacing w:line="360" w:lineRule="auto"/>
              <w:rPr>
                <w:rFonts w:hint="eastAsia"/>
                <w:b/>
                <w:bCs/>
                <w:highlight w:val="none"/>
              </w:rPr>
            </w:pPr>
            <w:r>
              <w:rPr>
                <w:rFonts w:hint="eastAsia"/>
                <w:b/>
                <w:bCs/>
                <w:highlight w:val="none"/>
              </w:rPr>
              <w:t>系统性能和安全设计（5分）</w:t>
            </w:r>
          </w:p>
          <w:p>
            <w:pPr>
              <w:pStyle w:val="62"/>
              <w:spacing w:line="360" w:lineRule="auto"/>
              <w:ind w:firstLine="0" w:firstLineChars="0"/>
              <w:rPr>
                <w:rFonts w:hint="eastAsia" w:ascii="Times New Roman" w:hAnsi="Times New Roman" w:cs="Times New Roman"/>
                <w:highlight w:val="none"/>
                <w:lang w:val="zh-CN"/>
              </w:rPr>
            </w:pPr>
            <w:r>
              <w:rPr>
                <w:rFonts w:hint="eastAsia" w:ascii="Times New Roman" w:hAnsi="Times New Roman" w:cs="Times New Roman"/>
                <w:highlight w:val="none"/>
                <w:lang w:val="zh-CN"/>
              </w:rPr>
              <w:t>系统性能和安全设计满足采购文件要求，从开发、中间件、数据库、集成等角度根据系统性能和安全设计要点、提出保证性能具体采取的措施和建议进行评议。</w:t>
            </w:r>
          </w:p>
          <w:p>
            <w:pPr>
              <w:pStyle w:val="62"/>
              <w:spacing w:line="360" w:lineRule="auto"/>
              <w:ind w:firstLine="0" w:firstLineChars="0"/>
              <w:rPr>
                <w:rFonts w:hint="eastAsia" w:ascii="Times New Roman" w:hAnsi="Times New Roman" w:cs="Times New Roman"/>
                <w:highlight w:val="none"/>
                <w:lang w:val="zh-CN"/>
              </w:rPr>
            </w:pPr>
            <w:r>
              <w:rPr>
                <w:rFonts w:hint="eastAsia" w:ascii="Times New Roman" w:hAnsi="Times New Roman" w:cs="Times New Roman"/>
                <w:highlight w:val="none"/>
                <w:lang w:val="en-US" w:eastAsia="zh-CN"/>
              </w:rPr>
              <w:t>1、</w:t>
            </w:r>
            <w:r>
              <w:rPr>
                <w:rFonts w:hint="eastAsia" w:ascii="Times New Roman" w:hAnsi="Times New Roman" w:cs="Times New Roman"/>
                <w:highlight w:val="none"/>
                <w:lang w:val="zh-CN"/>
              </w:rPr>
              <w:t>系统性能和安全设计方案完整清晰、合理，针对性强，满足系统性能和安全性要求的得4-5分；</w:t>
            </w:r>
          </w:p>
          <w:p>
            <w:pPr>
              <w:pStyle w:val="62"/>
              <w:spacing w:line="360" w:lineRule="auto"/>
              <w:ind w:firstLine="0" w:firstLineChars="0"/>
              <w:rPr>
                <w:rFonts w:hint="eastAsia" w:ascii="Times New Roman" w:hAnsi="Times New Roman" w:cs="Times New Roman"/>
                <w:highlight w:val="none"/>
                <w:lang w:val="zh-CN"/>
              </w:rPr>
            </w:pPr>
            <w:r>
              <w:rPr>
                <w:rFonts w:hint="eastAsia" w:ascii="Times New Roman" w:hAnsi="Times New Roman" w:cs="Times New Roman"/>
                <w:highlight w:val="none"/>
                <w:lang w:val="en-US" w:eastAsia="zh-CN"/>
              </w:rPr>
              <w:t>2、</w:t>
            </w:r>
            <w:r>
              <w:rPr>
                <w:rFonts w:hint="eastAsia" w:ascii="Times New Roman" w:hAnsi="Times New Roman" w:cs="Times New Roman"/>
                <w:highlight w:val="none"/>
                <w:lang w:val="zh-CN"/>
              </w:rPr>
              <w:t>系统性能和安全设计方案较完善，系统性能和安全性能够良好满足项目实施需要而无明显的缺陷的得2-3分；</w:t>
            </w:r>
          </w:p>
          <w:p>
            <w:pPr>
              <w:pStyle w:val="62"/>
              <w:spacing w:line="360" w:lineRule="auto"/>
              <w:ind w:firstLine="0" w:firstLineChars="0"/>
              <w:rPr>
                <w:highlight w:val="none"/>
              </w:rPr>
            </w:pPr>
            <w:r>
              <w:rPr>
                <w:rFonts w:hint="eastAsia" w:ascii="Times New Roman" w:hAnsi="Times New Roman" w:cs="Times New Roman"/>
                <w:highlight w:val="none"/>
                <w:lang w:val="en-US" w:eastAsia="zh-CN"/>
              </w:rPr>
              <w:t>3、</w:t>
            </w:r>
            <w:r>
              <w:rPr>
                <w:rFonts w:hint="eastAsia" w:ascii="Times New Roman" w:hAnsi="Times New Roman" w:cs="Times New Roman"/>
                <w:highlight w:val="none"/>
                <w:lang w:val="zh-CN"/>
              </w:rPr>
              <w:t>系统性能和安全设计方案简单笼统，不能良好满足项目实施的不得分。</w:t>
            </w:r>
          </w:p>
        </w:tc>
        <w:tc>
          <w:tcPr>
            <w:tcW w:w="822" w:type="dxa"/>
            <w:vAlign w:val="center"/>
          </w:tcPr>
          <w:p>
            <w:pPr>
              <w:pStyle w:val="29"/>
              <w:adjustRightInd w:val="0"/>
              <w:spacing w:line="360" w:lineRule="auto"/>
              <w:jc w:val="center"/>
              <w:textAlignment w:val="baseline"/>
              <w:rPr>
                <w:rFonts w:hAnsi="宋体" w:cs="宋体"/>
                <w:bCs/>
                <w:highlight w:val="none"/>
              </w:rPr>
            </w:pPr>
            <w:r>
              <w:rPr>
                <w:rFonts w:hint="eastAsia" w:hAnsi="宋体" w:cs="宋体"/>
                <w:bCs/>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pStyle w:val="29"/>
              <w:adjustRightInd w:val="0"/>
              <w:spacing w:line="360" w:lineRule="auto"/>
              <w:jc w:val="center"/>
              <w:textAlignment w:val="baseline"/>
              <w:rPr>
                <w:rFonts w:hAnsi="宋体" w:cs="宋体"/>
                <w:bCs/>
                <w:highlight w:val="none"/>
              </w:rPr>
            </w:pPr>
          </w:p>
        </w:tc>
        <w:tc>
          <w:tcPr>
            <w:tcW w:w="7764" w:type="dxa"/>
          </w:tcPr>
          <w:p>
            <w:pPr>
              <w:adjustRightInd w:val="0"/>
              <w:spacing w:line="360" w:lineRule="auto"/>
              <w:rPr>
                <w:b/>
                <w:bCs/>
                <w:highlight w:val="none"/>
              </w:rPr>
            </w:pPr>
            <w:r>
              <w:rPr>
                <w:rFonts w:hint="eastAsia"/>
                <w:b/>
                <w:bCs/>
                <w:highlight w:val="none"/>
              </w:rPr>
              <w:t>售后服务能力（6分）</w:t>
            </w:r>
          </w:p>
          <w:p>
            <w:pPr>
              <w:spacing w:line="360" w:lineRule="auto"/>
              <w:rPr>
                <w:highlight w:val="none"/>
                <w:lang w:val="zh-CN"/>
              </w:rPr>
            </w:pPr>
            <w:r>
              <w:rPr>
                <w:rFonts w:hint="eastAsia"/>
                <w:highlight w:val="none"/>
                <w:lang w:val="zh-CN"/>
              </w:rPr>
              <w:t>（</w:t>
            </w:r>
            <w:r>
              <w:rPr>
                <w:rFonts w:hint="eastAsia"/>
                <w:highlight w:val="none"/>
              </w:rPr>
              <w:t>1</w:t>
            </w:r>
            <w:r>
              <w:rPr>
                <w:rFonts w:hint="eastAsia"/>
                <w:highlight w:val="none"/>
                <w:lang w:val="zh-CN"/>
              </w:rPr>
              <w:t>）根据投标人提供的针对本项目的售后服务体系、售后服务方案、售后服务承诺、备品备件、售后服务机构及人员数量情况进行评审。（</w:t>
            </w:r>
            <w:r>
              <w:rPr>
                <w:rFonts w:hint="eastAsia"/>
                <w:highlight w:val="none"/>
              </w:rPr>
              <w:t>0-3</w:t>
            </w:r>
            <w:r>
              <w:rPr>
                <w:rFonts w:hint="eastAsia"/>
                <w:highlight w:val="none"/>
                <w:lang w:val="zh-CN"/>
              </w:rPr>
              <w:t>分）</w:t>
            </w:r>
          </w:p>
          <w:p>
            <w:pPr>
              <w:spacing w:line="360" w:lineRule="auto"/>
              <w:rPr>
                <w:highlight w:val="none"/>
              </w:rPr>
            </w:pPr>
            <w:r>
              <w:rPr>
                <w:rFonts w:hint="eastAsia"/>
                <w:highlight w:val="none"/>
                <w:lang w:val="zh-CN"/>
              </w:rPr>
              <w:t>（</w:t>
            </w:r>
            <w:r>
              <w:rPr>
                <w:rFonts w:hint="eastAsia"/>
                <w:highlight w:val="none"/>
              </w:rPr>
              <w:t>2</w:t>
            </w:r>
            <w:r>
              <w:rPr>
                <w:rFonts w:hint="eastAsia"/>
                <w:highlight w:val="none"/>
                <w:lang w:val="zh-CN"/>
              </w:rPr>
              <w:t>）根据投标人提供的售后服务便捷性，包括响应及时性、到达现场的时间、项目运维期间配合服务的便捷程度、人员设备及技术支持的应急配合能力及时效等方面进行评审。（</w:t>
            </w:r>
            <w:r>
              <w:rPr>
                <w:rFonts w:hint="eastAsia"/>
                <w:highlight w:val="none"/>
              </w:rPr>
              <w:t>0-3</w:t>
            </w:r>
            <w:r>
              <w:rPr>
                <w:rFonts w:hint="eastAsia"/>
                <w:highlight w:val="none"/>
                <w:lang w:val="zh-CN"/>
              </w:rPr>
              <w:t>分）</w:t>
            </w:r>
          </w:p>
        </w:tc>
        <w:tc>
          <w:tcPr>
            <w:tcW w:w="822" w:type="dxa"/>
            <w:vAlign w:val="center"/>
          </w:tcPr>
          <w:p>
            <w:pPr>
              <w:pStyle w:val="29"/>
              <w:adjustRightInd w:val="0"/>
              <w:spacing w:line="360" w:lineRule="auto"/>
              <w:jc w:val="center"/>
              <w:textAlignment w:val="baseline"/>
              <w:rPr>
                <w:rFonts w:hAnsi="宋体" w:cs="宋体"/>
                <w:bCs/>
                <w:highlight w:val="none"/>
              </w:rPr>
            </w:pPr>
            <w:r>
              <w:rPr>
                <w:rFonts w:hint="eastAsia" w:hAnsi="宋体" w:cs="宋体"/>
                <w:bCs/>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pStyle w:val="29"/>
              <w:adjustRightInd w:val="0"/>
              <w:spacing w:line="360" w:lineRule="auto"/>
              <w:jc w:val="center"/>
              <w:textAlignment w:val="baseline"/>
              <w:rPr>
                <w:rFonts w:hAnsi="宋体" w:cs="宋体"/>
                <w:bCs/>
                <w:highlight w:val="none"/>
              </w:rPr>
            </w:pPr>
          </w:p>
        </w:tc>
        <w:tc>
          <w:tcPr>
            <w:tcW w:w="7764" w:type="dxa"/>
            <w:vAlign w:val="center"/>
          </w:tcPr>
          <w:p>
            <w:pPr>
              <w:adjustRightInd w:val="0"/>
              <w:spacing w:line="360" w:lineRule="auto"/>
              <w:jc w:val="left"/>
              <w:rPr>
                <w:b/>
                <w:bCs/>
                <w:highlight w:val="none"/>
              </w:rPr>
            </w:pPr>
            <w:r>
              <w:rPr>
                <w:rFonts w:hint="eastAsia"/>
                <w:b/>
                <w:bCs/>
                <w:highlight w:val="none"/>
              </w:rPr>
              <w:t>演示视频讲解（</w:t>
            </w:r>
            <w:r>
              <w:rPr>
                <w:rFonts w:hint="eastAsia"/>
                <w:b/>
                <w:bCs/>
                <w:highlight w:val="none"/>
                <w:lang w:val="en-US" w:eastAsia="zh-CN"/>
              </w:rPr>
              <w:t>7</w:t>
            </w:r>
            <w:r>
              <w:rPr>
                <w:rFonts w:hint="eastAsia"/>
                <w:b/>
                <w:bCs/>
                <w:highlight w:val="none"/>
              </w:rPr>
              <w:t>分）</w:t>
            </w:r>
          </w:p>
          <w:p>
            <w:pPr>
              <w:spacing w:line="360" w:lineRule="auto"/>
              <w:textAlignment w:val="center"/>
              <w:rPr>
                <w:highlight w:val="none"/>
              </w:rPr>
            </w:pPr>
            <w:r>
              <w:rPr>
                <w:rFonts w:hint="eastAsia"/>
                <w:highlight w:val="none"/>
              </w:rPr>
              <w:t>投标人根据招标文件第二章 招标需求 演示视频在投标截止时间前递交至招标代理机构处，招标代理机构将会在开标现场进行播放，由评委对功能实现、满足情况进行综合评议，演示包含以下内容：</w:t>
            </w:r>
          </w:p>
          <w:p>
            <w:pPr>
              <w:spacing w:line="360" w:lineRule="auto"/>
              <w:textAlignment w:val="center"/>
              <w:rPr>
                <w:highlight w:val="none"/>
              </w:rPr>
            </w:pPr>
            <w:r>
              <w:rPr>
                <w:rFonts w:hint="eastAsia"/>
                <w:highlight w:val="none"/>
              </w:rPr>
              <w:t>（1）排水一张图功能演示，满分</w:t>
            </w:r>
            <w:r>
              <w:rPr>
                <w:rFonts w:hint="eastAsia"/>
                <w:highlight w:val="none"/>
                <w:lang w:val="en-US" w:eastAsia="zh-CN"/>
              </w:rPr>
              <w:t>2</w:t>
            </w:r>
            <w:r>
              <w:rPr>
                <w:rFonts w:hint="eastAsia"/>
                <w:highlight w:val="none"/>
              </w:rPr>
              <w:t>分。由评委按视频演示是否把握重点及功能可实施性的优劣进行综合评审，视频演示重点把握准确，功能可实施性强得</w:t>
            </w:r>
            <w:r>
              <w:rPr>
                <w:rFonts w:hint="eastAsia"/>
                <w:highlight w:val="none"/>
                <w:lang w:val="en-US" w:eastAsia="zh-CN"/>
              </w:rPr>
              <w:t>2</w:t>
            </w:r>
            <w:r>
              <w:rPr>
                <w:rFonts w:hint="eastAsia"/>
                <w:highlight w:val="none"/>
              </w:rPr>
              <w:t>分；重点把握基本准确，功能可实施性一般得</w:t>
            </w:r>
            <w:r>
              <w:rPr>
                <w:rFonts w:hint="eastAsia"/>
                <w:highlight w:val="none"/>
                <w:lang w:val="en-US" w:eastAsia="zh-CN"/>
              </w:rPr>
              <w:t>1</w:t>
            </w:r>
            <w:r>
              <w:rPr>
                <w:rFonts w:hint="eastAsia"/>
                <w:highlight w:val="none"/>
              </w:rPr>
              <w:t>分；重点把握不准确，功能可实施性差不得分。</w:t>
            </w:r>
          </w:p>
          <w:p>
            <w:pPr>
              <w:spacing w:line="360" w:lineRule="auto"/>
              <w:textAlignment w:val="center"/>
              <w:rPr>
                <w:highlight w:val="none"/>
              </w:rPr>
            </w:pPr>
            <w:r>
              <w:rPr>
                <w:rFonts w:hint="eastAsia"/>
                <w:highlight w:val="none"/>
              </w:rPr>
              <w:t>（2）排水BIM+GIS系统功能演示，满分1分。由评委按视频演示是否把握重点及功能可实施性的优劣进行综合评审，视频演示重点把握准确，功能可实施性强得1分；重点把握基本准确，功能可实施性一般得0.5分；重点把握不准确，功能可实施性差不得分。</w:t>
            </w:r>
          </w:p>
          <w:p>
            <w:pPr>
              <w:spacing w:line="360" w:lineRule="auto"/>
              <w:textAlignment w:val="center"/>
              <w:rPr>
                <w:highlight w:val="none"/>
              </w:rPr>
            </w:pPr>
            <w:r>
              <w:rPr>
                <w:rFonts w:hint="eastAsia"/>
                <w:highlight w:val="none"/>
              </w:rPr>
              <w:t>（3）短临预报系统功能演示，满分2分。由评委按视频演示是否把握重点及功能可实施性的优劣进行综合评审，视频演示重点把握准确，功能可实施性强得2分；重点把握基本准确，功能可实施性一般得1分；重点把握不准确，功能可实施性差不得分。</w:t>
            </w:r>
          </w:p>
          <w:p>
            <w:pPr>
              <w:spacing w:line="360" w:lineRule="auto"/>
              <w:textAlignment w:val="center"/>
              <w:rPr>
                <w:highlight w:val="none"/>
              </w:rPr>
            </w:pPr>
            <w:r>
              <w:rPr>
                <w:rFonts w:hint="eastAsia"/>
                <w:highlight w:val="none"/>
              </w:rPr>
              <w:t>（4）内涝应急调度系统功能演示，满分1分。由评委按视频演示是否把握重点及功能可实施性的优劣进行综合评审，视频演示重点把握准确，功能可实施性强得1分；重点把握基本准确，功能可实施性一般得0.5分；重点把握不准确，功能可实施性差不得分。</w:t>
            </w:r>
          </w:p>
          <w:p>
            <w:pPr>
              <w:spacing w:line="360" w:lineRule="auto"/>
              <w:textAlignment w:val="center"/>
              <w:rPr>
                <w:highlight w:val="none"/>
              </w:rPr>
            </w:pPr>
            <w:r>
              <w:rPr>
                <w:rFonts w:hint="eastAsia"/>
                <w:highlight w:val="none"/>
              </w:rPr>
              <w:t>（5）移动端系统功能演示，满分1分。由评委按视频演示是否把握重点及功能可实施性的优劣进行综合评审，视频演示重点把握准确，功能可实施性强得1分；重点把握基本准确，功能可实施性一般得0.5分；重点把握不准确，功能可实施性差不得分。</w:t>
            </w:r>
          </w:p>
          <w:p>
            <w:pPr>
              <w:spacing w:line="360" w:lineRule="auto"/>
              <w:textAlignment w:val="center"/>
              <w:rPr>
                <w:rFonts w:ascii="Calibri" w:hAnsi="Calibri" w:cs="Arial"/>
                <w:highlight w:val="none"/>
                <w:lang w:val="zh-CN"/>
              </w:rPr>
            </w:pPr>
            <w:r>
              <w:rPr>
                <w:rFonts w:hint="eastAsia"/>
                <w:highlight w:val="none"/>
              </w:rPr>
              <w:t>注：本项目不组织现场讲解，供应商需自行录制演示视频（格式要求：MPEG4，时长不超过10分钟），将视频拷入U盘并单独进行密封并在投标截止时间前递交给招标代理机构，递交形式为邮寄（自行承担邮寄过程风险）或开标现场递交（投标人任选其一），未进行演示的，本项不得分）。</w:t>
            </w:r>
          </w:p>
        </w:tc>
        <w:tc>
          <w:tcPr>
            <w:tcW w:w="822" w:type="dxa"/>
            <w:vAlign w:val="center"/>
          </w:tcPr>
          <w:p>
            <w:pPr>
              <w:pStyle w:val="29"/>
              <w:adjustRightInd w:val="0"/>
              <w:spacing w:line="360" w:lineRule="auto"/>
              <w:jc w:val="center"/>
              <w:textAlignment w:val="baseline"/>
              <w:rPr>
                <w:rFonts w:hint="eastAsia" w:hAnsi="宋体" w:eastAsia="宋体" w:cs="宋体"/>
                <w:bCs/>
                <w:highlight w:val="none"/>
                <w:lang w:eastAsia="zh-CN"/>
              </w:rPr>
            </w:pPr>
            <w:r>
              <w:rPr>
                <w:rFonts w:hint="eastAsia" w:hAnsi="宋体" w:cs="宋体"/>
                <w:bCs/>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pStyle w:val="29"/>
              <w:adjustRightInd w:val="0"/>
              <w:spacing w:line="360" w:lineRule="auto"/>
              <w:jc w:val="center"/>
              <w:textAlignment w:val="baseline"/>
              <w:rPr>
                <w:rFonts w:hAnsi="宋体" w:cs="宋体"/>
                <w:bCs/>
                <w:highlight w:val="none"/>
              </w:rPr>
            </w:pPr>
          </w:p>
        </w:tc>
        <w:tc>
          <w:tcPr>
            <w:tcW w:w="7764" w:type="dxa"/>
          </w:tcPr>
          <w:p>
            <w:pPr>
              <w:adjustRightInd w:val="0"/>
              <w:spacing w:line="360" w:lineRule="auto"/>
              <w:jc w:val="left"/>
              <w:rPr>
                <w:rFonts w:ascii="宋体" w:hAnsi="宋体" w:cs="宋体"/>
                <w:b/>
                <w:bCs/>
                <w:kern w:val="0"/>
                <w:szCs w:val="21"/>
                <w:highlight w:val="none"/>
                <w:lang w:val="zh-CN"/>
              </w:rPr>
            </w:pPr>
            <w:r>
              <w:rPr>
                <w:rFonts w:hint="eastAsia" w:ascii="宋体" w:hAnsi="宋体" w:cs="宋体"/>
                <w:b/>
                <w:bCs/>
                <w:kern w:val="0"/>
                <w:szCs w:val="21"/>
                <w:highlight w:val="none"/>
                <w:lang w:val="zh-CN"/>
              </w:rPr>
              <w:t>拟派项目团队评议（</w:t>
            </w:r>
            <w:r>
              <w:rPr>
                <w:rFonts w:hint="eastAsia" w:ascii="宋体" w:hAnsi="宋体" w:cs="宋体"/>
                <w:b/>
                <w:bCs/>
                <w:kern w:val="0"/>
                <w:szCs w:val="21"/>
                <w:highlight w:val="none"/>
              </w:rPr>
              <w:t>6</w:t>
            </w:r>
            <w:r>
              <w:rPr>
                <w:rFonts w:hint="eastAsia" w:ascii="宋体" w:hAnsi="宋体" w:cs="宋体"/>
                <w:b/>
                <w:bCs/>
                <w:kern w:val="0"/>
                <w:szCs w:val="21"/>
                <w:highlight w:val="none"/>
                <w:lang w:val="zh-CN"/>
              </w:rPr>
              <w:t>分）</w:t>
            </w:r>
          </w:p>
          <w:p>
            <w:pPr>
              <w:pStyle w:val="62"/>
              <w:numPr>
                <w:ilvl w:val="0"/>
                <w:numId w:val="63"/>
              </w:numPr>
              <w:spacing w:line="360" w:lineRule="auto"/>
              <w:ind w:firstLine="0" w:firstLineChars="0"/>
              <w:rPr>
                <w:rFonts w:hint="eastAsia" w:ascii="Times New Roman" w:hAnsi="Times New Roman" w:cs="Times New Roman"/>
                <w:highlight w:val="none"/>
                <w:lang w:val="zh-CN"/>
              </w:rPr>
            </w:pPr>
            <w:r>
              <w:rPr>
                <w:rFonts w:hint="eastAsia" w:ascii="Times New Roman" w:hAnsi="Times New Roman" w:cs="Times New Roman"/>
                <w:highlight w:val="none"/>
              </w:rPr>
              <w:t>根据投标人</w:t>
            </w:r>
            <w:r>
              <w:rPr>
                <w:rFonts w:hint="eastAsia" w:ascii="Times New Roman" w:hAnsi="Times New Roman" w:cs="Times New Roman"/>
                <w:highlight w:val="none"/>
                <w:lang w:val="zh-CN"/>
              </w:rPr>
              <w:t>拟</w:t>
            </w:r>
            <w:r>
              <w:rPr>
                <w:rFonts w:hint="eastAsia" w:ascii="Times New Roman" w:hAnsi="Times New Roman" w:cs="Times New Roman"/>
                <w:highlight w:val="none"/>
              </w:rPr>
              <w:t>派</w:t>
            </w:r>
            <w:r>
              <w:rPr>
                <w:rFonts w:hint="eastAsia" w:ascii="Times New Roman" w:hAnsi="Times New Roman" w:cs="Times New Roman"/>
                <w:highlight w:val="none"/>
                <w:lang w:val="zh-CN"/>
              </w:rPr>
              <w:t>本项目经理和项目组实施人员专业人员素质、技术能力、专业分布等情况，数量是否充足，配置是否合理等</w:t>
            </w:r>
            <w:r>
              <w:rPr>
                <w:rFonts w:hint="eastAsia" w:ascii="Times New Roman" w:hAnsi="Times New Roman" w:cs="Times New Roman"/>
                <w:highlight w:val="none"/>
              </w:rPr>
              <w:t>进行综合评议）（0-6）</w:t>
            </w:r>
            <w:r>
              <w:rPr>
                <w:rFonts w:hint="eastAsia" w:ascii="Times New Roman" w:hAnsi="Times New Roman" w:cs="Times New Roman"/>
                <w:highlight w:val="none"/>
                <w:lang w:val="zh-CN"/>
              </w:rPr>
              <w:t>。</w:t>
            </w:r>
          </w:p>
          <w:p>
            <w:pPr>
              <w:pStyle w:val="62"/>
              <w:numPr>
                <w:ilvl w:val="0"/>
                <w:numId w:val="0"/>
              </w:numPr>
              <w:spacing w:line="360" w:lineRule="auto"/>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zh-CN"/>
              </w:rPr>
              <w:t>项目组团队负责人实力强大、各专业人员配置合理得</w:t>
            </w:r>
            <w:r>
              <w:rPr>
                <w:rFonts w:hint="eastAsia" w:ascii="Times New Roman" w:hAnsi="Times New Roman" w:cs="Times New Roman"/>
                <w:highlight w:val="none"/>
                <w:lang w:val="en-US" w:eastAsia="zh-CN"/>
              </w:rPr>
              <w:t>3-6分；项目组团队技术能力和配置一般，得1-3分；项目组团队技术能力或配置不满足本项目要求不得分。</w:t>
            </w:r>
          </w:p>
          <w:p>
            <w:pPr>
              <w:adjustRightInd w:val="0"/>
              <w:spacing w:line="360" w:lineRule="auto"/>
              <w:jc w:val="left"/>
              <w:rPr>
                <w:rFonts w:ascii="宋体" w:hAnsi="宋体" w:cs="宋体"/>
                <w:color w:val="000000"/>
                <w:kern w:val="0"/>
                <w:szCs w:val="21"/>
                <w:highlight w:val="none"/>
                <w:lang w:val="zh-CN" w:bidi="ar"/>
              </w:rPr>
            </w:pPr>
            <w:r>
              <w:rPr>
                <w:rFonts w:hint="eastAsia"/>
                <w:highlight w:val="none"/>
                <w:lang w:val="zh-CN"/>
              </w:rPr>
              <w:t>注：投标文件中提供能体现上述评审因素的证明材料复印件加盖公章；拟投入人员中为目前投标正式在职员工的，另行提供投标人为其缴纳的开标日</w:t>
            </w:r>
            <w:r>
              <w:rPr>
                <w:rFonts w:hint="eastAsia"/>
                <w:highlight w:val="none"/>
              </w:rPr>
              <w:t>前3</w:t>
            </w:r>
            <w:r>
              <w:rPr>
                <w:rFonts w:hint="eastAsia"/>
                <w:highlight w:val="none"/>
                <w:lang w:val="zh-CN"/>
              </w:rPr>
              <w:t>个月的有效社保证明复印件加盖公章。</w:t>
            </w:r>
          </w:p>
        </w:tc>
        <w:tc>
          <w:tcPr>
            <w:tcW w:w="822" w:type="dxa"/>
            <w:vAlign w:val="center"/>
          </w:tcPr>
          <w:p>
            <w:pPr>
              <w:pStyle w:val="29"/>
              <w:adjustRightInd w:val="0"/>
              <w:spacing w:line="360" w:lineRule="auto"/>
              <w:jc w:val="center"/>
              <w:textAlignment w:val="baseline"/>
              <w:rPr>
                <w:rFonts w:hAnsi="宋体" w:cs="宋体"/>
                <w:bCs/>
                <w:highlight w:val="none"/>
              </w:rPr>
            </w:pPr>
            <w:r>
              <w:rPr>
                <w:rFonts w:hint="eastAsia" w:hAnsi="宋体" w:cs="宋体"/>
                <w:bCs/>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133" w:type="dxa"/>
            <w:vMerge w:val="continue"/>
            <w:vAlign w:val="center"/>
          </w:tcPr>
          <w:p>
            <w:pPr>
              <w:pStyle w:val="29"/>
              <w:adjustRightInd w:val="0"/>
              <w:spacing w:line="360" w:lineRule="auto"/>
              <w:jc w:val="center"/>
              <w:textAlignment w:val="baseline"/>
              <w:rPr>
                <w:rFonts w:hAnsi="宋体" w:cs="宋体"/>
                <w:bCs/>
                <w:highlight w:val="none"/>
              </w:rPr>
            </w:pPr>
          </w:p>
        </w:tc>
        <w:tc>
          <w:tcPr>
            <w:tcW w:w="7764" w:type="dxa"/>
            <w:vAlign w:val="center"/>
          </w:tcPr>
          <w:p>
            <w:pPr>
              <w:spacing w:line="360" w:lineRule="auto"/>
              <w:rPr>
                <w:rFonts w:ascii="宋体" w:hAnsi="宋体" w:cs="宋体"/>
                <w:b/>
                <w:bCs/>
                <w:kern w:val="0"/>
                <w:szCs w:val="21"/>
                <w:highlight w:val="none"/>
              </w:rPr>
            </w:pPr>
            <w:r>
              <w:rPr>
                <w:rFonts w:hint="eastAsia" w:ascii="宋体" w:hAnsi="宋体" w:cs="宋体"/>
                <w:b/>
                <w:bCs/>
                <w:kern w:val="0"/>
                <w:szCs w:val="21"/>
                <w:highlight w:val="none"/>
              </w:rPr>
              <w:t>投标人资质（</w:t>
            </w:r>
            <w:r>
              <w:rPr>
                <w:rFonts w:hint="eastAsia" w:ascii="宋体" w:hAnsi="宋体" w:cs="宋体"/>
                <w:b/>
                <w:bCs/>
                <w:kern w:val="0"/>
                <w:szCs w:val="21"/>
                <w:highlight w:val="none"/>
                <w:lang w:val="en-US" w:eastAsia="zh-CN"/>
              </w:rPr>
              <w:t>3</w:t>
            </w:r>
            <w:r>
              <w:rPr>
                <w:rFonts w:hint="eastAsia" w:ascii="宋体" w:hAnsi="宋体" w:cs="宋体"/>
                <w:b/>
                <w:bCs/>
                <w:kern w:val="0"/>
                <w:szCs w:val="21"/>
                <w:highlight w:val="none"/>
              </w:rPr>
              <w:t>分）</w:t>
            </w:r>
          </w:p>
          <w:p>
            <w:pPr>
              <w:pStyle w:val="3"/>
              <w:numPr>
                <w:ilvl w:val="0"/>
                <w:numId w:val="64"/>
              </w:numPr>
              <w:spacing w:after="0" w:line="360" w:lineRule="auto"/>
              <w:ind w:left="0" w:leftChars="0"/>
              <w:rPr>
                <w:rFonts w:ascii="宋体" w:hAnsi="宋体" w:cs="宋体"/>
                <w:bCs/>
                <w:kern w:val="0"/>
                <w:szCs w:val="21"/>
                <w:highlight w:val="none"/>
              </w:rPr>
            </w:pPr>
            <w:r>
              <w:rPr>
                <w:rFonts w:hint="eastAsia" w:ascii="宋体" w:hAnsi="宋体" w:cs="宋体"/>
                <w:bCs/>
                <w:kern w:val="0"/>
                <w:szCs w:val="21"/>
                <w:highlight w:val="none"/>
              </w:rPr>
              <w:t>投标人具有ITSS信息技术服务运行维护标准认证证书的得0.5分</w:t>
            </w:r>
            <w:r>
              <w:rPr>
                <w:rFonts w:hint="eastAsia" w:ascii="宋体" w:hAnsi="宋体" w:cs="宋体"/>
                <w:bCs/>
                <w:kern w:val="0"/>
                <w:szCs w:val="21"/>
                <w:highlight w:val="none"/>
                <w:lang w:eastAsia="zh-CN"/>
              </w:rPr>
              <w:t>；</w:t>
            </w:r>
          </w:p>
          <w:p>
            <w:pPr>
              <w:pStyle w:val="3"/>
              <w:spacing w:after="0" w:line="360" w:lineRule="auto"/>
              <w:ind w:left="0" w:leftChars="0"/>
              <w:rPr>
                <w:rFonts w:ascii="宋体" w:hAnsi="宋体" w:cs="宋体"/>
                <w:bCs/>
                <w:kern w:val="0"/>
                <w:szCs w:val="21"/>
                <w:highlight w:val="none"/>
              </w:rPr>
            </w:pPr>
            <w:r>
              <w:rPr>
                <w:rFonts w:hint="eastAsia" w:ascii="宋体" w:hAnsi="宋体" w:cs="宋体"/>
                <w:bCs/>
                <w:kern w:val="0"/>
                <w:szCs w:val="21"/>
                <w:highlight w:val="none"/>
              </w:rPr>
              <w:t>（</w:t>
            </w:r>
            <w:r>
              <w:rPr>
                <w:rFonts w:hint="eastAsia" w:ascii="宋体" w:hAnsi="宋体" w:cs="宋体"/>
                <w:bCs/>
                <w:kern w:val="0"/>
                <w:szCs w:val="21"/>
                <w:highlight w:val="none"/>
                <w:lang w:val="en-US" w:eastAsia="zh-CN"/>
              </w:rPr>
              <w:t>2</w:t>
            </w:r>
            <w:r>
              <w:rPr>
                <w:rFonts w:hint="eastAsia" w:ascii="宋体" w:hAnsi="宋体" w:cs="宋体"/>
                <w:bCs/>
                <w:kern w:val="0"/>
                <w:szCs w:val="21"/>
                <w:highlight w:val="none"/>
              </w:rPr>
              <w:t>）具有认证范围为地下城市管网设计、水务软件研发相关的</w:t>
            </w:r>
            <w:r>
              <w:rPr>
                <w:rFonts w:ascii="宋体" w:hAnsi="宋体" w:cs="宋体"/>
                <w:bCs/>
                <w:kern w:val="0"/>
                <w:szCs w:val="21"/>
                <w:highlight w:val="none"/>
              </w:rPr>
              <w:t>知识产权管理体系认证证书，得</w:t>
            </w:r>
            <w:r>
              <w:rPr>
                <w:rFonts w:hint="eastAsia" w:ascii="宋体" w:hAnsi="宋体" w:cs="宋体"/>
                <w:bCs/>
                <w:kern w:val="0"/>
                <w:szCs w:val="21"/>
                <w:highlight w:val="none"/>
              </w:rPr>
              <w:t>0.5</w:t>
            </w:r>
            <w:r>
              <w:rPr>
                <w:rFonts w:ascii="宋体" w:hAnsi="宋体" w:cs="宋体"/>
                <w:bCs/>
                <w:kern w:val="0"/>
                <w:szCs w:val="21"/>
                <w:highlight w:val="none"/>
              </w:rPr>
              <w:t>分</w:t>
            </w:r>
            <w:r>
              <w:rPr>
                <w:rFonts w:hint="eastAsia" w:ascii="宋体" w:hAnsi="宋体" w:cs="宋体"/>
                <w:bCs/>
                <w:kern w:val="0"/>
                <w:szCs w:val="21"/>
                <w:highlight w:val="none"/>
              </w:rPr>
              <w:t>；</w:t>
            </w:r>
          </w:p>
          <w:p>
            <w:pPr>
              <w:pStyle w:val="3"/>
              <w:spacing w:after="0" w:line="360" w:lineRule="auto"/>
              <w:ind w:left="0" w:leftChars="0"/>
              <w:rPr>
                <w:rFonts w:hint="eastAsia" w:ascii="宋体" w:hAnsi="宋体" w:eastAsia="宋体" w:cs="宋体"/>
                <w:bCs/>
                <w:kern w:val="0"/>
                <w:szCs w:val="21"/>
                <w:highlight w:val="none"/>
                <w:lang w:eastAsia="zh-CN"/>
              </w:rPr>
            </w:pPr>
            <w:r>
              <w:rPr>
                <w:rFonts w:hint="eastAsia" w:ascii="宋体" w:hAnsi="宋体" w:cs="宋体"/>
                <w:bCs/>
                <w:kern w:val="0"/>
                <w:szCs w:val="21"/>
                <w:highlight w:val="none"/>
              </w:rPr>
              <w:t>（</w:t>
            </w:r>
            <w:r>
              <w:rPr>
                <w:rFonts w:hint="eastAsia" w:ascii="宋体" w:hAnsi="宋体" w:cs="宋体"/>
                <w:bCs/>
                <w:kern w:val="0"/>
                <w:szCs w:val="21"/>
                <w:highlight w:val="none"/>
                <w:lang w:val="en-US" w:eastAsia="zh-CN"/>
              </w:rPr>
              <w:t>3</w:t>
            </w:r>
            <w:r>
              <w:rPr>
                <w:rFonts w:hint="eastAsia" w:ascii="宋体" w:hAnsi="宋体" w:cs="宋体"/>
                <w:bCs/>
                <w:kern w:val="0"/>
                <w:szCs w:val="21"/>
                <w:highlight w:val="none"/>
              </w:rPr>
              <w:t>）认证范围为计算机应用软件开发信息安全管理相关的</w:t>
            </w:r>
            <w:r>
              <w:rPr>
                <w:rFonts w:ascii="宋体" w:hAnsi="宋体" w:cs="宋体"/>
                <w:bCs/>
                <w:kern w:val="0"/>
                <w:szCs w:val="21"/>
                <w:highlight w:val="none"/>
              </w:rPr>
              <w:t>ISO27001</w:t>
            </w:r>
            <w:r>
              <w:rPr>
                <w:rFonts w:hint="eastAsia" w:ascii="宋体" w:hAnsi="宋体" w:cs="宋体"/>
                <w:bCs/>
                <w:kern w:val="0"/>
                <w:szCs w:val="21"/>
                <w:highlight w:val="none"/>
              </w:rPr>
              <w:t>信息安全管理体系认证证书，得0.5分</w:t>
            </w:r>
            <w:r>
              <w:rPr>
                <w:rFonts w:hint="eastAsia" w:ascii="宋体" w:hAnsi="宋体" w:cs="宋体"/>
                <w:bCs/>
                <w:kern w:val="0"/>
                <w:szCs w:val="21"/>
                <w:highlight w:val="none"/>
                <w:lang w:eastAsia="zh-CN"/>
              </w:rPr>
              <w:t>；</w:t>
            </w:r>
          </w:p>
          <w:p>
            <w:pPr>
              <w:pStyle w:val="3"/>
              <w:spacing w:after="0" w:line="360" w:lineRule="auto"/>
              <w:ind w:left="0" w:leftChars="0"/>
              <w:rPr>
                <w:rFonts w:hint="eastAsia" w:ascii="宋体" w:hAnsi="宋体" w:eastAsia="宋体" w:cs="宋体"/>
                <w:bCs/>
                <w:kern w:val="0"/>
                <w:szCs w:val="21"/>
                <w:highlight w:val="none"/>
                <w:lang w:eastAsia="zh-CN"/>
              </w:rPr>
            </w:pPr>
            <w:r>
              <w:rPr>
                <w:rFonts w:hint="eastAsia" w:ascii="宋体" w:hAnsi="宋体" w:cs="宋体"/>
                <w:bCs/>
                <w:kern w:val="0"/>
                <w:szCs w:val="21"/>
                <w:highlight w:val="none"/>
              </w:rPr>
              <w:t>（</w:t>
            </w:r>
            <w:r>
              <w:rPr>
                <w:rFonts w:hint="eastAsia" w:ascii="宋体" w:hAnsi="宋体" w:cs="宋体"/>
                <w:bCs/>
                <w:kern w:val="0"/>
                <w:szCs w:val="21"/>
                <w:highlight w:val="none"/>
                <w:lang w:val="en-US" w:eastAsia="zh-CN"/>
              </w:rPr>
              <w:t>4</w:t>
            </w:r>
            <w:r>
              <w:rPr>
                <w:rFonts w:hint="eastAsia" w:ascii="宋体" w:hAnsi="宋体" w:cs="宋体"/>
                <w:bCs/>
                <w:kern w:val="0"/>
                <w:szCs w:val="21"/>
                <w:highlight w:val="none"/>
              </w:rPr>
              <w:t>）</w:t>
            </w:r>
            <w:r>
              <w:rPr>
                <w:rFonts w:hint="eastAsia" w:ascii="宋体" w:hAnsi="宋体" w:cs="宋体"/>
                <w:bCs/>
                <w:kern w:val="0"/>
                <w:szCs w:val="21"/>
                <w:highlight w:val="none"/>
                <w:lang w:val="en-US" w:eastAsia="zh-Hans"/>
              </w:rPr>
              <w:t>投标人</w:t>
            </w:r>
            <w:r>
              <w:rPr>
                <w:rFonts w:hint="eastAsia" w:ascii="宋体" w:hAnsi="宋体" w:cs="宋体"/>
                <w:bCs/>
                <w:kern w:val="0"/>
                <w:szCs w:val="21"/>
                <w:highlight w:val="none"/>
              </w:rPr>
              <w:t>具有三维管网监测预警系统软件著作权证书</w:t>
            </w:r>
            <w:r>
              <w:rPr>
                <w:rFonts w:hint="eastAsia" w:ascii="宋体" w:hAnsi="宋体" w:cs="宋体"/>
                <w:bCs/>
                <w:kern w:val="0"/>
                <w:szCs w:val="21"/>
                <w:highlight w:val="none"/>
                <w:lang w:eastAsia="zh-Hans"/>
              </w:rPr>
              <w:t>，</w:t>
            </w:r>
            <w:r>
              <w:rPr>
                <w:rFonts w:hint="eastAsia" w:ascii="宋体" w:hAnsi="宋体" w:cs="宋体"/>
                <w:bCs/>
                <w:kern w:val="0"/>
                <w:szCs w:val="21"/>
                <w:highlight w:val="none"/>
              </w:rPr>
              <w:t>得0.5分</w:t>
            </w:r>
            <w:r>
              <w:rPr>
                <w:rFonts w:hint="eastAsia" w:ascii="宋体" w:hAnsi="宋体" w:cs="宋体"/>
                <w:bCs/>
                <w:kern w:val="0"/>
                <w:szCs w:val="21"/>
                <w:highlight w:val="none"/>
                <w:lang w:eastAsia="zh-CN"/>
              </w:rPr>
              <w:t>；</w:t>
            </w:r>
          </w:p>
          <w:p>
            <w:pPr>
              <w:pStyle w:val="2"/>
              <w:ind w:left="0" w:leftChars="0" w:firstLine="0" w:firstLineChars="0"/>
              <w:rPr>
                <w:rFonts w:hint="eastAsia" w:ascii="宋体" w:hAnsi="宋体" w:eastAsia="宋体" w:cs="宋体"/>
                <w:bCs/>
                <w:kern w:val="0"/>
                <w:szCs w:val="21"/>
                <w:highlight w:val="none"/>
                <w:lang w:eastAsia="zh-CN"/>
              </w:rPr>
            </w:pPr>
            <w:r>
              <w:rPr>
                <w:rFonts w:hint="eastAsia" w:ascii="宋体" w:hAnsi="宋体" w:cs="宋体"/>
                <w:bCs/>
                <w:kern w:val="0"/>
                <w:szCs w:val="21"/>
                <w:highlight w:val="none"/>
              </w:rPr>
              <w:t>（</w:t>
            </w:r>
            <w:r>
              <w:rPr>
                <w:rFonts w:hint="eastAsia" w:ascii="宋体" w:hAnsi="宋体" w:cs="宋体"/>
                <w:bCs/>
                <w:kern w:val="0"/>
                <w:szCs w:val="21"/>
                <w:highlight w:val="none"/>
                <w:lang w:val="en-US" w:eastAsia="zh-CN"/>
              </w:rPr>
              <w:t>5</w:t>
            </w:r>
            <w:r>
              <w:rPr>
                <w:rFonts w:hint="eastAsia" w:ascii="宋体" w:hAnsi="宋体" w:cs="宋体"/>
                <w:bCs/>
                <w:kern w:val="0"/>
                <w:szCs w:val="21"/>
                <w:highlight w:val="none"/>
              </w:rPr>
              <w:t>）投标人具有排水管道液位计、流量计安装配置系统软件著作权证书</w:t>
            </w:r>
            <w:r>
              <w:rPr>
                <w:rFonts w:hint="eastAsia" w:ascii="宋体" w:hAnsi="宋体" w:cs="宋体"/>
                <w:bCs/>
                <w:kern w:val="0"/>
                <w:szCs w:val="21"/>
                <w:highlight w:val="none"/>
                <w:lang w:eastAsia="zh-Hans"/>
              </w:rPr>
              <w:t>，</w:t>
            </w:r>
            <w:r>
              <w:rPr>
                <w:rFonts w:hint="eastAsia" w:ascii="宋体" w:hAnsi="宋体" w:cs="宋体"/>
                <w:bCs/>
                <w:kern w:val="0"/>
                <w:szCs w:val="21"/>
                <w:highlight w:val="none"/>
              </w:rPr>
              <w:t>得0.5分</w:t>
            </w:r>
            <w:r>
              <w:rPr>
                <w:rFonts w:hint="eastAsia" w:ascii="宋体" w:hAnsi="宋体" w:cs="宋体"/>
                <w:bCs/>
                <w:kern w:val="0"/>
                <w:szCs w:val="21"/>
                <w:highlight w:val="none"/>
                <w:lang w:eastAsia="zh-CN"/>
              </w:rPr>
              <w:t>；</w:t>
            </w:r>
          </w:p>
          <w:p>
            <w:pPr>
              <w:pStyle w:val="2"/>
              <w:ind w:left="0" w:leftChars="0" w:firstLine="0" w:firstLineChars="0"/>
              <w:rPr>
                <w:rFonts w:hint="eastAsia" w:eastAsia="宋体"/>
                <w:highlight w:val="none"/>
                <w:lang w:eastAsia="zh-CN"/>
              </w:rPr>
            </w:pPr>
            <w:r>
              <w:rPr>
                <w:rFonts w:hint="eastAsia" w:ascii="宋体" w:hAnsi="宋体" w:cs="宋体"/>
                <w:bCs/>
                <w:kern w:val="0"/>
                <w:szCs w:val="21"/>
                <w:highlight w:val="none"/>
              </w:rPr>
              <w:t>（</w:t>
            </w:r>
            <w:r>
              <w:rPr>
                <w:rFonts w:hint="eastAsia" w:ascii="宋体" w:hAnsi="宋体" w:cs="宋体"/>
                <w:bCs/>
                <w:kern w:val="0"/>
                <w:szCs w:val="21"/>
                <w:highlight w:val="none"/>
                <w:lang w:val="en-US" w:eastAsia="zh-CN"/>
              </w:rPr>
              <w:t>6</w:t>
            </w:r>
            <w:r>
              <w:rPr>
                <w:rFonts w:hint="eastAsia" w:ascii="宋体" w:hAnsi="宋体" w:cs="宋体"/>
                <w:bCs/>
                <w:kern w:val="0"/>
                <w:szCs w:val="21"/>
                <w:highlight w:val="none"/>
              </w:rPr>
              <w:t>）投标人具有地下资产三维地图自动生成展示系统软件著作权证书</w:t>
            </w:r>
            <w:r>
              <w:rPr>
                <w:rFonts w:hint="eastAsia" w:ascii="宋体" w:hAnsi="宋体" w:cs="宋体"/>
                <w:bCs/>
                <w:kern w:val="0"/>
                <w:szCs w:val="21"/>
                <w:highlight w:val="none"/>
                <w:lang w:eastAsia="zh-Hans"/>
              </w:rPr>
              <w:t>，</w:t>
            </w:r>
            <w:r>
              <w:rPr>
                <w:rFonts w:hint="eastAsia" w:ascii="宋体" w:hAnsi="宋体" w:cs="宋体"/>
                <w:bCs/>
                <w:kern w:val="0"/>
                <w:szCs w:val="21"/>
                <w:highlight w:val="none"/>
              </w:rPr>
              <w:t>得0.5分</w:t>
            </w:r>
            <w:r>
              <w:rPr>
                <w:rFonts w:hint="eastAsia" w:ascii="宋体" w:hAnsi="宋体" w:cs="宋体"/>
                <w:bCs/>
                <w:kern w:val="0"/>
                <w:szCs w:val="21"/>
                <w:highlight w:val="none"/>
                <w:lang w:eastAsia="zh-CN"/>
              </w:rPr>
              <w:t>。</w:t>
            </w:r>
          </w:p>
          <w:p>
            <w:pPr>
              <w:spacing w:line="360" w:lineRule="auto"/>
              <w:rPr>
                <w:rFonts w:ascii="宋体" w:hAnsi="宋体"/>
                <w:szCs w:val="20"/>
                <w:highlight w:val="none"/>
              </w:rPr>
            </w:pPr>
            <w:r>
              <w:rPr>
                <w:rFonts w:hint="eastAsia" w:ascii="宋体" w:hAnsi="宋体" w:cs="宋体"/>
                <w:bCs/>
                <w:kern w:val="0"/>
                <w:szCs w:val="21"/>
                <w:highlight w:val="none"/>
              </w:rPr>
              <w:t>（注：以上投标人资质得分按照联合体各方均可计取，投标文件中须提供相关证件复印件并加盖公章，不提供不得分。）</w:t>
            </w:r>
          </w:p>
        </w:tc>
        <w:tc>
          <w:tcPr>
            <w:tcW w:w="822" w:type="dxa"/>
            <w:vAlign w:val="center"/>
          </w:tcPr>
          <w:p>
            <w:pPr>
              <w:pStyle w:val="29"/>
              <w:adjustRightInd w:val="0"/>
              <w:spacing w:line="360" w:lineRule="auto"/>
              <w:jc w:val="center"/>
              <w:textAlignment w:val="baseline"/>
              <w:rPr>
                <w:rFonts w:hint="eastAsia" w:hAnsi="宋体" w:eastAsia="宋体" w:cs="宋体"/>
                <w:bCs/>
                <w:highlight w:val="none"/>
                <w:lang w:eastAsia="zh-CN"/>
              </w:rPr>
            </w:pPr>
            <w:r>
              <w:rPr>
                <w:rFonts w:hint="eastAsia" w:hAnsi="宋体" w:cs="宋体"/>
                <w:bCs/>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jc w:val="center"/>
        </w:trPr>
        <w:tc>
          <w:tcPr>
            <w:tcW w:w="1133" w:type="dxa"/>
            <w:vMerge w:val="continue"/>
            <w:vAlign w:val="center"/>
          </w:tcPr>
          <w:p>
            <w:pPr>
              <w:pStyle w:val="29"/>
              <w:adjustRightInd w:val="0"/>
              <w:spacing w:line="360" w:lineRule="auto"/>
              <w:jc w:val="center"/>
              <w:textAlignment w:val="baseline"/>
              <w:rPr>
                <w:rFonts w:hAnsi="宋体" w:cs="宋体"/>
                <w:bCs/>
                <w:highlight w:val="none"/>
              </w:rPr>
            </w:pPr>
          </w:p>
        </w:tc>
        <w:tc>
          <w:tcPr>
            <w:tcW w:w="7764" w:type="dxa"/>
            <w:vAlign w:val="center"/>
          </w:tcPr>
          <w:p>
            <w:pPr>
              <w:spacing w:line="360" w:lineRule="auto"/>
              <w:rPr>
                <w:rFonts w:ascii="宋体" w:hAnsi="宋体" w:cs="宋体"/>
                <w:b/>
                <w:bCs/>
                <w:kern w:val="0"/>
                <w:szCs w:val="21"/>
                <w:highlight w:val="none"/>
              </w:rPr>
            </w:pPr>
            <w:r>
              <w:rPr>
                <w:rFonts w:hint="eastAsia" w:ascii="宋体" w:hAnsi="宋体" w:cs="宋体"/>
                <w:b/>
                <w:bCs/>
                <w:kern w:val="0"/>
                <w:szCs w:val="21"/>
                <w:highlight w:val="none"/>
              </w:rPr>
              <w:t>同类项目业绩（2分）</w:t>
            </w:r>
          </w:p>
          <w:p>
            <w:pPr>
              <w:spacing w:line="360" w:lineRule="auto"/>
              <w:rPr>
                <w:rFonts w:ascii="宋体" w:hAnsi="宋体" w:cs="宋体"/>
                <w:szCs w:val="21"/>
                <w:highlight w:val="none"/>
              </w:rPr>
            </w:pPr>
            <w:r>
              <w:rPr>
                <w:rFonts w:hint="eastAsia" w:ascii="宋体" w:hAnsi="宋体" w:cs="宋体"/>
                <w:highlight w:val="none"/>
              </w:rPr>
              <w:t>根据201</w:t>
            </w:r>
            <w:r>
              <w:rPr>
                <w:rFonts w:hint="eastAsia" w:cs="宋体"/>
                <w:highlight w:val="none"/>
              </w:rPr>
              <w:t>9</w:t>
            </w:r>
            <w:r>
              <w:rPr>
                <w:rFonts w:hint="eastAsia" w:ascii="宋体" w:hAnsi="宋体" w:cs="宋体"/>
                <w:highlight w:val="none"/>
              </w:rPr>
              <w:t>年7月1日以来（以合同签订时间为准）投标人承接过的</w:t>
            </w:r>
            <w:r>
              <w:rPr>
                <w:rFonts w:hint="eastAsia" w:ascii="宋体" w:hAnsi="宋体"/>
                <w:color w:val="000000" w:themeColor="text1"/>
                <w:szCs w:val="21"/>
                <w:highlight w:val="none"/>
                <w14:textFill>
                  <w14:solidFill>
                    <w14:schemeClr w14:val="tx1"/>
                  </w14:solidFill>
                </w14:textFill>
              </w:rPr>
              <w:t>类似项目</w:t>
            </w:r>
            <w:r>
              <w:rPr>
                <w:rFonts w:ascii="宋体" w:hAnsi="宋体"/>
                <w:color w:val="000000" w:themeColor="text1"/>
                <w:szCs w:val="21"/>
                <w:highlight w:val="none"/>
                <w14:textFill>
                  <w14:solidFill>
                    <w14:schemeClr w14:val="tx1"/>
                  </w14:solidFill>
                </w14:textFill>
              </w:rPr>
              <w:t>业绩，</w:t>
            </w:r>
            <w:r>
              <w:rPr>
                <w:rFonts w:hint="eastAsia" w:ascii="宋体" w:hAnsi="宋体"/>
                <w:color w:val="000000" w:themeColor="text1"/>
                <w:szCs w:val="21"/>
                <w:highlight w:val="none"/>
                <w14:textFill>
                  <w14:solidFill>
                    <w14:schemeClr w14:val="tx1"/>
                  </w14:solidFill>
                </w14:textFill>
              </w:rPr>
              <w:t>每个</w:t>
            </w:r>
            <w:r>
              <w:rPr>
                <w:rFonts w:ascii="宋体" w:hAnsi="宋体"/>
                <w:color w:val="000000" w:themeColor="text1"/>
                <w:szCs w:val="21"/>
                <w:highlight w:val="none"/>
                <w14:textFill>
                  <w14:solidFill>
                    <w14:schemeClr w14:val="tx1"/>
                  </w14:solidFill>
                </w14:textFill>
              </w:rPr>
              <w:t>得</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分；</w:t>
            </w:r>
            <w:r>
              <w:rPr>
                <w:rFonts w:hint="eastAsia" w:ascii="宋体" w:hAnsi="宋体"/>
                <w:color w:val="000000" w:themeColor="text1"/>
                <w:szCs w:val="21"/>
                <w:highlight w:val="none"/>
                <w14:textFill>
                  <w14:solidFill>
                    <w14:schemeClr w14:val="tx1"/>
                  </w14:solidFill>
                </w14:textFill>
              </w:rPr>
              <w:t>最高</w:t>
            </w:r>
            <w:r>
              <w:rPr>
                <w:rFonts w:ascii="宋体" w:hAnsi="宋体"/>
                <w:color w:val="000000" w:themeColor="text1"/>
                <w:szCs w:val="21"/>
                <w:highlight w:val="none"/>
                <w14:textFill>
                  <w14:solidFill>
                    <w14:schemeClr w14:val="tx1"/>
                  </w14:solidFill>
                </w14:textFill>
              </w:rPr>
              <w:t>得</w:t>
            </w: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分。</w:t>
            </w:r>
            <w:r>
              <w:rPr>
                <w:rFonts w:hint="eastAsia" w:ascii="宋体" w:hAnsi="宋体" w:cs="宋体"/>
                <w:highlight w:val="none"/>
              </w:rPr>
              <w:t>（</w:t>
            </w:r>
            <w:r>
              <w:rPr>
                <w:rFonts w:hint="eastAsia" w:ascii="宋体" w:hAnsi="宋体"/>
                <w:color w:val="000000" w:themeColor="text1"/>
                <w:szCs w:val="21"/>
                <w:highlight w:val="none"/>
                <w14:textFill>
                  <w14:solidFill>
                    <w14:schemeClr w14:val="tx1"/>
                  </w14:solidFill>
                </w14:textFill>
              </w:rPr>
              <w:t>提供中标（成交）通知书、合同（协议书）、项目验收合格报告复印件</w:t>
            </w:r>
            <w:r>
              <w:rPr>
                <w:rFonts w:hint="eastAsia" w:ascii="宋体" w:hAnsi="宋体" w:cs="宋体"/>
                <w:sz w:val="22"/>
                <w:szCs w:val="22"/>
                <w:highlight w:val="none"/>
              </w:rPr>
              <w:t>，均加盖公章</w:t>
            </w:r>
            <w:r>
              <w:rPr>
                <w:rFonts w:hint="eastAsia" w:ascii="宋体" w:hAnsi="宋体" w:cs="宋体"/>
                <w:highlight w:val="none"/>
              </w:rPr>
              <w:t>）</w:t>
            </w:r>
          </w:p>
        </w:tc>
        <w:tc>
          <w:tcPr>
            <w:tcW w:w="822" w:type="dxa"/>
            <w:vAlign w:val="center"/>
          </w:tcPr>
          <w:p>
            <w:pPr>
              <w:pStyle w:val="29"/>
              <w:adjustRightInd w:val="0"/>
              <w:spacing w:line="360" w:lineRule="auto"/>
              <w:jc w:val="center"/>
              <w:textAlignment w:val="baseline"/>
              <w:rPr>
                <w:rFonts w:hAnsi="宋体" w:cs="宋体"/>
                <w:bCs/>
                <w:highlight w:val="none"/>
              </w:rPr>
            </w:pPr>
            <w:r>
              <w:rPr>
                <w:rFonts w:hint="eastAsia" w:hAnsi="宋体" w:cs="宋体"/>
                <w:bCs/>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jc w:val="center"/>
        </w:trPr>
        <w:tc>
          <w:tcPr>
            <w:tcW w:w="1133" w:type="dxa"/>
            <w:vAlign w:val="center"/>
          </w:tcPr>
          <w:p>
            <w:pPr>
              <w:pStyle w:val="29"/>
              <w:adjustRightInd w:val="0"/>
              <w:spacing w:line="360" w:lineRule="auto"/>
              <w:jc w:val="center"/>
              <w:textAlignment w:val="baseline"/>
              <w:rPr>
                <w:rFonts w:hAnsi="宋体" w:cs="宋体"/>
                <w:bCs/>
                <w:highlight w:val="none"/>
              </w:rPr>
            </w:pPr>
            <w:r>
              <w:rPr>
                <w:rFonts w:hint="eastAsia" w:hAnsi="宋体" w:cs="宋体"/>
                <w:bCs/>
                <w:highlight w:val="none"/>
              </w:rPr>
              <w:t>价格分（20分）</w:t>
            </w:r>
          </w:p>
        </w:tc>
        <w:tc>
          <w:tcPr>
            <w:tcW w:w="7764" w:type="dxa"/>
            <w:vAlign w:val="center"/>
          </w:tcPr>
          <w:p>
            <w:pPr>
              <w:adjustRightInd w:val="0"/>
              <w:spacing w:line="360" w:lineRule="auto"/>
              <w:jc w:val="left"/>
              <w:rPr>
                <w:highlight w:val="none"/>
              </w:rPr>
            </w:pPr>
            <w:r>
              <w:rPr>
                <w:rFonts w:hint="eastAsia"/>
                <w:highlight w:val="none"/>
              </w:rPr>
              <w:t>参与评审的价格=投标报价-【（小微企业(投标人)货物及服务价格×小微企业优惠）20%</w:t>
            </w:r>
            <w:r>
              <w:rPr>
                <w:rFonts w:hint="eastAsia"/>
                <w:highlight w:val="none"/>
                <w:lang w:val="en-US" w:eastAsia="zh-CN"/>
              </w:rPr>
              <w:t>/6%</w:t>
            </w:r>
            <w:r>
              <w:rPr>
                <w:rFonts w:hint="eastAsia"/>
                <w:highlight w:val="none"/>
              </w:rPr>
              <w:t>（如有）】</w:t>
            </w:r>
          </w:p>
          <w:p>
            <w:pPr>
              <w:adjustRightInd w:val="0"/>
              <w:spacing w:line="360" w:lineRule="auto"/>
              <w:jc w:val="left"/>
              <w:rPr>
                <w:highlight w:val="none"/>
              </w:rPr>
            </w:pPr>
            <w:r>
              <w:rPr>
                <w:rFonts w:hint="eastAsia"/>
                <w:highlight w:val="none"/>
              </w:rPr>
              <w:t>评标基准价指的是满足招标文件要求且最低的参与评审的价格，评标基准价的得满分20分。</w:t>
            </w:r>
          </w:p>
          <w:p>
            <w:pPr>
              <w:adjustRightInd w:val="0"/>
              <w:spacing w:line="360" w:lineRule="auto"/>
              <w:jc w:val="left"/>
              <w:rPr>
                <w:highlight w:val="none"/>
              </w:rPr>
            </w:pPr>
            <w:r>
              <w:rPr>
                <w:rFonts w:hint="eastAsia"/>
                <w:highlight w:val="none"/>
              </w:rPr>
              <w:t>其他投标人的价格分按照下列公式计算：</w:t>
            </w:r>
          </w:p>
          <w:p>
            <w:pPr>
              <w:adjustRightInd w:val="0"/>
              <w:spacing w:line="360" w:lineRule="auto"/>
              <w:jc w:val="left"/>
              <w:rPr>
                <w:rFonts w:hint="eastAsia"/>
                <w:highlight w:val="none"/>
              </w:rPr>
            </w:pPr>
            <w:r>
              <w:rPr>
                <w:rFonts w:hint="eastAsia"/>
                <w:highlight w:val="none"/>
              </w:rPr>
              <w:t>报价得分=（评标基准价/各投标人参与评审的价格）×20％×100</w:t>
            </w:r>
          </w:p>
          <w:p>
            <w:pPr>
              <w:adjustRightInd w:val="0"/>
              <w:spacing w:line="360" w:lineRule="auto"/>
              <w:jc w:val="left"/>
              <w:rPr>
                <w:highlight w:val="none"/>
                <w:lang w:val="zh-CN"/>
              </w:rPr>
            </w:pPr>
            <w:r>
              <w:rPr>
                <w:rFonts w:hint="eastAsia"/>
                <w:highlight w:val="none"/>
              </w:rPr>
              <w:t>注：投标人为小微企业的，给予小微企业价格优惠值</w:t>
            </w:r>
            <w:r>
              <w:rPr>
                <w:rFonts w:hint="eastAsia"/>
                <w:highlight w:val="none"/>
                <w:lang w:val="en-US" w:eastAsia="zh-CN"/>
              </w:rPr>
              <w:t>2</w:t>
            </w:r>
            <w:r>
              <w:rPr>
                <w:rFonts w:hint="eastAsia"/>
                <w:highlight w:val="none"/>
              </w:rPr>
              <w:t>0%的扣除。联合体投标的，如联合体成员均为小型、微型企业，给予联合体小微企业价格优惠值</w:t>
            </w:r>
            <w:r>
              <w:rPr>
                <w:rFonts w:hint="eastAsia"/>
                <w:highlight w:val="none"/>
                <w:lang w:val="en-US" w:eastAsia="zh-CN"/>
              </w:rPr>
              <w:t>20</w:t>
            </w:r>
            <w:r>
              <w:rPr>
                <w:rFonts w:hint="eastAsia"/>
                <w:highlight w:val="none"/>
              </w:rPr>
              <w:t>%的扣除；如联合协议中约定，小型、微型企业的协议合同金额占到联合体协议合同总金额30%以上的，给予联合体小微企业价格优惠值</w:t>
            </w:r>
            <w:r>
              <w:rPr>
                <w:rFonts w:hint="eastAsia"/>
                <w:highlight w:val="none"/>
                <w:lang w:val="en-US" w:eastAsia="zh-CN"/>
              </w:rPr>
              <w:t>6</w:t>
            </w:r>
            <w:r>
              <w:rPr>
                <w:rFonts w:hint="eastAsia"/>
                <w:highlight w:val="none"/>
              </w:rPr>
              <w:t>%的价格扣除。</w:t>
            </w:r>
          </w:p>
        </w:tc>
        <w:tc>
          <w:tcPr>
            <w:tcW w:w="822" w:type="dxa"/>
            <w:vAlign w:val="center"/>
          </w:tcPr>
          <w:p>
            <w:pPr>
              <w:pStyle w:val="29"/>
              <w:adjustRightInd w:val="0"/>
              <w:spacing w:line="360" w:lineRule="auto"/>
              <w:jc w:val="center"/>
              <w:textAlignment w:val="baseline"/>
              <w:rPr>
                <w:rFonts w:hAnsi="宋体" w:cs="宋体"/>
                <w:bCs/>
                <w:highlight w:val="none"/>
              </w:rPr>
            </w:pPr>
            <w:r>
              <w:rPr>
                <w:rFonts w:hint="eastAsia" w:hAnsi="宋体" w:cs="宋体"/>
                <w:bCs/>
                <w:highlight w:val="none"/>
              </w:rPr>
              <w:t>20</w:t>
            </w:r>
          </w:p>
        </w:tc>
      </w:tr>
    </w:tbl>
    <w:p>
      <w:pPr>
        <w:spacing w:line="360" w:lineRule="auto"/>
        <w:ind w:firstLine="420" w:firstLineChars="200"/>
        <w:rPr>
          <w:rFonts w:ascii="宋体" w:hAnsi="宋体" w:cs="宋体"/>
          <w:szCs w:val="21"/>
          <w:highlight w:val="none"/>
        </w:rPr>
      </w:pPr>
      <w:r>
        <w:rPr>
          <w:rFonts w:hint="eastAsia" w:ascii="宋体" w:hAnsi="宋体" w:cs="宋体"/>
          <w:szCs w:val="21"/>
          <w:highlight w:val="none"/>
        </w:rPr>
        <w:t>注：评委在上表设定的分值范围内打分，平均分值计算四舍五入保留两位小数点。投标文件有缺项的，该项得分为最低分。</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 </w:t>
      </w:r>
    </w:p>
    <w:p>
      <w:pPr>
        <w:rPr>
          <w:rFonts w:hAnsi="宋体" w:cs="宋体"/>
          <w:sz w:val="28"/>
          <w:szCs w:val="28"/>
          <w:highlight w:val="none"/>
        </w:rPr>
      </w:pPr>
      <w:r>
        <w:rPr>
          <w:rFonts w:hint="eastAsia" w:hAnsi="宋体" w:cs="宋体"/>
          <w:sz w:val="28"/>
          <w:szCs w:val="28"/>
          <w:highlight w:val="none"/>
        </w:rPr>
        <w:br w:type="page"/>
      </w:r>
    </w:p>
    <w:bookmarkEnd w:id="209"/>
    <w:p>
      <w:pPr>
        <w:pStyle w:val="48"/>
        <w:rPr>
          <w:rFonts w:ascii="宋体" w:hAnsi="宋体"/>
          <w:highlight w:val="none"/>
        </w:rPr>
      </w:pPr>
      <w:r>
        <w:rPr>
          <w:rFonts w:hint="eastAsia" w:hAnsi="宋体" w:cs="宋体"/>
          <w:sz w:val="28"/>
          <w:szCs w:val="28"/>
          <w:highlight w:val="none"/>
        </w:rPr>
        <w:t>第五章  政府采购合同主要条款</w:t>
      </w:r>
    </w:p>
    <w:p>
      <w:pPr>
        <w:spacing w:line="440" w:lineRule="exact"/>
        <w:ind w:firstLine="420" w:firstLineChars="200"/>
        <w:jc w:val="center"/>
        <w:rPr>
          <w:rFonts w:ascii="宋体" w:hAnsi="宋体"/>
          <w:szCs w:val="21"/>
          <w:highlight w:val="none"/>
        </w:rPr>
      </w:pPr>
      <w:r>
        <w:rPr>
          <w:rFonts w:hint="eastAsia" w:ascii="宋体" w:hAnsi="宋体"/>
          <w:szCs w:val="21"/>
          <w:highlight w:val="none"/>
        </w:rPr>
        <w:t>(本合同为参考格式，双方协商后确定)</w:t>
      </w:r>
    </w:p>
    <w:p>
      <w:pPr>
        <w:spacing w:line="500" w:lineRule="exact"/>
        <w:rPr>
          <w:rFonts w:ascii="宋体" w:hAnsi="宋体"/>
          <w:b/>
          <w:sz w:val="48"/>
          <w:highlight w:val="none"/>
        </w:rPr>
      </w:pPr>
    </w:p>
    <w:bookmarkEnd w:id="12"/>
    <w:bookmarkEnd w:id="13"/>
    <w:bookmarkEnd w:id="14"/>
    <w:p>
      <w:pPr>
        <w:adjustRightInd w:val="0"/>
        <w:snapToGrid w:val="0"/>
        <w:spacing w:line="360" w:lineRule="auto"/>
        <w:ind w:firstLine="420" w:firstLineChars="200"/>
        <w:rPr>
          <w:rFonts w:ascii="宋体" w:hAnsi="宋体" w:cs="宋体"/>
          <w:szCs w:val="21"/>
          <w:highlight w:val="none"/>
          <w:u w:val="single"/>
        </w:rPr>
      </w:pPr>
      <w:r>
        <w:rPr>
          <w:rFonts w:hint="eastAsia" w:ascii="宋体" w:hAnsi="宋体" w:cs="宋体"/>
          <w:szCs w:val="21"/>
          <w:highlight w:val="none"/>
        </w:rPr>
        <w:t>甲方(采购人)：</w:t>
      </w:r>
      <w:r>
        <w:rPr>
          <w:rFonts w:hint="eastAsia" w:ascii="宋体" w:hAnsi="宋体" w:cs="宋体"/>
          <w:szCs w:val="21"/>
          <w:highlight w:val="none"/>
          <w:u w:val="single"/>
        </w:rPr>
        <w:t xml:space="preserve">                     </w:t>
      </w:r>
    </w:p>
    <w:p>
      <w:pPr>
        <w:pStyle w:val="240"/>
        <w:spacing w:line="360" w:lineRule="auto"/>
        <w:ind w:firstLine="420" w:firstLineChars="200"/>
        <w:jc w:val="both"/>
        <w:rPr>
          <w:rFonts w:ascii="宋体" w:hAnsi="宋体" w:cs="宋体"/>
          <w:sz w:val="21"/>
          <w:szCs w:val="21"/>
          <w:highlight w:val="none"/>
          <w:u w:val="single"/>
          <w:lang w:eastAsia="zh-CN"/>
        </w:rPr>
      </w:pPr>
      <w:r>
        <w:rPr>
          <w:rFonts w:hint="eastAsia" w:ascii="宋体" w:hAnsi="宋体" w:cs="宋体"/>
          <w:sz w:val="21"/>
          <w:szCs w:val="21"/>
          <w:highlight w:val="none"/>
          <w:lang w:eastAsia="zh-CN"/>
        </w:rPr>
        <w:t>乙方(供应商)：</w:t>
      </w:r>
      <w:r>
        <w:rPr>
          <w:rFonts w:hint="eastAsia" w:ascii="宋体" w:hAnsi="宋体" w:cs="宋体"/>
          <w:sz w:val="21"/>
          <w:szCs w:val="21"/>
          <w:highlight w:val="none"/>
          <w:u w:val="single"/>
          <w:lang w:eastAsia="zh-CN"/>
        </w:rPr>
        <w:t xml:space="preserve">                     </w:t>
      </w:r>
    </w:p>
    <w:p>
      <w:pPr>
        <w:pStyle w:val="194"/>
        <w:ind w:firstLine="420"/>
        <w:rPr>
          <w:rFonts w:hAnsi="宋体" w:eastAsia="宋体"/>
          <w:sz w:val="21"/>
          <w:szCs w:val="21"/>
          <w:highlight w:val="none"/>
          <w:lang w:val="zh-CN"/>
        </w:rPr>
      </w:pPr>
      <w:r>
        <w:rPr>
          <w:rFonts w:hint="eastAsia" w:hAnsi="宋体" w:eastAsia="宋体"/>
          <w:sz w:val="21"/>
          <w:szCs w:val="21"/>
          <w:highlight w:val="none"/>
          <w:lang w:val="zh-CN"/>
        </w:rPr>
        <w:t>甲、乙双方根据关于</w:t>
      </w:r>
      <w:r>
        <w:rPr>
          <w:rFonts w:hint="eastAsia" w:hAnsi="宋体" w:eastAsia="宋体"/>
          <w:sz w:val="21"/>
          <w:szCs w:val="21"/>
          <w:highlight w:val="none"/>
          <w:u w:val="single"/>
        </w:rPr>
        <w:t xml:space="preserve">          （项目名称）        </w:t>
      </w:r>
      <w:r>
        <w:rPr>
          <w:rFonts w:hint="eastAsia" w:hAnsi="宋体" w:eastAsia="宋体"/>
          <w:sz w:val="21"/>
          <w:szCs w:val="21"/>
          <w:highlight w:val="none"/>
          <w:lang w:val="zh-CN"/>
        </w:rPr>
        <w:t>公开采购的结果，按照《中华人民共和国民法典》的有关规定，在自愿、平等、公平、诚信的基础上，经双方协商一致，签订本合同。</w:t>
      </w:r>
    </w:p>
    <w:p>
      <w:pPr>
        <w:pStyle w:val="194"/>
        <w:ind w:firstLine="420"/>
        <w:rPr>
          <w:rFonts w:hAnsi="宋体" w:eastAsia="宋体"/>
          <w:sz w:val="21"/>
          <w:szCs w:val="21"/>
          <w:highlight w:val="none"/>
        </w:rPr>
      </w:pPr>
      <w:r>
        <w:rPr>
          <w:rFonts w:hint="eastAsia" w:hAnsi="宋体" w:eastAsia="宋体"/>
          <w:sz w:val="21"/>
          <w:szCs w:val="21"/>
          <w:highlight w:val="none"/>
        </w:rPr>
        <w:t>下述文件作为附件，是合同的一部分，并与本合同一起阅读和解释：</w:t>
      </w:r>
    </w:p>
    <w:p>
      <w:pPr>
        <w:pStyle w:val="194"/>
        <w:ind w:firstLine="420"/>
        <w:rPr>
          <w:rFonts w:hAnsi="宋体" w:eastAsia="宋体"/>
          <w:sz w:val="21"/>
          <w:szCs w:val="21"/>
          <w:highlight w:val="none"/>
        </w:rPr>
      </w:pPr>
      <w:r>
        <w:rPr>
          <w:rFonts w:hint="eastAsia" w:hAnsi="宋体" w:eastAsia="宋体"/>
          <w:sz w:val="21"/>
          <w:szCs w:val="21"/>
          <w:highlight w:val="none"/>
        </w:rPr>
        <w:t>a.本项目采购文件；</w:t>
      </w:r>
    </w:p>
    <w:p>
      <w:pPr>
        <w:pStyle w:val="194"/>
        <w:ind w:firstLine="420"/>
        <w:rPr>
          <w:rFonts w:hAnsi="宋体" w:eastAsia="宋体"/>
          <w:sz w:val="21"/>
          <w:szCs w:val="21"/>
          <w:highlight w:val="none"/>
        </w:rPr>
      </w:pPr>
      <w:r>
        <w:rPr>
          <w:rFonts w:hint="eastAsia" w:hAnsi="宋体" w:eastAsia="宋体"/>
          <w:sz w:val="21"/>
          <w:szCs w:val="21"/>
          <w:highlight w:val="none"/>
        </w:rPr>
        <w:t>b.投标文件及澄清文件；</w:t>
      </w:r>
    </w:p>
    <w:p>
      <w:pPr>
        <w:pStyle w:val="194"/>
        <w:ind w:firstLine="420"/>
        <w:rPr>
          <w:rFonts w:hAnsi="宋体" w:eastAsia="宋体"/>
          <w:sz w:val="21"/>
          <w:szCs w:val="21"/>
          <w:highlight w:val="none"/>
        </w:rPr>
      </w:pPr>
      <w:r>
        <w:rPr>
          <w:rFonts w:hint="eastAsia" w:hAnsi="宋体" w:eastAsia="宋体"/>
          <w:sz w:val="21"/>
          <w:szCs w:val="21"/>
          <w:highlight w:val="none"/>
        </w:rPr>
        <w:t>c.中标通知书；</w:t>
      </w:r>
    </w:p>
    <w:p>
      <w:pPr>
        <w:pStyle w:val="194"/>
        <w:ind w:firstLine="420"/>
        <w:rPr>
          <w:rFonts w:hAnsi="宋体" w:eastAsia="宋体"/>
          <w:sz w:val="21"/>
          <w:szCs w:val="21"/>
          <w:highlight w:val="none"/>
        </w:rPr>
      </w:pPr>
      <w:r>
        <w:rPr>
          <w:rFonts w:hint="eastAsia" w:hAnsi="宋体" w:eastAsia="宋体"/>
          <w:sz w:val="21"/>
          <w:szCs w:val="21"/>
          <w:highlight w:val="none"/>
        </w:rPr>
        <w:t>上述文件与合同若有不一致之处，优先次序第一应为合同、第二应为附件(附件的优先次序为 c,b,a)。</w:t>
      </w:r>
    </w:p>
    <w:p>
      <w:pPr>
        <w:pStyle w:val="29"/>
        <w:spacing w:line="360" w:lineRule="auto"/>
        <w:ind w:firstLine="420" w:firstLineChars="200"/>
        <w:outlineLvl w:val="0"/>
        <w:rPr>
          <w:rFonts w:hAnsi="宋体" w:cs="宋体"/>
          <w:b/>
          <w:highlight w:val="none"/>
        </w:rPr>
      </w:pPr>
      <w:r>
        <w:rPr>
          <w:rFonts w:hint="eastAsia" w:hAnsi="宋体" w:cs="宋体"/>
          <w:b/>
          <w:highlight w:val="none"/>
        </w:rPr>
        <w:t>一、项目名称、合同履行期限（服务期限）、服务内容</w:t>
      </w:r>
    </w:p>
    <w:p>
      <w:pPr>
        <w:pStyle w:val="194"/>
        <w:ind w:firstLine="420"/>
        <w:rPr>
          <w:rFonts w:hAnsi="宋体" w:eastAsia="宋体"/>
          <w:sz w:val="21"/>
          <w:szCs w:val="21"/>
          <w:highlight w:val="none"/>
        </w:rPr>
      </w:pPr>
      <w:r>
        <w:rPr>
          <w:rFonts w:hint="eastAsia" w:hAnsi="宋体" w:eastAsia="宋体"/>
          <w:sz w:val="21"/>
          <w:szCs w:val="21"/>
          <w:highlight w:val="none"/>
        </w:rPr>
        <w:t>1.1项目名称：</w:t>
      </w:r>
      <w:r>
        <w:rPr>
          <w:rFonts w:hint="eastAsia" w:hAnsi="宋体" w:eastAsia="宋体"/>
          <w:sz w:val="21"/>
          <w:szCs w:val="21"/>
          <w:highlight w:val="none"/>
          <w:u w:val="single"/>
        </w:rPr>
        <w:t xml:space="preserve">                      </w:t>
      </w:r>
    </w:p>
    <w:p>
      <w:pPr>
        <w:pStyle w:val="194"/>
        <w:ind w:firstLine="420"/>
        <w:rPr>
          <w:rFonts w:hAnsi="宋体" w:eastAsia="宋体"/>
          <w:sz w:val="21"/>
          <w:szCs w:val="21"/>
          <w:highlight w:val="none"/>
        </w:rPr>
      </w:pPr>
      <w:r>
        <w:rPr>
          <w:rFonts w:hint="eastAsia" w:hAnsi="宋体" w:eastAsia="宋体"/>
          <w:sz w:val="21"/>
          <w:szCs w:val="21"/>
          <w:highlight w:val="none"/>
        </w:rPr>
        <w:t>1.2合同履行期限（服务期限）：</w:t>
      </w:r>
      <w:r>
        <w:rPr>
          <w:rFonts w:hint="eastAsia" w:hAnsi="宋体" w:eastAsia="宋体"/>
          <w:sz w:val="21"/>
          <w:szCs w:val="21"/>
          <w:highlight w:val="none"/>
          <w:u w:val="single"/>
        </w:rPr>
        <w:t xml:space="preserve">              </w:t>
      </w:r>
    </w:p>
    <w:p>
      <w:pPr>
        <w:pStyle w:val="194"/>
        <w:ind w:firstLine="420"/>
        <w:rPr>
          <w:rFonts w:hAnsi="宋体" w:eastAsia="宋体"/>
          <w:sz w:val="21"/>
          <w:szCs w:val="21"/>
          <w:highlight w:val="none"/>
        </w:rPr>
      </w:pPr>
      <w:r>
        <w:rPr>
          <w:rFonts w:hint="eastAsia" w:hAnsi="宋体" w:eastAsia="宋体"/>
          <w:sz w:val="21"/>
          <w:szCs w:val="21"/>
          <w:highlight w:val="none"/>
        </w:rPr>
        <w:t>1.3服务内容：</w:t>
      </w:r>
      <w:r>
        <w:rPr>
          <w:rFonts w:hint="eastAsia" w:hAnsi="宋体" w:eastAsia="宋体"/>
          <w:sz w:val="21"/>
          <w:szCs w:val="21"/>
          <w:highlight w:val="none"/>
          <w:u w:val="single"/>
        </w:rPr>
        <w:t xml:space="preserve">                         </w:t>
      </w:r>
    </w:p>
    <w:p>
      <w:pPr>
        <w:pStyle w:val="29"/>
        <w:spacing w:line="360" w:lineRule="auto"/>
        <w:ind w:firstLine="420" w:firstLineChars="200"/>
        <w:outlineLvl w:val="0"/>
        <w:rPr>
          <w:rFonts w:hAnsi="宋体" w:cs="宋体"/>
          <w:b/>
          <w:highlight w:val="none"/>
        </w:rPr>
      </w:pPr>
      <w:r>
        <w:rPr>
          <w:rFonts w:hint="eastAsia" w:hAnsi="宋体" w:cs="宋体"/>
          <w:b/>
          <w:highlight w:val="none"/>
        </w:rPr>
        <w:t>二、合同金额</w:t>
      </w:r>
    </w:p>
    <w:p>
      <w:pPr>
        <w:pStyle w:val="194"/>
        <w:ind w:firstLine="420"/>
        <w:rPr>
          <w:rFonts w:hAnsi="宋体" w:eastAsia="宋体"/>
          <w:sz w:val="21"/>
          <w:szCs w:val="21"/>
          <w:highlight w:val="none"/>
        </w:rPr>
      </w:pPr>
      <w:r>
        <w:rPr>
          <w:rFonts w:hint="eastAsia" w:hAnsi="宋体" w:eastAsia="宋体"/>
          <w:sz w:val="21"/>
          <w:szCs w:val="21"/>
          <w:highlight w:val="none"/>
        </w:rPr>
        <w:t>2.1本合同采用固定综合单价合同，暂定合同金额为（大写）：</w:t>
      </w:r>
      <w:r>
        <w:rPr>
          <w:rFonts w:hint="eastAsia" w:hAnsi="宋体" w:eastAsia="宋体"/>
          <w:sz w:val="21"/>
          <w:szCs w:val="21"/>
          <w:highlight w:val="none"/>
          <w:u w:val="single"/>
        </w:rPr>
        <w:t xml:space="preserve">        </w:t>
      </w:r>
      <w:r>
        <w:rPr>
          <w:rFonts w:hint="eastAsia" w:hAnsi="宋体" w:eastAsia="宋体"/>
          <w:sz w:val="21"/>
          <w:szCs w:val="21"/>
          <w:highlight w:val="none"/>
        </w:rPr>
        <w:t>元（￥</w:t>
      </w:r>
      <w:r>
        <w:rPr>
          <w:rFonts w:hint="eastAsia" w:hAnsi="宋体" w:eastAsia="宋体"/>
          <w:sz w:val="21"/>
          <w:szCs w:val="21"/>
          <w:highlight w:val="none"/>
          <w:u w:val="single"/>
        </w:rPr>
        <w:t xml:space="preserve">       </w:t>
      </w:r>
      <w:r>
        <w:rPr>
          <w:rFonts w:hint="eastAsia" w:hAnsi="宋体" w:eastAsia="宋体"/>
          <w:sz w:val="21"/>
          <w:szCs w:val="21"/>
          <w:highlight w:val="none"/>
        </w:rPr>
        <w:t>元）人民币，最终金额以结算审计为准。</w:t>
      </w:r>
    </w:p>
    <w:p>
      <w:pPr>
        <w:pStyle w:val="29"/>
        <w:spacing w:line="360" w:lineRule="auto"/>
        <w:ind w:firstLine="420" w:firstLineChars="200"/>
        <w:outlineLvl w:val="0"/>
        <w:rPr>
          <w:rFonts w:hAnsi="宋体" w:cs="宋体"/>
          <w:b/>
          <w:highlight w:val="none"/>
        </w:rPr>
      </w:pPr>
      <w:r>
        <w:rPr>
          <w:rFonts w:hint="eastAsia" w:hAnsi="宋体" w:cs="宋体"/>
          <w:b/>
          <w:highlight w:val="none"/>
        </w:rPr>
        <w:t>三、履约保证金</w:t>
      </w:r>
    </w:p>
    <w:p>
      <w:pPr>
        <w:spacing w:line="400" w:lineRule="exact"/>
        <w:ind w:firstLine="420" w:firstLineChars="200"/>
        <w:rPr>
          <w:rFonts w:ascii="宋体" w:hAnsi="宋体" w:cs="宋体"/>
          <w:bCs/>
          <w:kern w:val="0"/>
          <w:szCs w:val="20"/>
          <w:highlight w:val="none"/>
        </w:rPr>
      </w:pPr>
      <w:r>
        <w:rPr>
          <w:rFonts w:hint="eastAsia" w:ascii="宋体" w:hAnsi="宋体" w:cs="宋体"/>
          <w:bCs/>
          <w:highlight w:val="none"/>
        </w:rPr>
        <w:t>1、</w:t>
      </w:r>
      <w:r>
        <w:rPr>
          <w:rFonts w:hint="eastAsia" w:ascii="宋体" w:hAnsi="宋体" w:cs="宋体"/>
          <w:bCs/>
          <w:kern w:val="0"/>
          <w:szCs w:val="20"/>
          <w:highlight w:val="none"/>
        </w:rPr>
        <w:t>履约保证金金额：合同总价的1%。</w:t>
      </w:r>
    </w:p>
    <w:p>
      <w:pPr>
        <w:pStyle w:val="23"/>
        <w:spacing w:line="360" w:lineRule="auto"/>
        <w:ind w:firstLine="420" w:firstLineChars="200"/>
        <w:rPr>
          <w:rFonts w:ascii="宋体" w:hAnsi="宋体" w:cs="宋体"/>
          <w:bCs/>
          <w:highlight w:val="none"/>
        </w:rPr>
      </w:pPr>
      <w:r>
        <w:rPr>
          <w:rFonts w:hint="eastAsia" w:ascii="宋体" w:hAnsi="宋体" w:cs="宋体"/>
          <w:bCs/>
          <w:highlight w:val="none"/>
        </w:rPr>
        <w:t>2、履约保证金形式：支票、电汇、汇票、本票、保函等</w:t>
      </w:r>
      <w:r>
        <w:rPr>
          <w:rFonts w:hint="eastAsia" w:ascii="宋体" w:hAnsi="宋体" w:cs="宋体"/>
          <w:bCs/>
          <w:highlight w:val="none"/>
          <w:lang w:val="en-US" w:eastAsia="zh-CN"/>
        </w:rPr>
        <w:t>甲方</w:t>
      </w:r>
      <w:r>
        <w:rPr>
          <w:rFonts w:hint="eastAsia" w:ascii="宋体" w:hAnsi="宋体" w:cs="宋体"/>
          <w:bCs/>
          <w:highlight w:val="none"/>
        </w:rPr>
        <w:t>认可的非现金形式。</w:t>
      </w:r>
    </w:p>
    <w:p>
      <w:pPr>
        <w:pStyle w:val="19"/>
        <w:ind w:firstLine="420" w:firstLineChars="200"/>
        <w:rPr>
          <w:rFonts w:ascii="Arial" w:hAnsi="Arial"/>
          <w:szCs w:val="21"/>
          <w:highlight w:val="none"/>
        </w:rPr>
      </w:pPr>
      <w:r>
        <w:rPr>
          <w:rFonts w:hint="eastAsia" w:ascii="宋体" w:hAnsi="宋体" w:cs="宋体"/>
          <w:bCs/>
          <w:kern w:val="0"/>
          <w:szCs w:val="20"/>
          <w:highlight w:val="none"/>
        </w:rPr>
        <w:t>3、</w:t>
      </w:r>
      <w:r>
        <w:rPr>
          <w:rFonts w:hint="eastAsia" w:ascii="Arial" w:hAnsi="Arial"/>
          <w:szCs w:val="21"/>
          <w:highlight w:val="none"/>
        </w:rPr>
        <w:t>递交期限：合同签订后15日内</w:t>
      </w:r>
      <w:r>
        <w:rPr>
          <w:rFonts w:hint="eastAsia"/>
          <w:highlight w:val="none"/>
          <w:lang w:eastAsia="zh-CN"/>
        </w:rPr>
        <w:t>（</w:t>
      </w:r>
      <w:r>
        <w:rPr>
          <w:rFonts w:hint="eastAsia"/>
          <w:highlight w:val="none"/>
          <w:lang w:val="en-US" w:eastAsia="zh-CN"/>
        </w:rPr>
        <w:t>联合体中标的，由联合体牵头人递交</w:t>
      </w:r>
      <w:r>
        <w:rPr>
          <w:rFonts w:hint="eastAsia"/>
          <w:highlight w:val="none"/>
          <w:lang w:eastAsia="zh-CN"/>
        </w:rPr>
        <w:t>）。</w:t>
      </w:r>
    </w:p>
    <w:p>
      <w:pPr>
        <w:pStyle w:val="29"/>
        <w:spacing w:line="360" w:lineRule="auto"/>
        <w:ind w:firstLine="420" w:firstLineChars="200"/>
        <w:outlineLvl w:val="0"/>
        <w:rPr>
          <w:rFonts w:hAnsi="宋体" w:cs="宋体"/>
          <w:bCs/>
          <w:highlight w:val="none"/>
        </w:rPr>
      </w:pPr>
      <w:r>
        <w:rPr>
          <w:rFonts w:hint="eastAsia" w:hAnsi="宋体" w:cs="宋体"/>
          <w:bCs/>
          <w:highlight w:val="none"/>
        </w:rPr>
        <w:t>合同履行期间，</w:t>
      </w:r>
      <w:r>
        <w:rPr>
          <w:rFonts w:hint="eastAsia" w:hAnsi="宋体" w:cs="宋体"/>
          <w:bCs/>
          <w:highlight w:val="none"/>
          <w:lang w:val="en-US" w:eastAsia="zh-CN"/>
        </w:rPr>
        <w:t>乙方</w:t>
      </w:r>
      <w:r>
        <w:rPr>
          <w:rFonts w:hint="eastAsia" w:hAnsi="宋体" w:cs="宋体"/>
          <w:bCs/>
          <w:highlight w:val="none"/>
        </w:rPr>
        <w:t>不得将履约保证金取回或作任何抵押。履约保证金于项目通过正式验收后，无质量和服务问题，无息退还履约保证金。（服务期内</w:t>
      </w:r>
      <w:r>
        <w:rPr>
          <w:rFonts w:hint="eastAsia" w:hAnsi="宋体" w:cs="宋体"/>
          <w:bCs/>
          <w:highlight w:val="none"/>
          <w:lang w:val="en-US" w:eastAsia="zh-CN"/>
        </w:rPr>
        <w:t>乙方</w:t>
      </w:r>
      <w:r>
        <w:rPr>
          <w:rFonts w:hint="eastAsia" w:hAnsi="宋体" w:cs="宋体"/>
          <w:bCs/>
          <w:highlight w:val="none"/>
        </w:rPr>
        <w:t>未按要求提供服务的或者服务质量不达标的，</w:t>
      </w:r>
      <w:r>
        <w:rPr>
          <w:rFonts w:hint="eastAsia" w:ascii="宋体" w:hAnsi="宋体" w:cs="宋体"/>
          <w:bCs/>
          <w:highlight w:val="none"/>
          <w:lang w:val="en-US" w:eastAsia="zh-CN"/>
        </w:rPr>
        <w:t>甲方</w:t>
      </w:r>
      <w:r>
        <w:rPr>
          <w:rFonts w:hint="eastAsia" w:hAnsi="宋体" w:cs="宋体"/>
          <w:bCs/>
          <w:highlight w:val="none"/>
        </w:rPr>
        <w:t>有权扣罚其履约保证金）。</w:t>
      </w:r>
    </w:p>
    <w:p>
      <w:pPr>
        <w:pStyle w:val="29"/>
        <w:spacing w:line="360" w:lineRule="auto"/>
        <w:ind w:firstLine="420" w:firstLineChars="200"/>
        <w:outlineLvl w:val="0"/>
        <w:rPr>
          <w:rFonts w:hAnsi="宋体" w:cs="宋体"/>
          <w:b/>
          <w:highlight w:val="none"/>
        </w:rPr>
      </w:pPr>
      <w:r>
        <w:rPr>
          <w:rFonts w:hint="eastAsia" w:hAnsi="宋体" w:cs="宋体"/>
          <w:b/>
          <w:highlight w:val="none"/>
        </w:rPr>
        <w:t>四、转包或分包</w:t>
      </w:r>
    </w:p>
    <w:p>
      <w:pPr>
        <w:pStyle w:val="194"/>
        <w:ind w:firstLine="420"/>
        <w:rPr>
          <w:rFonts w:hAnsi="宋体" w:eastAsia="宋体"/>
          <w:sz w:val="21"/>
          <w:szCs w:val="21"/>
          <w:highlight w:val="none"/>
        </w:rPr>
      </w:pPr>
      <w:r>
        <w:rPr>
          <w:rFonts w:hint="eastAsia" w:hAnsi="宋体" w:eastAsia="宋体"/>
          <w:sz w:val="21"/>
          <w:szCs w:val="21"/>
          <w:highlight w:val="none"/>
        </w:rPr>
        <w:t>4.1本合同范围的服务，应由乙方直接提供，不得转让他人；</w:t>
      </w:r>
    </w:p>
    <w:p>
      <w:pPr>
        <w:pStyle w:val="194"/>
        <w:ind w:firstLine="420"/>
        <w:rPr>
          <w:rFonts w:hAnsi="宋体" w:eastAsia="宋体"/>
          <w:sz w:val="21"/>
          <w:szCs w:val="21"/>
          <w:highlight w:val="none"/>
        </w:rPr>
      </w:pPr>
      <w:r>
        <w:rPr>
          <w:rFonts w:hint="eastAsia" w:hAnsi="宋体" w:eastAsia="宋体"/>
          <w:sz w:val="21"/>
          <w:szCs w:val="21"/>
          <w:highlight w:val="none"/>
        </w:rPr>
        <w:t>4.2 除非得到甲方的书面同意，乙方不得部分分包给他人。甲方有绝对权力阻止分包。</w:t>
      </w:r>
    </w:p>
    <w:p>
      <w:pPr>
        <w:pStyle w:val="194"/>
        <w:ind w:firstLine="420"/>
        <w:rPr>
          <w:rFonts w:hAnsi="宋体" w:eastAsia="宋体"/>
          <w:sz w:val="21"/>
          <w:szCs w:val="21"/>
          <w:highlight w:val="none"/>
        </w:rPr>
      </w:pPr>
      <w:r>
        <w:rPr>
          <w:rFonts w:hint="eastAsia" w:hAnsi="宋体" w:eastAsia="宋体"/>
          <w:sz w:val="21"/>
          <w:szCs w:val="21"/>
          <w:highlight w:val="none"/>
        </w:rPr>
        <w:t>4.3如有转让和未经甲方同意的分包行为，甲方有权给予终止合同。</w:t>
      </w:r>
    </w:p>
    <w:p>
      <w:pPr>
        <w:pStyle w:val="29"/>
        <w:spacing w:line="360" w:lineRule="auto"/>
        <w:ind w:firstLine="420" w:firstLineChars="200"/>
        <w:outlineLvl w:val="0"/>
        <w:rPr>
          <w:rFonts w:hAnsi="宋体" w:cs="宋体"/>
          <w:b/>
          <w:highlight w:val="none"/>
        </w:rPr>
      </w:pPr>
      <w:r>
        <w:rPr>
          <w:rFonts w:hint="eastAsia" w:hAnsi="宋体" w:cs="宋体"/>
          <w:b/>
          <w:highlight w:val="none"/>
        </w:rPr>
        <w:t>五、合同付款方法</w:t>
      </w:r>
    </w:p>
    <w:p>
      <w:pPr>
        <w:pStyle w:val="194"/>
        <w:ind w:firstLine="420"/>
        <w:rPr>
          <w:rFonts w:hint="eastAsia" w:hAnsi="宋体" w:eastAsia="宋体"/>
          <w:sz w:val="21"/>
          <w:szCs w:val="21"/>
          <w:highlight w:val="none"/>
        </w:rPr>
      </w:pPr>
      <w:r>
        <w:rPr>
          <w:rFonts w:hint="eastAsia" w:hAnsi="宋体" w:eastAsia="宋体"/>
          <w:sz w:val="21"/>
          <w:szCs w:val="21"/>
          <w:highlight w:val="none"/>
        </w:rPr>
        <w:t>5.1、</w:t>
      </w:r>
      <w:r>
        <w:rPr>
          <w:rFonts w:hint="eastAsia" w:hAnsi="宋体" w:eastAsia="宋体"/>
          <w:sz w:val="21"/>
          <w:szCs w:val="21"/>
          <w:highlight w:val="none"/>
          <w:lang w:eastAsia="zh-CN"/>
        </w:rPr>
        <w:t>合同签订后15个工作日内支付合同总价的20%；项目实施完成且通过初验后支付合同总价的50%；</w:t>
      </w:r>
      <w:r>
        <w:rPr>
          <w:rFonts w:hint="eastAsia" w:hAnsi="宋体" w:eastAsia="宋体"/>
          <w:sz w:val="21"/>
          <w:szCs w:val="21"/>
          <w:highlight w:val="none"/>
          <w:lang w:eastAsia="zh-CN"/>
        </w:rPr>
        <w:t>项目通过终验且最终经采购人确认后付清应付余款</w:t>
      </w:r>
      <w:r>
        <w:rPr>
          <w:rFonts w:hint="eastAsia" w:hAnsi="宋体" w:eastAsia="宋体"/>
          <w:sz w:val="21"/>
          <w:szCs w:val="21"/>
          <w:highlight w:val="none"/>
        </w:rPr>
        <w:t>。</w:t>
      </w:r>
    </w:p>
    <w:p>
      <w:pPr>
        <w:pStyle w:val="194"/>
        <w:ind w:firstLine="420"/>
        <w:rPr>
          <w:rFonts w:hint="eastAsia" w:hAnsi="宋体" w:eastAsia="宋体"/>
          <w:sz w:val="21"/>
          <w:szCs w:val="21"/>
          <w:highlight w:val="none"/>
        </w:rPr>
      </w:pPr>
      <w:r>
        <w:rPr>
          <w:rFonts w:hint="eastAsia" w:hAnsi="宋体" w:eastAsia="宋体"/>
          <w:sz w:val="21"/>
          <w:szCs w:val="21"/>
          <w:highlight w:val="none"/>
          <w:lang w:val="en-US" w:eastAsia="zh-CN"/>
        </w:rPr>
        <w:t>注：如联合体中标的，各款项由甲方统一支付给联合体牵头人。</w:t>
      </w:r>
    </w:p>
    <w:p>
      <w:pPr>
        <w:pStyle w:val="29"/>
        <w:spacing w:line="360" w:lineRule="auto"/>
        <w:ind w:firstLine="420" w:firstLineChars="200"/>
        <w:outlineLvl w:val="0"/>
        <w:rPr>
          <w:rFonts w:hAnsi="宋体" w:cs="宋体"/>
          <w:b/>
          <w:highlight w:val="none"/>
        </w:rPr>
      </w:pPr>
      <w:r>
        <w:rPr>
          <w:rFonts w:hint="eastAsia" w:hAnsi="宋体" w:cs="宋体"/>
          <w:b/>
          <w:highlight w:val="none"/>
        </w:rPr>
        <w:t>六、质保期</w:t>
      </w:r>
    </w:p>
    <w:p>
      <w:pPr>
        <w:numPr>
          <w:ilvl w:val="0"/>
          <w:numId w:val="0"/>
        </w:numPr>
        <w:spacing w:line="360" w:lineRule="auto"/>
        <w:ind w:firstLine="420" w:firstLineChars="200"/>
        <w:rPr>
          <w:rFonts w:hint="eastAsia"/>
          <w:color w:val="000000"/>
          <w:kern w:val="0"/>
          <w:highlight w:val="none"/>
          <w:lang w:eastAsia="zh-CN"/>
        </w:rPr>
      </w:pPr>
      <w:r>
        <w:rPr>
          <w:rFonts w:hint="eastAsia"/>
          <w:highlight w:val="none"/>
          <w:lang w:val="en-US" w:eastAsia="zh-CN"/>
        </w:rPr>
        <w:t>6.1、乙方须提供</w:t>
      </w:r>
      <w:r>
        <w:rPr>
          <w:rFonts w:hint="eastAsia"/>
          <w:color w:val="000000"/>
          <w:kern w:val="0"/>
          <w:highlight w:val="none"/>
        </w:rPr>
        <w:t>4名驻点人员</w:t>
      </w:r>
      <w:r>
        <w:rPr>
          <w:rFonts w:hint="eastAsia"/>
          <w:highlight w:val="none"/>
        </w:rPr>
        <w:t>（须为参与项目实施人员）</w:t>
      </w:r>
      <w:r>
        <w:rPr>
          <w:rFonts w:hint="eastAsia"/>
          <w:color w:val="000000"/>
          <w:kern w:val="0"/>
          <w:highlight w:val="none"/>
        </w:rPr>
        <w:t>、1辆专车对物联感知设备进行</w:t>
      </w:r>
      <w:r>
        <w:rPr>
          <w:rFonts w:hint="eastAsia"/>
          <w:color w:val="000000"/>
          <w:kern w:val="0"/>
          <w:highlight w:val="none"/>
          <w:lang w:eastAsia="zh-CN"/>
        </w:rPr>
        <w:t>合同履行期间内</w:t>
      </w:r>
      <w:r>
        <w:rPr>
          <w:rFonts w:hint="eastAsia"/>
          <w:color w:val="000000"/>
          <w:kern w:val="0"/>
          <w:highlight w:val="none"/>
          <w:lang w:eastAsia="zh-CN"/>
        </w:rPr>
        <w:t>的巡检检测服务</w:t>
      </w:r>
      <w:r>
        <w:rPr>
          <w:rFonts w:hint="eastAsia"/>
          <w:color w:val="000000"/>
          <w:kern w:val="0"/>
          <w:highlight w:val="none"/>
        </w:rPr>
        <w:t>，并服从</w:t>
      </w:r>
      <w:r>
        <w:rPr>
          <w:rFonts w:hint="eastAsia"/>
          <w:color w:val="000000"/>
          <w:kern w:val="0"/>
          <w:highlight w:val="none"/>
          <w:lang w:val="en-US" w:eastAsia="zh-CN"/>
        </w:rPr>
        <w:t>甲方</w:t>
      </w:r>
      <w:r>
        <w:rPr>
          <w:rFonts w:hint="eastAsia"/>
          <w:color w:val="000000"/>
          <w:kern w:val="0"/>
          <w:highlight w:val="none"/>
        </w:rPr>
        <w:t>和上级行业主管部门有关本项目服务的工作指令分配，30分钟内提供服务响应，急难险重问题需立即派人处理处置。在服务期间内，制定运维方案和应急响应制度，开展日常运维和应急响应工作，包括巡检、检修、置换、记录、校验等。保障物联监测数据的准确、安全和完备</w:t>
      </w:r>
      <w:r>
        <w:rPr>
          <w:rFonts w:hint="eastAsia"/>
          <w:color w:val="000000"/>
          <w:kern w:val="0"/>
          <w:highlight w:val="none"/>
          <w:lang w:eastAsia="zh-CN"/>
        </w:rPr>
        <w:t>。</w:t>
      </w:r>
      <w:r>
        <w:rPr>
          <w:rFonts w:hint="eastAsia"/>
          <w:color w:val="000000"/>
          <w:kern w:val="0"/>
          <w:highlight w:val="none"/>
          <w:lang w:val="en-US" w:eastAsia="zh-CN"/>
        </w:rPr>
        <w:t>须针对每套在线监测设备的测试比对不少于3次，并提供巡检测试报告。</w:t>
      </w:r>
    </w:p>
    <w:p>
      <w:pPr>
        <w:pStyle w:val="2"/>
        <w:numPr>
          <w:ilvl w:val="0"/>
          <w:numId w:val="0"/>
        </w:numPr>
        <w:ind w:firstLine="420" w:firstLineChars="200"/>
        <w:rPr>
          <w:rFonts w:hint="eastAsia" w:eastAsia="宋体"/>
          <w:highlight w:val="none"/>
          <w:lang w:val="en-US" w:eastAsia="zh-CN"/>
        </w:rPr>
      </w:pPr>
      <w:r>
        <w:rPr>
          <w:rFonts w:hint="eastAsia"/>
          <w:highlight w:val="none"/>
          <w:lang w:val="en-US" w:eastAsia="zh-CN"/>
        </w:rPr>
        <w:t>6.2、乙方</w:t>
      </w:r>
      <w:r>
        <w:rPr>
          <w:rFonts w:hint="eastAsia"/>
          <w:highlight w:val="none"/>
        </w:rPr>
        <w:t>应保证对硬件设备提供</w:t>
      </w:r>
      <w:r>
        <w:rPr>
          <w:rFonts w:hint="eastAsia"/>
          <w:highlight w:val="none"/>
          <w:lang w:eastAsia="zh-CN"/>
        </w:rPr>
        <w:t>至少3年的质保期，从项目通过终验之日起。</w:t>
      </w:r>
    </w:p>
    <w:p>
      <w:pPr>
        <w:spacing w:line="360" w:lineRule="auto"/>
        <w:ind w:firstLine="420" w:firstLineChars="200"/>
        <w:rPr>
          <w:highlight w:val="none"/>
        </w:rPr>
      </w:pPr>
      <w:r>
        <w:rPr>
          <w:rFonts w:hint="eastAsia"/>
          <w:highlight w:val="none"/>
          <w:lang w:val="en-US" w:eastAsia="zh-CN"/>
        </w:rPr>
        <w:t>6.2.1</w:t>
      </w:r>
      <w:r>
        <w:rPr>
          <w:rFonts w:hint="eastAsia"/>
          <w:highlight w:val="none"/>
        </w:rPr>
        <w:t>质保期内：</w:t>
      </w:r>
    </w:p>
    <w:p>
      <w:pPr>
        <w:spacing w:line="360" w:lineRule="auto"/>
        <w:ind w:firstLine="420" w:firstLineChars="200"/>
        <w:rPr>
          <w:highlight w:val="none"/>
        </w:rPr>
      </w:pPr>
      <w:r>
        <w:rPr>
          <w:rFonts w:hint="eastAsia"/>
          <w:highlight w:val="none"/>
        </w:rPr>
        <w:t>1）质保期内本项目采购的所有设备出现故障，投标人负责免费维修，对不能修复的设备负责免费更换。</w:t>
      </w:r>
    </w:p>
    <w:p>
      <w:pPr>
        <w:spacing w:line="360" w:lineRule="auto"/>
        <w:ind w:firstLine="420" w:firstLineChars="200"/>
        <w:rPr>
          <w:highlight w:val="none"/>
        </w:rPr>
      </w:pPr>
      <w:r>
        <w:rPr>
          <w:rFonts w:hint="eastAsia"/>
          <w:highlight w:val="none"/>
          <w:lang w:val="en-US" w:eastAsia="zh-CN"/>
        </w:rPr>
        <w:t>2</w:t>
      </w:r>
      <w:r>
        <w:rPr>
          <w:rFonts w:hint="eastAsia"/>
          <w:highlight w:val="none"/>
        </w:rPr>
        <w:t>）接到</w:t>
      </w:r>
      <w:r>
        <w:rPr>
          <w:rFonts w:hint="eastAsia"/>
          <w:highlight w:val="none"/>
          <w:lang w:val="en-US" w:eastAsia="zh-CN"/>
        </w:rPr>
        <w:t>甲方</w:t>
      </w:r>
      <w:r>
        <w:rPr>
          <w:rFonts w:hint="eastAsia"/>
          <w:highlight w:val="none"/>
        </w:rPr>
        <w:t>通知后30分钟内响应，4小时内到达维修现场，一般问题12小时内修复，重大问题5个工作日内修复。</w:t>
      </w:r>
    </w:p>
    <w:p>
      <w:pPr>
        <w:spacing w:line="360" w:lineRule="auto"/>
        <w:ind w:firstLine="420" w:firstLineChars="200"/>
        <w:rPr>
          <w:highlight w:val="none"/>
        </w:rPr>
      </w:pPr>
      <w:r>
        <w:rPr>
          <w:rFonts w:hint="eastAsia"/>
          <w:highlight w:val="none"/>
          <w:lang w:val="en-US" w:eastAsia="zh-CN"/>
        </w:rPr>
        <w:t>3</w:t>
      </w:r>
      <w:r>
        <w:rPr>
          <w:rFonts w:hint="eastAsia"/>
          <w:highlight w:val="none"/>
        </w:rPr>
        <w:t>）一个月内出现二次及以上未及时响应或维修，</w:t>
      </w:r>
      <w:r>
        <w:rPr>
          <w:rFonts w:hint="eastAsia"/>
          <w:highlight w:val="none"/>
          <w:lang w:val="en-US" w:eastAsia="zh-CN"/>
        </w:rPr>
        <w:t>甲方</w:t>
      </w:r>
      <w:r>
        <w:rPr>
          <w:rFonts w:hint="eastAsia"/>
          <w:highlight w:val="none"/>
        </w:rPr>
        <w:t>有权指定其他有维修能力的单位进行维修，所产生的费用由中标人支付。</w:t>
      </w:r>
    </w:p>
    <w:p>
      <w:pPr>
        <w:spacing w:line="360" w:lineRule="auto"/>
        <w:ind w:firstLine="420" w:firstLineChars="200"/>
        <w:rPr>
          <w:highlight w:val="none"/>
        </w:rPr>
      </w:pPr>
      <w:r>
        <w:rPr>
          <w:rFonts w:hint="eastAsia"/>
          <w:highlight w:val="none"/>
          <w:lang w:val="en-US" w:eastAsia="zh-CN"/>
        </w:rPr>
        <w:t>4</w:t>
      </w:r>
      <w:r>
        <w:rPr>
          <w:rFonts w:hint="eastAsia"/>
          <w:highlight w:val="none"/>
        </w:rPr>
        <w:t>）</w:t>
      </w:r>
      <w:r>
        <w:rPr>
          <w:rFonts w:hint="eastAsia"/>
          <w:highlight w:val="none"/>
          <w:lang w:eastAsia="zh-CN"/>
        </w:rPr>
        <w:t>乙方</w:t>
      </w:r>
      <w:r>
        <w:rPr>
          <w:rFonts w:hint="eastAsia"/>
          <w:highlight w:val="none"/>
        </w:rPr>
        <w:t>配备一支稳定的专业技术队伍，负责本项目的维护工作，并开通报修电话，确保7×24小时接听系统故障报修，提供维护人员名单表</w:t>
      </w:r>
      <w:r>
        <w:rPr>
          <w:rFonts w:hint="eastAsia"/>
          <w:highlight w:val="none"/>
        </w:rPr>
        <w:t>，</w:t>
      </w:r>
      <w:r>
        <w:rPr>
          <w:rFonts w:hint="eastAsia"/>
          <w:highlight w:val="none"/>
        </w:rPr>
        <w:t>未经甲方同意不得随意更换人员</w:t>
      </w:r>
      <w:r>
        <w:rPr>
          <w:rFonts w:hint="eastAsia"/>
          <w:highlight w:val="none"/>
        </w:rPr>
        <w:t>。</w:t>
      </w:r>
    </w:p>
    <w:p>
      <w:pPr>
        <w:spacing w:line="360" w:lineRule="auto"/>
        <w:ind w:firstLine="420" w:firstLineChars="200"/>
        <w:rPr>
          <w:rFonts w:hint="eastAsia"/>
          <w:highlight w:val="none"/>
        </w:rPr>
      </w:pPr>
      <w:r>
        <w:rPr>
          <w:rFonts w:hint="eastAsia"/>
          <w:highlight w:val="none"/>
          <w:lang w:val="en-US" w:eastAsia="zh-CN"/>
        </w:rPr>
        <w:t>5</w:t>
      </w:r>
      <w:r>
        <w:rPr>
          <w:rFonts w:hint="eastAsia"/>
          <w:highlight w:val="none"/>
        </w:rPr>
        <w:t>）针对本项目配备足够的交通工具、通信工具、检测仪器及维修设备, 制定质保期内对系统的巡视制度和对用户的回访计划。</w:t>
      </w:r>
    </w:p>
    <w:p>
      <w:pPr>
        <w:spacing w:line="360" w:lineRule="auto"/>
        <w:ind w:firstLine="420" w:firstLineChars="200"/>
        <w:rPr>
          <w:highlight w:val="none"/>
        </w:rPr>
      </w:pPr>
      <w:r>
        <w:rPr>
          <w:rFonts w:hint="eastAsia"/>
          <w:highlight w:val="none"/>
          <w:lang w:val="en-US" w:eastAsia="zh-CN"/>
        </w:rPr>
        <w:t>6.2.2</w:t>
      </w:r>
      <w:r>
        <w:rPr>
          <w:rFonts w:hint="eastAsia"/>
          <w:highlight w:val="none"/>
        </w:rPr>
        <w:t>质保期外：</w:t>
      </w:r>
    </w:p>
    <w:p>
      <w:pPr>
        <w:numPr>
          <w:ilvl w:val="0"/>
          <w:numId w:val="65"/>
        </w:numPr>
        <w:spacing w:line="360" w:lineRule="auto"/>
        <w:ind w:firstLine="420" w:firstLineChars="200"/>
        <w:rPr>
          <w:highlight w:val="none"/>
        </w:rPr>
      </w:pPr>
      <w:r>
        <w:rPr>
          <w:rFonts w:hint="eastAsia"/>
          <w:highlight w:val="none"/>
          <w:lang w:eastAsia="zh-CN"/>
        </w:rPr>
        <w:t>乙方</w:t>
      </w:r>
      <w:r>
        <w:rPr>
          <w:rFonts w:hint="eastAsia"/>
          <w:highlight w:val="none"/>
        </w:rPr>
        <w:t>需承诺提供长期的版本升级和更新支持，属于软件存在的不完善问题，随时提供免费服务。</w:t>
      </w:r>
    </w:p>
    <w:p>
      <w:pPr>
        <w:spacing w:line="360" w:lineRule="auto"/>
        <w:ind w:firstLine="420" w:firstLineChars="200"/>
        <w:rPr>
          <w:highlight w:val="none"/>
        </w:rPr>
      </w:pPr>
      <w:r>
        <w:rPr>
          <w:rFonts w:hint="eastAsia"/>
          <w:highlight w:val="none"/>
        </w:rPr>
        <w:t>2）</w:t>
      </w:r>
      <w:r>
        <w:rPr>
          <w:rFonts w:hint="eastAsia"/>
          <w:highlight w:val="none"/>
          <w:lang w:eastAsia="zh-CN"/>
        </w:rPr>
        <w:t>乙方</w:t>
      </w:r>
      <w:r>
        <w:rPr>
          <w:rFonts w:hint="eastAsia"/>
          <w:highlight w:val="none"/>
        </w:rPr>
        <w:t>需承诺提供长期的咨询和技术支持服务。</w:t>
      </w:r>
    </w:p>
    <w:p>
      <w:pPr>
        <w:pStyle w:val="29"/>
        <w:spacing w:line="360" w:lineRule="auto"/>
        <w:ind w:firstLine="420" w:firstLineChars="200"/>
        <w:outlineLvl w:val="0"/>
        <w:rPr>
          <w:rFonts w:hAnsi="宋体" w:cs="宋体"/>
          <w:highlight w:val="none"/>
        </w:rPr>
      </w:pPr>
      <w:r>
        <w:rPr>
          <w:rFonts w:hint="eastAsia" w:ascii="Times New Roman" w:hAnsi="Times New Roman"/>
          <w:highlight w:val="none"/>
        </w:rPr>
        <w:t>3）对于涉及本项目的后续需求，</w:t>
      </w:r>
      <w:r>
        <w:rPr>
          <w:rFonts w:hint="eastAsia"/>
          <w:highlight w:val="none"/>
          <w:lang w:eastAsia="zh-CN"/>
        </w:rPr>
        <w:t>乙方</w:t>
      </w:r>
      <w:r>
        <w:rPr>
          <w:rFonts w:hint="eastAsia" w:ascii="Times New Roman" w:hAnsi="Times New Roman"/>
          <w:highlight w:val="none"/>
        </w:rPr>
        <w:t>需提供技术和工程方面的配合工作。</w:t>
      </w:r>
    </w:p>
    <w:p>
      <w:pPr>
        <w:pStyle w:val="29"/>
        <w:spacing w:line="360" w:lineRule="auto"/>
        <w:ind w:firstLine="420" w:firstLineChars="200"/>
        <w:outlineLvl w:val="0"/>
        <w:rPr>
          <w:rFonts w:hAnsi="宋体" w:cs="宋体"/>
          <w:b/>
          <w:highlight w:val="none"/>
        </w:rPr>
      </w:pPr>
      <w:r>
        <w:rPr>
          <w:rFonts w:hint="eastAsia" w:hAnsi="宋体" w:cs="宋体"/>
          <w:b/>
          <w:highlight w:val="none"/>
        </w:rPr>
        <w:t>七、税率</w:t>
      </w:r>
    </w:p>
    <w:p>
      <w:pPr>
        <w:pStyle w:val="194"/>
        <w:ind w:firstLine="420"/>
        <w:rPr>
          <w:rFonts w:hAnsi="宋体" w:eastAsia="宋体"/>
          <w:sz w:val="21"/>
          <w:szCs w:val="21"/>
          <w:highlight w:val="none"/>
        </w:rPr>
      </w:pPr>
      <w:r>
        <w:rPr>
          <w:rFonts w:hint="eastAsia" w:hAnsi="宋体" w:eastAsia="宋体"/>
          <w:sz w:val="21"/>
          <w:szCs w:val="21"/>
          <w:highlight w:val="none"/>
        </w:rPr>
        <w:t>7.1本合同执行中相关的一切税费均由乙方负担。</w:t>
      </w:r>
    </w:p>
    <w:p>
      <w:pPr>
        <w:pStyle w:val="29"/>
        <w:spacing w:line="360" w:lineRule="auto"/>
        <w:ind w:firstLine="420" w:firstLineChars="200"/>
        <w:outlineLvl w:val="0"/>
        <w:rPr>
          <w:rFonts w:hAnsi="宋体" w:cs="宋体"/>
          <w:b/>
          <w:highlight w:val="none"/>
        </w:rPr>
      </w:pPr>
      <w:r>
        <w:rPr>
          <w:rFonts w:hint="eastAsia" w:hAnsi="宋体" w:cs="宋体"/>
          <w:b/>
          <w:highlight w:val="none"/>
        </w:rPr>
        <w:t>八、完成质量要求</w:t>
      </w:r>
    </w:p>
    <w:p>
      <w:pPr>
        <w:pStyle w:val="194"/>
        <w:ind w:firstLine="420"/>
        <w:rPr>
          <w:rFonts w:hAnsi="宋体" w:eastAsia="宋体"/>
          <w:sz w:val="21"/>
          <w:szCs w:val="21"/>
          <w:highlight w:val="none"/>
        </w:rPr>
      </w:pPr>
      <w:r>
        <w:rPr>
          <w:rFonts w:hint="eastAsia" w:hAnsi="宋体" w:eastAsia="宋体"/>
          <w:sz w:val="21"/>
          <w:szCs w:val="21"/>
          <w:highlight w:val="none"/>
        </w:rPr>
        <w:t>8.1 服务期间乙方不得随意更换项目负责人，如有特殊情况需要更换，须经甲方同意确认。</w:t>
      </w:r>
    </w:p>
    <w:p>
      <w:pPr>
        <w:pStyle w:val="194"/>
        <w:ind w:firstLine="420"/>
        <w:rPr>
          <w:rFonts w:hAnsi="宋体" w:eastAsia="宋体"/>
          <w:sz w:val="21"/>
          <w:szCs w:val="21"/>
          <w:highlight w:val="none"/>
        </w:rPr>
      </w:pPr>
      <w:r>
        <w:rPr>
          <w:rFonts w:hint="eastAsia" w:hAnsi="宋体" w:eastAsia="宋体"/>
          <w:sz w:val="21"/>
          <w:szCs w:val="21"/>
          <w:highlight w:val="none"/>
        </w:rPr>
        <w:t>8.2服务期间，乙方须配备足够的人员和设备。</w:t>
      </w:r>
    </w:p>
    <w:p>
      <w:pPr>
        <w:pStyle w:val="194"/>
        <w:ind w:firstLine="420"/>
        <w:rPr>
          <w:rFonts w:hint="eastAsia" w:hAnsi="宋体" w:eastAsia="宋体"/>
          <w:sz w:val="21"/>
          <w:szCs w:val="21"/>
          <w:highlight w:val="none"/>
        </w:rPr>
      </w:pPr>
      <w:r>
        <w:rPr>
          <w:rFonts w:hint="eastAsia" w:hAnsi="宋体" w:eastAsia="宋体"/>
          <w:sz w:val="21"/>
          <w:szCs w:val="21"/>
          <w:highlight w:val="none"/>
        </w:rPr>
        <w:t>8.3合同执行过程中，乙方如有弄虚作假行为，甲方有权单方面解除合同，由此引起的所以损失由乙方承担。</w:t>
      </w:r>
    </w:p>
    <w:p>
      <w:pPr>
        <w:pStyle w:val="194"/>
        <w:ind w:firstLine="420"/>
        <w:rPr>
          <w:rFonts w:hint="eastAsia" w:hAnsi="宋体" w:eastAsia="宋体"/>
          <w:sz w:val="21"/>
          <w:szCs w:val="21"/>
          <w:highlight w:val="none"/>
          <w:lang w:val="en-US" w:eastAsia="zh-CN"/>
        </w:rPr>
      </w:pPr>
      <w:r>
        <w:rPr>
          <w:rFonts w:hint="eastAsia" w:hAnsi="宋体" w:eastAsia="宋体"/>
          <w:sz w:val="21"/>
          <w:szCs w:val="21"/>
          <w:highlight w:val="none"/>
          <w:lang w:val="en-US" w:eastAsia="zh-CN"/>
        </w:rPr>
        <w:t xml:space="preserve">8.4甲方收到中标通知书3天内，向监理人提供符合本项目招投标要求的产品样品、厂家测试报告、类似产品使用案例、厂家信息等资料，不符合要求的样品将被拒绝。乙方未能在规定时间内提供上述样品及相关测试报告的，每逾期一天从合同价款中扣除人民币200000元。 </w:t>
      </w:r>
    </w:p>
    <w:p>
      <w:pPr>
        <w:pStyle w:val="194"/>
        <w:ind w:firstLine="420"/>
        <w:rPr>
          <w:rFonts w:hAnsi="宋体" w:eastAsia="宋体"/>
          <w:sz w:val="21"/>
          <w:szCs w:val="21"/>
          <w:highlight w:val="none"/>
        </w:rPr>
      </w:pPr>
      <w:r>
        <w:rPr>
          <w:rFonts w:hint="eastAsia" w:hAnsi="宋体" w:eastAsia="宋体"/>
          <w:sz w:val="21"/>
          <w:szCs w:val="21"/>
          <w:highlight w:val="none"/>
        </w:rPr>
        <w:t>8.</w:t>
      </w:r>
      <w:r>
        <w:rPr>
          <w:rFonts w:hint="eastAsia" w:hAnsi="宋体" w:eastAsia="宋体"/>
          <w:sz w:val="21"/>
          <w:szCs w:val="21"/>
          <w:highlight w:val="none"/>
          <w:lang w:val="en-US" w:eastAsia="zh-CN"/>
        </w:rPr>
        <w:t>5</w:t>
      </w:r>
      <w:r>
        <w:rPr>
          <w:rFonts w:hint="eastAsia" w:hAnsi="宋体" w:eastAsia="宋体"/>
          <w:sz w:val="21"/>
          <w:szCs w:val="21"/>
          <w:highlight w:val="none"/>
        </w:rPr>
        <w:t>供货抽检:货到</w:t>
      </w:r>
      <w:r>
        <w:rPr>
          <w:rFonts w:hint="eastAsia" w:ascii="宋体" w:hAnsi="宋体" w:eastAsia="宋体" w:cs="宋体"/>
          <w:sz w:val="21"/>
          <w:szCs w:val="21"/>
          <w:highlight w:val="none"/>
          <w:lang w:val="en-US" w:eastAsia="zh-CN"/>
        </w:rPr>
        <w:t>现场后由监理人与甲方共同进行抽检，抽检合格后乙方才能安装。抽检过程中第一次出现不合格情况，</w:t>
      </w:r>
      <w:r>
        <w:rPr>
          <w:rFonts w:hint="eastAsia" w:ascii="宋体" w:hAnsi="宋体" w:eastAsia="宋体" w:cs="宋体"/>
          <w:sz w:val="21"/>
          <w:szCs w:val="21"/>
          <w:highlight w:val="none"/>
          <w:lang w:val="en-US" w:eastAsia="zh-CN"/>
        </w:rPr>
        <w:t>如：乙方提供的货物包装破损,货物不是全新产品,或乙方货物及配套文件技术参数不符合投标文件的规格型号和技术指标，</w:t>
      </w:r>
      <w:r>
        <w:rPr>
          <w:rFonts w:hint="eastAsia" w:ascii="宋体" w:hAnsi="宋体" w:eastAsia="宋体" w:cs="宋体"/>
          <w:sz w:val="21"/>
          <w:szCs w:val="21"/>
          <w:highlight w:val="none"/>
          <w:lang w:val="en-US" w:eastAsia="zh-CN"/>
        </w:rPr>
        <w:t>扣除人民币200000元，并且乙</w:t>
      </w:r>
      <w:r>
        <w:rPr>
          <w:rFonts w:hint="eastAsia" w:hAnsi="宋体" w:eastAsia="宋体"/>
          <w:sz w:val="21"/>
          <w:szCs w:val="21"/>
          <w:highlight w:val="none"/>
        </w:rPr>
        <w:t>方5天内继续送检，逾期一天扣除人民币200000元。第二次抽检检测不合格甲方有权解除合同，扣除全部履约保证金，并有权向乙方追究其造成影响的全部责任。</w:t>
      </w:r>
      <w:r>
        <w:rPr>
          <w:rFonts w:hint="eastAsia" w:hAnsi="宋体" w:eastAsia="宋体"/>
          <w:sz w:val="21"/>
          <w:szCs w:val="21"/>
          <w:highlight w:val="none"/>
          <w:lang w:eastAsia="zh-CN"/>
        </w:rPr>
        <w:t>甲方有权决定抽样的产品及数量，乙方应无条件服从配合，由此产生的费用已包含在中标价中，甲方不再另行支付该笔费用。</w:t>
      </w:r>
    </w:p>
    <w:p>
      <w:pPr>
        <w:pStyle w:val="194"/>
        <w:ind w:firstLine="420"/>
        <w:rPr>
          <w:rFonts w:hAnsi="宋体" w:eastAsia="宋体"/>
          <w:sz w:val="21"/>
          <w:szCs w:val="21"/>
          <w:highlight w:val="none"/>
        </w:rPr>
      </w:pPr>
      <w:r>
        <w:rPr>
          <w:rFonts w:hint="eastAsia" w:hAnsi="宋体" w:eastAsia="宋体"/>
          <w:sz w:val="21"/>
          <w:szCs w:val="21"/>
          <w:highlight w:val="none"/>
        </w:rPr>
        <w:t>8.6未经监理人检测或检测不合格擅自进场施工的，每次扣除20000元</w:t>
      </w:r>
      <w:r>
        <w:rPr>
          <w:rFonts w:hint="eastAsia" w:hAnsi="宋体" w:eastAsia="宋体"/>
          <w:sz w:val="21"/>
          <w:szCs w:val="21"/>
          <w:highlight w:val="none"/>
          <w:lang w:eastAsia="zh-CN"/>
        </w:rPr>
        <w:t>；</w:t>
      </w:r>
      <w:r>
        <w:rPr>
          <w:rFonts w:hint="eastAsia" w:hAnsi="宋体" w:eastAsia="宋体"/>
          <w:sz w:val="21"/>
          <w:szCs w:val="21"/>
          <w:highlight w:val="none"/>
        </w:rPr>
        <w:t>产品重新检测，检测不合格的，甲方有权要求乙方对不合格的产品进行更换，由此造成的损失及产生的产品更换费用由乙方承担，同时造成工期延误的，甲方有权追究乙方责任。如不能按时完成上述工作，甲方有权指定第三方单位进行采购，同时采购所产生的材料费、包装运输、装卸及其他交易费等一切费用均由乙方承担；若乙方未按要求进行支付相关费用的，甲方有权在进度款中进行代扣。</w:t>
      </w:r>
    </w:p>
    <w:p>
      <w:pPr>
        <w:pStyle w:val="194"/>
        <w:ind w:firstLine="420"/>
        <w:rPr>
          <w:rFonts w:hint="eastAsia" w:hAnsi="宋体" w:eastAsia="宋体"/>
          <w:sz w:val="21"/>
          <w:szCs w:val="21"/>
          <w:highlight w:val="none"/>
          <w:lang w:val="en-US" w:eastAsia="zh-CN"/>
        </w:rPr>
      </w:pPr>
      <w:r>
        <w:rPr>
          <w:rFonts w:hint="eastAsia" w:hAnsi="宋体" w:eastAsia="宋体"/>
          <w:sz w:val="21"/>
          <w:szCs w:val="21"/>
          <w:highlight w:val="none"/>
          <w:lang w:val="en-US" w:eastAsia="zh-CN"/>
        </w:rPr>
        <w:t>8.7甲方拥有对所有产品材料的任何时段、任何方式的抽检权利，乙方应无条件服从配合，所需费用由承包人承担；甲方抽检不合格的，乙方应按要求重新提供产品材料，并且甲方有权重新进行抽检，也有权移交监理人进行抽检。</w:t>
      </w:r>
    </w:p>
    <w:p>
      <w:pPr>
        <w:pStyle w:val="194"/>
        <w:ind w:firstLine="420"/>
        <w:rPr>
          <w:rFonts w:hint="eastAsia" w:hAnsi="宋体" w:eastAsia="宋体"/>
          <w:sz w:val="21"/>
          <w:szCs w:val="21"/>
          <w:highlight w:val="none"/>
          <w:lang w:val="en-US" w:eastAsia="zh-CN"/>
        </w:rPr>
      </w:pPr>
      <w:r>
        <w:rPr>
          <w:rFonts w:hint="eastAsia" w:hAnsi="宋体" w:eastAsia="宋体"/>
          <w:sz w:val="21"/>
          <w:szCs w:val="21"/>
          <w:highlight w:val="none"/>
          <w:lang w:val="en-US" w:eastAsia="zh-CN"/>
        </w:rPr>
        <w:t>8.8</w:t>
      </w:r>
      <w:r>
        <w:rPr>
          <w:rFonts w:hint="eastAsia" w:hAnsi="宋体" w:eastAsia="宋体"/>
          <w:sz w:val="21"/>
          <w:szCs w:val="21"/>
          <w:highlight w:val="none"/>
        </w:rPr>
        <w:t>本项目检测中所产生的检测费用（包括硬件或其他）全部由乙方承担，并已包含在中标价中。</w:t>
      </w:r>
    </w:p>
    <w:p>
      <w:pPr>
        <w:pStyle w:val="194"/>
        <w:ind w:firstLine="420"/>
        <w:rPr>
          <w:rFonts w:hint="eastAsia" w:hAnsi="宋体" w:eastAsia="宋体"/>
          <w:sz w:val="21"/>
          <w:szCs w:val="21"/>
          <w:highlight w:val="none"/>
          <w:lang w:val="en-US" w:eastAsia="zh-CN"/>
        </w:rPr>
      </w:pPr>
      <w:r>
        <w:rPr>
          <w:rFonts w:hint="eastAsia" w:hAnsi="宋体" w:eastAsia="宋体"/>
          <w:sz w:val="21"/>
          <w:szCs w:val="21"/>
          <w:highlight w:val="none"/>
          <w:lang w:val="en-US" w:eastAsia="zh-CN"/>
        </w:rPr>
        <w:t>8.9项目过程中一旦发现乙方使用假冒产品或存在以次充好的现象，甲方有权解除合同，并处以履约保证金的100%的处罚。</w:t>
      </w:r>
    </w:p>
    <w:p>
      <w:pPr>
        <w:pStyle w:val="194"/>
        <w:ind w:firstLine="420"/>
        <w:rPr>
          <w:rFonts w:hint="default" w:hAnsi="宋体" w:eastAsia="宋体"/>
          <w:sz w:val="21"/>
          <w:szCs w:val="21"/>
          <w:highlight w:val="none"/>
          <w:lang w:val="en-US" w:eastAsia="zh-CN"/>
        </w:rPr>
      </w:pPr>
      <w:r>
        <w:rPr>
          <w:rFonts w:hint="eastAsia" w:hAnsi="宋体" w:eastAsia="宋体"/>
          <w:sz w:val="21"/>
          <w:szCs w:val="21"/>
          <w:highlight w:val="none"/>
          <w:lang w:val="en-US" w:eastAsia="zh-CN"/>
        </w:rPr>
        <w:t>8.10对于对接市、区、街道等各级平台的费用已包含在合同价中，乙方不得另外收取任何费用。</w:t>
      </w:r>
    </w:p>
    <w:p>
      <w:pPr>
        <w:pStyle w:val="29"/>
        <w:spacing w:line="360" w:lineRule="auto"/>
        <w:ind w:firstLine="420" w:firstLineChars="200"/>
        <w:outlineLvl w:val="0"/>
        <w:rPr>
          <w:rFonts w:hAnsi="宋体" w:cs="宋体"/>
          <w:b/>
          <w:highlight w:val="none"/>
        </w:rPr>
      </w:pPr>
      <w:r>
        <w:rPr>
          <w:rFonts w:hint="eastAsia" w:hAnsi="宋体" w:cs="宋体"/>
          <w:b/>
          <w:highlight w:val="none"/>
        </w:rPr>
        <w:t>九、知识产权</w:t>
      </w:r>
    </w:p>
    <w:p>
      <w:pPr>
        <w:pStyle w:val="194"/>
        <w:ind w:firstLine="420"/>
        <w:rPr>
          <w:rFonts w:hAnsi="宋体" w:eastAsia="宋体"/>
          <w:sz w:val="21"/>
          <w:szCs w:val="21"/>
          <w:highlight w:val="none"/>
        </w:rPr>
      </w:pPr>
      <w:r>
        <w:rPr>
          <w:rFonts w:hint="eastAsia" w:hAnsi="宋体" w:eastAsia="宋体" w:cs="Times New Roman"/>
          <w:sz w:val="22"/>
          <w:szCs w:val="22"/>
          <w:highlight w:val="none"/>
        </w:rPr>
        <w:t>本项目知识产权归甲方所有，软件部分的源代码需要移交给甲方，乙方应保证所提供的服务或其任何一部分均不会侵犯任何第三方的知识产权。</w:t>
      </w:r>
      <w:r>
        <w:rPr>
          <w:rFonts w:hint="eastAsia" w:hAnsi="宋体" w:eastAsia="宋体"/>
          <w:sz w:val="21"/>
          <w:szCs w:val="21"/>
          <w:highlight w:val="none"/>
        </w:rPr>
        <w:t>若甲方向第三方承担赔偿责任的，甲方有权向乙方追偿</w:t>
      </w:r>
      <w:r>
        <w:rPr>
          <w:rFonts w:hint="eastAsia" w:hAnsi="宋体" w:eastAsia="宋体"/>
          <w:sz w:val="21"/>
          <w:szCs w:val="21"/>
          <w:highlight w:val="none"/>
        </w:rPr>
        <w:t>。</w:t>
      </w:r>
    </w:p>
    <w:p>
      <w:pPr>
        <w:pStyle w:val="29"/>
        <w:spacing w:line="360" w:lineRule="auto"/>
        <w:ind w:firstLine="420" w:firstLineChars="200"/>
        <w:outlineLvl w:val="0"/>
        <w:rPr>
          <w:rFonts w:hAnsi="宋体" w:cs="宋体"/>
          <w:b/>
          <w:highlight w:val="none"/>
        </w:rPr>
      </w:pPr>
      <w:r>
        <w:rPr>
          <w:rFonts w:hint="eastAsia" w:hAnsi="宋体" w:cs="宋体"/>
          <w:b/>
          <w:highlight w:val="none"/>
        </w:rPr>
        <w:t>十、违约责任</w:t>
      </w:r>
    </w:p>
    <w:p>
      <w:pPr>
        <w:pStyle w:val="194"/>
        <w:ind w:firstLine="420"/>
        <w:rPr>
          <w:rFonts w:hAnsi="宋体" w:eastAsia="宋体"/>
          <w:sz w:val="21"/>
          <w:szCs w:val="21"/>
          <w:highlight w:val="none"/>
        </w:rPr>
      </w:pPr>
      <w:r>
        <w:rPr>
          <w:rFonts w:hint="eastAsia" w:hAnsi="宋体" w:eastAsia="宋体"/>
          <w:sz w:val="21"/>
          <w:szCs w:val="21"/>
          <w:highlight w:val="none"/>
        </w:rPr>
        <w:t>10.1甲方无正当理由拒收接受服务的，甲方向乙方偿付合同款项5%作为违约金。</w:t>
      </w:r>
    </w:p>
    <w:p>
      <w:pPr>
        <w:pStyle w:val="194"/>
        <w:ind w:firstLine="420"/>
        <w:rPr>
          <w:rFonts w:hAnsi="宋体" w:eastAsia="宋体"/>
          <w:sz w:val="21"/>
          <w:szCs w:val="21"/>
          <w:highlight w:val="none"/>
        </w:rPr>
      </w:pPr>
      <w:r>
        <w:rPr>
          <w:rFonts w:hint="eastAsia" w:hAnsi="宋体" w:eastAsia="宋体"/>
          <w:sz w:val="21"/>
          <w:szCs w:val="21"/>
          <w:highlight w:val="none"/>
        </w:rPr>
        <w:t xml:space="preserve">10.2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5%的违约金，如造成甲方损失超过违约金的，超出部分由乙方继续承担赔偿责任。 </w:t>
      </w:r>
    </w:p>
    <w:p>
      <w:pPr>
        <w:pStyle w:val="29"/>
        <w:spacing w:line="360" w:lineRule="auto"/>
        <w:ind w:firstLine="420" w:firstLineChars="200"/>
        <w:outlineLvl w:val="0"/>
        <w:rPr>
          <w:rFonts w:hAnsi="宋体" w:cs="宋体"/>
          <w:b/>
          <w:highlight w:val="none"/>
        </w:rPr>
      </w:pPr>
      <w:r>
        <w:rPr>
          <w:rFonts w:hint="eastAsia" w:hAnsi="宋体" w:cs="宋体"/>
          <w:b/>
          <w:highlight w:val="none"/>
        </w:rPr>
        <w:t>十一、不可抗力事件处理</w:t>
      </w:r>
    </w:p>
    <w:p>
      <w:pPr>
        <w:pStyle w:val="194"/>
        <w:ind w:firstLine="420"/>
        <w:rPr>
          <w:rFonts w:hAnsi="宋体" w:eastAsia="宋体"/>
          <w:sz w:val="21"/>
          <w:szCs w:val="21"/>
          <w:highlight w:val="none"/>
        </w:rPr>
      </w:pPr>
      <w:r>
        <w:rPr>
          <w:rFonts w:hint="eastAsia" w:hAnsi="宋体" w:eastAsia="宋体"/>
          <w:sz w:val="21"/>
          <w:szCs w:val="21"/>
          <w:highlight w:val="none"/>
        </w:rPr>
        <w:t>11.1 在合同有效期内，任何一方因不可抗力事件导致不能履行合同，则合同履行期可延长，其延长期与不可抗力影响期相同。</w:t>
      </w:r>
    </w:p>
    <w:p>
      <w:pPr>
        <w:pStyle w:val="194"/>
        <w:ind w:firstLine="420"/>
        <w:rPr>
          <w:rFonts w:hAnsi="宋体" w:eastAsia="宋体"/>
          <w:sz w:val="21"/>
          <w:szCs w:val="21"/>
          <w:highlight w:val="none"/>
        </w:rPr>
      </w:pPr>
      <w:r>
        <w:rPr>
          <w:rFonts w:hint="eastAsia" w:hAnsi="宋体" w:eastAsia="宋体"/>
          <w:sz w:val="21"/>
          <w:szCs w:val="21"/>
          <w:highlight w:val="none"/>
        </w:rPr>
        <w:t>11.2 不可抗力事件发生后，应立即通知对方，并寄送有关权威机构出具的证明。</w:t>
      </w:r>
    </w:p>
    <w:p>
      <w:pPr>
        <w:pStyle w:val="194"/>
        <w:ind w:firstLine="420"/>
        <w:rPr>
          <w:rFonts w:hAnsi="宋体" w:eastAsia="宋体"/>
          <w:sz w:val="21"/>
          <w:szCs w:val="21"/>
          <w:highlight w:val="none"/>
        </w:rPr>
      </w:pPr>
      <w:r>
        <w:rPr>
          <w:rFonts w:hint="eastAsia" w:hAnsi="宋体" w:eastAsia="宋体"/>
          <w:sz w:val="21"/>
          <w:szCs w:val="21"/>
          <w:highlight w:val="none"/>
        </w:rPr>
        <w:t>11.3 不可抗力事件延续120天以上，双方应通过友好协商，确定是否继续履行合同。</w:t>
      </w:r>
    </w:p>
    <w:p>
      <w:pPr>
        <w:pStyle w:val="29"/>
        <w:spacing w:line="360" w:lineRule="auto"/>
        <w:ind w:firstLine="420" w:firstLineChars="200"/>
        <w:outlineLvl w:val="0"/>
        <w:rPr>
          <w:rFonts w:hAnsi="宋体" w:cs="宋体"/>
          <w:b/>
          <w:highlight w:val="none"/>
        </w:rPr>
      </w:pPr>
      <w:r>
        <w:rPr>
          <w:rFonts w:hint="eastAsia" w:hAnsi="宋体" w:cs="宋体"/>
          <w:b/>
          <w:highlight w:val="none"/>
        </w:rPr>
        <w:t>十二、诉讼</w:t>
      </w:r>
    </w:p>
    <w:p>
      <w:pPr>
        <w:pStyle w:val="194"/>
        <w:ind w:firstLine="420"/>
        <w:rPr>
          <w:rFonts w:hAnsi="宋体" w:eastAsia="宋体"/>
          <w:sz w:val="21"/>
          <w:szCs w:val="21"/>
          <w:highlight w:val="none"/>
        </w:rPr>
      </w:pPr>
      <w:r>
        <w:rPr>
          <w:rFonts w:hint="eastAsia" w:hAnsi="宋体" w:eastAsia="宋体"/>
          <w:sz w:val="21"/>
          <w:szCs w:val="21"/>
          <w:highlight w:val="none"/>
        </w:rPr>
        <w:t>12.1 双方在执行合同中所发生的一切争议，应通过协商解决。如协商不成，可向</w:t>
      </w:r>
      <w:r>
        <w:rPr>
          <w:rFonts w:hint="eastAsia" w:hAnsi="宋体" w:eastAsia="宋体"/>
          <w:sz w:val="21"/>
          <w:szCs w:val="21"/>
          <w:highlight w:val="none"/>
          <w:lang w:eastAsia="zh-CN"/>
        </w:rPr>
        <w:t>项目所在地</w:t>
      </w:r>
      <w:r>
        <w:rPr>
          <w:rFonts w:hint="eastAsia" w:hAnsi="宋体" w:eastAsia="宋体"/>
          <w:sz w:val="21"/>
          <w:szCs w:val="21"/>
          <w:highlight w:val="none"/>
        </w:rPr>
        <w:t>法院起诉。</w:t>
      </w:r>
    </w:p>
    <w:p>
      <w:pPr>
        <w:pStyle w:val="29"/>
        <w:spacing w:line="360" w:lineRule="auto"/>
        <w:ind w:firstLine="420" w:firstLineChars="200"/>
        <w:outlineLvl w:val="0"/>
        <w:rPr>
          <w:rFonts w:hAnsi="宋体" w:cs="宋体"/>
          <w:b/>
          <w:highlight w:val="none"/>
        </w:rPr>
      </w:pPr>
      <w:r>
        <w:rPr>
          <w:rFonts w:hint="eastAsia" w:hAnsi="宋体" w:cs="宋体"/>
          <w:b/>
          <w:highlight w:val="none"/>
        </w:rPr>
        <w:t>十三、合同生效及其它</w:t>
      </w:r>
    </w:p>
    <w:p>
      <w:pPr>
        <w:pStyle w:val="194"/>
        <w:ind w:firstLine="420"/>
        <w:rPr>
          <w:rFonts w:hAnsi="宋体" w:eastAsia="宋体"/>
          <w:sz w:val="21"/>
          <w:szCs w:val="21"/>
          <w:highlight w:val="none"/>
        </w:rPr>
      </w:pPr>
      <w:r>
        <w:rPr>
          <w:rFonts w:hint="eastAsia" w:hAnsi="宋体" w:eastAsia="宋体"/>
          <w:sz w:val="21"/>
          <w:szCs w:val="21"/>
          <w:highlight w:val="none"/>
        </w:rPr>
        <w:t>13.1 合同经双方法定代表人或授权委托代理人签字并加盖单位公章后生效。</w:t>
      </w:r>
    </w:p>
    <w:p>
      <w:pPr>
        <w:pStyle w:val="194"/>
        <w:ind w:firstLine="420"/>
        <w:rPr>
          <w:rFonts w:hAnsi="宋体" w:eastAsia="宋体"/>
          <w:sz w:val="21"/>
          <w:szCs w:val="21"/>
          <w:highlight w:val="none"/>
        </w:rPr>
      </w:pPr>
      <w:r>
        <w:rPr>
          <w:rFonts w:hint="eastAsia" w:hAnsi="宋体" w:eastAsia="宋体"/>
          <w:sz w:val="21"/>
          <w:szCs w:val="21"/>
          <w:highlight w:val="none"/>
        </w:rPr>
        <w:t>13.2合同执行中涉及采购资金和采购内容修改或补充的，须经财政部门审批，并签书面补充协议报政府采购监督管理部门备案，方可作为主合同不可分割的一部分。</w:t>
      </w:r>
    </w:p>
    <w:p>
      <w:pPr>
        <w:pStyle w:val="194"/>
        <w:ind w:firstLine="420"/>
        <w:rPr>
          <w:rFonts w:hAnsi="宋体" w:eastAsia="宋体"/>
          <w:sz w:val="21"/>
          <w:szCs w:val="21"/>
          <w:highlight w:val="none"/>
        </w:rPr>
      </w:pPr>
      <w:r>
        <w:rPr>
          <w:rFonts w:hint="eastAsia" w:hAnsi="宋体" w:eastAsia="宋体"/>
          <w:sz w:val="21"/>
          <w:szCs w:val="21"/>
          <w:highlight w:val="none"/>
        </w:rPr>
        <w:t>13.3本合同未尽事宜，遵照《民法典》有关条文、补充协议、投标承诺、响应文件、采购文件及补充执行。</w:t>
      </w:r>
    </w:p>
    <w:p>
      <w:pPr>
        <w:pStyle w:val="194"/>
        <w:ind w:firstLine="420"/>
        <w:rPr>
          <w:rFonts w:hAnsi="宋体" w:eastAsia="宋体"/>
          <w:sz w:val="21"/>
          <w:szCs w:val="21"/>
          <w:highlight w:val="none"/>
        </w:rPr>
      </w:pPr>
      <w:r>
        <w:rPr>
          <w:rFonts w:hint="eastAsia" w:hAnsi="宋体" w:eastAsia="宋体"/>
          <w:sz w:val="21"/>
          <w:szCs w:val="21"/>
          <w:highlight w:val="none"/>
        </w:rPr>
        <w:t>13.4 本合同正本一式两份，甲乙双方各执一 份；副本</w:t>
      </w:r>
      <w:r>
        <w:rPr>
          <w:rFonts w:hint="eastAsia" w:hAnsi="宋体" w:eastAsia="宋体"/>
          <w:sz w:val="21"/>
          <w:szCs w:val="21"/>
          <w:highlight w:val="none"/>
          <w:u w:val="single"/>
        </w:rPr>
        <w:t xml:space="preserve">     </w:t>
      </w:r>
      <w:r>
        <w:rPr>
          <w:rFonts w:hint="eastAsia" w:hAnsi="宋体" w:eastAsia="宋体"/>
          <w:sz w:val="21"/>
          <w:szCs w:val="21"/>
          <w:highlight w:val="none"/>
        </w:rPr>
        <w:t>份。</w:t>
      </w:r>
    </w:p>
    <w:p>
      <w:pPr>
        <w:pStyle w:val="194"/>
        <w:ind w:firstLine="420"/>
        <w:rPr>
          <w:rFonts w:hAnsi="宋体" w:eastAsia="宋体"/>
          <w:sz w:val="21"/>
          <w:szCs w:val="21"/>
          <w:highlight w:val="none"/>
        </w:rPr>
      </w:pPr>
    </w:p>
    <w:p>
      <w:pPr>
        <w:spacing w:line="480" w:lineRule="auto"/>
        <w:rPr>
          <w:rFonts w:ascii="宋体" w:hAnsi="宋体"/>
          <w:szCs w:val="21"/>
          <w:highlight w:val="none"/>
        </w:rPr>
      </w:pPr>
      <w:r>
        <w:rPr>
          <w:rFonts w:hint="eastAsia" w:ascii="宋体" w:hAnsi="宋体"/>
          <w:szCs w:val="21"/>
          <w:highlight w:val="none"/>
        </w:rPr>
        <w:t xml:space="preserve">甲方（盖章）：  乙方（盖章）：        </w:t>
      </w:r>
    </w:p>
    <w:p>
      <w:pPr>
        <w:spacing w:line="480" w:lineRule="auto"/>
        <w:rPr>
          <w:rFonts w:ascii="宋体" w:hAnsi="宋体"/>
          <w:szCs w:val="21"/>
          <w:highlight w:val="none"/>
        </w:rPr>
      </w:pPr>
      <w:r>
        <w:rPr>
          <w:rFonts w:hint="eastAsia" w:ascii="宋体" w:hAnsi="宋体"/>
          <w:szCs w:val="21"/>
          <w:highlight w:val="none"/>
        </w:rPr>
        <w:t xml:space="preserve">法定代表人：                              法定代表人：                   </w:t>
      </w:r>
    </w:p>
    <w:p>
      <w:pPr>
        <w:spacing w:line="480" w:lineRule="auto"/>
        <w:rPr>
          <w:rFonts w:ascii="宋体" w:hAnsi="宋体"/>
          <w:szCs w:val="21"/>
          <w:highlight w:val="none"/>
        </w:rPr>
      </w:pPr>
      <w:r>
        <w:rPr>
          <w:rFonts w:hint="eastAsia" w:ascii="宋体" w:hAnsi="宋体"/>
          <w:szCs w:val="21"/>
          <w:highlight w:val="none"/>
        </w:rPr>
        <w:t xml:space="preserve">或受委托人（签字）：                      或受委托人（签字）：                  </w:t>
      </w:r>
    </w:p>
    <w:p>
      <w:pPr>
        <w:spacing w:line="480" w:lineRule="auto"/>
        <w:rPr>
          <w:rFonts w:ascii="宋体" w:hAnsi="宋体"/>
          <w:szCs w:val="21"/>
          <w:highlight w:val="none"/>
        </w:rPr>
      </w:pPr>
      <w:r>
        <w:rPr>
          <w:rFonts w:hint="eastAsia" w:ascii="宋体" w:hAnsi="宋体"/>
          <w:szCs w:val="21"/>
          <w:highlight w:val="none"/>
        </w:rPr>
        <w:t>联系人：                                  联系人：</w:t>
      </w:r>
    </w:p>
    <w:p>
      <w:pPr>
        <w:spacing w:line="480" w:lineRule="auto"/>
        <w:rPr>
          <w:rFonts w:ascii="宋体" w:hAnsi="宋体"/>
          <w:szCs w:val="21"/>
          <w:highlight w:val="none"/>
        </w:rPr>
      </w:pPr>
      <w:r>
        <w:rPr>
          <w:rFonts w:hint="eastAsia" w:ascii="宋体" w:hAnsi="宋体"/>
          <w:szCs w:val="21"/>
          <w:highlight w:val="none"/>
        </w:rPr>
        <w:t xml:space="preserve">地址：                                    地址： </w:t>
      </w:r>
    </w:p>
    <w:p>
      <w:pPr>
        <w:spacing w:line="480" w:lineRule="auto"/>
        <w:rPr>
          <w:rFonts w:ascii="宋体" w:hAnsi="宋体"/>
          <w:szCs w:val="21"/>
          <w:highlight w:val="none"/>
        </w:rPr>
      </w:pPr>
      <w:r>
        <w:rPr>
          <w:rFonts w:hint="eastAsia" w:ascii="宋体" w:hAnsi="宋体"/>
          <w:szCs w:val="21"/>
          <w:highlight w:val="none"/>
        </w:rPr>
        <w:t>电话：                                    电话：</w:t>
      </w:r>
    </w:p>
    <w:p>
      <w:pPr>
        <w:spacing w:line="480" w:lineRule="auto"/>
        <w:rPr>
          <w:rFonts w:ascii="宋体" w:hAnsi="宋体"/>
          <w:szCs w:val="21"/>
          <w:highlight w:val="none"/>
        </w:rPr>
      </w:pPr>
      <w:r>
        <w:rPr>
          <w:rFonts w:hint="eastAsia" w:ascii="宋体" w:hAnsi="宋体"/>
          <w:szCs w:val="21"/>
          <w:highlight w:val="none"/>
        </w:rPr>
        <w:t>传真：                                    传真：</w:t>
      </w:r>
    </w:p>
    <w:p>
      <w:pPr>
        <w:spacing w:line="480" w:lineRule="auto"/>
        <w:rPr>
          <w:rFonts w:ascii="宋体" w:hAnsi="宋体"/>
          <w:szCs w:val="21"/>
          <w:highlight w:val="none"/>
        </w:rPr>
      </w:pPr>
      <w:r>
        <w:rPr>
          <w:rFonts w:hint="eastAsia" w:ascii="宋体" w:hAnsi="宋体"/>
          <w:szCs w:val="21"/>
          <w:highlight w:val="none"/>
        </w:rPr>
        <w:t xml:space="preserve">开户银行：                                开户银行： </w:t>
      </w:r>
    </w:p>
    <w:p>
      <w:pPr>
        <w:spacing w:line="480" w:lineRule="auto"/>
        <w:rPr>
          <w:rFonts w:ascii="宋体" w:hAnsi="宋体"/>
          <w:szCs w:val="21"/>
          <w:highlight w:val="none"/>
        </w:rPr>
      </w:pPr>
      <w:r>
        <w:rPr>
          <w:rFonts w:hint="eastAsia" w:ascii="宋体" w:hAnsi="宋体"/>
          <w:szCs w:val="21"/>
          <w:highlight w:val="none"/>
        </w:rPr>
        <w:t>帐号：                                    帐号：</w:t>
      </w:r>
    </w:p>
    <w:p>
      <w:pPr>
        <w:spacing w:line="480" w:lineRule="auto"/>
        <w:rPr>
          <w:rFonts w:ascii="宋体" w:hAnsi="宋体"/>
          <w:szCs w:val="21"/>
          <w:highlight w:val="none"/>
        </w:rPr>
      </w:pPr>
      <w:r>
        <w:rPr>
          <w:rFonts w:hint="eastAsia" w:ascii="宋体" w:hAnsi="宋体"/>
          <w:szCs w:val="21"/>
          <w:highlight w:val="none"/>
        </w:rPr>
        <w:t xml:space="preserve">                                   </w:t>
      </w:r>
    </w:p>
    <w:p>
      <w:pPr>
        <w:spacing w:line="480" w:lineRule="auto"/>
        <w:ind w:firstLine="5040" w:firstLineChars="2400"/>
        <w:rPr>
          <w:rFonts w:ascii="宋体" w:hAnsi="宋体"/>
          <w:szCs w:val="21"/>
          <w:highlight w:val="none"/>
        </w:rPr>
      </w:pPr>
      <w:r>
        <w:rPr>
          <w:rFonts w:hint="eastAsia" w:ascii="宋体" w:hAnsi="宋体"/>
          <w:szCs w:val="21"/>
          <w:highlight w:val="none"/>
        </w:rPr>
        <w:t>签 约 地：</w:t>
      </w:r>
    </w:p>
    <w:p>
      <w:pPr>
        <w:adjustRightInd w:val="0"/>
        <w:snapToGrid w:val="0"/>
        <w:spacing w:line="480" w:lineRule="auto"/>
        <w:ind w:firstLine="420" w:firstLineChars="200"/>
        <w:rPr>
          <w:rFonts w:ascii="宋体" w:hAnsi="宋体"/>
          <w:szCs w:val="21"/>
          <w:highlight w:val="none"/>
        </w:rPr>
      </w:pPr>
      <w:r>
        <w:rPr>
          <w:rFonts w:hint="eastAsia" w:ascii="宋体" w:hAnsi="宋体"/>
          <w:szCs w:val="21"/>
          <w:highlight w:val="none"/>
        </w:rPr>
        <w:t xml:space="preserve">                                            签约日期：    年  月    日</w:t>
      </w:r>
    </w:p>
    <w:bookmarkEnd w:id="8"/>
    <w:p>
      <w:pPr>
        <w:rPr>
          <w:rStyle w:val="264"/>
          <w:rFonts w:hint="eastAsia"/>
          <w:highlight w:val="none"/>
        </w:rPr>
      </w:pPr>
      <w:bookmarkStart w:id="210" w:name="_Toc145860632"/>
      <w:bookmarkStart w:id="211" w:name="_Toc28060173"/>
      <w:r>
        <w:rPr>
          <w:rStyle w:val="264"/>
          <w:rFonts w:hint="eastAsia"/>
          <w:highlight w:val="none"/>
        </w:rPr>
        <w:br w:type="page"/>
      </w:r>
    </w:p>
    <w:p>
      <w:pPr>
        <w:adjustRightInd w:val="0"/>
        <w:snapToGrid w:val="0"/>
        <w:spacing w:line="440" w:lineRule="exact"/>
        <w:jc w:val="center"/>
        <w:outlineLvl w:val="0"/>
        <w:rPr>
          <w:rFonts w:hAnsi="宋体" w:cs="宋体"/>
          <w:b/>
          <w:sz w:val="28"/>
          <w:szCs w:val="28"/>
          <w:highlight w:val="none"/>
        </w:rPr>
      </w:pPr>
      <w:r>
        <w:rPr>
          <w:rStyle w:val="264"/>
          <w:rFonts w:hint="eastAsia"/>
          <w:highlight w:val="none"/>
        </w:rPr>
        <w:t>第六章 投标文件格式</w:t>
      </w:r>
    </w:p>
    <w:p>
      <w:pPr>
        <w:pStyle w:val="2"/>
        <w:ind w:left="0" w:leftChars="0" w:firstLine="0" w:firstLineChars="0"/>
        <w:rPr>
          <w:highlight w:val="none"/>
        </w:rPr>
      </w:pPr>
    </w:p>
    <w:p>
      <w:pPr>
        <w:spacing w:line="360" w:lineRule="auto"/>
        <w:ind w:firstLine="431" w:firstLineChars="196"/>
        <w:jc w:val="left"/>
        <w:rPr>
          <w:rFonts w:ascii="宋体" w:hAnsi="宋体" w:cs="宋体"/>
          <w:b/>
          <w:bCs/>
          <w:highlight w:val="none"/>
        </w:rPr>
      </w:pPr>
      <w:r>
        <w:rPr>
          <w:rFonts w:hint="eastAsia" w:ascii="宋体" w:hAnsi="宋体" w:cs="宋体"/>
          <w:b/>
          <w:sz w:val="22"/>
          <w:szCs w:val="22"/>
          <w:highlight w:val="none"/>
        </w:rPr>
        <w:t>1、</w:t>
      </w:r>
      <w:r>
        <w:rPr>
          <w:rFonts w:hint="eastAsia" w:ascii="宋体" w:hAnsi="宋体" w:cs="宋体"/>
          <w:b/>
          <w:bCs/>
          <w:highlight w:val="none"/>
        </w:rPr>
        <w:t>资格文件内容主要包括但不限于以下内容：</w:t>
      </w:r>
    </w:p>
    <w:p>
      <w:pPr>
        <w:spacing w:line="360" w:lineRule="auto"/>
        <w:ind w:firstLine="420" w:firstLineChars="200"/>
        <w:rPr>
          <w:rFonts w:ascii="宋体" w:hAnsi="宋体" w:cs="宋体"/>
          <w:highlight w:val="none"/>
        </w:rPr>
      </w:pPr>
      <w:r>
        <w:rPr>
          <w:rFonts w:hint="eastAsia" w:ascii="宋体" w:hAnsi="宋体" w:cs="宋体"/>
          <w:highlight w:val="none"/>
        </w:rPr>
        <w:t>（1）资格条件自查表（格式见第六章 投标文件格式）；</w:t>
      </w:r>
    </w:p>
    <w:p>
      <w:pPr>
        <w:spacing w:line="360" w:lineRule="auto"/>
        <w:ind w:firstLine="420" w:firstLineChars="200"/>
        <w:rPr>
          <w:rFonts w:ascii="宋体" w:hAnsi="宋体" w:cs="宋体"/>
          <w:highlight w:val="none"/>
        </w:rPr>
      </w:pPr>
      <w:r>
        <w:rPr>
          <w:rFonts w:hint="eastAsia" w:ascii="宋体" w:hAnsi="宋体" w:cs="宋体"/>
          <w:highlight w:val="none"/>
        </w:rPr>
        <w:t>（2）投标人投标声明书（格式见第六章 投标文件格式）；</w:t>
      </w:r>
    </w:p>
    <w:p>
      <w:pPr>
        <w:pStyle w:val="81"/>
        <w:spacing w:line="360" w:lineRule="auto"/>
        <w:rPr>
          <w:rFonts w:ascii="宋体" w:hAnsi="宋体" w:cs="宋体"/>
          <w:highlight w:val="none"/>
        </w:rPr>
      </w:pPr>
      <w:r>
        <w:rPr>
          <w:rFonts w:hint="eastAsia" w:ascii="宋体" w:hAnsi="宋体" w:cs="宋体"/>
          <w:highlight w:val="none"/>
        </w:rPr>
        <w:t>（3）法定代表人身份证明或法定代表人授权委托书（格式见第六章 投标文件格式）；</w:t>
      </w:r>
    </w:p>
    <w:p>
      <w:pPr>
        <w:pStyle w:val="81"/>
        <w:spacing w:line="360" w:lineRule="auto"/>
        <w:rPr>
          <w:rFonts w:ascii="宋体" w:hAnsi="宋体" w:cs="宋体"/>
          <w:highlight w:val="none"/>
        </w:rPr>
      </w:pPr>
      <w:r>
        <w:rPr>
          <w:rFonts w:hint="eastAsia" w:ascii="宋体" w:hAnsi="宋体" w:cs="宋体"/>
          <w:highlight w:val="none"/>
        </w:rPr>
        <w:t>（4）具备《中华人民共和国政府采购法》第二十二条规定的资格条件的承诺函（格式见第六章 投标文件格式）；</w:t>
      </w:r>
    </w:p>
    <w:p>
      <w:pPr>
        <w:pStyle w:val="81"/>
        <w:spacing w:line="360" w:lineRule="auto"/>
        <w:rPr>
          <w:rFonts w:ascii="宋体" w:hAnsi="宋体" w:cs="宋体"/>
          <w:highlight w:val="none"/>
        </w:rPr>
      </w:pPr>
      <w:r>
        <w:rPr>
          <w:rFonts w:hint="eastAsia" w:ascii="宋体" w:hAnsi="宋体" w:cs="宋体"/>
          <w:highlight w:val="none"/>
        </w:rPr>
        <w:t>（5）提供具有履行合同所必需的设备和专业技术能力的书面声明（格式见第六章 投标文件格式）；</w:t>
      </w:r>
    </w:p>
    <w:p>
      <w:pPr>
        <w:pStyle w:val="81"/>
        <w:spacing w:line="360" w:lineRule="auto"/>
        <w:rPr>
          <w:rFonts w:ascii="宋体" w:hAnsi="宋体" w:cs="宋体"/>
          <w:highlight w:val="none"/>
        </w:rPr>
      </w:pPr>
      <w:r>
        <w:rPr>
          <w:rFonts w:hint="eastAsia" w:ascii="宋体" w:hAnsi="宋体" w:cs="宋体"/>
          <w:highlight w:val="none"/>
        </w:rPr>
        <w:t>（6）提供参加政府采购活动前3年内在经营活动中没有重大违法记录的书面声明（格式见第六章 投标文件格式）；</w:t>
      </w:r>
    </w:p>
    <w:p>
      <w:pPr>
        <w:pStyle w:val="81"/>
        <w:spacing w:line="360" w:lineRule="auto"/>
        <w:rPr>
          <w:rFonts w:ascii="宋体" w:hAnsi="宋体" w:cs="宋体"/>
          <w:highlight w:val="none"/>
        </w:rPr>
      </w:pPr>
      <w:r>
        <w:rPr>
          <w:rFonts w:hint="eastAsia" w:ascii="宋体" w:hAnsi="宋体" w:cs="宋体"/>
          <w:highlight w:val="none"/>
        </w:rPr>
        <w:t>（7）联合体协议书（如有）（格式见第六章 投标文件格式）；</w:t>
      </w:r>
    </w:p>
    <w:p>
      <w:pPr>
        <w:pStyle w:val="81"/>
        <w:spacing w:line="360" w:lineRule="auto"/>
        <w:rPr>
          <w:rFonts w:ascii="宋体" w:hAnsi="宋体" w:cs="宋体"/>
          <w:highlight w:val="none"/>
        </w:rPr>
      </w:pPr>
      <w:r>
        <w:rPr>
          <w:rFonts w:hint="eastAsia" w:ascii="宋体" w:hAnsi="宋体" w:cs="宋体"/>
          <w:highlight w:val="none"/>
        </w:rPr>
        <w:t>（8）投标承诺函（格式见第六章 投标文件格式）；</w:t>
      </w:r>
    </w:p>
    <w:p>
      <w:pPr>
        <w:pStyle w:val="81"/>
        <w:spacing w:line="360" w:lineRule="auto"/>
        <w:rPr>
          <w:rFonts w:ascii="宋体" w:hAnsi="宋体" w:cs="宋体"/>
          <w:highlight w:val="none"/>
        </w:rPr>
      </w:pPr>
      <w:r>
        <w:rPr>
          <w:rFonts w:hint="eastAsia" w:ascii="宋体" w:hAnsi="宋体" w:cs="宋体"/>
          <w:highlight w:val="none"/>
        </w:rPr>
        <w:t>（9）投标人认为有必要说明的其他资料。</w:t>
      </w:r>
    </w:p>
    <w:p>
      <w:pPr>
        <w:pStyle w:val="81"/>
        <w:spacing w:line="360" w:lineRule="auto"/>
        <w:ind w:firstLine="422"/>
        <w:rPr>
          <w:rFonts w:ascii="宋体" w:hAnsi="宋体" w:cs="宋体"/>
          <w:b/>
          <w:bCs/>
          <w:highlight w:val="none"/>
        </w:rPr>
      </w:pPr>
      <w:r>
        <w:rPr>
          <w:rFonts w:hint="eastAsia" w:ascii="宋体" w:hAnsi="宋体" w:cs="宋体"/>
          <w:b/>
          <w:bCs/>
          <w:highlight w:val="none"/>
        </w:rPr>
        <w:t>2、商务技术文件内容主要包括但不限于以下内容：</w:t>
      </w:r>
    </w:p>
    <w:p>
      <w:pPr>
        <w:spacing w:line="360" w:lineRule="auto"/>
        <w:ind w:firstLine="420" w:firstLineChars="200"/>
        <w:rPr>
          <w:rFonts w:ascii="宋体" w:hAnsi="宋体" w:cs="宋体"/>
          <w:highlight w:val="none"/>
        </w:rPr>
      </w:pPr>
      <w:r>
        <w:rPr>
          <w:rFonts w:hint="eastAsia" w:ascii="宋体" w:hAnsi="宋体" w:cs="宋体"/>
          <w:highlight w:val="none"/>
        </w:rPr>
        <w:t>（1）投标人符合性自查表；</w:t>
      </w:r>
    </w:p>
    <w:p>
      <w:pPr>
        <w:pStyle w:val="81"/>
        <w:spacing w:line="360" w:lineRule="auto"/>
        <w:rPr>
          <w:rFonts w:ascii="宋体" w:hAnsi="宋体" w:cs="宋体"/>
          <w:highlight w:val="none"/>
        </w:rPr>
      </w:pPr>
      <w:r>
        <w:rPr>
          <w:rFonts w:hint="eastAsia" w:ascii="宋体" w:hAnsi="宋体" w:cs="宋体"/>
          <w:highlight w:val="none"/>
        </w:rPr>
        <w:t>（2）法定代表人身份证明或法定代表人授权委托书（格式见第六章 投标文件格式）</w:t>
      </w:r>
    </w:p>
    <w:p>
      <w:pPr>
        <w:pStyle w:val="81"/>
        <w:spacing w:line="360" w:lineRule="auto"/>
        <w:rPr>
          <w:rFonts w:ascii="宋体" w:hAnsi="宋体" w:cs="宋体"/>
          <w:highlight w:val="none"/>
        </w:rPr>
      </w:pPr>
      <w:r>
        <w:rPr>
          <w:rFonts w:hint="eastAsia" w:ascii="宋体" w:hAnsi="宋体" w:cs="宋体"/>
          <w:highlight w:val="none"/>
        </w:rPr>
        <w:t>（3）投标人响应表（格式见第六章 投标文件格式）；</w:t>
      </w:r>
    </w:p>
    <w:p>
      <w:pPr>
        <w:pStyle w:val="81"/>
        <w:spacing w:line="360" w:lineRule="auto"/>
        <w:rPr>
          <w:rFonts w:ascii="宋体" w:hAnsi="宋体" w:cs="宋体"/>
          <w:highlight w:val="none"/>
        </w:rPr>
      </w:pPr>
      <w:r>
        <w:rPr>
          <w:rFonts w:hint="eastAsia" w:ascii="宋体" w:hAnsi="宋体" w:cs="宋体"/>
          <w:highlight w:val="none"/>
        </w:rPr>
        <w:t>（4）商务条款偏离表（格式见第六章 投标文件格式）；</w:t>
      </w:r>
    </w:p>
    <w:p>
      <w:pPr>
        <w:pStyle w:val="81"/>
        <w:spacing w:line="360" w:lineRule="auto"/>
        <w:rPr>
          <w:rFonts w:ascii="宋体" w:hAnsi="宋体" w:cs="宋体"/>
          <w:highlight w:val="none"/>
        </w:rPr>
      </w:pPr>
      <w:r>
        <w:rPr>
          <w:rFonts w:hint="eastAsia" w:ascii="宋体" w:hAnsi="宋体" w:cs="宋体"/>
          <w:highlight w:val="none"/>
        </w:rPr>
        <w:t>（5）技术条款偏离表（格式见第六章 投标文件格式）</w:t>
      </w:r>
    </w:p>
    <w:p>
      <w:pPr>
        <w:pStyle w:val="81"/>
        <w:spacing w:line="360" w:lineRule="auto"/>
        <w:rPr>
          <w:rFonts w:ascii="宋体" w:hAnsi="宋体" w:cs="宋体"/>
          <w:highlight w:val="none"/>
        </w:rPr>
      </w:pPr>
      <w:r>
        <w:rPr>
          <w:rFonts w:hint="eastAsia" w:ascii="宋体" w:hAnsi="宋体" w:cs="宋体"/>
          <w:highlight w:val="none"/>
        </w:rPr>
        <w:t>（6）投标人基本情况表（格式见第六章 投标文件格式）</w:t>
      </w:r>
    </w:p>
    <w:p>
      <w:pPr>
        <w:pStyle w:val="81"/>
        <w:spacing w:line="360" w:lineRule="auto"/>
        <w:rPr>
          <w:rFonts w:ascii="宋体" w:hAnsi="宋体" w:cs="宋体"/>
          <w:highlight w:val="none"/>
        </w:rPr>
      </w:pPr>
      <w:r>
        <w:rPr>
          <w:rFonts w:hint="eastAsia" w:ascii="宋体" w:hAnsi="宋体" w:cs="宋体"/>
          <w:highlight w:val="none"/>
        </w:rPr>
        <w:t>（7）针对本项目第四章评标办法及评标标准中的条款拟定各种方案（格式自拟）；</w:t>
      </w:r>
    </w:p>
    <w:p>
      <w:pPr>
        <w:pStyle w:val="81"/>
        <w:spacing w:line="360" w:lineRule="auto"/>
        <w:rPr>
          <w:rFonts w:ascii="宋体" w:hAnsi="宋体" w:cs="宋体"/>
          <w:highlight w:val="none"/>
        </w:rPr>
      </w:pPr>
      <w:r>
        <w:rPr>
          <w:rFonts w:hint="eastAsia" w:ascii="宋体" w:hAnsi="宋体" w:cs="宋体"/>
          <w:highlight w:val="none"/>
        </w:rPr>
        <w:t xml:space="preserve">（8）第四章评标办法及评标标准中需提供的其他相关证书及合同等复印件加盖公章（如有）； </w:t>
      </w:r>
    </w:p>
    <w:p>
      <w:pPr>
        <w:pStyle w:val="81"/>
        <w:spacing w:line="360" w:lineRule="auto"/>
        <w:rPr>
          <w:rFonts w:ascii="宋体" w:hAnsi="宋体" w:cs="宋体"/>
          <w:highlight w:val="none"/>
        </w:rPr>
      </w:pPr>
      <w:r>
        <w:rPr>
          <w:rFonts w:hint="eastAsia" w:ascii="宋体" w:hAnsi="宋体" w:cs="宋体"/>
          <w:highlight w:val="none"/>
        </w:rPr>
        <w:t>（9）投标人认为有必要提供的或评分标准要求提供的或本技术规格书中要求提供的其他技术资料及说明。</w:t>
      </w:r>
    </w:p>
    <w:p>
      <w:pPr>
        <w:pStyle w:val="81"/>
        <w:spacing w:line="360" w:lineRule="auto"/>
        <w:ind w:firstLine="442"/>
        <w:rPr>
          <w:rFonts w:ascii="宋体" w:hAnsi="宋体" w:cs="宋体"/>
          <w:sz w:val="22"/>
          <w:szCs w:val="22"/>
          <w:highlight w:val="none"/>
        </w:rPr>
      </w:pPr>
      <w:r>
        <w:rPr>
          <w:rFonts w:hint="eastAsia" w:ascii="宋体" w:hAnsi="宋体" w:cs="宋体"/>
          <w:b/>
          <w:sz w:val="22"/>
          <w:szCs w:val="22"/>
          <w:highlight w:val="none"/>
        </w:rPr>
        <w:t>▲</w:t>
      </w:r>
      <w:r>
        <w:rPr>
          <w:b/>
          <w:bCs/>
          <w:sz w:val="22"/>
          <w:szCs w:val="22"/>
          <w:highlight w:val="none"/>
        </w:rPr>
        <w:t>注：</w:t>
      </w:r>
      <w:r>
        <w:rPr>
          <w:rFonts w:hint="eastAsia"/>
          <w:b/>
          <w:bCs/>
          <w:sz w:val="22"/>
          <w:szCs w:val="22"/>
          <w:highlight w:val="none"/>
        </w:rPr>
        <w:t>商务技术文件中不能出现报价。</w:t>
      </w:r>
    </w:p>
    <w:p>
      <w:pPr>
        <w:spacing w:line="360" w:lineRule="auto"/>
        <w:ind w:firstLine="411" w:firstLineChars="196"/>
        <w:jc w:val="left"/>
        <w:rPr>
          <w:rFonts w:ascii="宋体" w:hAnsi="宋体" w:cs="宋体"/>
          <w:b/>
          <w:sz w:val="22"/>
          <w:szCs w:val="22"/>
          <w:highlight w:val="none"/>
        </w:rPr>
      </w:pPr>
      <w:r>
        <w:rPr>
          <w:rFonts w:hint="eastAsia" w:ascii="宋体" w:hAnsi="宋体" w:cs="宋体"/>
          <w:b/>
          <w:bCs/>
          <w:highlight w:val="none"/>
        </w:rPr>
        <w:t>3、报价文件内容主要包括但不限于以下内容：</w:t>
      </w:r>
    </w:p>
    <w:p>
      <w:pPr>
        <w:pStyle w:val="81"/>
        <w:spacing w:line="360" w:lineRule="auto"/>
        <w:rPr>
          <w:rFonts w:ascii="宋体" w:hAnsi="宋体" w:cs="宋体"/>
          <w:highlight w:val="none"/>
        </w:rPr>
      </w:pPr>
      <w:r>
        <w:rPr>
          <w:rFonts w:hint="eastAsia" w:ascii="宋体" w:hAnsi="宋体" w:cs="宋体"/>
          <w:highlight w:val="none"/>
        </w:rPr>
        <w:t>（1）投标函（格式见第六章 投标文件格式）；</w:t>
      </w:r>
    </w:p>
    <w:p>
      <w:pPr>
        <w:pStyle w:val="81"/>
        <w:spacing w:line="360" w:lineRule="auto"/>
        <w:rPr>
          <w:rFonts w:ascii="宋体" w:hAnsi="宋体" w:cs="宋体"/>
          <w:highlight w:val="none"/>
        </w:rPr>
      </w:pPr>
      <w:r>
        <w:rPr>
          <w:rFonts w:hint="eastAsia" w:ascii="宋体" w:hAnsi="宋体" w:cs="宋体"/>
          <w:highlight w:val="none"/>
        </w:rPr>
        <w:t>（3）开标一览表（格式见第六章 投标文件格式）；</w:t>
      </w:r>
    </w:p>
    <w:p>
      <w:pPr>
        <w:pStyle w:val="81"/>
        <w:spacing w:line="360" w:lineRule="auto"/>
        <w:rPr>
          <w:rFonts w:ascii="宋体" w:hAnsi="宋体" w:cs="宋体"/>
          <w:highlight w:val="none"/>
        </w:rPr>
      </w:pPr>
      <w:r>
        <w:rPr>
          <w:rFonts w:hint="eastAsia" w:ascii="宋体" w:hAnsi="宋体" w:cs="宋体"/>
          <w:highlight w:val="none"/>
        </w:rPr>
        <w:t>（4）投标分项报价表（（格式自拟））；</w:t>
      </w:r>
    </w:p>
    <w:p>
      <w:pPr>
        <w:pStyle w:val="81"/>
        <w:spacing w:line="360" w:lineRule="auto"/>
        <w:rPr>
          <w:rFonts w:ascii="宋体" w:hAnsi="宋体" w:cs="宋体"/>
          <w:highlight w:val="none"/>
        </w:rPr>
      </w:pPr>
      <w:r>
        <w:rPr>
          <w:rFonts w:hint="eastAsia" w:ascii="宋体" w:hAnsi="宋体" w:cs="宋体"/>
          <w:highlight w:val="none"/>
        </w:rPr>
        <w:t>（5）中小企业声明函（格式见第六章 投标文件格式）；</w:t>
      </w:r>
    </w:p>
    <w:p>
      <w:pPr>
        <w:pStyle w:val="81"/>
        <w:spacing w:line="360" w:lineRule="auto"/>
        <w:rPr>
          <w:rFonts w:ascii="宋体" w:hAnsi="宋体" w:cs="宋体"/>
          <w:highlight w:val="none"/>
        </w:rPr>
      </w:pPr>
      <w:r>
        <w:rPr>
          <w:rFonts w:hint="eastAsia" w:ascii="宋体" w:hAnsi="宋体" w:cs="宋体"/>
          <w:highlight w:val="none"/>
        </w:rPr>
        <w:t>（6）残疾人福利性单位声明函（如为）（（格式见第六章 投标文件格式））；</w:t>
      </w:r>
    </w:p>
    <w:p>
      <w:pPr>
        <w:pStyle w:val="81"/>
        <w:spacing w:line="360" w:lineRule="auto"/>
        <w:rPr>
          <w:rFonts w:ascii="宋体" w:hAnsi="宋体" w:cs="宋体"/>
          <w:highlight w:val="none"/>
        </w:rPr>
      </w:pPr>
      <w:r>
        <w:rPr>
          <w:rFonts w:hint="eastAsia" w:ascii="宋体" w:hAnsi="宋体" w:cs="宋体"/>
          <w:highlight w:val="none"/>
        </w:rPr>
        <w:t>注：本项目为非专门面向中小企业采购的项目，如果供应商和制造商为中小企业，应同时提供供应商和制造商的中小企业声明函。如未按照要求提供，将不得享受评标标准中注明的针对小微企业的价格扣除优惠。</w:t>
      </w:r>
    </w:p>
    <w:p>
      <w:pPr>
        <w:pStyle w:val="81"/>
        <w:spacing w:line="360" w:lineRule="auto"/>
        <w:rPr>
          <w:rFonts w:ascii="宋体" w:hAnsi="宋体" w:cs="宋体"/>
          <w:highlight w:val="none"/>
        </w:rPr>
      </w:pPr>
      <w:r>
        <w:rPr>
          <w:rFonts w:hint="eastAsia" w:ascii="宋体" w:hAnsi="宋体" w:cs="宋体"/>
          <w:highlight w:val="none"/>
        </w:rPr>
        <w:t>（8）政府采购统计基础信息表（格式见第六章 投标文件格式）；</w:t>
      </w:r>
    </w:p>
    <w:p>
      <w:pPr>
        <w:pStyle w:val="81"/>
        <w:spacing w:line="360" w:lineRule="auto"/>
        <w:rPr>
          <w:rFonts w:ascii="宋体" w:hAnsi="宋体" w:cs="宋体"/>
          <w:highlight w:val="none"/>
        </w:rPr>
      </w:pPr>
      <w:r>
        <w:rPr>
          <w:rFonts w:hint="eastAsia" w:ascii="宋体" w:hAnsi="宋体" w:cs="宋体"/>
          <w:highlight w:val="none"/>
        </w:rPr>
        <w:t>（9）投标人针对报价需要说明的其他文件和说明。</w:t>
      </w:r>
    </w:p>
    <w:p>
      <w:pPr>
        <w:pStyle w:val="81"/>
        <w:spacing w:line="360" w:lineRule="auto"/>
        <w:ind w:firstLine="422"/>
        <w:rPr>
          <w:rFonts w:ascii="宋体" w:hAnsi="宋体"/>
          <w:b/>
          <w:bCs/>
          <w:sz w:val="22"/>
          <w:szCs w:val="22"/>
          <w:highlight w:val="none"/>
        </w:rPr>
      </w:pPr>
      <w:r>
        <w:rPr>
          <w:rFonts w:hint="eastAsia" w:ascii="宋体" w:hAnsi="宋体" w:cs="宋体"/>
          <w:b/>
          <w:bCs/>
          <w:highlight w:val="none"/>
        </w:rPr>
        <w:t>注：</w:t>
      </w:r>
      <w:r>
        <w:rPr>
          <w:rFonts w:hint="eastAsia" w:ascii="宋体" w:hAnsi="宋体"/>
          <w:b/>
          <w:bCs/>
          <w:szCs w:val="21"/>
          <w:highlight w:val="none"/>
        </w:rPr>
        <w:t>除联合体协议书（如有）需双方签字盖章外，其余资料需盖章的，均可由联合体牵头人盖章。</w:t>
      </w:r>
    </w:p>
    <w:p>
      <w:pPr>
        <w:pStyle w:val="37"/>
        <w:tabs>
          <w:tab w:val="right" w:leader="dot" w:pos="9344"/>
        </w:tabs>
        <w:spacing w:line="360" w:lineRule="auto"/>
        <w:jc w:val="left"/>
        <w:rPr>
          <w:rFonts w:ascii="宋体" w:hAnsi="宋体"/>
          <w:sz w:val="22"/>
          <w:szCs w:val="22"/>
          <w:highlight w:val="none"/>
        </w:rPr>
      </w:pPr>
    </w:p>
    <w:p>
      <w:pPr>
        <w:pStyle w:val="37"/>
        <w:tabs>
          <w:tab w:val="right" w:leader="dot" w:pos="9344"/>
        </w:tabs>
        <w:spacing w:line="360" w:lineRule="auto"/>
        <w:jc w:val="left"/>
        <w:rPr>
          <w:rFonts w:ascii="宋体" w:hAnsi="宋体"/>
          <w:sz w:val="22"/>
          <w:szCs w:val="22"/>
          <w:highlight w:val="none"/>
        </w:rPr>
      </w:pPr>
    </w:p>
    <w:p>
      <w:pPr>
        <w:pStyle w:val="37"/>
        <w:tabs>
          <w:tab w:val="right" w:leader="dot" w:pos="9344"/>
        </w:tabs>
        <w:spacing w:line="360" w:lineRule="auto"/>
        <w:jc w:val="left"/>
        <w:rPr>
          <w:rFonts w:ascii="宋体" w:hAnsi="宋体"/>
          <w:sz w:val="22"/>
          <w:szCs w:val="22"/>
          <w:highlight w:val="none"/>
        </w:rPr>
      </w:pPr>
    </w:p>
    <w:p>
      <w:pPr>
        <w:pStyle w:val="37"/>
        <w:tabs>
          <w:tab w:val="right" w:leader="dot" w:pos="9344"/>
        </w:tabs>
        <w:spacing w:line="360" w:lineRule="auto"/>
        <w:jc w:val="left"/>
        <w:rPr>
          <w:rFonts w:ascii="宋体" w:hAnsi="宋体"/>
          <w:sz w:val="22"/>
          <w:szCs w:val="22"/>
          <w:highlight w:val="none"/>
        </w:rPr>
      </w:pPr>
    </w:p>
    <w:p>
      <w:pPr>
        <w:pStyle w:val="29"/>
        <w:adjustRightInd w:val="0"/>
        <w:snapToGrid w:val="0"/>
        <w:spacing w:line="360" w:lineRule="auto"/>
        <w:rPr>
          <w:rFonts w:hAnsi="宋体"/>
          <w:sz w:val="22"/>
          <w:szCs w:val="22"/>
          <w:highlight w:val="none"/>
        </w:rPr>
      </w:pPr>
    </w:p>
    <w:p>
      <w:pPr>
        <w:pStyle w:val="29"/>
        <w:adjustRightInd w:val="0"/>
        <w:snapToGrid w:val="0"/>
        <w:spacing w:line="360" w:lineRule="auto"/>
        <w:rPr>
          <w:rFonts w:hAnsi="宋体"/>
          <w:sz w:val="22"/>
          <w:szCs w:val="22"/>
          <w:highlight w:val="none"/>
        </w:rPr>
      </w:pPr>
    </w:p>
    <w:p>
      <w:pPr>
        <w:pStyle w:val="29"/>
        <w:adjustRightInd w:val="0"/>
        <w:snapToGrid w:val="0"/>
        <w:spacing w:line="360" w:lineRule="auto"/>
        <w:rPr>
          <w:rFonts w:hAnsi="宋体"/>
          <w:sz w:val="22"/>
          <w:szCs w:val="22"/>
          <w:highlight w:val="none"/>
        </w:rPr>
      </w:pPr>
    </w:p>
    <w:p>
      <w:pPr>
        <w:pStyle w:val="29"/>
        <w:adjustRightInd w:val="0"/>
        <w:snapToGrid w:val="0"/>
        <w:spacing w:line="360" w:lineRule="auto"/>
        <w:rPr>
          <w:rFonts w:hAnsi="宋体"/>
          <w:sz w:val="22"/>
          <w:szCs w:val="22"/>
          <w:highlight w:val="none"/>
        </w:rPr>
      </w:pPr>
    </w:p>
    <w:p>
      <w:pPr>
        <w:pStyle w:val="29"/>
        <w:adjustRightInd w:val="0"/>
        <w:snapToGrid w:val="0"/>
        <w:spacing w:line="360" w:lineRule="auto"/>
        <w:rPr>
          <w:rFonts w:hAnsi="宋体"/>
          <w:sz w:val="22"/>
          <w:szCs w:val="22"/>
          <w:highlight w:val="none"/>
        </w:rPr>
      </w:pPr>
    </w:p>
    <w:p>
      <w:pPr>
        <w:pStyle w:val="29"/>
        <w:adjustRightInd w:val="0"/>
        <w:snapToGrid w:val="0"/>
        <w:spacing w:line="360" w:lineRule="auto"/>
        <w:rPr>
          <w:rFonts w:hAnsi="宋体"/>
          <w:sz w:val="22"/>
          <w:szCs w:val="22"/>
          <w:highlight w:val="none"/>
        </w:rPr>
      </w:pPr>
    </w:p>
    <w:p>
      <w:pPr>
        <w:pStyle w:val="29"/>
        <w:adjustRightInd w:val="0"/>
        <w:snapToGrid w:val="0"/>
        <w:spacing w:line="360" w:lineRule="auto"/>
        <w:rPr>
          <w:rFonts w:hAnsi="宋体"/>
          <w:sz w:val="22"/>
          <w:szCs w:val="22"/>
          <w:highlight w:val="none"/>
        </w:rPr>
      </w:pPr>
    </w:p>
    <w:p>
      <w:pPr>
        <w:pStyle w:val="29"/>
        <w:adjustRightInd w:val="0"/>
        <w:snapToGrid w:val="0"/>
        <w:spacing w:line="360" w:lineRule="auto"/>
        <w:rPr>
          <w:rFonts w:hAnsi="宋体"/>
          <w:sz w:val="22"/>
          <w:szCs w:val="22"/>
          <w:highlight w:val="none"/>
        </w:rPr>
      </w:pPr>
    </w:p>
    <w:p>
      <w:pPr>
        <w:pStyle w:val="29"/>
        <w:adjustRightInd w:val="0"/>
        <w:snapToGrid w:val="0"/>
        <w:spacing w:line="360" w:lineRule="auto"/>
        <w:rPr>
          <w:rFonts w:hAnsi="宋体"/>
          <w:sz w:val="22"/>
          <w:szCs w:val="22"/>
          <w:highlight w:val="none"/>
        </w:rPr>
      </w:pPr>
    </w:p>
    <w:p>
      <w:pPr>
        <w:pStyle w:val="29"/>
        <w:adjustRightInd w:val="0"/>
        <w:snapToGrid w:val="0"/>
        <w:spacing w:line="360" w:lineRule="auto"/>
        <w:rPr>
          <w:rFonts w:hAnsi="宋体"/>
          <w:sz w:val="22"/>
          <w:szCs w:val="22"/>
          <w:highlight w:val="none"/>
        </w:rPr>
      </w:pPr>
    </w:p>
    <w:p>
      <w:pPr>
        <w:pStyle w:val="29"/>
        <w:adjustRightInd w:val="0"/>
        <w:snapToGrid w:val="0"/>
        <w:spacing w:line="360" w:lineRule="auto"/>
        <w:rPr>
          <w:rFonts w:hAnsi="宋体"/>
          <w:sz w:val="22"/>
          <w:szCs w:val="22"/>
          <w:highlight w:val="none"/>
        </w:rPr>
      </w:pPr>
    </w:p>
    <w:p>
      <w:pPr>
        <w:pStyle w:val="29"/>
        <w:adjustRightInd w:val="0"/>
        <w:snapToGrid w:val="0"/>
        <w:spacing w:line="360" w:lineRule="auto"/>
        <w:rPr>
          <w:rFonts w:hAnsi="宋体"/>
          <w:sz w:val="22"/>
          <w:szCs w:val="22"/>
          <w:highlight w:val="none"/>
        </w:rPr>
      </w:pPr>
    </w:p>
    <w:p>
      <w:pPr>
        <w:pStyle w:val="29"/>
        <w:adjustRightInd w:val="0"/>
        <w:snapToGrid w:val="0"/>
        <w:spacing w:line="360" w:lineRule="auto"/>
        <w:rPr>
          <w:rFonts w:hAnsi="宋体"/>
          <w:sz w:val="22"/>
          <w:szCs w:val="22"/>
          <w:highlight w:val="none"/>
        </w:rPr>
      </w:pPr>
    </w:p>
    <w:p>
      <w:pPr>
        <w:pStyle w:val="29"/>
        <w:adjustRightInd w:val="0"/>
        <w:snapToGrid w:val="0"/>
        <w:spacing w:line="360" w:lineRule="auto"/>
        <w:rPr>
          <w:rFonts w:hAnsi="宋体"/>
          <w:sz w:val="22"/>
          <w:szCs w:val="22"/>
          <w:highlight w:val="none"/>
        </w:rPr>
      </w:pPr>
    </w:p>
    <w:p>
      <w:pPr>
        <w:pStyle w:val="29"/>
        <w:adjustRightInd w:val="0"/>
        <w:snapToGrid w:val="0"/>
        <w:spacing w:line="360" w:lineRule="auto"/>
        <w:rPr>
          <w:rFonts w:hAnsi="宋体"/>
          <w:sz w:val="22"/>
          <w:szCs w:val="22"/>
          <w:highlight w:val="none"/>
        </w:rPr>
      </w:pPr>
    </w:p>
    <w:p>
      <w:pPr>
        <w:pStyle w:val="29"/>
        <w:adjustRightInd w:val="0"/>
        <w:snapToGrid w:val="0"/>
        <w:spacing w:line="360" w:lineRule="auto"/>
        <w:rPr>
          <w:rFonts w:hAnsi="宋体"/>
          <w:sz w:val="22"/>
          <w:szCs w:val="22"/>
          <w:highlight w:val="none"/>
        </w:rPr>
      </w:pPr>
    </w:p>
    <w:p>
      <w:pPr>
        <w:pStyle w:val="29"/>
        <w:adjustRightInd w:val="0"/>
        <w:snapToGrid w:val="0"/>
        <w:spacing w:line="360" w:lineRule="auto"/>
        <w:rPr>
          <w:rFonts w:hAnsi="宋体"/>
          <w:sz w:val="22"/>
          <w:szCs w:val="22"/>
          <w:highlight w:val="none"/>
        </w:rPr>
      </w:pPr>
    </w:p>
    <w:p>
      <w:pPr>
        <w:snapToGrid w:val="0"/>
        <w:spacing w:before="156" w:beforeLines="50" w:after="50"/>
        <w:rPr>
          <w:rFonts w:ascii="宋体" w:hAnsi="宋体" w:cs="宋体"/>
          <w:highlight w:val="none"/>
        </w:rPr>
      </w:pPr>
      <w:r>
        <w:rPr>
          <w:rFonts w:hint="eastAsia" w:ascii="宋体" w:hAnsi="宋体"/>
          <w:b/>
          <w:sz w:val="32"/>
          <w:szCs w:val="32"/>
          <w:highlight w:val="none"/>
        </w:rPr>
        <w:br w:type="page"/>
      </w:r>
      <w:bookmarkStart w:id="212" w:name="_Toc335895417"/>
      <w:r>
        <w:rPr>
          <w:rFonts w:hint="eastAsia" w:ascii="宋体" w:hAnsi="宋体" w:cs="宋体"/>
          <w:highlight w:val="none"/>
        </w:rPr>
        <w:t>1.所有投标文件的外包装封面格式：(可选用)</w:t>
      </w:r>
    </w:p>
    <w:p>
      <w:pPr>
        <w:snapToGrid w:val="0"/>
        <w:spacing w:before="156" w:beforeLines="50" w:after="50"/>
        <w:rPr>
          <w:rFonts w:ascii="宋体" w:hAnsi="宋体" w:cs="宋体"/>
          <w:highlight w:val="none"/>
        </w:rPr>
      </w:pPr>
    </w:p>
    <w:p>
      <w:pPr>
        <w:snapToGrid w:val="0"/>
        <w:spacing w:before="156" w:beforeLines="50" w:after="50"/>
        <w:jc w:val="center"/>
        <w:rPr>
          <w:rFonts w:ascii="宋体" w:hAnsi="宋体" w:cs="宋体"/>
          <w:bCs/>
          <w:highlight w:val="none"/>
        </w:rPr>
      </w:pPr>
    </w:p>
    <w:p>
      <w:pPr>
        <w:snapToGrid w:val="0"/>
        <w:spacing w:before="156" w:beforeLines="50" w:after="50"/>
        <w:jc w:val="center"/>
        <w:rPr>
          <w:rFonts w:ascii="宋体" w:hAnsi="宋体" w:cs="宋体"/>
          <w:bCs/>
          <w:highlight w:val="none"/>
        </w:rPr>
      </w:pPr>
      <w:r>
        <w:rPr>
          <w:rFonts w:hint="eastAsia" w:ascii="宋体" w:hAnsi="宋体" w:cs="宋体"/>
          <w:bCs/>
          <w:highlight w:val="none"/>
        </w:rPr>
        <w:t>投 标 文 件</w:t>
      </w:r>
    </w:p>
    <w:p>
      <w:pPr>
        <w:snapToGrid w:val="0"/>
        <w:spacing w:before="156" w:beforeLines="50" w:after="50"/>
        <w:rPr>
          <w:rFonts w:ascii="宋体" w:hAnsi="宋体" w:cs="宋体"/>
          <w:bCs/>
          <w:highlight w:val="none"/>
        </w:rPr>
      </w:pPr>
    </w:p>
    <w:p>
      <w:pPr>
        <w:snapToGrid w:val="0"/>
        <w:spacing w:before="156" w:beforeLines="50" w:after="50"/>
        <w:rPr>
          <w:rFonts w:ascii="宋体" w:hAnsi="宋体" w:cs="宋体"/>
          <w:bCs/>
          <w:highlight w:val="none"/>
        </w:rPr>
      </w:pPr>
    </w:p>
    <w:p>
      <w:pPr>
        <w:snapToGrid w:val="0"/>
        <w:spacing w:line="400" w:lineRule="exact"/>
        <w:ind w:firstLine="1785" w:firstLineChars="850"/>
        <w:rPr>
          <w:rFonts w:ascii="宋体" w:hAnsi="宋体" w:cs="宋体"/>
          <w:bCs/>
          <w:highlight w:val="none"/>
        </w:rPr>
      </w:pPr>
      <w:r>
        <w:rPr>
          <w:rFonts w:hint="eastAsia" w:ascii="宋体" w:hAnsi="宋体" w:cs="宋体"/>
          <w:bCs/>
          <w:highlight w:val="none"/>
        </w:rPr>
        <w:t xml:space="preserve">项目名称：        </w:t>
      </w:r>
    </w:p>
    <w:p>
      <w:pPr>
        <w:snapToGrid w:val="0"/>
        <w:spacing w:line="400" w:lineRule="exact"/>
        <w:ind w:firstLine="1785" w:firstLineChars="850"/>
        <w:rPr>
          <w:rFonts w:ascii="宋体" w:hAnsi="宋体" w:cs="宋体"/>
          <w:bCs/>
          <w:highlight w:val="none"/>
        </w:rPr>
      </w:pPr>
      <w:r>
        <w:rPr>
          <w:rFonts w:hint="eastAsia" w:ascii="宋体" w:hAnsi="宋体" w:cs="宋体"/>
          <w:bCs/>
          <w:highlight w:val="none"/>
        </w:rPr>
        <w:t xml:space="preserve">项目编号： </w:t>
      </w:r>
    </w:p>
    <w:p>
      <w:pPr>
        <w:spacing w:line="360" w:lineRule="auto"/>
        <w:ind w:firstLine="1785" w:firstLineChars="850"/>
        <w:rPr>
          <w:rFonts w:ascii="宋体" w:hAnsi="宋体" w:cs="宋体"/>
          <w:bCs/>
          <w:highlight w:val="none"/>
        </w:rPr>
      </w:pPr>
      <w:r>
        <w:rPr>
          <w:rFonts w:hint="eastAsia" w:ascii="宋体" w:hAnsi="宋体" w:cs="宋体"/>
          <w:bCs/>
          <w:highlight w:val="none"/>
        </w:rPr>
        <w:t>投标文件名称：资格文件/商务技术文件/报价文件</w:t>
      </w:r>
    </w:p>
    <w:p>
      <w:pPr>
        <w:pStyle w:val="16"/>
        <w:snapToGrid w:val="0"/>
        <w:spacing w:line="400" w:lineRule="exact"/>
        <w:ind w:firstLine="1785" w:firstLineChars="850"/>
        <w:rPr>
          <w:rFonts w:hAnsi="宋体" w:cs="宋体"/>
          <w:bCs/>
          <w:szCs w:val="21"/>
          <w:highlight w:val="none"/>
        </w:rPr>
      </w:pPr>
      <w:r>
        <w:rPr>
          <w:rFonts w:hint="eastAsia" w:hAnsi="宋体" w:cs="宋体"/>
          <w:bCs/>
          <w:szCs w:val="21"/>
          <w:highlight w:val="none"/>
        </w:rPr>
        <w:t>供应商名称：</w:t>
      </w:r>
    </w:p>
    <w:p>
      <w:pPr>
        <w:pStyle w:val="16"/>
        <w:snapToGrid w:val="0"/>
        <w:spacing w:line="400" w:lineRule="exact"/>
        <w:ind w:firstLine="1785" w:firstLineChars="850"/>
        <w:rPr>
          <w:rFonts w:hAnsi="宋体" w:cs="宋体"/>
          <w:bCs/>
          <w:szCs w:val="21"/>
          <w:highlight w:val="none"/>
        </w:rPr>
      </w:pPr>
      <w:r>
        <w:rPr>
          <w:rFonts w:hint="eastAsia" w:hAnsi="宋体" w:cs="宋体"/>
          <w:bCs/>
          <w:szCs w:val="21"/>
          <w:highlight w:val="none"/>
        </w:rPr>
        <w:t>供应商地址：</w:t>
      </w:r>
    </w:p>
    <w:p>
      <w:pPr>
        <w:pStyle w:val="16"/>
        <w:snapToGrid w:val="0"/>
        <w:spacing w:line="400" w:lineRule="exact"/>
        <w:ind w:firstLine="1785" w:firstLineChars="850"/>
        <w:rPr>
          <w:rFonts w:hAnsi="宋体" w:cs="宋体"/>
          <w:bCs/>
          <w:szCs w:val="21"/>
          <w:highlight w:val="none"/>
        </w:rPr>
      </w:pPr>
      <w:r>
        <w:rPr>
          <w:rFonts w:hint="eastAsia" w:hAnsi="宋体" w:cs="宋体"/>
          <w:szCs w:val="21"/>
          <w:highlight w:val="none"/>
        </w:rPr>
        <w:t xml:space="preserve">                  开标时启封</w:t>
      </w:r>
    </w:p>
    <w:p>
      <w:pPr>
        <w:snapToGrid w:val="0"/>
        <w:spacing w:before="156" w:beforeLines="50" w:after="50"/>
        <w:ind w:firstLine="3570" w:firstLineChars="1700"/>
        <w:rPr>
          <w:rFonts w:ascii="宋体" w:hAnsi="宋体" w:cs="宋体"/>
          <w:bCs/>
          <w:highlight w:val="none"/>
        </w:rPr>
      </w:pPr>
    </w:p>
    <w:p>
      <w:pPr>
        <w:snapToGrid w:val="0"/>
        <w:spacing w:before="156" w:beforeLines="50" w:after="50"/>
        <w:ind w:firstLine="645"/>
        <w:jc w:val="center"/>
        <w:rPr>
          <w:rFonts w:ascii="宋体" w:hAnsi="宋体" w:cs="宋体"/>
          <w:bCs/>
          <w:highlight w:val="none"/>
        </w:rPr>
      </w:pPr>
      <w:r>
        <w:rPr>
          <w:rFonts w:hint="eastAsia" w:ascii="宋体" w:hAnsi="宋体" w:cs="宋体"/>
          <w:bCs/>
          <w:highlight w:val="none"/>
        </w:rPr>
        <w:t xml:space="preserve">                        年  月  日</w:t>
      </w:r>
    </w:p>
    <w:p>
      <w:pPr>
        <w:snapToGrid w:val="0"/>
        <w:spacing w:before="156" w:beforeLines="50" w:after="50"/>
        <w:rPr>
          <w:rFonts w:ascii="宋体" w:hAnsi="宋体" w:cs="宋体"/>
          <w:highlight w:val="none"/>
        </w:rPr>
      </w:pPr>
    </w:p>
    <w:p>
      <w:pPr>
        <w:snapToGrid w:val="0"/>
        <w:spacing w:before="156" w:beforeLines="50" w:after="50"/>
        <w:jc w:val="center"/>
        <w:rPr>
          <w:rFonts w:ascii="宋体" w:hAnsi="宋体" w:cs="宋体"/>
          <w:highlight w:val="none"/>
        </w:rPr>
      </w:pPr>
    </w:p>
    <w:p>
      <w:pPr>
        <w:snapToGrid w:val="0"/>
        <w:spacing w:before="156" w:beforeLines="50" w:after="50"/>
        <w:jc w:val="center"/>
        <w:rPr>
          <w:rFonts w:ascii="宋体" w:hAnsi="宋体" w:cs="宋体"/>
          <w:highlight w:val="none"/>
        </w:rPr>
      </w:pPr>
    </w:p>
    <w:p>
      <w:pPr>
        <w:snapToGrid w:val="0"/>
        <w:spacing w:before="156" w:beforeLines="50" w:after="50"/>
        <w:rPr>
          <w:rFonts w:ascii="宋体" w:hAnsi="宋体" w:cs="宋体"/>
          <w:highlight w:val="none"/>
        </w:rPr>
      </w:pPr>
      <w:r>
        <w:rPr>
          <w:rFonts w:hint="eastAsia" w:ascii="宋体" w:hAnsi="宋体" w:cs="宋体"/>
          <w:highlight w:val="none"/>
        </w:rPr>
        <w:t xml:space="preserve">2.封面格式： </w:t>
      </w:r>
    </w:p>
    <w:p>
      <w:pPr>
        <w:snapToGrid w:val="0"/>
        <w:spacing w:before="156" w:beforeLines="50" w:after="50"/>
        <w:rPr>
          <w:rFonts w:ascii="宋体" w:hAnsi="宋体" w:cs="宋体"/>
          <w:b/>
          <w:bCs/>
          <w:highlight w:val="none"/>
        </w:rPr>
      </w:pPr>
      <w:r>
        <w:rPr>
          <w:rFonts w:hint="eastAsia" w:ascii="宋体" w:hAnsi="宋体" w:cs="宋体"/>
          <w:highlight w:val="none"/>
        </w:rPr>
        <w:t xml:space="preserve">                                                              </w:t>
      </w:r>
      <w:r>
        <w:rPr>
          <w:rFonts w:hint="eastAsia" w:ascii="宋体" w:hAnsi="宋体" w:cs="宋体"/>
          <w:b/>
          <w:bCs/>
          <w:highlight w:val="none"/>
        </w:rPr>
        <w:t>正本/或副本</w:t>
      </w:r>
    </w:p>
    <w:p>
      <w:pPr>
        <w:snapToGrid w:val="0"/>
        <w:spacing w:before="156" w:beforeLines="50" w:after="50"/>
        <w:rPr>
          <w:rFonts w:ascii="宋体" w:hAnsi="宋体" w:cs="宋体"/>
          <w:bCs/>
          <w:highlight w:val="none"/>
        </w:rPr>
      </w:pPr>
    </w:p>
    <w:p>
      <w:pPr>
        <w:snapToGrid w:val="0"/>
        <w:spacing w:before="156" w:beforeLines="50" w:after="50"/>
        <w:jc w:val="center"/>
        <w:rPr>
          <w:rFonts w:ascii="宋体" w:hAnsi="宋体" w:cs="宋体"/>
          <w:bCs/>
          <w:highlight w:val="none"/>
        </w:rPr>
      </w:pPr>
      <w:r>
        <w:rPr>
          <w:rFonts w:hint="eastAsia" w:ascii="宋体" w:hAnsi="宋体" w:cs="宋体"/>
          <w:bCs/>
          <w:highlight w:val="none"/>
        </w:rPr>
        <w:t>投标文件</w:t>
      </w:r>
    </w:p>
    <w:p>
      <w:pPr>
        <w:snapToGrid w:val="0"/>
        <w:spacing w:before="156" w:beforeLines="50" w:after="50"/>
        <w:rPr>
          <w:rFonts w:ascii="宋体" w:hAnsi="宋体" w:cs="宋体"/>
          <w:bCs/>
          <w:highlight w:val="none"/>
        </w:rPr>
      </w:pPr>
    </w:p>
    <w:p>
      <w:pPr>
        <w:snapToGrid w:val="0"/>
        <w:spacing w:before="156" w:beforeLines="50" w:after="50"/>
        <w:rPr>
          <w:rFonts w:ascii="宋体" w:hAnsi="宋体" w:cs="宋体"/>
          <w:bCs/>
          <w:highlight w:val="none"/>
        </w:rPr>
      </w:pPr>
    </w:p>
    <w:p>
      <w:pPr>
        <w:snapToGrid w:val="0"/>
        <w:spacing w:line="400" w:lineRule="exact"/>
        <w:ind w:firstLine="1575" w:firstLineChars="750"/>
        <w:rPr>
          <w:rFonts w:ascii="宋体" w:hAnsi="宋体" w:cs="宋体"/>
          <w:bCs/>
          <w:highlight w:val="none"/>
        </w:rPr>
      </w:pPr>
      <w:r>
        <w:rPr>
          <w:rFonts w:hint="eastAsia" w:ascii="宋体" w:hAnsi="宋体" w:cs="宋体"/>
          <w:bCs/>
          <w:highlight w:val="none"/>
        </w:rPr>
        <w:t xml:space="preserve">项目名称： </w:t>
      </w:r>
    </w:p>
    <w:p>
      <w:pPr>
        <w:snapToGrid w:val="0"/>
        <w:spacing w:line="400" w:lineRule="exact"/>
        <w:rPr>
          <w:rFonts w:ascii="宋体" w:hAnsi="宋体" w:cs="宋体"/>
          <w:bCs/>
          <w:highlight w:val="none"/>
        </w:rPr>
      </w:pPr>
      <w:r>
        <w:rPr>
          <w:rFonts w:hint="eastAsia" w:ascii="宋体" w:hAnsi="宋体" w:cs="宋体"/>
          <w:bCs/>
          <w:highlight w:val="none"/>
        </w:rPr>
        <w:t xml:space="preserve">               项目编号：  </w:t>
      </w:r>
    </w:p>
    <w:p>
      <w:pPr>
        <w:snapToGrid w:val="0"/>
        <w:spacing w:line="400" w:lineRule="exact"/>
        <w:rPr>
          <w:rFonts w:ascii="宋体" w:hAnsi="宋体" w:cs="宋体"/>
          <w:bCs/>
          <w:highlight w:val="none"/>
        </w:rPr>
      </w:pPr>
      <w:r>
        <w:rPr>
          <w:rFonts w:hint="eastAsia" w:ascii="宋体" w:hAnsi="宋体" w:cs="宋体"/>
          <w:bCs/>
          <w:highlight w:val="none"/>
        </w:rPr>
        <w:t xml:space="preserve">               投标文件名称：资格文件/商务技术文件/报价文件</w:t>
      </w:r>
    </w:p>
    <w:p>
      <w:pPr>
        <w:pStyle w:val="16"/>
        <w:snapToGrid w:val="0"/>
        <w:spacing w:line="400" w:lineRule="exact"/>
        <w:ind w:firstLine="1575" w:firstLineChars="750"/>
        <w:rPr>
          <w:rFonts w:hAnsi="宋体" w:cs="宋体"/>
          <w:bCs/>
          <w:szCs w:val="21"/>
          <w:highlight w:val="none"/>
        </w:rPr>
      </w:pPr>
      <w:r>
        <w:rPr>
          <w:rFonts w:hint="eastAsia" w:hAnsi="宋体" w:cs="宋体"/>
          <w:bCs/>
          <w:szCs w:val="21"/>
          <w:highlight w:val="none"/>
        </w:rPr>
        <w:t>供应商名称：</w:t>
      </w:r>
    </w:p>
    <w:p>
      <w:pPr>
        <w:pStyle w:val="16"/>
        <w:snapToGrid w:val="0"/>
        <w:spacing w:line="400" w:lineRule="exact"/>
        <w:ind w:firstLine="1575" w:firstLineChars="750"/>
        <w:rPr>
          <w:rFonts w:hAnsi="宋体" w:cs="宋体"/>
          <w:bCs/>
          <w:szCs w:val="21"/>
          <w:highlight w:val="none"/>
        </w:rPr>
      </w:pPr>
      <w:r>
        <w:rPr>
          <w:rFonts w:hint="eastAsia" w:hAnsi="宋体" w:cs="宋体"/>
          <w:bCs/>
          <w:szCs w:val="21"/>
          <w:highlight w:val="none"/>
        </w:rPr>
        <w:t>供应商地址：</w:t>
      </w:r>
    </w:p>
    <w:p>
      <w:pPr>
        <w:pStyle w:val="16"/>
        <w:snapToGrid w:val="0"/>
        <w:spacing w:before="50" w:after="50"/>
        <w:ind w:firstLine="840" w:firstLineChars="400"/>
        <w:rPr>
          <w:rFonts w:hAnsi="宋体" w:cs="宋体"/>
          <w:bCs/>
          <w:szCs w:val="21"/>
          <w:highlight w:val="none"/>
        </w:rPr>
      </w:pPr>
    </w:p>
    <w:p>
      <w:pPr>
        <w:pStyle w:val="16"/>
        <w:snapToGrid w:val="0"/>
        <w:spacing w:before="50" w:after="50"/>
        <w:ind w:firstLine="873" w:firstLineChars="416"/>
        <w:rPr>
          <w:rFonts w:hAnsi="宋体" w:cs="宋体"/>
          <w:szCs w:val="21"/>
          <w:highlight w:val="none"/>
        </w:rPr>
      </w:pPr>
    </w:p>
    <w:p>
      <w:pPr>
        <w:snapToGrid w:val="0"/>
        <w:spacing w:before="156" w:beforeLines="50" w:after="50"/>
        <w:ind w:firstLine="5040" w:firstLineChars="2400"/>
        <w:rPr>
          <w:rFonts w:ascii="宋体" w:hAnsi="宋体" w:cs="宋体"/>
          <w:highlight w:val="none"/>
        </w:rPr>
      </w:pPr>
      <w:r>
        <w:rPr>
          <w:rFonts w:hint="eastAsia" w:ascii="宋体" w:hAnsi="宋体" w:cs="宋体"/>
          <w:highlight w:val="none"/>
        </w:rPr>
        <w:t>授权代表签章：</w:t>
      </w:r>
    </w:p>
    <w:p>
      <w:pPr>
        <w:snapToGrid w:val="0"/>
        <w:spacing w:before="156" w:beforeLines="50" w:after="50"/>
        <w:ind w:firstLine="645"/>
        <w:jc w:val="center"/>
        <w:rPr>
          <w:rFonts w:ascii="宋体" w:hAnsi="宋体" w:cs="宋体"/>
          <w:highlight w:val="none"/>
        </w:rPr>
      </w:pPr>
      <w:r>
        <w:rPr>
          <w:rFonts w:hint="eastAsia" w:ascii="宋体" w:hAnsi="宋体" w:cs="宋体"/>
          <w:highlight w:val="none"/>
        </w:rPr>
        <w:t xml:space="preserve">                        年  月  日</w:t>
      </w:r>
    </w:p>
    <w:p>
      <w:pPr>
        <w:adjustRightInd w:val="0"/>
        <w:snapToGrid w:val="0"/>
        <w:jc w:val="center"/>
        <w:rPr>
          <w:rFonts w:ascii="宋体" w:hAnsi="宋体" w:cs="宋体"/>
          <w:b/>
          <w:sz w:val="24"/>
          <w:highlight w:val="none"/>
        </w:rPr>
      </w:pPr>
      <w:r>
        <w:rPr>
          <w:rFonts w:hint="eastAsia" w:ascii="宋体" w:hAnsi="宋体"/>
          <w:b/>
          <w:sz w:val="28"/>
          <w:szCs w:val="28"/>
          <w:highlight w:val="none"/>
        </w:rPr>
        <w:br w:type="page"/>
      </w:r>
      <w:r>
        <w:rPr>
          <w:rFonts w:hint="eastAsia" w:ascii="宋体" w:hAnsi="宋体" w:cs="宋体"/>
          <w:b/>
          <w:sz w:val="24"/>
          <w:highlight w:val="none"/>
        </w:rPr>
        <w:t>资格条件自查表</w:t>
      </w:r>
    </w:p>
    <w:tbl>
      <w:tblPr>
        <w:tblStyle w:val="50"/>
        <w:tblW w:w="10044" w:type="dxa"/>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931"/>
        <w:gridCol w:w="4902"/>
        <w:gridCol w:w="1584"/>
        <w:gridCol w:w="2627"/>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82" w:hRule="atLeast"/>
          <w:jc w:val="center"/>
        </w:trPr>
        <w:tc>
          <w:tcPr>
            <w:tcW w:w="931" w:type="dxa"/>
            <w:tcBorders>
              <w:top w:val="single" w:color="auto" w:sz="12" w:space="0"/>
              <w:left w:val="single" w:color="auto" w:sz="12" w:space="0"/>
              <w:bottom w:val="outset" w:color="111111" w:sz="6" w:space="0"/>
              <w:right w:val="outset" w:color="111111" w:sz="6" w:space="0"/>
            </w:tcBorders>
            <w:vAlign w:val="center"/>
          </w:tcPr>
          <w:p>
            <w:pPr>
              <w:adjustRightInd w:val="0"/>
              <w:snapToGrid w:val="0"/>
              <w:jc w:val="center"/>
              <w:rPr>
                <w:rFonts w:ascii="宋体" w:hAnsi="宋体" w:cs="宋体"/>
                <w:szCs w:val="21"/>
                <w:highlight w:val="none"/>
              </w:rPr>
            </w:pPr>
            <w:r>
              <w:rPr>
                <w:rStyle w:val="53"/>
                <w:rFonts w:hint="eastAsia" w:ascii="宋体" w:hAnsi="宋体" w:cs="宋体"/>
                <w:szCs w:val="21"/>
                <w:highlight w:val="none"/>
              </w:rPr>
              <w:t>评审内容</w:t>
            </w:r>
          </w:p>
        </w:tc>
        <w:tc>
          <w:tcPr>
            <w:tcW w:w="4902" w:type="dxa"/>
            <w:tcBorders>
              <w:top w:val="single" w:color="auto" w:sz="12" w:space="0"/>
              <w:left w:val="outset" w:color="111111" w:sz="6" w:space="0"/>
              <w:bottom w:val="outset" w:color="111111" w:sz="6" w:space="0"/>
              <w:right w:val="outset" w:color="111111" w:sz="6" w:space="0"/>
            </w:tcBorders>
            <w:vAlign w:val="center"/>
          </w:tcPr>
          <w:p>
            <w:pPr>
              <w:adjustRightInd w:val="0"/>
              <w:snapToGrid w:val="0"/>
              <w:jc w:val="center"/>
              <w:rPr>
                <w:rFonts w:ascii="宋体" w:hAnsi="宋体" w:cs="宋体"/>
                <w:szCs w:val="21"/>
                <w:highlight w:val="none"/>
              </w:rPr>
            </w:pPr>
            <w:r>
              <w:rPr>
                <w:rStyle w:val="53"/>
                <w:rFonts w:hint="eastAsia" w:ascii="宋体" w:hAnsi="宋体" w:cs="宋体"/>
                <w:szCs w:val="21"/>
                <w:highlight w:val="none"/>
              </w:rPr>
              <w:t>采购文件要求</w:t>
            </w:r>
          </w:p>
        </w:tc>
        <w:tc>
          <w:tcPr>
            <w:tcW w:w="1584" w:type="dxa"/>
            <w:tcBorders>
              <w:top w:val="single" w:color="auto" w:sz="12" w:space="0"/>
              <w:left w:val="outset" w:color="111111" w:sz="6" w:space="0"/>
              <w:bottom w:val="outset" w:color="111111" w:sz="6" w:space="0"/>
              <w:right w:val="outset" w:color="111111" w:sz="6" w:space="0"/>
            </w:tcBorders>
            <w:vAlign w:val="center"/>
          </w:tcPr>
          <w:p>
            <w:pPr>
              <w:adjustRightInd w:val="0"/>
              <w:snapToGrid w:val="0"/>
              <w:jc w:val="center"/>
              <w:rPr>
                <w:rFonts w:ascii="宋体" w:hAnsi="宋体" w:cs="宋体"/>
                <w:szCs w:val="21"/>
                <w:highlight w:val="none"/>
              </w:rPr>
            </w:pPr>
            <w:r>
              <w:rPr>
                <w:rStyle w:val="53"/>
                <w:rFonts w:hint="eastAsia" w:ascii="宋体" w:hAnsi="宋体" w:cs="宋体"/>
                <w:szCs w:val="21"/>
                <w:highlight w:val="none"/>
              </w:rPr>
              <w:t>自查结论</w:t>
            </w:r>
          </w:p>
        </w:tc>
        <w:tc>
          <w:tcPr>
            <w:tcW w:w="2627" w:type="dxa"/>
            <w:tcBorders>
              <w:top w:val="single" w:color="auto" w:sz="12" w:space="0"/>
              <w:left w:val="outset" w:color="111111" w:sz="6" w:space="0"/>
              <w:bottom w:val="outset" w:color="111111" w:sz="6" w:space="0"/>
              <w:right w:val="single" w:color="auto" w:sz="12" w:space="0"/>
            </w:tcBorders>
            <w:vAlign w:val="center"/>
          </w:tcPr>
          <w:p>
            <w:pPr>
              <w:adjustRightInd w:val="0"/>
              <w:snapToGrid w:val="0"/>
              <w:jc w:val="center"/>
              <w:rPr>
                <w:rFonts w:ascii="宋体" w:hAnsi="宋体" w:cs="宋体"/>
                <w:szCs w:val="21"/>
                <w:highlight w:val="none"/>
              </w:rPr>
            </w:pPr>
            <w:r>
              <w:rPr>
                <w:rStyle w:val="53"/>
                <w:rFonts w:hint="eastAsia" w:ascii="宋体" w:hAnsi="宋体" w:cs="宋体"/>
                <w:szCs w:val="21"/>
                <w:highlight w:val="none"/>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60" w:hRule="atLeast"/>
          <w:jc w:val="center"/>
        </w:trPr>
        <w:tc>
          <w:tcPr>
            <w:tcW w:w="931" w:type="dxa"/>
            <w:vMerge w:val="restart"/>
            <w:tcBorders>
              <w:top w:val="outset" w:color="111111" w:sz="6" w:space="0"/>
              <w:left w:val="single" w:color="auto" w:sz="12" w:space="0"/>
              <w:right w:val="outset" w:color="111111" w:sz="6" w:space="0"/>
            </w:tcBorders>
            <w:vAlign w:val="center"/>
          </w:tcPr>
          <w:p>
            <w:pPr>
              <w:pStyle w:val="197"/>
              <w:adjustRightInd w:val="0"/>
              <w:snapToGrid w:val="0"/>
              <w:spacing w:before="0" w:beforeAutospacing="0" w:after="0" w:afterAutospacing="0"/>
              <w:jc w:val="center"/>
              <w:rPr>
                <w:rFonts w:cs="宋体"/>
                <w:b/>
                <w:sz w:val="21"/>
                <w:szCs w:val="21"/>
                <w:highlight w:val="none"/>
              </w:rPr>
            </w:pPr>
            <w:r>
              <w:rPr>
                <w:rFonts w:hint="eastAsia" w:cs="宋体"/>
                <w:b/>
                <w:sz w:val="21"/>
                <w:szCs w:val="21"/>
                <w:highlight w:val="none"/>
              </w:rPr>
              <w:t>资</w:t>
            </w:r>
          </w:p>
          <w:p>
            <w:pPr>
              <w:pStyle w:val="197"/>
              <w:adjustRightInd w:val="0"/>
              <w:snapToGrid w:val="0"/>
              <w:spacing w:before="0" w:beforeAutospacing="0" w:after="0" w:afterAutospacing="0"/>
              <w:jc w:val="center"/>
              <w:rPr>
                <w:rFonts w:cs="宋体"/>
                <w:b/>
                <w:sz w:val="21"/>
                <w:szCs w:val="21"/>
                <w:highlight w:val="none"/>
              </w:rPr>
            </w:pPr>
            <w:r>
              <w:rPr>
                <w:rFonts w:hint="eastAsia" w:cs="宋体"/>
                <w:b/>
                <w:sz w:val="21"/>
                <w:szCs w:val="21"/>
                <w:highlight w:val="none"/>
              </w:rPr>
              <w:t>格</w:t>
            </w:r>
          </w:p>
          <w:p>
            <w:pPr>
              <w:pStyle w:val="197"/>
              <w:adjustRightInd w:val="0"/>
              <w:snapToGrid w:val="0"/>
              <w:spacing w:before="0" w:beforeAutospacing="0" w:after="0" w:afterAutospacing="0"/>
              <w:jc w:val="center"/>
              <w:rPr>
                <w:rFonts w:cs="宋体"/>
                <w:b/>
                <w:sz w:val="21"/>
                <w:szCs w:val="21"/>
                <w:highlight w:val="none"/>
              </w:rPr>
            </w:pPr>
            <w:r>
              <w:rPr>
                <w:rFonts w:hint="eastAsia" w:cs="宋体"/>
                <w:b/>
                <w:sz w:val="21"/>
                <w:szCs w:val="21"/>
                <w:highlight w:val="none"/>
              </w:rPr>
              <w:t>性</w:t>
            </w:r>
          </w:p>
          <w:p>
            <w:pPr>
              <w:pStyle w:val="197"/>
              <w:adjustRightInd w:val="0"/>
              <w:snapToGrid w:val="0"/>
              <w:spacing w:before="0" w:beforeAutospacing="0" w:after="0" w:afterAutospacing="0"/>
              <w:jc w:val="center"/>
              <w:rPr>
                <w:rFonts w:cs="宋体"/>
                <w:b/>
                <w:sz w:val="21"/>
                <w:szCs w:val="21"/>
                <w:highlight w:val="none"/>
              </w:rPr>
            </w:pPr>
            <w:r>
              <w:rPr>
                <w:rFonts w:hint="eastAsia" w:cs="宋体"/>
                <w:b/>
                <w:sz w:val="21"/>
                <w:szCs w:val="21"/>
                <w:highlight w:val="none"/>
              </w:rPr>
              <w:t>审</w:t>
            </w:r>
          </w:p>
          <w:p>
            <w:pPr>
              <w:pStyle w:val="197"/>
              <w:adjustRightInd w:val="0"/>
              <w:snapToGrid w:val="0"/>
              <w:spacing w:before="0" w:beforeAutospacing="0" w:after="0" w:afterAutospacing="0"/>
              <w:jc w:val="center"/>
              <w:rPr>
                <w:rFonts w:cs="宋体"/>
                <w:b/>
                <w:sz w:val="21"/>
                <w:szCs w:val="21"/>
                <w:highlight w:val="none"/>
              </w:rPr>
            </w:pPr>
            <w:r>
              <w:rPr>
                <w:rFonts w:hint="eastAsia" w:cs="宋体"/>
                <w:b/>
                <w:sz w:val="21"/>
                <w:szCs w:val="21"/>
                <w:highlight w:val="none"/>
              </w:rPr>
              <w:t>查</w:t>
            </w:r>
          </w:p>
        </w:tc>
        <w:tc>
          <w:tcPr>
            <w:tcW w:w="4902" w:type="dxa"/>
            <w:tcBorders>
              <w:top w:val="outset" w:color="111111" w:sz="6" w:space="0"/>
              <w:left w:val="outset" w:color="111111" w:sz="6" w:space="0"/>
              <w:bottom w:val="single" w:color="auto" w:sz="4" w:space="0"/>
              <w:right w:val="outset" w:color="111111" w:sz="6" w:space="0"/>
            </w:tcBorders>
            <w:vAlign w:val="center"/>
          </w:tcPr>
          <w:p>
            <w:pPr>
              <w:adjustRightInd w:val="0"/>
              <w:snapToGrid w:val="0"/>
              <w:rPr>
                <w:rFonts w:ascii="宋体" w:hAnsi="宋体" w:cs="宋体"/>
                <w:szCs w:val="21"/>
                <w:highlight w:val="none"/>
              </w:rPr>
            </w:pPr>
            <w:r>
              <w:rPr>
                <w:rFonts w:hint="eastAsia" w:ascii="宋体" w:hAnsi="宋体" w:cs="宋体"/>
                <w:szCs w:val="21"/>
                <w:highlight w:val="none"/>
              </w:rPr>
              <w:t>一、投标人投标声明书</w:t>
            </w:r>
          </w:p>
        </w:tc>
        <w:tc>
          <w:tcPr>
            <w:tcW w:w="1584" w:type="dxa"/>
            <w:vMerge w:val="restart"/>
            <w:tcBorders>
              <w:top w:val="outset" w:color="111111" w:sz="6" w:space="0"/>
              <w:left w:val="outset" w:color="111111" w:sz="6" w:space="0"/>
              <w:right w:val="outset" w:color="111111" w:sz="6" w:space="0"/>
            </w:tcBorders>
            <w:vAlign w:val="center"/>
          </w:tcPr>
          <w:p>
            <w:pPr>
              <w:adjustRightInd w:val="0"/>
              <w:snapToGrid w:val="0"/>
              <w:rPr>
                <w:rFonts w:ascii="宋体" w:hAnsi="宋体" w:cs="宋体"/>
                <w:szCs w:val="21"/>
                <w:highlight w:val="none"/>
              </w:rPr>
            </w:pPr>
            <w:r>
              <w:rPr>
                <w:rFonts w:hint="eastAsia" w:ascii="宋体" w:hAnsi="宋体" w:cs="宋体"/>
                <w:szCs w:val="21"/>
                <w:highlight w:val="none"/>
              </w:rPr>
              <w:t xml:space="preserve">□通过 </w:t>
            </w:r>
          </w:p>
          <w:p>
            <w:pPr>
              <w:adjustRightInd w:val="0"/>
              <w:snapToGrid w:val="0"/>
              <w:rPr>
                <w:rFonts w:ascii="宋体" w:hAnsi="宋体" w:cs="宋体"/>
                <w:szCs w:val="21"/>
                <w:highlight w:val="none"/>
              </w:rPr>
            </w:pPr>
            <w:r>
              <w:rPr>
                <w:rFonts w:hint="eastAsia" w:ascii="宋体" w:hAnsi="宋体" w:cs="宋体"/>
                <w:szCs w:val="21"/>
                <w:highlight w:val="none"/>
              </w:rPr>
              <w:t>□不通过</w:t>
            </w:r>
          </w:p>
        </w:tc>
        <w:tc>
          <w:tcPr>
            <w:tcW w:w="2627" w:type="dxa"/>
            <w:tcBorders>
              <w:top w:val="outset" w:color="111111" w:sz="6" w:space="0"/>
              <w:left w:val="outset" w:color="111111" w:sz="6" w:space="0"/>
              <w:bottom w:val="single" w:color="auto" w:sz="4" w:space="0"/>
              <w:right w:val="single" w:color="auto" w:sz="12" w:space="0"/>
            </w:tcBorders>
            <w:vAlign w:val="center"/>
          </w:tcPr>
          <w:p>
            <w:pPr>
              <w:adjustRightInd w:val="0"/>
              <w:snapToGrid w:val="0"/>
              <w:jc w:val="center"/>
              <w:rPr>
                <w:rFonts w:ascii="宋体" w:hAnsi="宋体" w:cs="宋体"/>
                <w:szCs w:val="21"/>
                <w:highlight w:val="none"/>
              </w:rPr>
            </w:pPr>
            <w:r>
              <w:rPr>
                <w:rFonts w:hint="eastAsia" w:ascii="宋体" w:hAnsi="宋体" w:cs="宋体"/>
                <w:szCs w:val="21"/>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60" w:hRule="atLeast"/>
          <w:jc w:val="center"/>
        </w:trPr>
        <w:tc>
          <w:tcPr>
            <w:tcW w:w="931" w:type="dxa"/>
            <w:vMerge w:val="continue"/>
            <w:tcBorders>
              <w:top w:val="outset" w:color="111111" w:sz="6" w:space="0"/>
              <w:left w:val="single" w:color="auto" w:sz="12" w:space="0"/>
              <w:right w:val="outset" w:color="111111" w:sz="6" w:space="0"/>
            </w:tcBorders>
            <w:vAlign w:val="center"/>
          </w:tcPr>
          <w:p>
            <w:pPr>
              <w:pStyle w:val="197"/>
              <w:adjustRightInd w:val="0"/>
              <w:snapToGrid w:val="0"/>
              <w:spacing w:before="0" w:beforeAutospacing="0" w:after="0" w:afterAutospacing="0"/>
              <w:jc w:val="center"/>
              <w:rPr>
                <w:rFonts w:cs="宋体"/>
                <w:b/>
                <w:sz w:val="21"/>
                <w:szCs w:val="21"/>
                <w:highlight w:val="none"/>
              </w:rPr>
            </w:pPr>
          </w:p>
        </w:tc>
        <w:tc>
          <w:tcPr>
            <w:tcW w:w="4902" w:type="dxa"/>
            <w:tcBorders>
              <w:top w:val="outset" w:color="111111" w:sz="6" w:space="0"/>
              <w:left w:val="outset" w:color="111111" w:sz="6" w:space="0"/>
              <w:bottom w:val="single" w:color="auto" w:sz="4" w:space="0"/>
              <w:right w:val="outset" w:color="111111" w:sz="6" w:space="0"/>
            </w:tcBorders>
            <w:vAlign w:val="center"/>
          </w:tcPr>
          <w:p>
            <w:pPr>
              <w:adjustRightInd w:val="0"/>
              <w:snapToGrid w:val="0"/>
              <w:rPr>
                <w:rFonts w:ascii="宋体" w:hAnsi="宋体" w:cs="宋体"/>
                <w:szCs w:val="21"/>
                <w:highlight w:val="none"/>
              </w:rPr>
            </w:pPr>
            <w:r>
              <w:rPr>
                <w:rFonts w:hint="eastAsia" w:ascii="宋体" w:hAnsi="宋体" w:cs="宋体"/>
                <w:szCs w:val="21"/>
                <w:highlight w:val="none"/>
              </w:rPr>
              <w:t>二、投标人具备《政府采购法》第二十二条所规定的条件：</w:t>
            </w:r>
          </w:p>
        </w:tc>
        <w:tc>
          <w:tcPr>
            <w:tcW w:w="1584" w:type="dxa"/>
            <w:vMerge w:val="continue"/>
            <w:tcBorders>
              <w:top w:val="outset" w:color="111111" w:sz="6" w:space="0"/>
              <w:left w:val="outset" w:color="111111" w:sz="6" w:space="0"/>
              <w:right w:val="outset" w:color="111111" w:sz="6" w:space="0"/>
            </w:tcBorders>
            <w:vAlign w:val="center"/>
          </w:tcPr>
          <w:p>
            <w:pPr>
              <w:adjustRightInd w:val="0"/>
              <w:snapToGrid w:val="0"/>
              <w:rPr>
                <w:rFonts w:ascii="宋体" w:hAnsi="宋体" w:cs="宋体"/>
                <w:szCs w:val="21"/>
                <w:highlight w:val="none"/>
              </w:rPr>
            </w:pPr>
          </w:p>
        </w:tc>
        <w:tc>
          <w:tcPr>
            <w:tcW w:w="2627" w:type="dxa"/>
            <w:tcBorders>
              <w:top w:val="outset" w:color="111111" w:sz="6" w:space="0"/>
              <w:left w:val="outset" w:color="111111" w:sz="6" w:space="0"/>
              <w:bottom w:val="single" w:color="auto" w:sz="4" w:space="0"/>
              <w:right w:val="single" w:color="auto" w:sz="12" w:space="0"/>
            </w:tcBorders>
            <w:vAlign w:val="center"/>
          </w:tcPr>
          <w:p>
            <w:pPr>
              <w:adjustRightInd w:val="0"/>
              <w:snapToGrid w:val="0"/>
              <w:jc w:val="center"/>
              <w:rPr>
                <w:rFonts w:ascii="宋体" w:hAnsi="宋体" w:cs="宋体"/>
                <w:szCs w:val="21"/>
                <w:highlight w:val="none"/>
              </w:rPr>
            </w:pPr>
            <w:r>
              <w:rPr>
                <w:rFonts w:hint="eastAsia" w:ascii="宋体" w:hAnsi="宋体" w:cs="宋体"/>
                <w:szCs w:val="21"/>
                <w:highlight w:val="none"/>
              </w:rPr>
              <w:t>第（ ）页-（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47" w:hRule="atLeast"/>
          <w:jc w:val="center"/>
        </w:trPr>
        <w:tc>
          <w:tcPr>
            <w:tcW w:w="931" w:type="dxa"/>
            <w:vMerge w:val="continue"/>
            <w:tcBorders>
              <w:left w:val="single" w:color="auto" w:sz="12" w:space="0"/>
              <w:right w:val="outset" w:color="111111" w:sz="6" w:space="0"/>
            </w:tcBorders>
            <w:vAlign w:val="center"/>
          </w:tcPr>
          <w:p>
            <w:pPr>
              <w:pStyle w:val="197"/>
              <w:adjustRightInd w:val="0"/>
              <w:snapToGrid w:val="0"/>
              <w:spacing w:before="0" w:beforeAutospacing="0" w:after="0" w:afterAutospacing="0"/>
              <w:jc w:val="center"/>
              <w:rPr>
                <w:rFonts w:cs="宋体"/>
                <w:b/>
                <w:sz w:val="21"/>
                <w:szCs w:val="21"/>
                <w:highlight w:val="none"/>
              </w:rPr>
            </w:pPr>
          </w:p>
        </w:tc>
        <w:tc>
          <w:tcPr>
            <w:tcW w:w="4902" w:type="dxa"/>
            <w:tcBorders>
              <w:top w:val="outset" w:color="111111" w:sz="6" w:space="0"/>
              <w:left w:val="outset" w:color="111111" w:sz="6" w:space="0"/>
              <w:bottom w:val="single" w:color="auto" w:sz="4" w:space="0"/>
              <w:right w:val="outset" w:color="111111" w:sz="6" w:space="0"/>
            </w:tcBorders>
            <w:vAlign w:val="center"/>
          </w:tcPr>
          <w:p>
            <w:pPr>
              <w:rPr>
                <w:rFonts w:ascii="宋体" w:hAnsi="宋体" w:cs="宋体"/>
                <w:highlight w:val="none"/>
              </w:rPr>
            </w:pPr>
            <w:r>
              <w:rPr>
                <w:rFonts w:hint="eastAsia" w:ascii="宋体" w:hAnsi="宋体" w:cs="宋体"/>
                <w:highlight w:val="none"/>
              </w:rPr>
              <w:t>1、具有有效的企业法人营业执照（或事业法人登记证）、其他组织的营业执照或者民办非企业单位登记证书复印件；</w:t>
            </w:r>
          </w:p>
        </w:tc>
        <w:tc>
          <w:tcPr>
            <w:tcW w:w="1584" w:type="dxa"/>
            <w:vMerge w:val="continue"/>
            <w:tcBorders>
              <w:top w:val="outset" w:color="111111" w:sz="6" w:space="0"/>
              <w:left w:val="outset" w:color="111111" w:sz="6" w:space="0"/>
              <w:right w:val="outset" w:color="111111" w:sz="6" w:space="0"/>
            </w:tcBorders>
            <w:vAlign w:val="center"/>
          </w:tcPr>
          <w:p>
            <w:pPr>
              <w:adjustRightInd w:val="0"/>
              <w:snapToGrid w:val="0"/>
              <w:rPr>
                <w:rFonts w:ascii="宋体" w:hAnsi="宋体" w:cs="宋体"/>
                <w:szCs w:val="21"/>
                <w:highlight w:val="none"/>
              </w:rPr>
            </w:pPr>
          </w:p>
        </w:tc>
        <w:tc>
          <w:tcPr>
            <w:tcW w:w="2627" w:type="dxa"/>
            <w:tcBorders>
              <w:top w:val="outset" w:color="111111" w:sz="6" w:space="0"/>
              <w:left w:val="outset" w:color="111111" w:sz="6" w:space="0"/>
              <w:bottom w:val="single" w:color="auto" w:sz="4" w:space="0"/>
              <w:right w:val="single" w:color="auto" w:sz="12" w:space="0"/>
            </w:tcBorders>
            <w:vAlign w:val="center"/>
          </w:tcPr>
          <w:p>
            <w:pPr>
              <w:adjustRightInd w:val="0"/>
              <w:snapToGrid w:val="0"/>
              <w:jc w:val="center"/>
              <w:rPr>
                <w:rFonts w:ascii="宋体" w:hAnsi="宋体" w:cs="宋体"/>
                <w:szCs w:val="21"/>
                <w:highlight w:val="none"/>
              </w:rPr>
            </w:pPr>
            <w:r>
              <w:rPr>
                <w:rFonts w:hint="eastAsia" w:ascii="宋体" w:hAnsi="宋体" w:cs="宋体"/>
                <w:szCs w:val="21"/>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60" w:hRule="atLeast"/>
          <w:jc w:val="center"/>
        </w:trPr>
        <w:tc>
          <w:tcPr>
            <w:tcW w:w="931" w:type="dxa"/>
            <w:vMerge w:val="continue"/>
            <w:tcBorders>
              <w:left w:val="single" w:color="auto" w:sz="12" w:space="0"/>
              <w:right w:val="outset" w:color="111111" w:sz="6" w:space="0"/>
            </w:tcBorders>
            <w:vAlign w:val="center"/>
          </w:tcPr>
          <w:p>
            <w:pPr>
              <w:pStyle w:val="197"/>
              <w:adjustRightInd w:val="0"/>
              <w:snapToGrid w:val="0"/>
              <w:spacing w:before="0" w:beforeAutospacing="0" w:after="0" w:afterAutospacing="0"/>
              <w:jc w:val="center"/>
              <w:rPr>
                <w:rFonts w:cs="宋体"/>
                <w:b/>
                <w:sz w:val="21"/>
                <w:szCs w:val="21"/>
                <w:highlight w:val="none"/>
              </w:rPr>
            </w:pPr>
          </w:p>
        </w:tc>
        <w:tc>
          <w:tcPr>
            <w:tcW w:w="4902" w:type="dxa"/>
            <w:tcBorders>
              <w:top w:val="outset" w:color="111111" w:sz="6" w:space="0"/>
              <w:left w:val="outset" w:color="111111" w:sz="6" w:space="0"/>
              <w:bottom w:val="single" w:color="auto" w:sz="4" w:space="0"/>
              <w:right w:val="outset" w:color="111111" w:sz="6" w:space="0"/>
            </w:tcBorders>
            <w:vAlign w:val="center"/>
          </w:tcPr>
          <w:p>
            <w:pPr>
              <w:adjustRightInd w:val="0"/>
              <w:snapToGrid w:val="0"/>
              <w:rPr>
                <w:rFonts w:ascii="宋体" w:hAnsi="宋体" w:cs="宋体"/>
                <w:szCs w:val="21"/>
                <w:highlight w:val="none"/>
              </w:rPr>
            </w:pPr>
            <w:r>
              <w:rPr>
                <w:rFonts w:hint="eastAsia" w:ascii="宋体" w:hAnsi="宋体" w:cs="宋体"/>
                <w:szCs w:val="21"/>
                <w:highlight w:val="none"/>
              </w:rPr>
              <w:t>2、供应商具备《中华人民共和国政府采购法》第二十二条规定的资格条件的承诺函</w:t>
            </w:r>
          </w:p>
        </w:tc>
        <w:tc>
          <w:tcPr>
            <w:tcW w:w="1584" w:type="dxa"/>
            <w:vMerge w:val="continue"/>
            <w:tcBorders>
              <w:top w:val="outset" w:color="111111" w:sz="6" w:space="0"/>
              <w:left w:val="outset" w:color="111111" w:sz="6" w:space="0"/>
              <w:right w:val="outset" w:color="111111" w:sz="6" w:space="0"/>
            </w:tcBorders>
            <w:vAlign w:val="center"/>
          </w:tcPr>
          <w:p>
            <w:pPr>
              <w:adjustRightInd w:val="0"/>
              <w:snapToGrid w:val="0"/>
              <w:rPr>
                <w:rFonts w:ascii="宋体" w:hAnsi="宋体" w:cs="宋体"/>
                <w:szCs w:val="21"/>
                <w:highlight w:val="none"/>
              </w:rPr>
            </w:pPr>
          </w:p>
        </w:tc>
        <w:tc>
          <w:tcPr>
            <w:tcW w:w="2627" w:type="dxa"/>
            <w:tcBorders>
              <w:top w:val="outset" w:color="111111" w:sz="6" w:space="0"/>
              <w:left w:val="outset" w:color="111111" w:sz="6" w:space="0"/>
              <w:bottom w:val="single" w:color="auto" w:sz="4" w:space="0"/>
              <w:right w:val="single" w:color="auto" w:sz="12" w:space="0"/>
            </w:tcBorders>
            <w:vAlign w:val="center"/>
          </w:tcPr>
          <w:p>
            <w:pPr>
              <w:adjustRightInd w:val="0"/>
              <w:snapToGrid w:val="0"/>
              <w:jc w:val="center"/>
              <w:rPr>
                <w:rFonts w:ascii="宋体" w:hAnsi="宋体" w:cs="宋体"/>
                <w:szCs w:val="21"/>
                <w:highlight w:val="none"/>
              </w:rPr>
            </w:pPr>
            <w:r>
              <w:rPr>
                <w:rFonts w:hint="eastAsia" w:ascii="宋体" w:hAnsi="宋体" w:cs="宋体"/>
                <w:szCs w:val="21"/>
                <w:highlight w:val="none"/>
              </w:rPr>
              <w:t>第（ ）页-（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18" w:hRule="atLeast"/>
          <w:jc w:val="center"/>
        </w:trPr>
        <w:tc>
          <w:tcPr>
            <w:tcW w:w="931" w:type="dxa"/>
            <w:vMerge w:val="continue"/>
            <w:tcBorders>
              <w:left w:val="single" w:color="auto" w:sz="12" w:space="0"/>
              <w:right w:val="outset" w:color="111111" w:sz="6" w:space="0"/>
            </w:tcBorders>
            <w:vAlign w:val="center"/>
          </w:tcPr>
          <w:p>
            <w:pPr>
              <w:adjustRightInd w:val="0"/>
              <w:snapToGrid w:val="0"/>
              <w:rPr>
                <w:rFonts w:ascii="宋体" w:hAnsi="宋体" w:cs="宋体"/>
                <w:szCs w:val="21"/>
                <w:highlight w:val="none"/>
              </w:rPr>
            </w:pPr>
          </w:p>
        </w:tc>
        <w:tc>
          <w:tcPr>
            <w:tcW w:w="4902"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cs="宋体"/>
                <w:szCs w:val="21"/>
                <w:highlight w:val="none"/>
              </w:rPr>
            </w:pPr>
            <w:r>
              <w:rPr>
                <w:rFonts w:hint="eastAsia" w:ascii="宋体" w:hAnsi="宋体" w:cs="宋体"/>
                <w:szCs w:val="21"/>
                <w:highlight w:val="none"/>
              </w:rPr>
              <w:t>三、</w:t>
            </w:r>
            <w:r>
              <w:rPr>
                <w:rFonts w:hint="eastAsia" w:ascii="宋体" w:hAnsi="宋体" w:cs="宋体"/>
                <w:bCs/>
                <w:szCs w:val="21"/>
                <w:highlight w:val="none"/>
              </w:rPr>
              <w:t>为采购项目提供整体设计、规范编制或者项目管理、监理、检测等服务的投标人及其附属机构，不得再参加本项目投标。</w:t>
            </w:r>
          </w:p>
        </w:tc>
        <w:tc>
          <w:tcPr>
            <w:tcW w:w="1584"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cs="宋体"/>
                <w:szCs w:val="21"/>
                <w:highlight w:val="none"/>
              </w:rPr>
            </w:pPr>
            <w:r>
              <w:rPr>
                <w:rFonts w:hint="eastAsia" w:ascii="宋体" w:hAnsi="宋体" w:cs="宋体"/>
                <w:szCs w:val="21"/>
                <w:highlight w:val="none"/>
              </w:rPr>
              <w:t xml:space="preserve">□通过 </w:t>
            </w:r>
          </w:p>
          <w:p>
            <w:pPr>
              <w:adjustRightInd w:val="0"/>
              <w:snapToGrid w:val="0"/>
              <w:rPr>
                <w:rFonts w:ascii="宋体" w:hAnsi="宋体" w:cs="宋体"/>
                <w:szCs w:val="21"/>
                <w:highlight w:val="none"/>
              </w:rPr>
            </w:pPr>
            <w:r>
              <w:rPr>
                <w:rFonts w:hint="eastAsia" w:ascii="宋体" w:hAnsi="宋体" w:cs="宋体"/>
                <w:szCs w:val="21"/>
                <w:highlight w:val="none"/>
              </w:rPr>
              <w:t>□不通过</w:t>
            </w:r>
          </w:p>
        </w:tc>
        <w:tc>
          <w:tcPr>
            <w:tcW w:w="2627"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hAnsi="宋体" w:cs="宋体"/>
                <w:szCs w:val="21"/>
                <w:highlight w:val="none"/>
              </w:rPr>
            </w:pPr>
            <w:r>
              <w:rPr>
                <w:rFonts w:hint="eastAsia" w:ascii="宋体" w:hAnsi="宋体" w:cs="宋体"/>
                <w:szCs w:val="21"/>
                <w:highlight w:val="none"/>
              </w:rPr>
              <w:t>第（ ）页-（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82" w:hRule="atLeast"/>
          <w:jc w:val="center"/>
        </w:trPr>
        <w:tc>
          <w:tcPr>
            <w:tcW w:w="931" w:type="dxa"/>
            <w:vMerge w:val="continue"/>
            <w:tcBorders>
              <w:left w:val="single" w:color="auto" w:sz="12" w:space="0"/>
              <w:right w:val="outset" w:color="111111" w:sz="6" w:space="0"/>
            </w:tcBorders>
            <w:vAlign w:val="center"/>
          </w:tcPr>
          <w:p>
            <w:pPr>
              <w:adjustRightInd w:val="0"/>
              <w:snapToGrid w:val="0"/>
              <w:rPr>
                <w:rFonts w:ascii="宋体" w:hAnsi="宋体" w:cs="宋体"/>
                <w:szCs w:val="21"/>
                <w:highlight w:val="none"/>
              </w:rPr>
            </w:pPr>
          </w:p>
        </w:tc>
        <w:tc>
          <w:tcPr>
            <w:tcW w:w="4902"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cs="宋体"/>
                <w:szCs w:val="21"/>
                <w:highlight w:val="none"/>
              </w:rPr>
            </w:pPr>
            <w:r>
              <w:rPr>
                <w:rFonts w:hint="eastAsia" w:ascii="宋体" w:hAnsi="宋体" w:cs="宋体"/>
                <w:szCs w:val="21"/>
                <w:highlight w:val="none"/>
              </w:rPr>
              <w:t>四、本项目接受联合体投标，</w:t>
            </w:r>
            <w:r>
              <w:rPr>
                <w:rFonts w:hint="eastAsia" w:ascii="宋体" w:hAnsi="宋体"/>
                <w:szCs w:val="21"/>
                <w:highlight w:val="none"/>
              </w:rPr>
              <w:t>联合体牵头人和成员总数量最多不超过</w:t>
            </w:r>
            <w:r>
              <w:rPr>
                <w:rFonts w:ascii="宋体" w:hAnsi="宋体"/>
                <w:szCs w:val="21"/>
                <w:highlight w:val="none"/>
              </w:rPr>
              <w:t>2</w:t>
            </w:r>
            <w:r>
              <w:rPr>
                <w:rFonts w:hint="eastAsia" w:ascii="宋体" w:hAnsi="宋体"/>
                <w:szCs w:val="21"/>
                <w:highlight w:val="none"/>
              </w:rPr>
              <w:t>家（如有）</w:t>
            </w:r>
            <w:r>
              <w:rPr>
                <w:rFonts w:hint="eastAsia" w:ascii="宋体" w:hAnsi="宋体" w:cs="宋体"/>
                <w:szCs w:val="21"/>
                <w:highlight w:val="none"/>
              </w:rPr>
              <w:t>。</w:t>
            </w:r>
          </w:p>
        </w:tc>
        <w:tc>
          <w:tcPr>
            <w:tcW w:w="1584"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cs="宋体"/>
                <w:szCs w:val="21"/>
                <w:highlight w:val="none"/>
              </w:rPr>
            </w:pPr>
            <w:r>
              <w:rPr>
                <w:rFonts w:hint="eastAsia" w:ascii="宋体" w:hAnsi="宋体" w:cs="宋体"/>
                <w:szCs w:val="21"/>
                <w:highlight w:val="none"/>
              </w:rPr>
              <w:t>□通过</w:t>
            </w:r>
          </w:p>
          <w:p>
            <w:pPr>
              <w:adjustRightInd w:val="0"/>
              <w:snapToGrid w:val="0"/>
              <w:rPr>
                <w:rFonts w:ascii="宋体" w:hAnsi="宋体" w:cs="宋体"/>
                <w:szCs w:val="21"/>
                <w:highlight w:val="none"/>
              </w:rPr>
            </w:pPr>
            <w:r>
              <w:rPr>
                <w:rFonts w:hint="eastAsia" w:ascii="宋体" w:hAnsi="宋体" w:cs="宋体"/>
                <w:szCs w:val="21"/>
                <w:highlight w:val="none"/>
              </w:rPr>
              <w:t>□不通过</w:t>
            </w:r>
          </w:p>
        </w:tc>
        <w:tc>
          <w:tcPr>
            <w:tcW w:w="2627"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hAnsi="宋体" w:cs="宋体"/>
                <w:szCs w:val="21"/>
                <w:highlight w:val="none"/>
              </w:rPr>
            </w:pPr>
            <w:r>
              <w:rPr>
                <w:rFonts w:hint="eastAsia" w:ascii="宋体" w:hAnsi="宋体" w:cs="宋体"/>
                <w:szCs w:val="21"/>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857" w:hRule="atLeast"/>
          <w:jc w:val="center"/>
        </w:trPr>
        <w:tc>
          <w:tcPr>
            <w:tcW w:w="931" w:type="dxa"/>
            <w:vMerge w:val="continue"/>
            <w:tcBorders>
              <w:left w:val="single" w:color="auto" w:sz="12" w:space="0"/>
              <w:right w:val="outset" w:color="111111" w:sz="6" w:space="0"/>
            </w:tcBorders>
            <w:vAlign w:val="center"/>
          </w:tcPr>
          <w:p>
            <w:pPr>
              <w:adjustRightInd w:val="0"/>
              <w:snapToGrid w:val="0"/>
              <w:rPr>
                <w:rFonts w:ascii="宋体" w:hAnsi="宋体" w:cs="宋体"/>
                <w:szCs w:val="21"/>
                <w:highlight w:val="none"/>
              </w:rPr>
            </w:pPr>
          </w:p>
        </w:tc>
        <w:tc>
          <w:tcPr>
            <w:tcW w:w="4902" w:type="dxa"/>
            <w:tcBorders>
              <w:top w:val="outset" w:color="111111" w:sz="6" w:space="0"/>
              <w:left w:val="outset" w:color="111111" w:sz="6" w:space="0"/>
              <w:bottom w:val="outset" w:color="111111" w:sz="6" w:space="0"/>
              <w:right w:val="outset" w:color="111111" w:sz="6" w:space="0"/>
            </w:tcBorders>
            <w:vAlign w:val="center"/>
          </w:tcPr>
          <w:p>
            <w:pPr>
              <w:pStyle w:val="2"/>
              <w:ind w:left="0" w:leftChars="0" w:firstLine="0" w:firstLineChars="0"/>
              <w:rPr>
                <w:highlight w:val="none"/>
              </w:rPr>
            </w:pPr>
            <w:r>
              <w:rPr>
                <w:rFonts w:hint="eastAsia" w:ascii="宋体" w:hAnsi="宋体" w:cs="宋体"/>
                <w:sz w:val="20"/>
                <w:szCs w:val="20"/>
                <w:highlight w:val="none"/>
              </w:rPr>
              <w:t>投标人未被列入信用中国网站(www.creditchina.gov.cn)、中国政府采购网(www.ccgp.gov.cn)渠道信用记录失信被执行人、重大税收违法案件当事人名单、政府采购严重违法失信行为信息记录名单的投标人（以代理机构于投标截止日当天在“信用中国”网站（www.creditchina.gov.cn）及中国政府采购网查询结果为准，如相关失信记录已失效，供应商需提供相关证明资料）。</w:t>
            </w:r>
          </w:p>
        </w:tc>
        <w:tc>
          <w:tcPr>
            <w:tcW w:w="1584"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cs="宋体"/>
                <w:szCs w:val="21"/>
                <w:highlight w:val="none"/>
              </w:rPr>
            </w:pPr>
            <w:r>
              <w:rPr>
                <w:rFonts w:hint="eastAsia" w:ascii="宋体" w:hAnsi="宋体" w:cs="宋体"/>
                <w:szCs w:val="21"/>
                <w:highlight w:val="none"/>
              </w:rPr>
              <w:t xml:space="preserve">□通过 </w:t>
            </w:r>
          </w:p>
          <w:p>
            <w:pPr>
              <w:adjustRightInd w:val="0"/>
              <w:snapToGrid w:val="0"/>
              <w:rPr>
                <w:rFonts w:ascii="宋体" w:hAnsi="宋体" w:cs="宋体"/>
                <w:szCs w:val="21"/>
                <w:highlight w:val="none"/>
              </w:rPr>
            </w:pPr>
            <w:r>
              <w:rPr>
                <w:rFonts w:hint="eastAsia" w:ascii="宋体" w:hAnsi="宋体" w:cs="宋体"/>
                <w:szCs w:val="21"/>
                <w:highlight w:val="none"/>
              </w:rPr>
              <w:t>□不通过</w:t>
            </w:r>
          </w:p>
        </w:tc>
        <w:tc>
          <w:tcPr>
            <w:tcW w:w="2627"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hAnsi="宋体" w:cs="宋体"/>
                <w:szCs w:val="21"/>
                <w:highlight w:val="none"/>
              </w:rPr>
            </w:pPr>
            <w:r>
              <w:rPr>
                <w:rFonts w:hint="eastAsia" w:ascii="宋体" w:hAnsi="宋体" w:cs="宋体"/>
                <w:szCs w:val="21"/>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403" w:hRule="atLeast"/>
          <w:jc w:val="center"/>
        </w:trPr>
        <w:tc>
          <w:tcPr>
            <w:tcW w:w="931" w:type="dxa"/>
            <w:vMerge w:val="continue"/>
            <w:tcBorders>
              <w:left w:val="single" w:color="auto" w:sz="12" w:space="0"/>
              <w:right w:val="outset" w:color="111111" w:sz="6" w:space="0"/>
            </w:tcBorders>
            <w:vAlign w:val="center"/>
          </w:tcPr>
          <w:p>
            <w:pPr>
              <w:adjustRightInd w:val="0"/>
              <w:snapToGrid w:val="0"/>
              <w:rPr>
                <w:rFonts w:ascii="宋体" w:hAnsi="宋体" w:cs="宋体"/>
                <w:szCs w:val="21"/>
                <w:highlight w:val="none"/>
              </w:rPr>
            </w:pPr>
          </w:p>
        </w:tc>
        <w:tc>
          <w:tcPr>
            <w:tcW w:w="4902"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cs="宋体"/>
                <w:szCs w:val="21"/>
                <w:highlight w:val="none"/>
              </w:rPr>
            </w:pPr>
            <w:r>
              <w:rPr>
                <w:rFonts w:hint="eastAsia" w:ascii="宋体" w:hAnsi="宋体" w:cs="宋体"/>
                <w:sz w:val="20"/>
                <w:szCs w:val="20"/>
                <w:highlight w:val="none"/>
              </w:rPr>
              <w:t>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tc>
        <w:tc>
          <w:tcPr>
            <w:tcW w:w="1584"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cs="宋体"/>
                <w:szCs w:val="21"/>
                <w:highlight w:val="none"/>
              </w:rPr>
            </w:pPr>
          </w:p>
        </w:tc>
        <w:tc>
          <w:tcPr>
            <w:tcW w:w="2627"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hAnsi="宋体" w:cs="宋体"/>
                <w:szCs w:val="21"/>
                <w:highlight w:val="none"/>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670" w:hRule="atLeast"/>
          <w:jc w:val="center"/>
        </w:trPr>
        <w:tc>
          <w:tcPr>
            <w:tcW w:w="931" w:type="dxa"/>
            <w:vMerge w:val="continue"/>
            <w:tcBorders>
              <w:left w:val="single" w:color="auto" w:sz="12" w:space="0"/>
              <w:right w:val="outset" w:color="111111" w:sz="6" w:space="0"/>
            </w:tcBorders>
            <w:vAlign w:val="center"/>
          </w:tcPr>
          <w:p>
            <w:pPr>
              <w:adjustRightInd w:val="0"/>
              <w:snapToGrid w:val="0"/>
              <w:rPr>
                <w:rFonts w:ascii="宋体" w:hAnsi="宋体" w:cs="宋体"/>
                <w:szCs w:val="21"/>
                <w:highlight w:val="none"/>
              </w:rPr>
            </w:pPr>
          </w:p>
        </w:tc>
        <w:tc>
          <w:tcPr>
            <w:tcW w:w="4902"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cs="宋体"/>
                <w:szCs w:val="21"/>
                <w:highlight w:val="none"/>
              </w:rPr>
            </w:pPr>
            <w:r>
              <w:rPr>
                <w:rFonts w:hint="eastAsia" w:ascii="宋体" w:hAnsi="宋体" w:cs="宋体"/>
                <w:szCs w:val="21"/>
                <w:highlight w:val="none"/>
              </w:rPr>
              <w:t>五、特定条件（如有）</w:t>
            </w:r>
          </w:p>
        </w:tc>
        <w:tc>
          <w:tcPr>
            <w:tcW w:w="1584"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cs="宋体"/>
                <w:szCs w:val="21"/>
                <w:highlight w:val="none"/>
              </w:rPr>
            </w:pPr>
            <w:r>
              <w:rPr>
                <w:rFonts w:hint="eastAsia" w:ascii="宋体" w:hAnsi="宋体" w:cs="宋体"/>
                <w:szCs w:val="21"/>
                <w:highlight w:val="none"/>
              </w:rPr>
              <w:t xml:space="preserve">□通过 </w:t>
            </w:r>
          </w:p>
          <w:p>
            <w:pPr>
              <w:adjustRightInd w:val="0"/>
              <w:snapToGrid w:val="0"/>
              <w:rPr>
                <w:rFonts w:ascii="宋体" w:hAnsi="宋体" w:cs="宋体"/>
                <w:szCs w:val="21"/>
                <w:highlight w:val="none"/>
              </w:rPr>
            </w:pPr>
            <w:r>
              <w:rPr>
                <w:rFonts w:hint="eastAsia" w:ascii="宋体" w:hAnsi="宋体" w:cs="宋体"/>
                <w:szCs w:val="21"/>
                <w:highlight w:val="none"/>
              </w:rPr>
              <w:t>□不通过</w:t>
            </w:r>
          </w:p>
        </w:tc>
        <w:tc>
          <w:tcPr>
            <w:tcW w:w="2627"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hAnsi="宋体" w:cs="宋体"/>
                <w:szCs w:val="21"/>
                <w:highlight w:val="none"/>
              </w:rPr>
            </w:pPr>
            <w:r>
              <w:rPr>
                <w:rFonts w:hint="eastAsia" w:ascii="宋体" w:hAnsi="宋体" w:cs="宋体"/>
                <w:szCs w:val="21"/>
                <w:highlight w:val="none"/>
              </w:rPr>
              <w:t>第（ ）页</w:t>
            </w:r>
          </w:p>
        </w:tc>
      </w:tr>
    </w:tbl>
    <w:p>
      <w:pPr>
        <w:jc w:val="center"/>
        <w:rPr>
          <w:rFonts w:ascii="宋体" w:hAnsi="宋体"/>
          <w:b/>
          <w:sz w:val="32"/>
          <w:szCs w:val="32"/>
          <w:highlight w:val="none"/>
        </w:rPr>
      </w:pPr>
      <w:r>
        <w:rPr>
          <w:rFonts w:hint="eastAsia" w:ascii="宋体" w:hAnsi="宋体"/>
          <w:b/>
          <w:sz w:val="28"/>
          <w:szCs w:val="28"/>
          <w:highlight w:val="none"/>
        </w:rPr>
        <w:br w:type="page"/>
      </w:r>
      <w:r>
        <w:rPr>
          <w:rFonts w:hint="eastAsia" w:ascii="宋体" w:hAnsi="宋体"/>
          <w:b/>
          <w:sz w:val="32"/>
          <w:szCs w:val="32"/>
          <w:highlight w:val="none"/>
        </w:rPr>
        <w:t>投标声明书</w:t>
      </w:r>
    </w:p>
    <w:p>
      <w:pPr>
        <w:rPr>
          <w:rFonts w:ascii="宋体" w:hAnsi="宋体"/>
          <w:b/>
          <w:highlight w:val="none"/>
        </w:rPr>
      </w:pPr>
    </w:p>
    <w:p>
      <w:pPr>
        <w:spacing w:line="360" w:lineRule="auto"/>
        <w:rPr>
          <w:rFonts w:ascii="宋体" w:hAnsi="宋体"/>
          <w:b/>
          <w:sz w:val="22"/>
          <w:szCs w:val="22"/>
          <w:highlight w:val="none"/>
        </w:rPr>
      </w:pPr>
      <w:r>
        <w:rPr>
          <w:rFonts w:hint="eastAsia" w:ascii="宋体" w:hAnsi="宋体"/>
          <w:b/>
          <w:sz w:val="22"/>
          <w:szCs w:val="22"/>
          <w:highlight w:val="none"/>
        </w:rPr>
        <w:t>致：</w:t>
      </w:r>
      <w:r>
        <w:rPr>
          <w:rFonts w:hint="eastAsia" w:ascii="宋体" w:hAnsi="宋体"/>
          <w:b/>
          <w:sz w:val="22"/>
          <w:szCs w:val="22"/>
          <w:highlight w:val="none"/>
          <w:u w:val="single"/>
        </w:rPr>
        <w:t>（采购人）</w:t>
      </w:r>
    </w:p>
    <w:p>
      <w:pPr>
        <w:snapToGrid w:val="0"/>
        <w:spacing w:before="156" w:beforeLines="50" w:line="360" w:lineRule="auto"/>
        <w:ind w:firstLine="444" w:firstLineChars="202"/>
        <w:rPr>
          <w:rFonts w:ascii="宋体" w:hAnsi="宋体"/>
          <w:sz w:val="22"/>
          <w:szCs w:val="22"/>
          <w:highlight w:val="none"/>
        </w:rPr>
      </w:pPr>
      <w:r>
        <w:rPr>
          <w:rFonts w:hint="eastAsia" w:ascii="宋体" w:hAnsi="宋体"/>
          <w:sz w:val="22"/>
          <w:szCs w:val="22"/>
          <w:highlight w:val="none"/>
        </w:rPr>
        <w:t>关于贵单位</w:t>
      </w:r>
      <w:r>
        <w:rPr>
          <w:rFonts w:hint="eastAsia" w:ascii="宋体" w:hAnsi="宋体"/>
          <w:sz w:val="22"/>
          <w:szCs w:val="22"/>
          <w:highlight w:val="none"/>
          <w:u w:val="single"/>
        </w:rPr>
        <w:t xml:space="preserve">      </w:t>
      </w:r>
      <w:r>
        <w:rPr>
          <w:rFonts w:hint="eastAsia" w:ascii="宋体" w:hAnsi="宋体"/>
          <w:sz w:val="22"/>
          <w:szCs w:val="22"/>
          <w:highlight w:val="none"/>
        </w:rPr>
        <w:t>年</w:t>
      </w:r>
      <w:r>
        <w:rPr>
          <w:rFonts w:hint="eastAsia" w:ascii="宋体" w:hAnsi="宋体"/>
          <w:sz w:val="22"/>
          <w:szCs w:val="22"/>
          <w:highlight w:val="none"/>
          <w:u w:val="single"/>
        </w:rPr>
        <w:t>　　</w:t>
      </w:r>
      <w:r>
        <w:rPr>
          <w:rFonts w:hint="eastAsia" w:ascii="宋体" w:hAnsi="宋体"/>
          <w:sz w:val="22"/>
          <w:szCs w:val="22"/>
          <w:highlight w:val="none"/>
        </w:rPr>
        <w:t>月</w:t>
      </w:r>
      <w:r>
        <w:rPr>
          <w:rFonts w:hint="eastAsia" w:ascii="宋体" w:hAnsi="宋体"/>
          <w:sz w:val="22"/>
          <w:szCs w:val="22"/>
          <w:highlight w:val="none"/>
          <w:u w:val="single"/>
        </w:rPr>
        <w:t>　　</w:t>
      </w:r>
      <w:r>
        <w:rPr>
          <w:rFonts w:hint="eastAsia" w:ascii="宋体" w:hAnsi="宋体"/>
          <w:sz w:val="22"/>
          <w:szCs w:val="22"/>
          <w:highlight w:val="none"/>
        </w:rPr>
        <w:t>日发布</w:t>
      </w:r>
      <w:r>
        <w:rPr>
          <w:rFonts w:ascii="宋体" w:hAnsi="宋体"/>
          <w:sz w:val="22"/>
          <w:szCs w:val="22"/>
          <w:highlight w:val="none"/>
          <w:u w:val="single"/>
        </w:rPr>
        <w:t xml:space="preserve">  </w:t>
      </w:r>
      <w:r>
        <w:rPr>
          <w:rFonts w:hint="eastAsia" w:ascii="宋体" w:hAnsi="宋体"/>
          <w:kern w:val="28"/>
          <w:sz w:val="22"/>
          <w:szCs w:val="22"/>
          <w:highlight w:val="none"/>
          <w:u w:val="single"/>
        </w:rPr>
        <w:t>XXXXXXXXXXXXXXXXXXXXXXXXXXXX</w:t>
      </w:r>
      <w:r>
        <w:rPr>
          <w:rFonts w:ascii="宋体" w:hAnsi="宋体"/>
          <w:sz w:val="22"/>
          <w:szCs w:val="22"/>
          <w:highlight w:val="none"/>
          <w:u w:val="single"/>
        </w:rPr>
        <w:t xml:space="preserve">  </w:t>
      </w:r>
      <w:r>
        <w:rPr>
          <w:rFonts w:hint="eastAsia" w:ascii="宋体" w:hAnsi="宋体"/>
          <w:sz w:val="22"/>
          <w:szCs w:val="22"/>
          <w:highlight w:val="none"/>
        </w:rPr>
        <w:t>项目（采购编号：</w:t>
      </w:r>
      <w:r>
        <w:rPr>
          <w:rFonts w:hint="eastAsia" w:ascii="宋体" w:hAnsi="宋体"/>
          <w:sz w:val="22"/>
          <w:szCs w:val="22"/>
          <w:highlight w:val="none"/>
          <w:u w:val="single"/>
        </w:rPr>
        <w:t>　　   　</w:t>
      </w:r>
      <w:r>
        <w:rPr>
          <w:rFonts w:hint="eastAsia" w:ascii="宋体" w:hAnsi="宋体"/>
          <w:sz w:val="22"/>
          <w:szCs w:val="22"/>
          <w:highlight w:val="none"/>
        </w:rPr>
        <w:t>）的采购公告，本公司（企业）愿意参加投标，并声明：</w:t>
      </w:r>
    </w:p>
    <w:p>
      <w:pPr>
        <w:snapToGrid w:val="0"/>
        <w:spacing w:line="360" w:lineRule="auto"/>
        <w:ind w:firstLine="444" w:firstLineChars="202"/>
        <w:rPr>
          <w:rFonts w:ascii="宋体" w:hAnsi="宋体"/>
          <w:sz w:val="22"/>
          <w:szCs w:val="22"/>
          <w:highlight w:val="none"/>
        </w:rPr>
      </w:pPr>
      <w:r>
        <w:rPr>
          <w:rFonts w:hint="eastAsia" w:ascii="宋体" w:hAnsi="宋体"/>
          <w:sz w:val="22"/>
          <w:szCs w:val="22"/>
          <w:highlight w:val="none"/>
        </w:rPr>
        <w:t>本公司（企业）具备</w:t>
      </w:r>
      <w:r>
        <w:rPr>
          <w:rFonts w:hint="eastAsia" w:ascii="宋体" w:hAnsi="宋体"/>
          <w:bCs/>
          <w:sz w:val="22"/>
          <w:szCs w:val="22"/>
          <w:highlight w:val="none"/>
        </w:rPr>
        <w:t>《中华人民共和国政府采购法》第二十二条资格条件，</w:t>
      </w:r>
      <w:r>
        <w:rPr>
          <w:rFonts w:hint="eastAsia" w:ascii="宋体" w:hAnsi="宋体"/>
          <w:sz w:val="22"/>
          <w:szCs w:val="22"/>
          <w:highlight w:val="none"/>
        </w:rPr>
        <w:t>并已清楚采购文件的要求及有关文件规定。</w:t>
      </w:r>
    </w:p>
    <w:p>
      <w:pPr>
        <w:spacing w:line="360" w:lineRule="auto"/>
        <w:ind w:firstLine="440" w:firstLineChars="200"/>
        <w:rPr>
          <w:rFonts w:ascii="宋体" w:hAnsi="宋体" w:cs="宋体"/>
          <w:sz w:val="22"/>
          <w:szCs w:val="22"/>
          <w:highlight w:val="none"/>
        </w:rPr>
      </w:pPr>
      <w:r>
        <w:rPr>
          <w:rFonts w:hint="eastAsia" w:ascii="宋体" w:hAnsi="宋体"/>
          <w:sz w:val="22"/>
          <w:szCs w:val="22"/>
          <w:highlight w:val="none"/>
        </w:rPr>
        <w:t>本公司（企业）的法定代表人或单位负责人与所参投的本采购项目的其他供应商的法定代表人或单位负责人不为同一人且与其他供应商之间不存在直接控股、管理关系。</w:t>
      </w:r>
    </w:p>
    <w:p>
      <w:pPr>
        <w:snapToGrid w:val="0"/>
        <w:spacing w:line="360" w:lineRule="auto"/>
        <w:ind w:firstLine="440" w:firstLineChars="200"/>
        <w:rPr>
          <w:rFonts w:ascii="宋体" w:hAnsi="宋体"/>
          <w:sz w:val="22"/>
          <w:szCs w:val="22"/>
          <w:highlight w:val="none"/>
        </w:rPr>
      </w:pPr>
      <w:r>
        <w:rPr>
          <w:rFonts w:hint="eastAsia" w:ascii="宋体" w:hAnsi="宋体"/>
          <w:sz w:val="22"/>
          <w:szCs w:val="22"/>
          <w:highlight w:val="none"/>
        </w:rPr>
        <w:t>根据《中华人民共和国政府采购法实施条例》的规定，本公司（企业）如为本采购项目提供整体设计、规范编制或者项目管理、监理、检测等服务的供应商，不得再参加该采购项目的其他采购活动。否则，由此所造成的损失、不良后果及法律责任，一律由我公司（企业）承担。</w:t>
      </w:r>
    </w:p>
    <w:p>
      <w:pPr>
        <w:snapToGrid w:val="0"/>
        <w:spacing w:line="360" w:lineRule="auto"/>
        <w:ind w:firstLine="444" w:firstLineChars="202"/>
        <w:rPr>
          <w:rFonts w:ascii="宋体" w:hAnsi="宋体"/>
          <w:sz w:val="22"/>
          <w:szCs w:val="22"/>
          <w:highlight w:val="none"/>
        </w:rPr>
      </w:pPr>
      <w:r>
        <w:rPr>
          <w:rFonts w:hint="eastAsia" w:ascii="宋体" w:hAnsi="宋体"/>
          <w:b/>
          <w:sz w:val="22"/>
          <w:szCs w:val="22"/>
          <w:highlight w:val="none"/>
        </w:rPr>
        <w:t>本公司（企业）</w:t>
      </w:r>
      <w:r>
        <w:rPr>
          <w:rFonts w:ascii="宋体" w:hAnsi="宋体"/>
          <w:b/>
          <w:sz w:val="22"/>
          <w:szCs w:val="22"/>
          <w:highlight w:val="none"/>
        </w:rPr>
        <w:t>具有履行合同所必需的设备和专业技术能力</w:t>
      </w:r>
      <w:r>
        <w:rPr>
          <w:rFonts w:hint="eastAsia" w:ascii="宋体" w:hAnsi="宋体"/>
          <w:b/>
          <w:sz w:val="22"/>
          <w:szCs w:val="22"/>
          <w:highlight w:val="none"/>
        </w:rPr>
        <w:t>，且本公司（企业）参加政府采购活动前</w:t>
      </w:r>
      <w:r>
        <w:rPr>
          <w:rFonts w:ascii="宋体" w:hAnsi="宋体"/>
          <w:b/>
          <w:sz w:val="22"/>
          <w:szCs w:val="22"/>
          <w:highlight w:val="none"/>
        </w:rPr>
        <w:t>3</w:t>
      </w:r>
      <w:r>
        <w:rPr>
          <w:rFonts w:hint="eastAsia" w:ascii="宋体" w:hAnsi="宋体"/>
          <w:b/>
          <w:sz w:val="22"/>
          <w:szCs w:val="22"/>
          <w:highlight w:val="none"/>
        </w:rPr>
        <w:t>年内在经营活动中没有重大违法记录。</w:t>
      </w:r>
      <w:r>
        <w:rPr>
          <w:rFonts w:hint="eastAsia" w:ascii="宋体" w:hAnsi="宋体"/>
          <w:sz w:val="22"/>
          <w:szCs w:val="22"/>
          <w:highlight w:val="none"/>
        </w:rPr>
        <w:t>否则，由此所造成的损失、不良后果及法律责任，一律由我公司（企业）承担。</w:t>
      </w:r>
    </w:p>
    <w:p>
      <w:pPr>
        <w:snapToGrid w:val="0"/>
        <w:spacing w:line="360" w:lineRule="auto"/>
        <w:ind w:firstLine="444" w:firstLineChars="202"/>
        <w:rPr>
          <w:rFonts w:ascii="宋体" w:hAnsi="宋体"/>
          <w:b/>
          <w:bCs/>
          <w:sz w:val="22"/>
          <w:szCs w:val="22"/>
          <w:highlight w:val="none"/>
        </w:rPr>
      </w:pPr>
      <w:r>
        <w:rPr>
          <w:rFonts w:hint="eastAsia" w:ascii="宋体" w:hAnsi="宋体"/>
          <w:b/>
          <w:bCs/>
          <w:sz w:val="22"/>
          <w:szCs w:val="22"/>
          <w:highlight w:val="none"/>
        </w:rPr>
        <w:t>本公司（企业）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否则，由此所造成的损失、不良后果及法律责任，一律由我公司（企业）承担。</w:t>
      </w:r>
    </w:p>
    <w:p>
      <w:pPr>
        <w:snapToGrid w:val="0"/>
        <w:spacing w:line="360" w:lineRule="auto"/>
        <w:ind w:firstLine="444" w:firstLineChars="202"/>
        <w:rPr>
          <w:rFonts w:ascii="宋体" w:hAnsi="宋体"/>
          <w:sz w:val="22"/>
          <w:szCs w:val="22"/>
          <w:highlight w:val="none"/>
        </w:rPr>
      </w:pPr>
      <w:r>
        <w:rPr>
          <w:rFonts w:hint="eastAsia" w:ascii="宋体" w:hAnsi="宋体"/>
          <w:sz w:val="22"/>
          <w:szCs w:val="22"/>
          <w:highlight w:val="none"/>
        </w:rPr>
        <w:t>本次招标采购活动中，如有违法、违规、弄虚作假行为，所造成的损失、不良后果及法律责任，一律由我公司（企业）承担。</w:t>
      </w:r>
    </w:p>
    <w:p>
      <w:pPr>
        <w:spacing w:line="360" w:lineRule="auto"/>
        <w:ind w:firstLine="420"/>
        <w:rPr>
          <w:rFonts w:ascii="宋体" w:hAnsi="宋体"/>
          <w:b/>
          <w:sz w:val="22"/>
          <w:szCs w:val="22"/>
          <w:highlight w:val="none"/>
        </w:rPr>
      </w:pPr>
      <w:r>
        <w:rPr>
          <w:rFonts w:hint="eastAsia" w:ascii="宋体" w:hAnsi="宋体"/>
          <w:b/>
          <w:sz w:val="22"/>
          <w:szCs w:val="22"/>
          <w:highlight w:val="none"/>
        </w:rPr>
        <w:t>特此声明！</w:t>
      </w:r>
    </w:p>
    <w:p>
      <w:pPr>
        <w:adjustRightInd w:val="0"/>
        <w:snapToGrid w:val="0"/>
        <w:spacing w:line="360" w:lineRule="auto"/>
        <w:ind w:left="425"/>
        <w:rPr>
          <w:rFonts w:ascii="宋体" w:hAnsi="宋体"/>
          <w:spacing w:val="4"/>
          <w:sz w:val="22"/>
          <w:szCs w:val="22"/>
          <w:highlight w:val="none"/>
        </w:rPr>
      </w:pPr>
    </w:p>
    <w:p>
      <w:pPr>
        <w:pStyle w:val="3"/>
        <w:widowControl/>
        <w:spacing w:line="360" w:lineRule="auto"/>
        <w:jc w:val="right"/>
        <w:rPr>
          <w:rFonts w:hAnsi="宋体" w:cs="宋体"/>
          <w:szCs w:val="21"/>
          <w:highlight w:val="none"/>
        </w:rPr>
      </w:pPr>
      <w:r>
        <w:rPr>
          <w:rFonts w:hint="eastAsia" w:hAnsi="宋体" w:cs="宋体"/>
          <w:szCs w:val="21"/>
          <w:highlight w:val="none"/>
        </w:rPr>
        <w:t>供应商全称（盖公章）：</w:t>
      </w:r>
    </w:p>
    <w:p>
      <w:pPr>
        <w:pStyle w:val="3"/>
        <w:widowControl/>
        <w:spacing w:line="360" w:lineRule="auto"/>
        <w:jc w:val="right"/>
        <w:rPr>
          <w:rFonts w:hAnsi="宋体" w:cs="宋体"/>
          <w:szCs w:val="21"/>
          <w:highlight w:val="none"/>
        </w:rPr>
      </w:pPr>
      <w:r>
        <w:rPr>
          <w:rFonts w:hint="eastAsia" w:hAnsi="宋体" w:cs="宋体"/>
          <w:szCs w:val="21"/>
          <w:highlight w:val="none"/>
        </w:rPr>
        <w:t>法定代表人或其授权委托人（签名或印章）：</w:t>
      </w:r>
    </w:p>
    <w:p>
      <w:pPr>
        <w:spacing w:line="360" w:lineRule="auto"/>
        <w:ind w:right="180"/>
        <w:jc w:val="right"/>
        <w:rPr>
          <w:rFonts w:ascii="宋体" w:hAnsi="宋体"/>
          <w:sz w:val="22"/>
          <w:szCs w:val="22"/>
          <w:highlight w:val="none"/>
        </w:rPr>
      </w:pPr>
      <w:r>
        <w:rPr>
          <w:rFonts w:hint="eastAsia" w:hAnsi="宋体" w:cs="宋体"/>
          <w:szCs w:val="21"/>
          <w:highlight w:val="none"/>
        </w:rPr>
        <w:t xml:space="preserve">                                      日期：   年   月  日</w:t>
      </w:r>
    </w:p>
    <w:p>
      <w:pPr>
        <w:tabs>
          <w:tab w:val="left" w:pos="7480"/>
        </w:tabs>
        <w:autoSpaceDE w:val="0"/>
        <w:autoSpaceDN w:val="0"/>
        <w:adjustRightInd w:val="0"/>
        <w:spacing w:line="360" w:lineRule="exact"/>
        <w:rPr>
          <w:rFonts w:ascii="黑体" w:eastAsia="黑体"/>
          <w:sz w:val="24"/>
          <w:highlight w:val="none"/>
        </w:rPr>
      </w:pPr>
    </w:p>
    <w:p>
      <w:pPr>
        <w:snapToGrid w:val="0"/>
        <w:spacing w:line="360" w:lineRule="auto"/>
        <w:rPr>
          <w:rFonts w:ascii="宋体" w:hAnsi="宋体"/>
          <w:b/>
          <w:sz w:val="22"/>
          <w:szCs w:val="22"/>
          <w:highlight w:val="none"/>
          <w:u w:val="single"/>
        </w:rPr>
      </w:pPr>
      <w:r>
        <w:rPr>
          <w:rFonts w:hint="eastAsia" w:ascii="宋体" w:hAnsi="宋体"/>
          <w:b/>
          <w:sz w:val="22"/>
          <w:szCs w:val="22"/>
          <w:highlight w:val="none"/>
          <w:u w:val="single"/>
        </w:rPr>
        <w:t>注：后附信用中国”网站(www.creditchina.gov.cn) 及中国政府采购网(</w:t>
      </w:r>
      <w:r>
        <w:rPr>
          <w:highlight w:val="none"/>
        </w:rPr>
        <w:fldChar w:fldCharType="begin"/>
      </w:r>
      <w:r>
        <w:rPr>
          <w:highlight w:val="none"/>
        </w:rPr>
        <w:instrText xml:space="preserve"> HYPERLINK "http://www.ccgp.gov.cn" </w:instrText>
      </w:r>
      <w:r>
        <w:rPr>
          <w:highlight w:val="none"/>
        </w:rPr>
        <w:fldChar w:fldCharType="separate"/>
      </w:r>
      <w:r>
        <w:rPr>
          <w:rFonts w:hint="eastAsia" w:ascii="宋体" w:hAnsi="宋体"/>
          <w:b/>
          <w:highlight w:val="none"/>
          <w:u w:val="single"/>
        </w:rPr>
        <w:t>www.ccgp.gov.cn</w:t>
      </w:r>
      <w:r>
        <w:rPr>
          <w:rFonts w:hint="eastAsia" w:ascii="宋体" w:hAnsi="宋体"/>
          <w:b/>
          <w:highlight w:val="none"/>
          <w:u w:val="single"/>
        </w:rPr>
        <w:fldChar w:fldCharType="end"/>
      </w:r>
      <w:r>
        <w:rPr>
          <w:rFonts w:hint="eastAsia" w:ascii="宋体" w:hAnsi="宋体"/>
          <w:b/>
          <w:sz w:val="22"/>
          <w:szCs w:val="22"/>
          <w:highlight w:val="none"/>
          <w:u w:val="single"/>
        </w:rPr>
        <w:t>)，网上查询结果打印页。</w:t>
      </w:r>
    </w:p>
    <w:p>
      <w:pPr>
        <w:jc w:val="center"/>
        <w:rPr>
          <w:rFonts w:ascii="宋体" w:hAnsi="宋体" w:cs="宋体"/>
          <w:b/>
          <w:sz w:val="32"/>
          <w:szCs w:val="32"/>
          <w:highlight w:val="none"/>
        </w:rPr>
      </w:pPr>
      <w:r>
        <w:rPr>
          <w:rFonts w:hint="eastAsia" w:ascii="宋体" w:hAnsi="宋体"/>
          <w:b/>
          <w:sz w:val="28"/>
          <w:szCs w:val="28"/>
          <w:highlight w:val="none"/>
        </w:rPr>
        <w:br w:type="page"/>
      </w:r>
      <w:r>
        <w:rPr>
          <w:rFonts w:hint="eastAsia" w:ascii="宋体" w:hAnsi="宋体" w:cs="宋体"/>
          <w:b/>
          <w:sz w:val="32"/>
          <w:szCs w:val="32"/>
          <w:highlight w:val="none"/>
        </w:rPr>
        <w:t>法定代表人身份证明</w:t>
      </w:r>
    </w:p>
    <w:p>
      <w:pPr>
        <w:spacing w:line="480" w:lineRule="auto"/>
        <w:jc w:val="center"/>
        <w:rPr>
          <w:rFonts w:ascii="宋体" w:hAnsi="宋体" w:cs="宋体"/>
          <w:b/>
          <w:sz w:val="24"/>
          <w:highlight w:val="none"/>
        </w:rPr>
      </w:pPr>
      <w:r>
        <w:rPr>
          <w:rFonts w:hint="eastAsia" w:ascii="宋体" w:hAnsi="宋体" w:cs="宋体"/>
          <w:bCs/>
          <w:sz w:val="24"/>
          <w:highlight w:val="none"/>
        </w:rPr>
        <w:t>（法定代表人不来投标的，此表不用）</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投标人名称：</w:t>
      </w:r>
      <w:r>
        <w:rPr>
          <w:rFonts w:hint="eastAsia" w:ascii="宋体" w:hAnsi="宋体" w:cs="宋体"/>
          <w:szCs w:val="21"/>
          <w:highlight w:val="none"/>
          <w:u w:val="single"/>
        </w:rPr>
        <w:t xml:space="preserve">                                      </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单位性质：</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地址：</w:t>
      </w:r>
      <w:r>
        <w:rPr>
          <w:rFonts w:hint="eastAsia" w:ascii="宋体" w:hAnsi="宋体" w:cs="宋体"/>
          <w:szCs w:val="21"/>
          <w:highlight w:val="none"/>
          <w:u w:val="single"/>
        </w:rPr>
        <w:t xml:space="preserve">                                              </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成立时间：</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经营期限：</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姓名：</w:t>
      </w:r>
      <w:r>
        <w:rPr>
          <w:rFonts w:hint="eastAsia" w:ascii="宋体" w:hAnsi="宋体" w:cs="宋体"/>
          <w:szCs w:val="21"/>
          <w:highlight w:val="none"/>
          <w:u w:val="single"/>
        </w:rPr>
        <w:t xml:space="preserve">       </w:t>
      </w:r>
      <w:r>
        <w:rPr>
          <w:rFonts w:hint="eastAsia" w:ascii="宋体" w:hAnsi="宋体" w:cs="宋体"/>
          <w:szCs w:val="21"/>
          <w:highlight w:val="none"/>
        </w:rPr>
        <w:t>性别：</w:t>
      </w:r>
      <w:r>
        <w:rPr>
          <w:rFonts w:hint="eastAsia" w:ascii="宋体" w:hAnsi="宋体" w:cs="宋体"/>
          <w:szCs w:val="21"/>
          <w:highlight w:val="none"/>
          <w:u w:val="single"/>
        </w:rPr>
        <w:t xml:space="preserve">      </w:t>
      </w:r>
      <w:r>
        <w:rPr>
          <w:rFonts w:hint="eastAsia" w:ascii="宋体" w:hAnsi="宋体" w:cs="宋体"/>
          <w:szCs w:val="21"/>
          <w:highlight w:val="none"/>
        </w:rPr>
        <w:t>年龄：</w:t>
      </w:r>
      <w:r>
        <w:rPr>
          <w:rFonts w:hint="eastAsia" w:ascii="宋体" w:hAnsi="宋体" w:cs="宋体"/>
          <w:szCs w:val="21"/>
          <w:highlight w:val="none"/>
          <w:u w:val="single"/>
        </w:rPr>
        <w:t xml:space="preserve">    周岁  </w:t>
      </w:r>
      <w:r>
        <w:rPr>
          <w:rFonts w:hint="eastAsia" w:ascii="宋体" w:hAnsi="宋体" w:cs="宋体"/>
          <w:szCs w:val="21"/>
          <w:highlight w:val="none"/>
        </w:rPr>
        <w:t>职务：</w:t>
      </w:r>
      <w:r>
        <w:rPr>
          <w:rFonts w:hint="eastAsia" w:ascii="宋体" w:hAnsi="宋体" w:cs="宋体"/>
          <w:szCs w:val="21"/>
          <w:highlight w:val="none"/>
          <w:u w:val="single"/>
        </w:rPr>
        <w:t xml:space="preserve">      </w:t>
      </w:r>
    </w:p>
    <w:p>
      <w:pPr>
        <w:spacing w:line="480" w:lineRule="auto"/>
        <w:ind w:firstLine="420" w:firstLineChars="200"/>
        <w:rPr>
          <w:rFonts w:ascii="宋体" w:hAnsi="宋体" w:cs="宋体"/>
          <w:szCs w:val="21"/>
          <w:highlight w:val="none"/>
          <w:u w:val="single"/>
        </w:rPr>
      </w:pPr>
      <w:r>
        <w:rPr>
          <w:rFonts w:hint="eastAsia" w:ascii="宋体" w:hAnsi="宋体" w:cs="宋体"/>
          <w:szCs w:val="21"/>
          <w:highlight w:val="none"/>
        </w:rPr>
        <w:t>身份证号码：</w:t>
      </w:r>
      <w:r>
        <w:rPr>
          <w:rFonts w:hint="eastAsia" w:ascii="宋体" w:hAnsi="宋体" w:cs="宋体"/>
          <w:szCs w:val="21"/>
          <w:highlight w:val="none"/>
          <w:u w:val="single"/>
        </w:rPr>
        <w:t xml:space="preserve">                   </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系</w:t>
      </w:r>
      <w:r>
        <w:rPr>
          <w:rFonts w:hint="eastAsia" w:ascii="宋体" w:hAnsi="宋体" w:cs="宋体"/>
          <w:szCs w:val="21"/>
          <w:highlight w:val="none"/>
          <w:u w:val="single"/>
        </w:rPr>
        <w:t xml:space="preserve">                                      </w:t>
      </w:r>
      <w:r>
        <w:rPr>
          <w:rFonts w:hint="eastAsia" w:ascii="宋体" w:hAnsi="宋体" w:cs="宋体"/>
          <w:szCs w:val="21"/>
          <w:highlight w:val="none"/>
        </w:rPr>
        <w:t>（投标人名称）的法定代表人。</w:t>
      </w:r>
    </w:p>
    <w:p>
      <w:pPr>
        <w:spacing w:line="480" w:lineRule="auto"/>
        <w:ind w:firstLine="840" w:firstLineChars="400"/>
        <w:rPr>
          <w:rFonts w:ascii="宋体" w:hAnsi="宋体" w:cs="宋体"/>
          <w:szCs w:val="21"/>
          <w:highlight w:val="none"/>
        </w:rPr>
      </w:pPr>
      <w:r>
        <w:rPr>
          <w:rFonts w:hint="eastAsia" w:ascii="宋体" w:hAnsi="宋体" w:cs="宋体"/>
          <w:szCs w:val="21"/>
          <w:highlight w:val="none"/>
        </w:rPr>
        <w:t>特此证明。</w:t>
      </w:r>
    </w:p>
    <w:p>
      <w:pPr>
        <w:spacing w:line="360" w:lineRule="auto"/>
        <w:ind w:firstLine="420" w:firstLineChars="200"/>
        <w:rPr>
          <w:rFonts w:ascii="宋体" w:hAnsi="宋体" w:cs="宋体"/>
          <w:szCs w:val="21"/>
          <w:highlight w:val="none"/>
        </w:rPr>
      </w:pPr>
    </w:p>
    <w:p>
      <w:pPr>
        <w:spacing w:line="360" w:lineRule="auto"/>
        <w:ind w:firstLine="420" w:firstLineChars="200"/>
        <w:rPr>
          <w:rFonts w:ascii="宋体" w:hAnsi="宋体" w:cs="宋体"/>
          <w:szCs w:val="21"/>
          <w:highlight w:val="none"/>
        </w:rPr>
      </w:pPr>
    </w:p>
    <w:p>
      <w:pPr>
        <w:wordWrap w:val="0"/>
        <w:spacing w:line="360" w:lineRule="auto"/>
        <w:jc w:val="right"/>
        <w:rPr>
          <w:rFonts w:ascii="宋体" w:hAnsi="宋体" w:cs="宋体"/>
          <w:szCs w:val="21"/>
          <w:highlight w:val="none"/>
        </w:rPr>
      </w:pPr>
      <w:r>
        <w:rPr>
          <w:rFonts w:hint="eastAsia" w:ascii="宋体" w:hAnsi="宋体" w:cs="宋体"/>
          <w:szCs w:val="21"/>
          <w:highlight w:val="none"/>
        </w:rPr>
        <w:t>投标人：</w:t>
      </w:r>
      <w:r>
        <w:rPr>
          <w:rFonts w:hint="eastAsia" w:ascii="宋体" w:hAnsi="宋体" w:cs="宋体"/>
          <w:szCs w:val="21"/>
          <w:highlight w:val="none"/>
          <w:u w:val="single"/>
        </w:rPr>
        <w:t xml:space="preserve">                                </w:t>
      </w:r>
      <w:r>
        <w:rPr>
          <w:rFonts w:hint="eastAsia" w:ascii="宋体" w:hAnsi="宋体" w:cs="宋体"/>
          <w:szCs w:val="21"/>
          <w:highlight w:val="none"/>
        </w:rPr>
        <w:t>（盖单位公章）</w:t>
      </w:r>
    </w:p>
    <w:p>
      <w:pPr>
        <w:spacing w:line="360" w:lineRule="auto"/>
        <w:ind w:firstLine="4515" w:firstLineChars="2150"/>
        <w:rPr>
          <w:rFonts w:ascii="宋体" w:hAnsi="宋体" w:cs="宋体"/>
          <w:szCs w:val="21"/>
          <w:highlight w:val="none"/>
          <w:u w:val="single"/>
        </w:rPr>
      </w:pPr>
    </w:p>
    <w:p>
      <w:pPr>
        <w:spacing w:line="360" w:lineRule="auto"/>
        <w:ind w:firstLine="3675" w:firstLineChars="1750"/>
        <w:rPr>
          <w:rFonts w:ascii="宋体" w:hAnsi="宋体" w:cs="宋体"/>
          <w:szCs w:val="21"/>
          <w:highlight w:val="none"/>
        </w:rPr>
      </w:pP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w:t>
      </w:r>
    </w:p>
    <w:p>
      <w:pPr>
        <w:spacing w:line="360" w:lineRule="auto"/>
        <w:rPr>
          <w:rFonts w:ascii="宋体" w:hAnsi="宋体" w:cs="宋体"/>
          <w:sz w:val="24"/>
          <w:highlight w:val="none"/>
        </w:rPr>
      </w:pPr>
    </w:p>
    <w:p>
      <w:pPr>
        <w:spacing w:line="360" w:lineRule="auto"/>
        <w:rPr>
          <w:rFonts w:ascii="宋体" w:hAnsi="宋体" w:cs="宋体"/>
          <w:b/>
          <w:szCs w:val="21"/>
          <w:highlight w:val="none"/>
        </w:rPr>
      </w:pPr>
    </w:p>
    <w:p>
      <w:pPr>
        <w:spacing w:line="360" w:lineRule="auto"/>
        <w:rPr>
          <w:rFonts w:ascii="宋体" w:hAnsi="宋体" w:cs="宋体"/>
          <w:b/>
          <w:szCs w:val="21"/>
          <w:highlight w:val="none"/>
        </w:rPr>
      </w:pPr>
    </w:p>
    <w:p>
      <w:pPr>
        <w:spacing w:line="360" w:lineRule="auto"/>
        <w:rPr>
          <w:rFonts w:ascii="宋体" w:hAnsi="宋体" w:cs="宋体"/>
          <w:b/>
          <w:szCs w:val="21"/>
          <w:highlight w:val="none"/>
        </w:rPr>
      </w:pPr>
      <w:r>
        <w:rPr>
          <w:rFonts w:hint="eastAsia" w:ascii="宋体" w:hAnsi="宋体" w:cs="宋体"/>
          <w:b/>
          <w:szCs w:val="21"/>
          <w:highlight w:val="none"/>
        </w:rPr>
        <w:t>附法定代表人身份证复印件（正反面）：</w:t>
      </w:r>
    </w:p>
    <w:p>
      <w:pPr>
        <w:rPr>
          <w:rFonts w:ascii="宋体" w:hAnsi="宋体" w:cs="宋体"/>
          <w:highlight w:val="none"/>
        </w:rPr>
      </w:pPr>
    </w:p>
    <w:p>
      <w:pPr>
        <w:jc w:val="left"/>
        <w:rPr>
          <w:rFonts w:ascii="宋体" w:hAnsi="宋体" w:cs="宋体"/>
          <w:b/>
          <w:sz w:val="32"/>
          <w:szCs w:val="32"/>
          <w:highlight w:val="none"/>
        </w:rPr>
      </w:pPr>
    </w:p>
    <w:p>
      <w:pPr>
        <w:jc w:val="left"/>
        <w:rPr>
          <w:rFonts w:ascii="宋体" w:hAnsi="宋体" w:cs="宋体"/>
          <w:b/>
          <w:sz w:val="32"/>
          <w:szCs w:val="32"/>
          <w:highlight w:val="none"/>
        </w:rPr>
      </w:pPr>
    </w:p>
    <w:p>
      <w:pPr>
        <w:jc w:val="left"/>
        <w:rPr>
          <w:rFonts w:ascii="宋体" w:hAnsi="宋体" w:cs="宋体"/>
          <w:b/>
          <w:sz w:val="32"/>
          <w:szCs w:val="32"/>
          <w:highlight w:val="none"/>
        </w:rPr>
      </w:pPr>
    </w:p>
    <w:p>
      <w:pPr>
        <w:jc w:val="center"/>
        <w:rPr>
          <w:rFonts w:ascii="宋体" w:hAnsi="宋体" w:cs="宋体"/>
          <w:b/>
          <w:sz w:val="32"/>
          <w:szCs w:val="32"/>
          <w:highlight w:val="none"/>
        </w:rPr>
      </w:pPr>
    </w:p>
    <w:p>
      <w:pPr>
        <w:jc w:val="center"/>
        <w:rPr>
          <w:rFonts w:ascii="宋体" w:hAnsi="宋体" w:cs="宋体"/>
          <w:b/>
          <w:sz w:val="32"/>
          <w:szCs w:val="32"/>
          <w:highlight w:val="none"/>
        </w:rPr>
      </w:pPr>
      <w:r>
        <w:rPr>
          <w:rFonts w:hint="eastAsia" w:ascii="宋体" w:hAnsi="宋体" w:cs="宋体"/>
          <w:b/>
          <w:sz w:val="32"/>
          <w:szCs w:val="32"/>
          <w:highlight w:val="none"/>
        </w:rPr>
        <w:t>法定代表人授权委托书</w:t>
      </w:r>
    </w:p>
    <w:p>
      <w:pPr>
        <w:jc w:val="center"/>
        <w:rPr>
          <w:rFonts w:ascii="宋体" w:hAnsi="宋体" w:cs="宋体"/>
          <w:b/>
          <w:sz w:val="32"/>
          <w:szCs w:val="32"/>
          <w:highlight w:val="none"/>
        </w:rPr>
      </w:pPr>
      <w:r>
        <w:rPr>
          <w:rFonts w:hint="eastAsia" w:ascii="宋体" w:hAnsi="宋体" w:cs="宋体"/>
          <w:bCs/>
          <w:sz w:val="24"/>
          <w:highlight w:val="none"/>
        </w:rPr>
        <w:t>（法定代表人来投标的，此表不用）</w:t>
      </w:r>
    </w:p>
    <w:p>
      <w:pPr>
        <w:snapToGrid w:val="0"/>
        <w:spacing w:line="360" w:lineRule="auto"/>
        <w:rPr>
          <w:rFonts w:ascii="宋体" w:hAnsi="宋体" w:cs="宋体"/>
          <w:bCs/>
          <w:sz w:val="24"/>
          <w:highlight w:val="none"/>
        </w:rPr>
      </w:pPr>
    </w:p>
    <w:p>
      <w:pPr>
        <w:snapToGrid w:val="0"/>
        <w:spacing w:line="360" w:lineRule="auto"/>
        <w:rPr>
          <w:rFonts w:ascii="宋体" w:hAnsi="宋体" w:cs="宋体"/>
          <w:szCs w:val="21"/>
          <w:highlight w:val="none"/>
        </w:rPr>
      </w:pPr>
      <w:r>
        <w:rPr>
          <w:rFonts w:hint="eastAsia" w:ascii="宋体" w:hAnsi="宋体" w:cs="宋体"/>
          <w:bCs/>
          <w:szCs w:val="21"/>
          <w:highlight w:val="none"/>
        </w:rPr>
        <w:t>致：</w:t>
      </w:r>
      <w:r>
        <w:rPr>
          <w:rFonts w:hint="eastAsia" w:ascii="宋体" w:hAnsi="宋体" w:cs="宋体"/>
          <w:szCs w:val="21"/>
          <w:highlight w:val="none"/>
          <w:u w:val="single"/>
        </w:rPr>
        <w:t xml:space="preserve">              </w:t>
      </w:r>
      <w:r>
        <w:rPr>
          <w:rFonts w:hint="eastAsia" w:ascii="宋体" w:hAnsi="宋体" w:cs="宋体"/>
          <w:szCs w:val="21"/>
          <w:highlight w:val="none"/>
        </w:rPr>
        <w:t>（采购单位名称）</w:t>
      </w:r>
      <w:r>
        <w:rPr>
          <w:rFonts w:hint="eastAsia" w:ascii="宋体" w:hAnsi="宋体" w:cs="宋体"/>
          <w:b/>
          <w:bCs/>
          <w:szCs w:val="21"/>
          <w:highlight w:val="none"/>
        </w:rPr>
        <w:t xml:space="preserve"> </w:t>
      </w:r>
      <w:r>
        <w:rPr>
          <w:rFonts w:hint="eastAsia" w:ascii="宋体" w:hAnsi="宋体" w:cs="宋体"/>
          <w:szCs w:val="21"/>
          <w:highlight w:val="none"/>
        </w:rPr>
        <w:t>：</w:t>
      </w:r>
    </w:p>
    <w:p>
      <w:pPr>
        <w:snapToGrid w:val="0"/>
        <w:spacing w:line="360" w:lineRule="auto"/>
        <w:ind w:firstLine="420" w:firstLineChars="200"/>
        <w:rPr>
          <w:rFonts w:ascii="宋体" w:hAnsi="宋体" w:cs="宋体"/>
          <w:szCs w:val="21"/>
          <w:highlight w:val="none"/>
          <w:u w:val="single"/>
        </w:rPr>
      </w:pPr>
      <w:r>
        <w:rPr>
          <w:rFonts w:hint="eastAsia" w:ascii="宋体" w:hAnsi="宋体" w:cs="宋体"/>
          <w:szCs w:val="21"/>
          <w:highlight w:val="none"/>
        </w:rPr>
        <w:t>我</w:t>
      </w:r>
      <w:r>
        <w:rPr>
          <w:rFonts w:hint="eastAsia" w:ascii="宋体" w:hAnsi="宋体" w:cs="宋体"/>
          <w:szCs w:val="21"/>
          <w:highlight w:val="none"/>
          <w:u w:val="single"/>
        </w:rPr>
        <w:t xml:space="preserve">          </w:t>
      </w:r>
      <w:r>
        <w:rPr>
          <w:rFonts w:hint="eastAsia" w:ascii="宋体" w:hAnsi="宋体" w:cs="宋体"/>
          <w:szCs w:val="21"/>
          <w:highlight w:val="none"/>
        </w:rPr>
        <w:t>（姓名）系</w:t>
      </w:r>
      <w:r>
        <w:rPr>
          <w:rFonts w:hint="eastAsia" w:ascii="宋体" w:hAnsi="宋体" w:cs="宋体"/>
          <w:szCs w:val="21"/>
          <w:highlight w:val="none"/>
          <w:u w:val="single"/>
        </w:rPr>
        <w:t xml:space="preserve">           </w:t>
      </w:r>
      <w:r>
        <w:rPr>
          <w:rFonts w:hint="eastAsia" w:ascii="宋体" w:hAnsi="宋体" w:cs="宋体"/>
          <w:szCs w:val="21"/>
          <w:highlight w:val="none"/>
        </w:rPr>
        <w:t xml:space="preserve">（投标人名称）的法定代表人，现授权委托本单位在职职工 </w:t>
      </w:r>
      <w:r>
        <w:rPr>
          <w:rFonts w:hint="eastAsia" w:ascii="宋体" w:hAnsi="宋体" w:cs="宋体"/>
          <w:szCs w:val="21"/>
          <w:highlight w:val="none"/>
          <w:u w:val="single"/>
        </w:rPr>
        <w:t xml:space="preserve">           </w:t>
      </w:r>
      <w:r>
        <w:rPr>
          <w:rFonts w:hint="eastAsia" w:ascii="宋体" w:hAnsi="宋体" w:cs="宋体"/>
          <w:szCs w:val="21"/>
          <w:highlight w:val="none"/>
        </w:rPr>
        <w:t>（姓名）以我方的名义参加</w:t>
      </w:r>
      <w:r>
        <w:rPr>
          <w:rFonts w:hint="eastAsia" w:ascii="宋体" w:hAnsi="宋体" w:cs="宋体"/>
          <w:szCs w:val="21"/>
          <w:highlight w:val="none"/>
          <w:u w:val="single"/>
        </w:rPr>
        <w:t xml:space="preserve">                       政府采购 </w:t>
      </w:r>
      <w:r>
        <w:rPr>
          <w:rFonts w:hint="eastAsia" w:ascii="宋体" w:hAnsi="宋体" w:cs="宋体"/>
          <w:szCs w:val="21"/>
          <w:highlight w:val="none"/>
        </w:rPr>
        <w:t>项目的投标活动，并代表我方全权办理针对上述项目的投标、开标、评标、签约等具体事务和签署相关文件。</w:t>
      </w:r>
    </w:p>
    <w:p>
      <w:pPr>
        <w:snapToGrid w:val="0"/>
        <w:spacing w:line="360" w:lineRule="auto"/>
        <w:ind w:firstLine="420" w:firstLineChars="200"/>
        <w:rPr>
          <w:rFonts w:ascii="宋体" w:hAnsi="宋体" w:cs="宋体"/>
          <w:szCs w:val="21"/>
          <w:highlight w:val="none"/>
          <w:u w:val="single"/>
        </w:rPr>
      </w:pPr>
      <w:r>
        <w:rPr>
          <w:rFonts w:hint="eastAsia" w:ascii="宋体" w:hAnsi="宋体" w:cs="宋体"/>
          <w:szCs w:val="21"/>
          <w:highlight w:val="none"/>
        </w:rPr>
        <w:t>我方对被授权人的签名事项负全部责任。</w:t>
      </w:r>
    </w:p>
    <w:p>
      <w:p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在撤销授权的书面通知以前，本授权书一直有效。被授权人在授权书有效期内签署的所有文件不因授权的撤销而失效。</w:t>
      </w:r>
    </w:p>
    <w:p>
      <w:pPr>
        <w:snapToGrid w:val="0"/>
        <w:spacing w:line="360" w:lineRule="auto"/>
        <w:ind w:firstLine="480"/>
        <w:rPr>
          <w:rFonts w:ascii="宋体" w:hAnsi="宋体" w:cs="宋体"/>
          <w:szCs w:val="21"/>
          <w:highlight w:val="none"/>
        </w:rPr>
      </w:pPr>
      <w:r>
        <w:rPr>
          <w:rFonts w:hint="eastAsia" w:ascii="宋体" w:hAnsi="宋体" w:cs="宋体"/>
          <w:szCs w:val="21"/>
          <w:highlight w:val="none"/>
        </w:rPr>
        <w:t>被授权人无转委托权，特此委托。</w:t>
      </w:r>
    </w:p>
    <w:p>
      <w:pPr>
        <w:snapToGrid w:val="0"/>
        <w:spacing w:line="360" w:lineRule="auto"/>
        <w:rPr>
          <w:rFonts w:ascii="宋体" w:hAnsi="宋体" w:cs="宋体"/>
          <w:szCs w:val="21"/>
          <w:highlight w:val="none"/>
        </w:rPr>
      </w:pPr>
    </w:p>
    <w:p>
      <w:pPr>
        <w:snapToGrid w:val="0"/>
        <w:spacing w:line="360" w:lineRule="auto"/>
        <w:rPr>
          <w:rFonts w:ascii="宋体" w:hAnsi="宋体" w:cs="宋体"/>
          <w:szCs w:val="21"/>
          <w:highlight w:val="none"/>
        </w:rPr>
      </w:pPr>
    </w:p>
    <w:p>
      <w:pPr>
        <w:snapToGrid w:val="0"/>
        <w:spacing w:line="360" w:lineRule="auto"/>
        <w:rPr>
          <w:rFonts w:ascii="宋体" w:hAnsi="宋体" w:cs="宋体"/>
          <w:szCs w:val="21"/>
          <w:highlight w:val="none"/>
          <w:u w:val="single"/>
        </w:rPr>
      </w:pPr>
      <w:r>
        <w:rPr>
          <w:rFonts w:hint="eastAsia" w:ascii="宋体" w:hAnsi="宋体" w:cs="宋体"/>
          <w:szCs w:val="21"/>
          <w:highlight w:val="none"/>
        </w:rPr>
        <w:t>被授权人签名：</w:t>
      </w:r>
      <w:r>
        <w:rPr>
          <w:rFonts w:hint="eastAsia" w:ascii="宋体" w:hAnsi="宋体" w:cs="宋体"/>
          <w:szCs w:val="21"/>
          <w:highlight w:val="none"/>
          <w:u w:val="single"/>
        </w:rPr>
        <w:t xml:space="preserve">          </w:t>
      </w:r>
      <w:r>
        <w:rPr>
          <w:rFonts w:hint="eastAsia" w:ascii="宋体" w:hAnsi="宋体" w:cs="宋体"/>
          <w:szCs w:val="21"/>
          <w:highlight w:val="none"/>
        </w:rPr>
        <w:t xml:space="preserve">                 法定代表人签名：</w:t>
      </w:r>
      <w:r>
        <w:rPr>
          <w:rFonts w:hint="eastAsia" w:ascii="宋体" w:hAnsi="宋体" w:cs="宋体"/>
          <w:szCs w:val="21"/>
          <w:highlight w:val="none"/>
          <w:u w:val="single"/>
        </w:rPr>
        <w:t xml:space="preserve">          </w:t>
      </w:r>
    </w:p>
    <w:p>
      <w:pPr>
        <w:snapToGrid w:val="0"/>
        <w:spacing w:line="360" w:lineRule="auto"/>
        <w:ind w:firstLine="840" w:firstLineChars="400"/>
        <w:rPr>
          <w:rFonts w:ascii="宋体" w:hAnsi="宋体" w:cs="宋体"/>
          <w:szCs w:val="21"/>
          <w:highlight w:val="none"/>
        </w:rPr>
      </w:pPr>
      <w:r>
        <w:rPr>
          <w:rFonts w:hint="eastAsia" w:ascii="宋体" w:hAnsi="宋体" w:cs="宋体"/>
          <w:szCs w:val="21"/>
          <w:highlight w:val="none"/>
        </w:rPr>
        <w:t>职务：</w:t>
      </w:r>
      <w:r>
        <w:rPr>
          <w:rFonts w:hint="eastAsia" w:ascii="宋体" w:hAnsi="宋体" w:cs="宋体"/>
          <w:szCs w:val="21"/>
          <w:highlight w:val="none"/>
          <w:u w:val="single"/>
        </w:rPr>
        <w:t xml:space="preserve">           </w:t>
      </w:r>
      <w:r>
        <w:rPr>
          <w:rFonts w:hint="eastAsia" w:ascii="宋体" w:hAnsi="宋体" w:cs="宋体"/>
          <w:szCs w:val="21"/>
          <w:highlight w:val="none"/>
        </w:rPr>
        <w:t xml:space="preserve">                          职务：</w:t>
      </w:r>
      <w:r>
        <w:rPr>
          <w:rFonts w:hint="eastAsia" w:ascii="宋体" w:hAnsi="宋体" w:cs="宋体"/>
          <w:szCs w:val="21"/>
          <w:highlight w:val="none"/>
          <w:u w:val="single"/>
        </w:rPr>
        <w:t xml:space="preserve">           </w:t>
      </w:r>
    </w:p>
    <w:p>
      <w:pPr>
        <w:snapToGrid w:val="0"/>
        <w:spacing w:line="360" w:lineRule="auto"/>
        <w:rPr>
          <w:rFonts w:ascii="宋体" w:hAnsi="宋体" w:cs="宋体"/>
          <w:szCs w:val="21"/>
          <w:highlight w:val="none"/>
        </w:rPr>
      </w:pPr>
      <w:r>
        <w:rPr>
          <w:rFonts w:hint="eastAsia" w:ascii="宋体" w:hAnsi="宋体" w:cs="宋体"/>
          <w:szCs w:val="21"/>
          <w:highlight w:val="none"/>
        </w:rPr>
        <w:t>被授权人身份证号码：</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p>
    <w:p>
      <w:pPr>
        <w:snapToGrid w:val="0"/>
        <w:spacing w:line="360" w:lineRule="auto"/>
        <w:rPr>
          <w:rFonts w:ascii="宋体" w:hAnsi="宋体" w:cs="宋体"/>
          <w:szCs w:val="21"/>
          <w:highlight w:val="none"/>
        </w:rPr>
      </w:pPr>
      <w:r>
        <w:rPr>
          <w:rFonts w:hint="eastAsia" w:ascii="宋体" w:hAnsi="宋体" w:cs="宋体"/>
          <w:szCs w:val="21"/>
          <w:highlight w:val="none"/>
        </w:rPr>
        <w:t xml:space="preserve">                                    </w:t>
      </w:r>
    </w:p>
    <w:p>
      <w:pPr>
        <w:snapToGrid w:val="0"/>
        <w:spacing w:line="360" w:lineRule="auto"/>
        <w:rPr>
          <w:rFonts w:ascii="宋体" w:hAnsi="宋体" w:cs="宋体"/>
          <w:szCs w:val="21"/>
          <w:highlight w:val="none"/>
        </w:rPr>
      </w:pPr>
    </w:p>
    <w:p>
      <w:pPr>
        <w:snapToGrid w:val="0"/>
        <w:spacing w:line="360" w:lineRule="auto"/>
        <w:ind w:firstLine="4830" w:firstLineChars="2300"/>
        <w:rPr>
          <w:rFonts w:ascii="宋体" w:hAnsi="宋体" w:cs="宋体"/>
          <w:szCs w:val="21"/>
          <w:highlight w:val="none"/>
        </w:rPr>
      </w:pPr>
      <w:r>
        <w:rPr>
          <w:rFonts w:hint="eastAsia" w:ascii="宋体" w:hAnsi="宋体" w:cs="宋体"/>
          <w:szCs w:val="21"/>
          <w:highlight w:val="none"/>
        </w:rPr>
        <w:t>投标人公章：</w:t>
      </w:r>
    </w:p>
    <w:p>
      <w:pPr>
        <w:snapToGrid w:val="0"/>
        <w:spacing w:line="360" w:lineRule="auto"/>
        <w:ind w:firstLine="4830" w:firstLineChars="2300"/>
        <w:rPr>
          <w:rFonts w:ascii="宋体" w:hAnsi="宋体" w:cs="宋体"/>
          <w:szCs w:val="21"/>
          <w:highlight w:val="none"/>
        </w:rPr>
      </w:pPr>
    </w:p>
    <w:p>
      <w:pPr>
        <w:snapToGrid w:val="0"/>
        <w:spacing w:line="360" w:lineRule="auto"/>
        <w:jc w:val="center"/>
        <w:rPr>
          <w:rFonts w:ascii="宋体" w:hAnsi="宋体" w:cs="宋体"/>
          <w:szCs w:val="21"/>
          <w:highlight w:val="none"/>
        </w:rPr>
      </w:pPr>
      <w:r>
        <w:rPr>
          <w:rFonts w:hint="eastAsia" w:ascii="宋体" w:hAnsi="宋体" w:cs="宋体"/>
          <w:szCs w:val="21"/>
          <w:highlight w:val="none"/>
        </w:rPr>
        <w:t xml:space="preserve">                                        年    月    日</w:t>
      </w:r>
    </w:p>
    <w:p>
      <w:pPr>
        <w:spacing w:line="360" w:lineRule="auto"/>
        <w:rPr>
          <w:rFonts w:ascii="宋体" w:hAnsi="宋体" w:cs="宋体"/>
          <w:b/>
          <w:szCs w:val="21"/>
          <w:highlight w:val="none"/>
        </w:rPr>
      </w:pPr>
    </w:p>
    <w:p>
      <w:pPr>
        <w:spacing w:line="360" w:lineRule="auto"/>
        <w:rPr>
          <w:rFonts w:ascii="宋体" w:hAnsi="宋体" w:cs="宋体"/>
          <w:b/>
          <w:szCs w:val="21"/>
          <w:highlight w:val="none"/>
        </w:rPr>
      </w:pPr>
    </w:p>
    <w:p>
      <w:pPr>
        <w:spacing w:line="360" w:lineRule="auto"/>
        <w:rPr>
          <w:rFonts w:ascii="宋体" w:hAnsi="宋体" w:cs="宋体"/>
          <w:b/>
          <w:szCs w:val="21"/>
          <w:highlight w:val="none"/>
        </w:rPr>
      </w:pPr>
    </w:p>
    <w:p>
      <w:pPr>
        <w:spacing w:line="360" w:lineRule="auto"/>
        <w:rPr>
          <w:rFonts w:ascii="宋体" w:hAnsi="宋体" w:cs="宋体"/>
          <w:b/>
          <w:szCs w:val="21"/>
          <w:highlight w:val="none"/>
        </w:rPr>
      </w:pPr>
    </w:p>
    <w:p>
      <w:pPr>
        <w:spacing w:line="360" w:lineRule="auto"/>
        <w:rPr>
          <w:rFonts w:ascii="宋体" w:hAnsi="宋体" w:cs="宋体"/>
          <w:b/>
          <w:szCs w:val="21"/>
          <w:highlight w:val="none"/>
        </w:rPr>
      </w:pPr>
    </w:p>
    <w:p>
      <w:pPr>
        <w:spacing w:line="360" w:lineRule="auto"/>
        <w:rPr>
          <w:rFonts w:ascii="宋体" w:hAnsi="宋体" w:cs="宋体"/>
          <w:b/>
          <w:szCs w:val="21"/>
          <w:highlight w:val="none"/>
        </w:rPr>
      </w:pPr>
      <w:r>
        <w:rPr>
          <w:rFonts w:hint="eastAsia" w:ascii="宋体" w:hAnsi="宋体" w:cs="宋体"/>
          <w:b/>
          <w:szCs w:val="21"/>
          <w:highlight w:val="none"/>
        </w:rPr>
        <w:t>附：法定代表人身份证复印件（正反面）、授权代表身份证复印件（正反面）：</w:t>
      </w:r>
    </w:p>
    <w:p>
      <w:pPr>
        <w:jc w:val="center"/>
        <w:rPr>
          <w:b/>
          <w:sz w:val="28"/>
          <w:szCs w:val="28"/>
          <w:highlight w:val="none"/>
        </w:rPr>
      </w:pPr>
      <w:r>
        <w:rPr>
          <w:rFonts w:hint="eastAsia" w:ascii="宋体" w:hAnsi="宋体"/>
          <w:b/>
          <w:sz w:val="28"/>
          <w:szCs w:val="28"/>
          <w:highlight w:val="none"/>
        </w:rPr>
        <w:br w:type="page"/>
      </w:r>
      <w:r>
        <w:rPr>
          <w:rFonts w:hint="eastAsia"/>
          <w:b/>
          <w:sz w:val="28"/>
          <w:szCs w:val="28"/>
          <w:highlight w:val="none"/>
        </w:rPr>
        <w:t>具备《中华人民共和国政府采购法》第二十二条规定的资格条件的承诺函</w:t>
      </w:r>
    </w:p>
    <w:p>
      <w:pPr>
        <w:jc w:val="center"/>
        <w:rPr>
          <w:b/>
          <w:highlight w:val="none"/>
        </w:rPr>
      </w:pPr>
    </w:p>
    <w:p>
      <w:pPr>
        <w:spacing w:line="360" w:lineRule="auto"/>
        <w:rPr>
          <w:rFonts w:ascii="宋体" w:hAnsi="宋体"/>
          <w:bCs/>
          <w:sz w:val="24"/>
          <w:highlight w:val="none"/>
        </w:rPr>
      </w:pPr>
    </w:p>
    <w:p>
      <w:pPr>
        <w:spacing w:line="360" w:lineRule="auto"/>
        <w:rPr>
          <w:rFonts w:ascii="宋体" w:hAnsi="宋体"/>
          <w:sz w:val="24"/>
          <w:highlight w:val="none"/>
        </w:rPr>
      </w:pPr>
      <w:r>
        <w:rPr>
          <w:rFonts w:hint="eastAsia" w:ascii="宋体" w:hAnsi="宋体"/>
          <w:bCs/>
          <w:sz w:val="24"/>
          <w:highlight w:val="none"/>
        </w:rPr>
        <w:t>致：</w:t>
      </w:r>
      <w:r>
        <w:rPr>
          <w:rFonts w:hint="eastAsia" w:ascii="宋体" w:hAnsi="宋体"/>
          <w:sz w:val="24"/>
          <w:highlight w:val="none"/>
          <w:u w:val="single"/>
        </w:rPr>
        <w:t xml:space="preserve">              </w:t>
      </w:r>
      <w:r>
        <w:rPr>
          <w:rFonts w:hint="eastAsia" w:ascii="宋体" w:hAnsi="宋体"/>
          <w:sz w:val="24"/>
          <w:highlight w:val="none"/>
        </w:rPr>
        <w:t>（采购人名称）</w:t>
      </w:r>
    </w:p>
    <w:p>
      <w:pPr>
        <w:spacing w:line="360" w:lineRule="auto"/>
        <w:ind w:firstLine="480" w:firstLineChars="200"/>
        <w:rPr>
          <w:rFonts w:ascii="宋体" w:hAnsi="宋体"/>
          <w:sz w:val="24"/>
          <w:highlight w:val="none"/>
        </w:rPr>
      </w:pPr>
    </w:p>
    <w:p>
      <w:pPr>
        <w:spacing w:line="480" w:lineRule="auto"/>
        <w:ind w:firstLine="480" w:firstLineChars="200"/>
        <w:rPr>
          <w:rFonts w:ascii="宋体" w:hAnsi="宋体"/>
          <w:sz w:val="24"/>
          <w:highlight w:val="none"/>
        </w:rPr>
      </w:pPr>
      <w:r>
        <w:rPr>
          <w:rFonts w:hint="eastAsia" w:ascii="宋体" w:hAnsi="宋体"/>
          <w:sz w:val="24"/>
          <w:highlight w:val="none"/>
        </w:rPr>
        <w:t>我单位</w:t>
      </w:r>
      <w:r>
        <w:rPr>
          <w:rFonts w:hint="eastAsia" w:ascii="宋体" w:hAnsi="宋体"/>
          <w:sz w:val="24"/>
          <w:highlight w:val="none"/>
          <w:u w:val="single"/>
        </w:rPr>
        <w:t xml:space="preserve">                        </w:t>
      </w:r>
      <w:r>
        <w:rPr>
          <w:rFonts w:hint="eastAsia" w:ascii="宋体" w:hAnsi="宋体"/>
          <w:sz w:val="24"/>
          <w:highlight w:val="none"/>
        </w:rPr>
        <w:t>（单位名称）承诺，完全具备《中华人民共和国政府采购法》第二十二条规定的资格条件：</w:t>
      </w:r>
    </w:p>
    <w:p>
      <w:pPr>
        <w:spacing w:line="480" w:lineRule="auto"/>
        <w:ind w:firstLine="480" w:firstLineChars="200"/>
        <w:rPr>
          <w:sz w:val="24"/>
          <w:highlight w:val="none"/>
        </w:rPr>
      </w:pPr>
      <w:r>
        <w:rPr>
          <w:rFonts w:hint="eastAsia"/>
          <w:sz w:val="24"/>
          <w:highlight w:val="none"/>
        </w:rPr>
        <w:t>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符合法律、行政法规规定的其他条件。</w:t>
      </w:r>
    </w:p>
    <w:p>
      <w:pPr>
        <w:spacing w:line="480" w:lineRule="auto"/>
        <w:ind w:firstLine="480" w:firstLineChars="200"/>
        <w:rPr>
          <w:sz w:val="24"/>
          <w:highlight w:val="none"/>
        </w:rPr>
      </w:pPr>
      <w:r>
        <w:rPr>
          <w:rFonts w:hint="eastAsia"/>
          <w:sz w:val="24"/>
          <w:highlight w:val="none"/>
        </w:rPr>
        <w:t>我单位对上述承诺的真实性负责。本次招标采购活动中，如有违法、违规、弄虚作假行为，所造成的损失、不良后果及法律责任，一律由我单位承担。</w:t>
      </w:r>
    </w:p>
    <w:p>
      <w:pPr>
        <w:spacing w:line="480" w:lineRule="auto"/>
        <w:ind w:firstLine="480" w:firstLineChars="200"/>
        <w:rPr>
          <w:b/>
          <w:bCs/>
          <w:sz w:val="24"/>
          <w:highlight w:val="none"/>
        </w:rPr>
      </w:pPr>
      <w:r>
        <w:rPr>
          <w:rFonts w:hint="eastAsia"/>
          <w:b/>
          <w:bCs/>
          <w:sz w:val="24"/>
          <w:highlight w:val="none"/>
        </w:rPr>
        <w:t>特此承诺！</w:t>
      </w:r>
    </w:p>
    <w:p>
      <w:pPr>
        <w:jc w:val="center"/>
        <w:rPr>
          <w:rFonts w:ascii="宋体" w:hAnsi="宋体"/>
          <w:b/>
          <w:sz w:val="28"/>
          <w:szCs w:val="28"/>
          <w:highlight w:val="none"/>
        </w:rPr>
      </w:pPr>
    </w:p>
    <w:p>
      <w:pPr>
        <w:jc w:val="center"/>
        <w:rPr>
          <w:rFonts w:ascii="宋体" w:hAnsi="宋体"/>
          <w:b/>
          <w:sz w:val="28"/>
          <w:szCs w:val="28"/>
          <w:highlight w:val="none"/>
        </w:rPr>
      </w:pPr>
    </w:p>
    <w:p>
      <w:pPr>
        <w:jc w:val="center"/>
        <w:rPr>
          <w:rFonts w:ascii="宋体" w:hAnsi="宋体"/>
          <w:b/>
          <w:sz w:val="28"/>
          <w:szCs w:val="28"/>
          <w:highlight w:val="none"/>
        </w:rPr>
      </w:pPr>
    </w:p>
    <w:p>
      <w:pPr>
        <w:pStyle w:val="3"/>
        <w:widowControl/>
        <w:spacing w:line="360" w:lineRule="auto"/>
        <w:jc w:val="right"/>
        <w:rPr>
          <w:rFonts w:hAnsi="宋体" w:cs="宋体"/>
          <w:szCs w:val="21"/>
          <w:highlight w:val="none"/>
        </w:rPr>
      </w:pPr>
      <w:r>
        <w:rPr>
          <w:rFonts w:hint="eastAsia" w:hAnsi="宋体" w:cs="宋体"/>
          <w:szCs w:val="21"/>
          <w:highlight w:val="none"/>
        </w:rPr>
        <w:t>供应商全称（盖公章）：</w:t>
      </w:r>
    </w:p>
    <w:p>
      <w:pPr>
        <w:pStyle w:val="3"/>
        <w:widowControl/>
        <w:spacing w:line="360" w:lineRule="auto"/>
        <w:jc w:val="right"/>
        <w:rPr>
          <w:rFonts w:hAnsi="宋体" w:cs="宋体"/>
          <w:szCs w:val="21"/>
          <w:highlight w:val="none"/>
        </w:rPr>
      </w:pPr>
      <w:r>
        <w:rPr>
          <w:rFonts w:hint="eastAsia" w:hAnsi="宋体" w:cs="宋体"/>
          <w:szCs w:val="21"/>
          <w:highlight w:val="none"/>
        </w:rPr>
        <w:t>法定代表人或其授权委托人（签名或印章）：</w:t>
      </w:r>
    </w:p>
    <w:p>
      <w:pPr>
        <w:spacing w:line="360" w:lineRule="auto"/>
        <w:ind w:right="180"/>
        <w:jc w:val="right"/>
        <w:rPr>
          <w:rFonts w:ascii="宋体" w:hAnsi="宋体"/>
          <w:sz w:val="22"/>
          <w:szCs w:val="22"/>
          <w:highlight w:val="none"/>
        </w:rPr>
      </w:pPr>
      <w:r>
        <w:rPr>
          <w:rFonts w:hint="eastAsia" w:hAnsi="宋体" w:cs="宋体"/>
          <w:szCs w:val="21"/>
          <w:highlight w:val="none"/>
        </w:rPr>
        <w:t xml:space="preserve">                                      日期：   年   月  日</w:t>
      </w:r>
    </w:p>
    <w:p>
      <w:pPr>
        <w:jc w:val="center"/>
        <w:rPr>
          <w:b/>
          <w:sz w:val="32"/>
          <w:szCs w:val="32"/>
          <w:highlight w:val="none"/>
        </w:rPr>
      </w:pPr>
      <w:r>
        <w:rPr>
          <w:rFonts w:hint="eastAsia" w:ascii="宋体" w:hAnsi="宋体"/>
          <w:b/>
          <w:sz w:val="28"/>
          <w:szCs w:val="28"/>
          <w:highlight w:val="none"/>
        </w:rPr>
        <w:br w:type="page"/>
      </w:r>
      <w:r>
        <w:rPr>
          <w:rFonts w:hint="eastAsia"/>
          <w:b/>
          <w:sz w:val="32"/>
          <w:szCs w:val="32"/>
          <w:highlight w:val="none"/>
        </w:rPr>
        <w:t>具备履行合同所需的设备和专业技术能力的声明</w:t>
      </w:r>
    </w:p>
    <w:p>
      <w:pPr>
        <w:rPr>
          <w:highlight w:val="none"/>
        </w:rPr>
      </w:pPr>
    </w:p>
    <w:p>
      <w:pPr>
        <w:spacing w:line="360" w:lineRule="auto"/>
        <w:rPr>
          <w:highlight w:val="none"/>
        </w:rPr>
      </w:pPr>
      <w:r>
        <w:rPr>
          <w:rFonts w:hint="eastAsia"/>
          <w:highlight w:val="none"/>
        </w:rPr>
        <w:t xml:space="preserve"> </w:t>
      </w:r>
    </w:p>
    <w:p>
      <w:pPr>
        <w:spacing w:line="360" w:lineRule="auto"/>
        <w:ind w:firstLine="440" w:firstLineChars="200"/>
        <w:rPr>
          <w:rFonts w:ascii="宋体" w:hAnsi="宋体"/>
          <w:sz w:val="22"/>
          <w:szCs w:val="22"/>
          <w:highlight w:val="none"/>
        </w:rPr>
      </w:pPr>
      <w:r>
        <w:rPr>
          <w:rFonts w:hint="eastAsia" w:ascii="宋体" w:hAnsi="宋体"/>
          <w:sz w:val="22"/>
          <w:szCs w:val="22"/>
          <w:highlight w:val="none"/>
        </w:rPr>
        <w:t>我公司（单位）具备履行合同所需的设备和专业技术能力，具体情况介绍如下：</w:t>
      </w:r>
    </w:p>
    <w:p>
      <w:pPr>
        <w:spacing w:line="360" w:lineRule="auto"/>
        <w:rPr>
          <w:rFonts w:ascii="宋体" w:hAnsi="宋体"/>
          <w:sz w:val="22"/>
          <w:szCs w:val="22"/>
          <w:highlight w:val="none"/>
        </w:rPr>
      </w:pPr>
      <w:r>
        <w:rPr>
          <w:rFonts w:hint="eastAsia" w:ascii="宋体" w:hAnsi="宋体"/>
          <w:sz w:val="22"/>
          <w:szCs w:val="22"/>
          <w:highlight w:val="none"/>
        </w:rPr>
        <w:t xml:space="preserve">        （内容包括：主要设备、专业技术人员、公司资质（格）等）                                          </w:t>
      </w:r>
    </w:p>
    <w:p>
      <w:pPr>
        <w:spacing w:line="360" w:lineRule="auto"/>
        <w:rPr>
          <w:rFonts w:ascii="宋体" w:hAnsi="宋体"/>
          <w:sz w:val="22"/>
          <w:szCs w:val="22"/>
          <w:highlight w:val="none"/>
        </w:rPr>
      </w:pPr>
      <w:r>
        <w:rPr>
          <w:rFonts w:hint="eastAsia" w:ascii="宋体" w:hAnsi="宋体"/>
          <w:sz w:val="22"/>
          <w:szCs w:val="22"/>
          <w:highlight w:val="none"/>
        </w:rPr>
        <w:t xml:space="preserve">                                                                            </w:t>
      </w:r>
    </w:p>
    <w:p>
      <w:pPr>
        <w:spacing w:line="360" w:lineRule="auto"/>
        <w:rPr>
          <w:rFonts w:ascii="宋体" w:hAnsi="宋体"/>
          <w:sz w:val="22"/>
          <w:szCs w:val="22"/>
          <w:highlight w:val="none"/>
        </w:rPr>
      </w:pPr>
      <w:r>
        <w:rPr>
          <w:rFonts w:ascii="宋体" w:hAnsi="宋体"/>
          <w:sz w:val="22"/>
          <w:szCs w:val="22"/>
          <w:highlight w:val="none"/>
        </w:rPr>
        <w:t>……</w:t>
      </w:r>
      <w:r>
        <w:rPr>
          <w:rFonts w:hint="eastAsia" w:ascii="宋体" w:hAnsi="宋体"/>
          <w:sz w:val="22"/>
          <w:szCs w:val="22"/>
          <w:highlight w:val="none"/>
        </w:rPr>
        <w:t>..</w:t>
      </w:r>
    </w:p>
    <w:p>
      <w:pPr>
        <w:spacing w:line="360" w:lineRule="auto"/>
        <w:rPr>
          <w:rFonts w:ascii="宋体" w:hAnsi="宋体"/>
          <w:sz w:val="22"/>
          <w:szCs w:val="22"/>
          <w:highlight w:val="none"/>
        </w:rPr>
      </w:pPr>
      <w:r>
        <w:rPr>
          <w:rFonts w:hint="eastAsia" w:ascii="宋体" w:hAnsi="宋体"/>
          <w:sz w:val="22"/>
          <w:szCs w:val="22"/>
          <w:highlight w:val="none"/>
        </w:rPr>
        <w:t xml:space="preserve">     特此承诺。</w:t>
      </w:r>
    </w:p>
    <w:p>
      <w:pPr>
        <w:tabs>
          <w:tab w:val="left" w:pos="7480"/>
        </w:tabs>
        <w:autoSpaceDE w:val="0"/>
        <w:autoSpaceDN w:val="0"/>
        <w:adjustRightInd w:val="0"/>
        <w:spacing w:line="360" w:lineRule="exact"/>
        <w:rPr>
          <w:rFonts w:ascii="宋体" w:hAnsi="宋体"/>
          <w:sz w:val="22"/>
          <w:szCs w:val="22"/>
          <w:highlight w:val="none"/>
        </w:rPr>
      </w:pPr>
    </w:p>
    <w:p>
      <w:pPr>
        <w:tabs>
          <w:tab w:val="left" w:pos="7480"/>
        </w:tabs>
        <w:autoSpaceDE w:val="0"/>
        <w:autoSpaceDN w:val="0"/>
        <w:adjustRightInd w:val="0"/>
        <w:spacing w:line="360" w:lineRule="exact"/>
        <w:rPr>
          <w:rFonts w:ascii="宋体" w:hAnsi="宋体"/>
          <w:sz w:val="22"/>
          <w:szCs w:val="22"/>
          <w:highlight w:val="none"/>
        </w:rPr>
      </w:pPr>
    </w:p>
    <w:p>
      <w:pPr>
        <w:tabs>
          <w:tab w:val="left" w:pos="7480"/>
        </w:tabs>
        <w:autoSpaceDE w:val="0"/>
        <w:autoSpaceDN w:val="0"/>
        <w:adjustRightInd w:val="0"/>
        <w:spacing w:line="360" w:lineRule="exact"/>
        <w:rPr>
          <w:rFonts w:ascii="宋体" w:hAnsi="宋体"/>
          <w:sz w:val="22"/>
          <w:szCs w:val="22"/>
          <w:highlight w:val="none"/>
        </w:rPr>
      </w:pPr>
    </w:p>
    <w:p>
      <w:pPr>
        <w:tabs>
          <w:tab w:val="left" w:pos="7480"/>
        </w:tabs>
        <w:autoSpaceDE w:val="0"/>
        <w:autoSpaceDN w:val="0"/>
        <w:adjustRightInd w:val="0"/>
        <w:spacing w:line="360" w:lineRule="exact"/>
        <w:rPr>
          <w:rFonts w:ascii="宋体" w:hAnsi="宋体"/>
          <w:sz w:val="22"/>
          <w:szCs w:val="22"/>
          <w:highlight w:val="none"/>
        </w:rPr>
      </w:pPr>
    </w:p>
    <w:p>
      <w:pPr>
        <w:pStyle w:val="3"/>
        <w:widowControl/>
        <w:spacing w:line="360" w:lineRule="auto"/>
        <w:jc w:val="right"/>
        <w:rPr>
          <w:rFonts w:hAnsi="宋体" w:cs="宋体"/>
          <w:szCs w:val="21"/>
          <w:highlight w:val="none"/>
        </w:rPr>
      </w:pPr>
      <w:r>
        <w:rPr>
          <w:rFonts w:hint="eastAsia" w:hAnsi="宋体" w:cs="宋体"/>
          <w:szCs w:val="21"/>
          <w:highlight w:val="none"/>
        </w:rPr>
        <w:t>供应商全称（盖公章）：</w:t>
      </w:r>
    </w:p>
    <w:p>
      <w:pPr>
        <w:pStyle w:val="3"/>
        <w:widowControl/>
        <w:spacing w:line="360" w:lineRule="auto"/>
        <w:jc w:val="right"/>
        <w:rPr>
          <w:rFonts w:hAnsi="宋体" w:cs="宋体"/>
          <w:szCs w:val="21"/>
          <w:highlight w:val="none"/>
        </w:rPr>
      </w:pPr>
      <w:r>
        <w:rPr>
          <w:rFonts w:hint="eastAsia" w:hAnsi="宋体" w:cs="宋体"/>
          <w:szCs w:val="21"/>
          <w:highlight w:val="none"/>
        </w:rPr>
        <w:t>法定代表人或其授权委托人（签名或印章）：</w:t>
      </w:r>
    </w:p>
    <w:p>
      <w:pPr>
        <w:spacing w:line="360" w:lineRule="auto"/>
        <w:ind w:right="180"/>
        <w:jc w:val="right"/>
        <w:rPr>
          <w:rFonts w:ascii="宋体" w:hAnsi="宋体"/>
          <w:sz w:val="22"/>
          <w:szCs w:val="22"/>
          <w:highlight w:val="none"/>
        </w:rPr>
      </w:pPr>
      <w:r>
        <w:rPr>
          <w:rFonts w:hint="eastAsia" w:hAnsi="宋体" w:cs="宋体"/>
          <w:szCs w:val="21"/>
          <w:highlight w:val="none"/>
        </w:rPr>
        <w:t xml:space="preserve">                                      日期：   年   月  日</w:t>
      </w:r>
    </w:p>
    <w:p>
      <w:pPr>
        <w:tabs>
          <w:tab w:val="left" w:pos="7480"/>
        </w:tabs>
        <w:autoSpaceDE w:val="0"/>
        <w:autoSpaceDN w:val="0"/>
        <w:adjustRightInd w:val="0"/>
        <w:spacing w:line="360" w:lineRule="exact"/>
        <w:rPr>
          <w:rFonts w:ascii="黑体" w:eastAsia="黑体"/>
          <w:sz w:val="24"/>
          <w:highlight w:val="none"/>
        </w:rPr>
      </w:pPr>
    </w:p>
    <w:p>
      <w:pPr>
        <w:tabs>
          <w:tab w:val="left" w:pos="7480"/>
        </w:tabs>
        <w:autoSpaceDE w:val="0"/>
        <w:autoSpaceDN w:val="0"/>
        <w:adjustRightInd w:val="0"/>
        <w:spacing w:line="360" w:lineRule="exact"/>
        <w:rPr>
          <w:rFonts w:ascii="黑体" w:eastAsia="黑体"/>
          <w:sz w:val="24"/>
          <w:highlight w:val="none"/>
        </w:rPr>
      </w:pPr>
    </w:p>
    <w:p>
      <w:pPr>
        <w:tabs>
          <w:tab w:val="left" w:pos="7480"/>
        </w:tabs>
        <w:autoSpaceDE w:val="0"/>
        <w:autoSpaceDN w:val="0"/>
        <w:adjustRightInd w:val="0"/>
        <w:spacing w:line="360" w:lineRule="exact"/>
        <w:rPr>
          <w:rFonts w:ascii="黑体" w:eastAsia="黑体"/>
          <w:sz w:val="24"/>
          <w:highlight w:val="none"/>
        </w:rPr>
      </w:pPr>
    </w:p>
    <w:p>
      <w:pPr>
        <w:tabs>
          <w:tab w:val="left" w:pos="7480"/>
        </w:tabs>
        <w:autoSpaceDE w:val="0"/>
        <w:autoSpaceDN w:val="0"/>
        <w:adjustRightInd w:val="0"/>
        <w:spacing w:line="360" w:lineRule="exact"/>
        <w:rPr>
          <w:rFonts w:ascii="黑体" w:eastAsia="黑体"/>
          <w:sz w:val="24"/>
          <w:highlight w:val="none"/>
        </w:rPr>
      </w:pPr>
      <w:r>
        <w:rPr>
          <w:rFonts w:ascii="黑体" w:eastAsia="黑体"/>
          <w:sz w:val="24"/>
          <w:highlight w:val="none"/>
        </w:rPr>
        <w:drawing>
          <wp:inline distT="0" distB="0" distL="114300" distR="114300">
            <wp:extent cx="5934075" cy="72771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5934075" cy="7277100"/>
                    </a:xfrm>
                    <a:prstGeom prst="rect">
                      <a:avLst/>
                    </a:prstGeom>
                    <a:noFill/>
                    <a:ln>
                      <a:noFill/>
                    </a:ln>
                  </pic:spPr>
                </pic:pic>
              </a:graphicData>
            </a:graphic>
          </wp:inline>
        </w:drawing>
      </w:r>
    </w:p>
    <w:p>
      <w:pPr>
        <w:tabs>
          <w:tab w:val="left" w:pos="7480"/>
        </w:tabs>
        <w:autoSpaceDE w:val="0"/>
        <w:autoSpaceDN w:val="0"/>
        <w:adjustRightInd w:val="0"/>
        <w:spacing w:line="360" w:lineRule="exact"/>
        <w:rPr>
          <w:rFonts w:ascii="黑体" w:eastAsia="黑体"/>
          <w:sz w:val="24"/>
          <w:highlight w:val="none"/>
        </w:rPr>
      </w:pPr>
    </w:p>
    <w:p>
      <w:pPr>
        <w:tabs>
          <w:tab w:val="left" w:pos="7480"/>
        </w:tabs>
        <w:autoSpaceDE w:val="0"/>
        <w:autoSpaceDN w:val="0"/>
        <w:adjustRightInd w:val="0"/>
        <w:spacing w:line="360" w:lineRule="exact"/>
        <w:rPr>
          <w:rFonts w:ascii="黑体" w:eastAsia="黑体"/>
          <w:sz w:val="24"/>
          <w:highlight w:val="none"/>
        </w:rPr>
      </w:pPr>
    </w:p>
    <w:p>
      <w:pPr>
        <w:tabs>
          <w:tab w:val="left" w:pos="7480"/>
        </w:tabs>
        <w:autoSpaceDE w:val="0"/>
        <w:autoSpaceDN w:val="0"/>
        <w:adjustRightInd w:val="0"/>
        <w:spacing w:line="360" w:lineRule="exact"/>
        <w:rPr>
          <w:rFonts w:ascii="黑体" w:eastAsia="黑体"/>
          <w:sz w:val="24"/>
          <w:highlight w:val="none"/>
        </w:rPr>
      </w:pPr>
    </w:p>
    <w:p>
      <w:pPr>
        <w:tabs>
          <w:tab w:val="left" w:pos="7480"/>
        </w:tabs>
        <w:autoSpaceDE w:val="0"/>
        <w:autoSpaceDN w:val="0"/>
        <w:adjustRightInd w:val="0"/>
        <w:spacing w:line="360" w:lineRule="exact"/>
        <w:rPr>
          <w:rFonts w:ascii="黑体" w:eastAsia="黑体"/>
          <w:sz w:val="24"/>
          <w:highlight w:val="none"/>
        </w:rPr>
      </w:pPr>
    </w:p>
    <w:p>
      <w:pPr>
        <w:tabs>
          <w:tab w:val="left" w:pos="7480"/>
        </w:tabs>
        <w:autoSpaceDE w:val="0"/>
        <w:autoSpaceDN w:val="0"/>
        <w:adjustRightInd w:val="0"/>
        <w:spacing w:line="360" w:lineRule="exact"/>
        <w:rPr>
          <w:rFonts w:ascii="黑体" w:eastAsia="黑体"/>
          <w:sz w:val="24"/>
          <w:highlight w:val="none"/>
        </w:rPr>
      </w:pPr>
    </w:p>
    <w:p>
      <w:pPr>
        <w:tabs>
          <w:tab w:val="left" w:pos="7480"/>
        </w:tabs>
        <w:autoSpaceDE w:val="0"/>
        <w:autoSpaceDN w:val="0"/>
        <w:adjustRightInd w:val="0"/>
        <w:spacing w:line="360" w:lineRule="exact"/>
        <w:rPr>
          <w:rFonts w:ascii="黑体" w:eastAsia="黑体"/>
          <w:sz w:val="24"/>
          <w:highlight w:val="none"/>
        </w:rPr>
      </w:pPr>
    </w:p>
    <w:p>
      <w:pPr>
        <w:tabs>
          <w:tab w:val="left" w:pos="7480"/>
        </w:tabs>
        <w:autoSpaceDE w:val="0"/>
        <w:autoSpaceDN w:val="0"/>
        <w:adjustRightInd w:val="0"/>
        <w:spacing w:line="360" w:lineRule="exact"/>
        <w:rPr>
          <w:rFonts w:ascii="黑体" w:eastAsia="黑体"/>
          <w:sz w:val="24"/>
          <w:highlight w:val="none"/>
        </w:rPr>
      </w:pPr>
    </w:p>
    <w:p>
      <w:pPr>
        <w:tabs>
          <w:tab w:val="left" w:pos="7480"/>
        </w:tabs>
        <w:autoSpaceDE w:val="0"/>
        <w:autoSpaceDN w:val="0"/>
        <w:adjustRightInd w:val="0"/>
        <w:spacing w:line="360" w:lineRule="exact"/>
        <w:rPr>
          <w:rFonts w:ascii="黑体" w:eastAsia="黑体"/>
          <w:sz w:val="24"/>
          <w:highlight w:val="none"/>
        </w:rPr>
      </w:pPr>
    </w:p>
    <w:p>
      <w:pPr>
        <w:tabs>
          <w:tab w:val="left" w:pos="7480"/>
        </w:tabs>
        <w:autoSpaceDE w:val="0"/>
        <w:autoSpaceDN w:val="0"/>
        <w:adjustRightInd w:val="0"/>
        <w:spacing w:line="360" w:lineRule="exact"/>
        <w:rPr>
          <w:rFonts w:ascii="黑体" w:eastAsia="黑体"/>
          <w:sz w:val="24"/>
          <w:highlight w:val="none"/>
        </w:rPr>
      </w:pPr>
    </w:p>
    <w:p>
      <w:pPr>
        <w:tabs>
          <w:tab w:val="left" w:pos="7480"/>
        </w:tabs>
        <w:autoSpaceDE w:val="0"/>
        <w:autoSpaceDN w:val="0"/>
        <w:adjustRightInd w:val="0"/>
        <w:spacing w:line="360" w:lineRule="exact"/>
        <w:rPr>
          <w:rFonts w:ascii="黑体" w:eastAsia="黑体"/>
          <w:sz w:val="24"/>
          <w:highlight w:val="none"/>
        </w:rPr>
      </w:pPr>
    </w:p>
    <w:p>
      <w:pPr>
        <w:tabs>
          <w:tab w:val="left" w:pos="7480"/>
        </w:tabs>
        <w:autoSpaceDE w:val="0"/>
        <w:autoSpaceDN w:val="0"/>
        <w:adjustRightInd w:val="0"/>
        <w:spacing w:line="360" w:lineRule="exact"/>
        <w:rPr>
          <w:rFonts w:ascii="黑体" w:eastAsia="黑体"/>
          <w:sz w:val="24"/>
          <w:highlight w:val="none"/>
        </w:rPr>
      </w:pPr>
    </w:p>
    <w:p>
      <w:pPr>
        <w:tabs>
          <w:tab w:val="left" w:pos="7480"/>
        </w:tabs>
        <w:autoSpaceDE w:val="0"/>
        <w:autoSpaceDN w:val="0"/>
        <w:adjustRightInd w:val="0"/>
        <w:spacing w:line="360" w:lineRule="exact"/>
        <w:rPr>
          <w:rFonts w:ascii="黑体" w:eastAsia="黑体"/>
          <w:sz w:val="24"/>
          <w:highlight w:val="none"/>
        </w:rPr>
      </w:pPr>
    </w:p>
    <w:p>
      <w:pPr>
        <w:tabs>
          <w:tab w:val="left" w:pos="7480"/>
        </w:tabs>
        <w:autoSpaceDE w:val="0"/>
        <w:autoSpaceDN w:val="0"/>
        <w:adjustRightInd w:val="0"/>
        <w:spacing w:line="360" w:lineRule="exact"/>
        <w:rPr>
          <w:rFonts w:ascii="黑体" w:eastAsia="黑体"/>
          <w:sz w:val="24"/>
          <w:highlight w:val="none"/>
        </w:rPr>
      </w:pPr>
    </w:p>
    <w:p>
      <w:pPr>
        <w:tabs>
          <w:tab w:val="left" w:pos="7480"/>
        </w:tabs>
        <w:autoSpaceDE w:val="0"/>
        <w:autoSpaceDN w:val="0"/>
        <w:adjustRightInd w:val="0"/>
        <w:spacing w:line="360" w:lineRule="exact"/>
        <w:rPr>
          <w:rFonts w:ascii="黑体" w:eastAsia="黑体"/>
          <w:sz w:val="24"/>
          <w:highlight w:val="none"/>
        </w:rPr>
      </w:pPr>
    </w:p>
    <w:p>
      <w:pPr>
        <w:tabs>
          <w:tab w:val="left" w:pos="7480"/>
        </w:tabs>
        <w:autoSpaceDE w:val="0"/>
        <w:autoSpaceDN w:val="0"/>
        <w:adjustRightInd w:val="0"/>
        <w:spacing w:line="360" w:lineRule="exact"/>
        <w:rPr>
          <w:rFonts w:ascii="黑体" w:eastAsia="黑体"/>
          <w:sz w:val="24"/>
          <w:highlight w:val="none"/>
        </w:rPr>
      </w:pPr>
    </w:p>
    <w:p>
      <w:pPr>
        <w:tabs>
          <w:tab w:val="left" w:pos="7480"/>
        </w:tabs>
        <w:autoSpaceDE w:val="0"/>
        <w:autoSpaceDN w:val="0"/>
        <w:adjustRightInd w:val="0"/>
        <w:spacing w:line="360" w:lineRule="exact"/>
        <w:rPr>
          <w:rFonts w:ascii="黑体" w:eastAsia="黑体"/>
          <w:sz w:val="24"/>
          <w:highlight w:val="none"/>
        </w:rPr>
      </w:pPr>
    </w:p>
    <w:p>
      <w:pPr>
        <w:jc w:val="center"/>
        <w:rPr>
          <w:b/>
          <w:sz w:val="32"/>
          <w:szCs w:val="32"/>
          <w:highlight w:val="none"/>
        </w:rPr>
      </w:pPr>
      <w:r>
        <w:rPr>
          <w:rFonts w:hint="eastAsia"/>
          <w:b/>
          <w:sz w:val="32"/>
          <w:szCs w:val="32"/>
          <w:highlight w:val="none"/>
        </w:rPr>
        <w:t>近三年在政府采购活动中无重大违法记录的声明</w:t>
      </w:r>
    </w:p>
    <w:p>
      <w:pPr>
        <w:rPr>
          <w:highlight w:val="none"/>
        </w:rPr>
      </w:pPr>
    </w:p>
    <w:p>
      <w:pPr>
        <w:rPr>
          <w:highlight w:val="none"/>
        </w:rPr>
      </w:pPr>
    </w:p>
    <w:p>
      <w:pPr>
        <w:spacing w:line="360" w:lineRule="auto"/>
        <w:rPr>
          <w:sz w:val="22"/>
          <w:szCs w:val="22"/>
          <w:highlight w:val="none"/>
        </w:rPr>
      </w:pPr>
      <w:r>
        <w:rPr>
          <w:rFonts w:hint="eastAsia"/>
          <w:highlight w:val="none"/>
        </w:rPr>
        <w:t xml:space="preserve">    </w:t>
      </w:r>
      <w:r>
        <w:rPr>
          <w:rFonts w:hint="eastAsia"/>
          <w:sz w:val="22"/>
          <w:szCs w:val="22"/>
          <w:highlight w:val="none"/>
        </w:rPr>
        <w:t xml:space="preserve"> 参加本项目政府采购活动前三年内，在经营活动中没有重大违法记录，特此声明。</w:t>
      </w:r>
    </w:p>
    <w:p>
      <w:pPr>
        <w:spacing w:line="360" w:lineRule="auto"/>
        <w:rPr>
          <w:sz w:val="22"/>
          <w:szCs w:val="22"/>
          <w:highlight w:val="none"/>
        </w:rPr>
      </w:pPr>
    </w:p>
    <w:p>
      <w:pPr>
        <w:tabs>
          <w:tab w:val="left" w:pos="7480"/>
        </w:tabs>
        <w:autoSpaceDE w:val="0"/>
        <w:autoSpaceDN w:val="0"/>
        <w:adjustRightInd w:val="0"/>
        <w:spacing w:line="360" w:lineRule="exact"/>
        <w:rPr>
          <w:rFonts w:ascii="黑体" w:eastAsia="黑体"/>
          <w:sz w:val="22"/>
          <w:szCs w:val="22"/>
          <w:highlight w:val="none"/>
        </w:rPr>
      </w:pPr>
    </w:p>
    <w:p>
      <w:pPr>
        <w:tabs>
          <w:tab w:val="left" w:pos="7480"/>
        </w:tabs>
        <w:autoSpaceDE w:val="0"/>
        <w:autoSpaceDN w:val="0"/>
        <w:adjustRightInd w:val="0"/>
        <w:spacing w:line="360" w:lineRule="exact"/>
        <w:rPr>
          <w:rFonts w:ascii="黑体" w:eastAsia="黑体"/>
          <w:sz w:val="22"/>
          <w:szCs w:val="22"/>
          <w:highlight w:val="none"/>
        </w:rPr>
      </w:pPr>
    </w:p>
    <w:p>
      <w:pPr>
        <w:pStyle w:val="3"/>
        <w:widowControl/>
        <w:spacing w:line="360" w:lineRule="auto"/>
        <w:jc w:val="right"/>
        <w:rPr>
          <w:rFonts w:hAnsi="宋体" w:cs="宋体"/>
          <w:szCs w:val="21"/>
          <w:highlight w:val="none"/>
        </w:rPr>
      </w:pPr>
      <w:r>
        <w:rPr>
          <w:rFonts w:hint="eastAsia" w:hAnsi="宋体" w:cs="宋体"/>
          <w:szCs w:val="21"/>
          <w:highlight w:val="none"/>
        </w:rPr>
        <w:t>供应商全称（盖公章）：</w:t>
      </w:r>
    </w:p>
    <w:p>
      <w:pPr>
        <w:pStyle w:val="3"/>
        <w:widowControl/>
        <w:spacing w:line="360" w:lineRule="auto"/>
        <w:jc w:val="right"/>
        <w:rPr>
          <w:rFonts w:hAnsi="宋体" w:cs="宋体"/>
          <w:szCs w:val="21"/>
          <w:highlight w:val="none"/>
        </w:rPr>
      </w:pPr>
      <w:r>
        <w:rPr>
          <w:rFonts w:hint="eastAsia" w:hAnsi="宋体" w:cs="宋体"/>
          <w:szCs w:val="21"/>
          <w:highlight w:val="none"/>
        </w:rPr>
        <w:t>法定代表人或其授权委托人（签名或印章）：</w:t>
      </w:r>
    </w:p>
    <w:p>
      <w:pPr>
        <w:spacing w:line="360" w:lineRule="auto"/>
        <w:ind w:right="180"/>
        <w:jc w:val="right"/>
        <w:rPr>
          <w:rFonts w:ascii="宋体" w:hAnsi="宋体"/>
          <w:sz w:val="22"/>
          <w:szCs w:val="22"/>
          <w:highlight w:val="none"/>
        </w:rPr>
      </w:pPr>
      <w:r>
        <w:rPr>
          <w:rFonts w:hint="eastAsia" w:hAnsi="宋体" w:cs="宋体"/>
          <w:szCs w:val="21"/>
          <w:highlight w:val="none"/>
        </w:rPr>
        <w:t xml:space="preserve">                                      日期：   年   月  日</w:t>
      </w:r>
    </w:p>
    <w:p>
      <w:pPr>
        <w:tabs>
          <w:tab w:val="left" w:pos="7480"/>
        </w:tabs>
        <w:autoSpaceDE w:val="0"/>
        <w:autoSpaceDN w:val="0"/>
        <w:adjustRightInd w:val="0"/>
        <w:spacing w:line="360" w:lineRule="exact"/>
        <w:rPr>
          <w:rFonts w:ascii="黑体" w:eastAsia="黑体"/>
          <w:sz w:val="24"/>
          <w:highlight w:val="none"/>
        </w:rPr>
      </w:pPr>
    </w:p>
    <w:p>
      <w:pPr>
        <w:snapToGrid w:val="0"/>
        <w:spacing w:line="360" w:lineRule="auto"/>
        <w:jc w:val="center"/>
        <w:rPr>
          <w:rFonts w:ascii="宋体" w:hAnsi="宋体" w:cs="宋体"/>
          <w:b/>
          <w:sz w:val="24"/>
          <w:highlight w:val="none"/>
        </w:rPr>
      </w:pPr>
      <w:r>
        <w:rPr>
          <w:rFonts w:hint="eastAsia" w:ascii="宋体" w:hAnsi="宋体"/>
          <w:b/>
          <w:sz w:val="28"/>
          <w:szCs w:val="28"/>
          <w:highlight w:val="none"/>
        </w:rPr>
        <w:br w:type="page"/>
      </w:r>
      <w:r>
        <w:rPr>
          <w:rFonts w:hint="eastAsia" w:ascii="宋体" w:hAnsi="宋体" w:cs="宋体"/>
          <w:b/>
          <w:sz w:val="24"/>
          <w:highlight w:val="none"/>
        </w:rPr>
        <w:t>联合体投标协议书</w:t>
      </w:r>
    </w:p>
    <w:p>
      <w:pPr>
        <w:pStyle w:val="26"/>
        <w:ind w:left="1470" w:right="1470"/>
        <w:jc w:val="center"/>
        <w:rPr>
          <w:sz w:val="24"/>
          <w:highlight w:val="none"/>
        </w:rPr>
      </w:pPr>
      <w:r>
        <w:rPr>
          <w:rFonts w:hint="eastAsia" w:ascii="宋体" w:hAnsi="宋体" w:cs="宋体"/>
          <w:b/>
          <w:sz w:val="24"/>
          <w:highlight w:val="none"/>
        </w:rPr>
        <w:t>（联合体投标的必须提供）</w:t>
      </w:r>
    </w:p>
    <w:p>
      <w:pPr>
        <w:pStyle w:val="46"/>
        <w:shd w:val="clear" w:color="000000" w:fill="FFFFFF"/>
        <w:spacing w:before="0" w:line="400" w:lineRule="exact"/>
        <w:ind w:firstLine="525"/>
        <w:rPr>
          <w:rFonts w:cs="微软雅黑"/>
          <w:highlight w:val="none"/>
          <w:shd w:val="clear" w:color="auto" w:fill="FFFFFF"/>
        </w:rPr>
      </w:pPr>
      <w:r>
        <w:rPr>
          <w:rFonts w:hint="eastAsia" w:cs="微软雅黑"/>
          <w:highlight w:val="none"/>
          <w:shd w:val="clear" w:color="auto" w:fill="FFFFFF"/>
        </w:rPr>
        <w:t xml:space="preserve">经各方协商，就参加 </w:t>
      </w:r>
      <w:r>
        <w:rPr>
          <w:rFonts w:hint="eastAsia" w:cs="微软雅黑"/>
          <w:highlight w:val="none"/>
          <w:u w:val="single"/>
          <w:shd w:val="clear" w:color="auto" w:fill="FFFFFF"/>
        </w:rPr>
        <w:t xml:space="preserve">                </w:t>
      </w:r>
      <w:r>
        <w:rPr>
          <w:rFonts w:hint="eastAsia" w:cs="微软雅黑"/>
          <w:highlight w:val="none"/>
          <w:shd w:val="clear" w:color="auto" w:fill="FFFFFF"/>
        </w:rPr>
        <w:t xml:space="preserve">项目（采购编号： </w:t>
      </w:r>
      <w:r>
        <w:rPr>
          <w:rFonts w:hint="eastAsia" w:cs="微软雅黑"/>
          <w:highlight w:val="none"/>
          <w:u w:val="single"/>
          <w:shd w:val="clear" w:color="auto" w:fill="FFFFFF"/>
        </w:rPr>
        <w:t xml:space="preserve">         </w:t>
      </w:r>
      <w:r>
        <w:rPr>
          <w:rFonts w:hint="eastAsia" w:cs="微软雅黑"/>
          <w:highlight w:val="none"/>
          <w:shd w:val="clear" w:color="auto" w:fill="FFFFFF"/>
        </w:rPr>
        <w:t>）招标活动联合进行投标事宜，达成以下协议：</w:t>
      </w:r>
    </w:p>
    <w:p>
      <w:pPr>
        <w:pStyle w:val="46"/>
        <w:shd w:val="clear" w:color="000000" w:fill="FFFFFF"/>
        <w:spacing w:before="0" w:line="400" w:lineRule="exact"/>
        <w:ind w:firstLine="210"/>
        <w:rPr>
          <w:rFonts w:cs="微软雅黑"/>
          <w:highlight w:val="none"/>
          <w:shd w:val="clear" w:color="auto" w:fill="FFFFFF"/>
        </w:rPr>
      </w:pPr>
      <w:r>
        <w:rPr>
          <w:rFonts w:hint="eastAsia" w:cs="微软雅黑"/>
          <w:highlight w:val="none"/>
          <w:shd w:val="clear" w:color="auto" w:fill="FFFFFF"/>
        </w:rPr>
        <w:t xml:space="preserve">  1.甲方</w:t>
      </w:r>
      <w:r>
        <w:rPr>
          <w:rFonts w:hint="eastAsia" w:cs="微软雅黑"/>
          <w:highlight w:val="none"/>
          <w:u w:val="single"/>
          <w:shd w:val="clear" w:color="auto" w:fill="FFFFFF"/>
        </w:rPr>
        <w:t xml:space="preserve">                        </w:t>
      </w:r>
      <w:r>
        <w:rPr>
          <w:rFonts w:hint="eastAsia" w:cs="微软雅黑"/>
          <w:highlight w:val="none"/>
          <w:shd w:val="clear" w:color="auto" w:fill="FFFFFF"/>
        </w:rPr>
        <w:t>为联合体牵头人，乙方</w:t>
      </w:r>
      <w:r>
        <w:rPr>
          <w:rFonts w:hint="eastAsia" w:cs="微软雅黑"/>
          <w:highlight w:val="none"/>
          <w:u w:val="single"/>
          <w:shd w:val="clear" w:color="auto" w:fill="FFFFFF"/>
        </w:rPr>
        <w:t xml:space="preserve">             </w:t>
      </w:r>
      <w:r>
        <w:rPr>
          <w:rFonts w:hint="eastAsia" w:cs="微软雅黑"/>
          <w:highlight w:val="none"/>
          <w:shd w:val="clear" w:color="auto" w:fill="FFFFFF"/>
        </w:rPr>
        <w:t>为联合体成员；</w:t>
      </w:r>
    </w:p>
    <w:p>
      <w:pPr>
        <w:pStyle w:val="46"/>
        <w:shd w:val="clear" w:color="000000" w:fill="FFFFFF"/>
        <w:spacing w:before="0" w:line="400" w:lineRule="exact"/>
        <w:rPr>
          <w:rFonts w:cs="微软雅黑"/>
          <w:highlight w:val="none"/>
          <w:shd w:val="clear" w:color="auto" w:fill="FFFFFF"/>
        </w:rPr>
      </w:pPr>
      <w:r>
        <w:rPr>
          <w:rFonts w:hint="eastAsia" w:cs="微软雅黑"/>
          <w:highlight w:val="none"/>
          <w:shd w:val="clear" w:color="auto" w:fill="FFFFFF"/>
        </w:rPr>
        <w:t xml:space="preserve">    2. 联合体内部有关事项规定如下：</w:t>
      </w:r>
    </w:p>
    <w:p>
      <w:pPr>
        <w:pStyle w:val="46"/>
        <w:shd w:val="clear" w:color="000000" w:fill="FFFFFF"/>
        <w:spacing w:before="0" w:line="400" w:lineRule="exact"/>
        <w:rPr>
          <w:rFonts w:cs="微软雅黑"/>
          <w:highlight w:val="none"/>
          <w:shd w:val="clear" w:color="auto" w:fill="FFFFFF"/>
        </w:rPr>
      </w:pPr>
      <w:r>
        <w:rPr>
          <w:rFonts w:hint="eastAsia" w:cs="微软雅黑"/>
          <w:highlight w:val="none"/>
          <w:shd w:val="clear" w:color="auto" w:fill="FFFFFF"/>
        </w:rPr>
        <w:t xml:space="preserve">   （1）本次招标过程中，联合体牵头人负责与招标方联系。</w:t>
      </w:r>
    </w:p>
    <w:p>
      <w:pPr>
        <w:pStyle w:val="46"/>
        <w:shd w:val="clear" w:color="000000" w:fill="FFFFFF"/>
        <w:spacing w:before="0" w:line="400" w:lineRule="exact"/>
        <w:rPr>
          <w:rFonts w:cs="微软雅黑"/>
          <w:highlight w:val="none"/>
          <w:shd w:val="clear" w:color="auto" w:fill="FFFFFF"/>
        </w:rPr>
      </w:pPr>
      <w:r>
        <w:rPr>
          <w:rFonts w:hint="eastAsia" w:cs="微软雅黑"/>
          <w:highlight w:val="none"/>
          <w:shd w:val="clear" w:color="auto" w:fill="FFFFFF"/>
        </w:rPr>
        <w:t xml:space="preserve">   （2）投标工作由联合体牵头人负责，由双方组成的投标小组具体实施；联合体牵头人代表联合体办理投标事宜，联合体牵头人在投标文件中的所有承诺均代表了联合体各成员。</w:t>
      </w:r>
    </w:p>
    <w:p>
      <w:pPr>
        <w:pStyle w:val="46"/>
        <w:shd w:val="clear" w:color="000000" w:fill="FFFFFF"/>
        <w:spacing w:before="0" w:line="400" w:lineRule="exact"/>
        <w:rPr>
          <w:rFonts w:cs="微软雅黑"/>
          <w:highlight w:val="none"/>
          <w:shd w:val="clear" w:color="auto" w:fill="FFFFFF"/>
        </w:rPr>
      </w:pPr>
      <w:r>
        <w:rPr>
          <w:rFonts w:hint="eastAsia" w:cs="微软雅黑"/>
          <w:highlight w:val="none"/>
          <w:shd w:val="clear" w:color="auto" w:fill="FFFFFF"/>
        </w:rPr>
        <w:t xml:space="preserve">   （3）联合体将严格按照招标文件的各项要求，递交投标文件，切实执行一切合同文件，共同承担合同规定的一切义务和责任，同时按照内部职责的划分，承担自身所负的责任和风险。</w:t>
      </w:r>
    </w:p>
    <w:p>
      <w:pPr>
        <w:pStyle w:val="46"/>
        <w:shd w:val="clear" w:color="000000" w:fill="FFFFFF"/>
        <w:spacing w:before="0" w:line="400" w:lineRule="exact"/>
        <w:rPr>
          <w:rFonts w:cs="微软雅黑"/>
          <w:highlight w:val="none"/>
          <w:shd w:val="clear" w:color="auto" w:fill="FFFFFF"/>
        </w:rPr>
      </w:pPr>
      <w:r>
        <w:rPr>
          <w:rFonts w:hint="eastAsia" w:cs="微软雅黑"/>
          <w:highlight w:val="none"/>
          <w:shd w:val="clear" w:color="auto" w:fill="FFFFFF"/>
        </w:rPr>
        <w:t xml:space="preserve">   （4）如中标，联合体内部将遵守以下规定：</w:t>
      </w:r>
    </w:p>
    <w:p>
      <w:pPr>
        <w:pStyle w:val="46"/>
        <w:shd w:val="clear" w:color="000000" w:fill="FFFFFF"/>
        <w:spacing w:before="0" w:line="400" w:lineRule="exact"/>
        <w:rPr>
          <w:rFonts w:cs="微软雅黑"/>
          <w:highlight w:val="none"/>
          <w:shd w:val="clear" w:color="auto" w:fill="FFFFFF"/>
        </w:rPr>
      </w:pPr>
      <w:r>
        <w:rPr>
          <w:rFonts w:hint="eastAsia" w:cs="微软雅黑"/>
          <w:highlight w:val="none"/>
          <w:shd w:val="clear" w:color="auto" w:fill="FFFFFF"/>
        </w:rPr>
        <w:t xml:space="preserve">     a.联合体牵头人和成员共同与业主签订合同书，并就中标项目向业主负责有连带的和各自的</w:t>
      </w:r>
      <w:r>
        <w:rPr>
          <w:highlight w:val="none"/>
        </w:rPr>
        <w:fldChar w:fldCharType="begin"/>
      </w:r>
      <w:r>
        <w:rPr>
          <w:highlight w:val="none"/>
        </w:rPr>
        <w:instrText xml:space="preserve"> HYPERLINK "http://www.chinalawedu.com/" </w:instrText>
      </w:r>
      <w:r>
        <w:rPr>
          <w:highlight w:val="none"/>
        </w:rPr>
        <w:fldChar w:fldCharType="separate"/>
      </w:r>
      <w:r>
        <w:rPr>
          <w:rFonts w:hint="eastAsia" w:cs="微软雅黑"/>
          <w:highlight w:val="none"/>
          <w:u w:val="single"/>
          <w:shd w:val="clear" w:color="auto" w:fill="FFFFFF"/>
        </w:rPr>
        <w:t>法律</w:t>
      </w:r>
      <w:r>
        <w:rPr>
          <w:rFonts w:hint="eastAsia" w:cs="微软雅黑"/>
          <w:highlight w:val="none"/>
          <w:shd w:val="clear" w:color="auto" w:fill="FFFFFF"/>
        </w:rPr>
        <w:t>责任；</w:t>
      </w:r>
      <w:r>
        <w:rPr>
          <w:rFonts w:hint="eastAsia" w:cs="微软雅黑"/>
          <w:highlight w:val="none"/>
          <w:shd w:val="clear" w:color="auto" w:fill="FFFFFF"/>
        </w:rPr>
        <w:fldChar w:fldCharType="end"/>
      </w:r>
    </w:p>
    <w:p>
      <w:pPr>
        <w:pStyle w:val="46"/>
        <w:shd w:val="clear" w:color="000000" w:fill="FFFFFF"/>
        <w:spacing w:before="0" w:line="400" w:lineRule="exact"/>
        <w:ind w:firstLine="315"/>
        <w:rPr>
          <w:rFonts w:cs="微软雅黑"/>
          <w:highlight w:val="none"/>
          <w:shd w:val="clear" w:color="auto" w:fill="FFFFFF"/>
        </w:rPr>
      </w:pPr>
      <w:r>
        <w:rPr>
          <w:rFonts w:hint="eastAsia" w:cs="微软雅黑"/>
          <w:highlight w:val="none"/>
          <w:shd w:val="clear" w:color="auto" w:fill="FFFFFF"/>
        </w:rPr>
        <w:t xml:space="preserve">  b.联合体牵头人代表联合体成员承担责任和接受业主的指令、指示和通知并且在整个合同实施过程中的全部事宜；</w:t>
      </w:r>
    </w:p>
    <w:p>
      <w:pPr>
        <w:pStyle w:val="46"/>
        <w:shd w:val="clear" w:color="000000" w:fill="FFFFFF"/>
        <w:spacing w:before="0" w:line="400" w:lineRule="exact"/>
        <w:ind w:firstLine="420"/>
        <w:rPr>
          <w:rFonts w:cs="微软雅黑"/>
          <w:highlight w:val="none"/>
          <w:shd w:val="clear" w:color="auto" w:fill="FFFFFF"/>
        </w:rPr>
      </w:pPr>
      <w:r>
        <w:rPr>
          <w:rFonts w:hint="eastAsia" w:cs="微软雅黑"/>
          <w:highlight w:val="none"/>
          <w:shd w:val="clear" w:color="auto" w:fill="FFFFFF"/>
        </w:rPr>
        <w:t>（5） 投标工作和联合体在中标后工程实施过程中的有关费用按各自承担的工作量分摊。</w:t>
      </w:r>
    </w:p>
    <w:p>
      <w:pPr>
        <w:pStyle w:val="46"/>
        <w:shd w:val="clear" w:color="000000" w:fill="FFFFFF"/>
        <w:spacing w:before="0" w:line="400" w:lineRule="exact"/>
        <w:ind w:firstLine="420"/>
        <w:rPr>
          <w:rFonts w:cs="微软雅黑"/>
          <w:highlight w:val="none"/>
          <w:shd w:val="clear" w:color="auto" w:fill="FFFFFF"/>
        </w:rPr>
      </w:pPr>
      <w:r>
        <w:rPr>
          <w:rFonts w:hint="eastAsia" w:cs="微软雅黑"/>
          <w:highlight w:val="none"/>
          <w:shd w:val="clear" w:color="auto" w:fill="FFFFFF"/>
        </w:rPr>
        <w:t>（6）本次联合体投标中，甲方承担的工作和义务为：</w:t>
      </w:r>
      <w:r>
        <w:rPr>
          <w:rFonts w:hint="eastAsia" w:cs="微软雅黑"/>
          <w:highlight w:val="none"/>
          <w:u w:val="single"/>
          <w:shd w:val="clear" w:color="auto" w:fill="FFFFFF"/>
        </w:rPr>
        <w:t xml:space="preserve">                 ； </w:t>
      </w:r>
      <w:r>
        <w:rPr>
          <w:rFonts w:hint="eastAsia" w:cs="微软雅黑"/>
          <w:highlight w:val="none"/>
          <w:shd w:val="clear" w:color="auto" w:fill="FFFFFF"/>
        </w:rPr>
        <w:t>甲方承担本项目所占金额的比例为</w:t>
      </w:r>
      <w:r>
        <w:rPr>
          <w:rFonts w:hint="eastAsia" w:cs="微软雅黑"/>
          <w:highlight w:val="none"/>
          <w:u w:val="single"/>
          <w:shd w:val="clear" w:color="auto" w:fill="FFFFFF"/>
        </w:rPr>
        <w:t xml:space="preserve">       %；</w:t>
      </w:r>
      <w:r>
        <w:rPr>
          <w:rFonts w:hint="eastAsia" w:cs="微软雅黑"/>
          <w:highlight w:val="none"/>
          <w:shd w:val="clear" w:color="auto" w:fill="FFFFFF"/>
        </w:rPr>
        <w:t>乙方承担的工作和义务为：</w:t>
      </w:r>
      <w:r>
        <w:rPr>
          <w:rFonts w:hint="eastAsia" w:cs="微软雅黑"/>
          <w:highlight w:val="none"/>
          <w:u w:val="single"/>
          <w:shd w:val="clear" w:color="auto" w:fill="FFFFFF"/>
        </w:rPr>
        <w:t xml:space="preserve">             ；</w:t>
      </w:r>
      <w:r>
        <w:rPr>
          <w:rFonts w:hint="eastAsia" w:cs="微软雅黑"/>
          <w:highlight w:val="none"/>
          <w:shd w:val="clear" w:color="auto" w:fill="FFFFFF"/>
        </w:rPr>
        <w:t>乙方承担本项目所占金额的比例为</w:t>
      </w:r>
      <w:r>
        <w:rPr>
          <w:rFonts w:hint="eastAsia" w:cs="微软雅黑"/>
          <w:highlight w:val="none"/>
          <w:u w:val="single"/>
          <w:shd w:val="clear" w:color="auto" w:fill="FFFFFF"/>
        </w:rPr>
        <w:t xml:space="preserve">                %；</w:t>
      </w:r>
    </w:p>
    <w:p>
      <w:pPr>
        <w:pStyle w:val="46"/>
        <w:shd w:val="clear" w:color="000000" w:fill="FFFFFF"/>
        <w:spacing w:before="0" w:line="400" w:lineRule="exact"/>
        <w:rPr>
          <w:rFonts w:cs="微软雅黑"/>
          <w:highlight w:val="none"/>
          <w:shd w:val="clear" w:color="auto" w:fill="FFFFFF"/>
        </w:rPr>
      </w:pPr>
      <w:r>
        <w:rPr>
          <w:rFonts w:hint="eastAsia" w:cs="微软雅黑"/>
          <w:highlight w:val="none"/>
          <w:shd w:val="clear" w:color="auto" w:fill="FFFFFF"/>
        </w:rPr>
        <w:t xml:space="preserve">    3.本协议书自签署之日起生效，在上述（4）a所述的合同书规定的期限之后自行失效；如中标后，联合体内部另有协议的，联合体主办人应将该协议书送交业主。</w:t>
      </w:r>
    </w:p>
    <w:p>
      <w:pPr>
        <w:pStyle w:val="46"/>
        <w:shd w:val="clear" w:color="000000" w:fill="FFFFFF"/>
        <w:spacing w:before="0" w:line="400" w:lineRule="exact"/>
        <w:rPr>
          <w:rFonts w:cs="微软雅黑"/>
          <w:highlight w:val="none"/>
          <w:shd w:val="clear" w:color="auto" w:fill="FFFFFF"/>
        </w:rPr>
      </w:pPr>
      <w:r>
        <w:rPr>
          <w:rFonts w:hint="eastAsia" w:cs="微软雅黑"/>
          <w:highlight w:val="none"/>
          <w:shd w:val="clear" w:color="auto" w:fill="FFFFFF"/>
        </w:rPr>
        <w:t xml:space="preserve">    4．本协议书随投标文件装订。</w:t>
      </w:r>
    </w:p>
    <w:p>
      <w:pPr>
        <w:pStyle w:val="46"/>
        <w:shd w:val="clear" w:color="000000" w:fill="FFFFFF"/>
        <w:spacing w:before="0" w:line="400" w:lineRule="exact"/>
        <w:rPr>
          <w:rFonts w:cs="微软雅黑"/>
          <w:highlight w:val="none"/>
          <w:shd w:val="clear" w:color="auto" w:fill="FFFFFF"/>
        </w:rPr>
      </w:pPr>
    </w:p>
    <w:p>
      <w:pPr>
        <w:pStyle w:val="46"/>
        <w:shd w:val="clear" w:color="000000" w:fill="FFFFFF"/>
        <w:spacing w:before="0" w:line="400" w:lineRule="exact"/>
        <w:rPr>
          <w:rFonts w:cs="微软雅黑"/>
          <w:szCs w:val="21"/>
          <w:highlight w:val="none"/>
          <w:shd w:val="clear" w:color="auto" w:fill="FFFFFF"/>
        </w:rPr>
      </w:pPr>
      <w:r>
        <w:rPr>
          <w:rFonts w:hint="eastAsia" w:cs="微软雅黑"/>
          <w:szCs w:val="21"/>
          <w:highlight w:val="none"/>
          <w:shd w:val="clear" w:color="auto" w:fill="FFFFFF"/>
        </w:rPr>
        <w:t xml:space="preserve">甲公司名称：（盖章）                            乙公司名称：（盖章）                          </w:t>
      </w:r>
    </w:p>
    <w:p>
      <w:pPr>
        <w:pStyle w:val="26"/>
        <w:spacing w:after="0" w:line="400" w:lineRule="exact"/>
        <w:ind w:left="0" w:leftChars="0" w:right="0" w:rightChars="0"/>
        <w:rPr>
          <w:rFonts w:cs="微软雅黑"/>
          <w:highlight w:val="none"/>
          <w:shd w:val="clear" w:color="auto" w:fill="FFFFFF"/>
        </w:rPr>
      </w:pPr>
    </w:p>
    <w:p>
      <w:pPr>
        <w:rPr>
          <w:rFonts w:ascii="宋体" w:hAnsi="宋体"/>
          <w:b/>
          <w:sz w:val="28"/>
          <w:szCs w:val="28"/>
          <w:highlight w:val="none"/>
        </w:rPr>
      </w:pPr>
      <w:r>
        <w:rPr>
          <w:rFonts w:hint="eastAsia" w:cs="微软雅黑"/>
          <w:szCs w:val="21"/>
          <w:highlight w:val="none"/>
          <w:shd w:val="clear" w:color="auto" w:fill="FFFFFF"/>
        </w:rPr>
        <w:t>甲方法定代表人或其授权委托人（签字或盖章）：   乙方法定代表人或其授权委托人（签字或盖章）：</w:t>
      </w:r>
    </w:p>
    <w:p>
      <w:pPr>
        <w:rPr>
          <w:rFonts w:ascii="宋体" w:hAnsi="宋体" w:cs="宋体"/>
          <w:b/>
          <w:highlight w:val="none"/>
        </w:rPr>
      </w:pPr>
      <w:r>
        <w:rPr>
          <w:rFonts w:hint="eastAsia" w:ascii="宋体" w:hAnsi="宋体" w:cs="宋体"/>
          <w:b/>
          <w:highlight w:val="none"/>
        </w:rPr>
        <w:br w:type="page"/>
      </w:r>
    </w:p>
    <w:p>
      <w:pPr>
        <w:jc w:val="center"/>
        <w:outlineLvl w:val="2"/>
        <w:rPr>
          <w:rFonts w:ascii="宋体" w:hAnsi="宋体" w:cs="宋体"/>
          <w:b/>
          <w:highlight w:val="none"/>
        </w:rPr>
      </w:pPr>
      <w:r>
        <w:rPr>
          <w:rFonts w:hint="eastAsia" w:ascii="宋体" w:hAnsi="宋体" w:cs="宋体"/>
          <w:b/>
          <w:highlight w:val="none"/>
        </w:rPr>
        <w:t>投标承诺函</w:t>
      </w:r>
    </w:p>
    <w:p>
      <w:pPr>
        <w:pStyle w:val="198"/>
        <w:spacing w:line="336" w:lineRule="auto"/>
        <w:ind w:right="84" w:rightChars="40"/>
        <w:rPr>
          <w:rFonts w:ascii="宋体" w:hAnsi="宋体" w:cs="宋体"/>
          <w:sz w:val="24"/>
          <w:szCs w:val="24"/>
          <w:highlight w:val="none"/>
        </w:rPr>
      </w:pPr>
    </w:p>
    <w:p>
      <w:pPr>
        <w:snapToGrid w:val="0"/>
        <w:spacing w:line="360" w:lineRule="auto"/>
        <w:rPr>
          <w:rFonts w:ascii="宋体" w:hAnsi="宋体" w:cs="宋体"/>
          <w:szCs w:val="21"/>
          <w:highlight w:val="none"/>
        </w:rPr>
      </w:pPr>
      <w:r>
        <w:rPr>
          <w:rFonts w:hint="eastAsia" w:ascii="宋体" w:hAnsi="宋体" w:cs="宋体"/>
          <w:bCs/>
          <w:szCs w:val="21"/>
          <w:highlight w:val="none"/>
        </w:rPr>
        <w:t>致：</w:t>
      </w:r>
      <w:r>
        <w:rPr>
          <w:rFonts w:hint="eastAsia" w:ascii="宋体" w:hAnsi="宋体" w:cs="宋体"/>
          <w:szCs w:val="21"/>
          <w:highlight w:val="none"/>
          <w:u w:val="single"/>
        </w:rPr>
        <w:t xml:space="preserve">              </w:t>
      </w:r>
      <w:r>
        <w:rPr>
          <w:rFonts w:hint="eastAsia" w:ascii="宋体" w:hAnsi="宋体" w:cs="宋体"/>
          <w:szCs w:val="21"/>
          <w:highlight w:val="none"/>
        </w:rPr>
        <w:t>（采购单位名称）：</w:t>
      </w:r>
    </w:p>
    <w:p>
      <w:pPr>
        <w:spacing w:line="360" w:lineRule="auto"/>
        <w:ind w:firstLine="420" w:firstLineChars="200"/>
        <w:rPr>
          <w:rFonts w:ascii="宋体" w:hAnsi="宋体" w:cs="宋体"/>
          <w:highlight w:val="none"/>
        </w:rPr>
      </w:pPr>
      <w:r>
        <w:rPr>
          <w:rFonts w:hint="eastAsia" w:ascii="宋体" w:hAnsi="宋体" w:cs="宋体"/>
          <w:highlight w:val="none"/>
        </w:rPr>
        <w:t>我方确认收到贵方提供的</w:t>
      </w:r>
      <w:bookmarkStart w:id="213" w:name="xmmc"/>
      <w:r>
        <w:rPr>
          <w:rFonts w:hint="eastAsia" w:ascii="宋体" w:hAnsi="宋体" w:cs="宋体"/>
          <w:highlight w:val="none"/>
          <w:u w:val="single"/>
        </w:rPr>
        <w:t xml:space="preserve">                    </w:t>
      </w:r>
      <w:r>
        <w:rPr>
          <w:rFonts w:hint="eastAsia" w:ascii="宋体" w:hAnsi="宋体" w:cs="宋体"/>
          <w:highlight w:val="none"/>
        </w:rPr>
        <w:t>项目</w:t>
      </w:r>
      <w:bookmarkEnd w:id="213"/>
      <w:r>
        <w:rPr>
          <w:rFonts w:hint="eastAsia" w:ascii="宋体" w:hAnsi="宋体" w:cs="宋体"/>
          <w:highlight w:val="none"/>
        </w:rPr>
        <w:t>（采购编号：</w:t>
      </w:r>
      <w:r>
        <w:rPr>
          <w:rFonts w:hint="eastAsia" w:ascii="宋体" w:hAnsi="宋体" w:cs="宋体"/>
          <w:highlight w:val="none"/>
          <w:u w:val="single"/>
        </w:rPr>
        <w:t xml:space="preserve">             </w:t>
      </w:r>
      <w:r>
        <w:rPr>
          <w:rFonts w:hint="eastAsia" w:ascii="宋体" w:hAnsi="宋体" w:cs="宋体"/>
          <w:highlight w:val="none"/>
        </w:rPr>
        <w:t>）的采购文件，已完全理解采购文件的所有内容。决定投标本项目，据此我方承诺如下：</w:t>
      </w:r>
    </w:p>
    <w:p>
      <w:pPr>
        <w:spacing w:line="360" w:lineRule="auto"/>
        <w:ind w:firstLine="420" w:firstLineChars="200"/>
        <w:rPr>
          <w:rFonts w:ascii="宋体" w:hAnsi="宋体" w:cs="宋体"/>
          <w:highlight w:val="none"/>
        </w:rPr>
      </w:pPr>
      <w:r>
        <w:rPr>
          <w:rFonts w:hint="eastAsia" w:ascii="宋体" w:hAnsi="宋体" w:cs="宋体"/>
          <w:highlight w:val="none"/>
        </w:rPr>
        <w:t>1、我方的投标文件在投标截止日后90天（日历天）内保持有效，如中标，有效期将延至本项目执行期满日为止。</w:t>
      </w:r>
    </w:p>
    <w:p>
      <w:pPr>
        <w:spacing w:line="360" w:lineRule="auto"/>
        <w:ind w:firstLine="420" w:firstLineChars="200"/>
        <w:rPr>
          <w:rFonts w:ascii="宋体" w:hAnsi="宋体" w:cs="宋体"/>
          <w:highlight w:val="none"/>
        </w:rPr>
      </w:pPr>
      <w:r>
        <w:rPr>
          <w:rFonts w:hint="eastAsia" w:ascii="宋体" w:hAnsi="宋体" w:cs="宋体"/>
          <w:highlight w:val="none"/>
        </w:rPr>
        <w:t>2、我方在参与投标前已仔细研究了采购文件和所有相关资料，我方完全明白并认为此采购文件没有倾向性，也没有存在排斥潜在投标人的内容，我方同意采购文件的相关条款，放弃对采购文件提出误解和质疑的一切权利。</w:t>
      </w:r>
    </w:p>
    <w:p>
      <w:pPr>
        <w:spacing w:line="360" w:lineRule="auto"/>
        <w:ind w:firstLine="420" w:firstLineChars="200"/>
        <w:rPr>
          <w:rFonts w:ascii="宋体" w:hAnsi="宋体" w:cs="宋体"/>
          <w:highlight w:val="none"/>
        </w:rPr>
      </w:pPr>
      <w:r>
        <w:rPr>
          <w:rFonts w:hint="eastAsia" w:ascii="宋体" w:hAnsi="宋体" w:cs="宋体"/>
          <w:highlight w:val="none"/>
        </w:rPr>
        <w:t>3、我方声明投标文件及所提供的一切资料均真实无误及有效。由于我方提供资料不实而造成的责任和后果由我方承担。我方同意按照贵方可能提出的要求，提供与投标有关的任何其它数据或信息。</w:t>
      </w:r>
    </w:p>
    <w:p>
      <w:pPr>
        <w:spacing w:line="360" w:lineRule="auto"/>
        <w:ind w:firstLine="420" w:firstLineChars="200"/>
        <w:rPr>
          <w:rFonts w:ascii="宋体" w:hAnsi="宋体" w:cs="宋体"/>
          <w:highlight w:val="none"/>
        </w:rPr>
      </w:pPr>
      <w:r>
        <w:rPr>
          <w:rFonts w:hint="eastAsia" w:ascii="宋体" w:hAnsi="宋体" w:cs="宋体"/>
          <w:highlight w:val="none"/>
        </w:rPr>
        <w:t>4、我方如果中标，保证履行投标文件中承诺的全部责任和义务，采购合同中的全部条款。</w:t>
      </w:r>
    </w:p>
    <w:p>
      <w:pPr>
        <w:spacing w:line="360" w:lineRule="auto"/>
        <w:ind w:firstLine="420" w:firstLineChars="200"/>
        <w:rPr>
          <w:rFonts w:ascii="宋体" w:hAnsi="宋体" w:cs="宋体"/>
          <w:highlight w:val="none"/>
        </w:rPr>
      </w:pPr>
      <w:r>
        <w:rPr>
          <w:rFonts w:hint="eastAsia" w:ascii="宋体" w:hAnsi="宋体" w:cs="宋体"/>
          <w:highlight w:val="none"/>
        </w:rPr>
        <w:t>5、我方理解贵方不一定接受最低报价的投标。</w:t>
      </w:r>
    </w:p>
    <w:p>
      <w:pPr>
        <w:spacing w:line="360" w:lineRule="auto"/>
        <w:ind w:firstLine="420" w:firstLineChars="200"/>
        <w:rPr>
          <w:rFonts w:ascii="宋体" w:hAnsi="宋体" w:cs="宋体"/>
          <w:highlight w:val="none"/>
        </w:rPr>
      </w:pPr>
      <w:r>
        <w:rPr>
          <w:rFonts w:hint="eastAsia" w:ascii="宋体" w:hAnsi="宋体" w:cs="宋体"/>
          <w:highlight w:val="none"/>
        </w:rPr>
        <w:t>6、我方同意如在本项目开标后、投标有效期之内撤销投标文件，或中标后未在规定期限内签订合同并送贵方备案的，贵方将不退还投标保证金（如有）。</w:t>
      </w:r>
    </w:p>
    <w:p>
      <w:pPr>
        <w:spacing w:line="360" w:lineRule="auto"/>
        <w:ind w:firstLine="420" w:firstLineChars="200"/>
        <w:rPr>
          <w:rFonts w:ascii="宋体" w:hAnsi="宋体" w:cs="宋体"/>
          <w:highlight w:val="none"/>
        </w:rPr>
      </w:pPr>
      <w:r>
        <w:rPr>
          <w:rFonts w:hint="eastAsia" w:ascii="宋体" w:hAnsi="宋体" w:cs="宋体"/>
          <w:highlight w:val="none"/>
        </w:rPr>
        <w:t>7、我方保证，采购人在中华人民共和国境内使用我方报价货物、资料、技术、服务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pPr>
        <w:rPr>
          <w:rFonts w:ascii="宋体" w:hAnsi="宋体" w:cs="宋体"/>
          <w:highlight w:val="none"/>
        </w:rPr>
      </w:pPr>
    </w:p>
    <w:p>
      <w:pPr>
        <w:rPr>
          <w:rFonts w:ascii="宋体" w:hAnsi="宋体" w:cs="宋体"/>
          <w:highlight w:val="none"/>
        </w:rPr>
      </w:pPr>
    </w:p>
    <w:p>
      <w:pPr>
        <w:rPr>
          <w:rFonts w:ascii="宋体" w:hAnsi="宋体" w:cs="宋体"/>
          <w:highlight w:val="none"/>
        </w:rPr>
      </w:pPr>
    </w:p>
    <w:p>
      <w:pPr>
        <w:pStyle w:val="3"/>
        <w:widowControl/>
        <w:spacing w:line="360" w:lineRule="auto"/>
        <w:jc w:val="right"/>
        <w:rPr>
          <w:rFonts w:hAnsi="宋体" w:cs="宋体"/>
          <w:szCs w:val="21"/>
          <w:highlight w:val="none"/>
        </w:rPr>
      </w:pPr>
      <w:r>
        <w:rPr>
          <w:rFonts w:hint="eastAsia" w:hAnsi="宋体" w:cs="宋体"/>
          <w:szCs w:val="21"/>
          <w:highlight w:val="none"/>
        </w:rPr>
        <w:t>供应商全称（盖公章）：</w:t>
      </w:r>
    </w:p>
    <w:p>
      <w:pPr>
        <w:pStyle w:val="3"/>
        <w:widowControl/>
        <w:spacing w:line="360" w:lineRule="auto"/>
        <w:jc w:val="right"/>
        <w:rPr>
          <w:rFonts w:hAnsi="宋体" w:cs="宋体"/>
          <w:szCs w:val="21"/>
          <w:highlight w:val="none"/>
        </w:rPr>
      </w:pPr>
      <w:r>
        <w:rPr>
          <w:rFonts w:hint="eastAsia" w:hAnsi="宋体" w:cs="宋体"/>
          <w:szCs w:val="21"/>
          <w:highlight w:val="none"/>
        </w:rPr>
        <w:t>法定代表人或其授权委托人（签名或印章）：</w:t>
      </w:r>
    </w:p>
    <w:p>
      <w:pPr>
        <w:spacing w:line="360" w:lineRule="auto"/>
        <w:ind w:right="180"/>
        <w:jc w:val="right"/>
        <w:rPr>
          <w:rFonts w:ascii="宋体" w:hAnsi="宋体"/>
          <w:sz w:val="22"/>
          <w:szCs w:val="22"/>
          <w:highlight w:val="none"/>
        </w:rPr>
      </w:pPr>
      <w:r>
        <w:rPr>
          <w:rFonts w:hint="eastAsia" w:hAnsi="宋体" w:cs="宋体"/>
          <w:szCs w:val="21"/>
          <w:highlight w:val="none"/>
        </w:rPr>
        <w:t xml:space="preserve">                                      日期：   年   月  日</w:t>
      </w:r>
    </w:p>
    <w:p>
      <w:pPr>
        <w:ind w:firstLine="5880" w:firstLineChars="2800"/>
        <w:rPr>
          <w:rFonts w:ascii="宋体" w:hAnsi="宋体" w:cs="宋体"/>
          <w:highlight w:val="none"/>
        </w:rPr>
      </w:pPr>
      <w:r>
        <w:rPr>
          <w:rFonts w:hint="eastAsia" w:ascii="宋体" w:hAnsi="宋体" w:cs="宋体"/>
          <w:highlight w:val="none"/>
        </w:rPr>
        <w:t xml:space="preserve">  </w:t>
      </w:r>
    </w:p>
    <w:p>
      <w:pPr>
        <w:jc w:val="center"/>
        <w:outlineLvl w:val="2"/>
        <w:rPr>
          <w:rFonts w:ascii="宋体" w:hAnsi="宋体" w:cs="宋体"/>
          <w:b/>
          <w:highlight w:val="none"/>
        </w:rPr>
      </w:pPr>
      <w:r>
        <w:rPr>
          <w:rFonts w:hint="eastAsia" w:ascii="宋体" w:hAnsi="宋体"/>
          <w:b/>
          <w:sz w:val="28"/>
          <w:szCs w:val="28"/>
          <w:highlight w:val="none"/>
        </w:rPr>
        <w:br w:type="page"/>
      </w:r>
      <w:r>
        <w:rPr>
          <w:rFonts w:hint="eastAsia" w:ascii="宋体" w:hAnsi="宋体" w:cs="宋体"/>
          <w:b/>
          <w:highlight w:val="none"/>
        </w:rPr>
        <w:t>符合性自查表</w:t>
      </w:r>
    </w:p>
    <w:p>
      <w:pPr>
        <w:jc w:val="center"/>
        <w:rPr>
          <w:rFonts w:ascii="宋体" w:hAnsi="宋体" w:cs="宋体"/>
          <w:b/>
          <w:highlight w:val="none"/>
        </w:rPr>
      </w:pPr>
    </w:p>
    <w:tbl>
      <w:tblPr>
        <w:tblStyle w:val="50"/>
        <w:tblW w:w="0" w:type="auto"/>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932"/>
        <w:gridCol w:w="4748"/>
        <w:gridCol w:w="1427"/>
        <w:gridCol w:w="2937"/>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547" w:hRule="atLeast"/>
          <w:jc w:val="center"/>
        </w:trPr>
        <w:tc>
          <w:tcPr>
            <w:tcW w:w="932" w:type="dxa"/>
            <w:tcBorders>
              <w:top w:val="single" w:color="auto" w:sz="12" w:space="0"/>
              <w:left w:val="single" w:color="auto" w:sz="12" w:space="0"/>
              <w:bottom w:val="outset" w:color="111111" w:sz="6" w:space="0"/>
              <w:right w:val="outset" w:color="111111" w:sz="6" w:space="0"/>
            </w:tcBorders>
            <w:vAlign w:val="center"/>
          </w:tcPr>
          <w:p>
            <w:pPr>
              <w:spacing w:line="240" w:lineRule="exact"/>
              <w:jc w:val="center"/>
              <w:rPr>
                <w:rFonts w:ascii="宋体" w:hAnsi="宋体" w:cs="宋体"/>
                <w:highlight w:val="none"/>
              </w:rPr>
            </w:pPr>
            <w:r>
              <w:rPr>
                <w:rFonts w:hint="eastAsia" w:ascii="宋体" w:hAnsi="宋体" w:cs="宋体"/>
                <w:highlight w:val="none"/>
              </w:rPr>
              <w:t>评审内容</w:t>
            </w:r>
          </w:p>
        </w:tc>
        <w:tc>
          <w:tcPr>
            <w:tcW w:w="4748" w:type="dxa"/>
            <w:tcBorders>
              <w:top w:val="single" w:color="auto" w:sz="12" w:space="0"/>
              <w:left w:val="outset" w:color="111111" w:sz="6" w:space="0"/>
              <w:bottom w:val="outset" w:color="111111" w:sz="6" w:space="0"/>
              <w:right w:val="outset" w:color="111111" w:sz="6" w:space="0"/>
            </w:tcBorders>
            <w:vAlign w:val="center"/>
          </w:tcPr>
          <w:p>
            <w:pPr>
              <w:spacing w:line="240" w:lineRule="exact"/>
              <w:jc w:val="center"/>
              <w:rPr>
                <w:rFonts w:ascii="宋体" w:hAnsi="宋体" w:cs="宋体"/>
                <w:highlight w:val="none"/>
              </w:rPr>
            </w:pPr>
            <w:r>
              <w:rPr>
                <w:rFonts w:hint="eastAsia" w:ascii="宋体" w:hAnsi="宋体" w:cs="宋体"/>
                <w:highlight w:val="none"/>
              </w:rPr>
              <w:t>采购文件要求</w:t>
            </w:r>
          </w:p>
        </w:tc>
        <w:tc>
          <w:tcPr>
            <w:tcW w:w="1427" w:type="dxa"/>
            <w:tcBorders>
              <w:top w:val="single" w:color="auto" w:sz="12" w:space="0"/>
              <w:left w:val="outset" w:color="111111" w:sz="6" w:space="0"/>
              <w:bottom w:val="outset" w:color="111111" w:sz="6" w:space="0"/>
              <w:right w:val="outset" w:color="111111" w:sz="6" w:space="0"/>
            </w:tcBorders>
            <w:vAlign w:val="center"/>
          </w:tcPr>
          <w:p>
            <w:pPr>
              <w:spacing w:line="240" w:lineRule="exact"/>
              <w:jc w:val="center"/>
              <w:rPr>
                <w:rFonts w:ascii="宋体" w:hAnsi="宋体" w:cs="宋体"/>
                <w:highlight w:val="none"/>
              </w:rPr>
            </w:pPr>
            <w:r>
              <w:rPr>
                <w:rFonts w:hint="eastAsia" w:ascii="宋体" w:hAnsi="宋体" w:cs="宋体"/>
                <w:highlight w:val="none"/>
              </w:rPr>
              <w:t>自查结论</w:t>
            </w:r>
          </w:p>
        </w:tc>
        <w:tc>
          <w:tcPr>
            <w:tcW w:w="2937" w:type="dxa"/>
            <w:tcBorders>
              <w:top w:val="single" w:color="auto" w:sz="12" w:space="0"/>
              <w:left w:val="outset" w:color="111111" w:sz="6" w:space="0"/>
              <w:bottom w:val="outset" w:color="111111" w:sz="6" w:space="0"/>
              <w:right w:val="single" w:color="auto" w:sz="12" w:space="0"/>
            </w:tcBorders>
            <w:vAlign w:val="center"/>
          </w:tcPr>
          <w:p>
            <w:pPr>
              <w:spacing w:line="240" w:lineRule="exact"/>
              <w:jc w:val="center"/>
              <w:rPr>
                <w:rFonts w:ascii="宋体" w:hAnsi="宋体" w:cs="宋体"/>
                <w:highlight w:val="none"/>
              </w:rPr>
            </w:pPr>
            <w:r>
              <w:rPr>
                <w:rFonts w:hint="eastAsia" w:ascii="宋体" w:hAnsi="宋体" w:cs="宋体"/>
                <w:highlight w:val="none"/>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60" w:hRule="atLeast"/>
          <w:jc w:val="center"/>
        </w:trPr>
        <w:tc>
          <w:tcPr>
            <w:tcW w:w="932" w:type="dxa"/>
            <w:vMerge w:val="restart"/>
            <w:tcBorders>
              <w:top w:val="outset" w:color="111111" w:sz="6" w:space="0"/>
              <w:left w:val="single" w:color="auto" w:sz="12" w:space="0"/>
              <w:bottom w:val="single" w:color="111111" w:sz="4" w:space="0"/>
              <w:right w:val="single" w:color="111111" w:sz="4" w:space="0"/>
            </w:tcBorders>
            <w:vAlign w:val="center"/>
          </w:tcPr>
          <w:p>
            <w:pPr>
              <w:spacing w:line="240" w:lineRule="exact"/>
              <w:jc w:val="center"/>
              <w:rPr>
                <w:rFonts w:ascii="宋体" w:hAnsi="宋体" w:cs="宋体"/>
                <w:highlight w:val="none"/>
              </w:rPr>
            </w:pPr>
            <w:r>
              <w:rPr>
                <w:rFonts w:hint="eastAsia" w:ascii="宋体" w:hAnsi="宋体" w:cs="宋体"/>
                <w:highlight w:val="none"/>
              </w:rPr>
              <w:t>符</w:t>
            </w:r>
          </w:p>
          <w:p>
            <w:pPr>
              <w:spacing w:line="240" w:lineRule="exact"/>
              <w:jc w:val="center"/>
              <w:rPr>
                <w:rFonts w:ascii="宋体" w:hAnsi="宋体" w:cs="宋体"/>
                <w:highlight w:val="none"/>
              </w:rPr>
            </w:pPr>
            <w:r>
              <w:rPr>
                <w:rFonts w:hint="eastAsia" w:ascii="宋体" w:hAnsi="宋体" w:cs="宋体"/>
                <w:highlight w:val="none"/>
              </w:rPr>
              <w:t>合</w:t>
            </w:r>
          </w:p>
          <w:p>
            <w:pPr>
              <w:spacing w:line="240" w:lineRule="exact"/>
              <w:jc w:val="center"/>
              <w:rPr>
                <w:rFonts w:ascii="宋体" w:hAnsi="宋体" w:cs="宋体"/>
                <w:highlight w:val="none"/>
              </w:rPr>
            </w:pPr>
            <w:r>
              <w:rPr>
                <w:rFonts w:hint="eastAsia" w:ascii="宋体" w:hAnsi="宋体" w:cs="宋体"/>
                <w:highlight w:val="none"/>
              </w:rPr>
              <w:t>性</w:t>
            </w:r>
          </w:p>
          <w:p>
            <w:pPr>
              <w:spacing w:line="240" w:lineRule="exact"/>
              <w:jc w:val="center"/>
              <w:rPr>
                <w:rFonts w:ascii="宋体" w:hAnsi="宋体" w:cs="宋体"/>
                <w:highlight w:val="none"/>
              </w:rPr>
            </w:pPr>
            <w:r>
              <w:rPr>
                <w:rFonts w:hint="eastAsia" w:ascii="宋体" w:hAnsi="宋体" w:cs="宋体"/>
                <w:highlight w:val="none"/>
              </w:rPr>
              <w:t>审</w:t>
            </w:r>
          </w:p>
          <w:p>
            <w:pPr>
              <w:spacing w:line="240" w:lineRule="exact"/>
              <w:jc w:val="center"/>
              <w:rPr>
                <w:rFonts w:ascii="宋体" w:hAnsi="宋体" w:cs="宋体"/>
                <w:highlight w:val="none"/>
              </w:rPr>
            </w:pPr>
            <w:r>
              <w:rPr>
                <w:rFonts w:hint="eastAsia" w:ascii="宋体" w:hAnsi="宋体" w:cs="宋体"/>
                <w:highlight w:val="none"/>
              </w:rPr>
              <w:t>查</w:t>
            </w:r>
          </w:p>
        </w:tc>
        <w:tc>
          <w:tcPr>
            <w:tcW w:w="4748" w:type="dxa"/>
            <w:tcBorders>
              <w:top w:val="outset" w:color="111111" w:sz="6" w:space="0"/>
              <w:left w:val="single" w:color="111111" w:sz="4" w:space="0"/>
              <w:bottom w:val="single" w:color="111111" w:sz="4" w:space="0"/>
              <w:right w:val="single" w:color="111111" w:sz="4" w:space="0"/>
            </w:tcBorders>
            <w:vAlign w:val="center"/>
          </w:tcPr>
          <w:p>
            <w:pPr>
              <w:spacing w:line="240" w:lineRule="exact"/>
              <w:rPr>
                <w:rFonts w:ascii="宋体" w:hAnsi="宋体" w:cs="宋体"/>
                <w:highlight w:val="none"/>
              </w:rPr>
            </w:pPr>
            <w:r>
              <w:rPr>
                <w:rFonts w:hint="eastAsia" w:ascii="宋体" w:hAnsi="宋体" w:cs="宋体"/>
                <w:highlight w:val="none"/>
              </w:rPr>
              <w:t>1、投标人承诺函</w:t>
            </w:r>
          </w:p>
        </w:tc>
        <w:tc>
          <w:tcPr>
            <w:tcW w:w="1427" w:type="dxa"/>
            <w:tcBorders>
              <w:top w:val="outset" w:color="111111" w:sz="6" w:space="0"/>
              <w:left w:val="single" w:color="111111" w:sz="4" w:space="0"/>
              <w:bottom w:val="single" w:color="111111" w:sz="4" w:space="0"/>
              <w:right w:val="single" w:color="111111" w:sz="4" w:space="0"/>
            </w:tcBorders>
            <w:vAlign w:val="center"/>
          </w:tcPr>
          <w:p>
            <w:pPr>
              <w:spacing w:line="240" w:lineRule="exact"/>
              <w:rPr>
                <w:rFonts w:ascii="宋体" w:hAnsi="宋体" w:cs="宋体"/>
                <w:highlight w:val="none"/>
              </w:rPr>
            </w:pPr>
            <w:r>
              <w:rPr>
                <w:rFonts w:hint="eastAsia" w:ascii="宋体" w:hAnsi="宋体" w:cs="宋体"/>
                <w:highlight w:val="none"/>
              </w:rPr>
              <w:t xml:space="preserve">□通过 </w:t>
            </w:r>
          </w:p>
          <w:p>
            <w:pPr>
              <w:spacing w:line="240" w:lineRule="exact"/>
              <w:rPr>
                <w:rFonts w:ascii="宋体" w:hAnsi="宋体" w:cs="宋体"/>
                <w:highlight w:val="none"/>
              </w:rPr>
            </w:pPr>
            <w:r>
              <w:rPr>
                <w:rFonts w:hint="eastAsia" w:ascii="宋体" w:hAnsi="宋体" w:cs="宋体"/>
                <w:highlight w:val="none"/>
              </w:rPr>
              <w:t>□不通过</w:t>
            </w:r>
          </w:p>
        </w:tc>
        <w:tc>
          <w:tcPr>
            <w:tcW w:w="2937" w:type="dxa"/>
            <w:tcBorders>
              <w:top w:val="outset" w:color="111111" w:sz="6" w:space="0"/>
              <w:left w:val="single" w:color="111111" w:sz="4" w:space="0"/>
              <w:bottom w:val="single" w:color="111111" w:sz="4" w:space="0"/>
              <w:right w:val="single" w:color="auto" w:sz="12" w:space="0"/>
            </w:tcBorders>
            <w:vAlign w:val="center"/>
          </w:tcPr>
          <w:p>
            <w:pPr>
              <w:spacing w:line="240" w:lineRule="exact"/>
              <w:rPr>
                <w:rFonts w:ascii="宋体" w:hAnsi="宋体" w:cs="宋体"/>
                <w:highlight w:val="none"/>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543" w:hRule="atLeast"/>
          <w:jc w:val="center"/>
        </w:trPr>
        <w:tc>
          <w:tcPr>
            <w:tcW w:w="932" w:type="dxa"/>
            <w:vMerge w:val="continue"/>
            <w:tcBorders>
              <w:top w:val="single" w:color="111111" w:sz="4" w:space="0"/>
              <w:left w:val="single" w:color="auto" w:sz="12" w:space="0"/>
              <w:bottom w:val="single" w:color="111111" w:sz="4" w:space="0"/>
              <w:right w:val="single" w:color="111111" w:sz="4" w:space="0"/>
            </w:tcBorders>
            <w:vAlign w:val="center"/>
          </w:tcPr>
          <w:p>
            <w:pPr>
              <w:spacing w:line="240" w:lineRule="exact"/>
              <w:rPr>
                <w:rFonts w:ascii="宋体" w:hAnsi="宋体" w:cs="宋体"/>
                <w:highlight w:val="none"/>
              </w:rPr>
            </w:pPr>
          </w:p>
        </w:tc>
        <w:tc>
          <w:tcPr>
            <w:tcW w:w="4748"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highlight w:val="none"/>
              </w:rPr>
            </w:pPr>
            <w:r>
              <w:rPr>
                <w:rFonts w:hint="eastAsia" w:ascii="宋体" w:hAnsi="宋体" w:cs="宋体"/>
                <w:highlight w:val="none"/>
              </w:rPr>
              <w:t>2、投标文件完全满足采购文件的实质性条款（即标注▲号条款）无负偏离的；</w:t>
            </w:r>
          </w:p>
        </w:tc>
        <w:tc>
          <w:tcPr>
            <w:tcW w:w="1427"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highlight w:val="none"/>
              </w:rPr>
            </w:pPr>
            <w:r>
              <w:rPr>
                <w:rFonts w:hint="eastAsia" w:ascii="宋体" w:hAnsi="宋体" w:cs="宋体"/>
                <w:highlight w:val="none"/>
              </w:rPr>
              <w:t xml:space="preserve">□通过 </w:t>
            </w:r>
          </w:p>
          <w:p>
            <w:pPr>
              <w:spacing w:line="240" w:lineRule="exact"/>
              <w:rPr>
                <w:rFonts w:ascii="宋体" w:hAnsi="宋体" w:cs="宋体"/>
                <w:highlight w:val="none"/>
              </w:rPr>
            </w:pPr>
            <w:r>
              <w:rPr>
                <w:rFonts w:hint="eastAsia" w:ascii="宋体" w:hAnsi="宋体" w:cs="宋体"/>
                <w:highlight w:val="none"/>
              </w:rPr>
              <w:t>□不通过</w:t>
            </w:r>
          </w:p>
        </w:tc>
        <w:tc>
          <w:tcPr>
            <w:tcW w:w="2937" w:type="dxa"/>
            <w:tcBorders>
              <w:top w:val="single" w:color="111111" w:sz="4" w:space="0"/>
              <w:left w:val="single" w:color="111111" w:sz="4" w:space="0"/>
              <w:bottom w:val="single" w:color="111111" w:sz="4" w:space="0"/>
              <w:right w:val="single" w:color="auto" w:sz="12" w:space="0"/>
            </w:tcBorders>
            <w:vAlign w:val="center"/>
          </w:tcPr>
          <w:p>
            <w:pPr>
              <w:spacing w:line="240" w:lineRule="exact"/>
              <w:rPr>
                <w:rFonts w:ascii="宋体" w:hAnsi="宋体" w:cs="宋体"/>
                <w:highlight w:val="none"/>
              </w:rPr>
            </w:pPr>
            <w:r>
              <w:rPr>
                <w:rFonts w:hint="eastAsia" w:ascii="宋体" w:hAnsi="宋体" w:cs="宋体"/>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669" w:hRule="atLeast"/>
          <w:jc w:val="center"/>
        </w:trPr>
        <w:tc>
          <w:tcPr>
            <w:tcW w:w="932" w:type="dxa"/>
            <w:vMerge w:val="continue"/>
            <w:tcBorders>
              <w:top w:val="single" w:color="111111" w:sz="4" w:space="0"/>
              <w:left w:val="single" w:color="auto" w:sz="12" w:space="0"/>
              <w:bottom w:val="single" w:color="111111" w:sz="4" w:space="0"/>
              <w:right w:val="single" w:color="111111" w:sz="4" w:space="0"/>
            </w:tcBorders>
            <w:vAlign w:val="center"/>
          </w:tcPr>
          <w:p>
            <w:pPr>
              <w:spacing w:line="240" w:lineRule="exact"/>
              <w:rPr>
                <w:rFonts w:ascii="宋体" w:hAnsi="宋体" w:cs="宋体"/>
                <w:highlight w:val="none"/>
              </w:rPr>
            </w:pPr>
          </w:p>
        </w:tc>
        <w:tc>
          <w:tcPr>
            <w:tcW w:w="4748"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highlight w:val="none"/>
              </w:rPr>
            </w:pPr>
            <w:r>
              <w:rPr>
                <w:rFonts w:hint="eastAsia" w:ascii="宋体" w:hAnsi="宋体" w:cs="宋体"/>
                <w:highlight w:val="none"/>
              </w:rPr>
              <w:t>3、法定代表人证明书/法定代表人授权委托书。</w:t>
            </w:r>
          </w:p>
        </w:tc>
        <w:tc>
          <w:tcPr>
            <w:tcW w:w="1427"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highlight w:val="none"/>
              </w:rPr>
            </w:pPr>
            <w:r>
              <w:rPr>
                <w:rFonts w:hint="eastAsia" w:ascii="宋体" w:hAnsi="宋体" w:cs="宋体"/>
                <w:highlight w:val="none"/>
              </w:rPr>
              <w:t xml:space="preserve">□通过 </w:t>
            </w:r>
          </w:p>
          <w:p>
            <w:pPr>
              <w:spacing w:line="240" w:lineRule="exact"/>
              <w:rPr>
                <w:rFonts w:ascii="宋体" w:hAnsi="宋体" w:cs="宋体"/>
                <w:highlight w:val="none"/>
              </w:rPr>
            </w:pPr>
            <w:r>
              <w:rPr>
                <w:rFonts w:hint="eastAsia" w:ascii="宋体" w:hAnsi="宋体" w:cs="宋体"/>
                <w:highlight w:val="none"/>
              </w:rPr>
              <w:t>□不通过</w:t>
            </w:r>
          </w:p>
        </w:tc>
        <w:tc>
          <w:tcPr>
            <w:tcW w:w="2937" w:type="dxa"/>
            <w:tcBorders>
              <w:top w:val="single" w:color="111111" w:sz="4" w:space="0"/>
              <w:left w:val="single" w:color="111111" w:sz="4" w:space="0"/>
              <w:bottom w:val="single" w:color="111111" w:sz="4" w:space="0"/>
              <w:right w:val="single" w:color="auto" w:sz="12" w:space="0"/>
            </w:tcBorders>
            <w:vAlign w:val="center"/>
          </w:tcPr>
          <w:p>
            <w:pPr>
              <w:spacing w:line="240" w:lineRule="exact"/>
              <w:rPr>
                <w:rFonts w:ascii="宋体" w:hAnsi="宋体" w:cs="宋体"/>
                <w:highlight w:val="none"/>
              </w:rPr>
            </w:pPr>
            <w:r>
              <w:rPr>
                <w:rFonts w:hint="eastAsia" w:ascii="宋体" w:hAnsi="宋体" w:cs="宋体"/>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82" w:hRule="atLeast"/>
          <w:jc w:val="center"/>
        </w:trPr>
        <w:tc>
          <w:tcPr>
            <w:tcW w:w="932" w:type="dxa"/>
            <w:vMerge w:val="continue"/>
            <w:tcBorders>
              <w:top w:val="single" w:color="111111" w:sz="4" w:space="0"/>
              <w:left w:val="single" w:color="auto" w:sz="12" w:space="0"/>
              <w:bottom w:val="single" w:color="111111" w:sz="4" w:space="0"/>
              <w:right w:val="single" w:color="111111" w:sz="4" w:space="0"/>
            </w:tcBorders>
            <w:vAlign w:val="center"/>
          </w:tcPr>
          <w:p>
            <w:pPr>
              <w:spacing w:line="240" w:lineRule="exact"/>
              <w:rPr>
                <w:rFonts w:ascii="宋体" w:hAnsi="宋体" w:cs="宋体"/>
                <w:highlight w:val="none"/>
              </w:rPr>
            </w:pPr>
          </w:p>
        </w:tc>
        <w:tc>
          <w:tcPr>
            <w:tcW w:w="4748"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highlight w:val="none"/>
              </w:rPr>
            </w:pPr>
            <w:r>
              <w:rPr>
                <w:rFonts w:hint="eastAsia" w:ascii="宋体" w:hAnsi="宋体" w:cs="宋体"/>
                <w:highlight w:val="none"/>
              </w:rPr>
              <w:t>4.没有其他未实质性投标文件要求的。</w:t>
            </w:r>
          </w:p>
        </w:tc>
        <w:tc>
          <w:tcPr>
            <w:tcW w:w="1427"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highlight w:val="none"/>
              </w:rPr>
            </w:pPr>
            <w:r>
              <w:rPr>
                <w:rFonts w:hint="eastAsia" w:ascii="宋体" w:hAnsi="宋体" w:cs="宋体"/>
                <w:highlight w:val="none"/>
              </w:rPr>
              <w:t xml:space="preserve">□通过 </w:t>
            </w:r>
          </w:p>
          <w:p>
            <w:pPr>
              <w:spacing w:line="240" w:lineRule="exact"/>
              <w:rPr>
                <w:rFonts w:ascii="宋体" w:hAnsi="宋体" w:cs="宋体"/>
                <w:highlight w:val="none"/>
              </w:rPr>
            </w:pPr>
            <w:r>
              <w:rPr>
                <w:rFonts w:hint="eastAsia" w:ascii="宋体" w:hAnsi="宋体" w:cs="宋体"/>
                <w:highlight w:val="none"/>
              </w:rPr>
              <w:t>□不通过</w:t>
            </w:r>
          </w:p>
        </w:tc>
        <w:tc>
          <w:tcPr>
            <w:tcW w:w="2937" w:type="dxa"/>
            <w:tcBorders>
              <w:top w:val="single" w:color="111111" w:sz="4" w:space="0"/>
              <w:left w:val="single" w:color="111111" w:sz="4" w:space="0"/>
              <w:bottom w:val="single" w:color="111111" w:sz="4" w:space="0"/>
              <w:right w:val="single" w:color="auto" w:sz="12" w:space="0"/>
            </w:tcBorders>
            <w:vAlign w:val="center"/>
          </w:tcPr>
          <w:p>
            <w:pPr>
              <w:spacing w:line="240" w:lineRule="exact"/>
              <w:rPr>
                <w:rFonts w:ascii="宋体" w:hAnsi="宋体" w:cs="宋体"/>
                <w:highlight w:val="none"/>
              </w:rPr>
            </w:pPr>
            <w:r>
              <w:rPr>
                <w:rFonts w:hint="eastAsia" w:ascii="宋体" w:hAnsi="宋体" w:cs="宋体"/>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82" w:hRule="atLeast"/>
          <w:jc w:val="center"/>
        </w:trPr>
        <w:tc>
          <w:tcPr>
            <w:tcW w:w="932" w:type="dxa"/>
            <w:vMerge w:val="continue"/>
            <w:tcBorders>
              <w:top w:val="single" w:color="111111" w:sz="4" w:space="0"/>
              <w:left w:val="single" w:color="auto" w:sz="12" w:space="0"/>
              <w:bottom w:val="single" w:color="111111" w:sz="4" w:space="0"/>
              <w:right w:val="single" w:color="111111" w:sz="4" w:space="0"/>
            </w:tcBorders>
            <w:vAlign w:val="center"/>
          </w:tcPr>
          <w:p>
            <w:pPr>
              <w:spacing w:line="240" w:lineRule="exact"/>
              <w:rPr>
                <w:rFonts w:ascii="宋体" w:hAnsi="宋体" w:cs="宋体"/>
                <w:highlight w:val="none"/>
              </w:rPr>
            </w:pPr>
          </w:p>
        </w:tc>
        <w:tc>
          <w:tcPr>
            <w:tcW w:w="4748"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highlight w:val="none"/>
              </w:rPr>
            </w:pPr>
            <w:r>
              <w:rPr>
                <w:rFonts w:hint="eastAsia" w:ascii="宋体" w:hAnsi="宋体" w:cs="宋体"/>
                <w:highlight w:val="none"/>
              </w:rPr>
              <w:t>5.投标文件没有采购文件中规定的其它无效投标条款的；</w:t>
            </w:r>
          </w:p>
        </w:tc>
        <w:tc>
          <w:tcPr>
            <w:tcW w:w="1427"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highlight w:val="none"/>
              </w:rPr>
            </w:pPr>
            <w:r>
              <w:rPr>
                <w:rFonts w:hint="eastAsia" w:ascii="宋体" w:hAnsi="宋体" w:cs="宋体"/>
                <w:highlight w:val="none"/>
              </w:rPr>
              <w:t xml:space="preserve">□通过 </w:t>
            </w:r>
          </w:p>
          <w:p>
            <w:pPr>
              <w:spacing w:line="240" w:lineRule="exact"/>
              <w:rPr>
                <w:rFonts w:ascii="宋体" w:hAnsi="宋体" w:cs="宋体"/>
                <w:highlight w:val="none"/>
              </w:rPr>
            </w:pPr>
            <w:r>
              <w:rPr>
                <w:rFonts w:hint="eastAsia" w:ascii="宋体" w:hAnsi="宋体" w:cs="宋体"/>
                <w:highlight w:val="none"/>
              </w:rPr>
              <w:t>□不通过</w:t>
            </w:r>
          </w:p>
        </w:tc>
        <w:tc>
          <w:tcPr>
            <w:tcW w:w="2937" w:type="dxa"/>
            <w:tcBorders>
              <w:top w:val="single" w:color="111111" w:sz="4" w:space="0"/>
              <w:left w:val="single" w:color="111111" w:sz="4" w:space="0"/>
              <w:bottom w:val="single" w:color="111111" w:sz="4" w:space="0"/>
              <w:right w:val="single" w:color="auto" w:sz="12" w:space="0"/>
            </w:tcBorders>
            <w:vAlign w:val="center"/>
          </w:tcPr>
          <w:p>
            <w:pPr>
              <w:spacing w:line="240" w:lineRule="exact"/>
              <w:rPr>
                <w:rFonts w:ascii="宋体" w:hAnsi="宋体" w:cs="宋体"/>
                <w:highlight w:val="none"/>
              </w:rPr>
            </w:pPr>
            <w:r>
              <w:rPr>
                <w:rFonts w:hint="eastAsia" w:ascii="宋体" w:hAnsi="宋体" w:cs="宋体"/>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82" w:hRule="atLeast"/>
          <w:jc w:val="center"/>
        </w:trPr>
        <w:tc>
          <w:tcPr>
            <w:tcW w:w="932" w:type="dxa"/>
            <w:vMerge w:val="continue"/>
            <w:tcBorders>
              <w:top w:val="single" w:color="111111" w:sz="4" w:space="0"/>
              <w:left w:val="single" w:color="auto" w:sz="12" w:space="0"/>
              <w:bottom w:val="single" w:color="111111" w:sz="4" w:space="0"/>
              <w:right w:val="single" w:color="111111" w:sz="4" w:space="0"/>
            </w:tcBorders>
            <w:vAlign w:val="center"/>
          </w:tcPr>
          <w:p>
            <w:pPr>
              <w:spacing w:line="240" w:lineRule="exact"/>
              <w:rPr>
                <w:rFonts w:ascii="宋体" w:hAnsi="宋体" w:cs="宋体"/>
                <w:highlight w:val="none"/>
              </w:rPr>
            </w:pPr>
          </w:p>
        </w:tc>
        <w:tc>
          <w:tcPr>
            <w:tcW w:w="4748"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highlight w:val="none"/>
              </w:rPr>
            </w:pPr>
            <w:r>
              <w:rPr>
                <w:rFonts w:hint="eastAsia" w:ascii="宋体" w:hAnsi="宋体" w:cs="宋体"/>
                <w:highlight w:val="none"/>
              </w:rPr>
              <w:t>6、按有关法律、法规、规章不属于投标无效的。</w:t>
            </w:r>
          </w:p>
        </w:tc>
        <w:tc>
          <w:tcPr>
            <w:tcW w:w="1427"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highlight w:val="none"/>
              </w:rPr>
            </w:pPr>
            <w:r>
              <w:rPr>
                <w:rFonts w:hint="eastAsia" w:ascii="宋体" w:hAnsi="宋体" w:cs="宋体"/>
                <w:highlight w:val="none"/>
              </w:rPr>
              <w:t xml:space="preserve">□通过 </w:t>
            </w:r>
          </w:p>
          <w:p>
            <w:pPr>
              <w:spacing w:line="240" w:lineRule="exact"/>
              <w:rPr>
                <w:rFonts w:ascii="宋体" w:hAnsi="宋体" w:cs="宋体"/>
                <w:highlight w:val="none"/>
              </w:rPr>
            </w:pPr>
            <w:r>
              <w:rPr>
                <w:rFonts w:hint="eastAsia" w:ascii="宋体" w:hAnsi="宋体" w:cs="宋体"/>
                <w:highlight w:val="none"/>
              </w:rPr>
              <w:t>□不通过</w:t>
            </w:r>
          </w:p>
        </w:tc>
        <w:tc>
          <w:tcPr>
            <w:tcW w:w="2937" w:type="dxa"/>
            <w:tcBorders>
              <w:top w:val="single" w:color="111111" w:sz="4" w:space="0"/>
              <w:left w:val="single" w:color="111111" w:sz="4" w:space="0"/>
              <w:bottom w:val="single" w:color="111111" w:sz="4" w:space="0"/>
              <w:right w:val="single" w:color="auto" w:sz="12" w:space="0"/>
            </w:tcBorders>
            <w:vAlign w:val="center"/>
          </w:tcPr>
          <w:p>
            <w:pPr>
              <w:spacing w:line="240" w:lineRule="exact"/>
              <w:rPr>
                <w:rFonts w:ascii="宋体" w:hAnsi="宋体" w:cs="宋体"/>
                <w:highlight w:val="none"/>
              </w:rPr>
            </w:pPr>
            <w:r>
              <w:rPr>
                <w:rFonts w:hint="eastAsia" w:ascii="宋体" w:hAnsi="宋体" w:cs="宋体"/>
                <w:highlight w:val="none"/>
              </w:rPr>
              <w:t>第（ ）页</w:t>
            </w:r>
          </w:p>
        </w:tc>
      </w:tr>
    </w:tbl>
    <w:p>
      <w:pPr>
        <w:pStyle w:val="3"/>
        <w:widowControl/>
        <w:spacing w:line="360" w:lineRule="auto"/>
        <w:jc w:val="left"/>
        <w:rPr>
          <w:rFonts w:ascii="宋体" w:hAnsi="宋体" w:cs="宋体"/>
          <w:b/>
          <w:szCs w:val="21"/>
          <w:highlight w:val="none"/>
        </w:rPr>
      </w:pPr>
      <w:r>
        <w:rPr>
          <w:rFonts w:hint="eastAsia" w:ascii="宋体" w:hAnsi="宋体" w:cs="宋体"/>
          <w:b/>
          <w:szCs w:val="21"/>
          <w:highlight w:val="none"/>
        </w:rPr>
        <w:t>备注：投标人自查表将作为投标投标人有效性审查的重要内容之一，投标投标人必须严格按照其内容及序列要求在投标文件中对应如实提供，对资格性证明文件的任何缺漏和不符合项将会直接导致投标无效！</w:t>
      </w:r>
    </w:p>
    <w:p>
      <w:pPr>
        <w:rPr>
          <w:rFonts w:ascii="宋体" w:hAnsi="宋体" w:cs="宋体"/>
          <w:b/>
          <w:szCs w:val="21"/>
          <w:highlight w:val="none"/>
        </w:rPr>
      </w:pPr>
      <w:r>
        <w:rPr>
          <w:rFonts w:hint="eastAsia" w:ascii="宋体" w:hAnsi="宋体" w:cs="宋体"/>
          <w:b/>
          <w:szCs w:val="21"/>
          <w:highlight w:val="none"/>
        </w:rPr>
        <w:br w:type="page"/>
      </w:r>
    </w:p>
    <w:p>
      <w:pPr>
        <w:pStyle w:val="3"/>
        <w:widowControl/>
        <w:spacing w:line="360" w:lineRule="auto"/>
        <w:jc w:val="center"/>
        <w:outlineLvl w:val="2"/>
        <w:rPr>
          <w:rFonts w:ascii="宋体" w:hAnsi="宋体" w:cs="宋体"/>
          <w:b/>
          <w:sz w:val="32"/>
          <w:szCs w:val="32"/>
          <w:highlight w:val="none"/>
        </w:rPr>
      </w:pPr>
      <w:r>
        <w:rPr>
          <w:rFonts w:hint="eastAsia" w:ascii="宋体" w:hAnsi="宋体" w:cs="宋体"/>
          <w:b/>
          <w:sz w:val="32"/>
          <w:szCs w:val="32"/>
          <w:highlight w:val="none"/>
        </w:rPr>
        <w:t>投标人响应表</w:t>
      </w:r>
    </w:p>
    <w:p>
      <w:pPr>
        <w:rPr>
          <w:rFonts w:ascii="宋体" w:hAnsi="宋体" w:cs="宋体"/>
          <w:highlight w:val="none"/>
        </w:rPr>
      </w:pPr>
    </w:p>
    <w:p>
      <w:pPr>
        <w:rPr>
          <w:rFonts w:ascii="宋体" w:hAnsi="宋体" w:cs="宋体"/>
          <w:highlight w:val="none"/>
        </w:rPr>
      </w:pPr>
      <w:r>
        <w:rPr>
          <w:rFonts w:hint="eastAsia" w:ascii="宋体" w:hAnsi="宋体" w:cs="宋体"/>
          <w:highlight w:val="none"/>
        </w:rPr>
        <w:t xml:space="preserve"> 采购编号：                                    </w:t>
      </w:r>
    </w:p>
    <w:tbl>
      <w:tblPr>
        <w:tblStyle w:val="50"/>
        <w:tblW w:w="0" w:type="auto"/>
        <w:jc w:val="center"/>
        <w:tblLayout w:type="fixed"/>
        <w:tblCellMar>
          <w:top w:w="0" w:type="dxa"/>
          <w:left w:w="108" w:type="dxa"/>
          <w:bottom w:w="0" w:type="dxa"/>
          <w:right w:w="108" w:type="dxa"/>
        </w:tblCellMar>
      </w:tblPr>
      <w:tblGrid>
        <w:gridCol w:w="961"/>
        <w:gridCol w:w="5739"/>
        <w:gridCol w:w="1908"/>
        <w:gridCol w:w="1346"/>
      </w:tblGrid>
      <w:tr>
        <w:tblPrEx>
          <w:tblCellMar>
            <w:top w:w="0" w:type="dxa"/>
            <w:left w:w="108" w:type="dxa"/>
            <w:bottom w:w="0" w:type="dxa"/>
            <w:right w:w="108" w:type="dxa"/>
          </w:tblCellMar>
        </w:tblPrEx>
        <w:trPr>
          <w:trHeight w:val="596"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highlight w:val="none"/>
              </w:rPr>
            </w:pPr>
            <w:r>
              <w:rPr>
                <w:rFonts w:hint="eastAsia" w:ascii="宋体" w:hAnsi="宋体" w:cs="宋体"/>
                <w:highlight w:val="none"/>
              </w:rPr>
              <w:t>序号</w:t>
            </w:r>
          </w:p>
        </w:tc>
        <w:tc>
          <w:tcPr>
            <w:tcW w:w="57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highlight w:val="none"/>
              </w:rPr>
            </w:pPr>
            <w:r>
              <w:rPr>
                <w:rFonts w:hint="eastAsia" w:ascii="宋体" w:hAnsi="宋体" w:cs="宋体"/>
                <w:highlight w:val="none"/>
              </w:rPr>
              <w:t>评审内容</w:t>
            </w:r>
          </w:p>
        </w:tc>
        <w:tc>
          <w:tcPr>
            <w:tcW w:w="1908" w:type="dxa"/>
            <w:tcBorders>
              <w:top w:val="single" w:color="auto" w:sz="4" w:space="0"/>
              <w:left w:val="nil"/>
              <w:bottom w:val="single" w:color="auto" w:sz="4" w:space="0"/>
              <w:right w:val="single" w:color="auto" w:sz="4" w:space="0"/>
            </w:tcBorders>
            <w:vAlign w:val="center"/>
          </w:tcPr>
          <w:p>
            <w:pPr>
              <w:jc w:val="center"/>
              <w:rPr>
                <w:rFonts w:ascii="宋体" w:hAnsi="宋体" w:cs="宋体"/>
                <w:highlight w:val="none"/>
              </w:rPr>
            </w:pPr>
            <w:r>
              <w:rPr>
                <w:rFonts w:hint="eastAsia" w:ascii="宋体" w:hAnsi="宋体" w:cs="宋体"/>
                <w:highlight w:val="none"/>
              </w:rPr>
              <w:t>证明文件</w:t>
            </w:r>
          </w:p>
        </w:tc>
        <w:tc>
          <w:tcPr>
            <w:tcW w:w="1346" w:type="dxa"/>
            <w:tcBorders>
              <w:top w:val="single" w:color="auto" w:sz="4" w:space="0"/>
              <w:left w:val="nil"/>
              <w:bottom w:val="single" w:color="auto" w:sz="4" w:space="0"/>
              <w:right w:val="single" w:color="auto" w:sz="4" w:space="0"/>
            </w:tcBorders>
            <w:vAlign w:val="center"/>
          </w:tcPr>
          <w:p>
            <w:pPr>
              <w:jc w:val="center"/>
              <w:rPr>
                <w:rFonts w:ascii="宋体" w:hAnsi="宋体" w:cs="宋体"/>
                <w:highlight w:val="none"/>
              </w:rPr>
            </w:pPr>
            <w:r>
              <w:rPr>
                <w:rFonts w:hint="eastAsia" w:ascii="宋体" w:hAnsi="宋体" w:cs="宋体"/>
                <w:highlight w:val="none"/>
              </w:rPr>
              <w:t>自评得分</w:t>
            </w:r>
          </w:p>
        </w:tc>
      </w:tr>
      <w:tr>
        <w:tblPrEx>
          <w:tblCellMar>
            <w:top w:w="0" w:type="dxa"/>
            <w:left w:w="108" w:type="dxa"/>
            <w:bottom w:w="0" w:type="dxa"/>
            <w:right w:w="108" w:type="dxa"/>
          </w:tblCellMar>
        </w:tblPrEx>
        <w:trPr>
          <w:trHeight w:val="593" w:hRule="atLeast"/>
          <w:jc w:val="center"/>
        </w:trPr>
        <w:tc>
          <w:tcPr>
            <w:tcW w:w="961" w:type="dxa"/>
            <w:tcBorders>
              <w:top w:val="nil"/>
              <w:left w:val="single" w:color="auto" w:sz="4" w:space="0"/>
              <w:bottom w:val="single" w:color="auto" w:sz="4" w:space="0"/>
              <w:right w:val="single" w:color="auto" w:sz="4" w:space="0"/>
            </w:tcBorders>
            <w:vAlign w:val="center"/>
          </w:tcPr>
          <w:p>
            <w:pPr>
              <w:rPr>
                <w:rFonts w:ascii="宋体" w:hAnsi="宋体" w:cs="宋体"/>
                <w:highlight w:val="none"/>
              </w:rPr>
            </w:pPr>
          </w:p>
        </w:tc>
        <w:tc>
          <w:tcPr>
            <w:tcW w:w="5739" w:type="dxa"/>
            <w:tcBorders>
              <w:top w:val="nil"/>
              <w:left w:val="single" w:color="auto" w:sz="4" w:space="0"/>
              <w:bottom w:val="single" w:color="auto" w:sz="4" w:space="0"/>
              <w:right w:val="single" w:color="auto" w:sz="4" w:space="0"/>
            </w:tcBorders>
            <w:vAlign w:val="center"/>
          </w:tcPr>
          <w:p>
            <w:pPr>
              <w:rPr>
                <w:rFonts w:ascii="宋体" w:hAnsi="宋体" w:cs="宋体"/>
                <w:highlight w:val="none"/>
              </w:rPr>
            </w:pPr>
          </w:p>
        </w:tc>
        <w:tc>
          <w:tcPr>
            <w:tcW w:w="1908" w:type="dxa"/>
            <w:tcBorders>
              <w:top w:val="nil"/>
              <w:left w:val="nil"/>
              <w:bottom w:val="single" w:color="auto" w:sz="4" w:space="0"/>
              <w:right w:val="single" w:color="auto" w:sz="4" w:space="0"/>
            </w:tcBorders>
            <w:vAlign w:val="center"/>
          </w:tcPr>
          <w:p>
            <w:pPr>
              <w:jc w:val="center"/>
              <w:rPr>
                <w:rFonts w:ascii="宋体" w:hAnsi="宋体" w:cs="宋体"/>
                <w:highlight w:val="none"/>
              </w:rPr>
            </w:pPr>
            <w:r>
              <w:rPr>
                <w:rFonts w:hint="eastAsia" w:ascii="宋体" w:hAnsi="宋体" w:cs="宋体"/>
                <w:highlight w:val="none"/>
              </w:rPr>
              <w:t>见（  ）页</w:t>
            </w:r>
          </w:p>
        </w:tc>
        <w:tc>
          <w:tcPr>
            <w:tcW w:w="1346" w:type="dxa"/>
            <w:tcBorders>
              <w:top w:val="nil"/>
              <w:left w:val="nil"/>
              <w:bottom w:val="single" w:color="auto" w:sz="4" w:space="0"/>
              <w:right w:val="single" w:color="auto" w:sz="4" w:space="0"/>
            </w:tcBorders>
            <w:vAlign w:val="center"/>
          </w:tcPr>
          <w:p>
            <w:pPr>
              <w:jc w:val="center"/>
              <w:rPr>
                <w:rFonts w:ascii="宋体" w:hAnsi="宋体" w:cs="宋体"/>
                <w:highlight w:val="none"/>
              </w:rPr>
            </w:pPr>
          </w:p>
        </w:tc>
      </w:tr>
      <w:tr>
        <w:tblPrEx>
          <w:tblCellMar>
            <w:top w:w="0" w:type="dxa"/>
            <w:left w:w="108" w:type="dxa"/>
            <w:bottom w:w="0" w:type="dxa"/>
            <w:right w:w="108" w:type="dxa"/>
          </w:tblCellMar>
        </w:tblPrEx>
        <w:trPr>
          <w:trHeight w:val="613" w:hRule="atLeast"/>
          <w:jc w:val="center"/>
        </w:trPr>
        <w:tc>
          <w:tcPr>
            <w:tcW w:w="961" w:type="dxa"/>
            <w:tcBorders>
              <w:top w:val="nil"/>
              <w:left w:val="single" w:color="auto" w:sz="4" w:space="0"/>
              <w:bottom w:val="single" w:color="auto" w:sz="4" w:space="0"/>
              <w:right w:val="single" w:color="auto" w:sz="4" w:space="0"/>
            </w:tcBorders>
            <w:vAlign w:val="center"/>
          </w:tcPr>
          <w:p>
            <w:pPr>
              <w:rPr>
                <w:rFonts w:ascii="宋体" w:hAnsi="宋体" w:cs="宋体"/>
                <w:highlight w:val="none"/>
              </w:rPr>
            </w:pPr>
          </w:p>
        </w:tc>
        <w:tc>
          <w:tcPr>
            <w:tcW w:w="5739" w:type="dxa"/>
            <w:tcBorders>
              <w:top w:val="nil"/>
              <w:left w:val="single" w:color="auto" w:sz="4" w:space="0"/>
              <w:bottom w:val="single" w:color="auto" w:sz="4" w:space="0"/>
              <w:right w:val="single" w:color="auto" w:sz="4" w:space="0"/>
            </w:tcBorders>
            <w:vAlign w:val="center"/>
          </w:tcPr>
          <w:p>
            <w:pPr>
              <w:rPr>
                <w:rFonts w:ascii="宋体" w:hAnsi="宋体" w:cs="宋体"/>
                <w:highlight w:val="none"/>
              </w:rPr>
            </w:pPr>
          </w:p>
        </w:tc>
        <w:tc>
          <w:tcPr>
            <w:tcW w:w="1908" w:type="dxa"/>
            <w:tcBorders>
              <w:top w:val="nil"/>
              <w:left w:val="nil"/>
              <w:bottom w:val="single" w:color="auto" w:sz="4" w:space="0"/>
              <w:right w:val="single" w:color="auto" w:sz="4" w:space="0"/>
            </w:tcBorders>
            <w:vAlign w:val="center"/>
          </w:tcPr>
          <w:p>
            <w:pPr>
              <w:jc w:val="center"/>
              <w:rPr>
                <w:rFonts w:ascii="宋体" w:hAnsi="宋体" w:cs="宋体"/>
                <w:highlight w:val="none"/>
              </w:rPr>
            </w:pPr>
            <w:r>
              <w:rPr>
                <w:rFonts w:hint="eastAsia" w:ascii="宋体" w:hAnsi="宋体" w:cs="宋体"/>
                <w:highlight w:val="none"/>
              </w:rPr>
              <w:t>见（  ）页</w:t>
            </w:r>
          </w:p>
        </w:tc>
        <w:tc>
          <w:tcPr>
            <w:tcW w:w="1346" w:type="dxa"/>
            <w:tcBorders>
              <w:top w:val="nil"/>
              <w:left w:val="nil"/>
              <w:bottom w:val="single" w:color="auto" w:sz="4" w:space="0"/>
              <w:right w:val="single" w:color="auto" w:sz="4" w:space="0"/>
            </w:tcBorders>
            <w:vAlign w:val="center"/>
          </w:tcPr>
          <w:p>
            <w:pPr>
              <w:jc w:val="center"/>
              <w:rPr>
                <w:rFonts w:ascii="宋体" w:hAnsi="宋体" w:cs="宋体"/>
                <w:highlight w:val="none"/>
              </w:rPr>
            </w:pPr>
          </w:p>
        </w:tc>
      </w:tr>
      <w:tr>
        <w:tblPrEx>
          <w:tblCellMar>
            <w:top w:w="0" w:type="dxa"/>
            <w:left w:w="108" w:type="dxa"/>
            <w:bottom w:w="0" w:type="dxa"/>
            <w:right w:w="108" w:type="dxa"/>
          </w:tblCellMar>
        </w:tblPrEx>
        <w:trPr>
          <w:trHeight w:val="520" w:hRule="atLeast"/>
          <w:jc w:val="center"/>
        </w:trPr>
        <w:tc>
          <w:tcPr>
            <w:tcW w:w="961" w:type="dxa"/>
            <w:tcBorders>
              <w:top w:val="nil"/>
              <w:left w:val="single" w:color="auto" w:sz="4" w:space="0"/>
              <w:bottom w:val="single" w:color="auto" w:sz="4" w:space="0"/>
              <w:right w:val="single" w:color="auto" w:sz="4" w:space="0"/>
            </w:tcBorders>
            <w:vAlign w:val="center"/>
          </w:tcPr>
          <w:p>
            <w:pPr>
              <w:rPr>
                <w:rFonts w:ascii="宋体" w:hAnsi="宋体" w:cs="宋体"/>
                <w:highlight w:val="none"/>
              </w:rPr>
            </w:pPr>
          </w:p>
        </w:tc>
        <w:tc>
          <w:tcPr>
            <w:tcW w:w="5739" w:type="dxa"/>
            <w:tcBorders>
              <w:top w:val="nil"/>
              <w:left w:val="single" w:color="auto" w:sz="4" w:space="0"/>
              <w:bottom w:val="single" w:color="auto" w:sz="4" w:space="0"/>
              <w:right w:val="single" w:color="auto" w:sz="4" w:space="0"/>
            </w:tcBorders>
            <w:vAlign w:val="center"/>
          </w:tcPr>
          <w:p>
            <w:pPr>
              <w:rPr>
                <w:rFonts w:ascii="宋体" w:hAnsi="宋体" w:cs="宋体"/>
                <w:highlight w:val="none"/>
              </w:rPr>
            </w:pPr>
          </w:p>
        </w:tc>
        <w:tc>
          <w:tcPr>
            <w:tcW w:w="1908" w:type="dxa"/>
            <w:tcBorders>
              <w:top w:val="nil"/>
              <w:left w:val="nil"/>
              <w:bottom w:val="single" w:color="auto" w:sz="4" w:space="0"/>
              <w:right w:val="single" w:color="auto" w:sz="4" w:space="0"/>
            </w:tcBorders>
            <w:vAlign w:val="center"/>
          </w:tcPr>
          <w:p>
            <w:pPr>
              <w:jc w:val="center"/>
              <w:rPr>
                <w:rFonts w:ascii="宋体" w:hAnsi="宋体" w:cs="宋体"/>
                <w:highlight w:val="none"/>
              </w:rPr>
            </w:pPr>
            <w:r>
              <w:rPr>
                <w:rFonts w:hint="eastAsia" w:ascii="宋体" w:hAnsi="宋体" w:cs="宋体"/>
                <w:highlight w:val="none"/>
              </w:rPr>
              <w:t>见（  ）页</w:t>
            </w:r>
          </w:p>
        </w:tc>
        <w:tc>
          <w:tcPr>
            <w:tcW w:w="1346" w:type="dxa"/>
            <w:tcBorders>
              <w:top w:val="nil"/>
              <w:left w:val="nil"/>
              <w:bottom w:val="single" w:color="auto" w:sz="4" w:space="0"/>
              <w:right w:val="single" w:color="auto" w:sz="4" w:space="0"/>
            </w:tcBorders>
            <w:vAlign w:val="center"/>
          </w:tcPr>
          <w:p>
            <w:pPr>
              <w:jc w:val="center"/>
              <w:rPr>
                <w:rFonts w:ascii="宋体" w:hAnsi="宋体" w:cs="宋体"/>
                <w:highlight w:val="none"/>
              </w:rPr>
            </w:pPr>
          </w:p>
        </w:tc>
      </w:tr>
      <w:tr>
        <w:tblPrEx>
          <w:tblCellMar>
            <w:top w:w="0" w:type="dxa"/>
            <w:left w:w="108" w:type="dxa"/>
            <w:bottom w:w="0" w:type="dxa"/>
            <w:right w:w="108" w:type="dxa"/>
          </w:tblCellMar>
        </w:tblPrEx>
        <w:trPr>
          <w:trHeight w:val="531" w:hRule="atLeast"/>
          <w:jc w:val="center"/>
        </w:trPr>
        <w:tc>
          <w:tcPr>
            <w:tcW w:w="961" w:type="dxa"/>
            <w:tcBorders>
              <w:top w:val="nil"/>
              <w:left w:val="single" w:color="auto" w:sz="4" w:space="0"/>
              <w:bottom w:val="single" w:color="auto" w:sz="4" w:space="0"/>
              <w:right w:val="single" w:color="auto" w:sz="4" w:space="0"/>
            </w:tcBorders>
            <w:vAlign w:val="center"/>
          </w:tcPr>
          <w:p>
            <w:pPr>
              <w:rPr>
                <w:rFonts w:ascii="宋体" w:hAnsi="宋体" w:cs="宋体"/>
                <w:highlight w:val="none"/>
              </w:rPr>
            </w:pPr>
          </w:p>
        </w:tc>
        <w:tc>
          <w:tcPr>
            <w:tcW w:w="5739" w:type="dxa"/>
            <w:tcBorders>
              <w:top w:val="nil"/>
              <w:left w:val="single" w:color="auto" w:sz="4" w:space="0"/>
              <w:bottom w:val="single" w:color="auto" w:sz="4" w:space="0"/>
              <w:right w:val="single" w:color="auto" w:sz="4" w:space="0"/>
            </w:tcBorders>
            <w:vAlign w:val="center"/>
          </w:tcPr>
          <w:p>
            <w:pPr>
              <w:rPr>
                <w:rFonts w:ascii="宋体" w:hAnsi="宋体" w:cs="宋体"/>
                <w:highlight w:val="none"/>
              </w:rPr>
            </w:pPr>
          </w:p>
        </w:tc>
        <w:tc>
          <w:tcPr>
            <w:tcW w:w="1908" w:type="dxa"/>
            <w:tcBorders>
              <w:top w:val="nil"/>
              <w:left w:val="nil"/>
              <w:bottom w:val="single" w:color="auto" w:sz="4" w:space="0"/>
              <w:right w:val="single" w:color="auto" w:sz="4" w:space="0"/>
            </w:tcBorders>
            <w:vAlign w:val="center"/>
          </w:tcPr>
          <w:p>
            <w:pPr>
              <w:jc w:val="center"/>
              <w:rPr>
                <w:rFonts w:ascii="宋体" w:hAnsi="宋体" w:cs="宋体"/>
                <w:highlight w:val="none"/>
              </w:rPr>
            </w:pPr>
            <w:r>
              <w:rPr>
                <w:rFonts w:hint="eastAsia" w:ascii="宋体" w:hAnsi="宋体" w:cs="宋体"/>
                <w:highlight w:val="none"/>
              </w:rPr>
              <w:t>见（  ）页</w:t>
            </w:r>
          </w:p>
        </w:tc>
        <w:tc>
          <w:tcPr>
            <w:tcW w:w="1346" w:type="dxa"/>
            <w:tcBorders>
              <w:top w:val="nil"/>
              <w:left w:val="nil"/>
              <w:bottom w:val="single" w:color="auto" w:sz="4" w:space="0"/>
              <w:right w:val="single" w:color="auto" w:sz="4" w:space="0"/>
            </w:tcBorders>
            <w:vAlign w:val="center"/>
          </w:tcPr>
          <w:p>
            <w:pPr>
              <w:jc w:val="center"/>
              <w:rPr>
                <w:rFonts w:ascii="宋体" w:hAnsi="宋体" w:cs="宋体"/>
                <w:highlight w:val="none"/>
              </w:rPr>
            </w:pPr>
          </w:p>
        </w:tc>
      </w:tr>
      <w:tr>
        <w:tblPrEx>
          <w:tblCellMar>
            <w:top w:w="0" w:type="dxa"/>
            <w:left w:w="108" w:type="dxa"/>
            <w:bottom w:w="0" w:type="dxa"/>
            <w:right w:w="108" w:type="dxa"/>
          </w:tblCellMar>
        </w:tblPrEx>
        <w:trPr>
          <w:trHeight w:val="607"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highlight w:val="none"/>
              </w:rPr>
            </w:pPr>
          </w:p>
        </w:tc>
        <w:tc>
          <w:tcPr>
            <w:tcW w:w="573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highlight w:val="none"/>
              </w:rPr>
            </w:pPr>
          </w:p>
        </w:tc>
        <w:tc>
          <w:tcPr>
            <w:tcW w:w="1908" w:type="dxa"/>
            <w:tcBorders>
              <w:top w:val="single" w:color="auto" w:sz="4" w:space="0"/>
              <w:left w:val="nil"/>
              <w:bottom w:val="single" w:color="auto" w:sz="4" w:space="0"/>
              <w:right w:val="single" w:color="auto" w:sz="4" w:space="0"/>
            </w:tcBorders>
            <w:vAlign w:val="center"/>
          </w:tcPr>
          <w:p>
            <w:pPr>
              <w:jc w:val="center"/>
              <w:rPr>
                <w:rFonts w:ascii="宋体" w:hAnsi="宋体" w:cs="宋体"/>
                <w:highlight w:val="none"/>
              </w:rPr>
            </w:pPr>
            <w:r>
              <w:rPr>
                <w:rFonts w:hint="eastAsia" w:ascii="宋体" w:hAnsi="宋体" w:cs="宋体"/>
                <w:highlight w:val="none"/>
              </w:rPr>
              <w:t>见（  ）页</w:t>
            </w:r>
          </w:p>
        </w:tc>
        <w:tc>
          <w:tcPr>
            <w:tcW w:w="1346" w:type="dxa"/>
            <w:tcBorders>
              <w:top w:val="single" w:color="auto" w:sz="4" w:space="0"/>
              <w:left w:val="nil"/>
              <w:bottom w:val="single" w:color="auto" w:sz="4" w:space="0"/>
              <w:right w:val="single" w:color="auto" w:sz="4" w:space="0"/>
            </w:tcBorders>
            <w:vAlign w:val="center"/>
          </w:tcPr>
          <w:p>
            <w:pPr>
              <w:jc w:val="center"/>
              <w:rPr>
                <w:rFonts w:ascii="宋体" w:hAnsi="宋体" w:cs="宋体"/>
                <w:highlight w:val="none"/>
              </w:rPr>
            </w:pPr>
          </w:p>
        </w:tc>
      </w:tr>
      <w:tr>
        <w:tblPrEx>
          <w:tblCellMar>
            <w:top w:w="0" w:type="dxa"/>
            <w:left w:w="108" w:type="dxa"/>
            <w:bottom w:w="0" w:type="dxa"/>
            <w:right w:w="108" w:type="dxa"/>
          </w:tblCellMar>
        </w:tblPrEx>
        <w:trPr>
          <w:trHeight w:val="615"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highlight w:val="none"/>
              </w:rPr>
            </w:pPr>
          </w:p>
        </w:tc>
        <w:tc>
          <w:tcPr>
            <w:tcW w:w="573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highlight w:val="none"/>
              </w:rPr>
            </w:pPr>
          </w:p>
        </w:tc>
        <w:tc>
          <w:tcPr>
            <w:tcW w:w="1908" w:type="dxa"/>
            <w:tcBorders>
              <w:top w:val="single" w:color="auto" w:sz="4" w:space="0"/>
              <w:left w:val="nil"/>
              <w:bottom w:val="single" w:color="auto" w:sz="4" w:space="0"/>
              <w:right w:val="single" w:color="auto" w:sz="4" w:space="0"/>
            </w:tcBorders>
            <w:vAlign w:val="center"/>
          </w:tcPr>
          <w:p>
            <w:pPr>
              <w:jc w:val="center"/>
              <w:rPr>
                <w:rFonts w:ascii="宋体" w:hAnsi="宋体" w:cs="宋体"/>
                <w:highlight w:val="none"/>
              </w:rPr>
            </w:pPr>
            <w:r>
              <w:rPr>
                <w:rFonts w:hint="eastAsia" w:ascii="宋体" w:hAnsi="宋体" w:cs="宋体"/>
                <w:highlight w:val="none"/>
              </w:rPr>
              <w:t>见（  ）页</w:t>
            </w:r>
          </w:p>
        </w:tc>
        <w:tc>
          <w:tcPr>
            <w:tcW w:w="1346" w:type="dxa"/>
            <w:tcBorders>
              <w:top w:val="single" w:color="auto" w:sz="4" w:space="0"/>
              <w:left w:val="nil"/>
              <w:bottom w:val="single" w:color="auto" w:sz="4" w:space="0"/>
              <w:right w:val="single" w:color="auto" w:sz="4" w:space="0"/>
            </w:tcBorders>
            <w:vAlign w:val="center"/>
          </w:tcPr>
          <w:p>
            <w:pPr>
              <w:jc w:val="center"/>
              <w:rPr>
                <w:rFonts w:ascii="宋体" w:hAnsi="宋体" w:cs="宋体"/>
                <w:highlight w:val="none"/>
              </w:rPr>
            </w:pPr>
          </w:p>
        </w:tc>
      </w:tr>
      <w:tr>
        <w:tblPrEx>
          <w:tblCellMar>
            <w:top w:w="0" w:type="dxa"/>
            <w:left w:w="108" w:type="dxa"/>
            <w:bottom w:w="0" w:type="dxa"/>
            <w:right w:w="108" w:type="dxa"/>
          </w:tblCellMar>
        </w:tblPrEx>
        <w:trPr>
          <w:trHeight w:val="615"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highlight w:val="none"/>
              </w:rPr>
            </w:pPr>
          </w:p>
        </w:tc>
        <w:tc>
          <w:tcPr>
            <w:tcW w:w="573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highlight w:val="none"/>
              </w:rPr>
            </w:pPr>
          </w:p>
        </w:tc>
        <w:tc>
          <w:tcPr>
            <w:tcW w:w="1908" w:type="dxa"/>
            <w:tcBorders>
              <w:top w:val="single" w:color="auto" w:sz="4" w:space="0"/>
              <w:left w:val="nil"/>
              <w:bottom w:val="single" w:color="auto" w:sz="4" w:space="0"/>
              <w:right w:val="single" w:color="auto" w:sz="4" w:space="0"/>
            </w:tcBorders>
            <w:vAlign w:val="center"/>
          </w:tcPr>
          <w:p>
            <w:pPr>
              <w:jc w:val="center"/>
              <w:rPr>
                <w:rFonts w:ascii="宋体" w:hAnsi="宋体" w:cs="宋体"/>
                <w:highlight w:val="none"/>
              </w:rPr>
            </w:pPr>
            <w:r>
              <w:rPr>
                <w:rFonts w:hint="eastAsia" w:ascii="宋体" w:hAnsi="宋体" w:cs="宋体"/>
                <w:highlight w:val="none"/>
              </w:rPr>
              <w:t>见（  ）页</w:t>
            </w:r>
          </w:p>
        </w:tc>
        <w:tc>
          <w:tcPr>
            <w:tcW w:w="1346" w:type="dxa"/>
            <w:tcBorders>
              <w:top w:val="single" w:color="auto" w:sz="4" w:space="0"/>
              <w:left w:val="nil"/>
              <w:bottom w:val="single" w:color="auto" w:sz="4" w:space="0"/>
              <w:right w:val="single" w:color="auto" w:sz="4" w:space="0"/>
            </w:tcBorders>
            <w:vAlign w:val="center"/>
          </w:tcPr>
          <w:p>
            <w:pPr>
              <w:jc w:val="center"/>
              <w:rPr>
                <w:rFonts w:ascii="宋体" w:hAnsi="宋体" w:cs="宋体"/>
                <w:highlight w:val="none"/>
              </w:rPr>
            </w:pPr>
          </w:p>
        </w:tc>
      </w:tr>
      <w:tr>
        <w:tblPrEx>
          <w:tblCellMar>
            <w:top w:w="0" w:type="dxa"/>
            <w:left w:w="108" w:type="dxa"/>
            <w:bottom w:w="0" w:type="dxa"/>
            <w:right w:w="108" w:type="dxa"/>
          </w:tblCellMar>
        </w:tblPrEx>
        <w:trPr>
          <w:trHeight w:val="615"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highlight w:val="none"/>
              </w:rPr>
            </w:pPr>
          </w:p>
        </w:tc>
        <w:tc>
          <w:tcPr>
            <w:tcW w:w="573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highlight w:val="none"/>
              </w:rPr>
            </w:pPr>
          </w:p>
        </w:tc>
        <w:tc>
          <w:tcPr>
            <w:tcW w:w="1908" w:type="dxa"/>
            <w:tcBorders>
              <w:top w:val="single" w:color="auto" w:sz="4" w:space="0"/>
              <w:left w:val="nil"/>
              <w:bottom w:val="single" w:color="auto" w:sz="4" w:space="0"/>
              <w:right w:val="single" w:color="auto" w:sz="4" w:space="0"/>
            </w:tcBorders>
            <w:vAlign w:val="center"/>
          </w:tcPr>
          <w:p>
            <w:pPr>
              <w:jc w:val="center"/>
              <w:rPr>
                <w:rFonts w:ascii="宋体" w:hAnsi="宋体" w:cs="宋体"/>
                <w:highlight w:val="none"/>
              </w:rPr>
            </w:pPr>
            <w:r>
              <w:rPr>
                <w:rFonts w:hint="eastAsia" w:ascii="宋体" w:hAnsi="宋体" w:cs="宋体"/>
                <w:highlight w:val="none"/>
              </w:rPr>
              <w:t>见（  ）页</w:t>
            </w:r>
          </w:p>
        </w:tc>
        <w:tc>
          <w:tcPr>
            <w:tcW w:w="1346" w:type="dxa"/>
            <w:tcBorders>
              <w:top w:val="single" w:color="auto" w:sz="4" w:space="0"/>
              <w:left w:val="nil"/>
              <w:bottom w:val="single" w:color="auto" w:sz="4" w:space="0"/>
              <w:right w:val="single" w:color="auto" w:sz="4" w:space="0"/>
            </w:tcBorders>
            <w:vAlign w:val="center"/>
          </w:tcPr>
          <w:p>
            <w:pPr>
              <w:jc w:val="center"/>
              <w:rPr>
                <w:rFonts w:ascii="宋体" w:hAnsi="宋体" w:cs="宋体"/>
                <w:highlight w:val="none"/>
              </w:rPr>
            </w:pPr>
          </w:p>
        </w:tc>
      </w:tr>
      <w:tr>
        <w:tblPrEx>
          <w:tblCellMar>
            <w:top w:w="0" w:type="dxa"/>
            <w:left w:w="108" w:type="dxa"/>
            <w:bottom w:w="0" w:type="dxa"/>
            <w:right w:w="108" w:type="dxa"/>
          </w:tblCellMar>
        </w:tblPrEx>
        <w:trPr>
          <w:trHeight w:val="615"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highlight w:val="none"/>
              </w:rPr>
            </w:pPr>
          </w:p>
        </w:tc>
        <w:tc>
          <w:tcPr>
            <w:tcW w:w="573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highlight w:val="none"/>
              </w:rPr>
            </w:pPr>
          </w:p>
        </w:tc>
        <w:tc>
          <w:tcPr>
            <w:tcW w:w="1908" w:type="dxa"/>
            <w:tcBorders>
              <w:top w:val="single" w:color="auto" w:sz="4" w:space="0"/>
              <w:left w:val="nil"/>
              <w:bottom w:val="single" w:color="auto" w:sz="4" w:space="0"/>
              <w:right w:val="single" w:color="auto" w:sz="4" w:space="0"/>
            </w:tcBorders>
            <w:vAlign w:val="center"/>
          </w:tcPr>
          <w:p>
            <w:pPr>
              <w:jc w:val="center"/>
              <w:rPr>
                <w:rFonts w:ascii="宋体" w:hAnsi="宋体" w:cs="宋体"/>
                <w:highlight w:val="none"/>
              </w:rPr>
            </w:pPr>
            <w:r>
              <w:rPr>
                <w:rFonts w:hint="eastAsia" w:ascii="宋体" w:hAnsi="宋体" w:cs="宋体"/>
                <w:highlight w:val="none"/>
              </w:rPr>
              <w:t>见（  ）页</w:t>
            </w:r>
          </w:p>
        </w:tc>
        <w:tc>
          <w:tcPr>
            <w:tcW w:w="1346" w:type="dxa"/>
            <w:tcBorders>
              <w:top w:val="single" w:color="auto" w:sz="4" w:space="0"/>
              <w:left w:val="nil"/>
              <w:bottom w:val="single" w:color="auto" w:sz="4" w:space="0"/>
              <w:right w:val="single" w:color="auto" w:sz="4" w:space="0"/>
            </w:tcBorders>
            <w:vAlign w:val="center"/>
          </w:tcPr>
          <w:p>
            <w:pPr>
              <w:jc w:val="center"/>
              <w:rPr>
                <w:rFonts w:ascii="宋体" w:hAnsi="宋体" w:cs="宋体"/>
                <w:highlight w:val="none"/>
              </w:rPr>
            </w:pPr>
          </w:p>
        </w:tc>
      </w:tr>
      <w:tr>
        <w:tblPrEx>
          <w:tblCellMar>
            <w:top w:w="0" w:type="dxa"/>
            <w:left w:w="108" w:type="dxa"/>
            <w:bottom w:w="0" w:type="dxa"/>
            <w:right w:w="108" w:type="dxa"/>
          </w:tblCellMar>
        </w:tblPrEx>
        <w:trPr>
          <w:trHeight w:val="615"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highlight w:val="none"/>
              </w:rPr>
            </w:pPr>
          </w:p>
        </w:tc>
        <w:tc>
          <w:tcPr>
            <w:tcW w:w="573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highlight w:val="none"/>
              </w:rPr>
            </w:pPr>
          </w:p>
        </w:tc>
        <w:tc>
          <w:tcPr>
            <w:tcW w:w="1908" w:type="dxa"/>
            <w:tcBorders>
              <w:top w:val="single" w:color="auto" w:sz="4" w:space="0"/>
              <w:left w:val="nil"/>
              <w:bottom w:val="single" w:color="auto" w:sz="4" w:space="0"/>
              <w:right w:val="single" w:color="auto" w:sz="4" w:space="0"/>
            </w:tcBorders>
            <w:vAlign w:val="center"/>
          </w:tcPr>
          <w:p>
            <w:pPr>
              <w:jc w:val="center"/>
              <w:rPr>
                <w:rFonts w:ascii="宋体" w:hAnsi="宋体" w:cs="宋体"/>
                <w:highlight w:val="none"/>
              </w:rPr>
            </w:pPr>
            <w:r>
              <w:rPr>
                <w:rFonts w:hint="eastAsia" w:ascii="宋体" w:hAnsi="宋体" w:cs="宋体"/>
                <w:highlight w:val="none"/>
              </w:rPr>
              <w:t>见（  ）页</w:t>
            </w:r>
          </w:p>
        </w:tc>
        <w:tc>
          <w:tcPr>
            <w:tcW w:w="1346" w:type="dxa"/>
            <w:tcBorders>
              <w:top w:val="single" w:color="auto" w:sz="4" w:space="0"/>
              <w:left w:val="nil"/>
              <w:bottom w:val="single" w:color="auto" w:sz="4" w:space="0"/>
              <w:right w:val="single" w:color="auto" w:sz="4" w:space="0"/>
            </w:tcBorders>
            <w:vAlign w:val="center"/>
          </w:tcPr>
          <w:p>
            <w:pPr>
              <w:jc w:val="center"/>
              <w:rPr>
                <w:rFonts w:ascii="宋体" w:hAnsi="宋体" w:cs="宋体"/>
                <w:highlight w:val="none"/>
              </w:rPr>
            </w:pPr>
          </w:p>
        </w:tc>
      </w:tr>
      <w:tr>
        <w:tblPrEx>
          <w:tblCellMar>
            <w:top w:w="0" w:type="dxa"/>
            <w:left w:w="108" w:type="dxa"/>
            <w:bottom w:w="0" w:type="dxa"/>
            <w:right w:w="108" w:type="dxa"/>
          </w:tblCellMar>
        </w:tblPrEx>
        <w:trPr>
          <w:trHeight w:val="608"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highlight w:val="none"/>
              </w:rPr>
            </w:pPr>
          </w:p>
        </w:tc>
        <w:tc>
          <w:tcPr>
            <w:tcW w:w="573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highlight w:val="none"/>
              </w:rPr>
            </w:pPr>
          </w:p>
        </w:tc>
        <w:tc>
          <w:tcPr>
            <w:tcW w:w="1908" w:type="dxa"/>
            <w:tcBorders>
              <w:top w:val="single" w:color="auto" w:sz="4" w:space="0"/>
              <w:left w:val="nil"/>
              <w:bottom w:val="single" w:color="auto" w:sz="4" w:space="0"/>
              <w:right w:val="single" w:color="auto" w:sz="4" w:space="0"/>
            </w:tcBorders>
            <w:vAlign w:val="center"/>
          </w:tcPr>
          <w:p>
            <w:pPr>
              <w:jc w:val="center"/>
              <w:rPr>
                <w:rFonts w:ascii="宋体" w:hAnsi="宋体" w:cs="宋体"/>
                <w:highlight w:val="none"/>
              </w:rPr>
            </w:pPr>
            <w:r>
              <w:rPr>
                <w:rFonts w:hint="eastAsia" w:ascii="宋体" w:hAnsi="宋体" w:cs="宋体"/>
                <w:highlight w:val="none"/>
              </w:rPr>
              <w:t>见（  ）页</w:t>
            </w:r>
          </w:p>
        </w:tc>
        <w:tc>
          <w:tcPr>
            <w:tcW w:w="1346" w:type="dxa"/>
            <w:tcBorders>
              <w:top w:val="single" w:color="auto" w:sz="4" w:space="0"/>
              <w:left w:val="nil"/>
              <w:bottom w:val="single" w:color="auto" w:sz="4" w:space="0"/>
              <w:right w:val="single" w:color="auto" w:sz="4" w:space="0"/>
            </w:tcBorders>
            <w:vAlign w:val="center"/>
          </w:tcPr>
          <w:p>
            <w:pPr>
              <w:jc w:val="center"/>
              <w:rPr>
                <w:rFonts w:ascii="宋体" w:hAnsi="宋体" w:cs="宋体"/>
                <w:highlight w:val="none"/>
              </w:rPr>
            </w:pPr>
          </w:p>
        </w:tc>
      </w:tr>
      <w:tr>
        <w:tblPrEx>
          <w:tblCellMar>
            <w:top w:w="0" w:type="dxa"/>
            <w:left w:w="108" w:type="dxa"/>
            <w:bottom w:w="0" w:type="dxa"/>
            <w:right w:w="108" w:type="dxa"/>
          </w:tblCellMar>
        </w:tblPrEx>
        <w:trPr>
          <w:trHeight w:val="750"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highlight w:val="none"/>
              </w:rPr>
            </w:pPr>
          </w:p>
        </w:tc>
        <w:tc>
          <w:tcPr>
            <w:tcW w:w="573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highlight w:val="none"/>
              </w:rPr>
            </w:pPr>
          </w:p>
        </w:tc>
        <w:tc>
          <w:tcPr>
            <w:tcW w:w="1908" w:type="dxa"/>
            <w:tcBorders>
              <w:top w:val="single" w:color="auto" w:sz="4" w:space="0"/>
              <w:left w:val="nil"/>
              <w:bottom w:val="single" w:color="auto" w:sz="4" w:space="0"/>
              <w:right w:val="single" w:color="auto" w:sz="4" w:space="0"/>
            </w:tcBorders>
            <w:vAlign w:val="center"/>
          </w:tcPr>
          <w:p>
            <w:pPr>
              <w:jc w:val="center"/>
              <w:rPr>
                <w:rFonts w:ascii="宋体" w:hAnsi="宋体" w:cs="宋体"/>
                <w:highlight w:val="none"/>
              </w:rPr>
            </w:pPr>
            <w:r>
              <w:rPr>
                <w:rFonts w:hint="eastAsia" w:ascii="宋体" w:hAnsi="宋体" w:cs="宋体"/>
                <w:highlight w:val="none"/>
              </w:rPr>
              <w:t>见（  ）页</w:t>
            </w:r>
          </w:p>
        </w:tc>
        <w:tc>
          <w:tcPr>
            <w:tcW w:w="1346" w:type="dxa"/>
            <w:tcBorders>
              <w:top w:val="single" w:color="auto" w:sz="4" w:space="0"/>
              <w:left w:val="nil"/>
              <w:bottom w:val="single" w:color="auto" w:sz="4" w:space="0"/>
              <w:right w:val="single" w:color="auto" w:sz="4" w:space="0"/>
            </w:tcBorders>
            <w:vAlign w:val="center"/>
          </w:tcPr>
          <w:p>
            <w:pPr>
              <w:jc w:val="center"/>
              <w:rPr>
                <w:rFonts w:ascii="宋体" w:hAnsi="宋体" w:cs="宋体"/>
                <w:highlight w:val="none"/>
              </w:rPr>
            </w:pPr>
          </w:p>
        </w:tc>
      </w:tr>
    </w:tbl>
    <w:p>
      <w:pPr>
        <w:rPr>
          <w:rFonts w:ascii="宋体" w:hAnsi="宋体" w:cs="宋体"/>
          <w:b/>
          <w:highlight w:val="none"/>
        </w:rPr>
      </w:pPr>
      <w:r>
        <w:rPr>
          <w:rFonts w:hint="eastAsia" w:ascii="宋体" w:hAnsi="宋体" w:cs="宋体"/>
          <w:b/>
          <w:highlight w:val="none"/>
        </w:rPr>
        <w:t>根据评分标准逐条填写。</w:t>
      </w:r>
    </w:p>
    <w:p>
      <w:pPr>
        <w:rPr>
          <w:rFonts w:ascii="宋体" w:hAnsi="宋体" w:cs="宋体"/>
          <w:highlight w:val="none"/>
        </w:rPr>
      </w:pPr>
    </w:p>
    <w:p>
      <w:pPr>
        <w:pStyle w:val="3"/>
        <w:widowControl/>
        <w:spacing w:line="360" w:lineRule="auto"/>
        <w:jc w:val="right"/>
        <w:rPr>
          <w:rFonts w:hAnsi="宋体" w:cs="宋体"/>
          <w:szCs w:val="21"/>
          <w:highlight w:val="none"/>
        </w:rPr>
      </w:pPr>
      <w:r>
        <w:rPr>
          <w:rFonts w:hint="eastAsia" w:hAnsi="宋体" w:cs="宋体"/>
          <w:szCs w:val="21"/>
          <w:highlight w:val="none"/>
        </w:rPr>
        <w:t>供应商全称（盖公章）：</w:t>
      </w:r>
    </w:p>
    <w:p>
      <w:pPr>
        <w:pStyle w:val="3"/>
        <w:widowControl/>
        <w:spacing w:line="360" w:lineRule="auto"/>
        <w:jc w:val="right"/>
        <w:rPr>
          <w:rFonts w:hAnsi="宋体" w:cs="宋体"/>
          <w:szCs w:val="21"/>
          <w:highlight w:val="none"/>
        </w:rPr>
      </w:pPr>
      <w:r>
        <w:rPr>
          <w:rFonts w:hint="eastAsia" w:hAnsi="宋体" w:cs="宋体"/>
          <w:szCs w:val="21"/>
          <w:highlight w:val="none"/>
        </w:rPr>
        <w:t>法定代表人或其授权委托人（签名或印章）：</w:t>
      </w:r>
    </w:p>
    <w:p>
      <w:pPr>
        <w:spacing w:line="360" w:lineRule="auto"/>
        <w:ind w:right="180"/>
        <w:jc w:val="right"/>
        <w:rPr>
          <w:rFonts w:ascii="宋体" w:hAnsi="宋体"/>
          <w:sz w:val="22"/>
          <w:szCs w:val="22"/>
          <w:highlight w:val="none"/>
        </w:rPr>
      </w:pPr>
      <w:r>
        <w:rPr>
          <w:rFonts w:hint="eastAsia" w:hAnsi="宋体" w:cs="宋体"/>
          <w:szCs w:val="21"/>
          <w:highlight w:val="none"/>
        </w:rPr>
        <w:t xml:space="preserve">                                      日期：   年   月  日</w:t>
      </w:r>
    </w:p>
    <w:p>
      <w:pPr>
        <w:pStyle w:val="3"/>
        <w:spacing w:line="360" w:lineRule="auto"/>
        <w:ind w:left="0" w:leftChars="0"/>
        <w:jc w:val="center"/>
        <w:outlineLvl w:val="2"/>
        <w:rPr>
          <w:rFonts w:ascii="宋体" w:hAnsi="宋体" w:cs="宋体"/>
          <w:b/>
          <w:bCs/>
          <w:sz w:val="32"/>
          <w:szCs w:val="32"/>
          <w:highlight w:val="none"/>
        </w:rPr>
      </w:pPr>
      <w:r>
        <w:rPr>
          <w:rFonts w:hint="eastAsia" w:hAnsi="宋体" w:cs="宋体"/>
          <w:b/>
          <w:sz w:val="32"/>
          <w:szCs w:val="32"/>
          <w:highlight w:val="none"/>
        </w:rPr>
        <w:br w:type="page"/>
      </w:r>
      <w:r>
        <w:rPr>
          <w:rFonts w:hint="eastAsia" w:ascii="宋体" w:hAnsi="宋体" w:cs="宋体"/>
          <w:b/>
          <w:bCs/>
          <w:sz w:val="32"/>
          <w:szCs w:val="32"/>
          <w:highlight w:val="none"/>
        </w:rPr>
        <w:t>商务条款偏离表</w:t>
      </w:r>
    </w:p>
    <w:p>
      <w:pPr>
        <w:snapToGrid w:val="0"/>
        <w:spacing w:before="50"/>
        <w:rPr>
          <w:rFonts w:ascii="宋体" w:hAnsi="宋体"/>
          <w:sz w:val="22"/>
          <w:szCs w:val="22"/>
          <w:highlight w:val="none"/>
          <w:u w:val="single"/>
        </w:rPr>
      </w:pPr>
      <w:r>
        <w:rPr>
          <w:rFonts w:hint="eastAsia" w:ascii="宋体" w:hAnsi="宋体"/>
          <w:sz w:val="22"/>
          <w:szCs w:val="22"/>
          <w:highlight w:val="none"/>
        </w:rPr>
        <w:t xml:space="preserve">项目名称：                      </w:t>
      </w:r>
    </w:p>
    <w:tbl>
      <w:tblPr>
        <w:tblStyle w:val="5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4152"/>
        <w:gridCol w:w="2448"/>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026" w:type="dxa"/>
            <w:vAlign w:val="center"/>
          </w:tcPr>
          <w:p>
            <w:pPr>
              <w:spacing w:line="360" w:lineRule="auto"/>
              <w:jc w:val="center"/>
              <w:rPr>
                <w:rFonts w:ascii="宋体" w:hAnsi="宋体"/>
                <w:sz w:val="22"/>
                <w:szCs w:val="22"/>
                <w:highlight w:val="none"/>
              </w:rPr>
            </w:pPr>
            <w:r>
              <w:rPr>
                <w:rFonts w:hint="eastAsia" w:ascii="宋体" w:hAnsi="宋体" w:cs="宋体"/>
                <w:sz w:val="22"/>
                <w:szCs w:val="22"/>
                <w:highlight w:val="none"/>
              </w:rPr>
              <w:t>条款号</w:t>
            </w:r>
          </w:p>
        </w:tc>
        <w:tc>
          <w:tcPr>
            <w:tcW w:w="4152" w:type="dxa"/>
            <w:vAlign w:val="center"/>
          </w:tcPr>
          <w:p>
            <w:pPr>
              <w:spacing w:line="360" w:lineRule="auto"/>
              <w:jc w:val="center"/>
              <w:rPr>
                <w:rFonts w:ascii="宋体" w:hAnsi="宋体"/>
                <w:sz w:val="22"/>
                <w:szCs w:val="22"/>
                <w:highlight w:val="none"/>
              </w:rPr>
            </w:pPr>
            <w:r>
              <w:rPr>
                <w:rFonts w:hint="eastAsia" w:ascii="宋体" w:hAnsi="宋体" w:cs="宋体"/>
                <w:sz w:val="22"/>
                <w:szCs w:val="22"/>
                <w:highlight w:val="none"/>
              </w:rPr>
              <w:t>采购文件的商务条款</w:t>
            </w:r>
          </w:p>
        </w:tc>
        <w:tc>
          <w:tcPr>
            <w:tcW w:w="2448" w:type="dxa"/>
            <w:vAlign w:val="center"/>
          </w:tcPr>
          <w:p>
            <w:pPr>
              <w:spacing w:line="360" w:lineRule="auto"/>
              <w:jc w:val="center"/>
              <w:rPr>
                <w:rFonts w:ascii="宋体" w:hAnsi="宋体"/>
                <w:sz w:val="22"/>
                <w:szCs w:val="22"/>
                <w:highlight w:val="none"/>
              </w:rPr>
            </w:pPr>
            <w:r>
              <w:rPr>
                <w:rFonts w:hint="eastAsia" w:ascii="宋体" w:hAnsi="宋体" w:cs="宋体"/>
                <w:sz w:val="22"/>
                <w:szCs w:val="22"/>
                <w:highlight w:val="none"/>
              </w:rPr>
              <w:t>投标文件的</w:t>
            </w:r>
          </w:p>
          <w:p>
            <w:pPr>
              <w:spacing w:line="360" w:lineRule="auto"/>
              <w:jc w:val="center"/>
              <w:rPr>
                <w:rFonts w:ascii="宋体" w:hAnsi="宋体"/>
                <w:sz w:val="22"/>
                <w:szCs w:val="22"/>
                <w:highlight w:val="none"/>
              </w:rPr>
            </w:pPr>
            <w:r>
              <w:rPr>
                <w:rFonts w:hint="eastAsia" w:ascii="宋体" w:hAnsi="宋体" w:cs="宋体"/>
                <w:sz w:val="22"/>
                <w:szCs w:val="22"/>
                <w:highlight w:val="none"/>
              </w:rPr>
              <w:t>响应情况</w:t>
            </w:r>
          </w:p>
        </w:tc>
        <w:tc>
          <w:tcPr>
            <w:tcW w:w="1872" w:type="dxa"/>
            <w:vAlign w:val="center"/>
          </w:tcPr>
          <w:p>
            <w:pPr>
              <w:spacing w:line="360" w:lineRule="auto"/>
              <w:jc w:val="center"/>
              <w:rPr>
                <w:rFonts w:ascii="宋体" w:hAnsi="宋体"/>
                <w:sz w:val="22"/>
                <w:szCs w:val="22"/>
                <w:highlight w:val="none"/>
              </w:rPr>
            </w:pPr>
            <w:r>
              <w:rPr>
                <w:rFonts w:hint="eastAsia" w:ascii="宋体" w:hAnsi="宋体" w:cs="宋体"/>
                <w:sz w:val="22"/>
                <w:szCs w:val="22"/>
                <w:highlight w:val="none"/>
              </w:rPr>
              <w:t>说明（偏离</w:t>
            </w:r>
            <w:r>
              <w:rPr>
                <w:rFonts w:ascii="宋体" w:hAnsi="宋体" w:cs="宋体"/>
                <w:sz w:val="22"/>
                <w:szCs w:val="22"/>
                <w:highlight w:val="none"/>
              </w:rPr>
              <w:t>/</w:t>
            </w:r>
            <w:r>
              <w:rPr>
                <w:rFonts w:hint="eastAsia" w:ascii="宋体" w:hAnsi="宋体" w:cs="宋体"/>
                <w:sz w:val="22"/>
                <w:szCs w:val="22"/>
                <w:highlight w:val="none"/>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152" w:type="dxa"/>
            <w:vAlign w:val="center"/>
          </w:tcPr>
          <w:p>
            <w:pPr>
              <w:spacing w:line="360" w:lineRule="auto"/>
              <w:rPr>
                <w:rFonts w:ascii="宋体" w:hAnsi="宋体"/>
                <w:b/>
                <w:bCs/>
                <w:sz w:val="22"/>
                <w:szCs w:val="22"/>
                <w:highlight w:val="none"/>
              </w:rPr>
            </w:pPr>
          </w:p>
        </w:tc>
        <w:tc>
          <w:tcPr>
            <w:tcW w:w="2448" w:type="dxa"/>
            <w:vAlign w:val="center"/>
          </w:tcPr>
          <w:p>
            <w:pPr>
              <w:spacing w:line="360" w:lineRule="auto"/>
              <w:jc w:val="center"/>
              <w:rPr>
                <w:rFonts w:ascii="宋体" w:hAnsi="宋体"/>
                <w:sz w:val="22"/>
                <w:szCs w:val="22"/>
                <w:highlight w:val="none"/>
              </w:rPr>
            </w:pPr>
          </w:p>
        </w:tc>
        <w:tc>
          <w:tcPr>
            <w:tcW w:w="1872"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152" w:type="dxa"/>
            <w:vAlign w:val="center"/>
          </w:tcPr>
          <w:p>
            <w:pPr>
              <w:spacing w:line="360" w:lineRule="auto"/>
              <w:rPr>
                <w:rFonts w:ascii="宋体" w:hAnsi="宋体"/>
                <w:b/>
                <w:bCs/>
                <w:sz w:val="22"/>
                <w:szCs w:val="22"/>
                <w:highlight w:val="none"/>
              </w:rPr>
            </w:pPr>
          </w:p>
        </w:tc>
        <w:tc>
          <w:tcPr>
            <w:tcW w:w="2448" w:type="dxa"/>
            <w:vAlign w:val="center"/>
          </w:tcPr>
          <w:p>
            <w:pPr>
              <w:spacing w:line="360" w:lineRule="auto"/>
              <w:jc w:val="center"/>
              <w:rPr>
                <w:rFonts w:ascii="宋体" w:hAnsi="宋体"/>
                <w:sz w:val="22"/>
                <w:szCs w:val="22"/>
                <w:highlight w:val="none"/>
              </w:rPr>
            </w:pPr>
          </w:p>
        </w:tc>
        <w:tc>
          <w:tcPr>
            <w:tcW w:w="1872"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152" w:type="dxa"/>
            <w:vAlign w:val="center"/>
          </w:tcPr>
          <w:p>
            <w:pPr>
              <w:spacing w:line="360" w:lineRule="auto"/>
              <w:rPr>
                <w:rFonts w:ascii="宋体" w:hAnsi="宋体"/>
                <w:b/>
                <w:bCs/>
                <w:sz w:val="22"/>
                <w:szCs w:val="22"/>
                <w:highlight w:val="none"/>
              </w:rPr>
            </w:pPr>
          </w:p>
        </w:tc>
        <w:tc>
          <w:tcPr>
            <w:tcW w:w="2448" w:type="dxa"/>
            <w:vAlign w:val="center"/>
          </w:tcPr>
          <w:p>
            <w:pPr>
              <w:spacing w:line="360" w:lineRule="auto"/>
              <w:jc w:val="center"/>
              <w:rPr>
                <w:rFonts w:ascii="宋体" w:hAnsi="宋体"/>
                <w:sz w:val="22"/>
                <w:szCs w:val="22"/>
                <w:highlight w:val="none"/>
              </w:rPr>
            </w:pPr>
          </w:p>
        </w:tc>
        <w:tc>
          <w:tcPr>
            <w:tcW w:w="1872"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152" w:type="dxa"/>
            <w:vAlign w:val="center"/>
          </w:tcPr>
          <w:p>
            <w:pPr>
              <w:spacing w:line="360" w:lineRule="auto"/>
              <w:rPr>
                <w:rFonts w:ascii="宋体" w:hAnsi="宋体"/>
                <w:b/>
                <w:bCs/>
                <w:sz w:val="22"/>
                <w:szCs w:val="22"/>
                <w:highlight w:val="none"/>
              </w:rPr>
            </w:pPr>
          </w:p>
        </w:tc>
        <w:tc>
          <w:tcPr>
            <w:tcW w:w="2448" w:type="dxa"/>
            <w:vAlign w:val="center"/>
          </w:tcPr>
          <w:p>
            <w:pPr>
              <w:spacing w:line="360" w:lineRule="auto"/>
              <w:jc w:val="center"/>
              <w:rPr>
                <w:rFonts w:ascii="宋体" w:hAnsi="宋体"/>
                <w:sz w:val="22"/>
                <w:szCs w:val="22"/>
                <w:highlight w:val="none"/>
              </w:rPr>
            </w:pPr>
          </w:p>
        </w:tc>
        <w:tc>
          <w:tcPr>
            <w:tcW w:w="1872"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152" w:type="dxa"/>
            <w:vAlign w:val="center"/>
          </w:tcPr>
          <w:p>
            <w:pPr>
              <w:spacing w:line="360" w:lineRule="auto"/>
              <w:rPr>
                <w:rFonts w:ascii="宋体" w:hAnsi="宋体"/>
                <w:sz w:val="22"/>
                <w:szCs w:val="22"/>
                <w:highlight w:val="none"/>
              </w:rPr>
            </w:pPr>
          </w:p>
        </w:tc>
        <w:tc>
          <w:tcPr>
            <w:tcW w:w="2448" w:type="dxa"/>
            <w:vAlign w:val="center"/>
          </w:tcPr>
          <w:p>
            <w:pPr>
              <w:spacing w:line="360" w:lineRule="auto"/>
              <w:jc w:val="center"/>
              <w:rPr>
                <w:rFonts w:ascii="宋体" w:hAnsi="宋体"/>
                <w:sz w:val="22"/>
                <w:szCs w:val="22"/>
                <w:highlight w:val="none"/>
              </w:rPr>
            </w:pPr>
          </w:p>
        </w:tc>
        <w:tc>
          <w:tcPr>
            <w:tcW w:w="1872"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152" w:type="dxa"/>
            <w:vAlign w:val="center"/>
          </w:tcPr>
          <w:p>
            <w:pPr>
              <w:spacing w:line="360" w:lineRule="auto"/>
              <w:rPr>
                <w:rFonts w:ascii="宋体" w:hAnsi="宋体"/>
                <w:sz w:val="22"/>
                <w:szCs w:val="22"/>
                <w:highlight w:val="none"/>
              </w:rPr>
            </w:pPr>
          </w:p>
        </w:tc>
        <w:tc>
          <w:tcPr>
            <w:tcW w:w="2448" w:type="dxa"/>
            <w:vAlign w:val="center"/>
          </w:tcPr>
          <w:p>
            <w:pPr>
              <w:spacing w:line="360" w:lineRule="auto"/>
              <w:jc w:val="center"/>
              <w:rPr>
                <w:rFonts w:ascii="宋体" w:hAnsi="宋体"/>
                <w:sz w:val="22"/>
                <w:szCs w:val="22"/>
                <w:highlight w:val="none"/>
              </w:rPr>
            </w:pPr>
          </w:p>
        </w:tc>
        <w:tc>
          <w:tcPr>
            <w:tcW w:w="1872"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152" w:type="dxa"/>
            <w:vAlign w:val="center"/>
          </w:tcPr>
          <w:p>
            <w:pPr>
              <w:spacing w:line="360" w:lineRule="auto"/>
              <w:rPr>
                <w:rFonts w:ascii="宋体" w:hAnsi="宋体"/>
                <w:sz w:val="22"/>
                <w:szCs w:val="22"/>
                <w:highlight w:val="none"/>
              </w:rPr>
            </w:pPr>
          </w:p>
        </w:tc>
        <w:tc>
          <w:tcPr>
            <w:tcW w:w="2448" w:type="dxa"/>
            <w:vAlign w:val="center"/>
          </w:tcPr>
          <w:p>
            <w:pPr>
              <w:spacing w:line="360" w:lineRule="auto"/>
              <w:jc w:val="center"/>
              <w:rPr>
                <w:rFonts w:ascii="宋体" w:hAnsi="宋体"/>
                <w:sz w:val="22"/>
                <w:szCs w:val="22"/>
                <w:highlight w:val="none"/>
              </w:rPr>
            </w:pPr>
          </w:p>
        </w:tc>
        <w:tc>
          <w:tcPr>
            <w:tcW w:w="1872"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152" w:type="dxa"/>
            <w:vAlign w:val="center"/>
          </w:tcPr>
          <w:p>
            <w:pPr>
              <w:spacing w:line="360" w:lineRule="auto"/>
              <w:rPr>
                <w:rFonts w:ascii="宋体" w:hAnsi="宋体"/>
                <w:sz w:val="22"/>
                <w:szCs w:val="22"/>
                <w:highlight w:val="none"/>
              </w:rPr>
            </w:pPr>
          </w:p>
        </w:tc>
        <w:tc>
          <w:tcPr>
            <w:tcW w:w="2448" w:type="dxa"/>
            <w:vAlign w:val="center"/>
          </w:tcPr>
          <w:p>
            <w:pPr>
              <w:spacing w:line="360" w:lineRule="auto"/>
              <w:jc w:val="center"/>
              <w:rPr>
                <w:rFonts w:ascii="宋体" w:hAnsi="宋体"/>
                <w:sz w:val="22"/>
                <w:szCs w:val="22"/>
                <w:highlight w:val="none"/>
              </w:rPr>
            </w:pPr>
          </w:p>
        </w:tc>
        <w:tc>
          <w:tcPr>
            <w:tcW w:w="1872"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152" w:type="dxa"/>
            <w:vAlign w:val="center"/>
          </w:tcPr>
          <w:p>
            <w:pPr>
              <w:spacing w:line="360" w:lineRule="auto"/>
              <w:rPr>
                <w:rFonts w:ascii="宋体" w:hAnsi="宋体"/>
                <w:sz w:val="22"/>
                <w:szCs w:val="22"/>
                <w:highlight w:val="none"/>
              </w:rPr>
            </w:pPr>
          </w:p>
        </w:tc>
        <w:tc>
          <w:tcPr>
            <w:tcW w:w="2448" w:type="dxa"/>
            <w:vAlign w:val="center"/>
          </w:tcPr>
          <w:p>
            <w:pPr>
              <w:spacing w:line="360" w:lineRule="auto"/>
              <w:jc w:val="center"/>
              <w:rPr>
                <w:rFonts w:ascii="宋体" w:hAnsi="宋体"/>
                <w:sz w:val="22"/>
                <w:szCs w:val="22"/>
                <w:highlight w:val="none"/>
              </w:rPr>
            </w:pPr>
          </w:p>
        </w:tc>
        <w:tc>
          <w:tcPr>
            <w:tcW w:w="1872"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152" w:type="dxa"/>
            <w:vAlign w:val="center"/>
          </w:tcPr>
          <w:p>
            <w:pPr>
              <w:spacing w:line="360" w:lineRule="auto"/>
              <w:rPr>
                <w:rFonts w:ascii="宋体" w:hAnsi="宋体"/>
                <w:sz w:val="22"/>
                <w:szCs w:val="22"/>
                <w:highlight w:val="none"/>
              </w:rPr>
            </w:pPr>
          </w:p>
        </w:tc>
        <w:tc>
          <w:tcPr>
            <w:tcW w:w="2448" w:type="dxa"/>
            <w:vAlign w:val="center"/>
          </w:tcPr>
          <w:p>
            <w:pPr>
              <w:spacing w:line="360" w:lineRule="auto"/>
              <w:jc w:val="center"/>
              <w:rPr>
                <w:rFonts w:ascii="宋体" w:hAnsi="宋体"/>
                <w:sz w:val="22"/>
                <w:szCs w:val="22"/>
                <w:highlight w:val="none"/>
              </w:rPr>
            </w:pPr>
          </w:p>
        </w:tc>
        <w:tc>
          <w:tcPr>
            <w:tcW w:w="1872"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152" w:type="dxa"/>
            <w:vAlign w:val="center"/>
          </w:tcPr>
          <w:p>
            <w:pPr>
              <w:spacing w:line="360" w:lineRule="auto"/>
              <w:rPr>
                <w:rFonts w:ascii="宋体" w:hAnsi="宋体"/>
                <w:sz w:val="22"/>
                <w:szCs w:val="22"/>
                <w:highlight w:val="none"/>
              </w:rPr>
            </w:pPr>
          </w:p>
        </w:tc>
        <w:tc>
          <w:tcPr>
            <w:tcW w:w="2448" w:type="dxa"/>
            <w:vAlign w:val="center"/>
          </w:tcPr>
          <w:p>
            <w:pPr>
              <w:spacing w:line="360" w:lineRule="auto"/>
              <w:jc w:val="center"/>
              <w:rPr>
                <w:rFonts w:ascii="宋体" w:hAnsi="宋体"/>
                <w:sz w:val="22"/>
                <w:szCs w:val="22"/>
                <w:highlight w:val="none"/>
              </w:rPr>
            </w:pPr>
          </w:p>
        </w:tc>
        <w:tc>
          <w:tcPr>
            <w:tcW w:w="1872"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152" w:type="dxa"/>
            <w:vAlign w:val="center"/>
          </w:tcPr>
          <w:p>
            <w:pPr>
              <w:spacing w:line="360" w:lineRule="auto"/>
              <w:rPr>
                <w:rFonts w:ascii="宋体" w:hAnsi="宋体"/>
                <w:sz w:val="22"/>
                <w:szCs w:val="22"/>
                <w:highlight w:val="none"/>
              </w:rPr>
            </w:pPr>
          </w:p>
        </w:tc>
        <w:tc>
          <w:tcPr>
            <w:tcW w:w="2448" w:type="dxa"/>
            <w:vAlign w:val="center"/>
          </w:tcPr>
          <w:p>
            <w:pPr>
              <w:spacing w:line="360" w:lineRule="auto"/>
              <w:jc w:val="center"/>
              <w:rPr>
                <w:rFonts w:ascii="宋体" w:hAnsi="宋体"/>
                <w:sz w:val="22"/>
                <w:szCs w:val="22"/>
                <w:highlight w:val="none"/>
              </w:rPr>
            </w:pPr>
          </w:p>
        </w:tc>
        <w:tc>
          <w:tcPr>
            <w:tcW w:w="1872"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152" w:type="dxa"/>
            <w:vAlign w:val="center"/>
          </w:tcPr>
          <w:p>
            <w:pPr>
              <w:spacing w:line="360" w:lineRule="auto"/>
              <w:rPr>
                <w:rFonts w:ascii="宋体" w:hAnsi="宋体"/>
                <w:sz w:val="22"/>
                <w:szCs w:val="22"/>
                <w:highlight w:val="none"/>
              </w:rPr>
            </w:pPr>
          </w:p>
        </w:tc>
        <w:tc>
          <w:tcPr>
            <w:tcW w:w="2448" w:type="dxa"/>
            <w:vAlign w:val="center"/>
          </w:tcPr>
          <w:p>
            <w:pPr>
              <w:spacing w:line="360" w:lineRule="auto"/>
              <w:jc w:val="center"/>
              <w:rPr>
                <w:rFonts w:ascii="宋体" w:hAnsi="宋体"/>
                <w:sz w:val="22"/>
                <w:szCs w:val="22"/>
                <w:highlight w:val="none"/>
              </w:rPr>
            </w:pPr>
          </w:p>
        </w:tc>
        <w:tc>
          <w:tcPr>
            <w:tcW w:w="1872"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152" w:type="dxa"/>
            <w:vAlign w:val="center"/>
          </w:tcPr>
          <w:p>
            <w:pPr>
              <w:spacing w:line="360" w:lineRule="auto"/>
              <w:rPr>
                <w:rFonts w:ascii="宋体" w:hAnsi="宋体"/>
                <w:sz w:val="22"/>
                <w:szCs w:val="22"/>
                <w:highlight w:val="none"/>
              </w:rPr>
            </w:pPr>
          </w:p>
        </w:tc>
        <w:tc>
          <w:tcPr>
            <w:tcW w:w="2448" w:type="dxa"/>
            <w:vAlign w:val="center"/>
          </w:tcPr>
          <w:p>
            <w:pPr>
              <w:spacing w:line="360" w:lineRule="auto"/>
              <w:jc w:val="center"/>
              <w:rPr>
                <w:rFonts w:ascii="宋体" w:hAnsi="宋体"/>
                <w:sz w:val="22"/>
                <w:szCs w:val="22"/>
                <w:highlight w:val="none"/>
              </w:rPr>
            </w:pPr>
          </w:p>
        </w:tc>
        <w:tc>
          <w:tcPr>
            <w:tcW w:w="1872" w:type="dxa"/>
            <w:vAlign w:val="center"/>
          </w:tcPr>
          <w:p>
            <w:pPr>
              <w:spacing w:line="360" w:lineRule="auto"/>
              <w:jc w:val="center"/>
              <w:rPr>
                <w:rFonts w:ascii="宋体" w:hAnsi="宋体"/>
                <w:sz w:val="22"/>
                <w:szCs w:val="22"/>
                <w:highlight w:val="none"/>
              </w:rPr>
            </w:pPr>
          </w:p>
        </w:tc>
      </w:tr>
    </w:tbl>
    <w:p>
      <w:pPr>
        <w:snapToGrid w:val="0"/>
        <w:spacing w:before="50"/>
        <w:rPr>
          <w:rFonts w:ascii="宋体" w:hAnsi="宋体"/>
          <w:sz w:val="22"/>
          <w:szCs w:val="22"/>
          <w:highlight w:val="none"/>
        </w:rPr>
      </w:pPr>
    </w:p>
    <w:p>
      <w:pPr>
        <w:pStyle w:val="3"/>
        <w:widowControl/>
        <w:spacing w:line="360" w:lineRule="auto"/>
        <w:jc w:val="right"/>
        <w:rPr>
          <w:rFonts w:hAnsi="宋体" w:cs="宋体"/>
          <w:szCs w:val="21"/>
          <w:highlight w:val="none"/>
        </w:rPr>
      </w:pPr>
      <w:r>
        <w:rPr>
          <w:rFonts w:hint="eastAsia" w:hAnsi="宋体" w:cs="宋体"/>
          <w:szCs w:val="21"/>
          <w:highlight w:val="none"/>
        </w:rPr>
        <w:t>供应商全称（盖公章）：</w:t>
      </w:r>
    </w:p>
    <w:p>
      <w:pPr>
        <w:pStyle w:val="3"/>
        <w:widowControl/>
        <w:spacing w:line="360" w:lineRule="auto"/>
        <w:jc w:val="right"/>
        <w:rPr>
          <w:rFonts w:hAnsi="宋体" w:cs="宋体"/>
          <w:szCs w:val="21"/>
          <w:highlight w:val="none"/>
        </w:rPr>
      </w:pPr>
      <w:r>
        <w:rPr>
          <w:rFonts w:hint="eastAsia" w:hAnsi="宋体" w:cs="宋体"/>
          <w:szCs w:val="21"/>
          <w:highlight w:val="none"/>
        </w:rPr>
        <w:t>法定代表人或其授权委托人（签名或印章）：</w:t>
      </w:r>
    </w:p>
    <w:p>
      <w:pPr>
        <w:spacing w:line="360" w:lineRule="auto"/>
        <w:ind w:right="180"/>
        <w:jc w:val="right"/>
        <w:rPr>
          <w:rFonts w:ascii="宋体" w:hAnsi="宋体"/>
          <w:sz w:val="22"/>
          <w:szCs w:val="22"/>
          <w:highlight w:val="none"/>
        </w:rPr>
      </w:pPr>
      <w:r>
        <w:rPr>
          <w:rFonts w:hint="eastAsia" w:hAnsi="宋体" w:cs="宋体"/>
          <w:szCs w:val="21"/>
          <w:highlight w:val="none"/>
        </w:rPr>
        <w:t xml:space="preserve">                                      日期：   年   月  日</w:t>
      </w:r>
    </w:p>
    <w:p>
      <w:pPr>
        <w:pStyle w:val="3"/>
        <w:spacing w:line="360" w:lineRule="auto"/>
        <w:rPr>
          <w:rFonts w:ascii="宋体" w:hAnsi="宋体"/>
          <w:sz w:val="22"/>
          <w:szCs w:val="22"/>
          <w:highlight w:val="none"/>
          <w:u w:val="single"/>
        </w:rPr>
      </w:pPr>
    </w:p>
    <w:p>
      <w:pPr>
        <w:snapToGrid w:val="0"/>
        <w:spacing w:before="50" w:after="156" w:afterLines="50" w:line="360" w:lineRule="auto"/>
        <w:jc w:val="center"/>
        <w:rPr>
          <w:rFonts w:ascii="宋体" w:hAnsi="宋体" w:cs="宋体"/>
          <w:b/>
          <w:bCs/>
          <w:sz w:val="32"/>
          <w:szCs w:val="32"/>
          <w:highlight w:val="none"/>
        </w:rPr>
      </w:pPr>
      <w:r>
        <w:rPr>
          <w:rFonts w:hint="eastAsia" w:ascii="宋体" w:hAnsi="宋体"/>
          <w:sz w:val="22"/>
          <w:szCs w:val="22"/>
          <w:highlight w:val="none"/>
          <w:u w:val="single"/>
        </w:rPr>
        <w:t>备注填写说明：1、列明采购文件的</w:t>
      </w:r>
      <w:r>
        <w:rPr>
          <w:rFonts w:hint="eastAsia" w:ascii="宋体" w:hAnsi="宋体" w:cs="宋体"/>
          <w:sz w:val="22"/>
          <w:szCs w:val="22"/>
          <w:highlight w:val="none"/>
          <w:u w:val="single"/>
        </w:rPr>
        <w:t>商务条款</w:t>
      </w:r>
      <w:r>
        <w:rPr>
          <w:rFonts w:hint="eastAsia" w:ascii="宋体" w:hAnsi="宋体"/>
          <w:sz w:val="22"/>
          <w:szCs w:val="22"/>
          <w:highlight w:val="none"/>
          <w:u w:val="single"/>
        </w:rPr>
        <w:t>与投标文件对应响应，并说明偏离状况。</w:t>
      </w:r>
      <w:r>
        <w:rPr>
          <w:rFonts w:hint="eastAsia" w:hAnsi="宋体" w:cs="宋体"/>
          <w:b/>
          <w:sz w:val="32"/>
          <w:szCs w:val="32"/>
          <w:highlight w:val="none"/>
        </w:rPr>
        <w:br w:type="page"/>
      </w:r>
      <w:r>
        <w:rPr>
          <w:rFonts w:hint="eastAsia" w:ascii="宋体" w:hAnsi="宋体" w:cs="宋体"/>
          <w:b/>
          <w:bCs/>
          <w:sz w:val="32"/>
          <w:szCs w:val="32"/>
          <w:highlight w:val="none"/>
        </w:rPr>
        <w:t>技术条款偏离表</w:t>
      </w:r>
    </w:p>
    <w:p>
      <w:pPr>
        <w:pStyle w:val="64"/>
        <w:rPr>
          <w:rFonts w:ascii="宋体" w:hAnsi="宋体" w:cs="宋体"/>
          <w:b/>
          <w:bCs/>
          <w:sz w:val="32"/>
          <w:szCs w:val="32"/>
          <w:highlight w:val="none"/>
        </w:rPr>
      </w:pPr>
    </w:p>
    <w:p>
      <w:pPr>
        <w:snapToGrid w:val="0"/>
        <w:spacing w:before="50"/>
        <w:rPr>
          <w:rFonts w:ascii="宋体" w:hAnsi="宋体"/>
          <w:sz w:val="22"/>
          <w:szCs w:val="22"/>
          <w:highlight w:val="none"/>
          <w:u w:val="single"/>
        </w:rPr>
      </w:pPr>
      <w:r>
        <w:rPr>
          <w:rFonts w:hint="eastAsia" w:ascii="宋体" w:hAnsi="宋体"/>
          <w:sz w:val="22"/>
          <w:szCs w:val="22"/>
          <w:highlight w:val="none"/>
        </w:rPr>
        <w:t xml:space="preserve">项目名称：                      </w:t>
      </w:r>
    </w:p>
    <w:tbl>
      <w:tblPr>
        <w:tblStyle w:val="50"/>
        <w:tblW w:w="946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4356"/>
        <w:gridCol w:w="2124"/>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026" w:type="dxa"/>
            <w:vAlign w:val="center"/>
          </w:tcPr>
          <w:p>
            <w:pPr>
              <w:spacing w:line="360" w:lineRule="auto"/>
              <w:jc w:val="center"/>
              <w:rPr>
                <w:rFonts w:ascii="宋体" w:hAnsi="宋体"/>
                <w:sz w:val="22"/>
                <w:szCs w:val="22"/>
                <w:highlight w:val="none"/>
              </w:rPr>
            </w:pPr>
            <w:r>
              <w:rPr>
                <w:rFonts w:hint="eastAsia" w:ascii="宋体" w:hAnsi="宋体" w:cs="宋体"/>
                <w:sz w:val="22"/>
                <w:szCs w:val="22"/>
                <w:highlight w:val="none"/>
              </w:rPr>
              <w:t>条款号</w:t>
            </w:r>
          </w:p>
        </w:tc>
        <w:tc>
          <w:tcPr>
            <w:tcW w:w="4356" w:type="dxa"/>
            <w:vAlign w:val="center"/>
          </w:tcPr>
          <w:p>
            <w:pPr>
              <w:spacing w:line="360" w:lineRule="auto"/>
              <w:jc w:val="center"/>
              <w:rPr>
                <w:rFonts w:ascii="宋体" w:hAnsi="宋体"/>
                <w:sz w:val="22"/>
                <w:szCs w:val="22"/>
                <w:highlight w:val="none"/>
              </w:rPr>
            </w:pPr>
            <w:r>
              <w:rPr>
                <w:rFonts w:hint="eastAsia" w:ascii="宋体" w:hAnsi="宋体" w:cs="宋体"/>
                <w:sz w:val="22"/>
                <w:szCs w:val="22"/>
                <w:highlight w:val="none"/>
              </w:rPr>
              <w:t>采购文件的技术条款</w:t>
            </w:r>
          </w:p>
        </w:tc>
        <w:tc>
          <w:tcPr>
            <w:tcW w:w="2124" w:type="dxa"/>
            <w:vAlign w:val="center"/>
          </w:tcPr>
          <w:p>
            <w:pPr>
              <w:spacing w:line="360" w:lineRule="auto"/>
              <w:jc w:val="center"/>
              <w:rPr>
                <w:rFonts w:ascii="宋体" w:hAnsi="宋体"/>
                <w:sz w:val="22"/>
                <w:szCs w:val="22"/>
                <w:highlight w:val="none"/>
              </w:rPr>
            </w:pPr>
            <w:r>
              <w:rPr>
                <w:rFonts w:hint="eastAsia" w:ascii="宋体" w:hAnsi="宋体" w:cs="宋体"/>
                <w:sz w:val="22"/>
                <w:szCs w:val="22"/>
                <w:highlight w:val="none"/>
              </w:rPr>
              <w:t>投标文件的</w:t>
            </w:r>
          </w:p>
          <w:p>
            <w:pPr>
              <w:spacing w:line="360" w:lineRule="auto"/>
              <w:jc w:val="center"/>
              <w:rPr>
                <w:rFonts w:ascii="宋体" w:hAnsi="宋体"/>
                <w:sz w:val="22"/>
                <w:szCs w:val="22"/>
                <w:highlight w:val="none"/>
              </w:rPr>
            </w:pPr>
            <w:r>
              <w:rPr>
                <w:rFonts w:hint="eastAsia" w:ascii="宋体" w:hAnsi="宋体" w:cs="宋体"/>
                <w:sz w:val="22"/>
                <w:szCs w:val="22"/>
                <w:highlight w:val="none"/>
              </w:rPr>
              <w:t>响应情况</w:t>
            </w:r>
          </w:p>
        </w:tc>
        <w:tc>
          <w:tcPr>
            <w:tcW w:w="1956" w:type="dxa"/>
            <w:vAlign w:val="center"/>
          </w:tcPr>
          <w:p>
            <w:pPr>
              <w:spacing w:line="360" w:lineRule="auto"/>
              <w:jc w:val="center"/>
              <w:rPr>
                <w:rFonts w:ascii="宋体" w:hAnsi="宋体"/>
                <w:sz w:val="22"/>
                <w:szCs w:val="22"/>
                <w:highlight w:val="none"/>
              </w:rPr>
            </w:pPr>
            <w:r>
              <w:rPr>
                <w:rFonts w:hint="eastAsia" w:ascii="宋体" w:hAnsi="宋体" w:cs="宋体"/>
                <w:sz w:val="22"/>
                <w:szCs w:val="22"/>
                <w:highlight w:val="none"/>
              </w:rPr>
              <w:t>说明（偏离</w:t>
            </w:r>
            <w:r>
              <w:rPr>
                <w:rFonts w:ascii="宋体" w:hAnsi="宋体" w:cs="宋体"/>
                <w:sz w:val="22"/>
                <w:szCs w:val="22"/>
                <w:highlight w:val="none"/>
              </w:rPr>
              <w:t>/</w:t>
            </w:r>
            <w:r>
              <w:rPr>
                <w:rFonts w:hint="eastAsia" w:ascii="宋体" w:hAnsi="宋体" w:cs="宋体"/>
                <w:sz w:val="22"/>
                <w:szCs w:val="22"/>
                <w:highlight w:val="none"/>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356" w:type="dxa"/>
            <w:vAlign w:val="center"/>
          </w:tcPr>
          <w:p>
            <w:pPr>
              <w:spacing w:line="360" w:lineRule="auto"/>
              <w:rPr>
                <w:rFonts w:ascii="宋体" w:hAnsi="宋体"/>
                <w:b/>
                <w:bCs/>
                <w:sz w:val="22"/>
                <w:szCs w:val="22"/>
                <w:highlight w:val="none"/>
              </w:rPr>
            </w:pPr>
          </w:p>
        </w:tc>
        <w:tc>
          <w:tcPr>
            <w:tcW w:w="2124" w:type="dxa"/>
            <w:vAlign w:val="center"/>
          </w:tcPr>
          <w:p>
            <w:pPr>
              <w:spacing w:line="360" w:lineRule="auto"/>
              <w:jc w:val="center"/>
              <w:rPr>
                <w:rFonts w:ascii="宋体" w:hAnsi="宋体"/>
                <w:sz w:val="22"/>
                <w:szCs w:val="22"/>
                <w:highlight w:val="none"/>
              </w:rPr>
            </w:pPr>
          </w:p>
        </w:tc>
        <w:tc>
          <w:tcPr>
            <w:tcW w:w="1956"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356" w:type="dxa"/>
            <w:vAlign w:val="center"/>
          </w:tcPr>
          <w:p>
            <w:pPr>
              <w:spacing w:line="360" w:lineRule="auto"/>
              <w:rPr>
                <w:rFonts w:ascii="宋体" w:hAnsi="宋体"/>
                <w:b/>
                <w:bCs/>
                <w:sz w:val="22"/>
                <w:szCs w:val="22"/>
                <w:highlight w:val="none"/>
              </w:rPr>
            </w:pPr>
          </w:p>
        </w:tc>
        <w:tc>
          <w:tcPr>
            <w:tcW w:w="2124" w:type="dxa"/>
            <w:vAlign w:val="center"/>
          </w:tcPr>
          <w:p>
            <w:pPr>
              <w:spacing w:line="360" w:lineRule="auto"/>
              <w:jc w:val="center"/>
              <w:rPr>
                <w:rFonts w:ascii="宋体" w:hAnsi="宋体"/>
                <w:sz w:val="22"/>
                <w:szCs w:val="22"/>
                <w:highlight w:val="none"/>
              </w:rPr>
            </w:pPr>
          </w:p>
        </w:tc>
        <w:tc>
          <w:tcPr>
            <w:tcW w:w="1956"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356" w:type="dxa"/>
            <w:vAlign w:val="center"/>
          </w:tcPr>
          <w:p>
            <w:pPr>
              <w:spacing w:line="360" w:lineRule="auto"/>
              <w:rPr>
                <w:rFonts w:ascii="宋体" w:hAnsi="宋体"/>
                <w:b/>
                <w:bCs/>
                <w:sz w:val="22"/>
                <w:szCs w:val="22"/>
                <w:highlight w:val="none"/>
              </w:rPr>
            </w:pPr>
          </w:p>
        </w:tc>
        <w:tc>
          <w:tcPr>
            <w:tcW w:w="2124" w:type="dxa"/>
            <w:vAlign w:val="center"/>
          </w:tcPr>
          <w:p>
            <w:pPr>
              <w:spacing w:line="360" w:lineRule="auto"/>
              <w:jc w:val="center"/>
              <w:rPr>
                <w:rFonts w:ascii="宋体" w:hAnsi="宋体"/>
                <w:sz w:val="22"/>
                <w:szCs w:val="22"/>
                <w:highlight w:val="none"/>
              </w:rPr>
            </w:pPr>
          </w:p>
        </w:tc>
        <w:tc>
          <w:tcPr>
            <w:tcW w:w="1956"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356" w:type="dxa"/>
            <w:vAlign w:val="center"/>
          </w:tcPr>
          <w:p>
            <w:pPr>
              <w:spacing w:line="360" w:lineRule="auto"/>
              <w:rPr>
                <w:rFonts w:ascii="宋体" w:hAnsi="宋体"/>
                <w:b/>
                <w:bCs/>
                <w:sz w:val="22"/>
                <w:szCs w:val="22"/>
                <w:highlight w:val="none"/>
              </w:rPr>
            </w:pPr>
          </w:p>
        </w:tc>
        <w:tc>
          <w:tcPr>
            <w:tcW w:w="2124" w:type="dxa"/>
            <w:vAlign w:val="center"/>
          </w:tcPr>
          <w:p>
            <w:pPr>
              <w:spacing w:line="360" w:lineRule="auto"/>
              <w:jc w:val="center"/>
              <w:rPr>
                <w:rFonts w:ascii="宋体" w:hAnsi="宋体"/>
                <w:sz w:val="22"/>
                <w:szCs w:val="22"/>
                <w:highlight w:val="none"/>
              </w:rPr>
            </w:pPr>
          </w:p>
        </w:tc>
        <w:tc>
          <w:tcPr>
            <w:tcW w:w="1956"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356" w:type="dxa"/>
            <w:vAlign w:val="center"/>
          </w:tcPr>
          <w:p>
            <w:pPr>
              <w:spacing w:line="360" w:lineRule="auto"/>
              <w:rPr>
                <w:rFonts w:ascii="宋体" w:hAnsi="宋体"/>
                <w:sz w:val="22"/>
                <w:szCs w:val="22"/>
                <w:highlight w:val="none"/>
              </w:rPr>
            </w:pPr>
          </w:p>
        </w:tc>
        <w:tc>
          <w:tcPr>
            <w:tcW w:w="2124" w:type="dxa"/>
            <w:vAlign w:val="center"/>
          </w:tcPr>
          <w:p>
            <w:pPr>
              <w:spacing w:line="360" w:lineRule="auto"/>
              <w:jc w:val="center"/>
              <w:rPr>
                <w:rFonts w:ascii="宋体" w:hAnsi="宋体"/>
                <w:sz w:val="22"/>
                <w:szCs w:val="22"/>
                <w:highlight w:val="none"/>
              </w:rPr>
            </w:pPr>
          </w:p>
        </w:tc>
        <w:tc>
          <w:tcPr>
            <w:tcW w:w="1956"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356" w:type="dxa"/>
            <w:vAlign w:val="center"/>
          </w:tcPr>
          <w:p>
            <w:pPr>
              <w:spacing w:line="360" w:lineRule="auto"/>
              <w:rPr>
                <w:rFonts w:ascii="宋体" w:hAnsi="宋体"/>
                <w:sz w:val="22"/>
                <w:szCs w:val="22"/>
                <w:highlight w:val="none"/>
              </w:rPr>
            </w:pPr>
          </w:p>
        </w:tc>
        <w:tc>
          <w:tcPr>
            <w:tcW w:w="2124" w:type="dxa"/>
            <w:vAlign w:val="center"/>
          </w:tcPr>
          <w:p>
            <w:pPr>
              <w:spacing w:line="360" w:lineRule="auto"/>
              <w:jc w:val="center"/>
              <w:rPr>
                <w:rFonts w:ascii="宋体" w:hAnsi="宋体"/>
                <w:sz w:val="22"/>
                <w:szCs w:val="22"/>
                <w:highlight w:val="none"/>
              </w:rPr>
            </w:pPr>
          </w:p>
        </w:tc>
        <w:tc>
          <w:tcPr>
            <w:tcW w:w="1956"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356" w:type="dxa"/>
            <w:vAlign w:val="center"/>
          </w:tcPr>
          <w:p>
            <w:pPr>
              <w:spacing w:line="360" w:lineRule="auto"/>
              <w:rPr>
                <w:rFonts w:ascii="宋体" w:hAnsi="宋体"/>
                <w:sz w:val="22"/>
                <w:szCs w:val="22"/>
                <w:highlight w:val="none"/>
              </w:rPr>
            </w:pPr>
          </w:p>
        </w:tc>
        <w:tc>
          <w:tcPr>
            <w:tcW w:w="2124" w:type="dxa"/>
            <w:vAlign w:val="center"/>
          </w:tcPr>
          <w:p>
            <w:pPr>
              <w:spacing w:line="360" w:lineRule="auto"/>
              <w:jc w:val="center"/>
              <w:rPr>
                <w:rFonts w:ascii="宋体" w:hAnsi="宋体"/>
                <w:sz w:val="22"/>
                <w:szCs w:val="22"/>
                <w:highlight w:val="none"/>
              </w:rPr>
            </w:pPr>
          </w:p>
        </w:tc>
        <w:tc>
          <w:tcPr>
            <w:tcW w:w="1956"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356" w:type="dxa"/>
            <w:vAlign w:val="center"/>
          </w:tcPr>
          <w:p>
            <w:pPr>
              <w:spacing w:line="360" w:lineRule="auto"/>
              <w:rPr>
                <w:rFonts w:ascii="宋体" w:hAnsi="宋体"/>
                <w:sz w:val="22"/>
                <w:szCs w:val="22"/>
                <w:highlight w:val="none"/>
              </w:rPr>
            </w:pPr>
          </w:p>
        </w:tc>
        <w:tc>
          <w:tcPr>
            <w:tcW w:w="2124" w:type="dxa"/>
            <w:vAlign w:val="center"/>
          </w:tcPr>
          <w:p>
            <w:pPr>
              <w:spacing w:line="360" w:lineRule="auto"/>
              <w:jc w:val="center"/>
              <w:rPr>
                <w:rFonts w:ascii="宋体" w:hAnsi="宋体"/>
                <w:sz w:val="22"/>
                <w:szCs w:val="22"/>
                <w:highlight w:val="none"/>
              </w:rPr>
            </w:pPr>
          </w:p>
        </w:tc>
        <w:tc>
          <w:tcPr>
            <w:tcW w:w="1956"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356" w:type="dxa"/>
            <w:vAlign w:val="center"/>
          </w:tcPr>
          <w:p>
            <w:pPr>
              <w:spacing w:line="360" w:lineRule="auto"/>
              <w:rPr>
                <w:rFonts w:ascii="宋体" w:hAnsi="宋体"/>
                <w:sz w:val="22"/>
                <w:szCs w:val="22"/>
                <w:highlight w:val="none"/>
              </w:rPr>
            </w:pPr>
          </w:p>
        </w:tc>
        <w:tc>
          <w:tcPr>
            <w:tcW w:w="2124" w:type="dxa"/>
            <w:vAlign w:val="center"/>
          </w:tcPr>
          <w:p>
            <w:pPr>
              <w:spacing w:line="360" w:lineRule="auto"/>
              <w:jc w:val="center"/>
              <w:rPr>
                <w:rFonts w:ascii="宋体" w:hAnsi="宋体"/>
                <w:sz w:val="22"/>
                <w:szCs w:val="22"/>
                <w:highlight w:val="none"/>
              </w:rPr>
            </w:pPr>
          </w:p>
        </w:tc>
        <w:tc>
          <w:tcPr>
            <w:tcW w:w="1956"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356" w:type="dxa"/>
            <w:vAlign w:val="center"/>
          </w:tcPr>
          <w:p>
            <w:pPr>
              <w:spacing w:line="360" w:lineRule="auto"/>
              <w:rPr>
                <w:rFonts w:ascii="宋体" w:hAnsi="宋体"/>
                <w:sz w:val="22"/>
                <w:szCs w:val="22"/>
                <w:highlight w:val="none"/>
              </w:rPr>
            </w:pPr>
          </w:p>
        </w:tc>
        <w:tc>
          <w:tcPr>
            <w:tcW w:w="2124" w:type="dxa"/>
            <w:vAlign w:val="center"/>
          </w:tcPr>
          <w:p>
            <w:pPr>
              <w:spacing w:line="360" w:lineRule="auto"/>
              <w:jc w:val="center"/>
              <w:rPr>
                <w:rFonts w:ascii="宋体" w:hAnsi="宋体"/>
                <w:sz w:val="22"/>
                <w:szCs w:val="22"/>
                <w:highlight w:val="none"/>
              </w:rPr>
            </w:pPr>
          </w:p>
        </w:tc>
        <w:tc>
          <w:tcPr>
            <w:tcW w:w="1956" w:type="dxa"/>
            <w:vAlign w:val="center"/>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sz w:val="22"/>
                <w:szCs w:val="22"/>
                <w:highlight w:val="none"/>
              </w:rPr>
            </w:pPr>
          </w:p>
        </w:tc>
        <w:tc>
          <w:tcPr>
            <w:tcW w:w="4356" w:type="dxa"/>
            <w:vAlign w:val="center"/>
          </w:tcPr>
          <w:p>
            <w:pPr>
              <w:spacing w:line="360" w:lineRule="auto"/>
              <w:rPr>
                <w:rFonts w:ascii="宋体" w:hAnsi="宋体"/>
                <w:sz w:val="22"/>
                <w:szCs w:val="22"/>
                <w:highlight w:val="none"/>
              </w:rPr>
            </w:pPr>
          </w:p>
        </w:tc>
        <w:tc>
          <w:tcPr>
            <w:tcW w:w="2124" w:type="dxa"/>
            <w:vAlign w:val="center"/>
          </w:tcPr>
          <w:p>
            <w:pPr>
              <w:spacing w:line="360" w:lineRule="auto"/>
              <w:jc w:val="center"/>
              <w:rPr>
                <w:rFonts w:ascii="宋体" w:hAnsi="宋体"/>
                <w:sz w:val="22"/>
                <w:szCs w:val="22"/>
                <w:highlight w:val="none"/>
              </w:rPr>
            </w:pPr>
          </w:p>
        </w:tc>
        <w:tc>
          <w:tcPr>
            <w:tcW w:w="1956" w:type="dxa"/>
            <w:vAlign w:val="center"/>
          </w:tcPr>
          <w:p>
            <w:pPr>
              <w:spacing w:line="360" w:lineRule="auto"/>
              <w:jc w:val="center"/>
              <w:rPr>
                <w:rFonts w:ascii="宋体" w:hAnsi="宋体"/>
                <w:sz w:val="22"/>
                <w:szCs w:val="22"/>
                <w:highlight w:val="none"/>
              </w:rPr>
            </w:pPr>
          </w:p>
        </w:tc>
      </w:tr>
    </w:tbl>
    <w:p>
      <w:pPr>
        <w:snapToGrid w:val="0"/>
        <w:spacing w:before="50"/>
        <w:rPr>
          <w:rFonts w:ascii="宋体" w:hAnsi="宋体"/>
          <w:sz w:val="22"/>
          <w:szCs w:val="22"/>
          <w:highlight w:val="none"/>
        </w:rPr>
      </w:pPr>
    </w:p>
    <w:p>
      <w:pPr>
        <w:pStyle w:val="3"/>
        <w:widowControl/>
        <w:spacing w:line="360" w:lineRule="auto"/>
        <w:jc w:val="right"/>
        <w:rPr>
          <w:rFonts w:hAnsi="宋体" w:cs="宋体"/>
          <w:szCs w:val="21"/>
          <w:highlight w:val="none"/>
        </w:rPr>
      </w:pPr>
      <w:r>
        <w:rPr>
          <w:rFonts w:hint="eastAsia" w:hAnsi="宋体" w:cs="宋体"/>
          <w:szCs w:val="21"/>
          <w:highlight w:val="none"/>
        </w:rPr>
        <w:t>供应商全称（盖公章）：</w:t>
      </w:r>
    </w:p>
    <w:p>
      <w:pPr>
        <w:pStyle w:val="3"/>
        <w:widowControl/>
        <w:spacing w:line="360" w:lineRule="auto"/>
        <w:jc w:val="right"/>
        <w:rPr>
          <w:rFonts w:hAnsi="宋体" w:cs="宋体"/>
          <w:szCs w:val="21"/>
          <w:highlight w:val="none"/>
        </w:rPr>
      </w:pPr>
      <w:r>
        <w:rPr>
          <w:rFonts w:hint="eastAsia" w:hAnsi="宋体" w:cs="宋体"/>
          <w:szCs w:val="21"/>
          <w:highlight w:val="none"/>
        </w:rPr>
        <w:t>法定代表人或其授权委托人（签名或印章）：</w:t>
      </w:r>
    </w:p>
    <w:p>
      <w:pPr>
        <w:spacing w:line="360" w:lineRule="auto"/>
        <w:ind w:right="180"/>
        <w:jc w:val="right"/>
        <w:rPr>
          <w:rFonts w:ascii="宋体" w:hAnsi="宋体"/>
          <w:sz w:val="22"/>
          <w:szCs w:val="22"/>
          <w:highlight w:val="none"/>
        </w:rPr>
      </w:pPr>
      <w:r>
        <w:rPr>
          <w:rFonts w:hint="eastAsia" w:hAnsi="宋体" w:cs="宋体"/>
          <w:szCs w:val="21"/>
          <w:highlight w:val="none"/>
        </w:rPr>
        <w:t xml:space="preserve">                                      日期：   年   月  日</w:t>
      </w:r>
    </w:p>
    <w:p>
      <w:pPr>
        <w:spacing w:line="360" w:lineRule="auto"/>
        <w:ind w:right="180"/>
        <w:jc w:val="right"/>
        <w:rPr>
          <w:rFonts w:ascii="宋体" w:hAnsi="宋体"/>
          <w:sz w:val="22"/>
          <w:szCs w:val="22"/>
          <w:highlight w:val="none"/>
        </w:rPr>
      </w:pPr>
    </w:p>
    <w:p>
      <w:pPr>
        <w:spacing w:line="360" w:lineRule="auto"/>
        <w:jc w:val="center"/>
        <w:rPr>
          <w:rFonts w:ascii="宋体" w:hAnsi="宋体" w:cs="宋体"/>
          <w:b/>
          <w:szCs w:val="21"/>
          <w:highlight w:val="none"/>
        </w:rPr>
      </w:pPr>
      <w:r>
        <w:rPr>
          <w:rFonts w:hint="eastAsia" w:ascii="宋体" w:hAnsi="宋体"/>
          <w:sz w:val="22"/>
          <w:szCs w:val="22"/>
          <w:highlight w:val="none"/>
          <w:u w:val="single"/>
        </w:rPr>
        <w:t>备注填写说明：1、列明采购文件的</w:t>
      </w:r>
      <w:r>
        <w:rPr>
          <w:rFonts w:hint="eastAsia" w:ascii="宋体" w:hAnsi="宋体" w:cs="宋体"/>
          <w:sz w:val="22"/>
          <w:szCs w:val="22"/>
          <w:highlight w:val="none"/>
          <w:u w:val="single"/>
        </w:rPr>
        <w:t>服务条款</w:t>
      </w:r>
      <w:r>
        <w:rPr>
          <w:rFonts w:hint="eastAsia" w:ascii="宋体" w:hAnsi="宋体"/>
          <w:sz w:val="22"/>
          <w:szCs w:val="22"/>
          <w:highlight w:val="none"/>
          <w:u w:val="single"/>
        </w:rPr>
        <w:t>与投标文件对应响应，并说明偏离状况。</w:t>
      </w:r>
      <w:r>
        <w:rPr>
          <w:rFonts w:hint="eastAsia" w:hAnsi="宋体" w:cs="宋体"/>
          <w:b/>
          <w:sz w:val="32"/>
          <w:szCs w:val="32"/>
          <w:highlight w:val="none"/>
        </w:rPr>
        <w:br w:type="page"/>
      </w:r>
    </w:p>
    <w:p>
      <w:pPr>
        <w:pStyle w:val="64"/>
        <w:rPr>
          <w:rFonts w:ascii="宋体" w:hAnsi="宋体" w:cs="宋体"/>
          <w:b/>
          <w:szCs w:val="21"/>
          <w:highlight w:val="none"/>
        </w:rPr>
      </w:pPr>
    </w:p>
    <w:p>
      <w:pPr>
        <w:pStyle w:val="64"/>
        <w:jc w:val="center"/>
        <w:outlineLvl w:val="2"/>
        <w:rPr>
          <w:rFonts w:ascii="宋体" w:hAnsi="宋体" w:cs="宋体"/>
          <w:b/>
          <w:szCs w:val="21"/>
          <w:highlight w:val="none"/>
        </w:rPr>
      </w:pPr>
      <w:r>
        <w:rPr>
          <w:rFonts w:hint="eastAsia" w:ascii="宋体" w:hAnsi="宋体" w:cs="宋体"/>
          <w:b/>
          <w:szCs w:val="21"/>
          <w:highlight w:val="none"/>
        </w:rPr>
        <w:t>投标人基本情况说明</w:t>
      </w:r>
    </w:p>
    <w:tbl>
      <w:tblPr>
        <w:tblStyle w:val="50"/>
        <w:tblW w:w="0" w:type="auto"/>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1680"/>
        <w:gridCol w:w="1050"/>
        <w:gridCol w:w="945"/>
        <w:gridCol w:w="1785"/>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0"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单位名称</w:t>
            </w:r>
          </w:p>
        </w:tc>
        <w:tc>
          <w:tcPr>
            <w:tcW w:w="3675" w:type="dxa"/>
            <w:gridSpan w:val="3"/>
            <w:vAlign w:val="center"/>
          </w:tcPr>
          <w:p>
            <w:pPr>
              <w:spacing w:line="360" w:lineRule="auto"/>
              <w:jc w:val="center"/>
              <w:rPr>
                <w:rFonts w:ascii="宋体" w:hAnsi="宋体" w:cs="宋体"/>
                <w:szCs w:val="21"/>
                <w:highlight w:val="none"/>
              </w:rPr>
            </w:pPr>
          </w:p>
        </w:tc>
        <w:tc>
          <w:tcPr>
            <w:tcW w:w="1785"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组织机构代码</w:t>
            </w:r>
          </w:p>
        </w:tc>
        <w:tc>
          <w:tcPr>
            <w:tcW w:w="2234" w:type="dxa"/>
            <w:vAlign w:val="center"/>
          </w:tcPr>
          <w:p>
            <w:pP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0"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注册地址</w:t>
            </w:r>
          </w:p>
        </w:tc>
        <w:tc>
          <w:tcPr>
            <w:tcW w:w="3675" w:type="dxa"/>
            <w:gridSpan w:val="3"/>
            <w:vAlign w:val="center"/>
          </w:tcPr>
          <w:p>
            <w:pPr>
              <w:spacing w:line="360" w:lineRule="auto"/>
              <w:jc w:val="center"/>
              <w:rPr>
                <w:rFonts w:ascii="宋体" w:hAnsi="宋体" w:cs="宋体"/>
                <w:szCs w:val="21"/>
                <w:highlight w:val="none"/>
              </w:rPr>
            </w:pPr>
          </w:p>
        </w:tc>
        <w:tc>
          <w:tcPr>
            <w:tcW w:w="1785"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注册登记号</w:t>
            </w:r>
          </w:p>
        </w:tc>
        <w:tc>
          <w:tcPr>
            <w:tcW w:w="2234" w:type="dxa"/>
            <w:vAlign w:val="center"/>
          </w:tcPr>
          <w:p>
            <w:pP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0"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经营地址</w:t>
            </w:r>
          </w:p>
        </w:tc>
        <w:tc>
          <w:tcPr>
            <w:tcW w:w="3675" w:type="dxa"/>
            <w:gridSpan w:val="3"/>
            <w:vAlign w:val="center"/>
          </w:tcPr>
          <w:p>
            <w:pPr>
              <w:spacing w:line="360" w:lineRule="auto"/>
              <w:jc w:val="center"/>
              <w:rPr>
                <w:rFonts w:ascii="宋体" w:hAnsi="宋体" w:cs="宋体"/>
                <w:szCs w:val="21"/>
                <w:highlight w:val="none"/>
              </w:rPr>
            </w:pPr>
          </w:p>
        </w:tc>
        <w:tc>
          <w:tcPr>
            <w:tcW w:w="1785" w:type="dxa"/>
            <w:vAlign w:val="center"/>
          </w:tcPr>
          <w:p>
            <w:pPr>
              <w:spacing w:line="360" w:lineRule="auto"/>
              <w:jc w:val="center"/>
              <w:rPr>
                <w:rFonts w:ascii="宋体" w:hAnsi="宋体" w:cs="宋体"/>
                <w:spacing w:val="30"/>
                <w:szCs w:val="21"/>
                <w:highlight w:val="none"/>
              </w:rPr>
            </w:pPr>
            <w:r>
              <w:rPr>
                <w:rFonts w:hint="eastAsia" w:ascii="宋体" w:hAnsi="宋体" w:cs="宋体"/>
                <w:szCs w:val="21"/>
                <w:highlight w:val="none"/>
              </w:rPr>
              <w:t>税务登记证号</w:t>
            </w:r>
          </w:p>
        </w:tc>
        <w:tc>
          <w:tcPr>
            <w:tcW w:w="2234" w:type="dxa"/>
            <w:vAlign w:val="center"/>
          </w:tcPr>
          <w:p>
            <w:pP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0"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单位性质</w:t>
            </w:r>
          </w:p>
        </w:tc>
        <w:tc>
          <w:tcPr>
            <w:tcW w:w="3675" w:type="dxa"/>
            <w:gridSpan w:val="3"/>
            <w:vAlign w:val="center"/>
          </w:tcPr>
          <w:p>
            <w:pPr>
              <w:spacing w:line="360" w:lineRule="auto"/>
              <w:jc w:val="center"/>
              <w:rPr>
                <w:rFonts w:ascii="宋体" w:hAnsi="宋体" w:cs="宋体"/>
                <w:szCs w:val="21"/>
                <w:highlight w:val="none"/>
              </w:rPr>
            </w:pPr>
          </w:p>
        </w:tc>
        <w:tc>
          <w:tcPr>
            <w:tcW w:w="1785" w:type="dxa"/>
            <w:vAlign w:val="center"/>
          </w:tcPr>
          <w:p>
            <w:pPr>
              <w:spacing w:line="360" w:lineRule="auto"/>
              <w:jc w:val="center"/>
              <w:rPr>
                <w:rFonts w:ascii="宋体" w:hAnsi="宋体" w:cs="宋体"/>
                <w:szCs w:val="21"/>
                <w:highlight w:val="none"/>
              </w:rPr>
            </w:pPr>
            <w:r>
              <w:rPr>
                <w:rFonts w:hint="eastAsia" w:ascii="宋体" w:hAnsi="宋体" w:cs="宋体"/>
                <w:spacing w:val="34"/>
                <w:szCs w:val="21"/>
                <w:highlight w:val="none"/>
              </w:rPr>
              <w:t>注册资本</w:t>
            </w:r>
          </w:p>
        </w:tc>
        <w:tc>
          <w:tcPr>
            <w:tcW w:w="2234" w:type="dxa"/>
            <w:vAlign w:val="center"/>
          </w:tcPr>
          <w:p>
            <w:pP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0"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经营范围</w:t>
            </w:r>
          </w:p>
        </w:tc>
        <w:tc>
          <w:tcPr>
            <w:tcW w:w="3675" w:type="dxa"/>
            <w:gridSpan w:val="3"/>
            <w:vAlign w:val="center"/>
          </w:tcPr>
          <w:p>
            <w:pPr>
              <w:spacing w:line="360" w:lineRule="auto"/>
              <w:jc w:val="center"/>
              <w:rPr>
                <w:rFonts w:ascii="宋体" w:hAnsi="宋体" w:cs="宋体"/>
                <w:szCs w:val="21"/>
                <w:highlight w:val="none"/>
              </w:rPr>
            </w:pPr>
          </w:p>
        </w:tc>
        <w:tc>
          <w:tcPr>
            <w:tcW w:w="1785"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营业期限</w:t>
            </w:r>
          </w:p>
        </w:tc>
        <w:tc>
          <w:tcPr>
            <w:tcW w:w="2234"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年 月-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0"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资质情况</w:t>
            </w:r>
          </w:p>
        </w:tc>
        <w:tc>
          <w:tcPr>
            <w:tcW w:w="7694" w:type="dxa"/>
            <w:gridSpan w:val="5"/>
            <w:vAlign w:val="center"/>
          </w:tcPr>
          <w:p>
            <w:pP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0"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员工数量</w:t>
            </w:r>
          </w:p>
        </w:tc>
        <w:tc>
          <w:tcPr>
            <w:tcW w:w="7694" w:type="dxa"/>
            <w:gridSpan w:val="5"/>
            <w:vAlign w:val="center"/>
          </w:tcPr>
          <w:p>
            <w:pPr>
              <w:spacing w:line="360" w:lineRule="auto"/>
              <w:rPr>
                <w:rFonts w:ascii="宋体" w:hAnsi="宋体" w:cs="宋体"/>
                <w:szCs w:val="21"/>
                <w:highlight w:val="none"/>
              </w:rPr>
            </w:pPr>
            <w:r>
              <w:rPr>
                <w:rFonts w:hint="eastAsia" w:ascii="宋体" w:hAnsi="宋体" w:cs="宋体"/>
                <w:szCs w:val="21"/>
                <w:highlight w:val="none"/>
              </w:rPr>
              <w:t>共</w:t>
            </w:r>
            <w:r>
              <w:rPr>
                <w:rFonts w:hint="eastAsia" w:ascii="宋体" w:hAnsi="宋体" w:cs="宋体"/>
                <w:szCs w:val="21"/>
                <w:highlight w:val="none"/>
                <w:u w:val="single"/>
              </w:rPr>
              <w:t xml:space="preserve">  </w:t>
            </w:r>
            <w:r>
              <w:rPr>
                <w:rFonts w:hint="eastAsia" w:ascii="宋体" w:hAnsi="宋体" w:cs="宋体"/>
                <w:szCs w:val="21"/>
                <w:highlight w:val="none"/>
              </w:rPr>
              <w:t>人，其中，高级职称</w:t>
            </w:r>
            <w:r>
              <w:rPr>
                <w:rFonts w:hint="eastAsia" w:ascii="宋体" w:hAnsi="宋体" w:cs="宋体"/>
                <w:szCs w:val="21"/>
                <w:highlight w:val="none"/>
                <w:u w:val="single"/>
              </w:rPr>
              <w:t xml:space="preserve">   </w:t>
            </w:r>
            <w:r>
              <w:rPr>
                <w:rFonts w:hint="eastAsia" w:ascii="宋体" w:hAnsi="宋体" w:cs="宋体"/>
                <w:szCs w:val="21"/>
                <w:highlight w:val="none"/>
              </w:rPr>
              <w:t>人，中级职称</w:t>
            </w:r>
            <w:r>
              <w:rPr>
                <w:rFonts w:hint="eastAsia" w:ascii="宋体" w:hAnsi="宋体" w:cs="宋体"/>
                <w:szCs w:val="21"/>
                <w:highlight w:val="none"/>
                <w:u w:val="single"/>
              </w:rPr>
              <w:t xml:space="preserve">  </w:t>
            </w:r>
            <w:r>
              <w:rPr>
                <w:rFonts w:hint="eastAsia" w:ascii="宋体" w:hAnsi="宋体" w:cs="宋体"/>
                <w:szCs w:val="21"/>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0"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联系电话</w:t>
            </w:r>
          </w:p>
        </w:tc>
        <w:tc>
          <w:tcPr>
            <w:tcW w:w="3675" w:type="dxa"/>
            <w:gridSpan w:val="3"/>
            <w:vAlign w:val="center"/>
          </w:tcPr>
          <w:p>
            <w:pPr>
              <w:spacing w:line="360" w:lineRule="auto"/>
              <w:jc w:val="center"/>
              <w:rPr>
                <w:rFonts w:ascii="宋体" w:hAnsi="宋体" w:cs="宋体"/>
                <w:szCs w:val="21"/>
                <w:highlight w:val="none"/>
              </w:rPr>
            </w:pPr>
          </w:p>
        </w:tc>
        <w:tc>
          <w:tcPr>
            <w:tcW w:w="1785"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传真</w:t>
            </w:r>
          </w:p>
        </w:tc>
        <w:tc>
          <w:tcPr>
            <w:tcW w:w="2234" w:type="dxa"/>
            <w:vAlign w:val="center"/>
          </w:tcPr>
          <w:p>
            <w:pP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470"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主要业绩</w:t>
            </w:r>
          </w:p>
        </w:tc>
        <w:tc>
          <w:tcPr>
            <w:tcW w:w="7694" w:type="dxa"/>
            <w:gridSpan w:val="5"/>
            <w:vAlign w:val="center"/>
          </w:tcPr>
          <w:p>
            <w:pPr>
              <w:spacing w:line="360" w:lineRule="auto"/>
              <w:rPr>
                <w:rFonts w:ascii="宋体" w:hAnsi="宋体" w:cs="宋体"/>
                <w:szCs w:val="21"/>
                <w:highlight w:val="none"/>
              </w:rPr>
            </w:pPr>
          </w:p>
          <w:p>
            <w:pPr>
              <w:spacing w:line="360" w:lineRule="auto"/>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64" w:type="dxa"/>
            <w:gridSpan w:val="6"/>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法 定 代 表 人 基 本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0"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姓  名</w:t>
            </w:r>
          </w:p>
        </w:tc>
        <w:tc>
          <w:tcPr>
            <w:tcW w:w="3675" w:type="dxa"/>
            <w:gridSpan w:val="3"/>
            <w:vAlign w:val="center"/>
          </w:tcPr>
          <w:p>
            <w:pPr>
              <w:spacing w:line="360" w:lineRule="auto"/>
              <w:jc w:val="center"/>
              <w:rPr>
                <w:rFonts w:ascii="宋体" w:hAnsi="宋体" w:cs="宋体"/>
                <w:szCs w:val="21"/>
                <w:highlight w:val="none"/>
              </w:rPr>
            </w:pPr>
          </w:p>
        </w:tc>
        <w:tc>
          <w:tcPr>
            <w:tcW w:w="1785"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身份证号码</w:t>
            </w:r>
          </w:p>
        </w:tc>
        <w:tc>
          <w:tcPr>
            <w:tcW w:w="2234" w:type="dxa"/>
            <w:vAlign w:val="center"/>
          </w:tcPr>
          <w:p>
            <w:pP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0"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职  务</w:t>
            </w:r>
          </w:p>
        </w:tc>
        <w:tc>
          <w:tcPr>
            <w:tcW w:w="1680" w:type="dxa"/>
            <w:vAlign w:val="center"/>
          </w:tcPr>
          <w:p>
            <w:pPr>
              <w:spacing w:line="360" w:lineRule="auto"/>
              <w:jc w:val="center"/>
              <w:rPr>
                <w:rFonts w:ascii="宋体" w:hAnsi="宋体" w:cs="宋体"/>
                <w:szCs w:val="21"/>
                <w:highlight w:val="none"/>
              </w:rPr>
            </w:pPr>
          </w:p>
        </w:tc>
        <w:tc>
          <w:tcPr>
            <w:tcW w:w="1050"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职   称</w:t>
            </w:r>
          </w:p>
        </w:tc>
        <w:tc>
          <w:tcPr>
            <w:tcW w:w="945" w:type="dxa"/>
            <w:vAlign w:val="center"/>
          </w:tcPr>
          <w:p>
            <w:pPr>
              <w:spacing w:line="360" w:lineRule="auto"/>
              <w:jc w:val="center"/>
              <w:rPr>
                <w:rFonts w:ascii="宋体" w:hAnsi="宋体" w:cs="宋体"/>
                <w:szCs w:val="21"/>
                <w:highlight w:val="none"/>
              </w:rPr>
            </w:pPr>
          </w:p>
        </w:tc>
        <w:tc>
          <w:tcPr>
            <w:tcW w:w="1785"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学    历</w:t>
            </w:r>
          </w:p>
        </w:tc>
        <w:tc>
          <w:tcPr>
            <w:tcW w:w="2234" w:type="dxa"/>
            <w:vAlign w:val="center"/>
          </w:tcPr>
          <w:p>
            <w:pP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9164" w:type="dxa"/>
            <w:gridSpan w:val="6"/>
          </w:tcPr>
          <w:p>
            <w:pPr>
              <w:spacing w:line="360" w:lineRule="auto"/>
              <w:rPr>
                <w:rFonts w:ascii="宋体" w:hAnsi="宋体" w:cs="宋体"/>
                <w:szCs w:val="21"/>
                <w:highlight w:val="none"/>
              </w:rPr>
            </w:pPr>
            <w:r>
              <w:rPr>
                <w:rFonts w:hint="eastAsia" w:ascii="宋体" w:hAnsi="宋体" w:cs="宋体"/>
                <w:szCs w:val="21"/>
                <w:highlight w:val="none"/>
              </w:rPr>
              <w:t>备注:</w:t>
            </w:r>
          </w:p>
        </w:tc>
      </w:tr>
    </w:tbl>
    <w:p>
      <w:pPr>
        <w:spacing w:line="360" w:lineRule="auto"/>
        <w:rPr>
          <w:rFonts w:ascii="宋体" w:hAnsi="宋体" w:cs="宋体"/>
          <w:b/>
          <w:szCs w:val="21"/>
          <w:highlight w:val="none"/>
        </w:rPr>
      </w:pPr>
      <w:r>
        <w:rPr>
          <w:rFonts w:hint="eastAsia" w:ascii="宋体" w:hAnsi="宋体" w:cs="宋体"/>
          <w:szCs w:val="21"/>
          <w:highlight w:val="none"/>
        </w:rPr>
        <w:t xml:space="preserve">  </w:t>
      </w:r>
      <w:r>
        <w:rPr>
          <w:rFonts w:hint="eastAsia" w:ascii="宋体" w:hAnsi="宋体" w:cs="宋体"/>
          <w:b/>
          <w:szCs w:val="21"/>
          <w:highlight w:val="none"/>
        </w:rPr>
        <w:t>兹证明上述声明是真实、正确的，并提供了全部能提供的资料和数据，我们同意遵照贵方要求出示有关证明文件。</w:t>
      </w:r>
    </w:p>
    <w:p>
      <w:pPr>
        <w:spacing w:line="360" w:lineRule="auto"/>
        <w:rPr>
          <w:rFonts w:ascii="宋体" w:hAnsi="宋体" w:cs="宋体"/>
          <w:b/>
          <w:highlight w:val="none"/>
        </w:rPr>
      </w:pPr>
    </w:p>
    <w:p>
      <w:pPr>
        <w:rPr>
          <w:rFonts w:ascii="宋体" w:hAnsi="宋体" w:cs="宋体"/>
          <w:highlight w:val="none"/>
        </w:rPr>
      </w:pPr>
    </w:p>
    <w:p>
      <w:pPr>
        <w:pStyle w:val="3"/>
        <w:widowControl/>
        <w:spacing w:line="360" w:lineRule="auto"/>
        <w:jc w:val="right"/>
        <w:rPr>
          <w:rFonts w:hAnsi="宋体" w:cs="宋体"/>
          <w:szCs w:val="21"/>
          <w:highlight w:val="none"/>
        </w:rPr>
      </w:pPr>
      <w:r>
        <w:rPr>
          <w:rFonts w:hint="eastAsia" w:hAnsi="宋体" w:cs="宋体"/>
          <w:szCs w:val="21"/>
          <w:highlight w:val="none"/>
        </w:rPr>
        <w:t>供应商全称（盖公章）：</w:t>
      </w:r>
    </w:p>
    <w:p>
      <w:pPr>
        <w:pStyle w:val="3"/>
        <w:widowControl/>
        <w:spacing w:line="360" w:lineRule="auto"/>
        <w:jc w:val="right"/>
        <w:rPr>
          <w:rFonts w:hAnsi="宋体" w:cs="宋体"/>
          <w:szCs w:val="21"/>
          <w:highlight w:val="none"/>
        </w:rPr>
      </w:pPr>
      <w:r>
        <w:rPr>
          <w:rFonts w:hint="eastAsia" w:hAnsi="宋体" w:cs="宋体"/>
          <w:szCs w:val="21"/>
          <w:highlight w:val="none"/>
        </w:rPr>
        <w:t>法定代表人或其授权委托人（签名或印章）：</w:t>
      </w:r>
    </w:p>
    <w:p>
      <w:pPr>
        <w:spacing w:line="360" w:lineRule="auto"/>
        <w:ind w:right="180"/>
        <w:jc w:val="right"/>
        <w:rPr>
          <w:rFonts w:ascii="宋体" w:hAnsi="宋体"/>
          <w:sz w:val="22"/>
          <w:szCs w:val="22"/>
          <w:highlight w:val="none"/>
        </w:rPr>
      </w:pPr>
      <w:r>
        <w:rPr>
          <w:rFonts w:hint="eastAsia" w:hAnsi="宋体" w:cs="宋体"/>
          <w:szCs w:val="21"/>
          <w:highlight w:val="none"/>
        </w:rPr>
        <w:t xml:space="preserve">                                      日期：   年   月  日</w:t>
      </w:r>
    </w:p>
    <w:p>
      <w:pPr>
        <w:adjustRightInd w:val="0"/>
        <w:snapToGrid w:val="0"/>
        <w:spacing w:line="360" w:lineRule="auto"/>
        <w:ind w:right="-315" w:rightChars="-150"/>
        <w:jc w:val="center"/>
        <w:outlineLvl w:val="2"/>
        <w:rPr>
          <w:b/>
          <w:sz w:val="32"/>
          <w:szCs w:val="32"/>
          <w:highlight w:val="none"/>
        </w:rPr>
      </w:pPr>
      <w:r>
        <w:rPr>
          <w:rFonts w:hint="eastAsia" w:hAnsi="宋体" w:cs="宋体"/>
          <w:szCs w:val="21"/>
          <w:highlight w:val="none"/>
        </w:rPr>
        <w:br w:type="page"/>
      </w:r>
      <w:r>
        <w:rPr>
          <w:rFonts w:hint="eastAsia" w:ascii="宋体" w:hAnsi="宋体"/>
          <w:b/>
          <w:kern w:val="0"/>
          <w:sz w:val="32"/>
          <w:szCs w:val="32"/>
          <w:highlight w:val="none"/>
        </w:rPr>
        <w:t>拟投入本项目服务人员情况</w:t>
      </w:r>
      <w:r>
        <w:rPr>
          <w:rFonts w:hint="eastAsia"/>
          <w:b/>
          <w:sz w:val="32"/>
          <w:szCs w:val="32"/>
          <w:highlight w:val="none"/>
        </w:rPr>
        <w:t>表</w:t>
      </w:r>
    </w:p>
    <w:p>
      <w:pPr>
        <w:adjustRightInd w:val="0"/>
        <w:snapToGrid w:val="0"/>
        <w:spacing w:line="400" w:lineRule="exact"/>
        <w:rPr>
          <w:rFonts w:ascii="宋体" w:hAnsi="宋体"/>
          <w:sz w:val="22"/>
          <w:szCs w:val="22"/>
          <w:highlight w:val="none"/>
          <w:u w:val="single"/>
        </w:rPr>
      </w:pPr>
      <w:r>
        <w:rPr>
          <w:rFonts w:hint="eastAsia" w:ascii="宋体" w:hAnsi="宋体"/>
          <w:sz w:val="22"/>
          <w:szCs w:val="22"/>
          <w:highlight w:val="none"/>
        </w:rPr>
        <w:t>项目名称：</w:t>
      </w:r>
      <w:r>
        <w:rPr>
          <w:rFonts w:hint="eastAsia" w:ascii="宋体" w:hAnsi="宋体"/>
          <w:sz w:val="22"/>
          <w:szCs w:val="22"/>
          <w:highlight w:val="none"/>
          <w:u w:val="single"/>
        </w:rPr>
        <w:t xml:space="preserve">                     </w:t>
      </w:r>
    </w:p>
    <w:tbl>
      <w:tblPr>
        <w:tblStyle w:val="50"/>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981"/>
        <w:gridCol w:w="981"/>
        <w:gridCol w:w="851"/>
        <w:gridCol w:w="992"/>
        <w:gridCol w:w="851"/>
        <w:gridCol w:w="1134"/>
        <w:gridCol w:w="141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Merge w:val="restart"/>
            <w:vAlign w:val="center"/>
          </w:tcPr>
          <w:p>
            <w:pPr>
              <w:spacing w:line="360" w:lineRule="auto"/>
              <w:jc w:val="center"/>
              <w:rPr>
                <w:rFonts w:ascii="宋体" w:hAnsi="宋体"/>
                <w:sz w:val="22"/>
                <w:szCs w:val="22"/>
                <w:highlight w:val="none"/>
              </w:rPr>
            </w:pPr>
            <w:r>
              <w:rPr>
                <w:rFonts w:hint="eastAsia" w:ascii="宋体" w:hAnsi="宋体"/>
                <w:sz w:val="22"/>
                <w:szCs w:val="22"/>
                <w:highlight w:val="none"/>
              </w:rPr>
              <w:t>职务</w:t>
            </w:r>
          </w:p>
        </w:tc>
        <w:tc>
          <w:tcPr>
            <w:tcW w:w="981" w:type="dxa"/>
            <w:vMerge w:val="restart"/>
            <w:vAlign w:val="center"/>
          </w:tcPr>
          <w:p>
            <w:pPr>
              <w:spacing w:line="360" w:lineRule="auto"/>
              <w:jc w:val="center"/>
              <w:rPr>
                <w:rFonts w:ascii="宋体" w:hAnsi="宋体"/>
                <w:sz w:val="22"/>
                <w:szCs w:val="22"/>
                <w:highlight w:val="none"/>
              </w:rPr>
            </w:pPr>
            <w:r>
              <w:rPr>
                <w:rFonts w:hint="eastAsia" w:ascii="宋体" w:hAnsi="宋体"/>
                <w:sz w:val="22"/>
                <w:szCs w:val="22"/>
                <w:highlight w:val="none"/>
              </w:rPr>
              <w:t>姓名</w:t>
            </w:r>
          </w:p>
        </w:tc>
        <w:tc>
          <w:tcPr>
            <w:tcW w:w="981" w:type="dxa"/>
            <w:vMerge w:val="restart"/>
            <w:vAlign w:val="center"/>
          </w:tcPr>
          <w:p>
            <w:pPr>
              <w:spacing w:line="360" w:lineRule="auto"/>
              <w:jc w:val="center"/>
              <w:rPr>
                <w:rFonts w:ascii="宋体" w:hAnsi="宋体"/>
                <w:sz w:val="22"/>
                <w:szCs w:val="22"/>
                <w:highlight w:val="none"/>
              </w:rPr>
            </w:pPr>
            <w:r>
              <w:rPr>
                <w:rFonts w:hint="eastAsia" w:ascii="宋体" w:hAnsi="宋体"/>
                <w:sz w:val="22"/>
                <w:szCs w:val="22"/>
                <w:highlight w:val="none"/>
              </w:rPr>
              <w:t>职称</w:t>
            </w:r>
          </w:p>
        </w:tc>
        <w:tc>
          <w:tcPr>
            <w:tcW w:w="3828" w:type="dxa"/>
            <w:gridSpan w:val="4"/>
            <w:vAlign w:val="center"/>
          </w:tcPr>
          <w:p>
            <w:pPr>
              <w:spacing w:line="360" w:lineRule="auto"/>
              <w:jc w:val="center"/>
              <w:rPr>
                <w:rFonts w:ascii="宋体" w:hAnsi="宋体"/>
                <w:sz w:val="22"/>
                <w:szCs w:val="22"/>
                <w:highlight w:val="none"/>
              </w:rPr>
            </w:pPr>
            <w:r>
              <w:rPr>
                <w:rFonts w:hint="eastAsia" w:ascii="宋体" w:hAnsi="宋体"/>
                <w:sz w:val="22"/>
                <w:szCs w:val="22"/>
                <w:highlight w:val="none"/>
              </w:rPr>
              <w:t>执业或职业资格证明</w:t>
            </w:r>
          </w:p>
        </w:tc>
        <w:tc>
          <w:tcPr>
            <w:tcW w:w="1417" w:type="dxa"/>
            <w:vMerge w:val="restart"/>
            <w:vAlign w:val="center"/>
          </w:tcPr>
          <w:p>
            <w:pPr>
              <w:spacing w:line="360" w:lineRule="auto"/>
              <w:jc w:val="center"/>
              <w:rPr>
                <w:rFonts w:ascii="宋体" w:hAnsi="宋体"/>
                <w:sz w:val="22"/>
                <w:szCs w:val="22"/>
                <w:highlight w:val="none"/>
              </w:rPr>
            </w:pPr>
            <w:r>
              <w:rPr>
                <w:rFonts w:hint="eastAsia" w:ascii="宋体" w:hAnsi="宋体"/>
                <w:sz w:val="22"/>
                <w:szCs w:val="22"/>
                <w:highlight w:val="none"/>
              </w:rPr>
              <w:t>从业经验</w:t>
            </w:r>
          </w:p>
        </w:tc>
        <w:tc>
          <w:tcPr>
            <w:tcW w:w="1418" w:type="dxa"/>
            <w:vMerge w:val="restart"/>
            <w:vAlign w:val="center"/>
          </w:tcPr>
          <w:p>
            <w:pPr>
              <w:spacing w:line="360" w:lineRule="auto"/>
              <w:jc w:val="center"/>
              <w:rPr>
                <w:rFonts w:ascii="宋体" w:hAnsi="宋体"/>
                <w:sz w:val="22"/>
                <w:szCs w:val="22"/>
                <w:highlight w:val="none"/>
              </w:rPr>
            </w:pPr>
            <w:r>
              <w:rPr>
                <w:rFonts w:hint="eastAsia" w:ascii="宋体" w:hAnsi="宋体"/>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Merge w:val="continue"/>
            <w:vAlign w:val="center"/>
          </w:tcPr>
          <w:p>
            <w:pPr>
              <w:spacing w:line="360" w:lineRule="auto"/>
              <w:jc w:val="center"/>
              <w:rPr>
                <w:rFonts w:ascii="宋体" w:hAnsi="宋体"/>
                <w:sz w:val="22"/>
                <w:szCs w:val="22"/>
                <w:highlight w:val="none"/>
              </w:rPr>
            </w:pPr>
          </w:p>
        </w:tc>
        <w:tc>
          <w:tcPr>
            <w:tcW w:w="981" w:type="dxa"/>
            <w:vMerge w:val="continue"/>
            <w:vAlign w:val="center"/>
          </w:tcPr>
          <w:p>
            <w:pPr>
              <w:spacing w:line="360" w:lineRule="auto"/>
              <w:jc w:val="center"/>
              <w:rPr>
                <w:rFonts w:ascii="宋体" w:hAnsi="宋体"/>
                <w:sz w:val="22"/>
                <w:szCs w:val="22"/>
                <w:highlight w:val="none"/>
              </w:rPr>
            </w:pPr>
          </w:p>
        </w:tc>
        <w:tc>
          <w:tcPr>
            <w:tcW w:w="981" w:type="dxa"/>
            <w:vMerge w:val="continue"/>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r>
              <w:rPr>
                <w:rFonts w:hint="eastAsia" w:ascii="宋体" w:hAnsi="宋体"/>
                <w:sz w:val="22"/>
                <w:szCs w:val="22"/>
                <w:highlight w:val="none"/>
              </w:rPr>
              <w:t>证书名称</w:t>
            </w:r>
          </w:p>
        </w:tc>
        <w:tc>
          <w:tcPr>
            <w:tcW w:w="992" w:type="dxa"/>
            <w:vAlign w:val="center"/>
          </w:tcPr>
          <w:p>
            <w:pPr>
              <w:spacing w:line="360" w:lineRule="auto"/>
              <w:jc w:val="center"/>
              <w:rPr>
                <w:rFonts w:ascii="宋体" w:hAnsi="宋体"/>
                <w:sz w:val="22"/>
                <w:szCs w:val="22"/>
                <w:highlight w:val="none"/>
              </w:rPr>
            </w:pPr>
            <w:r>
              <w:rPr>
                <w:rFonts w:hint="eastAsia" w:ascii="宋体" w:hAnsi="宋体"/>
                <w:sz w:val="22"/>
                <w:szCs w:val="22"/>
                <w:highlight w:val="none"/>
              </w:rPr>
              <w:t>级别</w:t>
            </w:r>
          </w:p>
        </w:tc>
        <w:tc>
          <w:tcPr>
            <w:tcW w:w="851" w:type="dxa"/>
            <w:vAlign w:val="center"/>
          </w:tcPr>
          <w:p>
            <w:pPr>
              <w:spacing w:line="360" w:lineRule="auto"/>
              <w:jc w:val="center"/>
              <w:rPr>
                <w:rFonts w:ascii="宋体" w:hAnsi="宋体"/>
                <w:sz w:val="22"/>
                <w:szCs w:val="22"/>
                <w:highlight w:val="none"/>
              </w:rPr>
            </w:pPr>
            <w:r>
              <w:rPr>
                <w:rFonts w:hint="eastAsia" w:ascii="宋体" w:hAnsi="宋体"/>
                <w:sz w:val="22"/>
                <w:szCs w:val="22"/>
                <w:highlight w:val="none"/>
              </w:rPr>
              <w:t>证号</w:t>
            </w:r>
          </w:p>
        </w:tc>
        <w:tc>
          <w:tcPr>
            <w:tcW w:w="1134" w:type="dxa"/>
            <w:vAlign w:val="center"/>
          </w:tcPr>
          <w:p>
            <w:pPr>
              <w:spacing w:line="360" w:lineRule="auto"/>
              <w:jc w:val="center"/>
              <w:rPr>
                <w:rFonts w:ascii="宋体" w:hAnsi="宋体"/>
                <w:sz w:val="22"/>
                <w:szCs w:val="22"/>
                <w:highlight w:val="none"/>
              </w:rPr>
            </w:pPr>
            <w:r>
              <w:rPr>
                <w:rFonts w:hint="eastAsia" w:ascii="宋体" w:hAnsi="宋体"/>
                <w:sz w:val="22"/>
                <w:szCs w:val="22"/>
                <w:highlight w:val="none"/>
              </w:rPr>
              <w:t>专业</w:t>
            </w:r>
          </w:p>
        </w:tc>
        <w:tc>
          <w:tcPr>
            <w:tcW w:w="1417" w:type="dxa"/>
            <w:vMerge w:val="continue"/>
            <w:vAlign w:val="center"/>
          </w:tcPr>
          <w:p>
            <w:pPr>
              <w:spacing w:line="360" w:lineRule="auto"/>
              <w:jc w:val="center"/>
              <w:rPr>
                <w:rFonts w:ascii="宋体" w:hAnsi="宋体"/>
                <w:sz w:val="22"/>
                <w:szCs w:val="22"/>
                <w:highlight w:val="none"/>
              </w:rPr>
            </w:pPr>
          </w:p>
        </w:tc>
        <w:tc>
          <w:tcPr>
            <w:tcW w:w="1418" w:type="dxa"/>
            <w:vMerge w:val="continue"/>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992"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1134" w:type="dxa"/>
            <w:vAlign w:val="center"/>
          </w:tcPr>
          <w:p>
            <w:pPr>
              <w:spacing w:line="360" w:lineRule="auto"/>
              <w:jc w:val="center"/>
              <w:rPr>
                <w:rFonts w:ascii="宋体" w:hAnsi="宋体"/>
                <w:sz w:val="22"/>
                <w:szCs w:val="22"/>
                <w:highlight w:val="none"/>
              </w:rPr>
            </w:pPr>
          </w:p>
        </w:tc>
        <w:tc>
          <w:tcPr>
            <w:tcW w:w="1417" w:type="dxa"/>
            <w:vAlign w:val="center"/>
          </w:tcPr>
          <w:p>
            <w:pPr>
              <w:spacing w:line="360" w:lineRule="auto"/>
              <w:jc w:val="center"/>
              <w:rPr>
                <w:rFonts w:ascii="宋体" w:hAnsi="宋体"/>
                <w:sz w:val="22"/>
                <w:szCs w:val="22"/>
                <w:highlight w:val="none"/>
              </w:rPr>
            </w:pPr>
          </w:p>
        </w:tc>
        <w:tc>
          <w:tcPr>
            <w:tcW w:w="1418" w:type="dxa"/>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992"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1134" w:type="dxa"/>
            <w:vAlign w:val="center"/>
          </w:tcPr>
          <w:p>
            <w:pPr>
              <w:spacing w:line="360" w:lineRule="auto"/>
              <w:jc w:val="center"/>
              <w:rPr>
                <w:rFonts w:ascii="宋体" w:hAnsi="宋体"/>
                <w:sz w:val="22"/>
                <w:szCs w:val="22"/>
                <w:highlight w:val="none"/>
              </w:rPr>
            </w:pPr>
          </w:p>
        </w:tc>
        <w:tc>
          <w:tcPr>
            <w:tcW w:w="1417" w:type="dxa"/>
            <w:vAlign w:val="center"/>
          </w:tcPr>
          <w:p>
            <w:pPr>
              <w:spacing w:line="360" w:lineRule="auto"/>
              <w:jc w:val="center"/>
              <w:rPr>
                <w:rFonts w:ascii="宋体" w:hAnsi="宋体"/>
                <w:sz w:val="22"/>
                <w:szCs w:val="22"/>
                <w:highlight w:val="none"/>
              </w:rPr>
            </w:pPr>
          </w:p>
        </w:tc>
        <w:tc>
          <w:tcPr>
            <w:tcW w:w="1418" w:type="dxa"/>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992"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1134" w:type="dxa"/>
            <w:vAlign w:val="center"/>
          </w:tcPr>
          <w:p>
            <w:pPr>
              <w:spacing w:line="360" w:lineRule="auto"/>
              <w:jc w:val="center"/>
              <w:rPr>
                <w:rFonts w:ascii="宋体" w:hAnsi="宋体"/>
                <w:sz w:val="22"/>
                <w:szCs w:val="22"/>
                <w:highlight w:val="none"/>
              </w:rPr>
            </w:pPr>
          </w:p>
        </w:tc>
        <w:tc>
          <w:tcPr>
            <w:tcW w:w="1417" w:type="dxa"/>
            <w:vAlign w:val="center"/>
          </w:tcPr>
          <w:p>
            <w:pPr>
              <w:spacing w:line="360" w:lineRule="auto"/>
              <w:jc w:val="center"/>
              <w:rPr>
                <w:rFonts w:ascii="宋体" w:hAnsi="宋体"/>
                <w:sz w:val="22"/>
                <w:szCs w:val="22"/>
                <w:highlight w:val="none"/>
              </w:rPr>
            </w:pPr>
          </w:p>
        </w:tc>
        <w:tc>
          <w:tcPr>
            <w:tcW w:w="1418" w:type="dxa"/>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992"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1134" w:type="dxa"/>
            <w:vAlign w:val="center"/>
          </w:tcPr>
          <w:p>
            <w:pPr>
              <w:spacing w:line="360" w:lineRule="auto"/>
              <w:jc w:val="center"/>
              <w:rPr>
                <w:rFonts w:ascii="宋体" w:hAnsi="宋体"/>
                <w:sz w:val="22"/>
                <w:szCs w:val="22"/>
                <w:highlight w:val="none"/>
              </w:rPr>
            </w:pPr>
          </w:p>
        </w:tc>
        <w:tc>
          <w:tcPr>
            <w:tcW w:w="1417" w:type="dxa"/>
            <w:vAlign w:val="center"/>
          </w:tcPr>
          <w:p>
            <w:pPr>
              <w:spacing w:line="360" w:lineRule="auto"/>
              <w:jc w:val="center"/>
              <w:rPr>
                <w:rFonts w:ascii="宋体" w:hAnsi="宋体"/>
                <w:sz w:val="22"/>
                <w:szCs w:val="22"/>
                <w:highlight w:val="none"/>
              </w:rPr>
            </w:pPr>
          </w:p>
        </w:tc>
        <w:tc>
          <w:tcPr>
            <w:tcW w:w="1418" w:type="dxa"/>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992"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1134" w:type="dxa"/>
            <w:vAlign w:val="center"/>
          </w:tcPr>
          <w:p>
            <w:pPr>
              <w:spacing w:line="360" w:lineRule="auto"/>
              <w:jc w:val="center"/>
              <w:rPr>
                <w:rFonts w:ascii="宋体" w:hAnsi="宋体"/>
                <w:sz w:val="22"/>
                <w:szCs w:val="22"/>
                <w:highlight w:val="none"/>
              </w:rPr>
            </w:pPr>
          </w:p>
        </w:tc>
        <w:tc>
          <w:tcPr>
            <w:tcW w:w="1417" w:type="dxa"/>
            <w:vAlign w:val="center"/>
          </w:tcPr>
          <w:p>
            <w:pPr>
              <w:spacing w:line="360" w:lineRule="auto"/>
              <w:jc w:val="center"/>
              <w:rPr>
                <w:rFonts w:ascii="宋体" w:hAnsi="宋体"/>
                <w:sz w:val="22"/>
                <w:szCs w:val="22"/>
                <w:highlight w:val="none"/>
              </w:rPr>
            </w:pPr>
          </w:p>
        </w:tc>
        <w:tc>
          <w:tcPr>
            <w:tcW w:w="1418" w:type="dxa"/>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992"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1134" w:type="dxa"/>
            <w:vAlign w:val="center"/>
          </w:tcPr>
          <w:p>
            <w:pPr>
              <w:spacing w:line="360" w:lineRule="auto"/>
              <w:jc w:val="center"/>
              <w:rPr>
                <w:rFonts w:ascii="宋体" w:hAnsi="宋体"/>
                <w:sz w:val="22"/>
                <w:szCs w:val="22"/>
                <w:highlight w:val="none"/>
              </w:rPr>
            </w:pPr>
          </w:p>
        </w:tc>
        <w:tc>
          <w:tcPr>
            <w:tcW w:w="1417" w:type="dxa"/>
            <w:vAlign w:val="center"/>
          </w:tcPr>
          <w:p>
            <w:pPr>
              <w:spacing w:line="360" w:lineRule="auto"/>
              <w:jc w:val="center"/>
              <w:rPr>
                <w:rFonts w:ascii="宋体" w:hAnsi="宋体"/>
                <w:sz w:val="22"/>
                <w:szCs w:val="22"/>
                <w:highlight w:val="none"/>
              </w:rPr>
            </w:pPr>
          </w:p>
        </w:tc>
        <w:tc>
          <w:tcPr>
            <w:tcW w:w="1418" w:type="dxa"/>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992"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1134" w:type="dxa"/>
            <w:vAlign w:val="center"/>
          </w:tcPr>
          <w:p>
            <w:pPr>
              <w:spacing w:line="360" w:lineRule="auto"/>
              <w:jc w:val="center"/>
              <w:rPr>
                <w:rFonts w:ascii="宋体" w:hAnsi="宋体"/>
                <w:sz w:val="22"/>
                <w:szCs w:val="22"/>
                <w:highlight w:val="none"/>
              </w:rPr>
            </w:pPr>
          </w:p>
        </w:tc>
        <w:tc>
          <w:tcPr>
            <w:tcW w:w="1417" w:type="dxa"/>
            <w:vAlign w:val="center"/>
          </w:tcPr>
          <w:p>
            <w:pPr>
              <w:spacing w:line="360" w:lineRule="auto"/>
              <w:jc w:val="center"/>
              <w:rPr>
                <w:rFonts w:ascii="宋体" w:hAnsi="宋体"/>
                <w:sz w:val="22"/>
                <w:szCs w:val="22"/>
                <w:highlight w:val="none"/>
              </w:rPr>
            </w:pPr>
          </w:p>
        </w:tc>
        <w:tc>
          <w:tcPr>
            <w:tcW w:w="1418" w:type="dxa"/>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992"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1134" w:type="dxa"/>
            <w:vAlign w:val="center"/>
          </w:tcPr>
          <w:p>
            <w:pPr>
              <w:spacing w:line="360" w:lineRule="auto"/>
              <w:jc w:val="center"/>
              <w:rPr>
                <w:rFonts w:ascii="宋体" w:hAnsi="宋体"/>
                <w:sz w:val="22"/>
                <w:szCs w:val="22"/>
                <w:highlight w:val="none"/>
              </w:rPr>
            </w:pPr>
          </w:p>
        </w:tc>
        <w:tc>
          <w:tcPr>
            <w:tcW w:w="1417" w:type="dxa"/>
            <w:vAlign w:val="center"/>
          </w:tcPr>
          <w:p>
            <w:pPr>
              <w:spacing w:line="360" w:lineRule="auto"/>
              <w:jc w:val="center"/>
              <w:rPr>
                <w:rFonts w:ascii="宋体" w:hAnsi="宋体"/>
                <w:sz w:val="22"/>
                <w:szCs w:val="22"/>
                <w:highlight w:val="none"/>
              </w:rPr>
            </w:pPr>
          </w:p>
        </w:tc>
        <w:tc>
          <w:tcPr>
            <w:tcW w:w="1418" w:type="dxa"/>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992"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1134" w:type="dxa"/>
            <w:vAlign w:val="center"/>
          </w:tcPr>
          <w:p>
            <w:pPr>
              <w:spacing w:line="360" w:lineRule="auto"/>
              <w:jc w:val="center"/>
              <w:rPr>
                <w:rFonts w:ascii="宋体" w:hAnsi="宋体"/>
                <w:sz w:val="22"/>
                <w:szCs w:val="22"/>
                <w:highlight w:val="none"/>
              </w:rPr>
            </w:pPr>
          </w:p>
        </w:tc>
        <w:tc>
          <w:tcPr>
            <w:tcW w:w="1417" w:type="dxa"/>
            <w:vAlign w:val="center"/>
          </w:tcPr>
          <w:p>
            <w:pPr>
              <w:spacing w:line="360" w:lineRule="auto"/>
              <w:jc w:val="center"/>
              <w:rPr>
                <w:rFonts w:ascii="宋体" w:hAnsi="宋体"/>
                <w:sz w:val="22"/>
                <w:szCs w:val="22"/>
                <w:highlight w:val="none"/>
              </w:rPr>
            </w:pPr>
          </w:p>
        </w:tc>
        <w:tc>
          <w:tcPr>
            <w:tcW w:w="1418" w:type="dxa"/>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992"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1134" w:type="dxa"/>
            <w:vAlign w:val="center"/>
          </w:tcPr>
          <w:p>
            <w:pPr>
              <w:spacing w:line="360" w:lineRule="auto"/>
              <w:jc w:val="center"/>
              <w:rPr>
                <w:rFonts w:ascii="宋体" w:hAnsi="宋体"/>
                <w:sz w:val="22"/>
                <w:szCs w:val="22"/>
                <w:highlight w:val="none"/>
              </w:rPr>
            </w:pPr>
          </w:p>
        </w:tc>
        <w:tc>
          <w:tcPr>
            <w:tcW w:w="1417" w:type="dxa"/>
            <w:vAlign w:val="center"/>
          </w:tcPr>
          <w:p>
            <w:pPr>
              <w:spacing w:line="360" w:lineRule="auto"/>
              <w:jc w:val="center"/>
              <w:rPr>
                <w:rFonts w:ascii="宋体" w:hAnsi="宋体"/>
                <w:sz w:val="22"/>
                <w:szCs w:val="22"/>
                <w:highlight w:val="none"/>
              </w:rPr>
            </w:pPr>
          </w:p>
        </w:tc>
        <w:tc>
          <w:tcPr>
            <w:tcW w:w="1418" w:type="dxa"/>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992"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1134" w:type="dxa"/>
            <w:vAlign w:val="center"/>
          </w:tcPr>
          <w:p>
            <w:pPr>
              <w:spacing w:line="360" w:lineRule="auto"/>
              <w:jc w:val="center"/>
              <w:rPr>
                <w:rFonts w:ascii="宋体" w:hAnsi="宋体"/>
                <w:sz w:val="22"/>
                <w:szCs w:val="22"/>
                <w:highlight w:val="none"/>
              </w:rPr>
            </w:pPr>
          </w:p>
        </w:tc>
        <w:tc>
          <w:tcPr>
            <w:tcW w:w="1417" w:type="dxa"/>
            <w:vAlign w:val="center"/>
          </w:tcPr>
          <w:p>
            <w:pPr>
              <w:spacing w:line="360" w:lineRule="auto"/>
              <w:jc w:val="center"/>
              <w:rPr>
                <w:rFonts w:ascii="宋体" w:hAnsi="宋体"/>
                <w:sz w:val="22"/>
                <w:szCs w:val="22"/>
                <w:highlight w:val="none"/>
              </w:rPr>
            </w:pPr>
          </w:p>
        </w:tc>
        <w:tc>
          <w:tcPr>
            <w:tcW w:w="1418" w:type="dxa"/>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992"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1134" w:type="dxa"/>
            <w:vAlign w:val="center"/>
          </w:tcPr>
          <w:p>
            <w:pPr>
              <w:spacing w:line="360" w:lineRule="auto"/>
              <w:jc w:val="center"/>
              <w:rPr>
                <w:rFonts w:ascii="宋体" w:hAnsi="宋体"/>
                <w:sz w:val="22"/>
                <w:szCs w:val="22"/>
                <w:highlight w:val="none"/>
              </w:rPr>
            </w:pPr>
          </w:p>
        </w:tc>
        <w:tc>
          <w:tcPr>
            <w:tcW w:w="1417" w:type="dxa"/>
            <w:vAlign w:val="center"/>
          </w:tcPr>
          <w:p>
            <w:pPr>
              <w:spacing w:line="360" w:lineRule="auto"/>
              <w:jc w:val="center"/>
              <w:rPr>
                <w:rFonts w:ascii="宋体" w:hAnsi="宋体"/>
                <w:sz w:val="22"/>
                <w:szCs w:val="22"/>
                <w:highlight w:val="none"/>
              </w:rPr>
            </w:pPr>
          </w:p>
        </w:tc>
        <w:tc>
          <w:tcPr>
            <w:tcW w:w="1418" w:type="dxa"/>
          </w:tcPr>
          <w:p>
            <w:pPr>
              <w:spacing w:line="360" w:lineRule="auto"/>
              <w:jc w:val="center"/>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981"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992" w:type="dxa"/>
            <w:vAlign w:val="center"/>
          </w:tcPr>
          <w:p>
            <w:pPr>
              <w:spacing w:line="360" w:lineRule="auto"/>
              <w:jc w:val="center"/>
              <w:rPr>
                <w:rFonts w:ascii="宋体" w:hAnsi="宋体"/>
                <w:sz w:val="22"/>
                <w:szCs w:val="22"/>
                <w:highlight w:val="none"/>
              </w:rPr>
            </w:pPr>
          </w:p>
        </w:tc>
        <w:tc>
          <w:tcPr>
            <w:tcW w:w="851" w:type="dxa"/>
            <w:vAlign w:val="center"/>
          </w:tcPr>
          <w:p>
            <w:pPr>
              <w:spacing w:line="360" w:lineRule="auto"/>
              <w:jc w:val="center"/>
              <w:rPr>
                <w:rFonts w:ascii="宋体" w:hAnsi="宋体"/>
                <w:sz w:val="22"/>
                <w:szCs w:val="22"/>
                <w:highlight w:val="none"/>
              </w:rPr>
            </w:pPr>
          </w:p>
        </w:tc>
        <w:tc>
          <w:tcPr>
            <w:tcW w:w="1134" w:type="dxa"/>
            <w:vAlign w:val="center"/>
          </w:tcPr>
          <w:p>
            <w:pPr>
              <w:spacing w:line="360" w:lineRule="auto"/>
              <w:jc w:val="center"/>
              <w:rPr>
                <w:rFonts w:ascii="宋体" w:hAnsi="宋体"/>
                <w:sz w:val="22"/>
                <w:szCs w:val="22"/>
                <w:highlight w:val="none"/>
              </w:rPr>
            </w:pPr>
          </w:p>
        </w:tc>
        <w:tc>
          <w:tcPr>
            <w:tcW w:w="1417" w:type="dxa"/>
            <w:vAlign w:val="center"/>
          </w:tcPr>
          <w:p>
            <w:pPr>
              <w:spacing w:line="360" w:lineRule="auto"/>
              <w:jc w:val="center"/>
              <w:rPr>
                <w:rFonts w:ascii="宋体" w:hAnsi="宋体"/>
                <w:sz w:val="22"/>
                <w:szCs w:val="22"/>
                <w:highlight w:val="none"/>
              </w:rPr>
            </w:pPr>
          </w:p>
        </w:tc>
        <w:tc>
          <w:tcPr>
            <w:tcW w:w="1418" w:type="dxa"/>
          </w:tcPr>
          <w:p>
            <w:pPr>
              <w:spacing w:line="360" w:lineRule="auto"/>
              <w:jc w:val="center"/>
              <w:rPr>
                <w:rFonts w:ascii="宋体" w:hAnsi="宋体"/>
                <w:sz w:val="22"/>
                <w:szCs w:val="22"/>
                <w:highlight w:val="none"/>
              </w:rPr>
            </w:pPr>
          </w:p>
        </w:tc>
      </w:tr>
    </w:tbl>
    <w:p>
      <w:pPr>
        <w:spacing w:line="360" w:lineRule="auto"/>
        <w:rPr>
          <w:rFonts w:ascii="宋体" w:hAnsi="宋体"/>
          <w:sz w:val="22"/>
          <w:szCs w:val="22"/>
          <w:highlight w:val="none"/>
        </w:rPr>
      </w:pPr>
      <w:r>
        <w:rPr>
          <w:rFonts w:hint="eastAsia" w:ascii="宋体" w:hAnsi="宋体"/>
          <w:sz w:val="22"/>
          <w:szCs w:val="22"/>
          <w:highlight w:val="none"/>
        </w:rPr>
        <w:t>注：后附相关人员证书复印件、从业</w:t>
      </w:r>
      <w:r>
        <w:rPr>
          <w:rFonts w:hint="eastAsia" w:ascii="宋体" w:hAnsi="宋体"/>
          <w:kern w:val="0"/>
          <w:sz w:val="22"/>
          <w:szCs w:val="22"/>
          <w:highlight w:val="none"/>
        </w:rPr>
        <w:t>经验证明资料复印件等，以便评委酌情打分</w:t>
      </w:r>
      <w:r>
        <w:rPr>
          <w:rFonts w:hint="eastAsia" w:ascii="宋体" w:hAnsi="宋体"/>
          <w:sz w:val="22"/>
          <w:szCs w:val="22"/>
          <w:highlight w:val="none"/>
        </w:rPr>
        <w:t>。</w:t>
      </w:r>
    </w:p>
    <w:p>
      <w:pPr>
        <w:adjustRightInd w:val="0"/>
        <w:snapToGrid w:val="0"/>
        <w:spacing w:line="400" w:lineRule="exact"/>
        <w:rPr>
          <w:rFonts w:ascii="宋体" w:hAnsi="宋体"/>
          <w:sz w:val="22"/>
          <w:szCs w:val="22"/>
          <w:highlight w:val="none"/>
          <w:u w:val="single"/>
        </w:rPr>
      </w:pPr>
    </w:p>
    <w:p>
      <w:pPr>
        <w:pStyle w:val="3"/>
        <w:widowControl/>
        <w:spacing w:line="360" w:lineRule="auto"/>
        <w:jc w:val="right"/>
        <w:rPr>
          <w:rFonts w:hAnsi="宋体" w:cs="宋体"/>
          <w:szCs w:val="21"/>
          <w:highlight w:val="none"/>
        </w:rPr>
      </w:pPr>
      <w:r>
        <w:rPr>
          <w:rFonts w:hint="eastAsia" w:hAnsi="宋体" w:cs="宋体"/>
          <w:szCs w:val="21"/>
          <w:highlight w:val="none"/>
        </w:rPr>
        <w:t>供应商全称（盖公章）：</w:t>
      </w:r>
    </w:p>
    <w:p>
      <w:pPr>
        <w:pStyle w:val="3"/>
        <w:widowControl/>
        <w:spacing w:line="360" w:lineRule="auto"/>
        <w:jc w:val="right"/>
        <w:rPr>
          <w:rFonts w:hAnsi="宋体" w:cs="宋体"/>
          <w:szCs w:val="21"/>
          <w:highlight w:val="none"/>
        </w:rPr>
      </w:pPr>
      <w:r>
        <w:rPr>
          <w:rFonts w:hint="eastAsia" w:hAnsi="宋体" w:cs="宋体"/>
          <w:szCs w:val="21"/>
          <w:highlight w:val="none"/>
        </w:rPr>
        <w:t>法定代表人或其授权委托人（签名或印章）：</w:t>
      </w:r>
    </w:p>
    <w:p>
      <w:pPr>
        <w:spacing w:line="360" w:lineRule="auto"/>
        <w:ind w:right="180"/>
        <w:jc w:val="right"/>
        <w:rPr>
          <w:rFonts w:ascii="宋体" w:hAnsi="宋体"/>
          <w:sz w:val="22"/>
          <w:szCs w:val="22"/>
          <w:highlight w:val="none"/>
        </w:rPr>
      </w:pPr>
      <w:r>
        <w:rPr>
          <w:rFonts w:hint="eastAsia" w:hAnsi="宋体" w:cs="宋体"/>
          <w:szCs w:val="21"/>
          <w:highlight w:val="none"/>
        </w:rPr>
        <w:t xml:space="preserve">                                      日期：   年   月  日</w:t>
      </w:r>
    </w:p>
    <w:p>
      <w:pPr>
        <w:spacing w:line="360" w:lineRule="auto"/>
        <w:jc w:val="center"/>
        <w:outlineLvl w:val="2"/>
        <w:rPr>
          <w:rFonts w:ascii="Arial" w:hAnsi="Arial"/>
          <w:b/>
          <w:sz w:val="32"/>
          <w:szCs w:val="32"/>
          <w:highlight w:val="none"/>
        </w:rPr>
      </w:pPr>
      <w:r>
        <w:rPr>
          <w:rFonts w:hint="eastAsia" w:hAnsi="宋体" w:cs="宋体"/>
          <w:szCs w:val="21"/>
          <w:highlight w:val="none"/>
        </w:rPr>
        <w:br w:type="page"/>
      </w:r>
      <w:r>
        <w:rPr>
          <w:rFonts w:hint="eastAsia" w:ascii="Arial" w:hAnsi="Arial"/>
          <w:b/>
          <w:sz w:val="32"/>
          <w:szCs w:val="32"/>
          <w:highlight w:val="none"/>
        </w:rPr>
        <w:t>项目业绩表</w:t>
      </w:r>
    </w:p>
    <w:p>
      <w:pPr>
        <w:spacing w:line="360" w:lineRule="auto"/>
        <w:ind w:firstLine="3089"/>
        <w:rPr>
          <w:rFonts w:ascii="Arial" w:hAnsi="Arial"/>
          <w:b/>
          <w:sz w:val="24"/>
          <w:szCs w:val="21"/>
          <w:highlight w:val="none"/>
        </w:rPr>
      </w:pPr>
    </w:p>
    <w:p>
      <w:pPr>
        <w:spacing w:line="360" w:lineRule="auto"/>
        <w:rPr>
          <w:rFonts w:ascii="Arial" w:hAnsi="Arial"/>
          <w:highlight w:val="none"/>
          <w:u w:val="single"/>
        </w:rPr>
      </w:pPr>
      <w:r>
        <w:rPr>
          <w:rFonts w:hint="eastAsia" w:ascii="Arial" w:hAnsi="Arial"/>
          <w:highlight w:val="none"/>
        </w:rPr>
        <w:t>项目名称：</w:t>
      </w:r>
      <w:r>
        <w:rPr>
          <w:rFonts w:hint="eastAsia" w:ascii="Arial" w:hAnsi="Arial"/>
          <w:highlight w:val="none"/>
          <w:u w:val="single"/>
        </w:rPr>
        <w:t xml:space="preserve">                                       </w:t>
      </w:r>
      <w:r>
        <w:rPr>
          <w:rFonts w:hint="eastAsia" w:ascii="Arial" w:hAnsi="Arial"/>
          <w:highlight w:val="none"/>
        </w:rPr>
        <w:t xml:space="preserve"> 招标编号：</w:t>
      </w:r>
      <w:r>
        <w:rPr>
          <w:rFonts w:hint="eastAsia" w:ascii="Arial" w:hAnsi="Arial"/>
          <w:highlight w:val="none"/>
          <w:u w:val="single"/>
        </w:rPr>
        <w:t xml:space="preserve">                   </w:t>
      </w:r>
    </w:p>
    <w:tbl>
      <w:tblPr>
        <w:tblStyle w:val="50"/>
        <w:tblW w:w="0" w:type="auto"/>
        <w:tblInd w:w="-22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310"/>
        <w:gridCol w:w="1680"/>
        <w:gridCol w:w="2100"/>
        <w:gridCol w:w="30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5" w:type="dxa"/>
            <w:vAlign w:val="center"/>
          </w:tcPr>
          <w:p>
            <w:pPr>
              <w:snapToGrid w:val="0"/>
              <w:jc w:val="center"/>
              <w:rPr>
                <w:rFonts w:ascii="Arial" w:hAnsi="Arial"/>
                <w:b/>
                <w:szCs w:val="21"/>
                <w:highlight w:val="none"/>
              </w:rPr>
            </w:pPr>
            <w:r>
              <w:rPr>
                <w:rFonts w:hint="eastAsia" w:ascii="Arial" w:hAnsi="Arial"/>
                <w:b/>
                <w:szCs w:val="21"/>
                <w:highlight w:val="none"/>
              </w:rPr>
              <w:t>序号</w:t>
            </w:r>
          </w:p>
        </w:tc>
        <w:tc>
          <w:tcPr>
            <w:tcW w:w="2310" w:type="dxa"/>
            <w:vAlign w:val="center"/>
          </w:tcPr>
          <w:p>
            <w:pPr>
              <w:snapToGrid w:val="0"/>
              <w:jc w:val="center"/>
              <w:rPr>
                <w:rFonts w:ascii="Arial" w:hAnsi="Arial"/>
                <w:b/>
                <w:szCs w:val="21"/>
                <w:highlight w:val="none"/>
              </w:rPr>
            </w:pPr>
            <w:r>
              <w:rPr>
                <w:rFonts w:hint="eastAsia" w:ascii="Arial" w:hAnsi="Arial"/>
                <w:b/>
                <w:szCs w:val="21"/>
                <w:highlight w:val="none"/>
              </w:rPr>
              <w:t>项目名称</w:t>
            </w:r>
          </w:p>
        </w:tc>
        <w:tc>
          <w:tcPr>
            <w:tcW w:w="1680" w:type="dxa"/>
            <w:vAlign w:val="center"/>
          </w:tcPr>
          <w:p>
            <w:pPr>
              <w:snapToGrid w:val="0"/>
              <w:jc w:val="center"/>
              <w:rPr>
                <w:rFonts w:ascii="Arial" w:hAnsi="Arial"/>
                <w:b/>
                <w:szCs w:val="21"/>
                <w:highlight w:val="none"/>
              </w:rPr>
            </w:pPr>
            <w:r>
              <w:rPr>
                <w:rFonts w:hint="eastAsia" w:ascii="Arial" w:hAnsi="Arial"/>
                <w:b/>
                <w:szCs w:val="21"/>
                <w:highlight w:val="none"/>
              </w:rPr>
              <w:t>合同签订时间</w:t>
            </w:r>
          </w:p>
        </w:tc>
        <w:tc>
          <w:tcPr>
            <w:tcW w:w="2100" w:type="dxa"/>
            <w:vAlign w:val="center"/>
          </w:tcPr>
          <w:p>
            <w:pPr>
              <w:snapToGrid w:val="0"/>
              <w:jc w:val="center"/>
              <w:rPr>
                <w:rFonts w:ascii="Arial" w:hAnsi="Arial"/>
                <w:b/>
                <w:szCs w:val="21"/>
                <w:highlight w:val="none"/>
              </w:rPr>
            </w:pPr>
            <w:r>
              <w:rPr>
                <w:rFonts w:hint="eastAsia" w:ascii="Arial" w:hAnsi="Arial"/>
                <w:b/>
                <w:szCs w:val="21"/>
                <w:highlight w:val="none"/>
              </w:rPr>
              <w:t>金额</w:t>
            </w:r>
          </w:p>
        </w:tc>
        <w:tc>
          <w:tcPr>
            <w:tcW w:w="3087" w:type="dxa"/>
            <w:vAlign w:val="center"/>
          </w:tcPr>
          <w:p>
            <w:pPr>
              <w:snapToGrid w:val="0"/>
              <w:jc w:val="center"/>
              <w:rPr>
                <w:rFonts w:ascii="Arial" w:hAnsi="Arial"/>
                <w:b/>
                <w:szCs w:val="21"/>
                <w:highlight w:val="none"/>
              </w:rPr>
            </w:pPr>
            <w:r>
              <w:rPr>
                <w:rFonts w:hint="eastAsia" w:ascii="Arial" w:hAnsi="Arial"/>
                <w:b/>
                <w:szCs w:val="21"/>
                <w:highlight w:val="none"/>
              </w:rPr>
              <w:t>项目甲方联系人/联系电话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pPr>
              <w:snapToGrid w:val="0"/>
              <w:jc w:val="center"/>
              <w:rPr>
                <w:rFonts w:ascii="Arial" w:hAnsi="Arial"/>
                <w:szCs w:val="21"/>
                <w:highlight w:val="none"/>
              </w:rPr>
            </w:pPr>
            <w:r>
              <w:rPr>
                <w:rFonts w:hint="eastAsia" w:ascii="Arial" w:hAnsi="Arial"/>
                <w:szCs w:val="21"/>
                <w:highlight w:val="none"/>
              </w:rPr>
              <w:t>1</w:t>
            </w:r>
          </w:p>
        </w:tc>
        <w:tc>
          <w:tcPr>
            <w:tcW w:w="2310" w:type="dxa"/>
            <w:vAlign w:val="center"/>
          </w:tcPr>
          <w:p>
            <w:pPr>
              <w:spacing w:line="300" w:lineRule="exact"/>
              <w:rPr>
                <w:rFonts w:ascii="Arial" w:hAnsi="Arial"/>
                <w:szCs w:val="21"/>
                <w:highlight w:val="none"/>
              </w:rPr>
            </w:pPr>
          </w:p>
        </w:tc>
        <w:tc>
          <w:tcPr>
            <w:tcW w:w="1680" w:type="dxa"/>
            <w:vAlign w:val="center"/>
          </w:tcPr>
          <w:p>
            <w:pPr>
              <w:snapToGrid w:val="0"/>
              <w:rPr>
                <w:rFonts w:ascii="Arial" w:hAnsi="Arial"/>
                <w:szCs w:val="21"/>
                <w:highlight w:val="none"/>
              </w:rPr>
            </w:pPr>
          </w:p>
        </w:tc>
        <w:tc>
          <w:tcPr>
            <w:tcW w:w="2100" w:type="dxa"/>
            <w:vAlign w:val="center"/>
          </w:tcPr>
          <w:p>
            <w:pPr>
              <w:snapToGrid w:val="0"/>
              <w:rPr>
                <w:rFonts w:ascii="Arial" w:hAnsi="Arial"/>
                <w:szCs w:val="21"/>
                <w:highlight w:val="none"/>
              </w:rPr>
            </w:pPr>
          </w:p>
        </w:tc>
        <w:tc>
          <w:tcPr>
            <w:tcW w:w="3087" w:type="dxa"/>
            <w:vAlign w:val="center"/>
          </w:tcPr>
          <w:p>
            <w:pPr>
              <w:snapToGrid w:val="0"/>
              <w:rPr>
                <w:rFonts w:ascii="Arial" w:hAnsi="Arial"/>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pPr>
              <w:spacing w:line="360" w:lineRule="exact"/>
              <w:jc w:val="center"/>
              <w:rPr>
                <w:rFonts w:ascii="Arial" w:hAnsi="Arial"/>
                <w:szCs w:val="21"/>
                <w:highlight w:val="none"/>
              </w:rPr>
            </w:pPr>
            <w:r>
              <w:rPr>
                <w:rFonts w:hint="eastAsia" w:ascii="Arial" w:hAnsi="Arial"/>
                <w:szCs w:val="21"/>
                <w:highlight w:val="none"/>
              </w:rPr>
              <w:t>2</w:t>
            </w:r>
          </w:p>
        </w:tc>
        <w:tc>
          <w:tcPr>
            <w:tcW w:w="2310" w:type="dxa"/>
            <w:vAlign w:val="center"/>
          </w:tcPr>
          <w:p>
            <w:pPr>
              <w:spacing w:line="300" w:lineRule="exact"/>
              <w:rPr>
                <w:rFonts w:ascii="Arial" w:hAnsi="Arial"/>
                <w:szCs w:val="21"/>
                <w:highlight w:val="none"/>
              </w:rPr>
            </w:pPr>
          </w:p>
        </w:tc>
        <w:tc>
          <w:tcPr>
            <w:tcW w:w="1680" w:type="dxa"/>
            <w:vAlign w:val="center"/>
          </w:tcPr>
          <w:p>
            <w:pPr>
              <w:snapToGrid w:val="0"/>
              <w:rPr>
                <w:rFonts w:ascii="Arial" w:hAnsi="Arial"/>
                <w:szCs w:val="21"/>
                <w:highlight w:val="none"/>
              </w:rPr>
            </w:pPr>
          </w:p>
        </w:tc>
        <w:tc>
          <w:tcPr>
            <w:tcW w:w="2100" w:type="dxa"/>
            <w:vAlign w:val="center"/>
          </w:tcPr>
          <w:p>
            <w:pPr>
              <w:snapToGrid w:val="0"/>
              <w:rPr>
                <w:rFonts w:ascii="Arial" w:hAnsi="Arial"/>
                <w:szCs w:val="21"/>
                <w:highlight w:val="none"/>
              </w:rPr>
            </w:pPr>
          </w:p>
        </w:tc>
        <w:tc>
          <w:tcPr>
            <w:tcW w:w="3087" w:type="dxa"/>
            <w:vAlign w:val="center"/>
          </w:tcPr>
          <w:p>
            <w:pPr>
              <w:snapToGrid w:val="0"/>
              <w:rPr>
                <w:rFonts w:ascii="Arial" w:hAnsi="Arial"/>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pPr>
              <w:snapToGrid w:val="0"/>
              <w:jc w:val="center"/>
              <w:rPr>
                <w:rFonts w:ascii="Arial" w:hAnsi="Arial"/>
                <w:szCs w:val="21"/>
                <w:highlight w:val="none"/>
              </w:rPr>
            </w:pPr>
            <w:r>
              <w:rPr>
                <w:rFonts w:hint="eastAsia" w:ascii="Arial" w:hAnsi="Arial"/>
                <w:szCs w:val="21"/>
                <w:highlight w:val="none"/>
              </w:rPr>
              <w:t>3</w:t>
            </w:r>
          </w:p>
        </w:tc>
        <w:tc>
          <w:tcPr>
            <w:tcW w:w="2310" w:type="dxa"/>
            <w:vAlign w:val="center"/>
          </w:tcPr>
          <w:p>
            <w:pPr>
              <w:spacing w:line="300" w:lineRule="exact"/>
              <w:rPr>
                <w:rFonts w:ascii="Arial" w:hAnsi="Arial"/>
                <w:szCs w:val="21"/>
                <w:highlight w:val="none"/>
              </w:rPr>
            </w:pPr>
          </w:p>
        </w:tc>
        <w:tc>
          <w:tcPr>
            <w:tcW w:w="1680" w:type="dxa"/>
            <w:vAlign w:val="center"/>
          </w:tcPr>
          <w:p>
            <w:pPr>
              <w:jc w:val="center"/>
              <w:rPr>
                <w:rFonts w:ascii="Arial" w:hAnsi="Arial"/>
                <w:szCs w:val="21"/>
                <w:highlight w:val="none"/>
              </w:rPr>
            </w:pPr>
          </w:p>
        </w:tc>
        <w:tc>
          <w:tcPr>
            <w:tcW w:w="2100" w:type="dxa"/>
            <w:vAlign w:val="center"/>
          </w:tcPr>
          <w:p>
            <w:pPr>
              <w:jc w:val="center"/>
              <w:rPr>
                <w:rFonts w:ascii="Arial" w:hAnsi="Arial"/>
                <w:szCs w:val="21"/>
                <w:highlight w:val="none"/>
              </w:rPr>
            </w:pPr>
          </w:p>
        </w:tc>
        <w:tc>
          <w:tcPr>
            <w:tcW w:w="3087" w:type="dxa"/>
            <w:vAlign w:val="center"/>
          </w:tcPr>
          <w:p>
            <w:pPr>
              <w:jc w:val="center"/>
              <w:rPr>
                <w:rFonts w:ascii="Arial" w:hAnsi="Arial"/>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pPr>
              <w:snapToGrid w:val="0"/>
              <w:jc w:val="center"/>
              <w:rPr>
                <w:rFonts w:ascii="Arial" w:hAnsi="Arial"/>
                <w:szCs w:val="21"/>
                <w:highlight w:val="none"/>
              </w:rPr>
            </w:pPr>
            <w:r>
              <w:rPr>
                <w:rFonts w:hint="eastAsia" w:ascii="Arial" w:hAnsi="Arial"/>
                <w:szCs w:val="21"/>
                <w:highlight w:val="none"/>
              </w:rPr>
              <w:t>4</w:t>
            </w:r>
          </w:p>
        </w:tc>
        <w:tc>
          <w:tcPr>
            <w:tcW w:w="2310" w:type="dxa"/>
            <w:vAlign w:val="center"/>
          </w:tcPr>
          <w:p>
            <w:pPr>
              <w:spacing w:line="300" w:lineRule="exact"/>
              <w:rPr>
                <w:rFonts w:ascii="Arial" w:hAnsi="Arial"/>
                <w:szCs w:val="21"/>
                <w:highlight w:val="none"/>
              </w:rPr>
            </w:pPr>
          </w:p>
        </w:tc>
        <w:tc>
          <w:tcPr>
            <w:tcW w:w="1680" w:type="dxa"/>
            <w:vAlign w:val="center"/>
          </w:tcPr>
          <w:p>
            <w:pPr>
              <w:snapToGrid w:val="0"/>
              <w:rPr>
                <w:rFonts w:ascii="Arial" w:hAnsi="Arial"/>
                <w:szCs w:val="21"/>
                <w:highlight w:val="none"/>
              </w:rPr>
            </w:pPr>
          </w:p>
        </w:tc>
        <w:tc>
          <w:tcPr>
            <w:tcW w:w="2100" w:type="dxa"/>
            <w:vAlign w:val="center"/>
          </w:tcPr>
          <w:p>
            <w:pPr>
              <w:spacing w:line="300" w:lineRule="exact"/>
              <w:rPr>
                <w:rFonts w:ascii="Arial" w:hAnsi="Arial"/>
                <w:szCs w:val="21"/>
                <w:highlight w:val="none"/>
              </w:rPr>
            </w:pPr>
          </w:p>
        </w:tc>
        <w:tc>
          <w:tcPr>
            <w:tcW w:w="3087" w:type="dxa"/>
            <w:vAlign w:val="center"/>
          </w:tcPr>
          <w:p>
            <w:pPr>
              <w:spacing w:line="300" w:lineRule="exact"/>
              <w:rPr>
                <w:rFonts w:ascii="Arial" w:hAnsi="Arial"/>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pPr>
              <w:snapToGrid w:val="0"/>
              <w:rPr>
                <w:rFonts w:ascii="Arial" w:hAnsi="Arial"/>
                <w:szCs w:val="21"/>
                <w:highlight w:val="none"/>
              </w:rPr>
            </w:pPr>
          </w:p>
        </w:tc>
        <w:tc>
          <w:tcPr>
            <w:tcW w:w="2310" w:type="dxa"/>
            <w:vAlign w:val="center"/>
          </w:tcPr>
          <w:p>
            <w:pPr>
              <w:spacing w:line="300" w:lineRule="exact"/>
              <w:rPr>
                <w:rFonts w:ascii="Arial" w:hAnsi="Arial"/>
                <w:szCs w:val="21"/>
                <w:highlight w:val="none"/>
              </w:rPr>
            </w:pPr>
          </w:p>
        </w:tc>
        <w:tc>
          <w:tcPr>
            <w:tcW w:w="1680" w:type="dxa"/>
            <w:vAlign w:val="center"/>
          </w:tcPr>
          <w:p>
            <w:pPr>
              <w:snapToGrid w:val="0"/>
              <w:rPr>
                <w:rFonts w:ascii="Arial" w:hAnsi="Arial"/>
                <w:szCs w:val="21"/>
                <w:highlight w:val="none"/>
              </w:rPr>
            </w:pPr>
          </w:p>
        </w:tc>
        <w:tc>
          <w:tcPr>
            <w:tcW w:w="2100" w:type="dxa"/>
            <w:vAlign w:val="center"/>
          </w:tcPr>
          <w:p>
            <w:pPr>
              <w:spacing w:line="300" w:lineRule="exact"/>
              <w:rPr>
                <w:rFonts w:ascii="Arial" w:hAnsi="Arial"/>
                <w:szCs w:val="21"/>
                <w:highlight w:val="none"/>
              </w:rPr>
            </w:pPr>
          </w:p>
        </w:tc>
        <w:tc>
          <w:tcPr>
            <w:tcW w:w="3087" w:type="dxa"/>
            <w:vAlign w:val="center"/>
          </w:tcPr>
          <w:p>
            <w:pPr>
              <w:spacing w:line="300" w:lineRule="exact"/>
              <w:rPr>
                <w:rFonts w:ascii="Arial" w:hAnsi="Arial"/>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pPr>
              <w:snapToGrid w:val="0"/>
              <w:rPr>
                <w:rFonts w:ascii="Arial" w:hAnsi="Arial"/>
                <w:szCs w:val="21"/>
                <w:highlight w:val="none"/>
              </w:rPr>
            </w:pPr>
          </w:p>
        </w:tc>
        <w:tc>
          <w:tcPr>
            <w:tcW w:w="2310" w:type="dxa"/>
            <w:vAlign w:val="center"/>
          </w:tcPr>
          <w:p>
            <w:pPr>
              <w:spacing w:line="300" w:lineRule="exact"/>
              <w:rPr>
                <w:rFonts w:ascii="Arial" w:hAnsi="Arial"/>
                <w:szCs w:val="21"/>
                <w:highlight w:val="none"/>
              </w:rPr>
            </w:pPr>
          </w:p>
        </w:tc>
        <w:tc>
          <w:tcPr>
            <w:tcW w:w="1680" w:type="dxa"/>
            <w:vAlign w:val="center"/>
          </w:tcPr>
          <w:p>
            <w:pPr>
              <w:snapToGrid w:val="0"/>
              <w:rPr>
                <w:rFonts w:ascii="Arial" w:hAnsi="Arial"/>
                <w:szCs w:val="21"/>
                <w:highlight w:val="none"/>
              </w:rPr>
            </w:pPr>
          </w:p>
        </w:tc>
        <w:tc>
          <w:tcPr>
            <w:tcW w:w="2100" w:type="dxa"/>
            <w:vAlign w:val="center"/>
          </w:tcPr>
          <w:p>
            <w:pPr>
              <w:spacing w:line="300" w:lineRule="exact"/>
              <w:rPr>
                <w:rFonts w:ascii="Arial" w:hAnsi="Arial"/>
                <w:szCs w:val="21"/>
                <w:highlight w:val="none"/>
              </w:rPr>
            </w:pPr>
          </w:p>
        </w:tc>
        <w:tc>
          <w:tcPr>
            <w:tcW w:w="3087" w:type="dxa"/>
            <w:vAlign w:val="center"/>
          </w:tcPr>
          <w:p>
            <w:pPr>
              <w:spacing w:line="300" w:lineRule="exact"/>
              <w:rPr>
                <w:rFonts w:ascii="Arial" w:hAnsi="Arial"/>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pPr>
              <w:snapToGrid w:val="0"/>
              <w:rPr>
                <w:rFonts w:ascii="Arial" w:hAnsi="Arial"/>
                <w:szCs w:val="21"/>
                <w:highlight w:val="none"/>
              </w:rPr>
            </w:pPr>
          </w:p>
        </w:tc>
        <w:tc>
          <w:tcPr>
            <w:tcW w:w="2310" w:type="dxa"/>
            <w:vAlign w:val="center"/>
          </w:tcPr>
          <w:p>
            <w:pPr>
              <w:spacing w:line="300" w:lineRule="exact"/>
              <w:rPr>
                <w:rFonts w:ascii="Arial" w:hAnsi="Arial"/>
                <w:szCs w:val="21"/>
                <w:highlight w:val="none"/>
              </w:rPr>
            </w:pPr>
          </w:p>
        </w:tc>
        <w:tc>
          <w:tcPr>
            <w:tcW w:w="1680" w:type="dxa"/>
            <w:vAlign w:val="center"/>
          </w:tcPr>
          <w:p>
            <w:pPr>
              <w:jc w:val="center"/>
              <w:rPr>
                <w:rFonts w:ascii="Arial" w:hAnsi="Arial"/>
                <w:szCs w:val="21"/>
                <w:highlight w:val="none"/>
              </w:rPr>
            </w:pPr>
          </w:p>
        </w:tc>
        <w:tc>
          <w:tcPr>
            <w:tcW w:w="2100" w:type="dxa"/>
            <w:vAlign w:val="center"/>
          </w:tcPr>
          <w:p>
            <w:pPr>
              <w:jc w:val="center"/>
              <w:rPr>
                <w:rFonts w:ascii="Arial" w:hAnsi="Arial"/>
                <w:szCs w:val="21"/>
                <w:highlight w:val="none"/>
              </w:rPr>
            </w:pPr>
          </w:p>
        </w:tc>
        <w:tc>
          <w:tcPr>
            <w:tcW w:w="3087" w:type="dxa"/>
            <w:vAlign w:val="center"/>
          </w:tcPr>
          <w:p>
            <w:pPr>
              <w:jc w:val="center"/>
              <w:rPr>
                <w:rFonts w:ascii="Arial" w:hAnsi="Arial"/>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pPr>
              <w:spacing w:line="360" w:lineRule="exact"/>
              <w:rPr>
                <w:rFonts w:ascii="Arial" w:hAnsi="Arial"/>
                <w:szCs w:val="21"/>
                <w:highlight w:val="none"/>
              </w:rPr>
            </w:pPr>
          </w:p>
        </w:tc>
        <w:tc>
          <w:tcPr>
            <w:tcW w:w="2310" w:type="dxa"/>
            <w:vAlign w:val="center"/>
          </w:tcPr>
          <w:p>
            <w:pPr>
              <w:spacing w:line="300" w:lineRule="exact"/>
              <w:rPr>
                <w:rFonts w:ascii="Arial" w:hAnsi="Arial"/>
                <w:szCs w:val="21"/>
                <w:highlight w:val="none"/>
              </w:rPr>
            </w:pPr>
          </w:p>
        </w:tc>
        <w:tc>
          <w:tcPr>
            <w:tcW w:w="1680" w:type="dxa"/>
            <w:vAlign w:val="center"/>
          </w:tcPr>
          <w:p>
            <w:pPr>
              <w:jc w:val="center"/>
              <w:rPr>
                <w:rFonts w:ascii="Arial" w:hAnsi="Arial"/>
                <w:szCs w:val="21"/>
                <w:highlight w:val="none"/>
              </w:rPr>
            </w:pPr>
          </w:p>
        </w:tc>
        <w:tc>
          <w:tcPr>
            <w:tcW w:w="2100" w:type="dxa"/>
            <w:vAlign w:val="center"/>
          </w:tcPr>
          <w:p>
            <w:pPr>
              <w:jc w:val="center"/>
              <w:rPr>
                <w:rFonts w:ascii="Arial" w:hAnsi="Arial"/>
                <w:szCs w:val="21"/>
                <w:highlight w:val="none"/>
              </w:rPr>
            </w:pPr>
          </w:p>
        </w:tc>
        <w:tc>
          <w:tcPr>
            <w:tcW w:w="3087" w:type="dxa"/>
            <w:vAlign w:val="center"/>
          </w:tcPr>
          <w:p>
            <w:pPr>
              <w:jc w:val="center"/>
              <w:rPr>
                <w:rFonts w:ascii="Arial" w:hAnsi="Arial"/>
                <w:szCs w:val="21"/>
                <w:highlight w:val="none"/>
              </w:rPr>
            </w:pPr>
          </w:p>
        </w:tc>
      </w:tr>
    </w:tbl>
    <w:p>
      <w:pPr>
        <w:tabs>
          <w:tab w:val="center" w:pos="4410"/>
        </w:tabs>
        <w:spacing w:before="156" w:beforeLines="50" w:line="360" w:lineRule="auto"/>
        <w:rPr>
          <w:rFonts w:ascii="Arial" w:hAnsi="Arial"/>
          <w:spacing w:val="-4"/>
          <w:szCs w:val="20"/>
          <w:highlight w:val="none"/>
        </w:rPr>
      </w:pPr>
      <w:r>
        <w:rPr>
          <w:rFonts w:hint="eastAsia" w:ascii="Arial" w:hAnsi="Arial"/>
          <w:spacing w:val="-4"/>
          <w:szCs w:val="20"/>
          <w:highlight w:val="none"/>
        </w:rPr>
        <w:t>注：本表后附评标细则要求提供的证明资料。</w:t>
      </w:r>
    </w:p>
    <w:p>
      <w:pPr>
        <w:rPr>
          <w:rFonts w:ascii="Arial" w:hAnsi="Arial"/>
          <w:sz w:val="24"/>
          <w:highlight w:val="none"/>
        </w:rPr>
      </w:pPr>
    </w:p>
    <w:p>
      <w:pPr>
        <w:rPr>
          <w:rFonts w:ascii="Arial" w:hAnsi="Arial"/>
          <w:sz w:val="24"/>
          <w:highlight w:val="none"/>
        </w:rPr>
      </w:pPr>
    </w:p>
    <w:p>
      <w:pPr>
        <w:pStyle w:val="3"/>
        <w:widowControl/>
        <w:spacing w:line="360" w:lineRule="auto"/>
        <w:jc w:val="right"/>
        <w:rPr>
          <w:rFonts w:hAnsi="宋体" w:cs="宋体"/>
          <w:szCs w:val="21"/>
          <w:highlight w:val="none"/>
        </w:rPr>
      </w:pPr>
      <w:r>
        <w:rPr>
          <w:rFonts w:hint="eastAsia" w:hAnsi="宋体" w:cs="宋体"/>
          <w:szCs w:val="21"/>
          <w:highlight w:val="none"/>
        </w:rPr>
        <w:t>供应商全称（盖公章）：</w:t>
      </w:r>
    </w:p>
    <w:p>
      <w:pPr>
        <w:pStyle w:val="3"/>
        <w:widowControl/>
        <w:spacing w:line="360" w:lineRule="auto"/>
        <w:jc w:val="right"/>
        <w:rPr>
          <w:rFonts w:hAnsi="宋体" w:cs="宋体"/>
          <w:szCs w:val="21"/>
          <w:highlight w:val="none"/>
        </w:rPr>
      </w:pPr>
      <w:r>
        <w:rPr>
          <w:rFonts w:hint="eastAsia" w:hAnsi="宋体" w:cs="宋体"/>
          <w:szCs w:val="21"/>
          <w:highlight w:val="none"/>
        </w:rPr>
        <w:t>法定代表人或其授权委托人（签名或印章）：</w:t>
      </w:r>
    </w:p>
    <w:p>
      <w:pPr>
        <w:spacing w:line="360" w:lineRule="auto"/>
        <w:ind w:right="180"/>
        <w:jc w:val="right"/>
        <w:rPr>
          <w:rFonts w:ascii="宋体" w:hAnsi="宋体"/>
          <w:sz w:val="22"/>
          <w:szCs w:val="22"/>
          <w:highlight w:val="none"/>
        </w:rPr>
      </w:pPr>
      <w:r>
        <w:rPr>
          <w:rFonts w:hint="eastAsia" w:hAnsi="宋体" w:cs="宋体"/>
          <w:szCs w:val="21"/>
          <w:highlight w:val="none"/>
        </w:rPr>
        <w:t xml:space="preserve">                                      日期：   年   月  日</w:t>
      </w:r>
    </w:p>
    <w:p>
      <w:pPr>
        <w:pStyle w:val="3"/>
        <w:widowControl/>
        <w:spacing w:line="360" w:lineRule="auto"/>
        <w:jc w:val="center"/>
        <w:outlineLvl w:val="2"/>
        <w:rPr>
          <w:rFonts w:hAnsi="宋体" w:cs="宋体"/>
          <w:b/>
          <w:sz w:val="32"/>
          <w:szCs w:val="32"/>
          <w:highlight w:val="none"/>
        </w:rPr>
      </w:pPr>
      <w:r>
        <w:rPr>
          <w:rFonts w:hint="eastAsia" w:hAnsi="宋体" w:cs="宋体"/>
          <w:szCs w:val="21"/>
          <w:highlight w:val="none"/>
        </w:rPr>
        <w:br w:type="page"/>
      </w:r>
      <w:r>
        <w:rPr>
          <w:rFonts w:hint="eastAsia" w:hAnsi="宋体" w:cs="宋体"/>
          <w:b/>
          <w:sz w:val="32"/>
          <w:szCs w:val="32"/>
          <w:highlight w:val="none"/>
        </w:rPr>
        <w:t>投标函</w:t>
      </w:r>
    </w:p>
    <w:p>
      <w:pPr>
        <w:pStyle w:val="3"/>
        <w:spacing w:line="400" w:lineRule="exact"/>
        <w:rPr>
          <w:rFonts w:hAnsi="宋体" w:cs="宋体"/>
          <w:szCs w:val="21"/>
          <w:highlight w:val="none"/>
        </w:rPr>
      </w:pPr>
      <w:r>
        <w:rPr>
          <w:rFonts w:hint="eastAsia" w:hAnsi="宋体" w:cs="宋体"/>
          <w:szCs w:val="21"/>
          <w:highlight w:val="none"/>
          <w:u w:val="single"/>
        </w:rPr>
        <w:t xml:space="preserve">   致（采购人）  </w:t>
      </w:r>
      <w:r>
        <w:rPr>
          <w:rFonts w:hint="eastAsia" w:hAnsi="宋体" w:cs="宋体"/>
          <w:szCs w:val="21"/>
          <w:highlight w:val="none"/>
        </w:rPr>
        <w:t>：</w:t>
      </w:r>
    </w:p>
    <w:p>
      <w:pPr>
        <w:pStyle w:val="3"/>
        <w:spacing w:line="400" w:lineRule="exact"/>
        <w:rPr>
          <w:rFonts w:hAnsi="宋体" w:cs="宋体"/>
          <w:szCs w:val="21"/>
          <w:highlight w:val="none"/>
        </w:rPr>
      </w:pPr>
      <w:r>
        <w:rPr>
          <w:rFonts w:hint="eastAsia" w:hAnsi="宋体" w:cs="宋体"/>
          <w:szCs w:val="21"/>
          <w:highlight w:val="none"/>
        </w:rPr>
        <w:t xml:space="preserve">     </w:t>
      </w:r>
      <w:r>
        <w:rPr>
          <w:rFonts w:hint="eastAsia" w:hAnsi="宋体" w:cs="宋体"/>
          <w:szCs w:val="21"/>
          <w:highlight w:val="none"/>
          <w:u w:val="single"/>
        </w:rPr>
        <w:t xml:space="preserve">（供应商全称） </w:t>
      </w:r>
      <w:r>
        <w:rPr>
          <w:rFonts w:hint="eastAsia" w:hAnsi="宋体" w:cs="宋体"/>
          <w:szCs w:val="21"/>
          <w:highlight w:val="none"/>
        </w:rPr>
        <w:t>授权</w:t>
      </w:r>
      <w:r>
        <w:rPr>
          <w:rFonts w:hint="eastAsia" w:hAnsi="宋体" w:cs="宋体"/>
          <w:szCs w:val="21"/>
          <w:highlight w:val="none"/>
          <w:u w:val="single"/>
        </w:rPr>
        <w:t>（全权代表姓名）</w:t>
      </w:r>
      <w:r>
        <w:rPr>
          <w:rFonts w:hint="eastAsia" w:hAnsi="宋体" w:cs="宋体"/>
          <w:szCs w:val="21"/>
          <w:highlight w:val="none"/>
        </w:rPr>
        <w:t>为本公司（单位）合法代理人，参加贵方组织的</w:t>
      </w:r>
      <w:r>
        <w:rPr>
          <w:rFonts w:hint="eastAsia" w:hAnsi="宋体" w:cs="宋体"/>
          <w:szCs w:val="21"/>
          <w:highlight w:val="none"/>
          <w:u w:val="single"/>
        </w:rPr>
        <w:t xml:space="preserve">（招标编号、项目名称）  </w:t>
      </w:r>
      <w:r>
        <w:rPr>
          <w:rFonts w:hint="eastAsia" w:hAnsi="宋体" w:cs="宋体"/>
          <w:szCs w:val="21"/>
          <w:highlight w:val="none"/>
        </w:rPr>
        <w:t>招投标活动，代表本公司（单位）处理招投标活动中的一切事宜，为对</w:t>
      </w:r>
      <w:r>
        <w:rPr>
          <w:rFonts w:hint="eastAsia" w:hAnsi="宋体" w:cs="宋体"/>
          <w:szCs w:val="21"/>
          <w:highlight w:val="none"/>
          <w:u w:val="single"/>
        </w:rPr>
        <w:t xml:space="preserve"> （项目名称）</w:t>
      </w:r>
      <w:r>
        <w:rPr>
          <w:rFonts w:hint="eastAsia" w:hAnsi="宋体" w:cs="宋体"/>
          <w:szCs w:val="21"/>
          <w:highlight w:val="none"/>
        </w:rPr>
        <w:t>进行投标，在此：</w:t>
      </w:r>
    </w:p>
    <w:p>
      <w:pPr>
        <w:pStyle w:val="3"/>
        <w:spacing w:line="400" w:lineRule="exact"/>
        <w:ind w:firstLine="420" w:firstLineChars="200"/>
        <w:rPr>
          <w:rFonts w:hAnsi="宋体" w:cs="宋体"/>
          <w:szCs w:val="21"/>
          <w:highlight w:val="none"/>
        </w:rPr>
      </w:pPr>
      <w:r>
        <w:rPr>
          <w:rFonts w:hint="eastAsia" w:hAnsi="宋体" w:cs="宋体"/>
          <w:szCs w:val="21"/>
          <w:highlight w:val="none"/>
        </w:rPr>
        <w:t xml:space="preserve">1、提供招标文件中“投标须知”规定的全部投标文件。 </w:t>
      </w:r>
    </w:p>
    <w:p>
      <w:pPr>
        <w:pStyle w:val="3"/>
        <w:spacing w:line="400" w:lineRule="exact"/>
        <w:ind w:firstLine="420" w:firstLineChars="200"/>
        <w:rPr>
          <w:rFonts w:hAnsi="宋体" w:cs="宋体"/>
          <w:szCs w:val="21"/>
          <w:highlight w:val="none"/>
        </w:rPr>
      </w:pPr>
      <w:r>
        <w:rPr>
          <w:rFonts w:hint="eastAsia" w:hAnsi="宋体" w:cs="宋体"/>
          <w:szCs w:val="21"/>
          <w:highlight w:val="none"/>
        </w:rPr>
        <w:t>2、据此函，签字代表宣布并承诺如下：</w:t>
      </w:r>
    </w:p>
    <w:p>
      <w:pPr>
        <w:pStyle w:val="3"/>
        <w:spacing w:line="400" w:lineRule="exact"/>
        <w:ind w:firstLine="420" w:firstLineChars="200"/>
        <w:rPr>
          <w:rFonts w:hAnsi="宋体" w:cs="宋体"/>
          <w:szCs w:val="21"/>
          <w:highlight w:val="none"/>
        </w:rPr>
      </w:pPr>
      <w:r>
        <w:rPr>
          <w:rFonts w:hint="eastAsia" w:hAnsi="宋体" w:cs="宋体"/>
          <w:szCs w:val="21"/>
          <w:highlight w:val="none"/>
        </w:rPr>
        <w:t xml:space="preserve">   投标报价：</w:t>
      </w:r>
      <w:r>
        <w:rPr>
          <w:rFonts w:hint="eastAsia" w:hAnsi="宋体" w:cs="宋体"/>
          <w:szCs w:val="21"/>
          <w:highlight w:val="none"/>
          <w:u w:val="single"/>
        </w:rPr>
        <w:t xml:space="preserve">        </w:t>
      </w:r>
      <w:r>
        <w:rPr>
          <w:rFonts w:hint="eastAsia" w:hAnsi="宋体" w:cs="宋体"/>
          <w:szCs w:val="21"/>
          <w:highlight w:val="none"/>
        </w:rPr>
        <w:t>元。</w:t>
      </w:r>
    </w:p>
    <w:p>
      <w:pPr>
        <w:pStyle w:val="3"/>
        <w:spacing w:line="400" w:lineRule="exact"/>
        <w:rPr>
          <w:rFonts w:hAnsi="宋体" w:cs="宋体"/>
          <w:szCs w:val="21"/>
          <w:highlight w:val="none"/>
        </w:rPr>
      </w:pPr>
      <w:r>
        <w:rPr>
          <w:rFonts w:hint="eastAsia" w:hAnsi="宋体" w:cs="宋体"/>
          <w:szCs w:val="21"/>
          <w:highlight w:val="none"/>
        </w:rPr>
        <w:t xml:space="preserve">    本报价已经包含了所提供服务应纳的税金及招标文件规定的报价方式应包含的其它费用。本报价在投标有效期内固定不变，并在合同有效期内不受市场价变化、不受实际工作量变化及利率波动的影响。</w:t>
      </w:r>
    </w:p>
    <w:p>
      <w:pPr>
        <w:pStyle w:val="3"/>
        <w:spacing w:line="400" w:lineRule="exact"/>
        <w:rPr>
          <w:rFonts w:hAnsi="宋体" w:cs="宋体"/>
          <w:szCs w:val="21"/>
          <w:highlight w:val="none"/>
        </w:rPr>
      </w:pPr>
      <w:r>
        <w:rPr>
          <w:rFonts w:hint="eastAsia" w:hAnsi="宋体" w:cs="宋体"/>
          <w:szCs w:val="21"/>
          <w:highlight w:val="none"/>
        </w:rPr>
        <w:t xml:space="preserve">    3、本投标自投标截止之日起</w:t>
      </w:r>
      <w:r>
        <w:rPr>
          <w:rFonts w:hint="eastAsia" w:hAnsi="宋体" w:cs="宋体"/>
          <w:szCs w:val="21"/>
          <w:highlight w:val="none"/>
          <w:u w:val="single"/>
        </w:rPr>
        <w:t>90</w:t>
      </w:r>
      <w:r>
        <w:rPr>
          <w:rFonts w:hint="eastAsia" w:hAnsi="宋体" w:cs="宋体"/>
          <w:szCs w:val="21"/>
          <w:highlight w:val="none"/>
        </w:rPr>
        <w:t>天内有效。</w:t>
      </w:r>
    </w:p>
    <w:p>
      <w:pPr>
        <w:pStyle w:val="3"/>
        <w:spacing w:line="400" w:lineRule="exact"/>
        <w:rPr>
          <w:rFonts w:hAnsi="宋体" w:cs="宋体"/>
          <w:szCs w:val="21"/>
          <w:highlight w:val="none"/>
        </w:rPr>
      </w:pPr>
      <w:r>
        <w:rPr>
          <w:rFonts w:hint="eastAsia" w:hAnsi="宋体" w:cs="宋体"/>
          <w:szCs w:val="21"/>
          <w:highlight w:val="none"/>
        </w:rPr>
        <w:t xml:space="preserve">    4、我们已详细审查全部招标文件及有关的澄清/修改文件(若有的话)，我们完全理解并同意放弃对这方面提出任何异议的权利。保证遵守招标文件有关条款规定。</w:t>
      </w:r>
    </w:p>
    <w:p>
      <w:pPr>
        <w:pStyle w:val="3"/>
        <w:spacing w:line="400" w:lineRule="exact"/>
        <w:rPr>
          <w:rFonts w:hAnsi="宋体" w:cs="宋体"/>
          <w:szCs w:val="21"/>
          <w:highlight w:val="none"/>
        </w:rPr>
      </w:pPr>
      <w:r>
        <w:rPr>
          <w:rFonts w:hint="eastAsia" w:hAnsi="宋体" w:cs="宋体"/>
          <w:szCs w:val="21"/>
          <w:highlight w:val="none"/>
        </w:rPr>
        <w:t xml:space="preserve">    5、保证遵守招标文件有关条款规定。</w:t>
      </w:r>
    </w:p>
    <w:p>
      <w:pPr>
        <w:pStyle w:val="3"/>
        <w:spacing w:line="400" w:lineRule="exact"/>
        <w:rPr>
          <w:rFonts w:hAnsi="宋体" w:cs="宋体"/>
          <w:szCs w:val="21"/>
          <w:highlight w:val="none"/>
        </w:rPr>
      </w:pPr>
      <w:r>
        <w:rPr>
          <w:rFonts w:hint="eastAsia" w:hAnsi="宋体" w:cs="宋体"/>
          <w:szCs w:val="21"/>
          <w:highlight w:val="none"/>
        </w:rPr>
        <w:t xml:space="preserve">    6、保证在中标后忠实地执行与招标人所签署的合同，并承担合同规定的责任义务。保证在中标后按照招标文件的规定支付中标服务费。</w:t>
      </w:r>
    </w:p>
    <w:p>
      <w:pPr>
        <w:pStyle w:val="3"/>
        <w:spacing w:line="400" w:lineRule="exact"/>
        <w:rPr>
          <w:rFonts w:hAnsi="宋体" w:cs="宋体"/>
          <w:szCs w:val="21"/>
          <w:highlight w:val="none"/>
        </w:rPr>
      </w:pPr>
      <w:r>
        <w:rPr>
          <w:rFonts w:hint="eastAsia" w:hAnsi="宋体" w:cs="宋体"/>
          <w:szCs w:val="21"/>
          <w:highlight w:val="none"/>
        </w:rPr>
        <w:t xml:space="preserve">    7、承诺应贵方要求提供任何与该项目投标有关的数据、情况和技术资料。</w:t>
      </w:r>
    </w:p>
    <w:p>
      <w:pPr>
        <w:pStyle w:val="3"/>
        <w:spacing w:line="400" w:lineRule="exact"/>
        <w:ind w:firstLine="420" w:firstLineChars="200"/>
        <w:rPr>
          <w:rFonts w:hAnsi="宋体" w:cs="宋体"/>
          <w:szCs w:val="21"/>
          <w:highlight w:val="none"/>
        </w:rPr>
      </w:pPr>
      <w:r>
        <w:rPr>
          <w:rFonts w:hint="eastAsia" w:hAnsi="宋体" w:cs="宋体"/>
          <w:szCs w:val="21"/>
          <w:highlight w:val="none"/>
        </w:rPr>
        <w:t>8、与本投标有关的一切往来通讯请寄：</w:t>
      </w:r>
    </w:p>
    <w:p>
      <w:pPr>
        <w:pStyle w:val="3"/>
        <w:spacing w:line="400" w:lineRule="exact"/>
        <w:rPr>
          <w:rFonts w:hAnsi="宋体" w:cs="宋体"/>
          <w:szCs w:val="21"/>
          <w:highlight w:val="none"/>
        </w:rPr>
      </w:pPr>
      <w:r>
        <w:rPr>
          <w:rFonts w:hint="eastAsia" w:hAnsi="宋体" w:cs="宋体"/>
          <w:szCs w:val="21"/>
          <w:highlight w:val="none"/>
        </w:rPr>
        <w:t>地址：</w:t>
      </w:r>
      <w:r>
        <w:rPr>
          <w:rFonts w:hint="eastAsia" w:hAnsi="宋体" w:cs="宋体"/>
          <w:szCs w:val="21"/>
          <w:highlight w:val="none"/>
          <w:u w:val="single"/>
        </w:rPr>
        <w:t xml:space="preserve">                                                   </w:t>
      </w:r>
    </w:p>
    <w:p>
      <w:pPr>
        <w:pStyle w:val="3"/>
        <w:spacing w:line="400" w:lineRule="exact"/>
        <w:rPr>
          <w:rFonts w:hAnsi="宋体" w:cs="宋体"/>
          <w:szCs w:val="21"/>
          <w:highlight w:val="none"/>
          <w:u w:val="single"/>
        </w:rPr>
      </w:pPr>
      <w:r>
        <w:rPr>
          <w:rFonts w:hint="eastAsia" w:hAnsi="宋体" w:cs="宋体"/>
          <w:szCs w:val="21"/>
          <w:highlight w:val="none"/>
        </w:rPr>
        <w:t>邮编：</w:t>
      </w:r>
      <w:r>
        <w:rPr>
          <w:rFonts w:hint="eastAsia" w:hAnsi="宋体" w:cs="宋体"/>
          <w:szCs w:val="21"/>
          <w:highlight w:val="none"/>
          <w:u w:val="single"/>
        </w:rPr>
        <w:t xml:space="preserve">            </w:t>
      </w:r>
      <w:r>
        <w:rPr>
          <w:rFonts w:hint="eastAsia" w:hAnsi="宋体" w:cs="宋体"/>
          <w:szCs w:val="21"/>
          <w:highlight w:val="none"/>
        </w:rPr>
        <w:t>电话：</w:t>
      </w:r>
      <w:r>
        <w:rPr>
          <w:rFonts w:hint="eastAsia" w:hAnsi="宋体" w:cs="宋体"/>
          <w:szCs w:val="21"/>
          <w:highlight w:val="none"/>
          <w:u w:val="single"/>
        </w:rPr>
        <w:t xml:space="preserve">              </w:t>
      </w:r>
      <w:r>
        <w:rPr>
          <w:rFonts w:hint="eastAsia" w:hAnsi="宋体" w:cs="宋体"/>
          <w:szCs w:val="21"/>
          <w:highlight w:val="none"/>
        </w:rPr>
        <w:t>传真：</w:t>
      </w:r>
      <w:r>
        <w:rPr>
          <w:rFonts w:hint="eastAsia" w:hAnsi="宋体" w:cs="宋体"/>
          <w:szCs w:val="21"/>
          <w:highlight w:val="none"/>
          <w:u w:val="single"/>
        </w:rPr>
        <w:t xml:space="preserve">    </w:t>
      </w:r>
    </w:p>
    <w:p>
      <w:pPr>
        <w:pStyle w:val="3"/>
        <w:spacing w:line="360" w:lineRule="auto"/>
        <w:rPr>
          <w:rFonts w:hAnsi="宋体" w:cs="宋体"/>
          <w:szCs w:val="21"/>
          <w:highlight w:val="none"/>
        </w:rPr>
      </w:pPr>
    </w:p>
    <w:p>
      <w:pPr>
        <w:pStyle w:val="3"/>
        <w:spacing w:line="360" w:lineRule="auto"/>
        <w:rPr>
          <w:rFonts w:hAnsi="宋体" w:cs="宋体"/>
          <w:szCs w:val="21"/>
          <w:highlight w:val="none"/>
        </w:rPr>
      </w:pPr>
    </w:p>
    <w:p>
      <w:pPr>
        <w:pStyle w:val="3"/>
        <w:widowControl/>
        <w:spacing w:line="360" w:lineRule="auto"/>
        <w:ind w:left="0" w:leftChars="0"/>
        <w:jc w:val="left"/>
        <w:rPr>
          <w:rFonts w:hAnsi="宋体" w:cs="宋体"/>
          <w:szCs w:val="21"/>
          <w:highlight w:val="none"/>
        </w:rPr>
      </w:pPr>
      <w:r>
        <w:rPr>
          <w:rFonts w:hint="eastAsia" w:hAnsi="宋体" w:cs="宋体"/>
          <w:szCs w:val="21"/>
          <w:highlight w:val="none"/>
        </w:rPr>
        <w:t>供应商全称（盖公章）：</w:t>
      </w:r>
    </w:p>
    <w:p>
      <w:pPr>
        <w:pStyle w:val="3"/>
        <w:widowControl/>
        <w:spacing w:line="360" w:lineRule="auto"/>
        <w:ind w:left="0" w:leftChars="0"/>
        <w:jc w:val="left"/>
        <w:rPr>
          <w:rFonts w:hAnsi="宋体" w:cs="宋体"/>
          <w:szCs w:val="21"/>
          <w:highlight w:val="none"/>
        </w:rPr>
      </w:pPr>
      <w:r>
        <w:rPr>
          <w:rFonts w:hint="eastAsia" w:hAnsi="宋体" w:cs="宋体"/>
          <w:szCs w:val="21"/>
          <w:highlight w:val="none"/>
        </w:rPr>
        <w:t>法定代表人或其授权委托人（签名或印章）：</w:t>
      </w:r>
    </w:p>
    <w:p>
      <w:pPr>
        <w:spacing w:line="360" w:lineRule="auto"/>
        <w:ind w:right="180"/>
        <w:jc w:val="left"/>
        <w:rPr>
          <w:rFonts w:ascii="宋体" w:hAnsi="宋体"/>
          <w:sz w:val="22"/>
          <w:szCs w:val="22"/>
          <w:highlight w:val="none"/>
        </w:rPr>
      </w:pPr>
      <w:r>
        <w:rPr>
          <w:rFonts w:hint="eastAsia" w:hAnsi="宋体" w:cs="宋体"/>
          <w:szCs w:val="21"/>
          <w:highlight w:val="none"/>
        </w:rPr>
        <w:t>日期：   年   月  日</w:t>
      </w:r>
    </w:p>
    <w:p>
      <w:pPr>
        <w:pStyle w:val="174"/>
        <w:keepNext w:val="0"/>
        <w:pageBreakBefore w:val="0"/>
        <w:tabs>
          <w:tab w:val="left" w:pos="420"/>
        </w:tabs>
        <w:adjustRightInd w:val="0"/>
        <w:snapToGrid w:val="0"/>
        <w:outlineLvl w:val="2"/>
        <w:rPr>
          <w:rFonts w:ascii="宋体" w:hAnsi="宋体" w:eastAsia="宋体"/>
          <w:kern w:val="2"/>
          <w:highlight w:val="none"/>
        </w:rPr>
      </w:pPr>
      <w:r>
        <w:rPr>
          <w:rFonts w:hint="eastAsia" w:ascii="宋体" w:hAnsi="宋体"/>
          <w:b w:val="0"/>
          <w:sz w:val="28"/>
          <w:szCs w:val="28"/>
          <w:highlight w:val="none"/>
        </w:rPr>
        <w:br w:type="page"/>
      </w:r>
      <w:r>
        <w:rPr>
          <w:rFonts w:hint="eastAsia" w:ascii="宋体" w:hAnsi="宋体" w:eastAsia="宋体"/>
          <w:kern w:val="2"/>
          <w:sz w:val="32"/>
          <w:szCs w:val="32"/>
          <w:highlight w:val="none"/>
        </w:rPr>
        <w:t>开标一览表</w:t>
      </w:r>
    </w:p>
    <w:p>
      <w:pPr>
        <w:spacing w:before="31" w:beforeLines="10" w:line="360" w:lineRule="auto"/>
        <w:rPr>
          <w:rFonts w:ascii="宋体" w:hAnsi="宋体"/>
          <w:b/>
          <w:sz w:val="22"/>
          <w:szCs w:val="22"/>
          <w:highlight w:val="none"/>
          <w:u w:val="single"/>
        </w:rPr>
      </w:pPr>
      <w:r>
        <w:rPr>
          <w:rFonts w:hint="eastAsia" w:ascii="宋体" w:hAnsi="宋体"/>
          <w:b/>
          <w:sz w:val="22"/>
          <w:szCs w:val="22"/>
          <w:highlight w:val="none"/>
        </w:rPr>
        <w:t>致：</w:t>
      </w:r>
      <w:r>
        <w:rPr>
          <w:rFonts w:hint="eastAsia" w:ascii="宋体" w:hAnsi="宋体"/>
          <w:b/>
          <w:sz w:val="22"/>
          <w:szCs w:val="22"/>
          <w:highlight w:val="none"/>
          <w:u w:val="single"/>
        </w:rPr>
        <w:t>（采购人）</w:t>
      </w:r>
    </w:p>
    <w:p>
      <w:pPr>
        <w:spacing w:before="31" w:beforeLines="10" w:line="360" w:lineRule="auto"/>
        <w:ind w:firstLine="440" w:firstLineChars="200"/>
        <w:rPr>
          <w:rFonts w:ascii="宋体" w:hAnsi="宋体"/>
          <w:kern w:val="0"/>
          <w:sz w:val="22"/>
          <w:szCs w:val="22"/>
          <w:highlight w:val="none"/>
          <w:lang w:val="zh-CN"/>
        </w:rPr>
      </w:pPr>
      <w:r>
        <w:rPr>
          <w:rFonts w:hint="eastAsia" w:ascii="宋体" w:hAnsi="宋体"/>
          <w:kern w:val="0"/>
          <w:sz w:val="22"/>
          <w:szCs w:val="22"/>
          <w:highlight w:val="none"/>
          <w:lang w:val="zh-CN"/>
        </w:rPr>
        <w:t>按你方采购文件要求，我们本投标文件签字方，谨此向你方发出要约如下：如你方接受本投标文件，我方承诺按照如下开标一览表的价格完成</w:t>
      </w:r>
      <w:r>
        <w:rPr>
          <w:rFonts w:hint="eastAsia" w:ascii="宋体" w:hAnsi="宋体"/>
          <w:b/>
          <w:bCs/>
          <w:kern w:val="0"/>
          <w:sz w:val="22"/>
          <w:szCs w:val="22"/>
          <w:highlight w:val="none"/>
          <w:lang w:val="zh-CN"/>
        </w:rPr>
        <w:t>[项目名称：</w:t>
      </w:r>
      <w:r>
        <w:rPr>
          <w:rFonts w:hint="eastAsia" w:ascii="宋体" w:hAnsi="宋体"/>
          <w:b/>
          <w:bCs/>
          <w:kern w:val="0"/>
          <w:sz w:val="22"/>
          <w:szCs w:val="22"/>
          <w:highlight w:val="none"/>
          <w:u w:val="single"/>
        </w:rPr>
        <w:t xml:space="preserve">            </w:t>
      </w:r>
      <w:r>
        <w:rPr>
          <w:rFonts w:hint="eastAsia" w:ascii="宋体" w:hAnsi="宋体"/>
          <w:b/>
          <w:bCs/>
          <w:sz w:val="22"/>
          <w:szCs w:val="22"/>
          <w:highlight w:val="none"/>
        </w:rPr>
        <w:t>]</w:t>
      </w:r>
      <w:r>
        <w:rPr>
          <w:rFonts w:hint="eastAsia" w:ascii="宋体" w:hAnsi="宋体"/>
          <w:kern w:val="0"/>
          <w:sz w:val="22"/>
          <w:szCs w:val="22"/>
          <w:highlight w:val="none"/>
          <w:lang w:val="zh-CN"/>
        </w:rPr>
        <w:t>实施。</w:t>
      </w:r>
    </w:p>
    <w:tbl>
      <w:tblPr>
        <w:tblStyle w:val="5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57"/>
        <w:gridCol w:w="37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5257" w:type="dxa"/>
            <w:vAlign w:val="center"/>
          </w:tcPr>
          <w:p>
            <w:pPr>
              <w:spacing w:line="360" w:lineRule="auto"/>
              <w:jc w:val="center"/>
              <w:rPr>
                <w:b/>
                <w:bCs/>
                <w:highlight w:val="none"/>
              </w:rPr>
            </w:pPr>
            <w:r>
              <w:rPr>
                <w:rFonts w:hint="eastAsia"/>
                <w:b/>
                <w:bCs/>
                <w:szCs w:val="21"/>
                <w:highlight w:val="none"/>
              </w:rPr>
              <w:t>采购内容</w:t>
            </w:r>
          </w:p>
        </w:tc>
        <w:tc>
          <w:tcPr>
            <w:tcW w:w="3722" w:type="dxa"/>
            <w:vAlign w:val="center"/>
          </w:tcPr>
          <w:p>
            <w:pPr>
              <w:spacing w:line="360" w:lineRule="auto"/>
              <w:jc w:val="center"/>
              <w:rPr>
                <w:b/>
                <w:bCs/>
                <w:szCs w:val="21"/>
                <w:highlight w:val="none"/>
              </w:rPr>
            </w:pPr>
            <w:r>
              <w:rPr>
                <w:rFonts w:hint="eastAsia"/>
                <w:b/>
                <w:bCs/>
                <w:szCs w:val="21"/>
                <w:highlight w:val="none"/>
              </w:rPr>
              <w:t>投标总报价（元）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5257" w:type="dxa"/>
            <w:vAlign w:val="center"/>
          </w:tcPr>
          <w:p>
            <w:pPr>
              <w:spacing w:line="400" w:lineRule="exact"/>
              <w:rPr>
                <w:highlight w:val="none"/>
              </w:rPr>
            </w:pPr>
            <w:r>
              <w:rPr>
                <w:rFonts w:hint="eastAsia" w:ascii="宋体" w:hAnsi="宋体" w:cs="Arial"/>
                <w:bCs/>
                <w:sz w:val="22"/>
                <w:szCs w:val="22"/>
                <w:highlight w:val="none"/>
                <w:lang w:eastAsia="zh-CN"/>
              </w:rPr>
              <w:t>江北区城乡排水管网数字化智能化管控平台（智慧排水工程）项目</w:t>
            </w:r>
            <w:r>
              <w:rPr>
                <w:rFonts w:hint="eastAsia" w:ascii="宋体" w:hAnsi="宋体"/>
                <w:sz w:val="22"/>
                <w:szCs w:val="22"/>
                <w:highlight w:val="none"/>
              </w:rPr>
              <w:t xml:space="preserve">  </w:t>
            </w:r>
          </w:p>
        </w:tc>
        <w:tc>
          <w:tcPr>
            <w:tcW w:w="3722" w:type="dxa"/>
            <w:vAlign w:val="center"/>
          </w:tcPr>
          <w:p>
            <w:pPr>
              <w:spacing w:line="400" w:lineRule="exact"/>
              <w:ind w:firstLine="1029" w:firstLineChars="490"/>
              <w:rPr>
                <w:highlight w:val="none"/>
                <w:u w:val="single"/>
              </w:rPr>
            </w:pPr>
            <w:r>
              <w:rPr>
                <w:rFonts w:hint="eastAsia"/>
                <w:highlight w:val="none"/>
              </w:rPr>
              <w:t>大写：</w:t>
            </w:r>
            <w:r>
              <w:rPr>
                <w:rFonts w:hint="eastAsia"/>
                <w:highlight w:val="none"/>
                <w:u w:val="single"/>
              </w:rPr>
              <w:t xml:space="preserve">            </w:t>
            </w:r>
          </w:p>
          <w:p>
            <w:pPr>
              <w:spacing w:line="400" w:lineRule="exact"/>
              <w:ind w:firstLine="1029" w:firstLineChars="490"/>
              <w:rPr>
                <w:highlight w:val="none"/>
              </w:rPr>
            </w:pPr>
            <w:r>
              <w:rPr>
                <w:rFonts w:hint="eastAsia"/>
                <w:highlight w:val="none"/>
              </w:rPr>
              <w:t>小写：</w:t>
            </w:r>
            <w:r>
              <w:rPr>
                <w:rFonts w:hint="eastAsia"/>
                <w:highlight w:val="none"/>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5257" w:type="dxa"/>
            <w:vAlign w:val="center"/>
          </w:tcPr>
          <w:p>
            <w:pPr>
              <w:widowControl/>
              <w:spacing w:line="400" w:lineRule="exact"/>
              <w:jc w:val="center"/>
              <w:rPr>
                <w:highlight w:val="none"/>
              </w:rPr>
            </w:pPr>
            <w:r>
              <w:rPr>
                <w:rFonts w:hint="eastAsia"/>
                <w:szCs w:val="21"/>
                <w:highlight w:val="none"/>
              </w:rPr>
              <w:t>投标声明</w:t>
            </w:r>
          </w:p>
        </w:tc>
        <w:tc>
          <w:tcPr>
            <w:tcW w:w="3722" w:type="dxa"/>
            <w:vAlign w:val="center"/>
          </w:tcPr>
          <w:p>
            <w:pPr>
              <w:widowControl/>
              <w:spacing w:line="400" w:lineRule="exact"/>
              <w:jc w:val="center"/>
              <w:rPr>
                <w:highlight w:val="none"/>
              </w:rPr>
            </w:pPr>
            <w:r>
              <w:rPr>
                <w:rFonts w:hint="eastAsia"/>
                <w:highlight w:val="none"/>
              </w:rPr>
              <w:t>若无填“/”即可</w:t>
            </w:r>
          </w:p>
        </w:tc>
      </w:tr>
    </w:tbl>
    <w:p>
      <w:pPr>
        <w:pStyle w:val="2"/>
        <w:ind w:firstLine="440"/>
        <w:rPr>
          <w:rFonts w:ascii="宋体" w:hAnsi="宋体"/>
          <w:kern w:val="0"/>
          <w:sz w:val="22"/>
          <w:szCs w:val="22"/>
          <w:highlight w:val="none"/>
          <w:lang w:val="zh-CN"/>
        </w:rPr>
      </w:pPr>
    </w:p>
    <w:p>
      <w:pPr>
        <w:pStyle w:val="3"/>
        <w:spacing w:line="360" w:lineRule="auto"/>
        <w:rPr>
          <w:rFonts w:hAnsi="宋体" w:cs="宋体"/>
          <w:b/>
          <w:bCs/>
          <w:szCs w:val="21"/>
          <w:highlight w:val="none"/>
        </w:rPr>
      </w:pPr>
      <w:r>
        <w:rPr>
          <w:rFonts w:hint="eastAsia" w:hAnsi="宋体" w:cs="宋体"/>
          <w:b/>
          <w:bCs/>
          <w:szCs w:val="21"/>
          <w:highlight w:val="none"/>
        </w:rPr>
        <w:t xml:space="preserve"> 1、“投标报价”应与“投标函”中“投标总价”一致。</w:t>
      </w:r>
    </w:p>
    <w:p>
      <w:pPr>
        <w:adjustRightInd w:val="0"/>
        <w:snapToGrid w:val="0"/>
        <w:spacing w:line="360" w:lineRule="auto"/>
        <w:ind w:firstLine="420" w:firstLineChars="200"/>
        <w:rPr>
          <w:rFonts w:hAnsi="宋体" w:cs="宋体"/>
          <w:b/>
          <w:bCs/>
          <w:szCs w:val="21"/>
          <w:highlight w:val="none"/>
        </w:rPr>
      </w:pPr>
      <w:r>
        <w:rPr>
          <w:rFonts w:hint="eastAsia" w:hAnsi="宋体" w:cs="宋体"/>
          <w:b/>
          <w:bCs/>
          <w:szCs w:val="21"/>
          <w:highlight w:val="none"/>
        </w:rPr>
        <w:t xml:space="preserve"> 2、报价一经涂改，应在涂改处加盖单位公章或者由法定代表人或授权委托人签字或盖章，否则其投标作无效标处理。</w:t>
      </w:r>
    </w:p>
    <w:p>
      <w:pPr>
        <w:pStyle w:val="62"/>
        <w:ind w:firstLine="422"/>
        <w:rPr>
          <w:highlight w:val="none"/>
        </w:rPr>
      </w:pPr>
      <w:r>
        <w:rPr>
          <w:rFonts w:hint="eastAsia" w:hAnsi="宋体" w:cs="宋体"/>
          <w:b/>
          <w:bCs/>
          <w:szCs w:val="21"/>
          <w:highlight w:val="none"/>
        </w:rPr>
        <w:t>3、</w:t>
      </w:r>
      <w:r>
        <w:rPr>
          <w:rFonts w:hint="eastAsia" w:ascii="Times New Roman" w:hAnsi="宋体" w:cs="宋体"/>
          <w:b/>
          <w:bCs/>
          <w:szCs w:val="21"/>
          <w:highlight w:val="none"/>
        </w:rPr>
        <w:t>投标总报价建议四舍五入保留至整数元为止。</w:t>
      </w:r>
    </w:p>
    <w:p>
      <w:pPr>
        <w:pStyle w:val="3"/>
        <w:widowControl/>
        <w:spacing w:line="360" w:lineRule="auto"/>
        <w:ind w:firstLine="5040" w:firstLineChars="2400"/>
        <w:jc w:val="left"/>
        <w:rPr>
          <w:rFonts w:hAnsi="宋体" w:cs="宋体"/>
          <w:szCs w:val="21"/>
          <w:highlight w:val="none"/>
        </w:rPr>
      </w:pPr>
    </w:p>
    <w:p>
      <w:pPr>
        <w:pStyle w:val="3"/>
        <w:widowControl/>
        <w:spacing w:line="360" w:lineRule="auto"/>
        <w:ind w:firstLine="5040" w:firstLineChars="2400"/>
        <w:jc w:val="left"/>
        <w:rPr>
          <w:rFonts w:hAnsi="宋体" w:cs="宋体"/>
          <w:szCs w:val="21"/>
          <w:highlight w:val="none"/>
        </w:rPr>
      </w:pPr>
    </w:p>
    <w:p>
      <w:pPr>
        <w:pStyle w:val="3"/>
        <w:widowControl/>
        <w:spacing w:line="360" w:lineRule="auto"/>
        <w:ind w:left="0" w:leftChars="0"/>
        <w:jc w:val="left"/>
        <w:rPr>
          <w:rFonts w:hAnsi="宋体" w:cs="宋体"/>
          <w:szCs w:val="21"/>
          <w:highlight w:val="none"/>
        </w:rPr>
      </w:pPr>
      <w:r>
        <w:rPr>
          <w:rFonts w:hint="eastAsia" w:hAnsi="宋体" w:cs="宋体"/>
          <w:szCs w:val="21"/>
          <w:highlight w:val="none"/>
        </w:rPr>
        <w:t>供应商全称（盖公章）：</w:t>
      </w:r>
    </w:p>
    <w:p>
      <w:pPr>
        <w:pStyle w:val="3"/>
        <w:widowControl/>
        <w:spacing w:line="360" w:lineRule="auto"/>
        <w:ind w:left="0" w:leftChars="0"/>
        <w:jc w:val="left"/>
        <w:rPr>
          <w:rFonts w:hAnsi="宋体" w:cs="宋体"/>
          <w:szCs w:val="21"/>
          <w:highlight w:val="none"/>
        </w:rPr>
      </w:pPr>
      <w:r>
        <w:rPr>
          <w:rFonts w:hint="eastAsia" w:hAnsi="宋体" w:cs="宋体"/>
          <w:szCs w:val="21"/>
          <w:highlight w:val="none"/>
        </w:rPr>
        <w:t>法定代表人或其授权委托人（签名或印章）：</w:t>
      </w:r>
    </w:p>
    <w:p>
      <w:pPr>
        <w:spacing w:line="360" w:lineRule="auto"/>
        <w:ind w:right="180"/>
        <w:jc w:val="left"/>
        <w:rPr>
          <w:rFonts w:hAnsi="宋体" w:cs="宋体"/>
          <w:szCs w:val="21"/>
          <w:highlight w:val="none"/>
        </w:rPr>
      </w:pPr>
      <w:r>
        <w:rPr>
          <w:rFonts w:hint="eastAsia" w:hAnsi="宋体" w:cs="宋体"/>
          <w:szCs w:val="21"/>
          <w:highlight w:val="none"/>
        </w:rPr>
        <w:t>日期：   年   月  日</w:t>
      </w:r>
    </w:p>
    <w:p>
      <w:pPr>
        <w:rPr>
          <w:rFonts w:hAnsi="宋体" w:cs="宋体"/>
          <w:szCs w:val="21"/>
          <w:highlight w:val="none"/>
        </w:rPr>
      </w:pPr>
      <w:r>
        <w:rPr>
          <w:rFonts w:hint="eastAsia" w:hAnsi="宋体" w:cs="宋体"/>
          <w:szCs w:val="21"/>
          <w:highlight w:val="none"/>
        </w:rPr>
        <w:br w:type="page"/>
      </w:r>
    </w:p>
    <w:p>
      <w:pPr>
        <w:pStyle w:val="64"/>
        <w:ind w:left="0" w:leftChars="0" w:firstLine="0"/>
        <w:jc w:val="left"/>
        <w:rPr>
          <w:highlight w:val="none"/>
        </w:rPr>
      </w:pPr>
      <w:r>
        <w:rPr>
          <w:rFonts w:hint="eastAsia"/>
          <w:highlight w:val="none"/>
        </w:rPr>
        <w:t>附件：报价清单</w:t>
      </w:r>
    </w:p>
    <w:p>
      <w:pPr>
        <w:pStyle w:val="3"/>
        <w:spacing w:line="360" w:lineRule="auto"/>
        <w:ind w:left="0" w:leftChars="0"/>
        <w:rPr>
          <w:rFonts w:hAnsi="宋体" w:cs="宋体"/>
          <w:szCs w:val="21"/>
          <w:highlight w:val="none"/>
        </w:rPr>
      </w:pPr>
    </w:p>
    <w:p>
      <w:pPr>
        <w:pStyle w:val="3"/>
        <w:spacing w:line="360" w:lineRule="auto"/>
        <w:ind w:left="0" w:leftChars="0"/>
        <w:rPr>
          <w:rFonts w:hAnsi="宋体" w:cs="宋体"/>
          <w:szCs w:val="21"/>
          <w:highlight w:val="none"/>
        </w:rPr>
      </w:pPr>
    </w:p>
    <w:p>
      <w:pPr>
        <w:snapToGrid w:val="0"/>
        <w:spacing w:beforeLines="50" w:after="50" w:line="440" w:lineRule="exact"/>
        <w:jc w:val="center"/>
        <w:outlineLvl w:val="2"/>
        <w:rPr>
          <w:rFonts w:ascii="宋体" w:hAnsi="宋体"/>
          <w:b/>
          <w:color w:val="auto"/>
          <w:sz w:val="32"/>
          <w:szCs w:val="32"/>
          <w:highlight w:val="none"/>
        </w:rPr>
      </w:pPr>
      <w:r>
        <w:rPr>
          <w:rFonts w:hint="eastAsia" w:ascii="宋体" w:hAnsi="宋体"/>
          <w:b/>
          <w:sz w:val="32"/>
          <w:szCs w:val="32"/>
          <w:highlight w:val="none"/>
        </w:rPr>
        <w:br w:type="page"/>
      </w:r>
      <w:r>
        <w:rPr>
          <w:rFonts w:hint="eastAsia" w:ascii="宋体" w:hAnsi="宋体"/>
          <w:b/>
          <w:color w:val="auto"/>
          <w:sz w:val="32"/>
          <w:szCs w:val="32"/>
          <w:highlight w:val="none"/>
        </w:rPr>
        <w:t>中小企业声明函</w:t>
      </w:r>
    </w:p>
    <w:p>
      <w:pPr>
        <w:spacing w:line="400" w:lineRule="exact"/>
        <w:ind w:firstLine="440" w:firstLineChars="200"/>
        <w:rPr>
          <w:color w:val="auto"/>
          <w:kern w:val="0"/>
          <w:sz w:val="22"/>
          <w:szCs w:val="22"/>
          <w:highlight w:val="none"/>
          <w:lang w:bidi="zh-CN"/>
        </w:rPr>
      </w:pPr>
    </w:p>
    <w:p>
      <w:pPr>
        <w:spacing w:line="400" w:lineRule="exact"/>
        <w:ind w:firstLine="440" w:firstLineChars="200"/>
        <w:rPr>
          <w:color w:val="auto"/>
          <w:kern w:val="0"/>
          <w:sz w:val="22"/>
          <w:szCs w:val="22"/>
          <w:highlight w:val="none"/>
          <w:lang w:bidi="zh-CN"/>
        </w:rPr>
      </w:pPr>
    </w:p>
    <w:p>
      <w:pPr>
        <w:spacing w:line="400" w:lineRule="exact"/>
        <w:ind w:firstLine="420" w:firstLineChars="200"/>
        <w:rPr>
          <w:color w:val="auto"/>
          <w:sz w:val="21"/>
          <w:szCs w:val="21"/>
          <w:highlight w:val="none"/>
        </w:rPr>
      </w:pPr>
      <w:r>
        <w:rPr>
          <w:rFonts w:hint="eastAsia"/>
          <w:color w:val="auto"/>
          <w:kern w:val="0"/>
          <w:sz w:val="21"/>
          <w:szCs w:val="21"/>
          <w:highlight w:val="none"/>
          <w:lang w:bidi="zh-CN"/>
        </w:rPr>
        <w:t>本公司郑重声明，根据《政府采购促进中小企业发展管理办法》（财库﹝2020﹞46 号）的规定，本公司参加</w:t>
      </w:r>
      <w:r>
        <w:rPr>
          <w:rFonts w:hint="eastAsia"/>
          <w:color w:val="auto"/>
          <w:kern w:val="0"/>
          <w:sz w:val="21"/>
          <w:szCs w:val="21"/>
          <w:highlight w:val="none"/>
          <w:u w:val="single"/>
          <w:lang w:bidi="zh-CN"/>
        </w:rPr>
        <w:t xml:space="preserve"> （单位名称） </w:t>
      </w:r>
      <w:r>
        <w:rPr>
          <w:rFonts w:hint="eastAsia"/>
          <w:color w:val="auto"/>
          <w:kern w:val="0"/>
          <w:sz w:val="21"/>
          <w:szCs w:val="21"/>
          <w:highlight w:val="none"/>
          <w:lang w:bidi="zh-CN"/>
        </w:rPr>
        <w:t xml:space="preserve"> 的</w:t>
      </w:r>
      <w:r>
        <w:rPr>
          <w:rFonts w:hint="eastAsia"/>
          <w:color w:val="auto"/>
          <w:kern w:val="0"/>
          <w:sz w:val="21"/>
          <w:szCs w:val="21"/>
          <w:highlight w:val="none"/>
          <w:u w:val="single"/>
          <w:lang w:bidi="zh-CN"/>
        </w:rPr>
        <w:t xml:space="preserve">  （项目名称）  </w:t>
      </w:r>
      <w:r>
        <w:rPr>
          <w:rFonts w:hint="eastAsia"/>
          <w:color w:val="auto"/>
          <w:kern w:val="0"/>
          <w:sz w:val="21"/>
          <w:szCs w:val="21"/>
          <w:highlight w:val="none"/>
          <w:lang w:bidi="zh-CN"/>
        </w:rPr>
        <w:t>采购活动，服务全部由符合政策要求的中小企业承接。相关企业（的具体情况如下：</w:t>
      </w:r>
    </w:p>
    <w:p>
      <w:pPr>
        <w:spacing w:line="400" w:lineRule="exact"/>
        <w:ind w:firstLine="420" w:firstLineChars="200"/>
        <w:rPr>
          <w:color w:val="auto"/>
          <w:sz w:val="21"/>
          <w:szCs w:val="21"/>
          <w:highlight w:val="none"/>
        </w:rPr>
      </w:pPr>
      <w:r>
        <w:rPr>
          <w:rFonts w:hint="eastAsia"/>
          <w:color w:val="auto"/>
          <w:kern w:val="0"/>
          <w:sz w:val="21"/>
          <w:szCs w:val="21"/>
          <w:highlight w:val="none"/>
          <w:lang w:bidi="zh-CN"/>
        </w:rPr>
        <w:t>1、</w:t>
      </w:r>
      <w:r>
        <w:rPr>
          <w:rFonts w:hint="eastAsia"/>
          <w:color w:val="auto"/>
          <w:kern w:val="0"/>
          <w:sz w:val="21"/>
          <w:szCs w:val="21"/>
          <w:highlight w:val="none"/>
          <w:u w:val="single"/>
          <w:lang w:bidi="zh-CN"/>
        </w:rPr>
        <w:t xml:space="preserve">（标的名称） </w:t>
      </w:r>
      <w:r>
        <w:rPr>
          <w:rFonts w:hint="eastAsia"/>
          <w:color w:val="auto"/>
          <w:kern w:val="0"/>
          <w:sz w:val="21"/>
          <w:szCs w:val="21"/>
          <w:highlight w:val="none"/>
          <w:lang w:bidi="zh-CN"/>
        </w:rPr>
        <w:t>，属于</w:t>
      </w:r>
      <w:r>
        <w:rPr>
          <w:rFonts w:hint="eastAsia"/>
          <w:color w:val="auto"/>
          <w:kern w:val="0"/>
          <w:sz w:val="21"/>
          <w:szCs w:val="21"/>
          <w:highlight w:val="none"/>
          <w:u w:val="single"/>
          <w:lang w:bidi="zh-CN"/>
        </w:rPr>
        <w:t xml:space="preserve">         </w:t>
      </w:r>
      <w:r>
        <w:rPr>
          <w:rFonts w:hint="eastAsia"/>
          <w:color w:val="auto"/>
          <w:kern w:val="0"/>
          <w:sz w:val="21"/>
          <w:szCs w:val="21"/>
          <w:highlight w:val="none"/>
          <w:lang w:bidi="zh-CN"/>
        </w:rPr>
        <w:t>行业；承接企业为</w:t>
      </w:r>
      <w:r>
        <w:rPr>
          <w:rFonts w:hint="eastAsia"/>
          <w:color w:val="auto"/>
          <w:kern w:val="0"/>
          <w:sz w:val="21"/>
          <w:szCs w:val="21"/>
          <w:highlight w:val="none"/>
          <w:u w:val="single"/>
          <w:lang w:bidi="zh-CN"/>
        </w:rPr>
        <w:t>（企业名称）</w:t>
      </w:r>
      <w:r>
        <w:rPr>
          <w:rFonts w:hint="eastAsia"/>
          <w:color w:val="auto"/>
          <w:kern w:val="0"/>
          <w:sz w:val="21"/>
          <w:szCs w:val="21"/>
          <w:highlight w:val="none"/>
          <w:lang w:bidi="zh-CN"/>
        </w:rPr>
        <w:t>，从业人员</w:t>
      </w:r>
      <w:r>
        <w:rPr>
          <w:rFonts w:hint="eastAsia"/>
          <w:color w:val="auto"/>
          <w:kern w:val="0"/>
          <w:sz w:val="21"/>
          <w:szCs w:val="21"/>
          <w:highlight w:val="none"/>
          <w:u w:val="single"/>
          <w:lang w:bidi="zh-CN"/>
        </w:rPr>
        <w:t xml:space="preserve">     </w:t>
      </w:r>
      <w:r>
        <w:rPr>
          <w:rFonts w:hint="eastAsia"/>
          <w:color w:val="auto"/>
          <w:kern w:val="0"/>
          <w:sz w:val="21"/>
          <w:szCs w:val="21"/>
          <w:highlight w:val="none"/>
          <w:lang w:bidi="zh-CN"/>
        </w:rPr>
        <w:t>人，营业收入为</w:t>
      </w:r>
      <w:r>
        <w:rPr>
          <w:rFonts w:hint="eastAsia"/>
          <w:color w:val="auto"/>
          <w:kern w:val="0"/>
          <w:sz w:val="21"/>
          <w:szCs w:val="21"/>
          <w:highlight w:val="none"/>
          <w:u w:val="single"/>
          <w:lang w:bidi="zh-CN"/>
        </w:rPr>
        <w:t xml:space="preserve">   </w:t>
      </w:r>
      <w:r>
        <w:rPr>
          <w:rFonts w:hint="eastAsia"/>
          <w:color w:val="auto"/>
          <w:kern w:val="0"/>
          <w:sz w:val="21"/>
          <w:szCs w:val="21"/>
          <w:highlight w:val="none"/>
          <w:lang w:bidi="zh-CN"/>
        </w:rPr>
        <w:t>万元，资产总额为</w:t>
      </w:r>
      <w:r>
        <w:rPr>
          <w:rFonts w:hint="eastAsia"/>
          <w:color w:val="auto"/>
          <w:kern w:val="0"/>
          <w:sz w:val="21"/>
          <w:szCs w:val="21"/>
          <w:highlight w:val="none"/>
          <w:u w:val="single"/>
          <w:lang w:bidi="zh-CN"/>
        </w:rPr>
        <w:t xml:space="preserve">     </w:t>
      </w:r>
      <w:r>
        <w:rPr>
          <w:rFonts w:hint="eastAsia"/>
          <w:color w:val="auto"/>
          <w:kern w:val="0"/>
          <w:sz w:val="21"/>
          <w:szCs w:val="21"/>
          <w:highlight w:val="none"/>
          <w:lang w:bidi="zh-CN"/>
        </w:rPr>
        <w:t>万元，属于</w:t>
      </w:r>
      <w:r>
        <w:rPr>
          <w:rFonts w:hint="eastAsia"/>
          <w:color w:val="auto"/>
          <w:kern w:val="0"/>
          <w:sz w:val="21"/>
          <w:szCs w:val="21"/>
          <w:highlight w:val="none"/>
          <w:u w:val="single"/>
          <w:lang w:bidi="zh-CN"/>
        </w:rPr>
        <w:t>（中型企业、小型企业、微型企业）</w:t>
      </w:r>
      <w:r>
        <w:rPr>
          <w:rFonts w:hint="eastAsia"/>
          <w:color w:val="auto"/>
          <w:kern w:val="0"/>
          <w:sz w:val="21"/>
          <w:szCs w:val="21"/>
          <w:highlight w:val="none"/>
          <w:lang w:bidi="zh-CN"/>
        </w:rPr>
        <w:t xml:space="preserve">； </w:t>
      </w:r>
    </w:p>
    <w:p>
      <w:pPr>
        <w:spacing w:line="400" w:lineRule="exact"/>
        <w:ind w:firstLine="420" w:firstLineChars="200"/>
        <w:rPr>
          <w:color w:val="auto"/>
          <w:sz w:val="21"/>
          <w:szCs w:val="21"/>
          <w:highlight w:val="none"/>
        </w:rPr>
      </w:pPr>
      <w:r>
        <w:rPr>
          <w:rFonts w:hint="eastAsia"/>
          <w:color w:val="auto"/>
          <w:kern w:val="0"/>
          <w:sz w:val="21"/>
          <w:szCs w:val="21"/>
          <w:highlight w:val="none"/>
          <w:lang w:bidi="zh-CN"/>
        </w:rPr>
        <w:t>2、</w:t>
      </w:r>
      <w:r>
        <w:rPr>
          <w:rFonts w:hint="eastAsia"/>
          <w:color w:val="auto"/>
          <w:kern w:val="0"/>
          <w:sz w:val="21"/>
          <w:szCs w:val="21"/>
          <w:highlight w:val="none"/>
          <w:u w:val="single"/>
          <w:lang w:bidi="zh-CN"/>
        </w:rPr>
        <w:t xml:space="preserve">（标的名称） </w:t>
      </w:r>
      <w:r>
        <w:rPr>
          <w:rFonts w:hint="eastAsia"/>
          <w:color w:val="auto"/>
          <w:kern w:val="0"/>
          <w:sz w:val="21"/>
          <w:szCs w:val="21"/>
          <w:highlight w:val="none"/>
          <w:lang w:bidi="zh-CN"/>
        </w:rPr>
        <w:t>，属于</w:t>
      </w:r>
      <w:r>
        <w:rPr>
          <w:rFonts w:hint="eastAsia"/>
          <w:color w:val="auto"/>
          <w:kern w:val="0"/>
          <w:sz w:val="21"/>
          <w:szCs w:val="21"/>
          <w:highlight w:val="none"/>
          <w:u w:val="single"/>
          <w:lang w:bidi="zh-CN"/>
        </w:rPr>
        <w:t xml:space="preserve">         </w:t>
      </w:r>
      <w:r>
        <w:rPr>
          <w:rFonts w:hint="eastAsia"/>
          <w:color w:val="auto"/>
          <w:kern w:val="0"/>
          <w:sz w:val="21"/>
          <w:szCs w:val="21"/>
          <w:highlight w:val="none"/>
          <w:lang w:bidi="zh-CN"/>
        </w:rPr>
        <w:t>行业；承接企业为</w:t>
      </w:r>
      <w:r>
        <w:rPr>
          <w:rFonts w:hint="eastAsia"/>
          <w:color w:val="auto"/>
          <w:kern w:val="0"/>
          <w:sz w:val="21"/>
          <w:szCs w:val="21"/>
          <w:highlight w:val="none"/>
          <w:u w:val="single"/>
          <w:lang w:bidi="zh-CN"/>
        </w:rPr>
        <w:t>（企业名称）</w:t>
      </w:r>
      <w:r>
        <w:rPr>
          <w:rFonts w:hint="eastAsia"/>
          <w:color w:val="auto"/>
          <w:kern w:val="0"/>
          <w:sz w:val="21"/>
          <w:szCs w:val="21"/>
          <w:highlight w:val="none"/>
          <w:lang w:bidi="zh-CN"/>
        </w:rPr>
        <w:t>，从业人员</w:t>
      </w:r>
      <w:r>
        <w:rPr>
          <w:rFonts w:hint="eastAsia"/>
          <w:color w:val="auto"/>
          <w:kern w:val="0"/>
          <w:sz w:val="21"/>
          <w:szCs w:val="21"/>
          <w:highlight w:val="none"/>
          <w:u w:val="single"/>
          <w:lang w:bidi="zh-CN"/>
        </w:rPr>
        <w:t xml:space="preserve">     </w:t>
      </w:r>
      <w:r>
        <w:rPr>
          <w:rFonts w:hint="eastAsia"/>
          <w:color w:val="auto"/>
          <w:kern w:val="0"/>
          <w:sz w:val="21"/>
          <w:szCs w:val="21"/>
          <w:highlight w:val="none"/>
          <w:lang w:bidi="zh-CN"/>
        </w:rPr>
        <w:t>人，营业收入为</w:t>
      </w:r>
      <w:r>
        <w:rPr>
          <w:rFonts w:hint="eastAsia"/>
          <w:color w:val="auto"/>
          <w:kern w:val="0"/>
          <w:sz w:val="21"/>
          <w:szCs w:val="21"/>
          <w:highlight w:val="none"/>
          <w:u w:val="single"/>
          <w:lang w:bidi="zh-CN"/>
        </w:rPr>
        <w:t xml:space="preserve">   </w:t>
      </w:r>
      <w:r>
        <w:rPr>
          <w:rFonts w:hint="eastAsia"/>
          <w:color w:val="auto"/>
          <w:kern w:val="0"/>
          <w:sz w:val="21"/>
          <w:szCs w:val="21"/>
          <w:highlight w:val="none"/>
          <w:lang w:bidi="zh-CN"/>
        </w:rPr>
        <w:t>万元，资产总额为</w:t>
      </w:r>
      <w:r>
        <w:rPr>
          <w:rFonts w:hint="eastAsia"/>
          <w:color w:val="auto"/>
          <w:kern w:val="0"/>
          <w:sz w:val="21"/>
          <w:szCs w:val="21"/>
          <w:highlight w:val="none"/>
          <w:u w:val="single"/>
          <w:lang w:bidi="zh-CN"/>
        </w:rPr>
        <w:t xml:space="preserve">     </w:t>
      </w:r>
      <w:r>
        <w:rPr>
          <w:rFonts w:hint="eastAsia"/>
          <w:color w:val="auto"/>
          <w:kern w:val="0"/>
          <w:sz w:val="21"/>
          <w:szCs w:val="21"/>
          <w:highlight w:val="none"/>
          <w:lang w:bidi="zh-CN"/>
        </w:rPr>
        <w:t>万元，属于</w:t>
      </w:r>
      <w:r>
        <w:rPr>
          <w:rFonts w:hint="eastAsia"/>
          <w:color w:val="auto"/>
          <w:kern w:val="0"/>
          <w:sz w:val="21"/>
          <w:szCs w:val="21"/>
          <w:highlight w:val="none"/>
          <w:u w:val="single"/>
          <w:lang w:bidi="zh-CN"/>
        </w:rPr>
        <w:t>（中型企业、小型企业、微型企业）</w:t>
      </w:r>
      <w:r>
        <w:rPr>
          <w:rFonts w:hint="eastAsia"/>
          <w:color w:val="auto"/>
          <w:kern w:val="0"/>
          <w:sz w:val="21"/>
          <w:szCs w:val="21"/>
          <w:highlight w:val="none"/>
          <w:lang w:bidi="zh-CN"/>
        </w:rPr>
        <w:t xml:space="preserve">； </w:t>
      </w:r>
    </w:p>
    <w:p>
      <w:pPr>
        <w:spacing w:line="400" w:lineRule="exact"/>
        <w:ind w:firstLine="420" w:firstLineChars="200"/>
        <w:rPr>
          <w:color w:val="auto"/>
          <w:sz w:val="21"/>
          <w:szCs w:val="21"/>
          <w:highlight w:val="none"/>
        </w:rPr>
      </w:pPr>
      <w:r>
        <w:rPr>
          <w:rFonts w:hint="eastAsia"/>
          <w:color w:val="auto"/>
          <w:kern w:val="0"/>
          <w:sz w:val="21"/>
          <w:szCs w:val="21"/>
          <w:highlight w:val="none"/>
          <w:lang w:bidi="zh-CN"/>
        </w:rPr>
        <w:t>……</w:t>
      </w:r>
    </w:p>
    <w:p>
      <w:pPr>
        <w:spacing w:line="400" w:lineRule="exact"/>
        <w:ind w:firstLine="420" w:firstLineChars="200"/>
        <w:rPr>
          <w:color w:val="auto"/>
          <w:sz w:val="21"/>
          <w:szCs w:val="21"/>
          <w:highlight w:val="none"/>
        </w:rPr>
      </w:pPr>
      <w:r>
        <w:rPr>
          <w:rFonts w:hint="eastAsia"/>
          <w:color w:val="auto"/>
          <w:kern w:val="0"/>
          <w:sz w:val="21"/>
          <w:szCs w:val="21"/>
          <w:highlight w:val="none"/>
          <w:lang w:bidi="zh-CN"/>
        </w:rPr>
        <w:t>以上企业，不属于大企业的分支机构，不存在控股股东为大企业的情形，也不存在与大企业的负责人为同一人的情形。</w:t>
      </w:r>
    </w:p>
    <w:p>
      <w:pPr>
        <w:spacing w:line="400" w:lineRule="exact"/>
        <w:ind w:firstLine="420" w:firstLineChars="200"/>
        <w:rPr>
          <w:color w:val="auto"/>
          <w:highlight w:val="none"/>
        </w:rPr>
      </w:pPr>
      <w:r>
        <w:rPr>
          <w:rFonts w:hint="eastAsia"/>
          <w:color w:val="auto"/>
          <w:kern w:val="0"/>
          <w:sz w:val="21"/>
          <w:szCs w:val="21"/>
          <w:highlight w:val="none"/>
          <w:lang w:bidi="zh-CN"/>
        </w:rPr>
        <w:t xml:space="preserve">本企业对上述声明内容的真实性负责。如有虚假，将依法承担相应责任。 </w:t>
      </w:r>
    </w:p>
    <w:p>
      <w:pPr>
        <w:spacing w:line="400" w:lineRule="exact"/>
        <w:ind w:firstLine="420" w:firstLineChars="200"/>
        <w:jc w:val="center"/>
        <w:rPr>
          <w:color w:val="auto"/>
          <w:highlight w:val="none"/>
        </w:rPr>
      </w:pPr>
    </w:p>
    <w:p>
      <w:pPr>
        <w:spacing w:line="400" w:lineRule="exact"/>
        <w:ind w:firstLine="420" w:firstLineChars="200"/>
        <w:jc w:val="center"/>
        <w:rPr>
          <w:color w:val="auto"/>
          <w:highlight w:val="none"/>
        </w:rPr>
      </w:pPr>
    </w:p>
    <w:p>
      <w:pPr>
        <w:spacing w:line="400" w:lineRule="exact"/>
        <w:ind w:firstLine="440" w:firstLineChars="200"/>
        <w:jc w:val="right"/>
        <w:rPr>
          <w:color w:val="auto"/>
          <w:sz w:val="21"/>
          <w:szCs w:val="21"/>
          <w:highlight w:val="none"/>
        </w:rPr>
      </w:pPr>
      <w:r>
        <w:rPr>
          <w:rFonts w:hint="eastAsia"/>
          <w:color w:val="auto"/>
          <w:kern w:val="0"/>
          <w:sz w:val="22"/>
          <w:szCs w:val="22"/>
          <w:highlight w:val="none"/>
          <w:lang w:bidi="zh-CN"/>
        </w:rPr>
        <w:t xml:space="preserve">          </w:t>
      </w:r>
      <w:r>
        <w:rPr>
          <w:rFonts w:hint="eastAsia"/>
          <w:color w:val="auto"/>
          <w:kern w:val="0"/>
          <w:sz w:val="21"/>
          <w:szCs w:val="21"/>
          <w:highlight w:val="none"/>
          <w:lang w:bidi="zh-CN"/>
        </w:rPr>
        <w:t xml:space="preserve"> 企业名称（盖章）：</w:t>
      </w:r>
    </w:p>
    <w:p>
      <w:pPr>
        <w:spacing w:line="400" w:lineRule="exact"/>
        <w:ind w:right="440" w:firstLine="4515" w:firstLineChars="2150"/>
        <w:jc w:val="right"/>
        <w:rPr>
          <w:color w:val="auto"/>
          <w:sz w:val="21"/>
          <w:szCs w:val="21"/>
          <w:highlight w:val="none"/>
        </w:rPr>
      </w:pPr>
      <w:r>
        <w:rPr>
          <w:rFonts w:hint="eastAsia"/>
          <w:color w:val="auto"/>
          <w:kern w:val="0"/>
          <w:sz w:val="21"/>
          <w:szCs w:val="21"/>
          <w:highlight w:val="none"/>
          <w:lang w:bidi="zh-CN"/>
        </w:rPr>
        <w:t>日 期：</w:t>
      </w:r>
    </w:p>
    <w:p>
      <w:pPr>
        <w:spacing w:line="400" w:lineRule="exact"/>
        <w:ind w:firstLine="420" w:firstLineChars="200"/>
        <w:rPr>
          <w:color w:val="auto"/>
          <w:highlight w:val="none"/>
        </w:rPr>
      </w:pPr>
    </w:p>
    <w:p>
      <w:pPr>
        <w:spacing w:line="400" w:lineRule="exact"/>
        <w:ind w:firstLine="420" w:firstLineChars="200"/>
        <w:rPr>
          <w:color w:val="auto"/>
          <w:kern w:val="0"/>
          <w:sz w:val="21"/>
          <w:szCs w:val="21"/>
          <w:highlight w:val="none"/>
          <w:lang w:bidi="zh-CN"/>
        </w:rPr>
      </w:pPr>
    </w:p>
    <w:p>
      <w:pPr>
        <w:spacing w:line="400" w:lineRule="exact"/>
        <w:ind w:firstLine="420" w:firstLineChars="200"/>
        <w:rPr>
          <w:color w:val="auto"/>
          <w:sz w:val="21"/>
          <w:szCs w:val="21"/>
          <w:highlight w:val="none"/>
        </w:rPr>
      </w:pPr>
      <w:r>
        <w:rPr>
          <w:rFonts w:hint="eastAsia"/>
          <w:color w:val="auto"/>
          <w:kern w:val="0"/>
          <w:sz w:val="21"/>
          <w:szCs w:val="21"/>
          <w:highlight w:val="none"/>
          <w:lang w:bidi="zh-CN"/>
        </w:rPr>
        <w:t>注：1、</w:t>
      </w:r>
      <w:r>
        <w:rPr>
          <w:color w:val="auto"/>
          <w:kern w:val="0"/>
          <w:sz w:val="21"/>
          <w:szCs w:val="21"/>
          <w:highlight w:val="none"/>
          <w:lang w:val="zh-CN" w:bidi="zh-CN"/>
        </w:rPr>
        <w:t>从业人员、营业收入、资产总额填报上一年度数据，无上一年度数据的新成立企业可不填报。</w:t>
      </w:r>
    </w:p>
    <w:p>
      <w:pPr>
        <w:ind w:firstLine="840" w:firstLineChars="400"/>
        <w:rPr>
          <w:color w:val="auto"/>
          <w:sz w:val="21"/>
          <w:szCs w:val="21"/>
          <w:highlight w:val="none"/>
        </w:rPr>
      </w:pPr>
      <w:r>
        <w:rPr>
          <w:rFonts w:hint="eastAsia"/>
          <w:color w:val="auto"/>
          <w:kern w:val="0"/>
          <w:sz w:val="21"/>
          <w:szCs w:val="21"/>
          <w:highlight w:val="none"/>
          <w:lang w:bidi="zh-CN"/>
        </w:rPr>
        <w:t>2、行业划分参照工信部联企业[2011]300号规定。</w:t>
      </w:r>
    </w:p>
    <w:p>
      <w:pPr>
        <w:widowControl/>
        <w:spacing w:before="120" w:after="120" w:line="440" w:lineRule="exact"/>
        <w:rPr>
          <w:rFonts w:ascii="宋体" w:hAnsi="Courier New"/>
          <w:spacing w:val="-4"/>
          <w:szCs w:val="21"/>
          <w:highlight w:val="none"/>
        </w:rPr>
      </w:pPr>
    </w:p>
    <w:p>
      <w:pPr>
        <w:pStyle w:val="3"/>
        <w:widowControl/>
        <w:spacing w:line="360" w:lineRule="auto"/>
        <w:jc w:val="center"/>
        <w:rPr>
          <w:rFonts w:ascii="Arial" w:hAnsi="Arial"/>
          <w:b/>
          <w:sz w:val="24"/>
          <w:highlight w:val="none"/>
        </w:rPr>
        <w:sectPr>
          <w:headerReference r:id="rId10" w:type="default"/>
          <w:footerReference r:id="rId11" w:type="default"/>
          <w:pgSz w:w="11906" w:h="16838"/>
          <w:pgMar w:top="1417" w:right="1417" w:bottom="1417" w:left="1417" w:header="386" w:footer="992" w:gutter="0"/>
          <w:cols w:space="0" w:num="1"/>
          <w:docGrid w:type="linesAndChars" w:linePitch="312" w:charSpace="0"/>
        </w:sectPr>
      </w:pPr>
    </w:p>
    <w:tbl>
      <w:tblPr>
        <w:tblStyle w:val="50"/>
        <w:tblpPr w:leftFromText="180" w:rightFromText="180" w:vertAnchor="text" w:horzAnchor="page" w:tblpX="1318" w:tblpY="289"/>
        <w:tblOverlap w:val="never"/>
        <w:tblW w:w="14850" w:type="dxa"/>
        <w:tblInd w:w="0" w:type="dxa"/>
        <w:tblLayout w:type="fixed"/>
        <w:tblCellMar>
          <w:top w:w="0" w:type="dxa"/>
          <w:left w:w="108" w:type="dxa"/>
          <w:bottom w:w="0" w:type="dxa"/>
          <w:right w:w="108" w:type="dxa"/>
        </w:tblCellMar>
      </w:tblPr>
      <w:tblGrid>
        <w:gridCol w:w="2481"/>
        <w:gridCol w:w="1383"/>
        <w:gridCol w:w="1575"/>
        <w:gridCol w:w="1550"/>
        <w:gridCol w:w="1182"/>
        <w:gridCol w:w="1387"/>
        <w:gridCol w:w="1425"/>
        <w:gridCol w:w="1010"/>
        <w:gridCol w:w="976"/>
        <w:gridCol w:w="1881"/>
      </w:tblGrid>
      <w:tr>
        <w:tblPrEx>
          <w:tblCellMar>
            <w:top w:w="0" w:type="dxa"/>
            <w:left w:w="108" w:type="dxa"/>
            <w:bottom w:w="0" w:type="dxa"/>
            <w:right w:w="108" w:type="dxa"/>
          </w:tblCellMar>
        </w:tblPrEx>
        <w:trPr>
          <w:trHeight w:val="235" w:hRule="atLeast"/>
        </w:trPr>
        <w:tc>
          <w:tcPr>
            <w:tcW w:w="14850" w:type="dxa"/>
            <w:gridSpan w:val="10"/>
            <w:tcMar>
              <w:top w:w="15" w:type="dxa"/>
              <w:left w:w="15" w:type="dxa"/>
              <w:bottom w:w="15" w:type="dxa"/>
              <w:right w:w="15" w:type="dxa"/>
            </w:tcMar>
            <w:vAlign w:val="bottom"/>
          </w:tcPr>
          <w:p>
            <w:pPr>
              <w:widowControl/>
              <w:jc w:val="center"/>
              <w:textAlignment w:val="bottom"/>
              <w:rPr>
                <w:rFonts w:ascii="宋体" w:hAnsi="宋体" w:cs="宋体"/>
                <w:b/>
                <w:sz w:val="28"/>
                <w:szCs w:val="28"/>
                <w:highlight w:val="none"/>
              </w:rPr>
            </w:pPr>
            <w:r>
              <w:rPr>
                <w:rFonts w:hint="eastAsia" w:ascii="宋体" w:hAnsi="宋体" w:cs="宋体"/>
                <w:b/>
                <w:kern w:val="0"/>
                <w:sz w:val="28"/>
                <w:szCs w:val="28"/>
                <w:highlight w:val="none"/>
                <w:lang w:bidi="ar"/>
              </w:rPr>
              <w:t>中小微行业划型标准规定（根据工信部联企业〔2011〕300号制定）</w:t>
            </w:r>
          </w:p>
        </w:tc>
      </w:tr>
      <w:tr>
        <w:tblPrEx>
          <w:tblCellMar>
            <w:top w:w="0" w:type="dxa"/>
            <w:left w:w="108" w:type="dxa"/>
            <w:bottom w:w="0" w:type="dxa"/>
            <w:right w:w="108" w:type="dxa"/>
          </w:tblCellMar>
        </w:tblPrEx>
        <w:trPr>
          <w:trHeight w:val="212" w:hRule="atLeast"/>
        </w:trPr>
        <w:tc>
          <w:tcPr>
            <w:tcW w:w="2481" w:type="dxa"/>
            <w:vMerge w:val="restart"/>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pPr>
              <w:widowControl/>
              <w:jc w:val="center"/>
              <w:textAlignment w:val="center"/>
              <w:rPr>
                <w:rFonts w:ascii="宋体" w:hAnsi="宋体" w:cs="宋体"/>
                <w:b/>
                <w:sz w:val="24"/>
                <w:highlight w:val="none"/>
              </w:rPr>
            </w:pPr>
            <w:r>
              <w:rPr>
                <w:rFonts w:hint="eastAsia" w:ascii="宋体" w:hAnsi="宋体" w:cs="宋体"/>
                <w:b/>
                <w:kern w:val="0"/>
                <w:sz w:val="24"/>
                <w:highlight w:val="none"/>
                <w:lang w:bidi="ar"/>
              </w:rPr>
              <w:t>行业</w:t>
            </w:r>
          </w:p>
        </w:tc>
        <w:tc>
          <w:tcPr>
            <w:tcW w:w="4508"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center"/>
              <w:textAlignment w:val="bottom"/>
              <w:rPr>
                <w:rFonts w:ascii="宋体" w:hAnsi="宋体" w:cs="宋体"/>
                <w:b/>
                <w:sz w:val="24"/>
                <w:highlight w:val="none"/>
              </w:rPr>
            </w:pPr>
            <w:r>
              <w:rPr>
                <w:rFonts w:hint="eastAsia" w:ascii="宋体" w:hAnsi="宋体" w:cs="宋体"/>
                <w:b/>
                <w:kern w:val="0"/>
                <w:sz w:val="24"/>
                <w:highlight w:val="none"/>
                <w:lang w:bidi="ar"/>
              </w:rPr>
              <w:t>中型企业</w:t>
            </w:r>
          </w:p>
        </w:tc>
        <w:tc>
          <w:tcPr>
            <w:tcW w:w="3994"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center"/>
              <w:textAlignment w:val="bottom"/>
              <w:rPr>
                <w:rFonts w:ascii="宋体" w:hAnsi="宋体" w:cs="宋体"/>
                <w:b/>
                <w:sz w:val="24"/>
                <w:highlight w:val="none"/>
              </w:rPr>
            </w:pPr>
            <w:r>
              <w:rPr>
                <w:rFonts w:hint="eastAsia" w:ascii="宋体" w:hAnsi="宋体" w:cs="宋体"/>
                <w:b/>
                <w:kern w:val="0"/>
                <w:sz w:val="24"/>
                <w:highlight w:val="none"/>
                <w:lang w:bidi="ar"/>
              </w:rPr>
              <w:t>小型企业</w:t>
            </w:r>
          </w:p>
        </w:tc>
        <w:tc>
          <w:tcPr>
            <w:tcW w:w="3867"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center"/>
              <w:textAlignment w:val="bottom"/>
              <w:rPr>
                <w:rFonts w:ascii="宋体" w:hAnsi="宋体" w:cs="宋体"/>
                <w:b/>
                <w:sz w:val="24"/>
                <w:highlight w:val="none"/>
              </w:rPr>
            </w:pPr>
            <w:r>
              <w:rPr>
                <w:rFonts w:hint="eastAsia" w:ascii="宋体" w:hAnsi="宋体" w:cs="宋体"/>
                <w:b/>
                <w:kern w:val="0"/>
                <w:sz w:val="24"/>
                <w:highlight w:val="none"/>
                <w:lang w:bidi="ar"/>
              </w:rPr>
              <w:t>微型企业</w:t>
            </w:r>
          </w:p>
        </w:tc>
      </w:tr>
      <w:tr>
        <w:tblPrEx>
          <w:tblCellMar>
            <w:top w:w="0" w:type="dxa"/>
            <w:left w:w="108" w:type="dxa"/>
            <w:bottom w:w="0" w:type="dxa"/>
            <w:right w:w="108" w:type="dxa"/>
          </w:tblCellMar>
        </w:tblPrEx>
        <w:trPr>
          <w:trHeight w:val="314" w:hRule="atLeast"/>
        </w:trPr>
        <w:tc>
          <w:tcPr>
            <w:tcW w:w="2481" w:type="dxa"/>
            <w:vMerge w:val="continue"/>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pPr>
              <w:rPr>
                <w:rFonts w:ascii="宋体" w:hAnsi="宋体" w:cs="宋体"/>
                <w:highlight w:val="none"/>
              </w:rPr>
            </w:pP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从业人员X　　　（人）</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营业收入 Y    （万元）</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资产总额 Z　 （万元）</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从业人员X（人）</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营业收入Y　　（万元）</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资产总额Z　　（万元）</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从业人员X（人）</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营业收入Y（万元）</w:t>
            </w:r>
          </w:p>
        </w:tc>
        <w:tc>
          <w:tcPr>
            <w:tcW w:w="1881"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资产总额Z（万元）</w:t>
            </w:r>
          </w:p>
        </w:tc>
      </w:tr>
      <w:tr>
        <w:tblPrEx>
          <w:tblCellMar>
            <w:top w:w="0" w:type="dxa"/>
            <w:left w:w="108" w:type="dxa"/>
            <w:bottom w:w="0" w:type="dxa"/>
            <w:right w:w="108" w:type="dxa"/>
          </w:tblCellMar>
        </w:tblPrEx>
        <w:trPr>
          <w:trHeight w:val="167" w:hRule="atLeast"/>
        </w:trPr>
        <w:tc>
          <w:tcPr>
            <w:tcW w:w="2481"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1、农林牧渔业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50≤Y＜500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Y＜50</w:t>
            </w:r>
          </w:p>
        </w:tc>
        <w:tc>
          <w:tcPr>
            <w:tcW w:w="1881"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r>
      <w:tr>
        <w:tblPrEx>
          <w:tblCellMar>
            <w:top w:w="0" w:type="dxa"/>
            <w:left w:w="108" w:type="dxa"/>
            <w:bottom w:w="0" w:type="dxa"/>
            <w:right w:w="108" w:type="dxa"/>
          </w:tblCellMar>
        </w:tblPrEx>
        <w:trPr>
          <w:trHeight w:val="167" w:hRule="atLeast"/>
        </w:trPr>
        <w:tc>
          <w:tcPr>
            <w:tcW w:w="2481"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2、工业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2000≤Y＜40000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300≤Y＜2000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Y＜300</w:t>
            </w:r>
          </w:p>
        </w:tc>
        <w:tc>
          <w:tcPr>
            <w:tcW w:w="1881"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r>
      <w:tr>
        <w:tblPrEx>
          <w:tblCellMar>
            <w:top w:w="0" w:type="dxa"/>
            <w:left w:w="108" w:type="dxa"/>
            <w:bottom w:w="0" w:type="dxa"/>
            <w:right w:w="108" w:type="dxa"/>
          </w:tblCellMar>
        </w:tblPrEx>
        <w:trPr>
          <w:trHeight w:val="167" w:hRule="atLeast"/>
        </w:trPr>
        <w:tc>
          <w:tcPr>
            <w:tcW w:w="2481"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3、建筑业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6000≤Y＜80000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5000≤Z＜80000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300≤Y＜6000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300≤Z＜5000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Y＜300</w:t>
            </w:r>
          </w:p>
        </w:tc>
        <w:tc>
          <w:tcPr>
            <w:tcW w:w="1881"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Z＜300</w:t>
            </w:r>
          </w:p>
        </w:tc>
      </w:tr>
      <w:tr>
        <w:tblPrEx>
          <w:tblCellMar>
            <w:top w:w="0" w:type="dxa"/>
            <w:left w:w="108" w:type="dxa"/>
            <w:bottom w:w="0" w:type="dxa"/>
            <w:right w:w="108" w:type="dxa"/>
          </w:tblCellMar>
        </w:tblPrEx>
        <w:trPr>
          <w:trHeight w:val="167" w:hRule="atLeast"/>
        </w:trPr>
        <w:tc>
          <w:tcPr>
            <w:tcW w:w="2481"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4、批发业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20≤X＜200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5000≤Y＜40000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5≤X＜20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1000≤Y＜5000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X＜5</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Y＜1000</w:t>
            </w:r>
          </w:p>
        </w:tc>
        <w:tc>
          <w:tcPr>
            <w:tcW w:w="1881"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r>
      <w:tr>
        <w:tblPrEx>
          <w:tblCellMar>
            <w:top w:w="0" w:type="dxa"/>
            <w:left w:w="108" w:type="dxa"/>
            <w:bottom w:w="0" w:type="dxa"/>
            <w:right w:w="108" w:type="dxa"/>
          </w:tblCellMar>
        </w:tblPrEx>
        <w:trPr>
          <w:trHeight w:val="167" w:hRule="atLeast"/>
        </w:trPr>
        <w:tc>
          <w:tcPr>
            <w:tcW w:w="2481"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5、零售业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50≤X＜300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10≤X＜50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Y＜100</w:t>
            </w:r>
          </w:p>
        </w:tc>
        <w:tc>
          <w:tcPr>
            <w:tcW w:w="1881"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r>
      <w:tr>
        <w:tblPrEx>
          <w:tblCellMar>
            <w:top w:w="0" w:type="dxa"/>
            <w:left w:w="108" w:type="dxa"/>
            <w:bottom w:w="0" w:type="dxa"/>
            <w:right w:w="108" w:type="dxa"/>
          </w:tblCellMar>
        </w:tblPrEx>
        <w:trPr>
          <w:trHeight w:val="167" w:hRule="atLeast"/>
        </w:trPr>
        <w:tc>
          <w:tcPr>
            <w:tcW w:w="2481"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6、交通运输业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3000≤Y＜30000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200≤Y＜3000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V＜200</w:t>
            </w:r>
          </w:p>
        </w:tc>
        <w:tc>
          <w:tcPr>
            <w:tcW w:w="1881"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r>
      <w:tr>
        <w:tblPrEx>
          <w:tblCellMar>
            <w:top w:w="0" w:type="dxa"/>
            <w:left w:w="108" w:type="dxa"/>
            <w:bottom w:w="0" w:type="dxa"/>
            <w:right w:w="108" w:type="dxa"/>
          </w:tblCellMar>
        </w:tblPrEx>
        <w:trPr>
          <w:trHeight w:val="167" w:hRule="atLeast"/>
        </w:trPr>
        <w:tc>
          <w:tcPr>
            <w:tcW w:w="2481"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7、仓储业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20≤X＜100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Y＜100</w:t>
            </w:r>
          </w:p>
        </w:tc>
        <w:tc>
          <w:tcPr>
            <w:tcW w:w="1881"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r>
      <w:tr>
        <w:tblPrEx>
          <w:tblCellMar>
            <w:top w:w="0" w:type="dxa"/>
            <w:left w:w="108" w:type="dxa"/>
            <w:bottom w:w="0" w:type="dxa"/>
            <w:right w:w="108" w:type="dxa"/>
          </w:tblCellMar>
        </w:tblPrEx>
        <w:trPr>
          <w:trHeight w:val="167" w:hRule="atLeast"/>
        </w:trPr>
        <w:tc>
          <w:tcPr>
            <w:tcW w:w="2481"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8、邮政业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2000≤Y＜30000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Y＜100</w:t>
            </w:r>
          </w:p>
        </w:tc>
        <w:tc>
          <w:tcPr>
            <w:tcW w:w="1881"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r>
      <w:tr>
        <w:tblPrEx>
          <w:tblCellMar>
            <w:top w:w="0" w:type="dxa"/>
            <w:left w:w="108" w:type="dxa"/>
            <w:bottom w:w="0" w:type="dxa"/>
            <w:right w:w="108" w:type="dxa"/>
          </w:tblCellMar>
        </w:tblPrEx>
        <w:trPr>
          <w:trHeight w:val="167" w:hRule="atLeast"/>
        </w:trPr>
        <w:tc>
          <w:tcPr>
            <w:tcW w:w="2481"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9、住宿业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Y＜100</w:t>
            </w:r>
          </w:p>
        </w:tc>
        <w:tc>
          <w:tcPr>
            <w:tcW w:w="1881"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r>
      <w:tr>
        <w:tblPrEx>
          <w:tblCellMar>
            <w:top w:w="0" w:type="dxa"/>
            <w:left w:w="108" w:type="dxa"/>
            <w:bottom w:w="0" w:type="dxa"/>
            <w:right w:w="108" w:type="dxa"/>
          </w:tblCellMar>
        </w:tblPrEx>
        <w:trPr>
          <w:trHeight w:val="167" w:hRule="atLeast"/>
        </w:trPr>
        <w:tc>
          <w:tcPr>
            <w:tcW w:w="2481"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10、餐饮业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V＜100</w:t>
            </w:r>
          </w:p>
        </w:tc>
        <w:tc>
          <w:tcPr>
            <w:tcW w:w="1881"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r>
      <w:tr>
        <w:tblPrEx>
          <w:tblCellMar>
            <w:top w:w="0" w:type="dxa"/>
            <w:left w:w="108" w:type="dxa"/>
            <w:bottom w:w="0" w:type="dxa"/>
            <w:right w:w="108" w:type="dxa"/>
          </w:tblCellMar>
        </w:tblPrEx>
        <w:trPr>
          <w:trHeight w:val="167" w:hRule="atLeast"/>
        </w:trPr>
        <w:tc>
          <w:tcPr>
            <w:tcW w:w="2481"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11、信息传输业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100≤X＜2000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1000≤Y＜100000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Y＜100</w:t>
            </w:r>
          </w:p>
        </w:tc>
        <w:tc>
          <w:tcPr>
            <w:tcW w:w="1881"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r>
      <w:tr>
        <w:tblPrEx>
          <w:tblCellMar>
            <w:top w:w="0" w:type="dxa"/>
            <w:left w:w="108" w:type="dxa"/>
            <w:bottom w:w="0" w:type="dxa"/>
            <w:right w:w="108" w:type="dxa"/>
          </w:tblCellMar>
        </w:tblPrEx>
        <w:trPr>
          <w:trHeight w:val="295" w:hRule="atLeast"/>
        </w:trPr>
        <w:tc>
          <w:tcPr>
            <w:tcW w:w="2481"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12、软件和信息技术服务业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50≤Y＜1000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Y＜50</w:t>
            </w:r>
          </w:p>
        </w:tc>
        <w:tc>
          <w:tcPr>
            <w:tcW w:w="1881"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r>
      <w:tr>
        <w:tblPrEx>
          <w:tblCellMar>
            <w:top w:w="0" w:type="dxa"/>
            <w:left w:w="108" w:type="dxa"/>
            <w:bottom w:w="0" w:type="dxa"/>
            <w:right w:w="108" w:type="dxa"/>
          </w:tblCellMar>
        </w:tblPrEx>
        <w:trPr>
          <w:trHeight w:val="167" w:hRule="atLeast"/>
        </w:trPr>
        <w:tc>
          <w:tcPr>
            <w:tcW w:w="2481"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13、房地产开发经营</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1000≤Y＜200000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5000≤Z＜10000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2000≤Z＜5000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Y＜100</w:t>
            </w:r>
          </w:p>
        </w:tc>
        <w:tc>
          <w:tcPr>
            <w:tcW w:w="1881"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Z＜2000</w:t>
            </w:r>
          </w:p>
        </w:tc>
      </w:tr>
      <w:tr>
        <w:tblPrEx>
          <w:tblCellMar>
            <w:top w:w="0" w:type="dxa"/>
            <w:left w:w="108" w:type="dxa"/>
            <w:bottom w:w="0" w:type="dxa"/>
            <w:right w:w="108" w:type="dxa"/>
          </w:tblCellMar>
        </w:tblPrEx>
        <w:trPr>
          <w:trHeight w:val="167" w:hRule="atLeast"/>
        </w:trPr>
        <w:tc>
          <w:tcPr>
            <w:tcW w:w="2481"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14、物业管理</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1000≤Y＜5000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500≤Y＜1000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X＜100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Y＜500</w:t>
            </w:r>
          </w:p>
        </w:tc>
        <w:tc>
          <w:tcPr>
            <w:tcW w:w="1881"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r>
      <w:tr>
        <w:tblPrEx>
          <w:tblCellMar>
            <w:top w:w="0" w:type="dxa"/>
            <w:left w:w="108" w:type="dxa"/>
            <w:bottom w:w="0" w:type="dxa"/>
            <w:right w:w="108" w:type="dxa"/>
          </w:tblCellMar>
        </w:tblPrEx>
        <w:trPr>
          <w:trHeight w:val="167" w:hRule="atLeast"/>
        </w:trPr>
        <w:tc>
          <w:tcPr>
            <w:tcW w:w="2481"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15、租赁和商务服务业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highlight w:val="none"/>
              </w:rPr>
            </w:pP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8000≤Z＜120000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highlight w:val="none"/>
              </w:rPr>
            </w:pP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100≤Z＜8000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highlight w:val="none"/>
              </w:rPr>
            </w:pPr>
          </w:p>
        </w:tc>
        <w:tc>
          <w:tcPr>
            <w:tcW w:w="1881"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Z＜100</w:t>
            </w:r>
          </w:p>
        </w:tc>
      </w:tr>
      <w:tr>
        <w:tblPrEx>
          <w:tblCellMar>
            <w:top w:w="0" w:type="dxa"/>
            <w:left w:w="108" w:type="dxa"/>
            <w:bottom w:w="0" w:type="dxa"/>
            <w:right w:w="108" w:type="dxa"/>
          </w:tblCellMar>
        </w:tblPrEx>
        <w:trPr>
          <w:trHeight w:val="167" w:hRule="atLeast"/>
        </w:trPr>
        <w:tc>
          <w:tcPr>
            <w:tcW w:w="2481" w:type="dxa"/>
            <w:tcBorders>
              <w:top w:val="single" w:color="000000" w:sz="4" w:space="0"/>
              <w:left w:val="single" w:color="000000" w:sz="12" w:space="0"/>
              <w:bottom w:val="single" w:color="000000" w:sz="12"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16、其他未列明行业</w:t>
            </w:r>
          </w:p>
        </w:tc>
        <w:tc>
          <w:tcPr>
            <w:tcW w:w="1383"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100≤X＜300</w:t>
            </w:r>
          </w:p>
        </w:tc>
        <w:tc>
          <w:tcPr>
            <w:tcW w:w="1575"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pPr>
              <w:rPr>
                <w:rFonts w:ascii="宋体" w:hAnsi="宋体" w:cs="宋体"/>
                <w:sz w:val="20"/>
                <w:highlight w:val="none"/>
              </w:rPr>
            </w:pPr>
          </w:p>
        </w:tc>
        <w:tc>
          <w:tcPr>
            <w:tcW w:w="1550"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182"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10≤X＜100</w:t>
            </w:r>
          </w:p>
        </w:tc>
        <w:tc>
          <w:tcPr>
            <w:tcW w:w="1387"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pPr>
              <w:rPr>
                <w:rFonts w:ascii="宋体" w:hAnsi="宋体" w:cs="宋体"/>
                <w:sz w:val="20"/>
                <w:highlight w:val="none"/>
              </w:rPr>
            </w:pPr>
          </w:p>
        </w:tc>
        <w:tc>
          <w:tcPr>
            <w:tcW w:w="1425"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c>
          <w:tcPr>
            <w:tcW w:w="1010"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X＜10</w:t>
            </w:r>
          </w:p>
        </w:tc>
        <w:tc>
          <w:tcPr>
            <w:tcW w:w="976"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pPr>
              <w:rPr>
                <w:rFonts w:ascii="宋体" w:hAnsi="宋体" w:cs="宋体"/>
                <w:sz w:val="20"/>
                <w:highlight w:val="none"/>
              </w:rPr>
            </w:pPr>
          </w:p>
        </w:tc>
        <w:tc>
          <w:tcPr>
            <w:tcW w:w="1881"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pPr>
              <w:rPr>
                <w:rFonts w:ascii="宋体" w:hAnsi="宋体" w:cs="宋体"/>
                <w:sz w:val="20"/>
                <w:highlight w:val="none"/>
              </w:rPr>
            </w:pPr>
          </w:p>
        </w:tc>
      </w:tr>
      <w:tr>
        <w:tblPrEx>
          <w:tblCellMar>
            <w:top w:w="0" w:type="dxa"/>
            <w:left w:w="108" w:type="dxa"/>
            <w:bottom w:w="0" w:type="dxa"/>
            <w:right w:w="108" w:type="dxa"/>
          </w:tblCellMar>
        </w:tblPrEx>
        <w:trPr>
          <w:trHeight w:val="187" w:hRule="atLeast"/>
        </w:trPr>
        <w:tc>
          <w:tcPr>
            <w:tcW w:w="14850" w:type="dxa"/>
            <w:gridSpan w:val="10"/>
            <w:tcMar>
              <w:top w:w="15" w:type="dxa"/>
              <w:left w:w="15" w:type="dxa"/>
              <w:bottom w:w="15" w:type="dxa"/>
              <w:right w:w="15" w:type="dxa"/>
            </w:tcMar>
            <w:vAlign w:val="bottom"/>
          </w:tcPr>
          <w:p>
            <w:pPr>
              <w:widowControl/>
              <w:jc w:val="left"/>
              <w:textAlignment w:val="bottom"/>
              <w:rPr>
                <w:rFonts w:ascii="宋体" w:hAnsi="宋体" w:cs="宋体"/>
                <w:sz w:val="20"/>
                <w:highlight w:val="none"/>
              </w:rPr>
            </w:pPr>
            <w:r>
              <w:rPr>
                <w:rFonts w:hint="eastAsia" w:ascii="宋体" w:hAnsi="宋体" w:cs="宋体"/>
                <w:kern w:val="0"/>
                <w:sz w:val="20"/>
                <w:highlight w:val="none"/>
                <w:lang w:bidi="ar"/>
              </w:rPr>
              <w:t>说明　1、企业类型的划分以统计部门的统计数据为依据。2、个体工商户和本规定以外的行业，参照本规定进行划型。</w:t>
            </w:r>
          </w:p>
        </w:tc>
      </w:tr>
      <w:tr>
        <w:tblPrEx>
          <w:tblCellMar>
            <w:top w:w="0" w:type="dxa"/>
            <w:left w:w="108" w:type="dxa"/>
            <w:bottom w:w="0" w:type="dxa"/>
            <w:right w:w="108" w:type="dxa"/>
          </w:tblCellMar>
        </w:tblPrEx>
        <w:trPr>
          <w:trHeight w:val="413" w:hRule="atLeast"/>
        </w:trPr>
        <w:tc>
          <w:tcPr>
            <w:tcW w:w="6989" w:type="dxa"/>
            <w:gridSpan w:val="4"/>
            <w:tcMar>
              <w:top w:w="15" w:type="dxa"/>
              <w:left w:w="15" w:type="dxa"/>
              <w:bottom w:w="15" w:type="dxa"/>
              <w:right w:w="15" w:type="dxa"/>
            </w:tcMar>
            <w:vAlign w:val="bottom"/>
          </w:tcPr>
          <w:p>
            <w:pPr>
              <w:rPr>
                <w:rFonts w:ascii="宋体" w:hAnsi="宋体" w:cs="宋体"/>
                <w:sz w:val="20"/>
                <w:highlight w:val="none"/>
              </w:rPr>
            </w:pPr>
            <w:r>
              <w:rPr>
                <w:rFonts w:hint="eastAsia" w:ascii="宋体" w:hAnsi="宋体" w:cs="宋体"/>
                <w:kern w:val="0"/>
                <w:sz w:val="20"/>
                <w:highlight w:val="none"/>
                <w:lang w:bidi="ar"/>
              </w:rPr>
              <w:t>　　　3、本规定的中型企业标准上限即为大型企业标准的下限。</w:t>
            </w:r>
          </w:p>
        </w:tc>
        <w:tc>
          <w:tcPr>
            <w:tcW w:w="1182" w:type="dxa"/>
            <w:tcMar>
              <w:top w:w="15" w:type="dxa"/>
              <w:left w:w="15" w:type="dxa"/>
              <w:bottom w:w="15" w:type="dxa"/>
              <w:right w:w="15" w:type="dxa"/>
            </w:tcMar>
            <w:vAlign w:val="bottom"/>
          </w:tcPr>
          <w:p>
            <w:pPr>
              <w:rPr>
                <w:rFonts w:ascii="宋体" w:hAnsi="宋体" w:cs="宋体"/>
                <w:sz w:val="20"/>
                <w:highlight w:val="none"/>
              </w:rPr>
            </w:pPr>
          </w:p>
        </w:tc>
        <w:tc>
          <w:tcPr>
            <w:tcW w:w="1387" w:type="dxa"/>
            <w:tcMar>
              <w:top w:w="15" w:type="dxa"/>
              <w:left w:w="15" w:type="dxa"/>
              <w:bottom w:w="15" w:type="dxa"/>
              <w:right w:w="15" w:type="dxa"/>
            </w:tcMar>
            <w:vAlign w:val="bottom"/>
          </w:tcPr>
          <w:p>
            <w:pPr>
              <w:rPr>
                <w:rFonts w:ascii="宋体" w:hAnsi="宋体" w:cs="宋体"/>
                <w:sz w:val="20"/>
                <w:highlight w:val="none"/>
              </w:rPr>
            </w:pPr>
          </w:p>
        </w:tc>
        <w:tc>
          <w:tcPr>
            <w:tcW w:w="1425" w:type="dxa"/>
            <w:tcMar>
              <w:top w:w="15" w:type="dxa"/>
              <w:left w:w="15" w:type="dxa"/>
              <w:bottom w:w="15" w:type="dxa"/>
              <w:right w:w="15" w:type="dxa"/>
            </w:tcMar>
            <w:vAlign w:val="bottom"/>
          </w:tcPr>
          <w:p>
            <w:pPr>
              <w:rPr>
                <w:rFonts w:ascii="宋体" w:hAnsi="宋体" w:cs="宋体"/>
                <w:sz w:val="20"/>
                <w:highlight w:val="none"/>
              </w:rPr>
            </w:pPr>
          </w:p>
        </w:tc>
        <w:tc>
          <w:tcPr>
            <w:tcW w:w="1010" w:type="dxa"/>
            <w:tcMar>
              <w:top w:w="15" w:type="dxa"/>
              <w:left w:w="15" w:type="dxa"/>
              <w:bottom w:w="15" w:type="dxa"/>
              <w:right w:w="15" w:type="dxa"/>
            </w:tcMar>
            <w:vAlign w:val="bottom"/>
          </w:tcPr>
          <w:p>
            <w:pPr>
              <w:rPr>
                <w:rFonts w:ascii="宋体" w:hAnsi="宋体" w:cs="宋体"/>
                <w:sz w:val="20"/>
                <w:highlight w:val="none"/>
              </w:rPr>
            </w:pPr>
          </w:p>
        </w:tc>
        <w:tc>
          <w:tcPr>
            <w:tcW w:w="976" w:type="dxa"/>
            <w:tcMar>
              <w:top w:w="15" w:type="dxa"/>
              <w:left w:w="15" w:type="dxa"/>
              <w:bottom w:w="15" w:type="dxa"/>
              <w:right w:w="15" w:type="dxa"/>
            </w:tcMar>
            <w:vAlign w:val="bottom"/>
          </w:tcPr>
          <w:p>
            <w:pPr>
              <w:rPr>
                <w:rFonts w:ascii="宋体" w:hAnsi="宋体" w:cs="宋体"/>
                <w:sz w:val="20"/>
                <w:highlight w:val="none"/>
              </w:rPr>
            </w:pPr>
          </w:p>
        </w:tc>
        <w:tc>
          <w:tcPr>
            <w:tcW w:w="1881" w:type="dxa"/>
            <w:tcMar>
              <w:top w:w="15" w:type="dxa"/>
              <w:left w:w="15" w:type="dxa"/>
              <w:bottom w:w="15" w:type="dxa"/>
              <w:right w:w="15" w:type="dxa"/>
            </w:tcMar>
            <w:vAlign w:val="bottom"/>
          </w:tcPr>
          <w:p>
            <w:pPr>
              <w:rPr>
                <w:rFonts w:ascii="宋体" w:hAnsi="宋体" w:cs="宋体"/>
                <w:sz w:val="20"/>
                <w:highlight w:val="none"/>
              </w:rPr>
            </w:pPr>
          </w:p>
        </w:tc>
      </w:tr>
    </w:tbl>
    <w:p>
      <w:pPr>
        <w:pStyle w:val="3"/>
        <w:widowControl/>
        <w:spacing w:line="360" w:lineRule="auto"/>
        <w:jc w:val="center"/>
        <w:rPr>
          <w:rFonts w:ascii="Arial" w:hAnsi="Arial"/>
          <w:b/>
          <w:sz w:val="24"/>
          <w:highlight w:val="none"/>
        </w:rPr>
        <w:sectPr>
          <w:pgSz w:w="16838" w:h="11906" w:orient="landscape"/>
          <w:pgMar w:top="1417" w:right="1417" w:bottom="1417" w:left="1417" w:header="386" w:footer="992" w:gutter="0"/>
          <w:cols w:space="0" w:num="1"/>
          <w:docGrid w:type="linesAndChars" w:linePitch="312" w:charSpace="0"/>
        </w:sectPr>
      </w:pPr>
      <w:r>
        <w:rPr>
          <w:rFonts w:hint="eastAsia" w:ascii="Arial" w:hAnsi="Arial"/>
          <w:b/>
          <w:sz w:val="24"/>
          <w:highlight w:val="none"/>
        </w:rPr>
        <w:br w:type="page"/>
      </w:r>
    </w:p>
    <w:p>
      <w:pPr>
        <w:rPr>
          <w:highlight w:val="none"/>
        </w:rPr>
      </w:pPr>
    </w:p>
    <w:p>
      <w:pPr>
        <w:snapToGrid w:val="0"/>
        <w:spacing w:before="156" w:beforeLines="50" w:after="50" w:line="440" w:lineRule="exact"/>
        <w:jc w:val="center"/>
        <w:outlineLvl w:val="2"/>
        <w:rPr>
          <w:b/>
          <w:sz w:val="28"/>
          <w:szCs w:val="28"/>
          <w:highlight w:val="none"/>
        </w:rPr>
      </w:pPr>
      <w:r>
        <w:rPr>
          <w:rFonts w:hint="eastAsia"/>
          <w:b/>
          <w:sz w:val="28"/>
          <w:szCs w:val="28"/>
          <w:highlight w:val="none"/>
        </w:rPr>
        <w:t>残疾人福利性单位声明函</w:t>
      </w:r>
    </w:p>
    <w:p>
      <w:pPr>
        <w:widowControl/>
        <w:spacing w:line="360" w:lineRule="auto"/>
        <w:rPr>
          <w:highlight w:val="none"/>
        </w:rPr>
      </w:pPr>
    </w:p>
    <w:p>
      <w:pPr>
        <w:widowControl/>
        <w:spacing w:line="360" w:lineRule="auto"/>
        <w:ind w:firstLine="420" w:firstLineChars="200"/>
        <w:rPr>
          <w:highlight w:val="none"/>
        </w:rPr>
      </w:pPr>
      <w:r>
        <w:rPr>
          <w:rFonts w:hint="eastAsia"/>
          <w:highlight w:val="none"/>
        </w:rPr>
        <w:t>1.本单位郑重声明，根据《财政部 民政部 中国残疾人联合会关于促进残疾人就业政府采购政策的通知》（财库〔2017〕141号）的规定，本单位_____（填写：为符合或者不符合）条件的残疾人福利性单位，且本单位参加_____单位的_____项目采购活动提供本单位提供服务，或者提供其他残疾人福利性单位制造的货物（不包括使用非残疾人福利性单位注册商标的货物）。</w:t>
      </w:r>
    </w:p>
    <w:p>
      <w:pPr>
        <w:widowControl/>
        <w:spacing w:line="360" w:lineRule="auto"/>
        <w:ind w:firstLine="420" w:firstLineChars="200"/>
        <w:rPr>
          <w:highlight w:val="none"/>
        </w:rPr>
      </w:pPr>
      <w:r>
        <w:rPr>
          <w:rFonts w:hint="eastAsia"/>
          <w:highlight w:val="none"/>
        </w:rPr>
        <w:t>2.本单位对上述声明的真实性负责。如有虚假，将依法承担相应责任。</w:t>
      </w:r>
    </w:p>
    <w:p>
      <w:pPr>
        <w:widowControl/>
        <w:tabs>
          <w:tab w:val="left" w:pos="4860"/>
        </w:tabs>
        <w:spacing w:line="360" w:lineRule="auto"/>
        <w:ind w:right="1560" w:firstLine="420" w:firstLineChars="200"/>
        <w:jc w:val="center"/>
        <w:rPr>
          <w:spacing w:val="6"/>
          <w:highlight w:val="none"/>
        </w:rPr>
      </w:pPr>
      <w:r>
        <w:rPr>
          <w:rFonts w:hint="eastAsia"/>
          <w:highlight w:val="none"/>
        </w:rPr>
        <w:t xml:space="preserve">                                       </w:t>
      </w:r>
      <w:r>
        <w:rPr>
          <w:rFonts w:hint="eastAsia"/>
          <w:spacing w:val="6"/>
          <w:highlight w:val="none"/>
        </w:rPr>
        <w:t xml:space="preserve">企业名称（盖章）： </w:t>
      </w:r>
    </w:p>
    <w:p>
      <w:pPr>
        <w:spacing w:line="360" w:lineRule="auto"/>
        <w:rPr>
          <w:spacing w:val="6"/>
          <w:highlight w:val="none"/>
        </w:rPr>
      </w:pPr>
      <w:r>
        <w:rPr>
          <w:rFonts w:hint="eastAsia"/>
          <w:spacing w:val="6"/>
          <w:highlight w:val="none"/>
        </w:rPr>
        <w:t xml:space="preserve">                                                      日  期：</w:t>
      </w:r>
    </w:p>
    <w:p>
      <w:pPr>
        <w:spacing w:line="360" w:lineRule="auto"/>
        <w:rPr>
          <w:b/>
          <w:bCs/>
          <w:highlight w:val="none"/>
        </w:rPr>
      </w:pPr>
    </w:p>
    <w:p>
      <w:pPr>
        <w:spacing w:line="360" w:lineRule="auto"/>
        <w:rPr>
          <w:b/>
          <w:bCs/>
          <w:highlight w:val="none"/>
        </w:rPr>
      </w:pPr>
    </w:p>
    <w:p>
      <w:pPr>
        <w:spacing w:line="360" w:lineRule="auto"/>
        <w:rPr>
          <w:b/>
          <w:bCs/>
          <w:highlight w:val="none"/>
        </w:rPr>
      </w:pPr>
      <w:r>
        <w:rPr>
          <w:rFonts w:hint="eastAsia"/>
          <w:b/>
          <w:bCs/>
          <w:highlight w:val="none"/>
        </w:rPr>
        <w:t>投标人如为非残疾人福利性单位的，可不提供本声明函。</w:t>
      </w:r>
    </w:p>
    <w:p>
      <w:pPr>
        <w:widowControl/>
        <w:spacing w:line="360" w:lineRule="auto"/>
        <w:rPr>
          <w:highlight w:val="none"/>
        </w:rPr>
      </w:pPr>
      <w:r>
        <w:rPr>
          <w:rFonts w:hint="eastAsia"/>
          <w:highlight w:val="none"/>
        </w:rPr>
        <w:t>注：</w:t>
      </w:r>
    </w:p>
    <w:p>
      <w:pPr>
        <w:widowControl/>
        <w:spacing w:line="360" w:lineRule="auto"/>
        <w:rPr>
          <w:highlight w:val="none"/>
        </w:rPr>
      </w:pPr>
      <w:r>
        <w:rPr>
          <w:rFonts w:hint="eastAsia"/>
          <w:highlight w:val="none"/>
        </w:rPr>
        <w:t>1、如投标人为非残疾人福利性单位的可不提供本声明函。</w:t>
      </w:r>
    </w:p>
    <w:p>
      <w:pPr>
        <w:widowControl/>
        <w:spacing w:line="360" w:lineRule="auto"/>
        <w:rPr>
          <w:highlight w:val="none"/>
        </w:rPr>
      </w:pPr>
      <w:r>
        <w:rPr>
          <w:rFonts w:hint="eastAsia"/>
          <w:highlight w:val="none"/>
        </w:rPr>
        <w:t>2、享受政府采购支持政策的残疾人福利性单位应当同时满足以下条件：</w:t>
      </w:r>
    </w:p>
    <w:p>
      <w:pPr>
        <w:widowControl/>
        <w:spacing w:line="360" w:lineRule="auto"/>
        <w:rPr>
          <w:highlight w:val="none"/>
        </w:rPr>
      </w:pPr>
      <w:r>
        <w:rPr>
          <w:rFonts w:hint="eastAsia"/>
          <w:highlight w:val="none"/>
        </w:rPr>
        <w:t>（一）安置的残疾人占本单位在职职工人数的比例不低于25%（含25%），并且安置的残疾人人数不少于10人（含10人）；</w:t>
      </w:r>
    </w:p>
    <w:p>
      <w:pPr>
        <w:widowControl/>
        <w:spacing w:line="360" w:lineRule="auto"/>
        <w:rPr>
          <w:highlight w:val="none"/>
        </w:rPr>
      </w:pPr>
      <w:r>
        <w:rPr>
          <w:rFonts w:hint="eastAsia"/>
          <w:highlight w:val="none"/>
        </w:rPr>
        <w:t>（二）依法与安置的每位残疾人签订了一年以上（含一年）的劳动合同或服务协议；</w:t>
      </w:r>
    </w:p>
    <w:p>
      <w:pPr>
        <w:widowControl/>
        <w:spacing w:line="360" w:lineRule="auto"/>
        <w:rPr>
          <w:highlight w:val="none"/>
        </w:rPr>
      </w:pPr>
      <w:r>
        <w:rPr>
          <w:rFonts w:hint="eastAsia"/>
          <w:highlight w:val="none"/>
        </w:rPr>
        <w:t>（三）为安置的每位残疾人按月足额缴纳了基本养老保险、基本医疗保险、失业保险、工伤保险和生育保险等社会保险费；</w:t>
      </w:r>
    </w:p>
    <w:p>
      <w:pPr>
        <w:widowControl/>
        <w:spacing w:line="360" w:lineRule="auto"/>
        <w:rPr>
          <w:highlight w:val="none"/>
        </w:rPr>
      </w:pPr>
      <w:r>
        <w:rPr>
          <w:rFonts w:hint="eastAsia"/>
          <w:highlight w:val="none"/>
        </w:rPr>
        <w:t>（四）通过银行等金融机构向安置的每位残疾人，按月支付了不低于单位所在区县适用的经省级人民政府批准的月最低工资标准的工资；</w:t>
      </w:r>
    </w:p>
    <w:p>
      <w:pPr>
        <w:widowControl/>
        <w:spacing w:line="360" w:lineRule="auto"/>
        <w:rPr>
          <w:highlight w:val="none"/>
        </w:rPr>
      </w:pPr>
      <w:r>
        <w:rPr>
          <w:rFonts w:hint="eastAsia"/>
          <w:highlight w:val="none"/>
        </w:rPr>
        <w:t>（五）提供本单位制造的货物、承担的工程或者服务（以下简称产品），或者提供其他残疾人福利性单位制造的货物（不包括使用非残疾人福利性单位注册商标的货物）。</w:t>
      </w:r>
    </w:p>
    <w:p>
      <w:pPr>
        <w:widowControl/>
        <w:spacing w:line="360" w:lineRule="auto"/>
        <w:rPr>
          <w:highlight w:val="none"/>
        </w:rPr>
      </w:pPr>
      <w:r>
        <w:rPr>
          <w:rFonts w:hint="eastAsia"/>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spacing w:line="588" w:lineRule="exact"/>
        <w:jc w:val="center"/>
        <w:outlineLvl w:val="2"/>
        <w:rPr>
          <w:rFonts w:ascii="宋体" w:hAnsi="宋体" w:cs="宋体"/>
          <w:b/>
          <w:spacing w:val="6"/>
          <w:sz w:val="32"/>
          <w:szCs w:val="32"/>
          <w:highlight w:val="none"/>
        </w:rPr>
      </w:pPr>
      <w:r>
        <w:rPr>
          <w:highlight w:val="none"/>
        </w:rPr>
        <w:br w:type="page"/>
      </w:r>
      <w:r>
        <w:rPr>
          <w:rFonts w:hint="eastAsia" w:ascii="宋体" w:hAnsi="宋体" w:cs="宋体"/>
          <w:b/>
          <w:spacing w:val="6"/>
          <w:sz w:val="32"/>
          <w:szCs w:val="32"/>
          <w:highlight w:val="none"/>
        </w:rPr>
        <w:t>政府采购统计基础信息表</w:t>
      </w:r>
    </w:p>
    <w:p>
      <w:pPr>
        <w:pStyle w:val="62"/>
        <w:ind w:firstLine="420"/>
        <w:rPr>
          <w:highlight w:val="none"/>
        </w:rPr>
      </w:pPr>
    </w:p>
    <w:tbl>
      <w:tblPr>
        <w:tblStyle w:val="50"/>
        <w:tblW w:w="0" w:type="auto"/>
        <w:tblInd w:w="0" w:type="dxa"/>
        <w:tblLayout w:type="fixed"/>
        <w:tblCellMar>
          <w:top w:w="0" w:type="dxa"/>
          <w:left w:w="108" w:type="dxa"/>
          <w:bottom w:w="0" w:type="dxa"/>
          <w:right w:w="108" w:type="dxa"/>
        </w:tblCellMar>
      </w:tblPr>
      <w:tblGrid>
        <w:gridCol w:w="4219"/>
        <w:gridCol w:w="5375"/>
      </w:tblGrid>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pacing w:val="6"/>
                <w:highlight w:val="none"/>
              </w:rPr>
            </w:pPr>
            <w:r>
              <w:rPr>
                <w:rFonts w:hint="eastAsia" w:ascii="宋体" w:hAnsi="宋体" w:cs="宋体"/>
                <w:spacing w:val="6"/>
                <w:highlight w:val="none"/>
              </w:rPr>
              <w:t>采购人及采购项目名称</w:t>
            </w:r>
          </w:p>
        </w:tc>
        <w:tc>
          <w:tcPr>
            <w:tcW w:w="5375" w:type="dxa"/>
            <w:tcBorders>
              <w:top w:val="single" w:color="000000" w:sz="4" w:space="0"/>
              <w:left w:val="nil"/>
              <w:bottom w:val="single" w:color="000000" w:sz="4" w:space="0"/>
              <w:right w:val="single" w:color="000000" w:sz="4" w:space="0"/>
            </w:tcBorders>
          </w:tcPr>
          <w:p>
            <w:pPr>
              <w:ind w:firstLine="444" w:firstLineChars="200"/>
              <w:rPr>
                <w:rFonts w:ascii="宋体" w:hAnsi="宋体" w:cs="宋体"/>
                <w:spacing w:val="6"/>
                <w:highlight w:val="none"/>
              </w:rPr>
            </w:pP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pacing w:val="6"/>
                <w:highlight w:val="none"/>
              </w:rPr>
            </w:pPr>
            <w:r>
              <w:rPr>
                <w:rFonts w:hint="eastAsia" w:ascii="宋体" w:hAnsi="宋体" w:cs="宋体"/>
                <w:spacing w:val="6"/>
                <w:highlight w:val="none"/>
              </w:rPr>
              <w:t>投（中）标单位名称</w:t>
            </w:r>
          </w:p>
        </w:tc>
        <w:tc>
          <w:tcPr>
            <w:tcW w:w="5375" w:type="dxa"/>
            <w:tcBorders>
              <w:top w:val="single" w:color="000000" w:sz="4" w:space="0"/>
              <w:left w:val="nil"/>
              <w:bottom w:val="single" w:color="000000" w:sz="4" w:space="0"/>
              <w:right w:val="single" w:color="000000" w:sz="4" w:space="0"/>
            </w:tcBorders>
          </w:tcPr>
          <w:p>
            <w:pPr>
              <w:ind w:firstLine="444" w:firstLineChars="200"/>
              <w:rPr>
                <w:rFonts w:ascii="宋体" w:hAnsi="宋体" w:cs="宋体"/>
                <w:spacing w:val="6"/>
                <w:highlight w:val="none"/>
              </w:rPr>
            </w:pP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pacing w:val="6"/>
                <w:highlight w:val="none"/>
              </w:rPr>
            </w:pPr>
            <w:r>
              <w:rPr>
                <w:rFonts w:hint="eastAsia" w:ascii="宋体" w:hAnsi="宋体" w:cs="宋体"/>
                <w:spacing w:val="6"/>
                <w:highlight w:val="none"/>
              </w:rPr>
              <w:t>是否国内企业</w:t>
            </w:r>
          </w:p>
        </w:tc>
        <w:tc>
          <w:tcPr>
            <w:tcW w:w="5375" w:type="dxa"/>
            <w:tcBorders>
              <w:top w:val="single" w:color="000000" w:sz="4" w:space="0"/>
              <w:left w:val="nil"/>
              <w:bottom w:val="single" w:color="000000" w:sz="4" w:space="0"/>
              <w:right w:val="single" w:color="000000" w:sz="4" w:space="0"/>
            </w:tcBorders>
          </w:tcPr>
          <w:p>
            <w:pPr>
              <w:ind w:firstLine="444" w:firstLineChars="200"/>
              <w:rPr>
                <w:rFonts w:ascii="宋体" w:hAnsi="宋体" w:cs="宋体"/>
                <w:spacing w:val="6"/>
                <w:highlight w:val="none"/>
              </w:rPr>
            </w:pP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pacing w:val="6"/>
                <w:highlight w:val="none"/>
              </w:rPr>
            </w:pPr>
            <w:r>
              <w:rPr>
                <w:rFonts w:hint="eastAsia" w:ascii="宋体" w:hAnsi="宋体" w:cs="宋体"/>
                <w:spacing w:val="6"/>
                <w:highlight w:val="none"/>
              </w:rPr>
              <w:t>是否宁波企业</w:t>
            </w:r>
          </w:p>
        </w:tc>
        <w:tc>
          <w:tcPr>
            <w:tcW w:w="5375" w:type="dxa"/>
            <w:tcBorders>
              <w:top w:val="single" w:color="000000" w:sz="4" w:space="0"/>
              <w:left w:val="nil"/>
              <w:bottom w:val="single" w:color="000000" w:sz="4" w:space="0"/>
              <w:right w:val="single" w:color="000000" w:sz="4" w:space="0"/>
            </w:tcBorders>
          </w:tcPr>
          <w:p>
            <w:pPr>
              <w:ind w:firstLine="444" w:firstLineChars="200"/>
              <w:rPr>
                <w:rFonts w:ascii="宋体" w:hAnsi="宋体" w:cs="宋体"/>
                <w:spacing w:val="6"/>
                <w:highlight w:val="none"/>
              </w:rPr>
            </w:pP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pacing w:val="6"/>
                <w:highlight w:val="none"/>
              </w:rPr>
            </w:pPr>
            <w:r>
              <w:rPr>
                <w:rFonts w:hint="eastAsia" w:ascii="宋体" w:hAnsi="宋体" w:cs="宋体"/>
                <w:spacing w:val="6"/>
                <w:highlight w:val="none"/>
              </w:rPr>
              <w:t>企业划分标准类型（大型、中型、小型、微型）</w:t>
            </w:r>
          </w:p>
        </w:tc>
        <w:tc>
          <w:tcPr>
            <w:tcW w:w="5375" w:type="dxa"/>
            <w:tcBorders>
              <w:top w:val="single" w:color="000000" w:sz="4" w:space="0"/>
              <w:left w:val="nil"/>
              <w:bottom w:val="single" w:color="000000" w:sz="4" w:space="0"/>
              <w:right w:val="single" w:color="000000" w:sz="4" w:space="0"/>
            </w:tcBorders>
          </w:tcPr>
          <w:p>
            <w:pPr>
              <w:ind w:firstLine="444" w:firstLineChars="200"/>
              <w:rPr>
                <w:rFonts w:ascii="宋体" w:hAnsi="宋体" w:cs="宋体"/>
                <w:spacing w:val="6"/>
                <w:highlight w:val="none"/>
              </w:rPr>
            </w:pP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pacing w:val="6"/>
                <w:highlight w:val="none"/>
              </w:rPr>
            </w:pPr>
            <w:r>
              <w:rPr>
                <w:rFonts w:hint="eastAsia" w:ascii="宋体" w:hAnsi="宋体" w:cs="宋体"/>
                <w:spacing w:val="6"/>
                <w:highlight w:val="none"/>
              </w:rPr>
              <w:t>提供的货物是否本企业制造</w:t>
            </w:r>
          </w:p>
        </w:tc>
        <w:tc>
          <w:tcPr>
            <w:tcW w:w="5375" w:type="dxa"/>
            <w:tcBorders>
              <w:top w:val="single" w:color="000000" w:sz="4" w:space="0"/>
              <w:left w:val="nil"/>
              <w:bottom w:val="single" w:color="000000" w:sz="4" w:space="0"/>
              <w:right w:val="single" w:color="000000" w:sz="4" w:space="0"/>
            </w:tcBorders>
            <w:vAlign w:val="center"/>
          </w:tcPr>
          <w:p>
            <w:pPr>
              <w:ind w:firstLine="444" w:firstLineChars="200"/>
              <w:jc w:val="center"/>
              <w:rPr>
                <w:rFonts w:ascii="宋体" w:hAnsi="宋体" w:cs="宋体"/>
                <w:spacing w:val="6"/>
                <w:highlight w:val="none"/>
              </w:rPr>
            </w:pPr>
            <w:r>
              <w:rPr>
                <w:rFonts w:hint="eastAsia" w:ascii="宋体" w:hAnsi="宋体" w:cs="宋体"/>
                <w:spacing w:val="6"/>
                <w:highlight w:val="none"/>
              </w:rPr>
              <w:t>/</w:t>
            </w: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pacing w:val="6"/>
                <w:highlight w:val="none"/>
              </w:rPr>
            </w:pPr>
            <w:r>
              <w:rPr>
                <w:rFonts w:hint="eastAsia" w:ascii="宋体" w:hAnsi="宋体" w:cs="宋体"/>
                <w:spacing w:val="6"/>
                <w:highlight w:val="none"/>
              </w:rPr>
              <w:t>货物原产地是否是中国境内</w:t>
            </w:r>
          </w:p>
        </w:tc>
        <w:tc>
          <w:tcPr>
            <w:tcW w:w="5375" w:type="dxa"/>
            <w:tcBorders>
              <w:top w:val="single" w:color="000000" w:sz="4" w:space="0"/>
              <w:left w:val="nil"/>
              <w:bottom w:val="single" w:color="000000" w:sz="4" w:space="0"/>
              <w:right w:val="single" w:color="000000" w:sz="4" w:space="0"/>
            </w:tcBorders>
            <w:vAlign w:val="center"/>
          </w:tcPr>
          <w:p>
            <w:pPr>
              <w:ind w:firstLine="444" w:firstLineChars="200"/>
              <w:jc w:val="center"/>
              <w:rPr>
                <w:rFonts w:ascii="宋体" w:hAnsi="宋体" w:cs="宋体"/>
                <w:spacing w:val="6"/>
                <w:highlight w:val="none"/>
              </w:rPr>
            </w:pPr>
            <w:r>
              <w:rPr>
                <w:rFonts w:hint="eastAsia" w:ascii="宋体" w:hAnsi="宋体" w:cs="宋体"/>
                <w:spacing w:val="6"/>
                <w:highlight w:val="none"/>
              </w:rPr>
              <w:t>/</w:t>
            </w: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pacing w:val="6"/>
                <w:highlight w:val="none"/>
              </w:rPr>
            </w:pPr>
            <w:r>
              <w:rPr>
                <w:rFonts w:hint="eastAsia" w:ascii="宋体" w:hAnsi="宋体" w:cs="宋体"/>
                <w:spacing w:val="6"/>
                <w:highlight w:val="none"/>
              </w:rPr>
              <w:t>货物原产地是否是宁波</w:t>
            </w:r>
          </w:p>
        </w:tc>
        <w:tc>
          <w:tcPr>
            <w:tcW w:w="5375" w:type="dxa"/>
            <w:tcBorders>
              <w:top w:val="single" w:color="000000" w:sz="4" w:space="0"/>
              <w:left w:val="nil"/>
              <w:bottom w:val="single" w:color="000000" w:sz="4" w:space="0"/>
              <w:right w:val="single" w:color="000000" w:sz="4" w:space="0"/>
            </w:tcBorders>
            <w:vAlign w:val="center"/>
          </w:tcPr>
          <w:p>
            <w:pPr>
              <w:ind w:firstLine="444" w:firstLineChars="200"/>
              <w:jc w:val="center"/>
              <w:rPr>
                <w:rFonts w:ascii="宋体" w:hAnsi="宋体" w:cs="宋体"/>
                <w:spacing w:val="6"/>
                <w:highlight w:val="none"/>
              </w:rPr>
            </w:pPr>
            <w:r>
              <w:rPr>
                <w:rFonts w:hint="eastAsia" w:ascii="宋体" w:hAnsi="宋体" w:cs="宋体"/>
                <w:spacing w:val="6"/>
                <w:highlight w:val="none"/>
              </w:rPr>
              <w:t>/</w:t>
            </w: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pacing w:val="6"/>
                <w:highlight w:val="none"/>
              </w:rPr>
            </w:pPr>
            <w:r>
              <w:rPr>
                <w:rFonts w:hint="eastAsia" w:ascii="宋体" w:hAnsi="宋体" w:cs="宋体"/>
                <w:spacing w:val="6"/>
                <w:highlight w:val="none"/>
              </w:rPr>
              <w:t>是节能清单产品</w:t>
            </w:r>
          </w:p>
        </w:tc>
        <w:tc>
          <w:tcPr>
            <w:tcW w:w="5375" w:type="dxa"/>
            <w:tcBorders>
              <w:top w:val="single" w:color="000000" w:sz="4" w:space="0"/>
              <w:left w:val="nil"/>
              <w:bottom w:val="single" w:color="000000" w:sz="4" w:space="0"/>
              <w:right w:val="single" w:color="000000" w:sz="4" w:space="0"/>
            </w:tcBorders>
            <w:vAlign w:val="center"/>
          </w:tcPr>
          <w:p>
            <w:pPr>
              <w:ind w:firstLine="444" w:firstLineChars="200"/>
              <w:jc w:val="center"/>
              <w:rPr>
                <w:rFonts w:ascii="宋体" w:hAnsi="宋体" w:cs="宋体"/>
                <w:spacing w:val="6"/>
                <w:highlight w:val="none"/>
              </w:rPr>
            </w:pPr>
            <w:r>
              <w:rPr>
                <w:rFonts w:hint="eastAsia" w:ascii="宋体" w:hAnsi="宋体" w:cs="宋体"/>
                <w:spacing w:val="6"/>
                <w:highlight w:val="none"/>
              </w:rPr>
              <w:t>/</w:t>
            </w: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pacing w:val="6"/>
                <w:highlight w:val="none"/>
              </w:rPr>
            </w:pPr>
            <w:r>
              <w:rPr>
                <w:rFonts w:hint="eastAsia" w:ascii="宋体" w:hAnsi="宋体" w:cs="宋体"/>
                <w:spacing w:val="6"/>
                <w:highlight w:val="none"/>
              </w:rPr>
              <w:t>提供的货物是否是环境标志清单产品</w:t>
            </w:r>
          </w:p>
        </w:tc>
        <w:tc>
          <w:tcPr>
            <w:tcW w:w="5375" w:type="dxa"/>
            <w:tcBorders>
              <w:top w:val="single" w:color="000000" w:sz="4" w:space="0"/>
              <w:left w:val="nil"/>
              <w:bottom w:val="single" w:color="000000" w:sz="4" w:space="0"/>
              <w:right w:val="single" w:color="000000" w:sz="4" w:space="0"/>
            </w:tcBorders>
            <w:vAlign w:val="center"/>
          </w:tcPr>
          <w:p>
            <w:pPr>
              <w:ind w:firstLine="444" w:firstLineChars="200"/>
              <w:jc w:val="center"/>
              <w:rPr>
                <w:rFonts w:ascii="宋体" w:hAnsi="宋体" w:cs="宋体"/>
                <w:spacing w:val="6"/>
                <w:highlight w:val="none"/>
              </w:rPr>
            </w:pPr>
            <w:r>
              <w:rPr>
                <w:rFonts w:hint="eastAsia" w:ascii="宋体" w:hAnsi="宋体" w:cs="宋体"/>
                <w:spacing w:val="6"/>
                <w:highlight w:val="none"/>
              </w:rPr>
              <w:t>/</w:t>
            </w: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pacing w:val="6"/>
                <w:highlight w:val="none"/>
              </w:rPr>
            </w:pPr>
            <w:r>
              <w:rPr>
                <w:rFonts w:hint="eastAsia" w:ascii="宋体" w:hAnsi="宋体" w:cs="宋体"/>
                <w:spacing w:val="6"/>
                <w:highlight w:val="none"/>
              </w:rPr>
              <w:t>承担的工程或服务是否本企业提供</w:t>
            </w:r>
          </w:p>
        </w:tc>
        <w:tc>
          <w:tcPr>
            <w:tcW w:w="5375" w:type="dxa"/>
            <w:tcBorders>
              <w:top w:val="single" w:color="000000" w:sz="4" w:space="0"/>
              <w:left w:val="nil"/>
              <w:bottom w:val="single" w:color="000000" w:sz="4" w:space="0"/>
              <w:right w:val="single" w:color="000000" w:sz="4" w:space="0"/>
            </w:tcBorders>
            <w:vAlign w:val="center"/>
          </w:tcPr>
          <w:p>
            <w:pPr>
              <w:ind w:firstLine="444" w:firstLineChars="200"/>
              <w:jc w:val="center"/>
              <w:rPr>
                <w:rFonts w:ascii="宋体" w:hAnsi="宋体" w:cs="宋体"/>
                <w:spacing w:val="6"/>
                <w:highlight w:val="none"/>
              </w:rPr>
            </w:pP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pacing w:val="6"/>
                <w:highlight w:val="none"/>
              </w:rPr>
            </w:pPr>
            <w:r>
              <w:rPr>
                <w:rFonts w:hint="eastAsia" w:ascii="宋体" w:hAnsi="宋体" w:cs="宋体"/>
                <w:spacing w:val="6"/>
                <w:highlight w:val="none"/>
              </w:rPr>
              <w:t>本项目预算</w:t>
            </w:r>
          </w:p>
        </w:tc>
        <w:tc>
          <w:tcPr>
            <w:tcW w:w="5375" w:type="dxa"/>
            <w:tcBorders>
              <w:top w:val="single" w:color="000000" w:sz="4" w:space="0"/>
              <w:left w:val="nil"/>
              <w:bottom w:val="single" w:color="000000" w:sz="4" w:space="0"/>
              <w:right w:val="single" w:color="000000" w:sz="4" w:space="0"/>
            </w:tcBorders>
            <w:vAlign w:val="center"/>
          </w:tcPr>
          <w:p>
            <w:pPr>
              <w:ind w:firstLine="444" w:firstLineChars="200"/>
              <w:jc w:val="center"/>
              <w:rPr>
                <w:rFonts w:ascii="宋体" w:hAnsi="宋体" w:cs="宋体"/>
                <w:spacing w:val="6"/>
                <w:highlight w:val="none"/>
              </w:rPr>
            </w:pPr>
            <w:r>
              <w:rPr>
                <w:rFonts w:hint="eastAsia" w:ascii="宋体" w:hAnsi="宋体" w:cs="宋体"/>
                <w:spacing w:val="6"/>
                <w:highlight w:val="none"/>
              </w:rPr>
              <w:t>/</w:t>
            </w: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pacing w:val="6"/>
                <w:highlight w:val="none"/>
              </w:rPr>
            </w:pPr>
            <w:r>
              <w:rPr>
                <w:rFonts w:hint="eastAsia" w:ascii="宋体" w:hAnsi="宋体" w:cs="宋体"/>
                <w:spacing w:val="6"/>
                <w:highlight w:val="none"/>
              </w:rPr>
              <w:t>本项目是否专门面向中小企业采购</w:t>
            </w:r>
          </w:p>
        </w:tc>
        <w:tc>
          <w:tcPr>
            <w:tcW w:w="5375" w:type="dxa"/>
            <w:tcBorders>
              <w:top w:val="single" w:color="000000" w:sz="4" w:space="0"/>
              <w:left w:val="nil"/>
              <w:bottom w:val="single" w:color="000000" w:sz="4" w:space="0"/>
              <w:right w:val="single" w:color="000000" w:sz="4" w:space="0"/>
            </w:tcBorders>
            <w:vAlign w:val="center"/>
          </w:tcPr>
          <w:p>
            <w:pPr>
              <w:ind w:firstLine="444" w:firstLineChars="200"/>
              <w:jc w:val="center"/>
              <w:rPr>
                <w:rFonts w:ascii="宋体" w:hAnsi="宋体" w:cs="宋体"/>
                <w:spacing w:val="6"/>
                <w:highlight w:val="none"/>
              </w:rPr>
            </w:pPr>
            <w:r>
              <w:rPr>
                <w:rFonts w:hint="eastAsia" w:ascii="宋体" w:hAnsi="宋体" w:cs="宋体"/>
                <w:spacing w:val="6"/>
                <w:highlight w:val="none"/>
              </w:rPr>
              <w:t>/</w:t>
            </w: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pacing w:val="6"/>
                <w:highlight w:val="none"/>
              </w:rPr>
            </w:pPr>
            <w:r>
              <w:rPr>
                <w:rFonts w:hint="eastAsia" w:ascii="宋体" w:hAnsi="宋体" w:cs="宋体"/>
                <w:spacing w:val="6"/>
                <w:highlight w:val="none"/>
              </w:rPr>
              <w:t>投（中）标金额（万元）</w:t>
            </w:r>
          </w:p>
        </w:tc>
        <w:tc>
          <w:tcPr>
            <w:tcW w:w="5375" w:type="dxa"/>
            <w:tcBorders>
              <w:top w:val="single" w:color="000000" w:sz="4" w:space="0"/>
              <w:left w:val="nil"/>
              <w:bottom w:val="single" w:color="000000" w:sz="4" w:space="0"/>
              <w:right w:val="single" w:color="000000" w:sz="4" w:space="0"/>
            </w:tcBorders>
            <w:vAlign w:val="center"/>
          </w:tcPr>
          <w:p>
            <w:pPr>
              <w:ind w:firstLine="444" w:firstLineChars="200"/>
              <w:jc w:val="center"/>
              <w:rPr>
                <w:rFonts w:ascii="宋体" w:hAnsi="宋体" w:cs="宋体"/>
                <w:spacing w:val="6"/>
                <w:highlight w:val="none"/>
              </w:rPr>
            </w:pPr>
            <w:r>
              <w:rPr>
                <w:rFonts w:hint="eastAsia" w:ascii="宋体" w:hAnsi="宋体" w:cs="宋体"/>
                <w:spacing w:val="6"/>
                <w:highlight w:val="none"/>
              </w:rPr>
              <w:t>/</w:t>
            </w:r>
          </w:p>
        </w:tc>
      </w:tr>
      <w:bookmarkEnd w:id="210"/>
      <w:bookmarkEnd w:id="211"/>
      <w:bookmarkEnd w:id="212"/>
    </w:tbl>
    <w:p>
      <w:pPr>
        <w:tabs>
          <w:tab w:val="left" w:pos="7480"/>
        </w:tabs>
        <w:autoSpaceDE w:val="0"/>
        <w:autoSpaceDN w:val="0"/>
        <w:adjustRightInd w:val="0"/>
        <w:spacing w:line="360" w:lineRule="exact"/>
        <w:rPr>
          <w:rFonts w:hAnsi="宋体"/>
          <w:highlight w:val="none"/>
        </w:rPr>
      </w:pPr>
    </w:p>
    <w:sectPr>
      <w:pgSz w:w="11906" w:h="16838"/>
      <w:pgMar w:top="1417" w:right="1417" w:bottom="1417" w:left="1417" w:header="386" w:footer="992" w:gutter="0"/>
      <w:cols w:space="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BatangChe">
    <w:panose1 w:val="02030609000101010101"/>
    <w:charset w:val="81"/>
    <w:family w:val="modern"/>
    <w:pitch w:val="default"/>
    <w:sig w:usb0="B00002AF" w:usb1="69D77CFB" w:usb2="00000030" w:usb3="00000000" w:csb0="4008009F" w:csb1="DFD7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宋体..鍼笁鍼.">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華康辦公用具篇">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icrosoft New Tai Lue">
    <w:panose1 w:val="020B0502040204020203"/>
    <w:charset w:val="00"/>
    <w:family w:val="auto"/>
    <w:pitch w:val="default"/>
    <w:sig w:usb0="00000003" w:usb1="00000000" w:usb2="8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Wingdings 2">
    <w:altName w:val="Wingdings"/>
    <w:panose1 w:val="05020102010507070707"/>
    <w:charset w:val="02"/>
    <w:family w:val="decorative"/>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mc:AlternateContent>
        <mc:Choice Requires="wps">
          <w:drawing>
            <wp:anchor distT="0" distB="0" distL="114300" distR="114300" simplePos="0" relativeHeight="251662336" behindDoc="0" locked="0" layoutInCell="1" allowOverlap="1">
              <wp:simplePos x="0" y="0"/>
              <wp:positionH relativeFrom="margin">
                <wp:posOffset>2138045</wp:posOffset>
              </wp:positionH>
              <wp:positionV relativeFrom="paragraph">
                <wp:posOffset>-132715</wp:posOffset>
              </wp:positionV>
              <wp:extent cx="1388110" cy="21272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388110" cy="212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133</w:t>
                          </w:r>
                          <w:r>
                            <w:fldChar w:fldCharType="end"/>
                          </w:r>
                          <w:r>
                            <w:t xml:space="preserve"> 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68.35pt;margin-top:-10.45pt;height:16.75pt;width:109.3pt;mso-position-horizontal-relative:margin;z-index:251662336;mso-width-relative:page;mso-height-relative:page;" filled="f" stroked="f" coordsize="21600,21600" o:gfxdata="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2YFXb2QAAAAoBAAAPAAAAAAAAAAEAIAAAACIAAABkcnMvZG93bnJldi54&#10;bWxQSwECFAAUAAAACACHTuJA3lLJ1TICAABWBAAADgAAAAAAAAABACAAAAAoAQAAZHJzL2Uyb0Rv&#10;Yy54bWxQSwUGAAAAAAYABgBZAQAAzAUAAAAA&#10;">
              <v:fill on="f" focussize="0,0"/>
              <v:stroke on="f" weight="0.5pt"/>
              <v:imagedata o:title=""/>
              <o:lock v:ext="edit" aspectratio="f"/>
              <v:textbox inset="0mm,0mm,0mm,0mm">
                <w:txbxContent>
                  <w:p>
                    <w:pPr>
                      <w:pStyle w:val="35"/>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133</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Style w:val="55"/>
        <w:sz w:val="28"/>
      </w:rPr>
    </w:pPr>
  </w:p>
  <w:p>
    <w:pPr>
      <w:pStyle w:val="35"/>
      <w:ind w:right="360" w:firstLine="360"/>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2222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222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133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7.5pt;width:144pt;mso-position-horizontal:center;mso-position-horizontal-relative:margin;mso-wrap-style:none;z-index:251660288;mso-width-relative:page;mso-height-relative:page;" filled="f" stroked="f" coordsize="21600,21600" o:gfxdata="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PFihQ1AAAAAQBAAAPAAAAAAAAAAEAIAAAACIAAABkcnMvZG93bnJldi54bWxQSwECFAAU&#10;AAAACACHTuJAy2Jphy4CAABUBAAADgAAAAAAAAABACAAAAAjAQAAZHJzL2Uyb0RvYy54bWxQSwUG&#10;AAAAAAYABgBZAQAAwwUAAAAA&#10;">
              <v:fill on="f" focussize="0,0"/>
              <v:stroke on="f" weight="0.5pt"/>
              <v:imagedata o:title=""/>
              <o:lock v:ext="edit" aspectratio="f"/>
              <v:textbox inset="0mm,0mm,0mm,0mm">
                <w:txbxContent>
                  <w:p>
                    <w:pPr>
                      <w:pStyle w:val="35"/>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133</w:t>
                    </w:r>
                    <w:r>
                      <w:fldChar w:fldCharType="end"/>
                    </w:r>
                    <w:r>
                      <w:t xml:space="preserve"> 页</w:t>
                    </w:r>
                  </w:p>
                </w:txbxContent>
              </v:textbox>
            </v:shape>
          </w:pict>
        </mc:Fallback>
      </mc:AlternateContent>
    </w: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Style w:val="55"/>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35"/>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133</w:t>
                          </w:r>
                          <w:r>
                            <w:fldChar w:fldCharType="end"/>
                          </w:r>
                          <w:r>
                            <w:t xml:space="preserve"> 页</w:t>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BMwsu/TAQAApgMAAA4AAAAAAAAAAQAgAAAA&#10;IgEAAGRycy9lMm9Eb2MueG1sUEsFBgAAAAAGAAYAWQEAAGcFAAAAAA==&#10;">
              <v:fill on="f" focussize="0,0"/>
              <v:stroke on="f" weight="1.25pt"/>
              <v:imagedata o:title=""/>
              <o:lock v:ext="edit" aspectratio="f"/>
              <v:textbox inset="0mm,0mm,0mm,0mm" style="mso-fit-shape-to-text:t;">
                <w:txbxContent>
                  <w:p>
                    <w:pPr>
                      <w:pStyle w:val="35"/>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133</w:t>
                    </w:r>
                    <w:r>
                      <w:fldChar w:fldCharType="end"/>
                    </w:r>
                    <w:r>
                      <w:t xml:space="preserve"> 页</w:t>
                    </w:r>
                  </w:p>
                </w:txbxContent>
              </v:textbox>
            </v:shape>
          </w:pict>
        </mc:Fallback>
      </mc:AlternateContent>
    </w:r>
  </w:p>
  <w:p>
    <w:pPr>
      <w:pStyle w:val="3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left"/>
      <w:rPr>
        <w:rFonts w:ascii="宋体" w:hAnsi="宋体"/>
        <w:sz w:val="15"/>
        <w:szCs w:val="15"/>
      </w:rPr>
    </w:pPr>
    <w:r>
      <w:rPr>
        <w:rFonts w:hint="eastAsia" w:ascii="宋体" w:hAnsi="宋体"/>
        <w:bCs/>
        <w:sz w:val="15"/>
        <w:szCs w:val="15"/>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left"/>
      <w:rPr>
        <w:rFonts w:ascii="宋体" w:hAnsi="宋体"/>
      </w:rPr>
    </w:pPr>
    <w:r>
      <w:rPr>
        <w:rFonts w:hint="eastAsia" w:ascii="宋体" w:hAnsi="宋体"/>
        <w:bCs/>
        <w:szCs w:val="21"/>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6F43B"/>
    <w:multiLevelType w:val="singleLevel"/>
    <w:tmpl w:val="80A6F43B"/>
    <w:lvl w:ilvl="0" w:tentative="0">
      <w:start w:val="1"/>
      <w:numFmt w:val="bullet"/>
      <w:lvlText w:val=""/>
      <w:lvlJc w:val="left"/>
      <w:pPr>
        <w:ind w:left="420" w:hanging="420"/>
      </w:pPr>
      <w:rPr>
        <w:rFonts w:hint="default" w:ascii="Wingdings" w:hAnsi="Wingdings"/>
      </w:rPr>
    </w:lvl>
  </w:abstractNum>
  <w:abstractNum w:abstractNumId="1">
    <w:nsid w:val="873F77BF"/>
    <w:multiLevelType w:val="singleLevel"/>
    <w:tmpl w:val="873F77BF"/>
    <w:lvl w:ilvl="0" w:tentative="0">
      <w:start w:val="1"/>
      <w:numFmt w:val="chineseCounting"/>
      <w:pStyle w:val="225"/>
      <w:suff w:val="nothing"/>
      <w:lvlText w:val="%1、"/>
      <w:lvlJc w:val="left"/>
      <w:rPr>
        <w:rFonts w:hint="eastAsia"/>
      </w:rPr>
    </w:lvl>
  </w:abstractNum>
  <w:abstractNum w:abstractNumId="2">
    <w:nsid w:val="A13AD2BC"/>
    <w:multiLevelType w:val="singleLevel"/>
    <w:tmpl w:val="A13AD2BC"/>
    <w:lvl w:ilvl="0" w:tentative="0">
      <w:start w:val="1"/>
      <w:numFmt w:val="bullet"/>
      <w:lvlText w:val=""/>
      <w:lvlJc w:val="left"/>
      <w:pPr>
        <w:ind w:left="420" w:hanging="420"/>
      </w:pPr>
      <w:rPr>
        <w:rFonts w:hint="default" w:ascii="Wingdings" w:hAnsi="Wingdings"/>
      </w:rPr>
    </w:lvl>
  </w:abstractNum>
  <w:abstractNum w:abstractNumId="3">
    <w:nsid w:val="A1D901DF"/>
    <w:multiLevelType w:val="singleLevel"/>
    <w:tmpl w:val="A1D901DF"/>
    <w:lvl w:ilvl="0" w:tentative="0">
      <w:start w:val="1"/>
      <w:numFmt w:val="decimal"/>
      <w:suff w:val="nothing"/>
      <w:lvlText w:val="（%1）"/>
      <w:lvlJc w:val="left"/>
    </w:lvl>
  </w:abstractNum>
  <w:abstractNum w:abstractNumId="4">
    <w:nsid w:val="B73A51BC"/>
    <w:multiLevelType w:val="singleLevel"/>
    <w:tmpl w:val="B73A51BC"/>
    <w:lvl w:ilvl="0" w:tentative="0">
      <w:start w:val="1"/>
      <w:numFmt w:val="bullet"/>
      <w:lvlText w:val=""/>
      <w:lvlJc w:val="left"/>
      <w:pPr>
        <w:ind w:left="420" w:hanging="420"/>
      </w:pPr>
      <w:rPr>
        <w:rFonts w:hint="default" w:ascii="Wingdings" w:hAnsi="Wingdings"/>
      </w:rPr>
    </w:lvl>
  </w:abstractNum>
  <w:abstractNum w:abstractNumId="5">
    <w:nsid w:val="B9AA599E"/>
    <w:multiLevelType w:val="singleLevel"/>
    <w:tmpl w:val="B9AA599E"/>
    <w:lvl w:ilvl="0" w:tentative="0">
      <w:start w:val="1"/>
      <w:numFmt w:val="decimalEnclosedCircleChinese"/>
      <w:suff w:val="nothing"/>
      <w:lvlText w:val="%1　"/>
      <w:lvlJc w:val="left"/>
      <w:pPr>
        <w:ind w:left="0" w:firstLine="400"/>
      </w:pPr>
      <w:rPr>
        <w:rFonts w:hint="eastAsia"/>
      </w:rPr>
    </w:lvl>
  </w:abstractNum>
  <w:abstractNum w:abstractNumId="6">
    <w:nsid w:val="BD939F95"/>
    <w:multiLevelType w:val="singleLevel"/>
    <w:tmpl w:val="BD939F95"/>
    <w:lvl w:ilvl="0" w:tentative="0">
      <w:start w:val="1"/>
      <w:numFmt w:val="decimal"/>
      <w:lvlText w:val="(%1)"/>
      <w:lvlJc w:val="left"/>
      <w:pPr>
        <w:ind w:left="425" w:hanging="425"/>
      </w:pPr>
      <w:rPr>
        <w:rFonts w:hint="default"/>
      </w:rPr>
    </w:lvl>
  </w:abstractNum>
  <w:abstractNum w:abstractNumId="7">
    <w:nsid w:val="C2C0BDB8"/>
    <w:multiLevelType w:val="singleLevel"/>
    <w:tmpl w:val="C2C0BDB8"/>
    <w:lvl w:ilvl="0" w:tentative="0">
      <w:start w:val="1"/>
      <w:numFmt w:val="decimal"/>
      <w:suff w:val="space"/>
      <w:lvlText w:val="(%1)"/>
      <w:lvlJc w:val="left"/>
    </w:lvl>
  </w:abstractNum>
  <w:abstractNum w:abstractNumId="8">
    <w:nsid w:val="C3542E0E"/>
    <w:multiLevelType w:val="singleLevel"/>
    <w:tmpl w:val="C3542E0E"/>
    <w:lvl w:ilvl="0" w:tentative="0">
      <w:start w:val="2"/>
      <w:numFmt w:val="chineseCounting"/>
      <w:suff w:val="nothing"/>
      <w:lvlText w:val="%1、"/>
      <w:lvlJc w:val="left"/>
      <w:rPr>
        <w:rFonts w:hint="eastAsia"/>
      </w:rPr>
    </w:lvl>
  </w:abstractNum>
  <w:abstractNum w:abstractNumId="9">
    <w:nsid w:val="E8ABBC8D"/>
    <w:multiLevelType w:val="singleLevel"/>
    <w:tmpl w:val="E8ABBC8D"/>
    <w:lvl w:ilvl="0" w:tentative="0">
      <w:start w:val="1"/>
      <w:numFmt w:val="decimal"/>
      <w:suff w:val="nothing"/>
      <w:lvlText w:val="%1、"/>
      <w:lvlJc w:val="left"/>
    </w:lvl>
  </w:abstractNum>
  <w:abstractNum w:abstractNumId="10">
    <w:nsid w:val="F36CA2E7"/>
    <w:multiLevelType w:val="singleLevel"/>
    <w:tmpl w:val="F36CA2E7"/>
    <w:lvl w:ilvl="0" w:tentative="0">
      <w:start w:val="1"/>
      <w:numFmt w:val="decimal"/>
      <w:suff w:val="nothing"/>
      <w:lvlText w:val="%1）"/>
      <w:lvlJc w:val="left"/>
    </w:lvl>
  </w:abstractNum>
  <w:abstractNum w:abstractNumId="11">
    <w:nsid w:val="F4AA9F1F"/>
    <w:multiLevelType w:val="singleLevel"/>
    <w:tmpl w:val="F4AA9F1F"/>
    <w:lvl w:ilvl="0" w:tentative="0">
      <w:start w:val="1"/>
      <w:numFmt w:val="decimal"/>
      <w:suff w:val="space"/>
      <w:lvlText w:val="%1."/>
      <w:lvlJc w:val="left"/>
    </w:lvl>
  </w:abstractNum>
  <w:abstractNum w:abstractNumId="12">
    <w:nsid w:val="FB8F1E9C"/>
    <w:multiLevelType w:val="singleLevel"/>
    <w:tmpl w:val="FB8F1E9C"/>
    <w:lvl w:ilvl="0" w:tentative="0">
      <w:start w:val="3"/>
      <w:numFmt w:val="chineseCounting"/>
      <w:suff w:val="space"/>
      <w:lvlText w:val="第%1章"/>
      <w:lvlJc w:val="left"/>
      <w:rPr>
        <w:rFonts w:hint="eastAsia"/>
      </w:rPr>
    </w:lvl>
  </w:abstractNum>
  <w:abstractNum w:abstractNumId="13">
    <w:nsid w:val="00000008"/>
    <w:multiLevelType w:val="singleLevel"/>
    <w:tmpl w:val="00000008"/>
    <w:lvl w:ilvl="0" w:tentative="0">
      <w:start w:val="1"/>
      <w:numFmt w:val="decimal"/>
      <w:suff w:val="space"/>
      <w:lvlText w:val="%1."/>
      <w:lvlJc w:val="left"/>
    </w:lvl>
  </w:abstractNum>
  <w:abstractNum w:abstractNumId="14">
    <w:nsid w:val="00000010"/>
    <w:multiLevelType w:val="multilevel"/>
    <w:tmpl w:val="00000010"/>
    <w:lvl w:ilvl="0" w:tentative="0">
      <w:start w:val="1"/>
      <w:numFmt w:val="chineseCountingThousand"/>
      <w:lvlText w:val="第%1章 "/>
      <w:lvlJc w:val="left"/>
      <w:pPr>
        <w:tabs>
          <w:tab w:val="left" w:pos="420"/>
        </w:tabs>
        <w:ind w:left="420" w:hanging="420"/>
      </w:pPr>
      <w:rPr>
        <w:rFonts w:hint="eastAsia"/>
      </w:rPr>
    </w:lvl>
    <w:lvl w:ilvl="1" w:tentative="0">
      <w:start w:val="1"/>
      <w:numFmt w:val="chineseCountingThousand"/>
      <w:pStyle w:val="126"/>
      <w:lvlText w:val="第%2节"/>
      <w:lvlJc w:val="left"/>
      <w:pPr>
        <w:tabs>
          <w:tab w:val="left" w:pos="2315"/>
        </w:tabs>
        <w:ind w:left="2315" w:hanging="575"/>
      </w:pPr>
      <w:rPr>
        <w:rFonts w:hint="eastAsia"/>
      </w:rPr>
    </w:lvl>
    <w:lvl w:ilvl="2" w:tentative="0">
      <w:start w:val="1"/>
      <w:numFmt w:val="chineseCounting"/>
      <w:lvlText w:val="%3、"/>
      <w:lvlJc w:val="left"/>
      <w:pPr>
        <w:tabs>
          <w:tab w:val="left" w:pos="1020"/>
        </w:tabs>
        <w:ind w:left="1020" w:hanging="720"/>
      </w:pPr>
      <w:rPr>
        <w:rFonts w:hint="eastAsia" w:ascii="宋体" w:hAnsi="宋体" w:eastAsia="宋体"/>
      </w:rPr>
    </w:lvl>
    <w:lvl w:ilvl="3" w:tentative="0">
      <w:start w:val="1"/>
      <w:numFmt w:val="decimal"/>
      <w:lvlText w:val="%4"/>
      <w:lvlJc w:val="left"/>
      <w:pPr>
        <w:tabs>
          <w:tab w:val="left" w:pos="2604"/>
        </w:tabs>
        <w:ind w:left="2604" w:hanging="864"/>
      </w:pPr>
      <w:rPr>
        <w:rFonts w:hint="eastAsia" w:ascii="宋体" w:hAnsi="宋体" w:eastAsia="宋体"/>
      </w:rPr>
    </w:lvl>
    <w:lvl w:ilvl="4" w:tentative="0">
      <w:start w:val="1"/>
      <w:numFmt w:val="decimal"/>
      <w:lvlText w:val="%3.%4.%5"/>
      <w:lvlJc w:val="left"/>
      <w:pPr>
        <w:tabs>
          <w:tab w:val="left" w:pos="1008"/>
        </w:tabs>
        <w:ind w:left="1008" w:hanging="1008"/>
      </w:pPr>
      <w:rPr>
        <w:rFonts w:hint="eastAsia"/>
      </w:rPr>
    </w:lvl>
    <w:lvl w:ilvl="5" w:tentative="0">
      <w:start w:val="1"/>
      <w:numFmt w:val="decimal"/>
      <w:lvlText w:val="%1.%2.%3.%4.%5.%6."/>
      <w:lvlJc w:val="left"/>
      <w:pPr>
        <w:tabs>
          <w:tab w:val="left" w:pos="1151"/>
        </w:tabs>
        <w:ind w:left="1151" w:hanging="1151"/>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3"/>
        </w:tabs>
        <w:ind w:left="1583" w:hanging="1583"/>
      </w:pPr>
      <w:rPr>
        <w:rFonts w:hint="eastAsia"/>
      </w:rPr>
    </w:lvl>
  </w:abstractNum>
  <w:abstractNum w:abstractNumId="15">
    <w:nsid w:val="00000017"/>
    <w:multiLevelType w:val="singleLevel"/>
    <w:tmpl w:val="00000017"/>
    <w:lvl w:ilvl="0" w:tentative="0">
      <w:start w:val="1"/>
      <w:numFmt w:val="decimal"/>
      <w:lvlText w:val="%1."/>
      <w:lvlJc w:val="left"/>
      <w:pPr>
        <w:ind w:left="425" w:hanging="425"/>
      </w:pPr>
      <w:rPr>
        <w:rFonts w:hint="default"/>
      </w:rPr>
    </w:lvl>
  </w:abstractNum>
  <w:abstractNum w:abstractNumId="16">
    <w:nsid w:val="0000001A"/>
    <w:multiLevelType w:val="singleLevel"/>
    <w:tmpl w:val="0000001A"/>
    <w:lvl w:ilvl="0" w:tentative="0">
      <w:start w:val="1"/>
      <w:numFmt w:val="decimal"/>
      <w:lvlText w:val="%1."/>
      <w:lvlJc w:val="left"/>
      <w:pPr>
        <w:ind w:left="425" w:hanging="425"/>
      </w:pPr>
      <w:rPr>
        <w:rFonts w:hint="default"/>
      </w:rPr>
    </w:lvl>
  </w:abstractNum>
  <w:abstractNum w:abstractNumId="17">
    <w:nsid w:val="0000002F"/>
    <w:multiLevelType w:val="singleLevel"/>
    <w:tmpl w:val="0000002F"/>
    <w:lvl w:ilvl="0" w:tentative="0">
      <w:start w:val="1"/>
      <w:numFmt w:val="decimal"/>
      <w:suff w:val="nothing"/>
      <w:lvlText w:val="%1、"/>
      <w:lvlJc w:val="left"/>
      <w:pPr>
        <w:ind w:left="0" w:firstLine="400"/>
      </w:pPr>
      <w:rPr>
        <w:rFonts w:hint="default"/>
      </w:rPr>
    </w:lvl>
  </w:abstractNum>
  <w:abstractNum w:abstractNumId="18">
    <w:nsid w:val="01BC4AA0"/>
    <w:multiLevelType w:val="multilevel"/>
    <w:tmpl w:val="01BC4AA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063B2888"/>
    <w:multiLevelType w:val="multilevel"/>
    <w:tmpl w:val="063B288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06E7F569"/>
    <w:multiLevelType w:val="singleLevel"/>
    <w:tmpl w:val="06E7F569"/>
    <w:lvl w:ilvl="0" w:tentative="0">
      <w:start w:val="1"/>
      <w:numFmt w:val="bullet"/>
      <w:lvlText w:val=""/>
      <w:lvlJc w:val="left"/>
      <w:pPr>
        <w:ind w:left="420" w:hanging="420"/>
      </w:pPr>
      <w:rPr>
        <w:rFonts w:hint="default" w:ascii="Wingdings" w:hAnsi="Wingdings"/>
      </w:rPr>
    </w:lvl>
  </w:abstractNum>
  <w:abstractNum w:abstractNumId="21">
    <w:nsid w:val="0A767DFC"/>
    <w:multiLevelType w:val="multilevel"/>
    <w:tmpl w:val="0A767DF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2">
    <w:nsid w:val="0C4A1955"/>
    <w:multiLevelType w:val="multilevel"/>
    <w:tmpl w:val="0C4A1955"/>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3">
    <w:nsid w:val="0CD3F574"/>
    <w:multiLevelType w:val="singleLevel"/>
    <w:tmpl w:val="0CD3F574"/>
    <w:lvl w:ilvl="0" w:tentative="0">
      <w:start w:val="1"/>
      <w:numFmt w:val="bullet"/>
      <w:lvlText w:val=""/>
      <w:lvlJc w:val="left"/>
      <w:pPr>
        <w:ind w:left="420" w:hanging="420"/>
      </w:pPr>
      <w:rPr>
        <w:rFonts w:hint="default" w:ascii="Wingdings" w:hAnsi="Wingdings"/>
      </w:rPr>
    </w:lvl>
  </w:abstractNum>
  <w:abstractNum w:abstractNumId="24">
    <w:nsid w:val="0CE84A91"/>
    <w:multiLevelType w:val="multilevel"/>
    <w:tmpl w:val="0CE84A91"/>
    <w:lvl w:ilvl="0" w:tentative="0">
      <w:start w:val="0"/>
      <w:numFmt w:val="bullet"/>
      <w:lvlText w:val="•"/>
      <w:lvlJc w:val="left"/>
      <w:pPr>
        <w:ind w:left="900" w:hanging="420"/>
      </w:pPr>
      <w:rPr>
        <w:rFonts w:hint="default"/>
        <w:lang w:val="en-US" w:eastAsia="zh-CN" w:bidi="ar-SA"/>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5">
    <w:nsid w:val="0E6F6E32"/>
    <w:multiLevelType w:val="multilevel"/>
    <w:tmpl w:val="0E6F6E3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10B82719"/>
    <w:multiLevelType w:val="multilevel"/>
    <w:tmpl w:val="10B8271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7">
    <w:nsid w:val="11A475C6"/>
    <w:multiLevelType w:val="multilevel"/>
    <w:tmpl w:val="11A475C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11E58D2C"/>
    <w:multiLevelType w:val="singleLevel"/>
    <w:tmpl w:val="11E58D2C"/>
    <w:lvl w:ilvl="0" w:tentative="0">
      <w:start w:val="1"/>
      <w:numFmt w:val="decimal"/>
      <w:suff w:val="nothing"/>
      <w:lvlText w:val="（%1）"/>
      <w:lvlJc w:val="left"/>
    </w:lvl>
  </w:abstractNum>
  <w:abstractNum w:abstractNumId="29">
    <w:nsid w:val="19B63150"/>
    <w:multiLevelType w:val="singleLevel"/>
    <w:tmpl w:val="19B63150"/>
    <w:lvl w:ilvl="0" w:tentative="0">
      <w:start w:val="1"/>
      <w:numFmt w:val="decimal"/>
      <w:suff w:val="space"/>
      <w:lvlText w:val="(%1)"/>
      <w:lvlJc w:val="left"/>
    </w:lvl>
  </w:abstractNum>
  <w:abstractNum w:abstractNumId="30">
    <w:nsid w:val="1B7B8D6C"/>
    <w:multiLevelType w:val="singleLevel"/>
    <w:tmpl w:val="1B7B8D6C"/>
    <w:lvl w:ilvl="0" w:tentative="0">
      <w:start w:val="23"/>
      <w:numFmt w:val="decimal"/>
      <w:pStyle w:val="200"/>
      <w:lvlText w:val="%1."/>
      <w:lvlJc w:val="left"/>
      <w:pPr>
        <w:tabs>
          <w:tab w:val="left" w:pos="312"/>
        </w:tabs>
      </w:pPr>
    </w:lvl>
  </w:abstractNum>
  <w:abstractNum w:abstractNumId="31">
    <w:nsid w:val="1C187E9B"/>
    <w:multiLevelType w:val="multilevel"/>
    <w:tmpl w:val="1C187E9B"/>
    <w:lvl w:ilvl="0" w:tentative="0">
      <w:start w:val="0"/>
      <w:numFmt w:val="bullet"/>
      <w:lvlText w:val="•"/>
      <w:lvlJc w:val="left"/>
      <w:pPr>
        <w:ind w:left="900" w:hanging="420"/>
      </w:pPr>
      <w:rPr>
        <w:rFonts w:hint="default"/>
        <w:lang w:val="en-US" w:eastAsia="zh-CN" w:bidi="ar-SA"/>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2">
    <w:nsid w:val="1D5924B9"/>
    <w:multiLevelType w:val="multilevel"/>
    <w:tmpl w:val="1D5924B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3">
    <w:nsid w:val="1FB509F3"/>
    <w:multiLevelType w:val="multilevel"/>
    <w:tmpl w:val="1FB509F3"/>
    <w:lvl w:ilvl="0" w:tentative="0">
      <w:start w:val="1"/>
      <w:numFmt w:val="decimal"/>
      <w:pStyle w:val="203"/>
      <w:lvlText w:val="%1、"/>
      <w:lvlJc w:val="left"/>
      <w:pPr>
        <w:tabs>
          <w:tab w:val="left" w:pos="306"/>
        </w:tabs>
        <w:ind w:left="306" w:hanging="360"/>
      </w:pPr>
      <w:rPr>
        <w:rFonts w:hint="eastAsia"/>
      </w:rPr>
    </w:lvl>
    <w:lvl w:ilvl="1" w:tentative="0">
      <w:start w:val="1"/>
      <w:numFmt w:val="lowerLetter"/>
      <w:lvlText w:val="%2)"/>
      <w:lvlJc w:val="left"/>
      <w:pPr>
        <w:tabs>
          <w:tab w:val="left" w:pos="366"/>
        </w:tabs>
        <w:ind w:left="366" w:hanging="420"/>
      </w:pPr>
    </w:lvl>
    <w:lvl w:ilvl="2" w:tentative="0">
      <w:start w:val="1"/>
      <w:numFmt w:val="lowerRoman"/>
      <w:lvlText w:val="%3."/>
      <w:lvlJc w:val="right"/>
      <w:pPr>
        <w:tabs>
          <w:tab w:val="left" w:pos="786"/>
        </w:tabs>
        <w:ind w:left="786" w:hanging="420"/>
      </w:pPr>
    </w:lvl>
    <w:lvl w:ilvl="3" w:tentative="0">
      <w:start w:val="1"/>
      <w:numFmt w:val="decimal"/>
      <w:lvlText w:val="%4."/>
      <w:lvlJc w:val="left"/>
      <w:pPr>
        <w:tabs>
          <w:tab w:val="left" w:pos="1206"/>
        </w:tabs>
        <w:ind w:left="1206" w:hanging="420"/>
      </w:pPr>
    </w:lvl>
    <w:lvl w:ilvl="4" w:tentative="0">
      <w:start w:val="1"/>
      <w:numFmt w:val="lowerLetter"/>
      <w:lvlText w:val="%5)"/>
      <w:lvlJc w:val="left"/>
      <w:pPr>
        <w:tabs>
          <w:tab w:val="left" w:pos="1626"/>
        </w:tabs>
        <w:ind w:left="1626" w:hanging="420"/>
      </w:pPr>
    </w:lvl>
    <w:lvl w:ilvl="5" w:tentative="0">
      <w:start w:val="1"/>
      <w:numFmt w:val="lowerRoman"/>
      <w:lvlText w:val="%6."/>
      <w:lvlJc w:val="right"/>
      <w:pPr>
        <w:tabs>
          <w:tab w:val="left" w:pos="2046"/>
        </w:tabs>
        <w:ind w:left="2046" w:hanging="420"/>
      </w:pPr>
    </w:lvl>
    <w:lvl w:ilvl="6" w:tentative="0">
      <w:start w:val="1"/>
      <w:numFmt w:val="decimal"/>
      <w:lvlText w:val="%7."/>
      <w:lvlJc w:val="left"/>
      <w:pPr>
        <w:tabs>
          <w:tab w:val="left" w:pos="2466"/>
        </w:tabs>
        <w:ind w:left="2466" w:hanging="420"/>
      </w:pPr>
    </w:lvl>
    <w:lvl w:ilvl="7" w:tentative="0">
      <w:start w:val="1"/>
      <w:numFmt w:val="lowerLetter"/>
      <w:lvlText w:val="%8)"/>
      <w:lvlJc w:val="left"/>
      <w:pPr>
        <w:tabs>
          <w:tab w:val="left" w:pos="2886"/>
        </w:tabs>
        <w:ind w:left="2886" w:hanging="420"/>
      </w:pPr>
    </w:lvl>
    <w:lvl w:ilvl="8" w:tentative="0">
      <w:start w:val="1"/>
      <w:numFmt w:val="lowerRoman"/>
      <w:lvlText w:val="%9."/>
      <w:lvlJc w:val="right"/>
      <w:pPr>
        <w:tabs>
          <w:tab w:val="left" w:pos="3306"/>
        </w:tabs>
        <w:ind w:left="3306" w:hanging="420"/>
      </w:pPr>
    </w:lvl>
  </w:abstractNum>
  <w:abstractNum w:abstractNumId="34">
    <w:nsid w:val="1FE70C90"/>
    <w:multiLevelType w:val="multilevel"/>
    <w:tmpl w:val="1FE70C9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256C5DD8"/>
    <w:multiLevelType w:val="multilevel"/>
    <w:tmpl w:val="256C5DD8"/>
    <w:lvl w:ilvl="0" w:tentative="0">
      <w:start w:val="0"/>
      <w:numFmt w:val="bullet"/>
      <w:lvlText w:val="•"/>
      <w:lvlJc w:val="left"/>
      <w:pPr>
        <w:ind w:left="900" w:hanging="420"/>
      </w:pPr>
      <w:rPr>
        <w:rFonts w:hint="default"/>
        <w:lang w:val="en-US" w:eastAsia="zh-CN" w:bidi="ar-SA"/>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6">
    <w:nsid w:val="280E4C47"/>
    <w:multiLevelType w:val="multilevel"/>
    <w:tmpl w:val="280E4C47"/>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2931108F"/>
    <w:multiLevelType w:val="singleLevel"/>
    <w:tmpl w:val="2931108F"/>
    <w:lvl w:ilvl="0" w:tentative="0">
      <w:start w:val="1"/>
      <w:numFmt w:val="bullet"/>
      <w:lvlText w:val=""/>
      <w:lvlJc w:val="left"/>
      <w:pPr>
        <w:ind w:left="420" w:hanging="420"/>
      </w:pPr>
      <w:rPr>
        <w:rFonts w:hint="default" w:ascii="Wingdings" w:hAnsi="Wingdings"/>
      </w:rPr>
    </w:lvl>
  </w:abstractNum>
  <w:abstractNum w:abstractNumId="38">
    <w:nsid w:val="30881274"/>
    <w:multiLevelType w:val="multilevel"/>
    <w:tmpl w:val="3088127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9">
    <w:nsid w:val="30F03527"/>
    <w:multiLevelType w:val="multilevel"/>
    <w:tmpl w:val="30F0352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0">
    <w:nsid w:val="34D51C40"/>
    <w:multiLevelType w:val="multilevel"/>
    <w:tmpl w:val="34D51C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3DDD7A1C"/>
    <w:multiLevelType w:val="multilevel"/>
    <w:tmpl w:val="3DDD7A1C"/>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3EDA8C61"/>
    <w:multiLevelType w:val="singleLevel"/>
    <w:tmpl w:val="3EDA8C61"/>
    <w:lvl w:ilvl="0" w:tentative="0">
      <w:start w:val="1"/>
      <w:numFmt w:val="decimal"/>
      <w:suff w:val="space"/>
      <w:lvlText w:val="(%1)"/>
      <w:lvlJc w:val="left"/>
    </w:lvl>
  </w:abstractNum>
  <w:abstractNum w:abstractNumId="43">
    <w:nsid w:val="423F74F2"/>
    <w:multiLevelType w:val="singleLevel"/>
    <w:tmpl w:val="423F74F2"/>
    <w:lvl w:ilvl="0" w:tentative="0">
      <w:start w:val="1"/>
      <w:numFmt w:val="decimal"/>
      <w:suff w:val="space"/>
      <w:lvlText w:val="(%1)"/>
      <w:lvlJc w:val="left"/>
    </w:lvl>
  </w:abstractNum>
  <w:abstractNum w:abstractNumId="44">
    <w:nsid w:val="469342A8"/>
    <w:multiLevelType w:val="multilevel"/>
    <w:tmpl w:val="469342A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4A68D786"/>
    <w:multiLevelType w:val="singleLevel"/>
    <w:tmpl w:val="4A68D786"/>
    <w:lvl w:ilvl="0" w:tentative="0">
      <w:start w:val="1"/>
      <w:numFmt w:val="decimal"/>
      <w:suff w:val="nothing"/>
      <w:lvlText w:val="%1）"/>
      <w:lvlJc w:val="left"/>
    </w:lvl>
  </w:abstractNum>
  <w:abstractNum w:abstractNumId="46">
    <w:nsid w:val="4BDC6906"/>
    <w:multiLevelType w:val="multilevel"/>
    <w:tmpl w:val="4BDC6906"/>
    <w:lvl w:ilvl="0" w:tentative="0">
      <w:start w:val="0"/>
      <w:numFmt w:val="bullet"/>
      <w:lvlText w:val="•"/>
      <w:lvlJc w:val="left"/>
      <w:pPr>
        <w:ind w:left="900" w:hanging="420"/>
      </w:pPr>
      <w:rPr>
        <w:rFonts w:hint="default"/>
        <w:lang w:val="en-US" w:eastAsia="zh-CN" w:bidi="ar-SA"/>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7">
    <w:nsid w:val="4D8642CC"/>
    <w:multiLevelType w:val="multilevel"/>
    <w:tmpl w:val="4D8642C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8">
    <w:nsid w:val="50B3327A"/>
    <w:multiLevelType w:val="multilevel"/>
    <w:tmpl w:val="50B3327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9">
    <w:nsid w:val="50EF3D0B"/>
    <w:multiLevelType w:val="singleLevel"/>
    <w:tmpl w:val="50EF3D0B"/>
    <w:lvl w:ilvl="0" w:tentative="0">
      <w:start w:val="1"/>
      <w:numFmt w:val="bullet"/>
      <w:lvlText w:val=""/>
      <w:lvlJc w:val="left"/>
      <w:pPr>
        <w:ind w:left="420" w:hanging="420"/>
      </w:pPr>
      <w:rPr>
        <w:rFonts w:hint="default" w:ascii="Wingdings" w:hAnsi="Wingdings"/>
      </w:rPr>
    </w:lvl>
  </w:abstractNum>
  <w:abstractNum w:abstractNumId="50">
    <w:nsid w:val="550FCE05"/>
    <w:multiLevelType w:val="singleLevel"/>
    <w:tmpl w:val="550FCE05"/>
    <w:lvl w:ilvl="0" w:tentative="0">
      <w:start w:val="1"/>
      <w:numFmt w:val="chineseCounting"/>
      <w:pStyle w:val="184"/>
      <w:suff w:val="nothing"/>
      <w:lvlText w:val="%1、"/>
      <w:lvlJc w:val="left"/>
    </w:lvl>
  </w:abstractNum>
  <w:abstractNum w:abstractNumId="51">
    <w:nsid w:val="56764814"/>
    <w:multiLevelType w:val="multilevel"/>
    <w:tmpl w:val="5676481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2">
    <w:nsid w:val="57E24820"/>
    <w:multiLevelType w:val="multilevel"/>
    <w:tmpl w:val="57E2482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3">
    <w:nsid w:val="588BB931"/>
    <w:multiLevelType w:val="singleLevel"/>
    <w:tmpl w:val="588BB931"/>
    <w:lvl w:ilvl="0" w:tentative="0">
      <w:start w:val="1"/>
      <w:numFmt w:val="decimal"/>
      <w:suff w:val="space"/>
      <w:lvlText w:val="(%1)"/>
      <w:lvlJc w:val="left"/>
    </w:lvl>
  </w:abstractNum>
  <w:abstractNum w:abstractNumId="54">
    <w:nsid w:val="59124908"/>
    <w:multiLevelType w:val="multilevel"/>
    <w:tmpl w:val="59124908"/>
    <w:lvl w:ilvl="0" w:tentative="0">
      <w:start w:val="0"/>
      <w:numFmt w:val="bullet"/>
      <w:lvlText w:val="•"/>
      <w:lvlJc w:val="left"/>
      <w:pPr>
        <w:ind w:left="900" w:hanging="420"/>
      </w:pPr>
      <w:rPr>
        <w:rFonts w:hint="default"/>
        <w:lang w:val="en-US" w:eastAsia="zh-CN" w:bidi="ar-SA"/>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5">
    <w:nsid w:val="5943ABA6"/>
    <w:multiLevelType w:val="singleLevel"/>
    <w:tmpl w:val="5943ABA6"/>
    <w:lvl w:ilvl="0" w:tentative="0">
      <w:start w:val="1"/>
      <w:numFmt w:val="bullet"/>
      <w:lvlText w:val=""/>
      <w:lvlJc w:val="left"/>
      <w:pPr>
        <w:ind w:left="420" w:hanging="420"/>
      </w:pPr>
      <w:rPr>
        <w:rFonts w:hint="default" w:ascii="Wingdings" w:hAnsi="Wingdings"/>
      </w:rPr>
    </w:lvl>
  </w:abstractNum>
  <w:abstractNum w:abstractNumId="56">
    <w:nsid w:val="5D23629A"/>
    <w:multiLevelType w:val="multilevel"/>
    <w:tmpl w:val="5D23629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7">
    <w:nsid w:val="5FFCE929"/>
    <w:multiLevelType w:val="singleLevel"/>
    <w:tmpl w:val="5FFCE929"/>
    <w:lvl w:ilvl="0" w:tentative="0">
      <w:start w:val="1"/>
      <w:numFmt w:val="decimal"/>
      <w:suff w:val="space"/>
      <w:lvlText w:val="(%1)"/>
      <w:lvlJc w:val="left"/>
    </w:lvl>
  </w:abstractNum>
  <w:abstractNum w:abstractNumId="58">
    <w:nsid w:val="662727C9"/>
    <w:multiLevelType w:val="multilevel"/>
    <w:tmpl w:val="662727C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9">
    <w:nsid w:val="66CF6AB0"/>
    <w:multiLevelType w:val="multilevel"/>
    <w:tmpl w:val="66CF6AB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0">
    <w:nsid w:val="6E661B37"/>
    <w:multiLevelType w:val="multilevel"/>
    <w:tmpl w:val="6E661B3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1">
    <w:nsid w:val="71EE1310"/>
    <w:multiLevelType w:val="multilevel"/>
    <w:tmpl w:val="71EE131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2">
    <w:nsid w:val="763060DB"/>
    <w:multiLevelType w:val="multilevel"/>
    <w:tmpl w:val="763060DB"/>
    <w:lvl w:ilvl="0" w:tentative="0">
      <w:start w:val="1"/>
      <w:numFmt w:val="japaneseCounting"/>
      <w:lvlText w:val="第%1章"/>
      <w:lvlJc w:val="left"/>
      <w:pPr>
        <w:tabs>
          <w:tab w:val="left" w:pos="1440"/>
        </w:tabs>
        <w:ind w:left="1440" w:hanging="1275"/>
      </w:pPr>
      <w:rPr>
        <w:rFonts w:hint="eastAsia"/>
      </w:rPr>
    </w:lvl>
    <w:lvl w:ilvl="1" w:tentative="0">
      <w:start w:val="1"/>
      <w:numFmt w:val="japaneseCounting"/>
      <w:lvlText w:val="%2、"/>
      <w:lvlJc w:val="left"/>
      <w:pPr>
        <w:tabs>
          <w:tab w:val="left" w:pos="1305"/>
        </w:tabs>
        <w:ind w:left="1305" w:hanging="720"/>
      </w:pPr>
      <w:rPr>
        <w:rFonts w:hint="eastAsia"/>
      </w:rPr>
    </w:lvl>
    <w:lvl w:ilvl="2" w:tentative="0">
      <w:start w:val="1"/>
      <w:numFmt w:val="lowerRoman"/>
      <w:lvlText w:val="%3."/>
      <w:lvlJc w:val="right"/>
      <w:pPr>
        <w:tabs>
          <w:tab w:val="left" w:pos="1425"/>
        </w:tabs>
        <w:ind w:left="1425" w:hanging="420"/>
      </w:pPr>
    </w:lvl>
    <w:lvl w:ilvl="3" w:tentative="0">
      <w:start w:val="1"/>
      <w:numFmt w:val="decimal"/>
      <w:lvlText w:val="%4."/>
      <w:lvlJc w:val="left"/>
      <w:pPr>
        <w:tabs>
          <w:tab w:val="left" w:pos="1845"/>
        </w:tabs>
        <w:ind w:left="1845" w:hanging="420"/>
      </w:pPr>
    </w:lvl>
    <w:lvl w:ilvl="4" w:tentative="0">
      <w:start w:val="1"/>
      <w:numFmt w:val="lowerLetter"/>
      <w:lvlText w:val="%5)"/>
      <w:lvlJc w:val="left"/>
      <w:pPr>
        <w:tabs>
          <w:tab w:val="left" w:pos="2265"/>
        </w:tabs>
        <w:ind w:left="2265" w:hanging="420"/>
      </w:pPr>
    </w:lvl>
    <w:lvl w:ilvl="5" w:tentative="0">
      <w:start w:val="1"/>
      <w:numFmt w:val="lowerRoman"/>
      <w:lvlText w:val="%6."/>
      <w:lvlJc w:val="right"/>
      <w:pPr>
        <w:tabs>
          <w:tab w:val="left" w:pos="2685"/>
        </w:tabs>
        <w:ind w:left="2685" w:hanging="420"/>
      </w:pPr>
    </w:lvl>
    <w:lvl w:ilvl="6" w:tentative="0">
      <w:start w:val="1"/>
      <w:numFmt w:val="decimal"/>
      <w:lvlText w:val="%7."/>
      <w:lvlJc w:val="left"/>
      <w:pPr>
        <w:tabs>
          <w:tab w:val="left" w:pos="3105"/>
        </w:tabs>
        <w:ind w:left="3105" w:hanging="420"/>
      </w:pPr>
    </w:lvl>
    <w:lvl w:ilvl="7" w:tentative="0">
      <w:start w:val="1"/>
      <w:numFmt w:val="lowerLetter"/>
      <w:lvlText w:val="%8)"/>
      <w:lvlJc w:val="left"/>
      <w:pPr>
        <w:tabs>
          <w:tab w:val="left" w:pos="3525"/>
        </w:tabs>
        <w:ind w:left="3525" w:hanging="420"/>
      </w:pPr>
    </w:lvl>
    <w:lvl w:ilvl="8" w:tentative="0">
      <w:start w:val="1"/>
      <w:numFmt w:val="lowerRoman"/>
      <w:lvlText w:val="%9."/>
      <w:lvlJc w:val="right"/>
      <w:pPr>
        <w:tabs>
          <w:tab w:val="left" w:pos="3945"/>
        </w:tabs>
        <w:ind w:left="3945" w:hanging="420"/>
      </w:pPr>
    </w:lvl>
  </w:abstractNum>
  <w:abstractNum w:abstractNumId="63">
    <w:nsid w:val="782E540B"/>
    <w:multiLevelType w:val="multilevel"/>
    <w:tmpl w:val="782E540B"/>
    <w:lvl w:ilvl="0" w:tentative="0">
      <w:start w:val="5"/>
      <w:numFmt w:val="japaneseCounting"/>
      <w:pStyle w:val="4"/>
      <w:lvlText w:val="第%1章、"/>
      <w:lvlJc w:val="left"/>
      <w:pPr>
        <w:tabs>
          <w:tab w:val="left" w:pos="5220"/>
        </w:tabs>
        <w:ind w:left="4530" w:hanging="1110"/>
      </w:pPr>
      <w:rPr>
        <w:rFonts w:hint="eastAsia"/>
      </w:rPr>
    </w:lvl>
    <w:lvl w:ilvl="1" w:tentative="0">
      <w:start w:val="1"/>
      <w:numFmt w:val="decimal"/>
      <w:lvlText w:val="%2."/>
      <w:lvlJc w:val="left"/>
      <w:pPr>
        <w:tabs>
          <w:tab w:val="left" w:pos="4200"/>
        </w:tabs>
        <w:ind w:left="4200" w:hanging="360"/>
      </w:pPr>
      <w:rPr>
        <w:rFonts w:hint="eastAsia"/>
      </w:rPr>
    </w:lvl>
    <w:lvl w:ilvl="2" w:tentative="0">
      <w:start w:val="1"/>
      <w:numFmt w:val="upperLetter"/>
      <w:lvlText w:val="%3."/>
      <w:lvlJc w:val="left"/>
      <w:pPr>
        <w:tabs>
          <w:tab w:val="left" w:pos="4620"/>
        </w:tabs>
        <w:ind w:left="4620" w:hanging="360"/>
      </w:pPr>
      <w:rPr>
        <w:rFonts w:hint="eastAsia"/>
      </w:rPr>
    </w:lvl>
    <w:lvl w:ilvl="3" w:tentative="0">
      <w:start w:val="1"/>
      <w:numFmt w:val="japaneseCounting"/>
      <w:lvlText w:val="%4、"/>
      <w:lvlJc w:val="left"/>
      <w:pPr>
        <w:tabs>
          <w:tab w:val="left" w:pos="5400"/>
        </w:tabs>
        <w:ind w:left="5400" w:hanging="720"/>
      </w:pPr>
      <w:rPr>
        <w:rFonts w:hint="eastAsia"/>
      </w:rPr>
    </w:lvl>
    <w:lvl w:ilvl="4" w:tentative="0">
      <w:start w:val="1"/>
      <w:numFmt w:val="decimal"/>
      <w:pStyle w:val="228"/>
      <w:lvlText w:val="%5."/>
      <w:lvlJc w:val="left"/>
      <w:pPr>
        <w:tabs>
          <w:tab w:val="left" w:pos="5520"/>
        </w:tabs>
        <w:ind w:left="5520" w:hanging="420"/>
      </w:pPr>
      <w:rPr>
        <w:rFonts w:hint="eastAsia"/>
      </w:rPr>
    </w:lvl>
    <w:lvl w:ilvl="5" w:tentative="0">
      <w:start w:val="1"/>
      <w:numFmt w:val="lowerRoman"/>
      <w:lvlText w:val="%6."/>
      <w:lvlJc w:val="right"/>
      <w:pPr>
        <w:tabs>
          <w:tab w:val="left" w:pos="5940"/>
        </w:tabs>
        <w:ind w:left="5940" w:hanging="420"/>
      </w:pPr>
    </w:lvl>
    <w:lvl w:ilvl="6" w:tentative="0">
      <w:start w:val="1"/>
      <w:numFmt w:val="decimal"/>
      <w:lvlText w:val="%7."/>
      <w:lvlJc w:val="left"/>
      <w:pPr>
        <w:tabs>
          <w:tab w:val="left" w:pos="6360"/>
        </w:tabs>
        <w:ind w:left="6360" w:hanging="420"/>
      </w:pPr>
    </w:lvl>
    <w:lvl w:ilvl="7" w:tentative="0">
      <w:start w:val="1"/>
      <w:numFmt w:val="lowerLetter"/>
      <w:lvlText w:val="%8)"/>
      <w:lvlJc w:val="left"/>
      <w:pPr>
        <w:tabs>
          <w:tab w:val="left" w:pos="6780"/>
        </w:tabs>
        <w:ind w:left="6780" w:hanging="420"/>
      </w:pPr>
    </w:lvl>
    <w:lvl w:ilvl="8" w:tentative="0">
      <w:start w:val="1"/>
      <w:numFmt w:val="lowerRoman"/>
      <w:lvlText w:val="%9."/>
      <w:lvlJc w:val="right"/>
      <w:pPr>
        <w:tabs>
          <w:tab w:val="left" w:pos="7200"/>
        </w:tabs>
        <w:ind w:left="7200" w:hanging="420"/>
      </w:pPr>
    </w:lvl>
  </w:abstractNum>
  <w:abstractNum w:abstractNumId="64">
    <w:nsid w:val="7BCC0F19"/>
    <w:multiLevelType w:val="multilevel"/>
    <w:tmpl w:val="7BCC0F1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63"/>
  </w:num>
  <w:num w:numId="2">
    <w:abstractNumId w:val="14"/>
  </w:num>
  <w:num w:numId="3">
    <w:abstractNumId w:val="50"/>
  </w:num>
  <w:num w:numId="4">
    <w:abstractNumId w:val="30"/>
  </w:num>
  <w:num w:numId="5">
    <w:abstractNumId w:val="33"/>
  </w:num>
  <w:num w:numId="6">
    <w:abstractNumId w:val="1"/>
  </w:num>
  <w:num w:numId="7">
    <w:abstractNumId w:val="62"/>
    <w:lvlOverride w:ilvl="0">
      <w:startOverride w:val="1"/>
    </w:lvlOverride>
  </w:num>
  <w:num w:numId="8">
    <w:abstractNumId w:val="28"/>
  </w:num>
  <w:num w:numId="9">
    <w:abstractNumId w:val="6"/>
  </w:num>
  <w:num w:numId="10">
    <w:abstractNumId w:val="37"/>
  </w:num>
  <w:num w:numId="11">
    <w:abstractNumId w:val="23"/>
  </w:num>
  <w:num w:numId="12">
    <w:abstractNumId w:val="4"/>
  </w:num>
  <w:num w:numId="13">
    <w:abstractNumId w:val="2"/>
  </w:num>
  <w:num w:numId="14">
    <w:abstractNumId w:val="55"/>
  </w:num>
  <w:num w:numId="15">
    <w:abstractNumId w:val="51"/>
  </w:num>
  <w:num w:numId="16">
    <w:abstractNumId w:val="39"/>
  </w:num>
  <w:num w:numId="17">
    <w:abstractNumId w:val="32"/>
  </w:num>
  <w:num w:numId="18">
    <w:abstractNumId w:val="44"/>
  </w:num>
  <w:num w:numId="19">
    <w:abstractNumId w:val="42"/>
  </w:num>
  <w:num w:numId="20">
    <w:abstractNumId w:val="53"/>
  </w:num>
  <w:num w:numId="21">
    <w:abstractNumId w:val="7"/>
  </w:num>
  <w:num w:numId="22">
    <w:abstractNumId w:val="57"/>
  </w:num>
  <w:num w:numId="23">
    <w:abstractNumId w:val="29"/>
  </w:num>
  <w:num w:numId="24">
    <w:abstractNumId w:val="43"/>
  </w:num>
  <w:num w:numId="25">
    <w:abstractNumId w:val="54"/>
  </w:num>
  <w:num w:numId="26">
    <w:abstractNumId w:val="35"/>
  </w:num>
  <w:num w:numId="27">
    <w:abstractNumId w:val="24"/>
  </w:num>
  <w:num w:numId="28">
    <w:abstractNumId w:val="31"/>
  </w:num>
  <w:num w:numId="29">
    <w:abstractNumId w:val="46"/>
  </w:num>
  <w:num w:numId="30">
    <w:abstractNumId w:val="34"/>
  </w:num>
  <w:num w:numId="31">
    <w:abstractNumId w:val="0"/>
  </w:num>
  <w:num w:numId="32">
    <w:abstractNumId w:val="27"/>
  </w:num>
  <w:num w:numId="33">
    <w:abstractNumId w:val="36"/>
  </w:num>
  <w:num w:numId="34">
    <w:abstractNumId w:val="5"/>
  </w:num>
  <w:num w:numId="35">
    <w:abstractNumId w:val="41"/>
  </w:num>
  <w:num w:numId="36">
    <w:abstractNumId w:val="22"/>
  </w:num>
  <w:num w:numId="37">
    <w:abstractNumId w:val="11"/>
  </w:num>
  <w:num w:numId="38">
    <w:abstractNumId w:val="49"/>
  </w:num>
  <w:num w:numId="39">
    <w:abstractNumId w:val="25"/>
  </w:num>
  <w:num w:numId="40">
    <w:abstractNumId w:val="18"/>
  </w:num>
  <w:num w:numId="41">
    <w:abstractNumId w:val="59"/>
  </w:num>
  <w:num w:numId="42">
    <w:abstractNumId w:val="40"/>
  </w:num>
  <w:num w:numId="43">
    <w:abstractNumId w:val="19"/>
  </w:num>
  <w:num w:numId="44">
    <w:abstractNumId w:val="20"/>
  </w:num>
  <w:num w:numId="45">
    <w:abstractNumId w:val="13"/>
  </w:num>
  <w:num w:numId="46">
    <w:abstractNumId w:val="15"/>
  </w:num>
  <w:num w:numId="47">
    <w:abstractNumId w:val="16"/>
  </w:num>
  <w:num w:numId="48">
    <w:abstractNumId w:val="64"/>
  </w:num>
  <w:num w:numId="49">
    <w:abstractNumId w:val="21"/>
  </w:num>
  <w:num w:numId="50">
    <w:abstractNumId w:val="61"/>
  </w:num>
  <w:num w:numId="51">
    <w:abstractNumId w:val="38"/>
  </w:num>
  <w:num w:numId="52">
    <w:abstractNumId w:val="48"/>
  </w:num>
  <w:num w:numId="53">
    <w:abstractNumId w:val="58"/>
  </w:num>
  <w:num w:numId="54">
    <w:abstractNumId w:val="47"/>
  </w:num>
  <w:num w:numId="55">
    <w:abstractNumId w:val="52"/>
  </w:num>
  <w:num w:numId="56">
    <w:abstractNumId w:val="60"/>
  </w:num>
  <w:num w:numId="57">
    <w:abstractNumId w:val="56"/>
  </w:num>
  <w:num w:numId="58">
    <w:abstractNumId w:val="26"/>
  </w:num>
  <w:num w:numId="59">
    <w:abstractNumId w:val="8"/>
  </w:num>
  <w:num w:numId="60">
    <w:abstractNumId w:val="9"/>
  </w:num>
  <w:num w:numId="61">
    <w:abstractNumId w:val="17"/>
  </w:num>
  <w:num w:numId="62">
    <w:abstractNumId w:val="12"/>
  </w:num>
  <w:num w:numId="63">
    <w:abstractNumId w:val="10"/>
  </w:num>
  <w:num w:numId="64">
    <w:abstractNumId w:val="3"/>
  </w:num>
  <w:num w:numId="6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105"/>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ExN2QwZjVkNTRhY2M2ZmFlZDUwNzk3M2IwMmYwNjYifQ=="/>
  </w:docVars>
  <w:rsids>
    <w:rsidRoot w:val="00FA0D8B"/>
    <w:rsid w:val="000000AF"/>
    <w:rsid w:val="000000BA"/>
    <w:rsid w:val="00000F50"/>
    <w:rsid w:val="00001216"/>
    <w:rsid w:val="00001606"/>
    <w:rsid w:val="0000193E"/>
    <w:rsid w:val="00001DAE"/>
    <w:rsid w:val="00002A14"/>
    <w:rsid w:val="00002C6C"/>
    <w:rsid w:val="00003CCD"/>
    <w:rsid w:val="0000405A"/>
    <w:rsid w:val="00004839"/>
    <w:rsid w:val="000077D5"/>
    <w:rsid w:val="000104ED"/>
    <w:rsid w:val="00010578"/>
    <w:rsid w:val="00010AF6"/>
    <w:rsid w:val="000122EE"/>
    <w:rsid w:val="00012543"/>
    <w:rsid w:val="00012BF8"/>
    <w:rsid w:val="00013342"/>
    <w:rsid w:val="000133BD"/>
    <w:rsid w:val="000139A2"/>
    <w:rsid w:val="00014905"/>
    <w:rsid w:val="00014BB2"/>
    <w:rsid w:val="00015AB1"/>
    <w:rsid w:val="00015F32"/>
    <w:rsid w:val="00015FE6"/>
    <w:rsid w:val="00016CB1"/>
    <w:rsid w:val="00017F0F"/>
    <w:rsid w:val="00017FB5"/>
    <w:rsid w:val="0002067C"/>
    <w:rsid w:val="00021226"/>
    <w:rsid w:val="000221FC"/>
    <w:rsid w:val="0002249C"/>
    <w:rsid w:val="0002271D"/>
    <w:rsid w:val="00022B81"/>
    <w:rsid w:val="00022BDA"/>
    <w:rsid w:val="000233C1"/>
    <w:rsid w:val="00023EB4"/>
    <w:rsid w:val="00024077"/>
    <w:rsid w:val="000242DA"/>
    <w:rsid w:val="00024BF5"/>
    <w:rsid w:val="00026B88"/>
    <w:rsid w:val="000272B7"/>
    <w:rsid w:val="0002755C"/>
    <w:rsid w:val="00027570"/>
    <w:rsid w:val="00030EEF"/>
    <w:rsid w:val="00031F55"/>
    <w:rsid w:val="0003264A"/>
    <w:rsid w:val="000326F8"/>
    <w:rsid w:val="00033A5F"/>
    <w:rsid w:val="00034764"/>
    <w:rsid w:val="00035813"/>
    <w:rsid w:val="00035DC2"/>
    <w:rsid w:val="000362DF"/>
    <w:rsid w:val="00036A8F"/>
    <w:rsid w:val="00036FDF"/>
    <w:rsid w:val="0003700C"/>
    <w:rsid w:val="0003700E"/>
    <w:rsid w:val="00037C5C"/>
    <w:rsid w:val="00040690"/>
    <w:rsid w:val="00041230"/>
    <w:rsid w:val="0004161F"/>
    <w:rsid w:val="0004341C"/>
    <w:rsid w:val="00043802"/>
    <w:rsid w:val="00043AC9"/>
    <w:rsid w:val="00043C68"/>
    <w:rsid w:val="00043DA3"/>
    <w:rsid w:val="0004411A"/>
    <w:rsid w:val="000445F2"/>
    <w:rsid w:val="00044E7E"/>
    <w:rsid w:val="00045532"/>
    <w:rsid w:val="00045A92"/>
    <w:rsid w:val="000468FF"/>
    <w:rsid w:val="00046CC7"/>
    <w:rsid w:val="00047994"/>
    <w:rsid w:val="00050113"/>
    <w:rsid w:val="00050FB8"/>
    <w:rsid w:val="000518F5"/>
    <w:rsid w:val="0005242D"/>
    <w:rsid w:val="0005273B"/>
    <w:rsid w:val="00057ACA"/>
    <w:rsid w:val="0006137B"/>
    <w:rsid w:val="00061DBF"/>
    <w:rsid w:val="000626D9"/>
    <w:rsid w:val="00062964"/>
    <w:rsid w:val="00062E16"/>
    <w:rsid w:val="00063D93"/>
    <w:rsid w:val="00064006"/>
    <w:rsid w:val="00064D9B"/>
    <w:rsid w:val="00064FDD"/>
    <w:rsid w:val="00065CA4"/>
    <w:rsid w:val="00065EB4"/>
    <w:rsid w:val="00066D93"/>
    <w:rsid w:val="000673E9"/>
    <w:rsid w:val="0007108A"/>
    <w:rsid w:val="0007153F"/>
    <w:rsid w:val="0007200A"/>
    <w:rsid w:val="00073345"/>
    <w:rsid w:val="00073C6D"/>
    <w:rsid w:val="000757BD"/>
    <w:rsid w:val="000761E0"/>
    <w:rsid w:val="00076BC5"/>
    <w:rsid w:val="0007799F"/>
    <w:rsid w:val="000779EF"/>
    <w:rsid w:val="00077CB7"/>
    <w:rsid w:val="00077CE7"/>
    <w:rsid w:val="00080377"/>
    <w:rsid w:val="0008058A"/>
    <w:rsid w:val="0008071B"/>
    <w:rsid w:val="00080B0D"/>
    <w:rsid w:val="000817CD"/>
    <w:rsid w:val="00082C5A"/>
    <w:rsid w:val="00084FB7"/>
    <w:rsid w:val="0008585C"/>
    <w:rsid w:val="00085A10"/>
    <w:rsid w:val="0008722D"/>
    <w:rsid w:val="0009074D"/>
    <w:rsid w:val="000912A0"/>
    <w:rsid w:val="0009265E"/>
    <w:rsid w:val="00092897"/>
    <w:rsid w:val="00093B89"/>
    <w:rsid w:val="00093D3A"/>
    <w:rsid w:val="00093F7A"/>
    <w:rsid w:val="000948B9"/>
    <w:rsid w:val="00094967"/>
    <w:rsid w:val="00095092"/>
    <w:rsid w:val="00095767"/>
    <w:rsid w:val="00095F07"/>
    <w:rsid w:val="00096040"/>
    <w:rsid w:val="0009607E"/>
    <w:rsid w:val="00096517"/>
    <w:rsid w:val="00096CC6"/>
    <w:rsid w:val="00097D3B"/>
    <w:rsid w:val="000A0211"/>
    <w:rsid w:val="000A06C0"/>
    <w:rsid w:val="000A10B0"/>
    <w:rsid w:val="000A1A36"/>
    <w:rsid w:val="000A1EDE"/>
    <w:rsid w:val="000A341C"/>
    <w:rsid w:val="000A378D"/>
    <w:rsid w:val="000A41B8"/>
    <w:rsid w:val="000A5146"/>
    <w:rsid w:val="000A54F3"/>
    <w:rsid w:val="000A56B7"/>
    <w:rsid w:val="000A5922"/>
    <w:rsid w:val="000A5FDD"/>
    <w:rsid w:val="000A6553"/>
    <w:rsid w:val="000A7694"/>
    <w:rsid w:val="000B0946"/>
    <w:rsid w:val="000B10D9"/>
    <w:rsid w:val="000B1F7A"/>
    <w:rsid w:val="000B2C3D"/>
    <w:rsid w:val="000B35E3"/>
    <w:rsid w:val="000B38F1"/>
    <w:rsid w:val="000B3922"/>
    <w:rsid w:val="000B403B"/>
    <w:rsid w:val="000B5150"/>
    <w:rsid w:val="000B5C7D"/>
    <w:rsid w:val="000B69B9"/>
    <w:rsid w:val="000B6A1A"/>
    <w:rsid w:val="000B7503"/>
    <w:rsid w:val="000C08CD"/>
    <w:rsid w:val="000C0CF8"/>
    <w:rsid w:val="000C0F71"/>
    <w:rsid w:val="000C2327"/>
    <w:rsid w:val="000C34DE"/>
    <w:rsid w:val="000C388D"/>
    <w:rsid w:val="000C3912"/>
    <w:rsid w:val="000C3AA4"/>
    <w:rsid w:val="000C443E"/>
    <w:rsid w:val="000C560A"/>
    <w:rsid w:val="000C7587"/>
    <w:rsid w:val="000C7931"/>
    <w:rsid w:val="000C7B1E"/>
    <w:rsid w:val="000C7DF3"/>
    <w:rsid w:val="000D05A5"/>
    <w:rsid w:val="000D26A0"/>
    <w:rsid w:val="000D26A7"/>
    <w:rsid w:val="000D285E"/>
    <w:rsid w:val="000D3F27"/>
    <w:rsid w:val="000D469F"/>
    <w:rsid w:val="000D47F6"/>
    <w:rsid w:val="000D4ADC"/>
    <w:rsid w:val="000D56AD"/>
    <w:rsid w:val="000D5859"/>
    <w:rsid w:val="000D5BA0"/>
    <w:rsid w:val="000D5C1D"/>
    <w:rsid w:val="000D6FC6"/>
    <w:rsid w:val="000D756C"/>
    <w:rsid w:val="000E0DB3"/>
    <w:rsid w:val="000E14DD"/>
    <w:rsid w:val="000E1AE4"/>
    <w:rsid w:val="000E27B1"/>
    <w:rsid w:val="000E27ED"/>
    <w:rsid w:val="000E33F9"/>
    <w:rsid w:val="000E36F1"/>
    <w:rsid w:val="000E379F"/>
    <w:rsid w:val="000E3CCF"/>
    <w:rsid w:val="000E3E8B"/>
    <w:rsid w:val="000E3F73"/>
    <w:rsid w:val="000E4EEF"/>
    <w:rsid w:val="000E72F5"/>
    <w:rsid w:val="000E780A"/>
    <w:rsid w:val="000F1815"/>
    <w:rsid w:val="000F2AF7"/>
    <w:rsid w:val="000F2DAE"/>
    <w:rsid w:val="000F31B5"/>
    <w:rsid w:val="000F3519"/>
    <w:rsid w:val="000F3C2D"/>
    <w:rsid w:val="000F3D84"/>
    <w:rsid w:val="000F4AB6"/>
    <w:rsid w:val="000F55EC"/>
    <w:rsid w:val="000F656C"/>
    <w:rsid w:val="000F6BA7"/>
    <w:rsid w:val="000F6DAE"/>
    <w:rsid w:val="000F6E5A"/>
    <w:rsid w:val="000F7322"/>
    <w:rsid w:val="000F74BF"/>
    <w:rsid w:val="000F775F"/>
    <w:rsid w:val="00100E28"/>
    <w:rsid w:val="0010132C"/>
    <w:rsid w:val="001015C9"/>
    <w:rsid w:val="00102D0A"/>
    <w:rsid w:val="00103851"/>
    <w:rsid w:val="00103B6D"/>
    <w:rsid w:val="00104108"/>
    <w:rsid w:val="001046D1"/>
    <w:rsid w:val="00105223"/>
    <w:rsid w:val="001054E0"/>
    <w:rsid w:val="00105BC1"/>
    <w:rsid w:val="001064BC"/>
    <w:rsid w:val="00110AD8"/>
    <w:rsid w:val="001110F6"/>
    <w:rsid w:val="00111298"/>
    <w:rsid w:val="0011166E"/>
    <w:rsid w:val="00111F20"/>
    <w:rsid w:val="00112522"/>
    <w:rsid w:val="00112570"/>
    <w:rsid w:val="00112F5F"/>
    <w:rsid w:val="001136EF"/>
    <w:rsid w:val="00113799"/>
    <w:rsid w:val="00113B05"/>
    <w:rsid w:val="0011402A"/>
    <w:rsid w:val="0011446E"/>
    <w:rsid w:val="00114C53"/>
    <w:rsid w:val="00115757"/>
    <w:rsid w:val="00115B0A"/>
    <w:rsid w:val="00115F64"/>
    <w:rsid w:val="0011637E"/>
    <w:rsid w:val="0011657E"/>
    <w:rsid w:val="0011716C"/>
    <w:rsid w:val="001178FD"/>
    <w:rsid w:val="00117FC4"/>
    <w:rsid w:val="00121E46"/>
    <w:rsid w:val="00122459"/>
    <w:rsid w:val="00122553"/>
    <w:rsid w:val="001225F6"/>
    <w:rsid w:val="00125573"/>
    <w:rsid w:val="0012613F"/>
    <w:rsid w:val="0012684E"/>
    <w:rsid w:val="00126FCD"/>
    <w:rsid w:val="001277D6"/>
    <w:rsid w:val="001300F8"/>
    <w:rsid w:val="00131858"/>
    <w:rsid w:val="00131A2B"/>
    <w:rsid w:val="00131E72"/>
    <w:rsid w:val="00131EF0"/>
    <w:rsid w:val="00132569"/>
    <w:rsid w:val="00132CED"/>
    <w:rsid w:val="00132EB0"/>
    <w:rsid w:val="00133787"/>
    <w:rsid w:val="001348A4"/>
    <w:rsid w:val="00134EB2"/>
    <w:rsid w:val="0013538B"/>
    <w:rsid w:val="00135792"/>
    <w:rsid w:val="00136849"/>
    <w:rsid w:val="00136C79"/>
    <w:rsid w:val="0013702B"/>
    <w:rsid w:val="00137A6F"/>
    <w:rsid w:val="00137DE5"/>
    <w:rsid w:val="00137E45"/>
    <w:rsid w:val="00137FEF"/>
    <w:rsid w:val="00142488"/>
    <w:rsid w:val="00142741"/>
    <w:rsid w:val="00142FF0"/>
    <w:rsid w:val="00143A4A"/>
    <w:rsid w:val="00144568"/>
    <w:rsid w:val="00144601"/>
    <w:rsid w:val="0014586C"/>
    <w:rsid w:val="00145B32"/>
    <w:rsid w:val="00146102"/>
    <w:rsid w:val="001462C6"/>
    <w:rsid w:val="00146FE2"/>
    <w:rsid w:val="00147F0A"/>
    <w:rsid w:val="00150629"/>
    <w:rsid w:val="00151573"/>
    <w:rsid w:val="001537DB"/>
    <w:rsid w:val="00153F7C"/>
    <w:rsid w:val="00154374"/>
    <w:rsid w:val="001546EA"/>
    <w:rsid w:val="00154E29"/>
    <w:rsid w:val="001555F6"/>
    <w:rsid w:val="00155F99"/>
    <w:rsid w:val="00156D43"/>
    <w:rsid w:val="0015733E"/>
    <w:rsid w:val="00157B67"/>
    <w:rsid w:val="00157DFC"/>
    <w:rsid w:val="0016046B"/>
    <w:rsid w:val="00161284"/>
    <w:rsid w:val="00163476"/>
    <w:rsid w:val="0016376A"/>
    <w:rsid w:val="00164253"/>
    <w:rsid w:val="0016444B"/>
    <w:rsid w:val="001644DF"/>
    <w:rsid w:val="00164D33"/>
    <w:rsid w:val="00165BFC"/>
    <w:rsid w:val="00165CDC"/>
    <w:rsid w:val="00165D22"/>
    <w:rsid w:val="00167047"/>
    <w:rsid w:val="001704BB"/>
    <w:rsid w:val="001708ED"/>
    <w:rsid w:val="001720A7"/>
    <w:rsid w:val="001734D5"/>
    <w:rsid w:val="00173852"/>
    <w:rsid w:val="00175AFA"/>
    <w:rsid w:val="001764FD"/>
    <w:rsid w:val="00176DD7"/>
    <w:rsid w:val="00176EFC"/>
    <w:rsid w:val="00177632"/>
    <w:rsid w:val="00177A84"/>
    <w:rsid w:val="00177D27"/>
    <w:rsid w:val="00181294"/>
    <w:rsid w:val="00182982"/>
    <w:rsid w:val="00182EC1"/>
    <w:rsid w:val="001849AE"/>
    <w:rsid w:val="00185107"/>
    <w:rsid w:val="0018527D"/>
    <w:rsid w:val="00186896"/>
    <w:rsid w:val="00190741"/>
    <w:rsid w:val="0019092D"/>
    <w:rsid w:val="00191864"/>
    <w:rsid w:val="00191AF8"/>
    <w:rsid w:val="00193C21"/>
    <w:rsid w:val="00195692"/>
    <w:rsid w:val="00196937"/>
    <w:rsid w:val="001A01EF"/>
    <w:rsid w:val="001A1437"/>
    <w:rsid w:val="001A1841"/>
    <w:rsid w:val="001A24CB"/>
    <w:rsid w:val="001A259C"/>
    <w:rsid w:val="001A391D"/>
    <w:rsid w:val="001A519D"/>
    <w:rsid w:val="001A51E0"/>
    <w:rsid w:val="001A6B30"/>
    <w:rsid w:val="001A6C6F"/>
    <w:rsid w:val="001A6D37"/>
    <w:rsid w:val="001A6EDB"/>
    <w:rsid w:val="001A73CC"/>
    <w:rsid w:val="001B0770"/>
    <w:rsid w:val="001B111D"/>
    <w:rsid w:val="001B179B"/>
    <w:rsid w:val="001B28AB"/>
    <w:rsid w:val="001B3FF3"/>
    <w:rsid w:val="001B4DD0"/>
    <w:rsid w:val="001B69FC"/>
    <w:rsid w:val="001B6E66"/>
    <w:rsid w:val="001B72A9"/>
    <w:rsid w:val="001B78A4"/>
    <w:rsid w:val="001B7F74"/>
    <w:rsid w:val="001C00BC"/>
    <w:rsid w:val="001C0516"/>
    <w:rsid w:val="001C0823"/>
    <w:rsid w:val="001C0EE6"/>
    <w:rsid w:val="001C180F"/>
    <w:rsid w:val="001C18C7"/>
    <w:rsid w:val="001C2601"/>
    <w:rsid w:val="001C3FD9"/>
    <w:rsid w:val="001C47FC"/>
    <w:rsid w:val="001C4AED"/>
    <w:rsid w:val="001C5A87"/>
    <w:rsid w:val="001C682F"/>
    <w:rsid w:val="001C6AF4"/>
    <w:rsid w:val="001C781A"/>
    <w:rsid w:val="001D21A5"/>
    <w:rsid w:val="001D21EB"/>
    <w:rsid w:val="001D286E"/>
    <w:rsid w:val="001D2ED5"/>
    <w:rsid w:val="001D39A4"/>
    <w:rsid w:val="001D4324"/>
    <w:rsid w:val="001D5A71"/>
    <w:rsid w:val="001D6655"/>
    <w:rsid w:val="001D6A6A"/>
    <w:rsid w:val="001D7447"/>
    <w:rsid w:val="001D76B2"/>
    <w:rsid w:val="001E02AB"/>
    <w:rsid w:val="001E0EF6"/>
    <w:rsid w:val="001E1520"/>
    <w:rsid w:val="001E1A0E"/>
    <w:rsid w:val="001E39CE"/>
    <w:rsid w:val="001E3F28"/>
    <w:rsid w:val="001E4183"/>
    <w:rsid w:val="001E43D5"/>
    <w:rsid w:val="001E53E6"/>
    <w:rsid w:val="001E5551"/>
    <w:rsid w:val="001E6E63"/>
    <w:rsid w:val="001E7A58"/>
    <w:rsid w:val="001E7B9E"/>
    <w:rsid w:val="001F0EC1"/>
    <w:rsid w:val="001F1EBB"/>
    <w:rsid w:val="001F20BA"/>
    <w:rsid w:val="001F2923"/>
    <w:rsid w:val="001F2FB7"/>
    <w:rsid w:val="001F4278"/>
    <w:rsid w:val="001F485A"/>
    <w:rsid w:val="001F53C1"/>
    <w:rsid w:val="001F5AA7"/>
    <w:rsid w:val="001F601F"/>
    <w:rsid w:val="001F6307"/>
    <w:rsid w:val="001F6AB3"/>
    <w:rsid w:val="001F718B"/>
    <w:rsid w:val="001F7487"/>
    <w:rsid w:val="002018A6"/>
    <w:rsid w:val="00202450"/>
    <w:rsid w:val="0020311F"/>
    <w:rsid w:val="00204BE8"/>
    <w:rsid w:val="00204C37"/>
    <w:rsid w:val="00205988"/>
    <w:rsid w:val="002064DE"/>
    <w:rsid w:val="00206C9B"/>
    <w:rsid w:val="00207B03"/>
    <w:rsid w:val="002100B0"/>
    <w:rsid w:val="00210354"/>
    <w:rsid w:val="002104E8"/>
    <w:rsid w:val="00210F31"/>
    <w:rsid w:val="002111AB"/>
    <w:rsid w:val="002114A9"/>
    <w:rsid w:val="002128BE"/>
    <w:rsid w:val="002129EA"/>
    <w:rsid w:val="002134B0"/>
    <w:rsid w:val="002138DE"/>
    <w:rsid w:val="00213FCD"/>
    <w:rsid w:val="002145C7"/>
    <w:rsid w:val="002149B1"/>
    <w:rsid w:val="00215345"/>
    <w:rsid w:val="0021616C"/>
    <w:rsid w:val="00217561"/>
    <w:rsid w:val="00217CAE"/>
    <w:rsid w:val="00217DCF"/>
    <w:rsid w:val="00220613"/>
    <w:rsid w:val="00220F47"/>
    <w:rsid w:val="00221374"/>
    <w:rsid w:val="00222CCC"/>
    <w:rsid w:val="00223877"/>
    <w:rsid w:val="002242C8"/>
    <w:rsid w:val="00224582"/>
    <w:rsid w:val="00224D0E"/>
    <w:rsid w:val="002251BE"/>
    <w:rsid w:val="002253D6"/>
    <w:rsid w:val="00225EA3"/>
    <w:rsid w:val="00226272"/>
    <w:rsid w:val="002265CC"/>
    <w:rsid w:val="002269FC"/>
    <w:rsid w:val="00226B1D"/>
    <w:rsid w:val="00226F4A"/>
    <w:rsid w:val="00227100"/>
    <w:rsid w:val="00227B99"/>
    <w:rsid w:val="0023087D"/>
    <w:rsid w:val="00230D7F"/>
    <w:rsid w:val="00231452"/>
    <w:rsid w:val="002314CB"/>
    <w:rsid w:val="00231D12"/>
    <w:rsid w:val="00232EE6"/>
    <w:rsid w:val="00233BDD"/>
    <w:rsid w:val="00233C15"/>
    <w:rsid w:val="00233DFA"/>
    <w:rsid w:val="002342B0"/>
    <w:rsid w:val="00236BEC"/>
    <w:rsid w:val="00236CFB"/>
    <w:rsid w:val="00236E5D"/>
    <w:rsid w:val="002373AC"/>
    <w:rsid w:val="00237688"/>
    <w:rsid w:val="0023770A"/>
    <w:rsid w:val="002379F0"/>
    <w:rsid w:val="002400F3"/>
    <w:rsid w:val="00240BEA"/>
    <w:rsid w:val="00240F8A"/>
    <w:rsid w:val="00244426"/>
    <w:rsid w:val="002448A6"/>
    <w:rsid w:val="002459C4"/>
    <w:rsid w:val="00245DFB"/>
    <w:rsid w:val="00246121"/>
    <w:rsid w:val="00246220"/>
    <w:rsid w:val="00246A3F"/>
    <w:rsid w:val="002471FD"/>
    <w:rsid w:val="00247353"/>
    <w:rsid w:val="00247520"/>
    <w:rsid w:val="002476E5"/>
    <w:rsid w:val="00250BC6"/>
    <w:rsid w:val="002510F1"/>
    <w:rsid w:val="00251259"/>
    <w:rsid w:val="00251770"/>
    <w:rsid w:val="0025337E"/>
    <w:rsid w:val="0025351B"/>
    <w:rsid w:val="00253D2D"/>
    <w:rsid w:val="00253F75"/>
    <w:rsid w:val="00255A5F"/>
    <w:rsid w:val="002564DC"/>
    <w:rsid w:val="0025790F"/>
    <w:rsid w:val="00257E2C"/>
    <w:rsid w:val="00257F11"/>
    <w:rsid w:val="00261222"/>
    <w:rsid w:val="00261C00"/>
    <w:rsid w:val="00262185"/>
    <w:rsid w:val="00262678"/>
    <w:rsid w:val="002626BE"/>
    <w:rsid w:val="00262946"/>
    <w:rsid w:val="0026392A"/>
    <w:rsid w:val="002649D7"/>
    <w:rsid w:val="00264FC1"/>
    <w:rsid w:val="0026542D"/>
    <w:rsid w:val="00265FBD"/>
    <w:rsid w:val="002669E7"/>
    <w:rsid w:val="00267964"/>
    <w:rsid w:val="002707E5"/>
    <w:rsid w:val="002708D2"/>
    <w:rsid w:val="002716AC"/>
    <w:rsid w:val="0027182A"/>
    <w:rsid w:val="00271971"/>
    <w:rsid w:val="00271BF2"/>
    <w:rsid w:val="00272AEF"/>
    <w:rsid w:val="00273500"/>
    <w:rsid w:val="00273A27"/>
    <w:rsid w:val="00273D1A"/>
    <w:rsid w:val="0027477F"/>
    <w:rsid w:val="002755C5"/>
    <w:rsid w:val="00275A2A"/>
    <w:rsid w:val="00275A50"/>
    <w:rsid w:val="00275CAB"/>
    <w:rsid w:val="00275F00"/>
    <w:rsid w:val="00276405"/>
    <w:rsid w:val="00276BA7"/>
    <w:rsid w:val="00276CBD"/>
    <w:rsid w:val="002779E2"/>
    <w:rsid w:val="002806A7"/>
    <w:rsid w:val="002809C0"/>
    <w:rsid w:val="00280DE1"/>
    <w:rsid w:val="00280E37"/>
    <w:rsid w:val="00281DD9"/>
    <w:rsid w:val="00282EEE"/>
    <w:rsid w:val="00283299"/>
    <w:rsid w:val="00284BC0"/>
    <w:rsid w:val="00285133"/>
    <w:rsid w:val="0028706B"/>
    <w:rsid w:val="0029091A"/>
    <w:rsid w:val="00290A21"/>
    <w:rsid w:val="00290E3D"/>
    <w:rsid w:val="0029253B"/>
    <w:rsid w:val="002928D0"/>
    <w:rsid w:val="0029376E"/>
    <w:rsid w:val="0029383D"/>
    <w:rsid w:val="00293BF6"/>
    <w:rsid w:val="002945E4"/>
    <w:rsid w:val="002948DB"/>
    <w:rsid w:val="0029667F"/>
    <w:rsid w:val="00296692"/>
    <w:rsid w:val="002967A6"/>
    <w:rsid w:val="00297AA1"/>
    <w:rsid w:val="00297B9F"/>
    <w:rsid w:val="002A0B07"/>
    <w:rsid w:val="002A1048"/>
    <w:rsid w:val="002A1265"/>
    <w:rsid w:val="002A138F"/>
    <w:rsid w:val="002A19C3"/>
    <w:rsid w:val="002A229D"/>
    <w:rsid w:val="002A2401"/>
    <w:rsid w:val="002A2C5C"/>
    <w:rsid w:val="002A3444"/>
    <w:rsid w:val="002A5ED9"/>
    <w:rsid w:val="002A615D"/>
    <w:rsid w:val="002A686A"/>
    <w:rsid w:val="002A71CD"/>
    <w:rsid w:val="002A72FB"/>
    <w:rsid w:val="002A76C9"/>
    <w:rsid w:val="002B0250"/>
    <w:rsid w:val="002B06EE"/>
    <w:rsid w:val="002B1457"/>
    <w:rsid w:val="002B146A"/>
    <w:rsid w:val="002B326C"/>
    <w:rsid w:val="002B3A78"/>
    <w:rsid w:val="002B4A07"/>
    <w:rsid w:val="002B56A5"/>
    <w:rsid w:val="002B5C7F"/>
    <w:rsid w:val="002B66EE"/>
    <w:rsid w:val="002B677F"/>
    <w:rsid w:val="002B6FD5"/>
    <w:rsid w:val="002C002F"/>
    <w:rsid w:val="002C1FFD"/>
    <w:rsid w:val="002C28D1"/>
    <w:rsid w:val="002C29AD"/>
    <w:rsid w:val="002C398D"/>
    <w:rsid w:val="002C4290"/>
    <w:rsid w:val="002C4488"/>
    <w:rsid w:val="002C4A58"/>
    <w:rsid w:val="002C511D"/>
    <w:rsid w:val="002C5F98"/>
    <w:rsid w:val="002C60DA"/>
    <w:rsid w:val="002C6A68"/>
    <w:rsid w:val="002C6ACB"/>
    <w:rsid w:val="002C7F24"/>
    <w:rsid w:val="002C7F39"/>
    <w:rsid w:val="002D0158"/>
    <w:rsid w:val="002D0658"/>
    <w:rsid w:val="002D08DE"/>
    <w:rsid w:val="002D16EC"/>
    <w:rsid w:val="002D2640"/>
    <w:rsid w:val="002D27F9"/>
    <w:rsid w:val="002D2828"/>
    <w:rsid w:val="002D2B71"/>
    <w:rsid w:val="002D30CC"/>
    <w:rsid w:val="002D4C78"/>
    <w:rsid w:val="002D5E90"/>
    <w:rsid w:val="002D62A5"/>
    <w:rsid w:val="002D6B63"/>
    <w:rsid w:val="002D7094"/>
    <w:rsid w:val="002D7133"/>
    <w:rsid w:val="002D7F05"/>
    <w:rsid w:val="002E0ACE"/>
    <w:rsid w:val="002E0C76"/>
    <w:rsid w:val="002E14B0"/>
    <w:rsid w:val="002E190B"/>
    <w:rsid w:val="002E383D"/>
    <w:rsid w:val="002E41E0"/>
    <w:rsid w:val="002E4BE3"/>
    <w:rsid w:val="002E50C2"/>
    <w:rsid w:val="002E5C7B"/>
    <w:rsid w:val="002E67B4"/>
    <w:rsid w:val="002E72FC"/>
    <w:rsid w:val="002E763E"/>
    <w:rsid w:val="002E7E83"/>
    <w:rsid w:val="002F05AA"/>
    <w:rsid w:val="002F05E1"/>
    <w:rsid w:val="002F069D"/>
    <w:rsid w:val="002F08A4"/>
    <w:rsid w:val="002F0D7C"/>
    <w:rsid w:val="002F101D"/>
    <w:rsid w:val="002F1E01"/>
    <w:rsid w:val="002F1EDE"/>
    <w:rsid w:val="002F2AC9"/>
    <w:rsid w:val="002F3306"/>
    <w:rsid w:val="002F37B4"/>
    <w:rsid w:val="002F3FCD"/>
    <w:rsid w:val="002F4942"/>
    <w:rsid w:val="002F5764"/>
    <w:rsid w:val="002F64A1"/>
    <w:rsid w:val="002F6726"/>
    <w:rsid w:val="002F7A24"/>
    <w:rsid w:val="0030150E"/>
    <w:rsid w:val="00301662"/>
    <w:rsid w:val="0030172C"/>
    <w:rsid w:val="003024CE"/>
    <w:rsid w:val="003029D7"/>
    <w:rsid w:val="00302B3A"/>
    <w:rsid w:val="00304C0A"/>
    <w:rsid w:val="00306F87"/>
    <w:rsid w:val="00307459"/>
    <w:rsid w:val="0030756D"/>
    <w:rsid w:val="00307645"/>
    <w:rsid w:val="00307E3B"/>
    <w:rsid w:val="00307F26"/>
    <w:rsid w:val="00310163"/>
    <w:rsid w:val="0031030A"/>
    <w:rsid w:val="00311569"/>
    <w:rsid w:val="00311FCE"/>
    <w:rsid w:val="00312C97"/>
    <w:rsid w:val="00312D65"/>
    <w:rsid w:val="00314497"/>
    <w:rsid w:val="00314D7F"/>
    <w:rsid w:val="0031739F"/>
    <w:rsid w:val="00320534"/>
    <w:rsid w:val="0032100A"/>
    <w:rsid w:val="003211AB"/>
    <w:rsid w:val="003212E8"/>
    <w:rsid w:val="00321EB4"/>
    <w:rsid w:val="003226DF"/>
    <w:rsid w:val="003228C1"/>
    <w:rsid w:val="003229EB"/>
    <w:rsid w:val="00322D4A"/>
    <w:rsid w:val="00323028"/>
    <w:rsid w:val="00325272"/>
    <w:rsid w:val="0032530E"/>
    <w:rsid w:val="00325412"/>
    <w:rsid w:val="00325720"/>
    <w:rsid w:val="00325940"/>
    <w:rsid w:val="00325C67"/>
    <w:rsid w:val="0032630D"/>
    <w:rsid w:val="00326950"/>
    <w:rsid w:val="0032697F"/>
    <w:rsid w:val="00326C59"/>
    <w:rsid w:val="00326CF7"/>
    <w:rsid w:val="00327103"/>
    <w:rsid w:val="00327315"/>
    <w:rsid w:val="00330432"/>
    <w:rsid w:val="00332921"/>
    <w:rsid w:val="00332BCA"/>
    <w:rsid w:val="0033307C"/>
    <w:rsid w:val="00333668"/>
    <w:rsid w:val="00333FE7"/>
    <w:rsid w:val="003348BD"/>
    <w:rsid w:val="003357D2"/>
    <w:rsid w:val="003368F0"/>
    <w:rsid w:val="00337533"/>
    <w:rsid w:val="00337F23"/>
    <w:rsid w:val="003407F4"/>
    <w:rsid w:val="00340A66"/>
    <w:rsid w:val="00341030"/>
    <w:rsid w:val="003412CB"/>
    <w:rsid w:val="003419E6"/>
    <w:rsid w:val="00341AC8"/>
    <w:rsid w:val="00342328"/>
    <w:rsid w:val="003432DF"/>
    <w:rsid w:val="00343D04"/>
    <w:rsid w:val="00343F1B"/>
    <w:rsid w:val="00344108"/>
    <w:rsid w:val="0034499E"/>
    <w:rsid w:val="00345C9F"/>
    <w:rsid w:val="00345CC6"/>
    <w:rsid w:val="003461F0"/>
    <w:rsid w:val="00346E85"/>
    <w:rsid w:val="003471DB"/>
    <w:rsid w:val="00347D5F"/>
    <w:rsid w:val="00350848"/>
    <w:rsid w:val="0035197F"/>
    <w:rsid w:val="00352E59"/>
    <w:rsid w:val="003536CC"/>
    <w:rsid w:val="0035531B"/>
    <w:rsid w:val="00355A26"/>
    <w:rsid w:val="00356228"/>
    <w:rsid w:val="00356810"/>
    <w:rsid w:val="00356D14"/>
    <w:rsid w:val="003570F2"/>
    <w:rsid w:val="00360006"/>
    <w:rsid w:val="00361331"/>
    <w:rsid w:val="003628FE"/>
    <w:rsid w:val="0036330E"/>
    <w:rsid w:val="00363446"/>
    <w:rsid w:val="00363634"/>
    <w:rsid w:val="00363789"/>
    <w:rsid w:val="003638FA"/>
    <w:rsid w:val="00363A0F"/>
    <w:rsid w:val="00363C36"/>
    <w:rsid w:val="00365158"/>
    <w:rsid w:val="003656F0"/>
    <w:rsid w:val="00367769"/>
    <w:rsid w:val="0036784D"/>
    <w:rsid w:val="0037001A"/>
    <w:rsid w:val="00370A7B"/>
    <w:rsid w:val="003715AD"/>
    <w:rsid w:val="00371B03"/>
    <w:rsid w:val="00371D1E"/>
    <w:rsid w:val="00372C36"/>
    <w:rsid w:val="00374402"/>
    <w:rsid w:val="00374A52"/>
    <w:rsid w:val="0037573F"/>
    <w:rsid w:val="00376389"/>
    <w:rsid w:val="003769F9"/>
    <w:rsid w:val="003770D3"/>
    <w:rsid w:val="00377992"/>
    <w:rsid w:val="00377B6F"/>
    <w:rsid w:val="00380374"/>
    <w:rsid w:val="0038200D"/>
    <w:rsid w:val="00382382"/>
    <w:rsid w:val="003824B6"/>
    <w:rsid w:val="00383923"/>
    <w:rsid w:val="0038509D"/>
    <w:rsid w:val="003850A2"/>
    <w:rsid w:val="00386865"/>
    <w:rsid w:val="00386BF2"/>
    <w:rsid w:val="00387369"/>
    <w:rsid w:val="00387F66"/>
    <w:rsid w:val="003910EF"/>
    <w:rsid w:val="003914DE"/>
    <w:rsid w:val="00391659"/>
    <w:rsid w:val="00391AEA"/>
    <w:rsid w:val="00391C83"/>
    <w:rsid w:val="00391ED2"/>
    <w:rsid w:val="00392114"/>
    <w:rsid w:val="003939F0"/>
    <w:rsid w:val="003939FE"/>
    <w:rsid w:val="00394030"/>
    <w:rsid w:val="0039409A"/>
    <w:rsid w:val="003948F6"/>
    <w:rsid w:val="003951AC"/>
    <w:rsid w:val="003A1A73"/>
    <w:rsid w:val="003A3DEE"/>
    <w:rsid w:val="003A4291"/>
    <w:rsid w:val="003A4471"/>
    <w:rsid w:val="003A447C"/>
    <w:rsid w:val="003A474E"/>
    <w:rsid w:val="003A477F"/>
    <w:rsid w:val="003A4C12"/>
    <w:rsid w:val="003A4CEB"/>
    <w:rsid w:val="003A4DF0"/>
    <w:rsid w:val="003A5256"/>
    <w:rsid w:val="003A53BE"/>
    <w:rsid w:val="003A583D"/>
    <w:rsid w:val="003A58C7"/>
    <w:rsid w:val="003A6244"/>
    <w:rsid w:val="003A6DE0"/>
    <w:rsid w:val="003A6E4B"/>
    <w:rsid w:val="003B0FCD"/>
    <w:rsid w:val="003B192E"/>
    <w:rsid w:val="003B2326"/>
    <w:rsid w:val="003B2FEB"/>
    <w:rsid w:val="003B317A"/>
    <w:rsid w:val="003B3242"/>
    <w:rsid w:val="003B3FCD"/>
    <w:rsid w:val="003B4FDD"/>
    <w:rsid w:val="003B56B3"/>
    <w:rsid w:val="003B5E72"/>
    <w:rsid w:val="003B69A9"/>
    <w:rsid w:val="003B6A30"/>
    <w:rsid w:val="003B6E9B"/>
    <w:rsid w:val="003B7377"/>
    <w:rsid w:val="003B79C1"/>
    <w:rsid w:val="003C0182"/>
    <w:rsid w:val="003C0A29"/>
    <w:rsid w:val="003C0B20"/>
    <w:rsid w:val="003C102D"/>
    <w:rsid w:val="003C1598"/>
    <w:rsid w:val="003C23BB"/>
    <w:rsid w:val="003C2992"/>
    <w:rsid w:val="003C3B14"/>
    <w:rsid w:val="003C4944"/>
    <w:rsid w:val="003C4E8D"/>
    <w:rsid w:val="003C5125"/>
    <w:rsid w:val="003C5769"/>
    <w:rsid w:val="003C67D2"/>
    <w:rsid w:val="003C77E6"/>
    <w:rsid w:val="003D017C"/>
    <w:rsid w:val="003D0253"/>
    <w:rsid w:val="003D090B"/>
    <w:rsid w:val="003D0B43"/>
    <w:rsid w:val="003D1BE8"/>
    <w:rsid w:val="003D2351"/>
    <w:rsid w:val="003D2641"/>
    <w:rsid w:val="003D2B8E"/>
    <w:rsid w:val="003D2D39"/>
    <w:rsid w:val="003D32E2"/>
    <w:rsid w:val="003D377C"/>
    <w:rsid w:val="003D39B9"/>
    <w:rsid w:val="003D420F"/>
    <w:rsid w:val="003D5785"/>
    <w:rsid w:val="003D616A"/>
    <w:rsid w:val="003D654B"/>
    <w:rsid w:val="003D6E7F"/>
    <w:rsid w:val="003D71C7"/>
    <w:rsid w:val="003D7DA5"/>
    <w:rsid w:val="003E0A39"/>
    <w:rsid w:val="003E0ACF"/>
    <w:rsid w:val="003E110E"/>
    <w:rsid w:val="003E15AC"/>
    <w:rsid w:val="003E169C"/>
    <w:rsid w:val="003E29DB"/>
    <w:rsid w:val="003E2FBC"/>
    <w:rsid w:val="003E32DD"/>
    <w:rsid w:val="003E3416"/>
    <w:rsid w:val="003E475C"/>
    <w:rsid w:val="003E588E"/>
    <w:rsid w:val="003E7442"/>
    <w:rsid w:val="003F0502"/>
    <w:rsid w:val="003F0FC4"/>
    <w:rsid w:val="003F1077"/>
    <w:rsid w:val="003F1303"/>
    <w:rsid w:val="003F15D2"/>
    <w:rsid w:val="003F202E"/>
    <w:rsid w:val="003F2324"/>
    <w:rsid w:val="003F3245"/>
    <w:rsid w:val="003F3EB5"/>
    <w:rsid w:val="003F4083"/>
    <w:rsid w:val="003F448D"/>
    <w:rsid w:val="003F4EF9"/>
    <w:rsid w:val="003F5051"/>
    <w:rsid w:val="003F54D7"/>
    <w:rsid w:val="003F5CD9"/>
    <w:rsid w:val="003F5D15"/>
    <w:rsid w:val="003F6E73"/>
    <w:rsid w:val="003F744F"/>
    <w:rsid w:val="00400129"/>
    <w:rsid w:val="004005D9"/>
    <w:rsid w:val="004019BF"/>
    <w:rsid w:val="004027EC"/>
    <w:rsid w:val="00402A59"/>
    <w:rsid w:val="00402DAE"/>
    <w:rsid w:val="00403AC3"/>
    <w:rsid w:val="004041B5"/>
    <w:rsid w:val="0040531A"/>
    <w:rsid w:val="0040688F"/>
    <w:rsid w:val="004070EE"/>
    <w:rsid w:val="0040775F"/>
    <w:rsid w:val="00407E8A"/>
    <w:rsid w:val="004101ED"/>
    <w:rsid w:val="00410979"/>
    <w:rsid w:val="004116D2"/>
    <w:rsid w:val="00412DB5"/>
    <w:rsid w:val="004134EE"/>
    <w:rsid w:val="00413CFB"/>
    <w:rsid w:val="00413F56"/>
    <w:rsid w:val="0041494E"/>
    <w:rsid w:val="00415056"/>
    <w:rsid w:val="0041654B"/>
    <w:rsid w:val="0041696E"/>
    <w:rsid w:val="00416A13"/>
    <w:rsid w:val="004219D2"/>
    <w:rsid w:val="00421D55"/>
    <w:rsid w:val="00422E64"/>
    <w:rsid w:val="00423E44"/>
    <w:rsid w:val="00423EEE"/>
    <w:rsid w:val="004240B6"/>
    <w:rsid w:val="00425EAC"/>
    <w:rsid w:val="00426703"/>
    <w:rsid w:val="00426751"/>
    <w:rsid w:val="004267AA"/>
    <w:rsid w:val="00427315"/>
    <w:rsid w:val="00427671"/>
    <w:rsid w:val="00427FD5"/>
    <w:rsid w:val="00430391"/>
    <w:rsid w:val="004310C6"/>
    <w:rsid w:val="00431325"/>
    <w:rsid w:val="004315B2"/>
    <w:rsid w:val="00431963"/>
    <w:rsid w:val="0043206E"/>
    <w:rsid w:val="00432A4B"/>
    <w:rsid w:val="004331EC"/>
    <w:rsid w:val="00433799"/>
    <w:rsid w:val="00434898"/>
    <w:rsid w:val="0043504D"/>
    <w:rsid w:val="00435880"/>
    <w:rsid w:val="004359FC"/>
    <w:rsid w:val="00436B38"/>
    <w:rsid w:val="00436C3B"/>
    <w:rsid w:val="00437B79"/>
    <w:rsid w:val="00440D7B"/>
    <w:rsid w:val="0044116D"/>
    <w:rsid w:val="004416CE"/>
    <w:rsid w:val="004417D9"/>
    <w:rsid w:val="00442570"/>
    <w:rsid w:val="00442F1F"/>
    <w:rsid w:val="004433B1"/>
    <w:rsid w:val="0044346D"/>
    <w:rsid w:val="00444E44"/>
    <w:rsid w:val="00444ECC"/>
    <w:rsid w:val="00446FF7"/>
    <w:rsid w:val="0044796B"/>
    <w:rsid w:val="00450FC0"/>
    <w:rsid w:val="0045179A"/>
    <w:rsid w:val="004519EC"/>
    <w:rsid w:val="004522A3"/>
    <w:rsid w:val="0045271C"/>
    <w:rsid w:val="00453AA7"/>
    <w:rsid w:val="00453D5A"/>
    <w:rsid w:val="00454410"/>
    <w:rsid w:val="00454EF1"/>
    <w:rsid w:val="004557BE"/>
    <w:rsid w:val="00457048"/>
    <w:rsid w:val="004575B7"/>
    <w:rsid w:val="00461EE8"/>
    <w:rsid w:val="00463832"/>
    <w:rsid w:val="00464B8E"/>
    <w:rsid w:val="00465047"/>
    <w:rsid w:val="00465FDF"/>
    <w:rsid w:val="00466601"/>
    <w:rsid w:val="004668BB"/>
    <w:rsid w:val="004674B1"/>
    <w:rsid w:val="00467620"/>
    <w:rsid w:val="0047073D"/>
    <w:rsid w:val="004708B4"/>
    <w:rsid w:val="00470B84"/>
    <w:rsid w:val="00470BF3"/>
    <w:rsid w:val="004721CE"/>
    <w:rsid w:val="0047267A"/>
    <w:rsid w:val="00472B70"/>
    <w:rsid w:val="00473114"/>
    <w:rsid w:val="00473BE2"/>
    <w:rsid w:val="004750BE"/>
    <w:rsid w:val="00475165"/>
    <w:rsid w:val="004764E3"/>
    <w:rsid w:val="00481F27"/>
    <w:rsid w:val="00483201"/>
    <w:rsid w:val="00483C6F"/>
    <w:rsid w:val="00484DBF"/>
    <w:rsid w:val="004864F3"/>
    <w:rsid w:val="00486C85"/>
    <w:rsid w:val="00487356"/>
    <w:rsid w:val="00490BD3"/>
    <w:rsid w:val="00491FA0"/>
    <w:rsid w:val="00493123"/>
    <w:rsid w:val="00493DB8"/>
    <w:rsid w:val="00495775"/>
    <w:rsid w:val="00495779"/>
    <w:rsid w:val="0049581C"/>
    <w:rsid w:val="00496241"/>
    <w:rsid w:val="004972DD"/>
    <w:rsid w:val="00497F68"/>
    <w:rsid w:val="004A0972"/>
    <w:rsid w:val="004A14CB"/>
    <w:rsid w:val="004A1518"/>
    <w:rsid w:val="004A1C94"/>
    <w:rsid w:val="004A1EA3"/>
    <w:rsid w:val="004A2901"/>
    <w:rsid w:val="004A3F54"/>
    <w:rsid w:val="004A44F0"/>
    <w:rsid w:val="004A4CC3"/>
    <w:rsid w:val="004A5A03"/>
    <w:rsid w:val="004A644A"/>
    <w:rsid w:val="004A64AD"/>
    <w:rsid w:val="004A77E9"/>
    <w:rsid w:val="004B2146"/>
    <w:rsid w:val="004B245B"/>
    <w:rsid w:val="004B287D"/>
    <w:rsid w:val="004B2C70"/>
    <w:rsid w:val="004B3BBD"/>
    <w:rsid w:val="004B3BE5"/>
    <w:rsid w:val="004B3FA4"/>
    <w:rsid w:val="004B5850"/>
    <w:rsid w:val="004B606E"/>
    <w:rsid w:val="004B6A5D"/>
    <w:rsid w:val="004B7B18"/>
    <w:rsid w:val="004B7E44"/>
    <w:rsid w:val="004C00DC"/>
    <w:rsid w:val="004C179E"/>
    <w:rsid w:val="004C1BCA"/>
    <w:rsid w:val="004C229C"/>
    <w:rsid w:val="004C27D3"/>
    <w:rsid w:val="004C2CE0"/>
    <w:rsid w:val="004C33AD"/>
    <w:rsid w:val="004C5726"/>
    <w:rsid w:val="004C5DA4"/>
    <w:rsid w:val="004C62F6"/>
    <w:rsid w:val="004C6338"/>
    <w:rsid w:val="004C7196"/>
    <w:rsid w:val="004C77D9"/>
    <w:rsid w:val="004D09D5"/>
    <w:rsid w:val="004D0B97"/>
    <w:rsid w:val="004D14E9"/>
    <w:rsid w:val="004D1FC4"/>
    <w:rsid w:val="004D251B"/>
    <w:rsid w:val="004D2DB6"/>
    <w:rsid w:val="004D3277"/>
    <w:rsid w:val="004D3F79"/>
    <w:rsid w:val="004D4051"/>
    <w:rsid w:val="004D4053"/>
    <w:rsid w:val="004D4C5F"/>
    <w:rsid w:val="004D5F0D"/>
    <w:rsid w:val="004D684A"/>
    <w:rsid w:val="004D7857"/>
    <w:rsid w:val="004D7F00"/>
    <w:rsid w:val="004E07DC"/>
    <w:rsid w:val="004E16B3"/>
    <w:rsid w:val="004E3F2E"/>
    <w:rsid w:val="004E43CA"/>
    <w:rsid w:val="004E4482"/>
    <w:rsid w:val="004E45C7"/>
    <w:rsid w:val="004E47C2"/>
    <w:rsid w:val="004E4ABF"/>
    <w:rsid w:val="004E617D"/>
    <w:rsid w:val="004E7A14"/>
    <w:rsid w:val="004F23C7"/>
    <w:rsid w:val="004F24E4"/>
    <w:rsid w:val="004F2B9E"/>
    <w:rsid w:val="004F2F9F"/>
    <w:rsid w:val="004F349C"/>
    <w:rsid w:val="004F3C22"/>
    <w:rsid w:val="004F3C66"/>
    <w:rsid w:val="004F4824"/>
    <w:rsid w:val="004F4C34"/>
    <w:rsid w:val="004F4C36"/>
    <w:rsid w:val="004F50D4"/>
    <w:rsid w:val="004F6692"/>
    <w:rsid w:val="004F7643"/>
    <w:rsid w:val="004F77E6"/>
    <w:rsid w:val="00500138"/>
    <w:rsid w:val="00500EAE"/>
    <w:rsid w:val="0050221D"/>
    <w:rsid w:val="00503D0D"/>
    <w:rsid w:val="00506486"/>
    <w:rsid w:val="00506898"/>
    <w:rsid w:val="00506D38"/>
    <w:rsid w:val="00506D7B"/>
    <w:rsid w:val="0050721D"/>
    <w:rsid w:val="00510347"/>
    <w:rsid w:val="005106CC"/>
    <w:rsid w:val="0051115E"/>
    <w:rsid w:val="005123DA"/>
    <w:rsid w:val="0051315F"/>
    <w:rsid w:val="0051353A"/>
    <w:rsid w:val="0051419C"/>
    <w:rsid w:val="00514281"/>
    <w:rsid w:val="00514470"/>
    <w:rsid w:val="0051457A"/>
    <w:rsid w:val="00515B23"/>
    <w:rsid w:val="00515E4E"/>
    <w:rsid w:val="005164E2"/>
    <w:rsid w:val="00516516"/>
    <w:rsid w:val="00517E92"/>
    <w:rsid w:val="005210F0"/>
    <w:rsid w:val="00521339"/>
    <w:rsid w:val="00522503"/>
    <w:rsid w:val="005226C3"/>
    <w:rsid w:val="0052370B"/>
    <w:rsid w:val="0052420A"/>
    <w:rsid w:val="00525108"/>
    <w:rsid w:val="0052603C"/>
    <w:rsid w:val="005268DF"/>
    <w:rsid w:val="00526CD4"/>
    <w:rsid w:val="005271B1"/>
    <w:rsid w:val="0052781A"/>
    <w:rsid w:val="00527872"/>
    <w:rsid w:val="005278F1"/>
    <w:rsid w:val="00531B72"/>
    <w:rsid w:val="00533CEB"/>
    <w:rsid w:val="00533F41"/>
    <w:rsid w:val="00534F25"/>
    <w:rsid w:val="00535BDE"/>
    <w:rsid w:val="00536997"/>
    <w:rsid w:val="00536B9A"/>
    <w:rsid w:val="00537DE3"/>
    <w:rsid w:val="00540621"/>
    <w:rsid w:val="0054098F"/>
    <w:rsid w:val="00540ED4"/>
    <w:rsid w:val="0054149C"/>
    <w:rsid w:val="00541FC0"/>
    <w:rsid w:val="00542C82"/>
    <w:rsid w:val="0054328F"/>
    <w:rsid w:val="0054389B"/>
    <w:rsid w:val="00544700"/>
    <w:rsid w:val="00546090"/>
    <w:rsid w:val="0054714E"/>
    <w:rsid w:val="005475C6"/>
    <w:rsid w:val="00547CBB"/>
    <w:rsid w:val="00547DA0"/>
    <w:rsid w:val="005500D1"/>
    <w:rsid w:val="005501D1"/>
    <w:rsid w:val="00550D1C"/>
    <w:rsid w:val="005511C0"/>
    <w:rsid w:val="00552492"/>
    <w:rsid w:val="00552AC5"/>
    <w:rsid w:val="00552AE0"/>
    <w:rsid w:val="00553606"/>
    <w:rsid w:val="00554689"/>
    <w:rsid w:val="00554AA9"/>
    <w:rsid w:val="005551B3"/>
    <w:rsid w:val="00556F6C"/>
    <w:rsid w:val="005578AA"/>
    <w:rsid w:val="00557934"/>
    <w:rsid w:val="0056021C"/>
    <w:rsid w:val="00560F66"/>
    <w:rsid w:val="00561CFB"/>
    <w:rsid w:val="00562207"/>
    <w:rsid w:val="00562E83"/>
    <w:rsid w:val="00563249"/>
    <w:rsid w:val="0056349A"/>
    <w:rsid w:val="00564949"/>
    <w:rsid w:val="005667F0"/>
    <w:rsid w:val="005669AC"/>
    <w:rsid w:val="00566DE1"/>
    <w:rsid w:val="00570D41"/>
    <w:rsid w:val="00570EA4"/>
    <w:rsid w:val="00570EC4"/>
    <w:rsid w:val="00570FD1"/>
    <w:rsid w:val="005729C1"/>
    <w:rsid w:val="00572CBF"/>
    <w:rsid w:val="005733EE"/>
    <w:rsid w:val="00573BB2"/>
    <w:rsid w:val="005766BE"/>
    <w:rsid w:val="00577A01"/>
    <w:rsid w:val="00577E3C"/>
    <w:rsid w:val="00580EE7"/>
    <w:rsid w:val="005811EF"/>
    <w:rsid w:val="00581AB1"/>
    <w:rsid w:val="00582662"/>
    <w:rsid w:val="00582C41"/>
    <w:rsid w:val="005835AC"/>
    <w:rsid w:val="00583F4B"/>
    <w:rsid w:val="005842D1"/>
    <w:rsid w:val="00584557"/>
    <w:rsid w:val="00585340"/>
    <w:rsid w:val="0058540E"/>
    <w:rsid w:val="00585960"/>
    <w:rsid w:val="00585ADD"/>
    <w:rsid w:val="00585DD0"/>
    <w:rsid w:val="00586278"/>
    <w:rsid w:val="005877CE"/>
    <w:rsid w:val="00587D2F"/>
    <w:rsid w:val="00587E8C"/>
    <w:rsid w:val="005906A4"/>
    <w:rsid w:val="00591ABB"/>
    <w:rsid w:val="005924AA"/>
    <w:rsid w:val="00592505"/>
    <w:rsid w:val="00592AFA"/>
    <w:rsid w:val="00594270"/>
    <w:rsid w:val="00595171"/>
    <w:rsid w:val="00595CC7"/>
    <w:rsid w:val="00595DA3"/>
    <w:rsid w:val="00596931"/>
    <w:rsid w:val="005977E7"/>
    <w:rsid w:val="005A0A84"/>
    <w:rsid w:val="005A1302"/>
    <w:rsid w:val="005A21EE"/>
    <w:rsid w:val="005A2561"/>
    <w:rsid w:val="005A4ED5"/>
    <w:rsid w:val="005A55F8"/>
    <w:rsid w:val="005A5AAE"/>
    <w:rsid w:val="005A63E6"/>
    <w:rsid w:val="005B0510"/>
    <w:rsid w:val="005B0A65"/>
    <w:rsid w:val="005B0D3C"/>
    <w:rsid w:val="005B1391"/>
    <w:rsid w:val="005B16A8"/>
    <w:rsid w:val="005B28DE"/>
    <w:rsid w:val="005B3559"/>
    <w:rsid w:val="005B3F0D"/>
    <w:rsid w:val="005B3FC1"/>
    <w:rsid w:val="005B5C6E"/>
    <w:rsid w:val="005B664D"/>
    <w:rsid w:val="005B6F36"/>
    <w:rsid w:val="005B715F"/>
    <w:rsid w:val="005B7507"/>
    <w:rsid w:val="005C007B"/>
    <w:rsid w:val="005C0840"/>
    <w:rsid w:val="005C166D"/>
    <w:rsid w:val="005C2076"/>
    <w:rsid w:val="005C2590"/>
    <w:rsid w:val="005C308D"/>
    <w:rsid w:val="005C398C"/>
    <w:rsid w:val="005C3A63"/>
    <w:rsid w:val="005C3D48"/>
    <w:rsid w:val="005C4E14"/>
    <w:rsid w:val="005C4E96"/>
    <w:rsid w:val="005C5E53"/>
    <w:rsid w:val="005C6D62"/>
    <w:rsid w:val="005C7C42"/>
    <w:rsid w:val="005D0CB9"/>
    <w:rsid w:val="005D0D48"/>
    <w:rsid w:val="005D0F49"/>
    <w:rsid w:val="005D17A6"/>
    <w:rsid w:val="005D1C75"/>
    <w:rsid w:val="005D2305"/>
    <w:rsid w:val="005D31ED"/>
    <w:rsid w:val="005D4A76"/>
    <w:rsid w:val="005D56C0"/>
    <w:rsid w:val="005D751C"/>
    <w:rsid w:val="005E0B33"/>
    <w:rsid w:val="005E1933"/>
    <w:rsid w:val="005E233B"/>
    <w:rsid w:val="005E2885"/>
    <w:rsid w:val="005E35A0"/>
    <w:rsid w:val="005E4A14"/>
    <w:rsid w:val="005E4D7A"/>
    <w:rsid w:val="005E657D"/>
    <w:rsid w:val="005F0CB3"/>
    <w:rsid w:val="005F0CC2"/>
    <w:rsid w:val="005F1106"/>
    <w:rsid w:val="005F119B"/>
    <w:rsid w:val="005F2368"/>
    <w:rsid w:val="005F26BC"/>
    <w:rsid w:val="005F2D79"/>
    <w:rsid w:val="005F334F"/>
    <w:rsid w:val="005F42CE"/>
    <w:rsid w:val="005F5885"/>
    <w:rsid w:val="005F6616"/>
    <w:rsid w:val="005F6B1C"/>
    <w:rsid w:val="005F7031"/>
    <w:rsid w:val="005F7347"/>
    <w:rsid w:val="005F7611"/>
    <w:rsid w:val="005F7615"/>
    <w:rsid w:val="005F7951"/>
    <w:rsid w:val="0060047F"/>
    <w:rsid w:val="00600AF1"/>
    <w:rsid w:val="0060197B"/>
    <w:rsid w:val="00601A24"/>
    <w:rsid w:val="00601A94"/>
    <w:rsid w:val="00603A83"/>
    <w:rsid w:val="00604099"/>
    <w:rsid w:val="006041C3"/>
    <w:rsid w:val="00605024"/>
    <w:rsid w:val="00605893"/>
    <w:rsid w:val="006058CB"/>
    <w:rsid w:val="00605E98"/>
    <w:rsid w:val="00606E9D"/>
    <w:rsid w:val="006072EB"/>
    <w:rsid w:val="006077A9"/>
    <w:rsid w:val="00607F91"/>
    <w:rsid w:val="0061077A"/>
    <w:rsid w:val="00611305"/>
    <w:rsid w:val="00611306"/>
    <w:rsid w:val="00611BDB"/>
    <w:rsid w:val="00611DE3"/>
    <w:rsid w:val="00611F58"/>
    <w:rsid w:val="00612342"/>
    <w:rsid w:val="006129CC"/>
    <w:rsid w:val="00613BD7"/>
    <w:rsid w:val="00614B9E"/>
    <w:rsid w:val="006151DE"/>
    <w:rsid w:val="00615C76"/>
    <w:rsid w:val="006166AD"/>
    <w:rsid w:val="006178A2"/>
    <w:rsid w:val="0062003B"/>
    <w:rsid w:val="00620EB8"/>
    <w:rsid w:val="006214B8"/>
    <w:rsid w:val="00621C55"/>
    <w:rsid w:val="00621F3C"/>
    <w:rsid w:val="00622EB1"/>
    <w:rsid w:val="00624159"/>
    <w:rsid w:val="0062467A"/>
    <w:rsid w:val="00624FA6"/>
    <w:rsid w:val="00625D11"/>
    <w:rsid w:val="00625FDF"/>
    <w:rsid w:val="006263E3"/>
    <w:rsid w:val="00626456"/>
    <w:rsid w:val="006264DA"/>
    <w:rsid w:val="006266F0"/>
    <w:rsid w:val="00626891"/>
    <w:rsid w:val="00626A89"/>
    <w:rsid w:val="006270B2"/>
    <w:rsid w:val="00630C75"/>
    <w:rsid w:val="00630FF6"/>
    <w:rsid w:val="0063108D"/>
    <w:rsid w:val="0063166A"/>
    <w:rsid w:val="0063173D"/>
    <w:rsid w:val="006320B7"/>
    <w:rsid w:val="00632307"/>
    <w:rsid w:val="00633B8F"/>
    <w:rsid w:val="00633EE2"/>
    <w:rsid w:val="0063440A"/>
    <w:rsid w:val="006347FA"/>
    <w:rsid w:val="00634C5B"/>
    <w:rsid w:val="00634C82"/>
    <w:rsid w:val="00634D43"/>
    <w:rsid w:val="00634FCD"/>
    <w:rsid w:val="00635757"/>
    <w:rsid w:val="00635B31"/>
    <w:rsid w:val="00635E7D"/>
    <w:rsid w:val="00636251"/>
    <w:rsid w:val="006362FA"/>
    <w:rsid w:val="0063665A"/>
    <w:rsid w:val="00636C76"/>
    <w:rsid w:val="0064015D"/>
    <w:rsid w:val="00641C35"/>
    <w:rsid w:val="006433EF"/>
    <w:rsid w:val="00643FCA"/>
    <w:rsid w:val="00644A16"/>
    <w:rsid w:val="00644B5B"/>
    <w:rsid w:val="006453C2"/>
    <w:rsid w:val="006457A3"/>
    <w:rsid w:val="00645AD7"/>
    <w:rsid w:val="006473E0"/>
    <w:rsid w:val="00650A97"/>
    <w:rsid w:val="00651216"/>
    <w:rsid w:val="0065129B"/>
    <w:rsid w:val="0065137B"/>
    <w:rsid w:val="00651DBA"/>
    <w:rsid w:val="00651DC8"/>
    <w:rsid w:val="00652A4C"/>
    <w:rsid w:val="00652EC5"/>
    <w:rsid w:val="00653BF7"/>
    <w:rsid w:val="00654070"/>
    <w:rsid w:val="0065748D"/>
    <w:rsid w:val="00661DFE"/>
    <w:rsid w:val="00662174"/>
    <w:rsid w:val="00662C6E"/>
    <w:rsid w:val="00662FB6"/>
    <w:rsid w:val="00664371"/>
    <w:rsid w:val="00664414"/>
    <w:rsid w:val="00666CDE"/>
    <w:rsid w:val="006674E1"/>
    <w:rsid w:val="00667893"/>
    <w:rsid w:val="00667EF7"/>
    <w:rsid w:val="0067129E"/>
    <w:rsid w:val="006716E6"/>
    <w:rsid w:val="00671FBA"/>
    <w:rsid w:val="00672A82"/>
    <w:rsid w:val="00675290"/>
    <w:rsid w:val="0067541B"/>
    <w:rsid w:val="006755EE"/>
    <w:rsid w:val="00675BEE"/>
    <w:rsid w:val="00675EDF"/>
    <w:rsid w:val="0067785C"/>
    <w:rsid w:val="00677CDE"/>
    <w:rsid w:val="00677E83"/>
    <w:rsid w:val="00680DE0"/>
    <w:rsid w:val="00681CBC"/>
    <w:rsid w:val="006820F5"/>
    <w:rsid w:val="00682354"/>
    <w:rsid w:val="0068290F"/>
    <w:rsid w:val="006835AA"/>
    <w:rsid w:val="00683B5C"/>
    <w:rsid w:val="006844F3"/>
    <w:rsid w:val="0068456D"/>
    <w:rsid w:val="00684574"/>
    <w:rsid w:val="0068489E"/>
    <w:rsid w:val="006848FB"/>
    <w:rsid w:val="00685F0D"/>
    <w:rsid w:val="00686CE6"/>
    <w:rsid w:val="0068703E"/>
    <w:rsid w:val="00687848"/>
    <w:rsid w:val="006900BB"/>
    <w:rsid w:val="006910E8"/>
    <w:rsid w:val="006913DB"/>
    <w:rsid w:val="00691D8B"/>
    <w:rsid w:val="00692417"/>
    <w:rsid w:val="00692B2E"/>
    <w:rsid w:val="006937A3"/>
    <w:rsid w:val="00693C73"/>
    <w:rsid w:val="006940E9"/>
    <w:rsid w:val="00694113"/>
    <w:rsid w:val="006943B7"/>
    <w:rsid w:val="0069460E"/>
    <w:rsid w:val="00695AEF"/>
    <w:rsid w:val="00695D01"/>
    <w:rsid w:val="006962B4"/>
    <w:rsid w:val="00696A84"/>
    <w:rsid w:val="00696B2A"/>
    <w:rsid w:val="00696CB9"/>
    <w:rsid w:val="00696D6E"/>
    <w:rsid w:val="006A113B"/>
    <w:rsid w:val="006A124B"/>
    <w:rsid w:val="006A1844"/>
    <w:rsid w:val="006A1E80"/>
    <w:rsid w:val="006A2538"/>
    <w:rsid w:val="006A27D6"/>
    <w:rsid w:val="006A2D64"/>
    <w:rsid w:val="006A384D"/>
    <w:rsid w:val="006A4BFE"/>
    <w:rsid w:val="006A4FA6"/>
    <w:rsid w:val="006A5473"/>
    <w:rsid w:val="006A5723"/>
    <w:rsid w:val="006A70EC"/>
    <w:rsid w:val="006B0231"/>
    <w:rsid w:val="006B1FAA"/>
    <w:rsid w:val="006B2965"/>
    <w:rsid w:val="006B309A"/>
    <w:rsid w:val="006B31AD"/>
    <w:rsid w:val="006B3494"/>
    <w:rsid w:val="006B6DA2"/>
    <w:rsid w:val="006B708D"/>
    <w:rsid w:val="006B7412"/>
    <w:rsid w:val="006B766B"/>
    <w:rsid w:val="006C0EB0"/>
    <w:rsid w:val="006C1271"/>
    <w:rsid w:val="006C19F9"/>
    <w:rsid w:val="006C1E67"/>
    <w:rsid w:val="006C25EF"/>
    <w:rsid w:val="006C2B75"/>
    <w:rsid w:val="006C2CF5"/>
    <w:rsid w:val="006C3CF3"/>
    <w:rsid w:val="006C55F9"/>
    <w:rsid w:val="006C674A"/>
    <w:rsid w:val="006C6BEA"/>
    <w:rsid w:val="006C703F"/>
    <w:rsid w:val="006D0770"/>
    <w:rsid w:val="006D0BE5"/>
    <w:rsid w:val="006D138F"/>
    <w:rsid w:val="006D20A4"/>
    <w:rsid w:val="006D2AFF"/>
    <w:rsid w:val="006D317B"/>
    <w:rsid w:val="006D4FA0"/>
    <w:rsid w:val="006D5C2D"/>
    <w:rsid w:val="006D5D43"/>
    <w:rsid w:val="006D66B3"/>
    <w:rsid w:val="006D6804"/>
    <w:rsid w:val="006D6C61"/>
    <w:rsid w:val="006D6FA8"/>
    <w:rsid w:val="006D7D3F"/>
    <w:rsid w:val="006E0ADA"/>
    <w:rsid w:val="006E11A0"/>
    <w:rsid w:val="006E207B"/>
    <w:rsid w:val="006E2F03"/>
    <w:rsid w:val="006E334E"/>
    <w:rsid w:val="006E3501"/>
    <w:rsid w:val="006E38EB"/>
    <w:rsid w:val="006E3B3C"/>
    <w:rsid w:val="006E4370"/>
    <w:rsid w:val="006E4C63"/>
    <w:rsid w:val="006E647C"/>
    <w:rsid w:val="006E701E"/>
    <w:rsid w:val="006F0708"/>
    <w:rsid w:val="006F0BAD"/>
    <w:rsid w:val="006F0C1B"/>
    <w:rsid w:val="006F16EB"/>
    <w:rsid w:val="006F1B4D"/>
    <w:rsid w:val="006F36CC"/>
    <w:rsid w:val="006F3AED"/>
    <w:rsid w:val="006F3C1D"/>
    <w:rsid w:val="006F413F"/>
    <w:rsid w:val="006F44B2"/>
    <w:rsid w:val="006F69BC"/>
    <w:rsid w:val="00700B3C"/>
    <w:rsid w:val="0070101C"/>
    <w:rsid w:val="00701757"/>
    <w:rsid w:val="00701F94"/>
    <w:rsid w:val="00703569"/>
    <w:rsid w:val="00704F92"/>
    <w:rsid w:val="007057C7"/>
    <w:rsid w:val="00705B81"/>
    <w:rsid w:val="00705D4F"/>
    <w:rsid w:val="00706D44"/>
    <w:rsid w:val="00707D94"/>
    <w:rsid w:val="00707E2A"/>
    <w:rsid w:val="00707EED"/>
    <w:rsid w:val="007107AA"/>
    <w:rsid w:val="00710DE1"/>
    <w:rsid w:val="00710E8D"/>
    <w:rsid w:val="00710EF2"/>
    <w:rsid w:val="007122C1"/>
    <w:rsid w:val="0071295C"/>
    <w:rsid w:val="00712F34"/>
    <w:rsid w:val="007132D6"/>
    <w:rsid w:val="00713948"/>
    <w:rsid w:val="00714046"/>
    <w:rsid w:val="00714913"/>
    <w:rsid w:val="00716352"/>
    <w:rsid w:val="007169ED"/>
    <w:rsid w:val="007176DA"/>
    <w:rsid w:val="00720B55"/>
    <w:rsid w:val="00720DDD"/>
    <w:rsid w:val="00721488"/>
    <w:rsid w:val="007215DB"/>
    <w:rsid w:val="0072160F"/>
    <w:rsid w:val="0072249D"/>
    <w:rsid w:val="00722DBE"/>
    <w:rsid w:val="00722E60"/>
    <w:rsid w:val="007244A8"/>
    <w:rsid w:val="00724EA6"/>
    <w:rsid w:val="0072586F"/>
    <w:rsid w:val="00725FD9"/>
    <w:rsid w:val="00726906"/>
    <w:rsid w:val="0072724A"/>
    <w:rsid w:val="00727500"/>
    <w:rsid w:val="007278BE"/>
    <w:rsid w:val="0072795E"/>
    <w:rsid w:val="00727A8E"/>
    <w:rsid w:val="00727AAD"/>
    <w:rsid w:val="00730734"/>
    <w:rsid w:val="00731663"/>
    <w:rsid w:val="0073190C"/>
    <w:rsid w:val="00732AAE"/>
    <w:rsid w:val="00733A0B"/>
    <w:rsid w:val="00735616"/>
    <w:rsid w:val="00735832"/>
    <w:rsid w:val="00735CED"/>
    <w:rsid w:val="00735D2F"/>
    <w:rsid w:val="007370B9"/>
    <w:rsid w:val="00737687"/>
    <w:rsid w:val="00737ADF"/>
    <w:rsid w:val="00737FF3"/>
    <w:rsid w:val="007412B7"/>
    <w:rsid w:val="007417C1"/>
    <w:rsid w:val="00743FA8"/>
    <w:rsid w:val="00744384"/>
    <w:rsid w:val="00745614"/>
    <w:rsid w:val="00746404"/>
    <w:rsid w:val="00746AAD"/>
    <w:rsid w:val="00746FDD"/>
    <w:rsid w:val="00747187"/>
    <w:rsid w:val="00747802"/>
    <w:rsid w:val="00747E6B"/>
    <w:rsid w:val="00752B22"/>
    <w:rsid w:val="0075323A"/>
    <w:rsid w:val="007534CA"/>
    <w:rsid w:val="007539A2"/>
    <w:rsid w:val="00753BD5"/>
    <w:rsid w:val="00754BC6"/>
    <w:rsid w:val="00754E64"/>
    <w:rsid w:val="00754EBA"/>
    <w:rsid w:val="00755AC9"/>
    <w:rsid w:val="00755E3D"/>
    <w:rsid w:val="00755E92"/>
    <w:rsid w:val="00756D5F"/>
    <w:rsid w:val="0075703C"/>
    <w:rsid w:val="0075766D"/>
    <w:rsid w:val="007600CF"/>
    <w:rsid w:val="00761300"/>
    <w:rsid w:val="00761648"/>
    <w:rsid w:val="00762306"/>
    <w:rsid w:val="00762C2C"/>
    <w:rsid w:val="00763BE4"/>
    <w:rsid w:val="007664FA"/>
    <w:rsid w:val="00766E08"/>
    <w:rsid w:val="007673E5"/>
    <w:rsid w:val="007709B4"/>
    <w:rsid w:val="00770CE3"/>
    <w:rsid w:val="007717F4"/>
    <w:rsid w:val="00772FB0"/>
    <w:rsid w:val="007736F1"/>
    <w:rsid w:val="00773A00"/>
    <w:rsid w:val="007740AB"/>
    <w:rsid w:val="007745FC"/>
    <w:rsid w:val="00774862"/>
    <w:rsid w:val="00774C52"/>
    <w:rsid w:val="0077558F"/>
    <w:rsid w:val="007758BC"/>
    <w:rsid w:val="00775B4C"/>
    <w:rsid w:val="00777E38"/>
    <w:rsid w:val="00777EF4"/>
    <w:rsid w:val="00780222"/>
    <w:rsid w:val="00781458"/>
    <w:rsid w:val="00781A07"/>
    <w:rsid w:val="00782430"/>
    <w:rsid w:val="00782705"/>
    <w:rsid w:val="0078329E"/>
    <w:rsid w:val="00783B25"/>
    <w:rsid w:val="00783DAF"/>
    <w:rsid w:val="00784254"/>
    <w:rsid w:val="00785579"/>
    <w:rsid w:val="00785F35"/>
    <w:rsid w:val="00786401"/>
    <w:rsid w:val="00786740"/>
    <w:rsid w:val="007872F8"/>
    <w:rsid w:val="0078770B"/>
    <w:rsid w:val="00787844"/>
    <w:rsid w:val="00787CE5"/>
    <w:rsid w:val="00790058"/>
    <w:rsid w:val="0079298E"/>
    <w:rsid w:val="007929B2"/>
    <w:rsid w:val="00793109"/>
    <w:rsid w:val="00795A54"/>
    <w:rsid w:val="0079651E"/>
    <w:rsid w:val="00796894"/>
    <w:rsid w:val="0079771F"/>
    <w:rsid w:val="00797F9E"/>
    <w:rsid w:val="007A03BB"/>
    <w:rsid w:val="007A0840"/>
    <w:rsid w:val="007A13A3"/>
    <w:rsid w:val="007A181B"/>
    <w:rsid w:val="007A19E4"/>
    <w:rsid w:val="007A1D27"/>
    <w:rsid w:val="007A26F4"/>
    <w:rsid w:val="007A3364"/>
    <w:rsid w:val="007A492F"/>
    <w:rsid w:val="007A588C"/>
    <w:rsid w:val="007A5E3C"/>
    <w:rsid w:val="007A69BD"/>
    <w:rsid w:val="007B0818"/>
    <w:rsid w:val="007B11E2"/>
    <w:rsid w:val="007B1284"/>
    <w:rsid w:val="007B1B47"/>
    <w:rsid w:val="007B1D66"/>
    <w:rsid w:val="007B364E"/>
    <w:rsid w:val="007B4186"/>
    <w:rsid w:val="007B57D5"/>
    <w:rsid w:val="007B5EBD"/>
    <w:rsid w:val="007B652A"/>
    <w:rsid w:val="007B728C"/>
    <w:rsid w:val="007B75E8"/>
    <w:rsid w:val="007B76CC"/>
    <w:rsid w:val="007B7CD0"/>
    <w:rsid w:val="007C1E67"/>
    <w:rsid w:val="007C20DE"/>
    <w:rsid w:val="007C2D78"/>
    <w:rsid w:val="007C30D0"/>
    <w:rsid w:val="007C3554"/>
    <w:rsid w:val="007C3C6C"/>
    <w:rsid w:val="007C4075"/>
    <w:rsid w:val="007C5B2C"/>
    <w:rsid w:val="007C60A5"/>
    <w:rsid w:val="007C651B"/>
    <w:rsid w:val="007C6CAE"/>
    <w:rsid w:val="007D08CC"/>
    <w:rsid w:val="007D0E7F"/>
    <w:rsid w:val="007D11A3"/>
    <w:rsid w:val="007D14D3"/>
    <w:rsid w:val="007D17F8"/>
    <w:rsid w:val="007D351B"/>
    <w:rsid w:val="007D3EA4"/>
    <w:rsid w:val="007D459A"/>
    <w:rsid w:val="007D4F1C"/>
    <w:rsid w:val="007D5836"/>
    <w:rsid w:val="007D6BB2"/>
    <w:rsid w:val="007D7EED"/>
    <w:rsid w:val="007E0091"/>
    <w:rsid w:val="007E1169"/>
    <w:rsid w:val="007E192F"/>
    <w:rsid w:val="007E2802"/>
    <w:rsid w:val="007E2C0C"/>
    <w:rsid w:val="007E2C96"/>
    <w:rsid w:val="007E2ECC"/>
    <w:rsid w:val="007E3659"/>
    <w:rsid w:val="007E45AE"/>
    <w:rsid w:val="007E5861"/>
    <w:rsid w:val="007E5A07"/>
    <w:rsid w:val="007E7BD1"/>
    <w:rsid w:val="007F034A"/>
    <w:rsid w:val="007F0C70"/>
    <w:rsid w:val="007F1E7C"/>
    <w:rsid w:val="007F3137"/>
    <w:rsid w:val="007F481A"/>
    <w:rsid w:val="007F5133"/>
    <w:rsid w:val="007F53CF"/>
    <w:rsid w:val="007F704A"/>
    <w:rsid w:val="00801B02"/>
    <w:rsid w:val="00802642"/>
    <w:rsid w:val="00802B18"/>
    <w:rsid w:val="00802BE7"/>
    <w:rsid w:val="0080303D"/>
    <w:rsid w:val="008036E4"/>
    <w:rsid w:val="00803EEF"/>
    <w:rsid w:val="00803F20"/>
    <w:rsid w:val="00804A8B"/>
    <w:rsid w:val="00804B64"/>
    <w:rsid w:val="00805666"/>
    <w:rsid w:val="008074CC"/>
    <w:rsid w:val="00807939"/>
    <w:rsid w:val="00807B58"/>
    <w:rsid w:val="0081048E"/>
    <w:rsid w:val="008113F9"/>
    <w:rsid w:val="008117F4"/>
    <w:rsid w:val="0081292E"/>
    <w:rsid w:val="00812AC5"/>
    <w:rsid w:val="00813008"/>
    <w:rsid w:val="00813F75"/>
    <w:rsid w:val="00814168"/>
    <w:rsid w:val="008173D1"/>
    <w:rsid w:val="00817FC7"/>
    <w:rsid w:val="00821A71"/>
    <w:rsid w:val="00823084"/>
    <w:rsid w:val="008236E8"/>
    <w:rsid w:val="00823A41"/>
    <w:rsid w:val="00823BF0"/>
    <w:rsid w:val="00824E07"/>
    <w:rsid w:val="0082534D"/>
    <w:rsid w:val="00826616"/>
    <w:rsid w:val="008276DF"/>
    <w:rsid w:val="00827CE0"/>
    <w:rsid w:val="0083085B"/>
    <w:rsid w:val="00830CEA"/>
    <w:rsid w:val="00831707"/>
    <w:rsid w:val="00832C08"/>
    <w:rsid w:val="0083344E"/>
    <w:rsid w:val="008336CE"/>
    <w:rsid w:val="00833858"/>
    <w:rsid w:val="00833992"/>
    <w:rsid w:val="00834C16"/>
    <w:rsid w:val="00834C54"/>
    <w:rsid w:val="0083516B"/>
    <w:rsid w:val="00835455"/>
    <w:rsid w:val="00836085"/>
    <w:rsid w:val="008360FD"/>
    <w:rsid w:val="0083647F"/>
    <w:rsid w:val="00836645"/>
    <w:rsid w:val="00837A5D"/>
    <w:rsid w:val="00837BE6"/>
    <w:rsid w:val="00837ECB"/>
    <w:rsid w:val="0084018C"/>
    <w:rsid w:val="00840CED"/>
    <w:rsid w:val="00841092"/>
    <w:rsid w:val="00842078"/>
    <w:rsid w:val="00842408"/>
    <w:rsid w:val="00843052"/>
    <w:rsid w:val="00844E58"/>
    <w:rsid w:val="0084556F"/>
    <w:rsid w:val="00845A00"/>
    <w:rsid w:val="00846B7A"/>
    <w:rsid w:val="00847F65"/>
    <w:rsid w:val="008515D0"/>
    <w:rsid w:val="00851691"/>
    <w:rsid w:val="00854207"/>
    <w:rsid w:val="0085517B"/>
    <w:rsid w:val="0085525F"/>
    <w:rsid w:val="00855A49"/>
    <w:rsid w:val="00856137"/>
    <w:rsid w:val="00857843"/>
    <w:rsid w:val="00857B5C"/>
    <w:rsid w:val="00860095"/>
    <w:rsid w:val="008601FC"/>
    <w:rsid w:val="00860752"/>
    <w:rsid w:val="008607BB"/>
    <w:rsid w:val="00860885"/>
    <w:rsid w:val="00861045"/>
    <w:rsid w:val="00862340"/>
    <w:rsid w:val="008623A2"/>
    <w:rsid w:val="0086254F"/>
    <w:rsid w:val="008647CB"/>
    <w:rsid w:val="00865258"/>
    <w:rsid w:val="00865C32"/>
    <w:rsid w:val="00865E5C"/>
    <w:rsid w:val="00866587"/>
    <w:rsid w:val="00866B88"/>
    <w:rsid w:val="00866C65"/>
    <w:rsid w:val="00867662"/>
    <w:rsid w:val="00867AE7"/>
    <w:rsid w:val="0087056B"/>
    <w:rsid w:val="00870A7A"/>
    <w:rsid w:val="0087110A"/>
    <w:rsid w:val="008713D3"/>
    <w:rsid w:val="00871B68"/>
    <w:rsid w:val="008726D3"/>
    <w:rsid w:val="00873819"/>
    <w:rsid w:val="00873B4F"/>
    <w:rsid w:val="008745F0"/>
    <w:rsid w:val="00876401"/>
    <w:rsid w:val="00876E4E"/>
    <w:rsid w:val="008774D9"/>
    <w:rsid w:val="008800EE"/>
    <w:rsid w:val="00880108"/>
    <w:rsid w:val="008807D6"/>
    <w:rsid w:val="00881082"/>
    <w:rsid w:val="00883AB6"/>
    <w:rsid w:val="008848D0"/>
    <w:rsid w:val="00884E4C"/>
    <w:rsid w:val="00884FC8"/>
    <w:rsid w:val="00885498"/>
    <w:rsid w:val="00885F21"/>
    <w:rsid w:val="00885F48"/>
    <w:rsid w:val="00886029"/>
    <w:rsid w:val="00886655"/>
    <w:rsid w:val="00886EFF"/>
    <w:rsid w:val="00887C2C"/>
    <w:rsid w:val="0089007E"/>
    <w:rsid w:val="00891716"/>
    <w:rsid w:val="00891964"/>
    <w:rsid w:val="00892F0C"/>
    <w:rsid w:val="0089386E"/>
    <w:rsid w:val="008939E8"/>
    <w:rsid w:val="00894D64"/>
    <w:rsid w:val="00895099"/>
    <w:rsid w:val="00895F44"/>
    <w:rsid w:val="008969FB"/>
    <w:rsid w:val="00896E85"/>
    <w:rsid w:val="00897C9E"/>
    <w:rsid w:val="008A0DFF"/>
    <w:rsid w:val="008A1517"/>
    <w:rsid w:val="008A1C08"/>
    <w:rsid w:val="008A21ED"/>
    <w:rsid w:val="008A2FDE"/>
    <w:rsid w:val="008A4441"/>
    <w:rsid w:val="008A5CB9"/>
    <w:rsid w:val="008A5F73"/>
    <w:rsid w:val="008A611F"/>
    <w:rsid w:val="008A7D40"/>
    <w:rsid w:val="008A7DAC"/>
    <w:rsid w:val="008A7EDC"/>
    <w:rsid w:val="008B120E"/>
    <w:rsid w:val="008B1219"/>
    <w:rsid w:val="008B1F66"/>
    <w:rsid w:val="008B229B"/>
    <w:rsid w:val="008B4672"/>
    <w:rsid w:val="008B5C39"/>
    <w:rsid w:val="008B6059"/>
    <w:rsid w:val="008B72E0"/>
    <w:rsid w:val="008B7541"/>
    <w:rsid w:val="008B76BF"/>
    <w:rsid w:val="008C04E2"/>
    <w:rsid w:val="008C0E54"/>
    <w:rsid w:val="008C0FE2"/>
    <w:rsid w:val="008C10CC"/>
    <w:rsid w:val="008C11AE"/>
    <w:rsid w:val="008C256B"/>
    <w:rsid w:val="008C3236"/>
    <w:rsid w:val="008C3557"/>
    <w:rsid w:val="008C37D3"/>
    <w:rsid w:val="008C574D"/>
    <w:rsid w:val="008C5C48"/>
    <w:rsid w:val="008C692D"/>
    <w:rsid w:val="008C73C7"/>
    <w:rsid w:val="008D071E"/>
    <w:rsid w:val="008D0F81"/>
    <w:rsid w:val="008D15CF"/>
    <w:rsid w:val="008D39B3"/>
    <w:rsid w:val="008D42A9"/>
    <w:rsid w:val="008D42B6"/>
    <w:rsid w:val="008D469E"/>
    <w:rsid w:val="008D476A"/>
    <w:rsid w:val="008D4EA2"/>
    <w:rsid w:val="008D5502"/>
    <w:rsid w:val="008D5F68"/>
    <w:rsid w:val="008D68BD"/>
    <w:rsid w:val="008D6BEE"/>
    <w:rsid w:val="008D75B6"/>
    <w:rsid w:val="008D7CD6"/>
    <w:rsid w:val="008E0CBD"/>
    <w:rsid w:val="008E13A0"/>
    <w:rsid w:val="008E1EAC"/>
    <w:rsid w:val="008E22FB"/>
    <w:rsid w:val="008E2955"/>
    <w:rsid w:val="008E34DD"/>
    <w:rsid w:val="008E3CA9"/>
    <w:rsid w:val="008E5474"/>
    <w:rsid w:val="008E6AD5"/>
    <w:rsid w:val="008E7B5C"/>
    <w:rsid w:val="008E7CAB"/>
    <w:rsid w:val="008F0B13"/>
    <w:rsid w:val="008F21E8"/>
    <w:rsid w:val="008F2B4D"/>
    <w:rsid w:val="008F3EFB"/>
    <w:rsid w:val="008F44BC"/>
    <w:rsid w:val="008F4A68"/>
    <w:rsid w:val="008F4C48"/>
    <w:rsid w:val="008F53CE"/>
    <w:rsid w:val="008F54CA"/>
    <w:rsid w:val="008F594D"/>
    <w:rsid w:val="008F5A44"/>
    <w:rsid w:val="008F615D"/>
    <w:rsid w:val="008F6C69"/>
    <w:rsid w:val="008F7739"/>
    <w:rsid w:val="00900B33"/>
    <w:rsid w:val="00900B8B"/>
    <w:rsid w:val="00900BBD"/>
    <w:rsid w:val="00900F5D"/>
    <w:rsid w:val="00901DDE"/>
    <w:rsid w:val="009023C2"/>
    <w:rsid w:val="00902845"/>
    <w:rsid w:val="00903615"/>
    <w:rsid w:val="009037FE"/>
    <w:rsid w:val="00903A0A"/>
    <w:rsid w:val="00903F25"/>
    <w:rsid w:val="00904DBD"/>
    <w:rsid w:val="00906D7D"/>
    <w:rsid w:val="00907316"/>
    <w:rsid w:val="00907C68"/>
    <w:rsid w:val="00907E4F"/>
    <w:rsid w:val="00910053"/>
    <w:rsid w:val="00910952"/>
    <w:rsid w:val="00910E91"/>
    <w:rsid w:val="009115D4"/>
    <w:rsid w:val="00912037"/>
    <w:rsid w:val="00912B97"/>
    <w:rsid w:val="00912F76"/>
    <w:rsid w:val="0091347A"/>
    <w:rsid w:val="00915460"/>
    <w:rsid w:val="00915F43"/>
    <w:rsid w:val="009162CB"/>
    <w:rsid w:val="00916368"/>
    <w:rsid w:val="00916817"/>
    <w:rsid w:val="00916A83"/>
    <w:rsid w:val="009171E9"/>
    <w:rsid w:val="0091793E"/>
    <w:rsid w:val="009179DA"/>
    <w:rsid w:val="00917C40"/>
    <w:rsid w:val="009206A9"/>
    <w:rsid w:val="00920CD2"/>
    <w:rsid w:val="009211A1"/>
    <w:rsid w:val="009222ED"/>
    <w:rsid w:val="009225A6"/>
    <w:rsid w:val="00924160"/>
    <w:rsid w:val="009245C0"/>
    <w:rsid w:val="00924786"/>
    <w:rsid w:val="00924D4E"/>
    <w:rsid w:val="00924E2B"/>
    <w:rsid w:val="00925251"/>
    <w:rsid w:val="00925F1E"/>
    <w:rsid w:val="00926D0D"/>
    <w:rsid w:val="0092716B"/>
    <w:rsid w:val="00927404"/>
    <w:rsid w:val="00927B8B"/>
    <w:rsid w:val="00930156"/>
    <w:rsid w:val="00930B6C"/>
    <w:rsid w:val="00931159"/>
    <w:rsid w:val="00931A36"/>
    <w:rsid w:val="0093408B"/>
    <w:rsid w:val="009340C6"/>
    <w:rsid w:val="00934238"/>
    <w:rsid w:val="00934BF7"/>
    <w:rsid w:val="00934D94"/>
    <w:rsid w:val="009357F1"/>
    <w:rsid w:val="00935820"/>
    <w:rsid w:val="00935B1B"/>
    <w:rsid w:val="009360C0"/>
    <w:rsid w:val="009366F8"/>
    <w:rsid w:val="00936D3B"/>
    <w:rsid w:val="00936FB1"/>
    <w:rsid w:val="009370C7"/>
    <w:rsid w:val="00937690"/>
    <w:rsid w:val="00937B08"/>
    <w:rsid w:val="009401AC"/>
    <w:rsid w:val="009403CE"/>
    <w:rsid w:val="0094111F"/>
    <w:rsid w:val="0094191A"/>
    <w:rsid w:val="00941FE4"/>
    <w:rsid w:val="0094207E"/>
    <w:rsid w:val="009420A9"/>
    <w:rsid w:val="00944826"/>
    <w:rsid w:val="009449C8"/>
    <w:rsid w:val="00944EAF"/>
    <w:rsid w:val="00945B0A"/>
    <w:rsid w:val="00945C1D"/>
    <w:rsid w:val="00946511"/>
    <w:rsid w:val="00946C60"/>
    <w:rsid w:val="00946E28"/>
    <w:rsid w:val="009473B1"/>
    <w:rsid w:val="00947FBD"/>
    <w:rsid w:val="009511D4"/>
    <w:rsid w:val="009520C2"/>
    <w:rsid w:val="00952EBB"/>
    <w:rsid w:val="009553D8"/>
    <w:rsid w:val="00955709"/>
    <w:rsid w:val="0095593D"/>
    <w:rsid w:val="00955E53"/>
    <w:rsid w:val="009578F0"/>
    <w:rsid w:val="00957D09"/>
    <w:rsid w:val="00957FC8"/>
    <w:rsid w:val="0096052C"/>
    <w:rsid w:val="00961314"/>
    <w:rsid w:val="0096159B"/>
    <w:rsid w:val="00961758"/>
    <w:rsid w:val="00961CE5"/>
    <w:rsid w:val="009623A2"/>
    <w:rsid w:val="00964416"/>
    <w:rsid w:val="00964590"/>
    <w:rsid w:val="009652F8"/>
    <w:rsid w:val="00965513"/>
    <w:rsid w:val="00965818"/>
    <w:rsid w:val="00965B48"/>
    <w:rsid w:val="0096633E"/>
    <w:rsid w:val="009672FE"/>
    <w:rsid w:val="00970897"/>
    <w:rsid w:val="00971344"/>
    <w:rsid w:val="00973962"/>
    <w:rsid w:val="00973BA6"/>
    <w:rsid w:val="00973CC7"/>
    <w:rsid w:val="00974FC7"/>
    <w:rsid w:val="00976B5C"/>
    <w:rsid w:val="009776D5"/>
    <w:rsid w:val="00980749"/>
    <w:rsid w:val="009810C6"/>
    <w:rsid w:val="00981A25"/>
    <w:rsid w:val="00983571"/>
    <w:rsid w:val="00984451"/>
    <w:rsid w:val="00984C7A"/>
    <w:rsid w:val="00984D4B"/>
    <w:rsid w:val="00986115"/>
    <w:rsid w:val="00986655"/>
    <w:rsid w:val="00986C2B"/>
    <w:rsid w:val="00986FB0"/>
    <w:rsid w:val="009908AB"/>
    <w:rsid w:val="00990E39"/>
    <w:rsid w:val="0099147E"/>
    <w:rsid w:val="009920E7"/>
    <w:rsid w:val="00992452"/>
    <w:rsid w:val="00993D19"/>
    <w:rsid w:val="00993DEC"/>
    <w:rsid w:val="00994142"/>
    <w:rsid w:val="009948DE"/>
    <w:rsid w:val="009956C2"/>
    <w:rsid w:val="009959BA"/>
    <w:rsid w:val="0099630C"/>
    <w:rsid w:val="00996AEE"/>
    <w:rsid w:val="00997178"/>
    <w:rsid w:val="009A02B2"/>
    <w:rsid w:val="009A06A3"/>
    <w:rsid w:val="009A0786"/>
    <w:rsid w:val="009A08FA"/>
    <w:rsid w:val="009A0B3C"/>
    <w:rsid w:val="009A0B74"/>
    <w:rsid w:val="009A0CF6"/>
    <w:rsid w:val="009A165A"/>
    <w:rsid w:val="009A24FF"/>
    <w:rsid w:val="009A440A"/>
    <w:rsid w:val="009A4559"/>
    <w:rsid w:val="009A4EED"/>
    <w:rsid w:val="009A5116"/>
    <w:rsid w:val="009A53ED"/>
    <w:rsid w:val="009A5E6D"/>
    <w:rsid w:val="009A5EDC"/>
    <w:rsid w:val="009A6D15"/>
    <w:rsid w:val="009A73FE"/>
    <w:rsid w:val="009A75CB"/>
    <w:rsid w:val="009A793C"/>
    <w:rsid w:val="009A7D6C"/>
    <w:rsid w:val="009B1B28"/>
    <w:rsid w:val="009B1EB7"/>
    <w:rsid w:val="009B24CA"/>
    <w:rsid w:val="009B277D"/>
    <w:rsid w:val="009B2894"/>
    <w:rsid w:val="009B2D7D"/>
    <w:rsid w:val="009B362A"/>
    <w:rsid w:val="009B3BFB"/>
    <w:rsid w:val="009B5024"/>
    <w:rsid w:val="009B6EB3"/>
    <w:rsid w:val="009C05E6"/>
    <w:rsid w:val="009C1164"/>
    <w:rsid w:val="009C13C5"/>
    <w:rsid w:val="009C1620"/>
    <w:rsid w:val="009C1AFF"/>
    <w:rsid w:val="009C1EC6"/>
    <w:rsid w:val="009C21EA"/>
    <w:rsid w:val="009C28B7"/>
    <w:rsid w:val="009C334A"/>
    <w:rsid w:val="009C3367"/>
    <w:rsid w:val="009C3C87"/>
    <w:rsid w:val="009C3DFC"/>
    <w:rsid w:val="009C461F"/>
    <w:rsid w:val="009C4755"/>
    <w:rsid w:val="009C5521"/>
    <w:rsid w:val="009C6635"/>
    <w:rsid w:val="009C6780"/>
    <w:rsid w:val="009D095B"/>
    <w:rsid w:val="009D0D04"/>
    <w:rsid w:val="009D138D"/>
    <w:rsid w:val="009D15DD"/>
    <w:rsid w:val="009D1D1A"/>
    <w:rsid w:val="009D2470"/>
    <w:rsid w:val="009D247B"/>
    <w:rsid w:val="009D2BC3"/>
    <w:rsid w:val="009D2C86"/>
    <w:rsid w:val="009D3F76"/>
    <w:rsid w:val="009D4BF7"/>
    <w:rsid w:val="009D4BFA"/>
    <w:rsid w:val="009D54B5"/>
    <w:rsid w:val="009E0E57"/>
    <w:rsid w:val="009E1DBD"/>
    <w:rsid w:val="009E1DD9"/>
    <w:rsid w:val="009E22C4"/>
    <w:rsid w:val="009E35E8"/>
    <w:rsid w:val="009E44CC"/>
    <w:rsid w:val="009E4941"/>
    <w:rsid w:val="009E4989"/>
    <w:rsid w:val="009E4DF8"/>
    <w:rsid w:val="009E6A61"/>
    <w:rsid w:val="009E6EAE"/>
    <w:rsid w:val="009E790F"/>
    <w:rsid w:val="009E791C"/>
    <w:rsid w:val="009E7AE6"/>
    <w:rsid w:val="009F007D"/>
    <w:rsid w:val="009F1F0A"/>
    <w:rsid w:val="009F20C3"/>
    <w:rsid w:val="009F241F"/>
    <w:rsid w:val="009F2B94"/>
    <w:rsid w:val="009F3178"/>
    <w:rsid w:val="009F38B2"/>
    <w:rsid w:val="009F43BD"/>
    <w:rsid w:val="009F443A"/>
    <w:rsid w:val="009F4F81"/>
    <w:rsid w:val="009F5983"/>
    <w:rsid w:val="009F5D52"/>
    <w:rsid w:val="009F6112"/>
    <w:rsid w:val="00A0016D"/>
    <w:rsid w:val="00A002CA"/>
    <w:rsid w:val="00A0045B"/>
    <w:rsid w:val="00A00D01"/>
    <w:rsid w:val="00A00E95"/>
    <w:rsid w:val="00A0125D"/>
    <w:rsid w:val="00A01639"/>
    <w:rsid w:val="00A02A44"/>
    <w:rsid w:val="00A032C2"/>
    <w:rsid w:val="00A03696"/>
    <w:rsid w:val="00A04082"/>
    <w:rsid w:val="00A04087"/>
    <w:rsid w:val="00A04565"/>
    <w:rsid w:val="00A04F58"/>
    <w:rsid w:val="00A0523D"/>
    <w:rsid w:val="00A057A2"/>
    <w:rsid w:val="00A06075"/>
    <w:rsid w:val="00A06B78"/>
    <w:rsid w:val="00A07704"/>
    <w:rsid w:val="00A102CC"/>
    <w:rsid w:val="00A11B10"/>
    <w:rsid w:val="00A11BBB"/>
    <w:rsid w:val="00A11D83"/>
    <w:rsid w:val="00A12569"/>
    <w:rsid w:val="00A1296A"/>
    <w:rsid w:val="00A12B9A"/>
    <w:rsid w:val="00A12F72"/>
    <w:rsid w:val="00A13024"/>
    <w:rsid w:val="00A13623"/>
    <w:rsid w:val="00A13EE3"/>
    <w:rsid w:val="00A14124"/>
    <w:rsid w:val="00A14346"/>
    <w:rsid w:val="00A14B8F"/>
    <w:rsid w:val="00A14E5F"/>
    <w:rsid w:val="00A151C1"/>
    <w:rsid w:val="00A16A33"/>
    <w:rsid w:val="00A172D4"/>
    <w:rsid w:val="00A17D57"/>
    <w:rsid w:val="00A227D5"/>
    <w:rsid w:val="00A22A0C"/>
    <w:rsid w:val="00A22E33"/>
    <w:rsid w:val="00A23542"/>
    <w:rsid w:val="00A23C87"/>
    <w:rsid w:val="00A23E90"/>
    <w:rsid w:val="00A23FAE"/>
    <w:rsid w:val="00A24213"/>
    <w:rsid w:val="00A24771"/>
    <w:rsid w:val="00A248A6"/>
    <w:rsid w:val="00A25141"/>
    <w:rsid w:val="00A25777"/>
    <w:rsid w:val="00A261EB"/>
    <w:rsid w:val="00A26691"/>
    <w:rsid w:val="00A26CAC"/>
    <w:rsid w:val="00A272F7"/>
    <w:rsid w:val="00A2788F"/>
    <w:rsid w:val="00A27F55"/>
    <w:rsid w:val="00A30B4E"/>
    <w:rsid w:val="00A31457"/>
    <w:rsid w:val="00A32F8C"/>
    <w:rsid w:val="00A33470"/>
    <w:rsid w:val="00A33697"/>
    <w:rsid w:val="00A33EB8"/>
    <w:rsid w:val="00A34A2D"/>
    <w:rsid w:val="00A35113"/>
    <w:rsid w:val="00A354BE"/>
    <w:rsid w:val="00A357C4"/>
    <w:rsid w:val="00A35FAB"/>
    <w:rsid w:val="00A36248"/>
    <w:rsid w:val="00A369FD"/>
    <w:rsid w:val="00A374CD"/>
    <w:rsid w:val="00A37695"/>
    <w:rsid w:val="00A401E0"/>
    <w:rsid w:val="00A40F69"/>
    <w:rsid w:val="00A4101B"/>
    <w:rsid w:val="00A4175A"/>
    <w:rsid w:val="00A42876"/>
    <w:rsid w:val="00A42B45"/>
    <w:rsid w:val="00A42E03"/>
    <w:rsid w:val="00A43233"/>
    <w:rsid w:val="00A43406"/>
    <w:rsid w:val="00A45679"/>
    <w:rsid w:val="00A45F65"/>
    <w:rsid w:val="00A50554"/>
    <w:rsid w:val="00A508E4"/>
    <w:rsid w:val="00A513C5"/>
    <w:rsid w:val="00A521B6"/>
    <w:rsid w:val="00A522C8"/>
    <w:rsid w:val="00A52368"/>
    <w:rsid w:val="00A529AB"/>
    <w:rsid w:val="00A53AA7"/>
    <w:rsid w:val="00A53C2F"/>
    <w:rsid w:val="00A5426B"/>
    <w:rsid w:val="00A54575"/>
    <w:rsid w:val="00A55AFB"/>
    <w:rsid w:val="00A55FA0"/>
    <w:rsid w:val="00A569AB"/>
    <w:rsid w:val="00A56C9E"/>
    <w:rsid w:val="00A56D80"/>
    <w:rsid w:val="00A57373"/>
    <w:rsid w:val="00A57E59"/>
    <w:rsid w:val="00A601F1"/>
    <w:rsid w:val="00A60247"/>
    <w:rsid w:val="00A611F7"/>
    <w:rsid w:val="00A61389"/>
    <w:rsid w:val="00A62CED"/>
    <w:rsid w:val="00A6346F"/>
    <w:rsid w:val="00A642A0"/>
    <w:rsid w:val="00A644C0"/>
    <w:rsid w:val="00A644D1"/>
    <w:rsid w:val="00A646AA"/>
    <w:rsid w:val="00A6732F"/>
    <w:rsid w:val="00A67A07"/>
    <w:rsid w:val="00A67E5E"/>
    <w:rsid w:val="00A70717"/>
    <w:rsid w:val="00A70775"/>
    <w:rsid w:val="00A71DFE"/>
    <w:rsid w:val="00A725DA"/>
    <w:rsid w:val="00A72E35"/>
    <w:rsid w:val="00A734B7"/>
    <w:rsid w:val="00A75302"/>
    <w:rsid w:val="00A76229"/>
    <w:rsid w:val="00A777B7"/>
    <w:rsid w:val="00A77E46"/>
    <w:rsid w:val="00A81478"/>
    <w:rsid w:val="00A823AF"/>
    <w:rsid w:val="00A82B3B"/>
    <w:rsid w:val="00A82E8F"/>
    <w:rsid w:val="00A83351"/>
    <w:rsid w:val="00A83FB3"/>
    <w:rsid w:val="00A84A16"/>
    <w:rsid w:val="00A855A4"/>
    <w:rsid w:val="00A85C42"/>
    <w:rsid w:val="00A85E07"/>
    <w:rsid w:val="00A86548"/>
    <w:rsid w:val="00A9023B"/>
    <w:rsid w:val="00A908AC"/>
    <w:rsid w:val="00A912D6"/>
    <w:rsid w:val="00A915D7"/>
    <w:rsid w:val="00A91A45"/>
    <w:rsid w:val="00A91FB1"/>
    <w:rsid w:val="00A92CF3"/>
    <w:rsid w:val="00A930EB"/>
    <w:rsid w:val="00A9347C"/>
    <w:rsid w:val="00A94174"/>
    <w:rsid w:val="00A944BC"/>
    <w:rsid w:val="00A958ED"/>
    <w:rsid w:val="00A96002"/>
    <w:rsid w:val="00A9625C"/>
    <w:rsid w:val="00A9674C"/>
    <w:rsid w:val="00AA001F"/>
    <w:rsid w:val="00AA0783"/>
    <w:rsid w:val="00AA1871"/>
    <w:rsid w:val="00AA1CB8"/>
    <w:rsid w:val="00AA336F"/>
    <w:rsid w:val="00AA3404"/>
    <w:rsid w:val="00AA3417"/>
    <w:rsid w:val="00AA406D"/>
    <w:rsid w:val="00AA48AC"/>
    <w:rsid w:val="00AA59E8"/>
    <w:rsid w:val="00AA6755"/>
    <w:rsid w:val="00AA67F7"/>
    <w:rsid w:val="00AA6B1C"/>
    <w:rsid w:val="00AA6E61"/>
    <w:rsid w:val="00AA7699"/>
    <w:rsid w:val="00AB1610"/>
    <w:rsid w:val="00AB29AC"/>
    <w:rsid w:val="00AB465A"/>
    <w:rsid w:val="00AB5BF6"/>
    <w:rsid w:val="00AB5D25"/>
    <w:rsid w:val="00AB642B"/>
    <w:rsid w:val="00AB69E0"/>
    <w:rsid w:val="00AB6B78"/>
    <w:rsid w:val="00AB7D8C"/>
    <w:rsid w:val="00AC0118"/>
    <w:rsid w:val="00AC063F"/>
    <w:rsid w:val="00AC1D1D"/>
    <w:rsid w:val="00AC1F5B"/>
    <w:rsid w:val="00AC26C8"/>
    <w:rsid w:val="00AC27FC"/>
    <w:rsid w:val="00AC2DF1"/>
    <w:rsid w:val="00AC432B"/>
    <w:rsid w:val="00AC4909"/>
    <w:rsid w:val="00AC5B31"/>
    <w:rsid w:val="00AC5F2F"/>
    <w:rsid w:val="00AC64EF"/>
    <w:rsid w:val="00AC66B0"/>
    <w:rsid w:val="00AC6AB0"/>
    <w:rsid w:val="00AC6D13"/>
    <w:rsid w:val="00AD02E1"/>
    <w:rsid w:val="00AD0339"/>
    <w:rsid w:val="00AD0B49"/>
    <w:rsid w:val="00AD0E6D"/>
    <w:rsid w:val="00AD1FEC"/>
    <w:rsid w:val="00AD3059"/>
    <w:rsid w:val="00AD3F21"/>
    <w:rsid w:val="00AD40E6"/>
    <w:rsid w:val="00AD50B2"/>
    <w:rsid w:val="00AD5FEA"/>
    <w:rsid w:val="00AD760C"/>
    <w:rsid w:val="00AE08B3"/>
    <w:rsid w:val="00AE1A46"/>
    <w:rsid w:val="00AE2010"/>
    <w:rsid w:val="00AE3131"/>
    <w:rsid w:val="00AE338D"/>
    <w:rsid w:val="00AE346B"/>
    <w:rsid w:val="00AE3549"/>
    <w:rsid w:val="00AE4864"/>
    <w:rsid w:val="00AE623C"/>
    <w:rsid w:val="00AE6978"/>
    <w:rsid w:val="00AE70EE"/>
    <w:rsid w:val="00AE73E6"/>
    <w:rsid w:val="00AE7D86"/>
    <w:rsid w:val="00AE7F66"/>
    <w:rsid w:val="00AF1107"/>
    <w:rsid w:val="00AF11BE"/>
    <w:rsid w:val="00AF1568"/>
    <w:rsid w:val="00AF1880"/>
    <w:rsid w:val="00AF189D"/>
    <w:rsid w:val="00AF1E05"/>
    <w:rsid w:val="00AF2173"/>
    <w:rsid w:val="00AF2F61"/>
    <w:rsid w:val="00AF34E5"/>
    <w:rsid w:val="00AF497D"/>
    <w:rsid w:val="00AF693E"/>
    <w:rsid w:val="00AF6A00"/>
    <w:rsid w:val="00AF77B8"/>
    <w:rsid w:val="00B00024"/>
    <w:rsid w:val="00B003DF"/>
    <w:rsid w:val="00B00BCB"/>
    <w:rsid w:val="00B0130E"/>
    <w:rsid w:val="00B01C10"/>
    <w:rsid w:val="00B02010"/>
    <w:rsid w:val="00B03385"/>
    <w:rsid w:val="00B04A6D"/>
    <w:rsid w:val="00B04B86"/>
    <w:rsid w:val="00B054E1"/>
    <w:rsid w:val="00B06798"/>
    <w:rsid w:val="00B06AC2"/>
    <w:rsid w:val="00B079CD"/>
    <w:rsid w:val="00B12480"/>
    <w:rsid w:val="00B1264D"/>
    <w:rsid w:val="00B12F3A"/>
    <w:rsid w:val="00B13056"/>
    <w:rsid w:val="00B1395F"/>
    <w:rsid w:val="00B15A72"/>
    <w:rsid w:val="00B1647B"/>
    <w:rsid w:val="00B17A09"/>
    <w:rsid w:val="00B17FBE"/>
    <w:rsid w:val="00B20A33"/>
    <w:rsid w:val="00B232D5"/>
    <w:rsid w:val="00B23456"/>
    <w:rsid w:val="00B247A3"/>
    <w:rsid w:val="00B25263"/>
    <w:rsid w:val="00B257E5"/>
    <w:rsid w:val="00B258A5"/>
    <w:rsid w:val="00B25B1E"/>
    <w:rsid w:val="00B26694"/>
    <w:rsid w:val="00B268A6"/>
    <w:rsid w:val="00B26B87"/>
    <w:rsid w:val="00B279D3"/>
    <w:rsid w:val="00B318B5"/>
    <w:rsid w:val="00B31DBF"/>
    <w:rsid w:val="00B32884"/>
    <w:rsid w:val="00B32A91"/>
    <w:rsid w:val="00B3300C"/>
    <w:rsid w:val="00B34358"/>
    <w:rsid w:val="00B35B1F"/>
    <w:rsid w:val="00B35F3C"/>
    <w:rsid w:val="00B3665A"/>
    <w:rsid w:val="00B36DF8"/>
    <w:rsid w:val="00B37421"/>
    <w:rsid w:val="00B42900"/>
    <w:rsid w:val="00B42A0C"/>
    <w:rsid w:val="00B43EBA"/>
    <w:rsid w:val="00B441B1"/>
    <w:rsid w:val="00B44AF9"/>
    <w:rsid w:val="00B44E0A"/>
    <w:rsid w:val="00B451DA"/>
    <w:rsid w:val="00B45760"/>
    <w:rsid w:val="00B45AB3"/>
    <w:rsid w:val="00B461FE"/>
    <w:rsid w:val="00B46B0D"/>
    <w:rsid w:val="00B46CA4"/>
    <w:rsid w:val="00B46D5F"/>
    <w:rsid w:val="00B47937"/>
    <w:rsid w:val="00B47AFC"/>
    <w:rsid w:val="00B50511"/>
    <w:rsid w:val="00B50E91"/>
    <w:rsid w:val="00B514D8"/>
    <w:rsid w:val="00B5198E"/>
    <w:rsid w:val="00B51B0D"/>
    <w:rsid w:val="00B520C4"/>
    <w:rsid w:val="00B52669"/>
    <w:rsid w:val="00B545E2"/>
    <w:rsid w:val="00B561D4"/>
    <w:rsid w:val="00B56469"/>
    <w:rsid w:val="00B56D3B"/>
    <w:rsid w:val="00B56EE8"/>
    <w:rsid w:val="00B5718E"/>
    <w:rsid w:val="00B577B8"/>
    <w:rsid w:val="00B57965"/>
    <w:rsid w:val="00B579A0"/>
    <w:rsid w:val="00B579D3"/>
    <w:rsid w:val="00B608BC"/>
    <w:rsid w:val="00B608E1"/>
    <w:rsid w:val="00B60DA7"/>
    <w:rsid w:val="00B61823"/>
    <w:rsid w:val="00B62738"/>
    <w:rsid w:val="00B62DF7"/>
    <w:rsid w:val="00B6386B"/>
    <w:rsid w:val="00B6393B"/>
    <w:rsid w:val="00B64137"/>
    <w:rsid w:val="00B64A4C"/>
    <w:rsid w:val="00B64F23"/>
    <w:rsid w:val="00B6692E"/>
    <w:rsid w:val="00B67D85"/>
    <w:rsid w:val="00B7020F"/>
    <w:rsid w:val="00B71A85"/>
    <w:rsid w:val="00B725E9"/>
    <w:rsid w:val="00B726E8"/>
    <w:rsid w:val="00B73101"/>
    <w:rsid w:val="00B733CD"/>
    <w:rsid w:val="00B74470"/>
    <w:rsid w:val="00B74799"/>
    <w:rsid w:val="00B74ED4"/>
    <w:rsid w:val="00B75F23"/>
    <w:rsid w:val="00B75FD0"/>
    <w:rsid w:val="00B77094"/>
    <w:rsid w:val="00B77B82"/>
    <w:rsid w:val="00B77F32"/>
    <w:rsid w:val="00B80D25"/>
    <w:rsid w:val="00B815B3"/>
    <w:rsid w:val="00B81C9B"/>
    <w:rsid w:val="00B81D70"/>
    <w:rsid w:val="00B81E23"/>
    <w:rsid w:val="00B82B7E"/>
    <w:rsid w:val="00B833C0"/>
    <w:rsid w:val="00B83A9D"/>
    <w:rsid w:val="00B83EDD"/>
    <w:rsid w:val="00B844BD"/>
    <w:rsid w:val="00B846FB"/>
    <w:rsid w:val="00B855C1"/>
    <w:rsid w:val="00B85B98"/>
    <w:rsid w:val="00B85C53"/>
    <w:rsid w:val="00B86392"/>
    <w:rsid w:val="00B8677D"/>
    <w:rsid w:val="00B86ADB"/>
    <w:rsid w:val="00B872E2"/>
    <w:rsid w:val="00B87949"/>
    <w:rsid w:val="00B9013A"/>
    <w:rsid w:val="00B904B4"/>
    <w:rsid w:val="00B925F4"/>
    <w:rsid w:val="00B92EF0"/>
    <w:rsid w:val="00B9466E"/>
    <w:rsid w:val="00B966B0"/>
    <w:rsid w:val="00B9760B"/>
    <w:rsid w:val="00BA025E"/>
    <w:rsid w:val="00BA131A"/>
    <w:rsid w:val="00BA1FA9"/>
    <w:rsid w:val="00BA233F"/>
    <w:rsid w:val="00BA27A5"/>
    <w:rsid w:val="00BA2AAA"/>
    <w:rsid w:val="00BA2BF9"/>
    <w:rsid w:val="00BA3CF4"/>
    <w:rsid w:val="00BA4043"/>
    <w:rsid w:val="00BA4272"/>
    <w:rsid w:val="00BA43C8"/>
    <w:rsid w:val="00BA43FE"/>
    <w:rsid w:val="00BA476E"/>
    <w:rsid w:val="00BA7D50"/>
    <w:rsid w:val="00BB0B01"/>
    <w:rsid w:val="00BB0DE3"/>
    <w:rsid w:val="00BB12DA"/>
    <w:rsid w:val="00BB1F49"/>
    <w:rsid w:val="00BB24F8"/>
    <w:rsid w:val="00BB4B24"/>
    <w:rsid w:val="00BB6082"/>
    <w:rsid w:val="00BC019C"/>
    <w:rsid w:val="00BC17A0"/>
    <w:rsid w:val="00BC24DC"/>
    <w:rsid w:val="00BC2842"/>
    <w:rsid w:val="00BC2A21"/>
    <w:rsid w:val="00BC2B81"/>
    <w:rsid w:val="00BC3D29"/>
    <w:rsid w:val="00BC410D"/>
    <w:rsid w:val="00BC549C"/>
    <w:rsid w:val="00BC75F3"/>
    <w:rsid w:val="00BC7A33"/>
    <w:rsid w:val="00BD1661"/>
    <w:rsid w:val="00BD1CA9"/>
    <w:rsid w:val="00BD21B2"/>
    <w:rsid w:val="00BD28AA"/>
    <w:rsid w:val="00BD2B83"/>
    <w:rsid w:val="00BD2CBB"/>
    <w:rsid w:val="00BD3855"/>
    <w:rsid w:val="00BD3EEF"/>
    <w:rsid w:val="00BD53E9"/>
    <w:rsid w:val="00BD5B4F"/>
    <w:rsid w:val="00BD637F"/>
    <w:rsid w:val="00BD6865"/>
    <w:rsid w:val="00BD6E4B"/>
    <w:rsid w:val="00BD788F"/>
    <w:rsid w:val="00BD7C57"/>
    <w:rsid w:val="00BD7E64"/>
    <w:rsid w:val="00BD7E76"/>
    <w:rsid w:val="00BE08E3"/>
    <w:rsid w:val="00BE09E7"/>
    <w:rsid w:val="00BE0B3B"/>
    <w:rsid w:val="00BE0C40"/>
    <w:rsid w:val="00BE0F6D"/>
    <w:rsid w:val="00BE1627"/>
    <w:rsid w:val="00BE1696"/>
    <w:rsid w:val="00BE2943"/>
    <w:rsid w:val="00BE3B02"/>
    <w:rsid w:val="00BE4B38"/>
    <w:rsid w:val="00BE5283"/>
    <w:rsid w:val="00BE531E"/>
    <w:rsid w:val="00BE545B"/>
    <w:rsid w:val="00BE557A"/>
    <w:rsid w:val="00BE6E96"/>
    <w:rsid w:val="00BE707C"/>
    <w:rsid w:val="00BE7F74"/>
    <w:rsid w:val="00BF0104"/>
    <w:rsid w:val="00BF0AE5"/>
    <w:rsid w:val="00BF141F"/>
    <w:rsid w:val="00BF1577"/>
    <w:rsid w:val="00BF3792"/>
    <w:rsid w:val="00BF4169"/>
    <w:rsid w:val="00BF49C9"/>
    <w:rsid w:val="00BF5008"/>
    <w:rsid w:val="00BF5533"/>
    <w:rsid w:val="00BF5FF6"/>
    <w:rsid w:val="00BF6710"/>
    <w:rsid w:val="00BF6D03"/>
    <w:rsid w:val="00BF7023"/>
    <w:rsid w:val="00C0025A"/>
    <w:rsid w:val="00C018FD"/>
    <w:rsid w:val="00C02E77"/>
    <w:rsid w:val="00C035DD"/>
    <w:rsid w:val="00C0383E"/>
    <w:rsid w:val="00C04104"/>
    <w:rsid w:val="00C0492C"/>
    <w:rsid w:val="00C04C57"/>
    <w:rsid w:val="00C051F2"/>
    <w:rsid w:val="00C0523F"/>
    <w:rsid w:val="00C055CD"/>
    <w:rsid w:val="00C0590E"/>
    <w:rsid w:val="00C06647"/>
    <w:rsid w:val="00C06ED5"/>
    <w:rsid w:val="00C1026B"/>
    <w:rsid w:val="00C11AC1"/>
    <w:rsid w:val="00C11BFE"/>
    <w:rsid w:val="00C1225F"/>
    <w:rsid w:val="00C12382"/>
    <w:rsid w:val="00C123B9"/>
    <w:rsid w:val="00C12FD2"/>
    <w:rsid w:val="00C13866"/>
    <w:rsid w:val="00C13942"/>
    <w:rsid w:val="00C13EB6"/>
    <w:rsid w:val="00C13F1F"/>
    <w:rsid w:val="00C13F91"/>
    <w:rsid w:val="00C1406D"/>
    <w:rsid w:val="00C14556"/>
    <w:rsid w:val="00C15619"/>
    <w:rsid w:val="00C16DD8"/>
    <w:rsid w:val="00C16E3A"/>
    <w:rsid w:val="00C172F2"/>
    <w:rsid w:val="00C175E1"/>
    <w:rsid w:val="00C17C09"/>
    <w:rsid w:val="00C20165"/>
    <w:rsid w:val="00C2023E"/>
    <w:rsid w:val="00C207E2"/>
    <w:rsid w:val="00C21218"/>
    <w:rsid w:val="00C2159B"/>
    <w:rsid w:val="00C2272A"/>
    <w:rsid w:val="00C22A40"/>
    <w:rsid w:val="00C23084"/>
    <w:rsid w:val="00C244E2"/>
    <w:rsid w:val="00C258BC"/>
    <w:rsid w:val="00C25E1F"/>
    <w:rsid w:val="00C264CF"/>
    <w:rsid w:val="00C27639"/>
    <w:rsid w:val="00C30252"/>
    <w:rsid w:val="00C30EE3"/>
    <w:rsid w:val="00C31341"/>
    <w:rsid w:val="00C33729"/>
    <w:rsid w:val="00C33B9B"/>
    <w:rsid w:val="00C33CFD"/>
    <w:rsid w:val="00C34045"/>
    <w:rsid w:val="00C3543B"/>
    <w:rsid w:val="00C35598"/>
    <w:rsid w:val="00C35860"/>
    <w:rsid w:val="00C35B96"/>
    <w:rsid w:val="00C35EF3"/>
    <w:rsid w:val="00C3626E"/>
    <w:rsid w:val="00C3649C"/>
    <w:rsid w:val="00C36F05"/>
    <w:rsid w:val="00C375A3"/>
    <w:rsid w:val="00C3787A"/>
    <w:rsid w:val="00C3796E"/>
    <w:rsid w:val="00C37BC1"/>
    <w:rsid w:val="00C40CF6"/>
    <w:rsid w:val="00C4143E"/>
    <w:rsid w:val="00C415B2"/>
    <w:rsid w:val="00C41751"/>
    <w:rsid w:val="00C41B7E"/>
    <w:rsid w:val="00C44579"/>
    <w:rsid w:val="00C45879"/>
    <w:rsid w:val="00C45BD5"/>
    <w:rsid w:val="00C46B22"/>
    <w:rsid w:val="00C46D9D"/>
    <w:rsid w:val="00C50A8D"/>
    <w:rsid w:val="00C50C60"/>
    <w:rsid w:val="00C52280"/>
    <w:rsid w:val="00C5293B"/>
    <w:rsid w:val="00C53145"/>
    <w:rsid w:val="00C532CF"/>
    <w:rsid w:val="00C54FCE"/>
    <w:rsid w:val="00C55073"/>
    <w:rsid w:val="00C5626E"/>
    <w:rsid w:val="00C564E2"/>
    <w:rsid w:val="00C565B0"/>
    <w:rsid w:val="00C5680F"/>
    <w:rsid w:val="00C568E5"/>
    <w:rsid w:val="00C578D9"/>
    <w:rsid w:val="00C57971"/>
    <w:rsid w:val="00C57E0C"/>
    <w:rsid w:val="00C603A1"/>
    <w:rsid w:val="00C60F41"/>
    <w:rsid w:val="00C6219A"/>
    <w:rsid w:val="00C62A86"/>
    <w:rsid w:val="00C63F2C"/>
    <w:rsid w:val="00C648D8"/>
    <w:rsid w:val="00C654ED"/>
    <w:rsid w:val="00C65AE4"/>
    <w:rsid w:val="00C66729"/>
    <w:rsid w:val="00C673CB"/>
    <w:rsid w:val="00C67832"/>
    <w:rsid w:val="00C71677"/>
    <w:rsid w:val="00C72EF5"/>
    <w:rsid w:val="00C73ED4"/>
    <w:rsid w:val="00C748BD"/>
    <w:rsid w:val="00C7527A"/>
    <w:rsid w:val="00C75DF4"/>
    <w:rsid w:val="00C761DA"/>
    <w:rsid w:val="00C7679D"/>
    <w:rsid w:val="00C76BA7"/>
    <w:rsid w:val="00C76C7F"/>
    <w:rsid w:val="00C77376"/>
    <w:rsid w:val="00C7757B"/>
    <w:rsid w:val="00C77664"/>
    <w:rsid w:val="00C778FA"/>
    <w:rsid w:val="00C810A4"/>
    <w:rsid w:val="00C81247"/>
    <w:rsid w:val="00C81E5A"/>
    <w:rsid w:val="00C8272F"/>
    <w:rsid w:val="00C8285D"/>
    <w:rsid w:val="00C82B0B"/>
    <w:rsid w:val="00C83056"/>
    <w:rsid w:val="00C8320C"/>
    <w:rsid w:val="00C837E1"/>
    <w:rsid w:val="00C83D40"/>
    <w:rsid w:val="00C84F40"/>
    <w:rsid w:val="00C852FB"/>
    <w:rsid w:val="00C85D92"/>
    <w:rsid w:val="00C8693E"/>
    <w:rsid w:val="00C86A02"/>
    <w:rsid w:val="00C86EA1"/>
    <w:rsid w:val="00C86EF5"/>
    <w:rsid w:val="00C87A9E"/>
    <w:rsid w:val="00C87D27"/>
    <w:rsid w:val="00C90D5C"/>
    <w:rsid w:val="00C90FF8"/>
    <w:rsid w:val="00C915C9"/>
    <w:rsid w:val="00C91A93"/>
    <w:rsid w:val="00C91E2B"/>
    <w:rsid w:val="00C92E9D"/>
    <w:rsid w:val="00C9338A"/>
    <w:rsid w:val="00C94F3E"/>
    <w:rsid w:val="00C94FA7"/>
    <w:rsid w:val="00C9518F"/>
    <w:rsid w:val="00C957BB"/>
    <w:rsid w:val="00C961BF"/>
    <w:rsid w:val="00C9702E"/>
    <w:rsid w:val="00C97231"/>
    <w:rsid w:val="00C97780"/>
    <w:rsid w:val="00C97952"/>
    <w:rsid w:val="00C97C57"/>
    <w:rsid w:val="00C97D57"/>
    <w:rsid w:val="00C97DC5"/>
    <w:rsid w:val="00CA11EE"/>
    <w:rsid w:val="00CA206F"/>
    <w:rsid w:val="00CA258A"/>
    <w:rsid w:val="00CA2B7B"/>
    <w:rsid w:val="00CA33EE"/>
    <w:rsid w:val="00CA3CAE"/>
    <w:rsid w:val="00CA3D71"/>
    <w:rsid w:val="00CA4D82"/>
    <w:rsid w:val="00CA5457"/>
    <w:rsid w:val="00CA6E36"/>
    <w:rsid w:val="00CA7765"/>
    <w:rsid w:val="00CB1129"/>
    <w:rsid w:val="00CB13BF"/>
    <w:rsid w:val="00CB16AD"/>
    <w:rsid w:val="00CB2775"/>
    <w:rsid w:val="00CB2ADE"/>
    <w:rsid w:val="00CB2DE2"/>
    <w:rsid w:val="00CB2F09"/>
    <w:rsid w:val="00CB2FBF"/>
    <w:rsid w:val="00CB321B"/>
    <w:rsid w:val="00CB33B3"/>
    <w:rsid w:val="00CB4D37"/>
    <w:rsid w:val="00CB5309"/>
    <w:rsid w:val="00CB682E"/>
    <w:rsid w:val="00CB6B8E"/>
    <w:rsid w:val="00CB6CFE"/>
    <w:rsid w:val="00CB77B0"/>
    <w:rsid w:val="00CB7FF9"/>
    <w:rsid w:val="00CC0284"/>
    <w:rsid w:val="00CC034D"/>
    <w:rsid w:val="00CC0982"/>
    <w:rsid w:val="00CC21C5"/>
    <w:rsid w:val="00CC22DC"/>
    <w:rsid w:val="00CC286D"/>
    <w:rsid w:val="00CC2DE7"/>
    <w:rsid w:val="00CC3973"/>
    <w:rsid w:val="00CC3C37"/>
    <w:rsid w:val="00CC5710"/>
    <w:rsid w:val="00CC5718"/>
    <w:rsid w:val="00CC5FE4"/>
    <w:rsid w:val="00CC7402"/>
    <w:rsid w:val="00CC79A4"/>
    <w:rsid w:val="00CC7CE8"/>
    <w:rsid w:val="00CD0FF4"/>
    <w:rsid w:val="00CD1676"/>
    <w:rsid w:val="00CD2276"/>
    <w:rsid w:val="00CD243B"/>
    <w:rsid w:val="00CD2B52"/>
    <w:rsid w:val="00CD3A4B"/>
    <w:rsid w:val="00CD462A"/>
    <w:rsid w:val="00CD496E"/>
    <w:rsid w:val="00CD56AF"/>
    <w:rsid w:val="00CD5736"/>
    <w:rsid w:val="00CD5E19"/>
    <w:rsid w:val="00CD6218"/>
    <w:rsid w:val="00CD6A35"/>
    <w:rsid w:val="00CD741B"/>
    <w:rsid w:val="00CD792E"/>
    <w:rsid w:val="00CD7F50"/>
    <w:rsid w:val="00CE07D5"/>
    <w:rsid w:val="00CE0BF5"/>
    <w:rsid w:val="00CE105B"/>
    <w:rsid w:val="00CE1436"/>
    <w:rsid w:val="00CE1F62"/>
    <w:rsid w:val="00CE2D90"/>
    <w:rsid w:val="00CE2DCD"/>
    <w:rsid w:val="00CE423B"/>
    <w:rsid w:val="00CE563C"/>
    <w:rsid w:val="00CE6DAD"/>
    <w:rsid w:val="00CE78C0"/>
    <w:rsid w:val="00CE7B37"/>
    <w:rsid w:val="00CF0922"/>
    <w:rsid w:val="00CF2D63"/>
    <w:rsid w:val="00CF2FC9"/>
    <w:rsid w:val="00CF3C4C"/>
    <w:rsid w:val="00CF4A64"/>
    <w:rsid w:val="00CF5436"/>
    <w:rsid w:val="00CF57F2"/>
    <w:rsid w:val="00CF67EF"/>
    <w:rsid w:val="00CF6AA9"/>
    <w:rsid w:val="00CF6BE4"/>
    <w:rsid w:val="00CF6D1A"/>
    <w:rsid w:val="00CF6E2F"/>
    <w:rsid w:val="00CF713E"/>
    <w:rsid w:val="00CF71F6"/>
    <w:rsid w:val="00CF7579"/>
    <w:rsid w:val="00CF782C"/>
    <w:rsid w:val="00CF7BE5"/>
    <w:rsid w:val="00D0031B"/>
    <w:rsid w:val="00D00B55"/>
    <w:rsid w:val="00D0143C"/>
    <w:rsid w:val="00D01A39"/>
    <w:rsid w:val="00D02559"/>
    <w:rsid w:val="00D0311F"/>
    <w:rsid w:val="00D03CA4"/>
    <w:rsid w:val="00D046B1"/>
    <w:rsid w:val="00D04824"/>
    <w:rsid w:val="00D05DA5"/>
    <w:rsid w:val="00D05E55"/>
    <w:rsid w:val="00D06574"/>
    <w:rsid w:val="00D10206"/>
    <w:rsid w:val="00D107A4"/>
    <w:rsid w:val="00D11BAE"/>
    <w:rsid w:val="00D12380"/>
    <w:rsid w:val="00D1248E"/>
    <w:rsid w:val="00D12BC7"/>
    <w:rsid w:val="00D12D54"/>
    <w:rsid w:val="00D135C2"/>
    <w:rsid w:val="00D15388"/>
    <w:rsid w:val="00D1664A"/>
    <w:rsid w:val="00D173B3"/>
    <w:rsid w:val="00D201C0"/>
    <w:rsid w:val="00D20512"/>
    <w:rsid w:val="00D20668"/>
    <w:rsid w:val="00D20EF0"/>
    <w:rsid w:val="00D21536"/>
    <w:rsid w:val="00D21E19"/>
    <w:rsid w:val="00D21EDC"/>
    <w:rsid w:val="00D231F3"/>
    <w:rsid w:val="00D2416A"/>
    <w:rsid w:val="00D24579"/>
    <w:rsid w:val="00D24849"/>
    <w:rsid w:val="00D24ADE"/>
    <w:rsid w:val="00D24F6C"/>
    <w:rsid w:val="00D24FFF"/>
    <w:rsid w:val="00D25404"/>
    <w:rsid w:val="00D25879"/>
    <w:rsid w:val="00D25AB3"/>
    <w:rsid w:val="00D25FC6"/>
    <w:rsid w:val="00D261AF"/>
    <w:rsid w:val="00D275D6"/>
    <w:rsid w:val="00D27B80"/>
    <w:rsid w:val="00D3063B"/>
    <w:rsid w:val="00D307C6"/>
    <w:rsid w:val="00D31973"/>
    <w:rsid w:val="00D32362"/>
    <w:rsid w:val="00D33F89"/>
    <w:rsid w:val="00D348EE"/>
    <w:rsid w:val="00D34BE8"/>
    <w:rsid w:val="00D34C6B"/>
    <w:rsid w:val="00D3513E"/>
    <w:rsid w:val="00D3651A"/>
    <w:rsid w:val="00D36B8E"/>
    <w:rsid w:val="00D3712C"/>
    <w:rsid w:val="00D3721C"/>
    <w:rsid w:val="00D37B3A"/>
    <w:rsid w:val="00D40926"/>
    <w:rsid w:val="00D40BE4"/>
    <w:rsid w:val="00D41205"/>
    <w:rsid w:val="00D41E38"/>
    <w:rsid w:val="00D422BD"/>
    <w:rsid w:val="00D42971"/>
    <w:rsid w:val="00D44694"/>
    <w:rsid w:val="00D44B2E"/>
    <w:rsid w:val="00D455CB"/>
    <w:rsid w:val="00D456B1"/>
    <w:rsid w:val="00D46935"/>
    <w:rsid w:val="00D46CB2"/>
    <w:rsid w:val="00D474F3"/>
    <w:rsid w:val="00D506A0"/>
    <w:rsid w:val="00D5170D"/>
    <w:rsid w:val="00D51E6F"/>
    <w:rsid w:val="00D53B3B"/>
    <w:rsid w:val="00D53E77"/>
    <w:rsid w:val="00D5437A"/>
    <w:rsid w:val="00D544D5"/>
    <w:rsid w:val="00D544FD"/>
    <w:rsid w:val="00D559DD"/>
    <w:rsid w:val="00D5723A"/>
    <w:rsid w:val="00D57248"/>
    <w:rsid w:val="00D57FEB"/>
    <w:rsid w:val="00D61940"/>
    <w:rsid w:val="00D620A6"/>
    <w:rsid w:val="00D6358D"/>
    <w:rsid w:val="00D64C22"/>
    <w:rsid w:val="00D660B9"/>
    <w:rsid w:val="00D66754"/>
    <w:rsid w:val="00D66F59"/>
    <w:rsid w:val="00D70275"/>
    <w:rsid w:val="00D70A84"/>
    <w:rsid w:val="00D71507"/>
    <w:rsid w:val="00D718DC"/>
    <w:rsid w:val="00D72959"/>
    <w:rsid w:val="00D73F80"/>
    <w:rsid w:val="00D7478E"/>
    <w:rsid w:val="00D74FBB"/>
    <w:rsid w:val="00D750E3"/>
    <w:rsid w:val="00D753B2"/>
    <w:rsid w:val="00D755CA"/>
    <w:rsid w:val="00D764DB"/>
    <w:rsid w:val="00D77E3D"/>
    <w:rsid w:val="00D810C5"/>
    <w:rsid w:val="00D81F52"/>
    <w:rsid w:val="00D8205B"/>
    <w:rsid w:val="00D8302A"/>
    <w:rsid w:val="00D83996"/>
    <w:rsid w:val="00D83E3D"/>
    <w:rsid w:val="00D849BF"/>
    <w:rsid w:val="00D8590B"/>
    <w:rsid w:val="00D86FFB"/>
    <w:rsid w:val="00D90BB4"/>
    <w:rsid w:val="00D927D0"/>
    <w:rsid w:val="00D92FD1"/>
    <w:rsid w:val="00D93012"/>
    <w:rsid w:val="00D94EC8"/>
    <w:rsid w:val="00D95267"/>
    <w:rsid w:val="00D9678F"/>
    <w:rsid w:val="00D97790"/>
    <w:rsid w:val="00D97D5B"/>
    <w:rsid w:val="00DA0D61"/>
    <w:rsid w:val="00DA2738"/>
    <w:rsid w:val="00DA30FF"/>
    <w:rsid w:val="00DA3313"/>
    <w:rsid w:val="00DA37CE"/>
    <w:rsid w:val="00DA4F89"/>
    <w:rsid w:val="00DA616F"/>
    <w:rsid w:val="00DA707F"/>
    <w:rsid w:val="00DA71B4"/>
    <w:rsid w:val="00DA72EE"/>
    <w:rsid w:val="00DB03B0"/>
    <w:rsid w:val="00DB1289"/>
    <w:rsid w:val="00DB371D"/>
    <w:rsid w:val="00DB38E8"/>
    <w:rsid w:val="00DB51F3"/>
    <w:rsid w:val="00DB55F9"/>
    <w:rsid w:val="00DB57F7"/>
    <w:rsid w:val="00DB637D"/>
    <w:rsid w:val="00DB6F35"/>
    <w:rsid w:val="00DB73CC"/>
    <w:rsid w:val="00DC0936"/>
    <w:rsid w:val="00DC1C3A"/>
    <w:rsid w:val="00DC33F1"/>
    <w:rsid w:val="00DC53EB"/>
    <w:rsid w:val="00DC5581"/>
    <w:rsid w:val="00DC60EB"/>
    <w:rsid w:val="00DC6130"/>
    <w:rsid w:val="00DC67B5"/>
    <w:rsid w:val="00DC6964"/>
    <w:rsid w:val="00DC6A44"/>
    <w:rsid w:val="00DC6B80"/>
    <w:rsid w:val="00DC7375"/>
    <w:rsid w:val="00DD01A4"/>
    <w:rsid w:val="00DD0EB4"/>
    <w:rsid w:val="00DD1EBC"/>
    <w:rsid w:val="00DD259C"/>
    <w:rsid w:val="00DD26EB"/>
    <w:rsid w:val="00DD2A5D"/>
    <w:rsid w:val="00DD2F68"/>
    <w:rsid w:val="00DD30AF"/>
    <w:rsid w:val="00DD3A7D"/>
    <w:rsid w:val="00DD3E37"/>
    <w:rsid w:val="00DD4121"/>
    <w:rsid w:val="00DD4B69"/>
    <w:rsid w:val="00DD4BF5"/>
    <w:rsid w:val="00DD4D91"/>
    <w:rsid w:val="00DD51B2"/>
    <w:rsid w:val="00DD51D3"/>
    <w:rsid w:val="00DD5373"/>
    <w:rsid w:val="00DD59E7"/>
    <w:rsid w:val="00DD5B1B"/>
    <w:rsid w:val="00DD5FCF"/>
    <w:rsid w:val="00DD6E90"/>
    <w:rsid w:val="00DD749E"/>
    <w:rsid w:val="00DE0411"/>
    <w:rsid w:val="00DE0AEF"/>
    <w:rsid w:val="00DE1231"/>
    <w:rsid w:val="00DE1409"/>
    <w:rsid w:val="00DE19DF"/>
    <w:rsid w:val="00DE269E"/>
    <w:rsid w:val="00DE3901"/>
    <w:rsid w:val="00DE40E9"/>
    <w:rsid w:val="00DE4B55"/>
    <w:rsid w:val="00DE59E8"/>
    <w:rsid w:val="00DE5D31"/>
    <w:rsid w:val="00DE603A"/>
    <w:rsid w:val="00DE6F95"/>
    <w:rsid w:val="00DE74BA"/>
    <w:rsid w:val="00DF06BF"/>
    <w:rsid w:val="00DF1583"/>
    <w:rsid w:val="00DF16CE"/>
    <w:rsid w:val="00DF1E39"/>
    <w:rsid w:val="00DF2010"/>
    <w:rsid w:val="00DF26B4"/>
    <w:rsid w:val="00DF2906"/>
    <w:rsid w:val="00DF3106"/>
    <w:rsid w:val="00DF3116"/>
    <w:rsid w:val="00DF51DD"/>
    <w:rsid w:val="00DF5BB0"/>
    <w:rsid w:val="00DF6169"/>
    <w:rsid w:val="00DF731C"/>
    <w:rsid w:val="00DF7427"/>
    <w:rsid w:val="00DF7B0A"/>
    <w:rsid w:val="00E01A51"/>
    <w:rsid w:val="00E02454"/>
    <w:rsid w:val="00E027FC"/>
    <w:rsid w:val="00E0321F"/>
    <w:rsid w:val="00E03B56"/>
    <w:rsid w:val="00E03DCC"/>
    <w:rsid w:val="00E055E0"/>
    <w:rsid w:val="00E05BDE"/>
    <w:rsid w:val="00E05DF6"/>
    <w:rsid w:val="00E06021"/>
    <w:rsid w:val="00E067E8"/>
    <w:rsid w:val="00E069FB"/>
    <w:rsid w:val="00E06B79"/>
    <w:rsid w:val="00E06BC3"/>
    <w:rsid w:val="00E1002A"/>
    <w:rsid w:val="00E12084"/>
    <w:rsid w:val="00E123A4"/>
    <w:rsid w:val="00E12CD8"/>
    <w:rsid w:val="00E12D24"/>
    <w:rsid w:val="00E138CB"/>
    <w:rsid w:val="00E1465A"/>
    <w:rsid w:val="00E1482A"/>
    <w:rsid w:val="00E155CF"/>
    <w:rsid w:val="00E15F33"/>
    <w:rsid w:val="00E162C8"/>
    <w:rsid w:val="00E1632E"/>
    <w:rsid w:val="00E16642"/>
    <w:rsid w:val="00E1669C"/>
    <w:rsid w:val="00E166E9"/>
    <w:rsid w:val="00E167CE"/>
    <w:rsid w:val="00E1721D"/>
    <w:rsid w:val="00E17C27"/>
    <w:rsid w:val="00E2017E"/>
    <w:rsid w:val="00E208B6"/>
    <w:rsid w:val="00E21355"/>
    <w:rsid w:val="00E21386"/>
    <w:rsid w:val="00E213A9"/>
    <w:rsid w:val="00E21786"/>
    <w:rsid w:val="00E21906"/>
    <w:rsid w:val="00E224E3"/>
    <w:rsid w:val="00E22654"/>
    <w:rsid w:val="00E22AE4"/>
    <w:rsid w:val="00E23F3C"/>
    <w:rsid w:val="00E24843"/>
    <w:rsid w:val="00E24DEC"/>
    <w:rsid w:val="00E25890"/>
    <w:rsid w:val="00E259A8"/>
    <w:rsid w:val="00E25CBA"/>
    <w:rsid w:val="00E260E0"/>
    <w:rsid w:val="00E2647D"/>
    <w:rsid w:val="00E266BB"/>
    <w:rsid w:val="00E26A24"/>
    <w:rsid w:val="00E27CEC"/>
    <w:rsid w:val="00E3125A"/>
    <w:rsid w:val="00E312A1"/>
    <w:rsid w:val="00E31E64"/>
    <w:rsid w:val="00E31E79"/>
    <w:rsid w:val="00E3407E"/>
    <w:rsid w:val="00E3442D"/>
    <w:rsid w:val="00E35F1F"/>
    <w:rsid w:val="00E361DA"/>
    <w:rsid w:val="00E36272"/>
    <w:rsid w:val="00E36BA9"/>
    <w:rsid w:val="00E36F70"/>
    <w:rsid w:val="00E37FBC"/>
    <w:rsid w:val="00E40436"/>
    <w:rsid w:val="00E4182E"/>
    <w:rsid w:val="00E41B99"/>
    <w:rsid w:val="00E421FC"/>
    <w:rsid w:val="00E4222B"/>
    <w:rsid w:val="00E42C15"/>
    <w:rsid w:val="00E43D6B"/>
    <w:rsid w:val="00E43F1D"/>
    <w:rsid w:val="00E45110"/>
    <w:rsid w:val="00E469D4"/>
    <w:rsid w:val="00E46F37"/>
    <w:rsid w:val="00E470BB"/>
    <w:rsid w:val="00E50416"/>
    <w:rsid w:val="00E5087C"/>
    <w:rsid w:val="00E50BDA"/>
    <w:rsid w:val="00E513EA"/>
    <w:rsid w:val="00E51795"/>
    <w:rsid w:val="00E51A0E"/>
    <w:rsid w:val="00E521DB"/>
    <w:rsid w:val="00E52216"/>
    <w:rsid w:val="00E53A64"/>
    <w:rsid w:val="00E53BB8"/>
    <w:rsid w:val="00E54376"/>
    <w:rsid w:val="00E54AFB"/>
    <w:rsid w:val="00E54F3E"/>
    <w:rsid w:val="00E561C2"/>
    <w:rsid w:val="00E571C8"/>
    <w:rsid w:val="00E60929"/>
    <w:rsid w:val="00E60E81"/>
    <w:rsid w:val="00E61067"/>
    <w:rsid w:val="00E61E17"/>
    <w:rsid w:val="00E6324E"/>
    <w:rsid w:val="00E661E1"/>
    <w:rsid w:val="00E663DE"/>
    <w:rsid w:val="00E664EB"/>
    <w:rsid w:val="00E6665C"/>
    <w:rsid w:val="00E669F0"/>
    <w:rsid w:val="00E67369"/>
    <w:rsid w:val="00E71AF7"/>
    <w:rsid w:val="00E72802"/>
    <w:rsid w:val="00E72A1B"/>
    <w:rsid w:val="00E72ED7"/>
    <w:rsid w:val="00E72F28"/>
    <w:rsid w:val="00E7425A"/>
    <w:rsid w:val="00E745DC"/>
    <w:rsid w:val="00E74772"/>
    <w:rsid w:val="00E747BA"/>
    <w:rsid w:val="00E76647"/>
    <w:rsid w:val="00E77071"/>
    <w:rsid w:val="00E805E0"/>
    <w:rsid w:val="00E811A5"/>
    <w:rsid w:val="00E8263A"/>
    <w:rsid w:val="00E8298B"/>
    <w:rsid w:val="00E82B67"/>
    <w:rsid w:val="00E83FEC"/>
    <w:rsid w:val="00E85669"/>
    <w:rsid w:val="00E86066"/>
    <w:rsid w:val="00E870FB"/>
    <w:rsid w:val="00E873A2"/>
    <w:rsid w:val="00E87A94"/>
    <w:rsid w:val="00E903A6"/>
    <w:rsid w:val="00E91183"/>
    <w:rsid w:val="00E912DD"/>
    <w:rsid w:val="00E9177D"/>
    <w:rsid w:val="00E9231D"/>
    <w:rsid w:val="00E923C6"/>
    <w:rsid w:val="00E925C8"/>
    <w:rsid w:val="00E929E0"/>
    <w:rsid w:val="00E92A43"/>
    <w:rsid w:val="00E92C08"/>
    <w:rsid w:val="00E92DB5"/>
    <w:rsid w:val="00E946AB"/>
    <w:rsid w:val="00E94D7C"/>
    <w:rsid w:val="00E950CE"/>
    <w:rsid w:val="00E95E36"/>
    <w:rsid w:val="00E97ADC"/>
    <w:rsid w:val="00EA05E0"/>
    <w:rsid w:val="00EA0738"/>
    <w:rsid w:val="00EA09C4"/>
    <w:rsid w:val="00EA0C91"/>
    <w:rsid w:val="00EA0CB7"/>
    <w:rsid w:val="00EA1E79"/>
    <w:rsid w:val="00EA21FC"/>
    <w:rsid w:val="00EA254C"/>
    <w:rsid w:val="00EA2EB9"/>
    <w:rsid w:val="00EA35A5"/>
    <w:rsid w:val="00EA3DEA"/>
    <w:rsid w:val="00EA4210"/>
    <w:rsid w:val="00EA6780"/>
    <w:rsid w:val="00EA6882"/>
    <w:rsid w:val="00EA6CF5"/>
    <w:rsid w:val="00EA6F58"/>
    <w:rsid w:val="00EA71D4"/>
    <w:rsid w:val="00EA7E4C"/>
    <w:rsid w:val="00EA7F8C"/>
    <w:rsid w:val="00EB11AB"/>
    <w:rsid w:val="00EB1540"/>
    <w:rsid w:val="00EB1BB5"/>
    <w:rsid w:val="00EB2294"/>
    <w:rsid w:val="00EB42DA"/>
    <w:rsid w:val="00EB4627"/>
    <w:rsid w:val="00EB4B0C"/>
    <w:rsid w:val="00EB51F7"/>
    <w:rsid w:val="00EB6358"/>
    <w:rsid w:val="00EB6360"/>
    <w:rsid w:val="00EB6969"/>
    <w:rsid w:val="00EB6B0C"/>
    <w:rsid w:val="00EB6EC7"/>
    <w:rsid w:val="00EC016F"/>
    <w:rsid w:val="00EC0B57"/>
    <w:rsid w:val="00EC113A"/>
    <w:rsid w:val="00EC11FE"/>
    <w:rsid w:val="00EC1C20"/>
    <w:rsid w:val="00EC1EF0"/>
    <w:rsid w:val="00EC21D9"/>
    <w:rsid w:val="00EC2AB7"/>
    <w:rsid w:val="00EC43EB"/>
    <w:rsid w:val="00EC494A"/>
    <w:rsid w:val="00EC4A98"/>
    <w:rsid w:val="00EC4CFB"/>
    <w:rsid w:val="00EC51BF"/>
    <w:rsid w:val="00EC53E1"/>
    <w:rsid w:val="00EC55F9"/>
    <w:rsid w:val="00EC581F"/>
    <w:rsid w:val="00EC5D9B"/>
    <w:rsid w:val="00EC602F"/>
    <w:rsid w:val="00EC6775"/>
    <w:rsid w:val="00EC6EF7"/>
    <w:rsid w:val="00EC73A2"/>
    <w:rsid w:val="00ED0425"/>
    <w:rsid w:val="00ED0694"/>
    <w:rsid w:val="00ED0F21"/>
    <w:rsid w:val="00ED123D"/>
    <w:rsid w:val="00ED1817"/>
    <w:rsid w:val="00ED1C19"/>
    <w:rsid w:val="00ED1D03"/>
    <w:rsid w:val="00ED1F65"/>
    <w:rsid w:val="00ED2371"/>
    <w:rsid w:val="00ED2738"/>
    <w:rsid w:val="00ED41F9"/>
    <w:rsid w:val="00ED4766"/>
    <w:rsid w:val="00ED5074"/>
    <w:rsid w:val="00ED51C7"/>
    <w:rsid w:val="00ED5C19"/>
    <w:rsid w:val="00ED6732"/>
    <w:rsid w:val="00ED6F09"/>
    <w:rsid w:val="00ED7608"/>
    <w:rsid w:val="00EE07A1"/>
    <w:rsid w:val="00EE15AB"/>
    <w:rsid w:val="00EE16F7"/>
    <w:rsid w:val="00EE1B51"/>
    <w:rsid w:val="00EE1F50"/>
    <w:rsid w:val="00EE25FF"/>
    <w:rsid w:val="00EE2DDA"/>
    <w:rsid w:val="00EE3990"/>
    <w:rsid w:val="00EE49EC"/>
    <w:rsid w:val="00EE639F"/>
    <w:rsid w:val="00EE68FD"/>
    <w:rsid w:val="00EE78C7"/>
    <w:rsid w:val="00EE7AD1"/>
    <w:rsid w:val="00EE7B92"/>
    <w:rsid w:val="00EE7F6F"/>
    <w:rsid w:val="00EF0389"/>
    <w:rsid w:val="00EF0BED"/>
    <w:rsid w:val="00EF0E15"/>
    <w:rsid w:val="00EF1943"/>
    <w:rsid w:val="00EF1C29"/>
    <w:rsid w:val="00EF2637"/>
    <w:rsid w:val="00EF267F"/>
    <w:rsid w:val="00EF2B0A"/>
    <w:rsid w:val="00EF30B5"/>
    <w:rsid w:val="00EF32F8"/>
    <w:rsid w:val="00EF42A7"/>
    <w:rsid w:val="00EF5001"/>
    <w:rsid w:val="00EF5023"/>
    <w:rsid w:val="00EF63F1"/>
    <w:rsid w:val="00EF672F"/>
    <w:rsid w:val="00EF6814"/>
    <w:rsid w:val="00EF6CCC"/>
    <w:rsid w:val="00EF72B7"/>
    <w:rsid w:val="00F00255"/>
    <w:rsid w:val="00F0055D"/>
    <w:rsid w:val="00F008FE"/>
    <w:rsid w:val="00F00CED"/>
    <w:rsid w:val="00F015E4"/>
    <w:rsid w:val="00F02A71"/>
    <w:rsid w:val="00F041FF"/>
    <w:rsid w:val="00F04277"/>
    <w:rsid w:val="00F053C2"/>
    <w:rsid w:val="00F054EB"/>
    <w:rsid w:val="00F057D0"/>
    <w:rsid w:val="00F06704"/>
    <w:rsid w:val="00F06B7B"/>
    <w:rsid w:val="00F0708A"/>
    <w:rsid w:val="00F07285"/>
    <w:rsid w:val="00F0732E"/>
    <w:rsid w:val="00F07629"/>
    <w:rsid w:val="00F107BE"/>
    <w:rsid w:val="00F12DCC"/>
    <w:rsid w:val="00F14D7C"/>
    <w:rsid w:val="00F162B9"/>
    <w:rsid w:val="00F1704C"/>
    <w:rsid w:val="00F17A6B"/>
    <w:rsid w:val="00F17FB1"/>
    <w:rsid w:val="00F20674"/>
    <w:rsid w:val="00F20BDE"/>
    <w:rsid w:val="00F20F86"/>
    <w:rsid w:val="00F21FDF"/>
    <w:rsid w:val="00F2248F"/>
    <w:rsid w:val="00F2438A"/>
    <w:rsid w:val="00F24676"/>
    <w:rsid w:val="00F24E18"/>
    <w:rsid w:val="00F25CC8"/>
    <w:rsid w:val="00F25ED6"/>
    <w:rsid w:val="00F27AA5"/>
    <w:rsid w:val="00F324DA"/>
    <w:rsid w:val="00F33211"/>
    <w:rsid w:val="00F3342A"/>
    <w:rsid w:val="00F3478E"/>
    <w:rsid w:val="00F347BB"/>
    <w:rsid w:val="00F34C99"/>
    <w:rsid w:val="00F34E34"/>
    <w:rsid w:val="00F367BC"/>
    <w:rsid w:val="00F375A1"/>
    <w:rsid w:val="00F37B89"/>
    <w:rsid w:val="00F37E53"/>
    <w:rsid w:val="00F402AF"/>
    <w:rsid w:val="00F40AF7"/>
    <w:rsid w:val="00F41221"/>
    <w:rsid w:val="00F41303"/>
    <w:rsid w:val="00F41386"/>
    <w:rsid w:val="00F418E5"/>
    <w:rsid w:val="00F43B29"/>
    <w:rsid w:val="00F4442E"/>
    <w:rsid w:val="00F44D14"/>
    <w:rsid w:val="00F44DC8"/>
    <w:rsid w:val="00F45BDC"/>
    <w:rsid w:val="00F46966"/>
    <w:rsid w:val="00F4699A"/>
    <w:rsid w:val="00F47D7C"/>
    <w:rsid w:val="00F50216"/>
    <w:rsid w:val="00F50680"/>
    <w:rsid w:val="00F50CA4"/>
    <w:rsid w:val="00F5103E"/>
    <w:rsid w:val="00F5122C"/>
    <w:rsid w:val="00F53079"/>
    <w:rsid w:val="00F53450"/>
    <w:rsid w:val="00F535CE"/>
    <w:rsid w:val="00F54086"/>
    <w:rsid w:val="00F5449E"/>
    <w:rsid w:val="00F544F7"/>
    <w:rsid w:val="00F54EFB"/>
    <w:rsid w:val="00F55813"/>
    <w:rsid w:val="00F56826"/>
    <w:rsid w:val="00F56AB1"/>
    <w:rsid w:val="00F60FAA"/>
    <w:rsid w:val="00F61015"/>
    <w:rsid w:val="00F6218E"/>
    <w:rsid w:val="00F62B88"/>
    <w:rsid w:val="00F62C93"/>
    <w:rsid w:val="00F630A8"/>
    <w:rsid w:val="00F638FB"/>
    <w:rsid w:val="00F64AD5"/>
    <w:rsid w:val="00F664DF"/>
    <w:rsid w:val="00F66800"/>
    <w:rsid w:val="00F66B8D"/>
    <w:rsid w:val="00F67D99"/>
    <w:rsid w:val="00F701F5"/>
    <w:rsid w:val="00F70E6A"/>
    <w:rsid w:val="00F7225B"/>
    <w:rsid w:val="00F72299"/>
    <w:rsid w:val="00F722AD"/>
    <w:rsid w:val="00F72C47"/>
    <w:rsid w:val="00F73992"/>
    <w:rsid w:val="00F7410F"/>
    <w:rsid w:val="00F7449E"/>
    <w:rsid w:val="00F74A16"/>
    <w:rsid w:val="00F74BAC"/>
    <w:rsid w:val="00F7660C"/>
    <w:rsid w:val="00F76CC4"/>
    <w:rsid w:val="00F77C4D"/>
    <w:rsid w:val="00F80361"/>
    <w:rsid w:val="00F80575"/>
    <w:rsid w:val="00F808E1"/>
    <w:rsid w:val="00F8184F"/>
    <w:rsid w:val="00F81CE5"/>
    <w:rsid w:val="00F83ACA"/>
    <w:rsid w:val="00F83DA0"/>
    <w:rsid w:val="00F84A50"/>
    <w:rsid w:val="00F857FC"/>
    <w:rsid w:val="00F8698C"/>
    <w:rsid w:val="00F86EF3"/>
    <w:rsid w:val="00F905BE"/>
    <w:rsid w:val="00F91160"/>
    <w:rsid w:val="00F92468"/>
    <w:rsid w:val="00F925DB"/>
    <w:rsid w:val="00F92626"/>
    <w:rsid w:val="00F92916"/>
    <w:rsid w:val="00F92DFB"/>
    <w:rsid w:val="00F939CB"/>
    <w:rsid w:val="00F94070"/>
    <w:rsid w:val="00F957ED"/>
    <w:rsid w:val="00F95C80"/>
    <w:rsid w:val="00F95CD9"/>
    <w:rsid w:val="00F96C86"/>
    <w:rsid w:val="00FA005A"/>
    <w:rsid w:val="00FA0237"/>
    <w:rsid w:val="00FA0353"/>
    <w:rsid w:val="00FA09DE"/>
    <w:rsid w:val="00FA09F7"/>
    <w:rsid w:val="00FA0D8B"/>
    <w:rsid w:val="00FA0DC7"/>
    <w:rsid w:val="00FA11E5"/>
    <w:rsid w:val="00FA16AF"/>
    <w:rsid w:val="00FA2B6A"/>
    <w:rsid w:val="00FA33F1"/>
    <w:rsid w:val="00FA51FD"/>
    <w:rsid w:val="00FA611D"/>
    <w:rsid w:val="00FA74AA"/>
    <w:rsid w:val="00FA773C"/>
    <w:rsid w:val="00FA782C"/>
    <w:rsid w:val="00FB1617"/>
    <w:rsid w:val="00FB1E0A"/>
    <w:rsid w:val="00FB2292"/>
    <w:rsid w:val="00FB2BDD"/>
    <w:rsid w:val="00FB31D8"/>
    <w:rsid w:val="00FB4248"/>
    <w:rsid w:val="00FB4589"/>
    <w:rsid w:val="00FB5E80"/>
    <w:rsid w:val="00FB5EAC"/>
    <w:rsid w:val="00FB6023"/>
    <w:rsid w:val="00FB66AB"/>
    <w:rsid w:val="00FB7F0A"/>
    <w:rsid w:val="00FC01AD"/>
    <w:rsid w:val="00FC0C63"/>
    <w:rsid w:val="00FC11BF"/>
    <w:rsid w:val="00FC1D01"/>
    <w:rsid w:val="00FC1F2B"/>
    <w:rsid w:val="00FC2430"/>
    <w:rsid w:val="00FC2998"/>
    <w:rsid w:val="00FC42E2"/>
    <w:rsid w:val="00FC5266"/>
    <w:rsid w:val="00FC569E"/>
    <w:rsid w:val="00FC5917"/>
    <w:rsid w:val="00FC68E8"/>
    <w:rsid w:val="00FC7D70"/>
    <w:rsid w:val="00FD1FCD"/>
    <w:rsid w:val="00FD22A8"/>
    <w:rsid w:val="00FD3289"/>
    <w:rsid w:val="00FD4202"/>
    <w:rsid w:val="00FD5602"/>
    <w:rsid w:val="00FD5866"/>
    <w:rsid w:val="00FD6510"/>
    <w:rsid w:val="00FD6598"/>
    <w:rsid w:val="00FD66A8"/>
    <w:rsid w:val="00FE2B03"/>
    <w:rsid w:val="00FE355C"/>
    <w:rsid w:val="00FE3AB0"/>
    <w:rsid w:val="00FE3DDC"/>
    <w:rsid w:val="00FE4527"/>
    <w:rsid w:val="00FE494A"/>
    <w:rsid w:val="00FE7053"/>
    <w:rsid w:val="00FE7355"/>
    <w:rsid w:val="00FE75FA"/>
    <w:rsid w:val="00FF0336"/>
    <w:rsid w:val="00FF1452"/>
    <w:rsid w:val="00FF158E"/>
    <w:rsid w:val="00FF4BA3"/>
    <w:rsid w:val="00FF5C2A"/>
    <w:rsid w:val="00FF5C2E"/>
    <w:rsid w:val="00FF5CEE"/>
    <w:rsid w:val="00FF6390"/>
    <w:rsid w:val="00FF643F"/>
    <w:rsid w:val="00FF726A"/>
    <w:rsid w:val="01175F9C"/>
    <w:rsid w:val="013232C8"/>
    <w:rsid w:val="0187402D"/>
    <w:rsid w:val="01B270C1"/>
    <w:rsid w:val="01CC0E66"/>
    <w:rsid w:val="01D83930"/>
    <w:rsid w:val="01F86CD9"/>
    <w:rsid w:val="02377801"/>
    <w:rsid w:val="02961782"/>
    <w:rsid w:val="02AE3E5E"/>
    <w:rsid w:val="02BC240F"/>
    <w:rsid w:val="02D5689F"/>
    <w:rsid w:val="03523ABE"/>
    <w:rsid w:val="035E2D8B"/>
    <w:rsid w:val="036413DE"/>
    <w:rsid w:val="036F2FD9"/>
    <w:rsid w:val="03702EB1"/>
    <w:rsid w:val="03AD0411"/>
    <w:rsid w:val="03D93EDE"/>
    <w:rsid w:val="03EB1B72"/>
    <w:rsid w:val="04842AA6"/>
    <w:rsid w:val="04874344"/>
    <w:rsid w:val="048C54B6"/>
    <w:rsid w:val="04AA2CD9"/>
    <w:rsid w:val="04DD5D12"/>
    <w:rsid w:val="04EC2929"/>
    <w:rsid w:val="05224E91"/>
    <w:rsid w:val="054A0094"/>
    <w:rsid w:val="05D23F9D"/>
    <w:rsid w:val="062744B1"/>
    <w:rsid w:val="06400C4E"/>
    <w:rsid w:val="069053B0"/>
    <w:rsid w:val="06A54F19"/>
    <w:rsid w:val="06CA66F9"/>
    <w:rsid w:val="07440D6B"/>
    <w:rsid w:val="0746789B"/>
    <w:rsid w:val="074769E9"/>
    <w:rsid w:val="074A174E"/>
    <w:rsid w:val="074D717F"/>
    <w:rsid w:val="076E4C19"/>
    <w:rsid w:val="07852DBD"/>
    <w:rsid w:val="07882D85"/>
    <w:rsid w:val="07E16F76"/>
    <w:rsid w:val="07FF2B25"/>
    <w:rsid w:val="08274BAD"/>
    <w:rsid w:val="08444A26"/>
    <w:rsid w:val="084F5350"/>
    <w:rsid w:val="085E53BC"/>
    <w:rsid w:val="0893571B"/>
    <w:rsid w:val="08A00EAD"/>
    <w:rsid w:val="08B81F2B"/>
    <w:rsid w:val="091B7D5F"/>
    <w:rsid w:val="092143B0"/>
    <w:rsid w:val="094F2158"/>
    <w:rsid w:val="097F06BC"/>
    <w:rsid w:val="098263C3"/>
    <w:rsid w:val="0994433E"/>
    <w:rsid w:val="09A34A1A"/>
    <w:rsid w:val="09AE5E29"/>
    <w:rsid w:val="09B4711F"/>
    <w:rsid w:val="09D25106"/>
    <w:rsid w:val="0A373D8A"/>
    <w:rsid w:val="0A402FCB"/>
    <w:rsid w:val="0A483595"/>
    <w:rsid w:val="0ADC14F9"/>
    <w:rsid w:val="0AE42B47"/>
    <w:rsid w:val="0B044769"/>
    <w:rsid w:val="0B6C32B6"/>
    <w:rsid w:val="0B7671FC"/>
    <w:rsid w:val="0B822939"/>
    <w:rsid w:val="0BA80E28"/>
    <w:rsid w:val="0BD2630A"/>
    <w:rsid w:val="0BF7016A"/>
    <w:rsid w:val="0C044FC8"/>
    <w:rsid w:val="0C077986"/>
    <w:rsid w:val="0C195E89"/>
    <w:rsid w:val="0C1B3CF0"/>
    <w:rsid w:val="0C21404B"/>
    <w:rsid w:val="0C335AD5"/>
    <w:rsid w:val="0C5C6E29"/>
    <w:rsid w:val="0C655DE3"/>
    <w:rsid w:val="0C6E18F2"/>
    <w:rsid w:val="0C8E6A1C"/>
    <w:rsid w:val="0CB16402"/>
    <w:rsid w:val="0CF841AF"/>
    <w:rsid w:val="0D1B623F"/>
    <w:rsid w:val="0D5154EF"/>
    <w:rsid w:val="0D5C636E"/>
    <w:rsid w:val="0D941DAD"/>
    <w:rsid w:val="0D9B1BCB"/>
    <w:rsid w:val="0DC27B7B"/>
    <w:rsid w:val="0E2B1F38"/>
    <w:rsid w:val="0E4126BB"/>
    <w:rsid w:val="0E7C133E"/>
    <w:rsid w:val="0E8F63A0"/>
    <w:rsid w:val="0EE622EA"/>
    <w:rsid w:val="0F0A3BA7"/>
    <w:rsid w:val="0F194118"/>
    <w:rsid w:val="0F861F3C"/>
    <w:rsid w:val="0F881116"/>
    <w:rsid w:val="0F91582B"/>
    <w:rsid w:val="0FC75EF9"/>
    <w:rsid w:val="0FD541B5"/>
    <w:rsid w:val="0FE76B66"/>
    <w:rsid w:val="0FEE57E3"/>
    <w:rsid w:val="10086985"/>
    <w:rsid w:val="1041300A"/>
    <w:rsid w:val="105A290D"/>
    <w:rsid w:val="107072DE"/>
    <w:rsid w:val="10B125C4"/>
    <w:rsid w:val="10D56AF2"/>
    <w:rsid w:val="10D900A6"/>
    <w:rsid w:val="110628D4"/>
    <w:rsid w:val="110E0014"/>
    <w:rsid w:val="113C2AB9"/>
    <w:rsid w:val="11441269"/>
    <w:rsid w:val="11644575"/>
    <w:rsid w:val="118A5224"/>
    <w:rsid w:val="11BF5806"/>
    <w:rsid w:val="11C42733"/>
    <w:rsid w:val="11E44B84"/>
    <w:rsid w:val="11F1049F"/>
    <w:rsid w:val="122318EC"/>
    <w:rsid w:val="12706382"/>
    <w:rsid w:val="129540C6"/>
    <w:rsid w:val="12A106C1"/>
    <w:rsid w:val="12EF3D16"/>
    <w:rsid w:val="12F34198"/>
    <w:rsid w:val="133714E5"/>
    <w:rsid w:val="136B7243"/>
    <w:rsid w:val="1393060F"/>
    <w:rsid w:val="13981100"/>
    <w:rsid w:val="13992F0A"/>
    <w:rsid w:val="139C4A06"/>
    <w:rsid w:val="13FC6880"/>
    <w:rsid w:val="140B3F6B"/>
    <w:rsid w:val="140C03C2"/>
    <w:rsid w:val="14290F74"/>
    <w:rsid w:val="144B68AF"/>
    <w:rsid w:val="145735B3"/>
    <w:rsid w:val="145E6879"/>
    <w:rsid w:val="146F2203"/>
    <w:rsid w:val="1477787C"/>
    <w:rsid w:val="14846C0C"/>
    <w:rsid w:val="14980D4E"/>
    <w:rsid w:val="149C37C3"/>
    <w:rsid w:val="14BE16BC"/>
    <w:rsid w:val="14EE7E4F"/>
    <w:rsid w:val="151940B3"/>
    <w:rsid w:val="152F1114"/>
    <w:rsid w:val="15A12BD1"/>
    <w:rsid w:val="15A30AF5"/>
    <w:rsid w:val="15B97F07"/>
    <w:rsid w:val="15D55F9E"/>
    <w:rsid w:val="15EC6D60"/>
    <w:rsid w:val="1606156C"/>
    <w:rsid w:val="160B6B83"/>
    <w:rsid w:val="16261143"/>
    <w:rsid w:val="163464D2"/>
    <w:rsid w:val="163A425C"/>
    <w:rsid w:val="165B2736"/>
    <w:rsid w:val="16731471"/>
    <w:rsid w:val="167A1960"/>
    <w:rsid w:val="168017F8"/>
    <w:rsid w:val="16900E36"/>
    <w:rsid w:val="16DB4113"/>
    <w:rsid w:val="170703C0"/>
    <w:rsid w:val="170F7C6B"/>
    <w:rsid w:val="171A6C4C"/>
    <w:rsid w:val="173914CE"/>
    <w:rsid w:val="174D5F53"/>
    <w:rsid w:val="17563671"/>
    <w:rsid w:val="17606E66"/>
    <w:rsid w:val="178E770E"/>
    <w:rsid w:val="17A81B27"/>
    <w:rsid w:val="17B13F36"/>
    <w:rsid w:val="17D24946"/>
    <w:rsid w:val="182D676D"/>
    <w:rsid w:val="183D797E"/>
    <w:rsid w:val="184C55D0"/>
    <w:rsid w:val="18871369"/>
    <w:rsid w:val="18AE139E"/>
    <w:rsid w:val="18B6654D"/>
    <w:rsid w:val="18F57010"/>
    <w:rsid w:val="19076D14"/>
    <w:rsid w:val="190A5C2F"/>
    <w:rsid w:val="19111B91"/>
    <w:rsid w:val="191856F0"/>
    <w:rsid w:val="191B7CF7"/>
    <w:rsid w:val="19297340"/>
    <w:rsid w:val="192B3098"/>
    <w:rsid w:val="192E743F"/>
    <w:rsid w:val="195A487D"/>
    <w:rsid w:val="19B672FD"/>
    <w:rsid w:val="19DF6A36"/>
    <w:rsid w:val="19FB61B7"/>
    <w:rsid w:val="1A1435C6"/>
    <w:rsid w:val="1A75281D"/>
    <w:rsid w:val="1A755AFF"/>
    <w:rsid w:val="1AA11864"/>
    <w:rsid w:val="1AAC1FB7"/>
    <w:rsid w:val="1AD03FBA"/>
    <w:rsid w:val="1AD172A0"/>
    <w:rsid w:val="1AE25D7E"/>
    <w:rsid w:val="1B09565B"/>
    <w:rsid w:val="1B3B17AF"/>
    <w:rsid w:val="1B59265E"/>
    <w:rsid w:val="1B5F3C4F"/>
    <w:rsid w:val="1BD363C7"/>
    <w:rsid w:val="1BDA516C"/>
    <w:rsid w:val="1BE404D3"/>
    <w:rsid w:val="1C375C57"/>
    <w:rsid w:val="1C4409D4"/>
    <w:rsid w:val="1C50035C"/>
    <w:rsid w:val="1C837D75"/>
    <w:rsid w:val="1C8F6CB0"/>
    <w:rsid w:val="1C8F6CD8"/>
    <w:rsid w:val="1CC85561"/>
    <w:rsid w:val="1CE23BF7"/>
    <w:rsid w:val="1CE4012E"/>
    <w:rsid w:val="1CFE09EB"/>
    <w:rsid w:val="1D101FBC"/>
    <w:rsid w:val="1D1D0E86"/>
    <w:rsid w:val="1D391F1A"/>
    <w:rsid w:val="1D440973"/>
    <w:rsid w:val="1D8960EA"/>
    <w:rsid w:val="1D8B67FB"/>
    <w:rsid w:val="1DA63635"/>
    <w:rsid w:val="1DC57DC6"/>
    <w:rsid w:val="1DEB62ED"/>
    <w:rsid w:val="1E124827"/>
    <w:rsid w:val="1E194A7B"/>
    <w:rsid w:val="1E2E794D"/>
    <w:rsid w:val="1E472722"/>
    <w:rsid w:val="1E5C0C53"/>
    <w:rsid w:val="1E662C59"/>
    <w:rsid w:val="1EBE75EB"/>
    <w:rsid w:val="1EE2069D"/>
    <w:rsid w:val="1EF93872"/>
    <w:rsid w:val="1F1F24FE"/>
    <w:rsid w:val="1F203654"/>
    <w:rsid w:val="1F525822"/>
    <w:rsid w:val="1F653D96"/>
    <w:rsid w:val="1F8C66E0"/>
    <w:rsid w:val="1F947BE9"/>
    <w:rsid w:val="1F9653CA"/>
    <w:rsid w:val="1FEF081D"/>
    <w:rsid w:val="1FFD1FEE"/>
    <w:rsid w:val="20336C7B"/>
    <w:rsid w:val="20592520"/>
    <w:rsid w:val="20CC2261"/>
    <w:rsid w:val="20D11566"/>
    <w:rsid w:val="20E41338"/>
    <w:rsid w:val="20FD531A"/>
    <w:rsid w:val="210C32A6"/>
    <w:rsid w:val="210E7527"/>
    <w:rsid w:val="210E79E7"/>
    <w:rsid w:val="21174E62"/>
    <w:rsid w:val="21571FA8"/>
    <w:rsid w:val="21D20E57"/>
    <w:rsid w:val="21D97B35"/>
    <w:rsid w:val="21E0264C"/>
    <w:rsid w:val="22075FF2"/>
    <w:rsid w:val="220E5C9E"/>
    <w:rsid w:val="2224112A"/>
    <w:rsid w:val="2250591D"/>
    <w:rsid w:val="22602E2F"/>
    <w:rsid w:val="226D64CF"/>
    <w:rsid w:val="23033927"/>
    <w:rsid w:val="233E0D8E"/>
    <w:rsid w:val="23814F49"/>
    <w:rsid w:val="23863CED"/>
    <w:rsid w:val="23C95BEE"/>
    <w:rsid w:val="23F73C17"/>
    <w:rsid w:val="241435D3"/>
    <w:rsid w:val="242C66E5"/>
    <w:rsid w:val="245B0A79"/>
    <w:rsid w:val="24D40A88"/>
    <w:rsid w:val="24D9609E"/>
    <w:rsid w:val="25535E4A"/>
    <w:rsid w:val="255F7C9C"/>
    <w:rsid w:val="25626093"/>
    <w:rsid w:val="25A51476"/>
    <w:rsid w:val="25AB1656"/>
    <w:rsid w:val="25B707A0"/>
    <w:rsid w:val="25B968C2"/>
    <w:rsid w:val="260C1C27"/>
    <w:rsid w:val="26171E3E"/>
    <w:rsid w:val="2628139B"/>
    <w:rsid w:val="262921E7"/>
    <w:rsid w:val="266F412D"/>
    <w:rsid w:val="268A53AC"/>
    <w:rsid w:val="26ED09B1"/>
    <w:rsid w:val="26F85D1F"/>
    <w:rsid w:val="2728334F"/>
    <w:rsid w:val="273F4B79"/>
    <w:rsid w:val="275E288B"/>
    <w:rsid w:val="27651E6B"/>
    <w:rsid w:val="27893E6D"/>
    <w:rsid w:val="278D39F6"/>
    <w:rsid w:val="27AA6D0F"/>
    <w:rsid w:val="27CD1E47"/>
    <w:rsid w:val="27F84A8D"/>
    <w:rsid w:val="283D4F75"/>
    <w:rsid w:val="28431A4B"/>
    <w:rsid w:val="285D695F"/>
    <w:rsid w:val="286E5BCF"/>
    <w:rsid w:val="289A2441"/>
    <w:rsid w:val="289A71AA"/>
    <w:rsid w:val="28BA3361"/>
    <w:rsid w:val="28D92B11"/>
    <w:rsid w:val="28E31299"/>
    <w:rsid w:val="28EB2280"/>
    <w:rsid w:val="28ED3A7A"/>
    <w:rsid w:val="28F039B6"/>
    <w:rsid w:val="28F372A9"/>
    <w:rsid w:val="29773169"/>
    <w:rsid w:val="29852351"/>
    <w:rsid w:val="298760C9"/>
    <w:rsid w:val="29A7761D"/>
    <w:rsid w:val="29A812A9"/>
    <w:rsid w:val="29CB13F3"/>
    <w:rsid w:val="29D25D8B"/>
    <w:rsid w:val="29D465AE"/>
    <w:rsid w:val="29FF0355"/>
    <w:rsid w:val="2A0E3DD3"/>
    <w:rsid w:val="2A32323D"/>
    <w:rsid w:val="2A847EF2"/>
    <w:rsid w:val="2A88659C"/>
    <w:rsid w:val="2ABD2CA9"/>
    <w:rsid w:val="2ACC23A4"/>
    <w:rsid w:val="2ACC3B53"/>
    <w:rsid w:val="2AFC20E9"/>
    <w:rsid w:val="2B342280"/>
    <w:rsid w:val="2B5A63DB"/>
    <w:rsid w:val="2B683CD8"/>
    <w:rsid w:val="2B73446C"/>
    <w:rsid w:val="2B7C12D2"/>
    <w:rsid w:val="2B7C358E"/>
    <w:rsid w:val="2B800901"/>
    <w:rsid w:val="2B851F33"/>
    <w:rsid w:val="2B876854"/>
    <w:rsid w:val="2B911481"/>
    <w:rsid w:val="2BAA460A"/>
    <w:rsid w:val="2BB849E9"/>
    <w:rsid w:val="2BC67772"/>
    <w:rsid w:val="2BE912BD"/>
    <w:rsid w:val="2BEC64EB"/>
    <w:rsid w:val="2C023D7C"/>
    <w:rsid w:val="2C150691"/>
    <w:rsid w:val="2C1F4CDE"/>
    <w:rsid w:val="2C267A56"/>
    <w:rsid w:val="2C6F272E"/>
    <w:rsid w:val="2C884632"/>
    <w:rsid w:val="2C9461CF"/>
    <w:rsid w:val="2C9C00DD"/>
    <w:rsid w:val="2CB71395"/>
    <w:rsid w:val="2CDF4E16"/>
    <w:rsid w:val="2CF74C51"/>
    <w:rsid w:val="2CFD3991"/>
    <w:rsid w:val="2D227C53"/>
    <w:rsid w:val="2D390672"/>
    <w:rsid w:val="2D4F3FFF"/>
    <w:rsid w:val="2D763302"/>
    <w:rsid w:val="2DC6600A"/>
    <w:rsid w:val="2E190845"/>
    <w:rsid w:val="2E222E04"/>
    <w:rsid w:val="2E2272E9"/>
    <w:rsid w:val="2E643A13"/>
    <w:rsid w:val="2E647DF6"/>
    <w:rsid w:val="2E7E5C02"/>
    <w:rsid w:val="2E840E29"/>
    <w:rsid w:val="2EA36628"/>
    <w:rsid w:val="2EC22208"/>
    <w:rsid w:val="2EC55B9E"/>
    <w:rsid w:val="2ED37B01"/>
    <w:rsid w:val="2EF55199"/>
    <w:rsid w:val="2EF77752"/>
    <w:rsid w:val="2F014590"/>
    <w:rsid w:val="2F18135D"/>
    <w:rsid w:val="2F306A43"/>
    <w:rsid w:val="2F310449"/>
    <w:rsid w:val="2F343043"/>
    <w:rsid w:val="2F560CAF"/>
    <w:rsid w:val="2F6A7F7C"/>
    <w:rsid w:val="2FD61B27"/>
    <w:rsid w:val="2FDB51C4"/>
    <w:rsid w:val="30012D0C"/>
    <w:rsid w:val="30143BC2"/>
    <w:rsid w:val="30406994"/>
    <w:rsid w:val="3043153E"/>
    <w:rsid w:val="30632377"/>
    <w:rsid w:val="30893EC7"/>
    <w:rsid w:val="30976A66"/>
    <w:rsid w:val="30A533D4"/>
    <w:rsid w:val="30CD59E0"/>
    <w:rsid w:val="31044CEB"/>
    <w:rsid w:val="31385460"/>
    <w:rsid w:val="315A68A9"/>
    <w:rsid w:val="316E451A"/>
    <w:rsid w:val="319F2B58"/>
    <w:rsid w:val="31AC0DC2"/>
    <w:rsid w:val="31DB16A7"/>
    <w:rsid w:val="320342B1"/>
    <w:rsid w:val="32056724"/>
    <w:rsid w:val="3209215B"/>
    <w:rsid w:val="32447147"/>
    <w:rsid w:val="32801548"/>
    <w:rsid w:val="32827D75"/>
    <w:rsid w:val="329B4B75"/>
    <w:rsid w:val="32DD2345"/>
    <w:rsid w:val="32E70599"/>
    <w:rsid w:val="32EC0E63"/>
    <w:rsid w:val="32F6725D"/>
    <w:rsid w:val="330D0DA5"/>
    <w:rsid w:val="33303FBC"/>
    <w:rsid w:val="333A3E82"/>
    <w:rsid w:val="33442E2C"/>
    <w:rsid w:val="3360172B"/>
    <w:rsid w:val="336B095F"/>
    <w:rsid w:val="33900908"/>
    <w:rsid w:val="339D60DA"/>
    <w:rsid w:val="33A01018"/>
    <w:rsid w:val="33DC5263"/>
    <w:rsid w:val="33E16D1D"/>
    <w:rsid w:val="33F151B2"/>
    <w:rsid w:val="340B1D78"/>
    <w:rsid w:val="340D327F"/>
    <w:rsid w:val="342F2625"/>
    <w:rsid w:val="344A1F45"/>
    <w:rsid w:val="34904016"/>
    <w:rsid w:val="34BA0A88"/>
    <w:rsid w:val="34F767F8"/>
    <w:rsid w:val="3539414B"/>
    <w:rsid w:val="3539662A"/>
    <w:rsid w:val="358B30A8"/>
    <w:rsid w:val="35E9498F"/>
    <w:rsid w:val="36060449"/>
    <w:rsid w:val="36213145"/>
    <w:rsid w:val="365646D3"/>
    <w:rsid w:val="366E6BD7"/>
    <w:rsid w:val="36790667"/>
    <w:rsid w:val="369C08F8"/>
    <w:rsid w:val="36C65A71"/>
    <w:rsid w:val="3719716F"/>
    <w:rsid w:val="37353608"/>
    <w:rsid w:val="374D2D3A"/>
    <w:rsid w:val="37527E18"/>
    <w:rsid w:val="37B0335A"/>
    <w:rsid w:val="37D343FF"/>
    <w:rsid w:val="37F44A15"/>
    <w:rsid w:val="3816051C"/>
    <w:rsid w:val="382F2FC9"/>
    <w:rsid w:val="38360444"/>
    <w:rsid w:val="384D2BD3"/>
    <w:rsid w:val="38533CFC"/>
    <w:rsid w:val="388C242A"/>
    <w:rsid w:val="38C20B2E"/>
    <w:rsid w:val="38D00523"/>
    <w:rsid w:val="38E01351"/>
    <w:rsid w:val="39483E1F"/>
    <w:rsid w:val="39754E22"/>
    <w:rsid w:val="39A4438B"/>
    <w:rsid w:val="39BE4EF3"/>
    <w:rsid w:val="39BE5F08"/>
    <w:rsid w:val="39CC330E"/>
    <w:rsid w:val="39D36E51"/>
    <w:rsid w:val="3A4876F6"/>
    <w:rsid w:val="3A545BDC"/>
    <w:rsid w:val="3A5465BC"/>
    <w:rsid w:val="3A7007A7"/>
    <w:rsid w:val="3AA765CB"/>
    <w:rsid w:val="3AE059CC"/>
    <w:rsid w:val="3B345984"/>
    <w:rsid w:val="3B350F7D"/>
    <w:rsid w:val="3B37375B"/>
    <w:rsid w:val="3B4822CA"/>
    <w:rsid w:val="3B584BCB"/>
    <w:rsid w:val="3BA46AFE"/>
    <w:rsid w:val="3BCD34EB"/>
    <w:rsid w:val="3BF707A3"/>
    <w:rsid w:val="3BFC0A3E"/>
    <w:rsid w:val="3C0435A9"/>
    <w:rsid w:val="3C3800CF"/>
    <w:rsid w:val="3C5C5193"/>
    <w:rsid w:val="3C6B187A"/>
    <w:rsid w:val="3C8316B6"/>
    <w:rsid w:val="3C85293C"/>
    <w:rsid w:val="3CCE0E50"/>
    <w:rsid w:val="3CEF7A0D"/>
    <w:rsid w:val="3D0972E0"/>
    <w:rsid w:val="3D2A703F"/>
    <w:rsid w:val="3D3A1CA1"/>
    <w:rsid w:val="3D441915"/>
    <w:rsid w:val="3D53705B"/>
    <w:rsid w:val="3D567E34"/>
    <w:rsid w:val="3D594F2A"/>
    <w:rsid w:val="3D6157E6"/>
    <w:rsid w:val="3D711712"/>
    <w:rsid w:val="3D822FC9"/>
    <w:rsid w:val="3D883804"/>
    <w:rsid w:val="3DD34685"/>
    <w:rsid w:val="3DFE7E3C"/>
    <w:rsid w:val="3E1B2219"/>
    <w:rsid w:val="3E9C1829"/>
    <w:rsid w:val="3E9F347B"/>
    <w:rsid w:val="3EC677E2"/>
    <w:rsid w:val="3EE856DB"/>
    <w:rsid w:val="3EF8243B"/>
    <w:rsid w:val="3F1C0717"/>
    <w:rsid w:val="3F7A2500"/>
    <w:rsid w:val="3F8E4734"/>
    <w:rsid w:val="3FB41B8F"/>
    <w:rsid w:val="40036E1F"/>
    <w:rsid w:val="401A53A8"/>
    <w:rsid w:val="401C5365"/>
    <w:rsid w:val="40261D3C"/>
    <w:rsid w:val="402C7B0B"/>
    <w:rsid w:val="40495A31"/>
    <w:rsid w:val="405765FD"/>
    <w:rsid w:val="405A7C3B"/>
    <w:rsid w:val="40644F5E"/>
    <w:rsid w:val="40696243"/>
    <w:rsid w:val="40774C91"/>
    <w:rsid w:val="40B152EF"/>
    <w:rsid w:val="40C94DC1"/>
    <w:rsid w:val="40F736DC"/>
    <w:rsid w:val="40F9731D"/>
    <w:rsid w:val="412E1135"/>
    <w:rsid w:val="41672CBF"/>
    <w:rsid w:val="41841364"/>
    <w:rsid w:val="418D10ED"/>
    <w:rsid w:val="41AC096A"/>
    <w:rsid w:val="41CE4DBC"/>
    <w:rsid w:val="41D57EC1"/>
    <w:rsid w:val="41D72026"/>
    <w:rsid w:val="41DB13A2"/>
    <w:rsid w:val="42162288"/>
    <w:rsid w:val="421F184B"/>
    <w:rsid w:val="42476D77"/>
    <w:rsid w:val="42B75819"/>
    <w:rsid w:val="42BA533D"/>
    <w:rsid w:val="43195B8C"/>
    <w:rsid w:val="437922DE"/>
    <w:rsid w:val="4391491D"/>
    <w:rsid w:val="43AF029E"/>
    <w:rsid w:val="43BB4713"/>
    <w:rsid w:val="43BC0257"/>
    <w:rsid w:val="441D0272"/>
    <w:rsid w:val="447514E8"/>
    <w:rsid w:val="447F359A"/>
    <w:rsid w:val="44A65B45"/>
    <w:rsid w:val="44F37FF7"/>
    <w:rsid w:val="45205B88"/>
    <w:rsid w:val="45413B63"/>
    <w:rsid w:val="4548631D"/>
    <w:rsid w:val="45793E0E"/>
    <w:rsid w:val="45E026A3"/>
    <w:rsid w:val="460D7ED9"/>
    <w:rsid w:val="463443A0"/>
    <w:rsid w:val="46737CA9"/>
    <w:rsid w:val="468A276F"/>
    <w:rsid w:val="46E14C12"/>
    <w:rsid w:val="470E1780"/>
    <w:rsid w:val="47342061"/>
    <w:rsid w:val="4734568A"/>
    <w:rsid w:val="47442B52"/>
    <w:rsid w:val="47655843"/>
    <w:rsid w:val="47CB141F"/>
    <w:rsid w:val="47CC16FD"/>
    <w:rsid w:val="47DE1152"/>
    <w:rsid w:val="481E1856"/>
    <w:rsid w:val="482E47CB"/>
    <w:rsid w:val="48445F2B"/>
    <w:rsid w:val="484A67E7"/>
    <w:rsid w:val="486102AC"/>
    <w:rsid w:val="489A0865"/>
    <w:rsid w:val="48C03E1F"/>
    <w:rsid w:val="48CC34A1"/>
    <w:rsid w:val="48EB7FCA"/>
    <w:rsid w:val="48F05533"/>
    <w:rsid w:val="48F055E1"/>
    <w:rsid w:val="49020B8F"/>
    <w:rsid w:val="490C388F"/>
    <w:rsid w:val="490F2CF3"/>
    <w:rsid w:val="49766F80"/>
    <w:rsid w:val="498B1A81"/>
    <w:rsid w:val="499C5F2F"/>
    <w:rsid w:val="49A05DF7"/>
    <w:rsid w:val="49C203E0"/>
    <w:rsid w:val="49C31612"/>
    <w:rsid w:val="49E54A1A"/>
    <w:rsid w:val="4A201EF6"/>
    <w:rsid w:val="4A2662FF"/>
    <w:rsid w:val="4A8167A0"/>
    <w:rsid w:val="4A954218"/>
    <w:rsid w:val="4A9B552B"/>
    <w:rsid w:val="4AB3002E"/>
    <w:rsid w:val="4ADA02F6"/>
    <w:rsid w:val="4B2A56AD"/>
    <w:rsid w:val="4B5D7233"/>
    <w:rsid w:val="4B816407"/>
    <w:rsid w:val="4BAB57EF"/>
    <w:rsid w:val="4BBA082E"/>
    <w:rsid w:val="4BD525C4"/>
    <w:rsid w:val="4C1D7300"/>
    <w:rsid w:val="4C316BC4"/>
    <w:rsid w:val="4C965C54"/>
    <w:rsid w:val="4C981B00"/>
    <w:rsid w:val="4D275112"/>
    <w:rsid w:val="4D3006A2"/>
    <w:rsid w:val="4D5D770A"/>
    <w:rsid w:val="4D862070"/>
    <w:rsid w:val="4E0F2FB5"/>
    <w:rsid w:val="4E195CC6"/>
    <w:rsid w:val="4E3356CF"/>
    <w:rsid w:val="4E384598"/>
    <w:rsid w:val="4E4A7541"/>
    <w:rsid w:val="4E593837"/>
    <w:rsid w:val="4E711DBA"/>
    <w:rsid w:val="4E734CFD"/>
    <w:rsid w:val="4E97588C"/>
    <w:rsid w:val="4E9B7D9D"/>
    <w:rsid w:val="4ED137BE"/>
    <w:rsid w:val="4EEF4A3F"/>
    <w:rsid w:val="4EFA3B7A"/>
    <w:rsid w:val="4F0A33F4"/>
    <w:rsid w:val="4F395256"/>
    <w:rsid w:val="4F3E73B7"/>
    <w:rsid w:val="4F493A39"/>
    <w:rsid w:val="4F696A1D"/>
    <w:rsid w:val="4F952B92"/>
    <w:rsid w:val="4F9660C3"/>
    <w:rsid w:val="4F977B08"/>
    <w:rsid w:val="4FB355BA"/>
    <w:rsid w:val="4FB9191E"/>
    <w:rsid w:val="4FE42D85"/>
    <w:rsid w:val="50047CE2"/>
    <w:rsid w:val="501C7547"/>
    <w:rsid w:val="5022408C"/>
    <w:rsid w:val="50405E34"/>
    <w:rsid w:val="50680152"/>
    <w:rsid w:val="50F04D5A"/>
    <w:rsid w:val="512E7AEE"/>
    <w:rsid w:val="51351338"/>
    <w:rsid w:val="513F5357"/>
    <w:rsid w:val="518C1334"/>
    <w:rsid w:val="51B66C9C"/>
    <w:rsid w:val="51D27F79"/>
    <w:rsid w:val="51F77669"/>
    <w:rsid w:val="52011DA3"/>
    <w:rsid w:val="525D629B"/>
    <w:rsid w:val="52736A2A"/>
    <w:rsid w:val="52EF4610"/>
    <w:rsid w:val="53277E51"/>
    <w:rsid w:val="53807EA6"/>
    <w:rsid w:val="53837766"/>
    <w:rsid w:val="53CB60CB"/>
    <w:rsid w:val="54107F1D"/>
    <w:rsid w:val="543A1E06"/>
    <w:rsid w:val="54547030"/>
    <w:rsid w:val="54AB2D04"/>
    <w:rsid w:val="54D62AF8"/>
    <w:rsid w:val="551565AA"/>
    <w:rsid w:val="553774BF"/>
    <w:rsid w:val="55521DB2"/>
    <w:rsid w:val="55540CA5"/>
    <w:rsid w:val="55733821"/>
    <w:rsid w:val="557E71D5"/>
    <w:rsid w:val="55817253"/>
    <w:rsid w:val="55D86277"/>
    <w:rsid w:val="55F43504"/>
    <w:rsid w:val="561B04EA"/>
    <w:rsid w:val="565B535E"/>
    <w:rsid w:val="569752EE"/>
    <w:rsid w:val="56D57BC4"/>
    <w:rsid w:val="57240578"/>
    <w:rsid w:val="57346FE0"/>
    <w:rsid w:val="573678EC"/>
    <w:rsid w:val="57641BFB"/>
    <w:rsid w:val="576A4463"/>
    <w:rsid w:val="578B5F79"/>
    <w:rsid w:val="57B53CA5"/>
    <w:rsid w:val="57DE00B6"/>
    <w:rsid w:val="58044C05"/>
    <w:rsid w:val="583055C5"/>
    <w:rsid w:val="584E7C2E"/>
    <w:rsid w:val="586E03A8"/>
    <w:rsid w:val="589F5E8B"/>
    <w:rsid w:val="58BD6B62"/>
    <w:rsid w:val="590C4582"/>
    <w:rsid w:val="591700FF"/>
    <w:rsid w:val="5954688A"/>
    <w:rsid w:val="59866495"/>
    <w:rsid w:val="598F1BD0"/>
    <w:rsid w:val="599C3BC6"/>
    <w:rsid w:val="59A3044D"/>
    <w:rsid w:val="59E47740"/>
    <w:rsid w:val="5A37351D"/>
    <w:rsid w:val="5A3F3ACA"/>
    <w:rsid w:val="5A736072"/>
    <w:rsid w:val="5A7916CA"/>
    <w:rsid w:val="5A906796"/>
    <w:rsid w:val="5AD3266C"/>
    <w:rsid w:val="5AD517F9"/>
    <w:rsid w:val="5B05734C"/>
    <w:rsid w:val="5B1E7D8B"/>
    <w:rsid w:val="5B3523D9"/>
    <w:rsid w:val="5B7B088C"/>
    <w:rsid w:val="5B882414"/>
    <w:rsid w:val="5BA94927"/>
    <w:rsid w:val="5BCB65CC"/>
    <w:rsid w:val="5BFE2F86"/>
    <w:rsid w:val="5BFF53EC"/>
    <w:rsid w:val="5C114178"/>
    <w:rsid w:val="5C331929"/>
    <w:rsid w:val="5C950521"/>
    <w:rsid w:val="5CDA33E7"/>
    <w:rsid w:val="5CDB1CEB"/>
    <w:rsid w:val="5CEB622F"/>
    <w:rsid w:val="5CF7352D"/>
    <w:rsid w:val="5D27657E"/>
    <w:rsid w:val="5D43056B"/>
    <w:rsid w:val="5D646AA7"/>
    <w:rsid w:val="5D71657B"/>
    <w:rsid w:val="5D745F3A"/>
    <w:rsid w:val="5D7D193A"/>
    <w:rsid w:val="5D8A140E"/>
    <w:rsid w:val="5D8A73C8"/>
    <w:rsid w:val="5DAC5D5C"/>
    <w:rsid w:val="5DD05B5F"/>
    <w:rsid w:val="5E0A19CC"/>
    <w:rsid w:val="5E8048B9"/>
    <w:rsid w:val="5EBE75C7"/>
    <w:rsid w:val="5EEB6E2A"/>
    <w:rsid w:val="5F3B6A32"/>
    <w:rsid w:val="5F667193"/>
    <w:rsid w:val="5FA84D23"/>
    <w:rsid w:val="5FAC67FA"/>
    <w:rsid w:val="5FED074B"/>
    <w:rsid w:val="5FF03426"/>
    <w:rsid w:val="5FF33B95"/>
    <w:rsid w:val="5FFC0FFC"/>
    <w:rsid w:val="601F7A80"/>
    <w:rsid w:val="60530BE2"/>
    <w:rsid w:val="60874625"/>
    <w:rsid w:val="60D020BC"/>
    <w:rsid w:val="61116C3B"/>
    <w:rsid w:val="611A2DA3"/>
    <w:rsid w:val="614111D4"/>
    <w:rsid w:val="614147D4"/>
    <w:rsid w:val="61687CB6"/>
    <w:rsid w:val="61690221"/>
    <w:rsid w:val="616C22EB"/>
    <w:rsid w:val="6183686F"/>
    <w:rsid w:val="618E1A52"/>
    <w:rsid w:val="619C13A5"/>
    <w:rsid w:val="619C2FD1"/>
    <w:rsid w:val="61A62889"/>
    <w:rsid w:val="61E71135"/>
    <w:rsid w:val="621E4B15"/>
    <w:rsid w:val="62FF78E6"/>
    <w:rsid w:val="63017168"/>
    <w:rsid w:val="633E4694"/>
    <w:rsid w:val="63514A76"/>
    <w:rsid w:val="637D5875"/>
    <w:rsid w:val="63931944"/>
    <w:rsid w:val="63A52D9F"/>
    <w:rsid w:val="63B74933"/>
    <w:rsid w:val="63D45DC3"/>
    <w:rsid w:val="641813B5"/>
    <w:rsid w:val="64360777"/>
    <w:rsid w:val="64491A98"/>
    <w:rsid w:val="64562D15"/>
    <w:rsid w:val="64C37127"/>
    <w:rsid w:val="64CD1E40"/>
    <w:rsid w:val="65025F61"/>
    <w:rsid w:val="651A43EC"/>
    <w:rsid w:val="65312C94"/>
    <w:rsid w:val="65563DCC"/>
    <w:rsid w:val="656071F2"/>
    <w:rsid w:val="658F19D1"/>
    <w:rsid w:val="658F2672"/>
    <w:rsid w:val="65BB04C7"/>
    <w:rsid w:val="65BF216B"/>
    <w:rsid w:val="65CB4095"/>
    <w:rsid w:val="65CF22EF"/>
    <w:rsid w:val="65D05947"/>
    <w:rsid w:val="65D8147F"/>
    <w:rsid w:val="66064BB5"/>
    <w:rsid w:val="664724AE"/>
    <w:rsid w:val="66A556AA"/>
    <w:rsid w:val="66BA73A0"/>
    <w:rsid w:val="67053F8A"/>
    <w:rsid w:val="673A28B9"/>
    <w:rsid w:val="673A6791"/>
    <w:rsid w:val="67437188"/>
    <w:rsid w:val="67A07D7A"/>
    <w:rsid w:val="67FD365C"/>
    <w:rsid w:val="683E7CBF"/>
    <w:rsid w:val="68807B6B"/>
    <w:rsid w:val="68822F81"/>
    <w:rsid w:val="689A3CB5"/>
    <w:rsid w:val="68A32D0B"/>
    <w:rsid w:val="68AB1C6C"/>
    <w:rsid w:val="68F4037D"/>
    <w:rsid w:val="69025352"/>
    <w:rsid w:val="692E559A"/>
    <w:rsid w:val="692F7608"/>
    <w:rsid w:val="696304FF"/>
    <w:rsid w:val="697119CE"/>
    <w:rsid w:val="69766FE4"/>
    <w:rsid w:val="69BA3375"/>
    <w:rsid w:val="69BF098B"/>
    <w:rsid w:val="69CC30A8"/>
    <w:rsid w:val="6A010FA4"/>
    <w:rsid w:val="6A324051"/>
    <w:rsid w:val="6A40123B"/>
    <w:rsid w:val="6A8045F6"/>
    <w:rsid w:val="6A8B6AC0"/>
    <w:rsid w:val="6A9869BE"/>
    <w:rsid w:val="6A9A4B3B"/>
    <w:rsid w:val="6AA3205B"/>
    <w:rsid w:val="6AE178B3"/>
    <w:rsid w:val="6AE95D91"/>
    <w:rsid w:val="6AED1528"/>
    <w:rsid w:val="6B0015B5"/>
    <w:rsid w:val="6B0053A0"/>
    <w:rsid w:val="6B511155"/>
    <w:rsid w:val="6B544383"/>
    <w:rsid w:val="6B802C98"/>
    <w:rsid w:val="6B8B59E5"/>
    <w:rsid w:val="6B9E2823"/>
    <w:rsid w:val="6BAD0D11"/>
    <w:rsid w:val="6BE741CA"/>
    <w:rsid w:val="6C1A423A"/>
    <w:rsid w:val="6C264CF2"/>
    <w:rsid w:val="6C41645B"/>
    <w:rsid w:val="6C496C32"/>
    <w:rsid w:val="6C614D9A"/>
    <w:rsid w:val="6C953C26"/>
    <w:rsid w:val="6CB6506B"/>
    <w:rsid w:val="6CC47F42"/>
    <w:rsid w:val="6CC52495"/>
    <w:rsid w:val="6CFB4A91"/>
    <w:rsid w:val="6D9373D2"/>
    <w:rsid w:val="6DB509F0"/>
    <w:rsid w:val="6DB917DC"/>
    <w:rsid w:val="6DFE6878"/>
    <w:rsid w:val="6E143F34"/>
    <w:rsid w:val="6E6C6C08"/>
    <w:rsid w:val="6EB110E4"/>
    <w:rsid w:val="6EF661DA"/>
    <w:rsid w:val="6EFC72EF"/>
    <w:rsid w:val="6F763A4C"/>
    <w:rsid w:val="6F9555D2"/>
    <w:rsid w:val="6FBD4F30"/>
    <w:rsid w:val="6FC70638"/>
    <w:rsid w:val="7026305C"/>
    <w:rsid w:val="70534725"/>
    <w:rsid w:val="707379AA"/>
    <w:rsid w:val="70BE2E1D"/>
    <w:rsid w:val="70C20D61"/>
    <w:rsid w:val="71037B98"/>
    <w:rsid w:val="711517D9"/>
    <w:rsid w:val="71265794"/>
    <w:rsid w:val="712672D9"/>
    <w:rsid w:val="71526589"/>
    <w:rsid w:val="715658E9"/>
    <w:rsid w:val="715D308E"/>
    <w:rsid w:val="71A211E2"/>
    <w:rsid w:val="71E52F59"/>
    <w:rsid w:val="71E81464"/>
    <w:rsid w:val="71F65166"/>
    <w:rsid w:val="720304CB"/>
    <w:rsid w:val="722A4E10"/>
    <w:rsid w:val="722E214C"/>
    <w:rsid w:val="72420A9F"/>
    <w:rsid w:val="72567DFB"/>
    <w:rsid w:val="725B29BF"/>
    <w:rsid w:val="726B42DF"/>
    <w:rsid w:val="7289422C"/>
    <w:rsid w:val="728963C2"/>
    <w:rsid w:val="72A440CB"/>
    <w:rsid w:val="72A6176E"/>
    <w:rsid w:val="72E651DB"/>
    <w:rsid w:val="72E91BB6"/>
    <w:rsid w:val="732710B7"/>
    <w:rsid w:val="733402AF"/>
    <w:rsid w:val="734343DB"/>
    <w:rsid w:val="73A479D7"/>
    <w:rsid w:val="73B928EF"/>
    <w:rsid w:val="73B9644B"/>
    <w:rsid w:val="73CA4C19"/>
    <w:rsid w:val="73CF69C8"/>
    <w:rsid w:val="73FF037B"/>
    <w:rsid w:val="74070164"/>
    <w:rsid w:val="74246FA2"/>
    <w:rsid w:val="742D14A3"/>
    <w:rsid w:val="743B3304"/>
    <w:rsid w:val="747458E2"/>
    <w:rsid w:val="74D96C57"/>
    <w:rsid w:val="74DA6B1D"/>
    <w:rsid w:val="74EC3567"/>
    <w:rsid w:val="74F000FC"/>
    <w:rsid w:val="7500558D"/>
    <w:rsid w:val="75513299"/>
    <w:rsid w:val="758D4998"/>
    <w:rsid w:val="7595393C"/>
    <w:rsid w:val="75A12046"/>
    <w:rsid w:val="75E257A9"/>
    <w:rsid w:val="75E550A2"/>
    <w:rsid w:val="75EA07A0"/>
    <w:rsid w:val="75EF084A"/>
    <w:rsid w:val="761402B1"/>
    <w:rsid w:val="7614630D"/>
    <w:rsid w:val="7618010E"/>
    <w:rsid w:val="763D2D46"/>
    <w:rsid w:val="76993DC7"/>
    <w:rsid w:val="76F87DDA"/>
    <w:rsid w:val="773C586C"/>
    <w:rsid w:val="773D5A11"/>
    <w:rsid w:val="77DA2E34"/>
    <w:rsid w:val="77DE0B76"/>
    <w:rsid w:val="78245296"/>
    <w:rsid w:val="78270C3B"/>
    <w:rsid w:val="782F21D6"/>
    <w:rsid w:val="784418E8"/>
    <w:rsid w:val="78774B27"/>
    <w:rsid w:val="787E3729"/>
    <w:rsid w:val="78832E40"/>
    <w:rsid w:val="78AC47D1"/>
    <w:rsid w:val="78D63B79"/>
    <w:rsid w:val="78DB50B6"/>
    <w:rsid w:val="78E51A91"/>
    <w:rsid w:val="78E5389F"/>
    <w:rsid w:val="78EE6865"/>
    <w:rsid w:val="791C4F41"/>
    <w:rsid w:val="79216FB6"/>
    <w:rsid w:val="79872B48"/>
    <w:rsid w:val="79B82965"/>
    <w:rsid w:val="79C4331A"/>
    <w:rsid w:val="79E940DC"/>
    <w:rsid w:val="7A220080"/>
    <w:rsid w:val="7A2A2BBE"/>
    <w:rsid w:val="7A2F74E4"/>
    <w:rsid w:val="7A6C1CC3"/>
    <w:rsid w:val="7AA462AE"/>
    <w:rsid w:val="7ACC3527"/>
    <w:rsid w:val="7ACD709A"/>
    <w:rsid w:val="7AEF4E49"/>
    <w:rsid w:val="7B02692A"/>
    <w:rsid w:val="7B4547A0"/>
    <w:rsid w:val="7B5D0D72"/>
    <w:rsid w:val="7B9F061D"/>
    <w:rsid w:val="7BA9149B"/>
    <w:rsid w:val="7BBD67C6"/>
    <w:rsid w:val="7BCB329D"/>
    <w:rsid w:val="7BCF4537"/>
    <w:rsid w:val="7BDA37F1"/>
    <w:rsid w:val="7BFD31C2"/>
    <w:rsid w:val="7C0A2122"/>
    <w:rsid w:val="7C5F1C3D"/>
    <w:rsid w:val="7C8909CB"/>
    <w:rsid w:val="7CBB1486"/>
    <w:rsid w:val="7CD5418D"/>
    <w:rsid w:val="7CEC1060"/>
    <w:rsid w:val="7D364C8A"/>
    <w:rsid w:val="7D9F519D"/>
    <w:rsid w:val="7DB96A75"/>
    <w:rsid w:val="7DE82555"/>
    <w:rsid w:val="7DF52776"/>
    <w:rsid w:val="7E3030AD"/>
    <w:rsid w:val="7E326F60"/>
    <w:rsid w:val="7E4C610E"/>
    <w:rsid w:val="7E914EF8"/>
    <w:rsid w:val="7EC300D7"/>
    <w:rsid w:val="7ED14F91"/>
    <w:rsid w:val="7EFB62E1"/>
    <w:rsid w:val="7F4A4D43"/>
    <w:rsid w:val="7F516799"/>
    <w:rsid w:val="7F8026CA"/>
    <w:rsid w:val="7FA722B7"/>
    <w:rsid w:val="7FB843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iPriority="99" w:semiHidden="0" w:name="annotation reference"/>
    <w:lsdException w:qFormat="1" w:unhideWhenUsed="0" w:uiPriority="99"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qFormat="1" w:unhideWhenUsed="0"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64"/>
    <w:qFormat/>
    <w:uiPriority w:val="0"/>
    <w:pPr>
      <w:keepNext/>
      <w:keepLines/>
      <w:numPr>
        <w:ilvl w:val="0"/>
        <w:numId w:val="1"/>
      </w:numPr>
      <w:spacing w:before="340" w:after="330" w:line="578" w:lineRule="auto"/>
      <w:outlineLvl w:val="0"/>
    </w:pPr>
    <w:rPr>
      <w:b/>
      <w:kern w:val="44"/>
      <w:sz w:val="44"/>
      <w:szCs w:val="20"/>
    </w:rPr>
  </w:style>
  <w:style w:type="paragraph" w:styleId="5">
    <w:name w:val="heading 2"/>
    <w:basedOn w:val="1"/>
    <w:next w:val="1"/>
    <w:link w:val="10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131"/>
    <w:qFormat/>
    <w:uiPriority w:val="0"/>
    <w:pPr>
      <w:spacing w:line="360" w:lineRule="auto"/>
      <w:jc w:val="left"/>
      <w:outlineLvl w:val="2"/>
    </w:pPr>
    <w:rPr>
      <w:rFonts w:eastAsia="微软雅黑"/>
      <w:sz w:val="21"/>
    </w:rPr>
  </w:style>
  <w:style w:type="paragraph" w:styleId="7">
    <w:name w:val="heading 4"/>
    <w:basedOn w:val="1"/>
    <w:next w:val="1"/>
    <w:link w:val="117"/>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qFormat/>
    <w:uiPriority w:val="0"/>
    <w:pPr>
      <w:keepNext/>
      <w:keepLines/>
      <w:spacing w:before="280" w:after="290" w:line="376" w:lineRule="auto"/>
      <w:outlineLvl w:val="4"/>
    </w:pPr>
    <w:rPr>
      <w:b/>
      <w:bCs/>
      <w:sz w:val="28"/>
      <w:szCs w:val="28"/>
    </w:rPr>
  </w:style>
  <w:style w:type="paragraph" w:styleId="9">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10">
    <w:name w:val="heading 7"/>
    <w:basedOn w:val="1"/>
    <w:next w:val="1"/>
    <w:qFormat/>
    <w:uiPriority w:val="0"/>
    <w:pPr>
      <w:keepNext/>
      <w:keepLines/>
      <w:spacing w:before="240" w:after="64" w:line="320" w:lineRule="auto"/>
      <w:outlineLvl w:val="6"/>
    </w:pPr>
    <w:rPr>
      <w:b/>
      <w:bCs/>
      <w:sz w:val="24"/>
    </w:rPr>
  </w:style>
  <w:style w:type="paragraph" w:styleId="11">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2">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1"/>
    <w:link w:val="146"/>
    <w:qFormat/>
    <w:uiPriority w:val="0"/>
    <w:pPr>
      <w:spacing w:after="120"/>
      <w:ind w:left="420" w:leftChars="200"/>
    </w:pPr>
  </w:style>
  <w:style w:type="paragraph" w:styleId="13">
    <w:name w:val="List 3"/>
    <w:basedOn w:val="1"/>
    <w:qFormat/>
    <w:uiPriority w:val="99"/>
    <w:pPr>
      <w:ind w:left="100" w:leftChars="400" w:hanging="200" w:hangingChars="200"/>
    </w:pPr>
    <w:rPr>
      <w:szCs w:val="20"/>
    </w:rPr>
  </w:style>
  <w:style w:type="paragraph" w:styleId="14">
    <w:name w:val="toc 7"/>
    <w:basedOn w:val="1"/>
    <w:next w:val="1"/>
    <w:qFormat/>
    <w:uiPriority w:val="99"/>
    <w:pPr>
      <w:ind w:left="2520" w:leftChars="1200"/>
    </w:pPr>
  </w:style>
  <w:style w:type="paragraph" w:styleId="15">
    <w:name w:val="List Number"/>
    <w:basedOn w:val="1"/>
    <w:qFormat/>
    <w:uiPriority w:val="0"/>
    <w:pPr>
      <w:tabs>
        <w:tab w:val="left" w:pos="360"/>
        <w:tab w:val="left" w:pos="5220"/>
      </w:tabs>
      <w:ind w:left="4530" w:hanging="1110"/>
    </w:pPr>
    <w:rPr>
      <w:szCs w:val="21"/>
    </w:rPr>
  </w:style>
  <w:style w:type="paragraph" w:styleId="16">
    <w:name w:val="Normal Indent"/>
    <w:basedOn w:val="1"/>
    <w:next w:val="1"/>
    <w:link w:val="134"/>
    <w:qFormat/>
    <w:uiPriority w:val="0"/>
    <w:pPr>
      <w:adjustRightInd w:val="0"/>
      <w:spacing w:line="315" w:lineRule="atLeast"/>
      <w:ind w:firstLine="420"/>
      <w:jc w:val="left"/>
      <w:textAlignment w:val="baseline"/>
    </w:pPr>
    <w:rPr>
      <w:rFonts w:ascii="宋体"/>
      <w:kern w:val="0"/>
      <w:szCs w:val="20"/>
    </w:rPr>
  </w:style>
  <w:style w:type="paragraph" w:styleId="17">
    <w:name w:val="caption"/>
    <w:basedOn w:val="1"/>
    <w:next w:val="1"/>
    <w:qFormat/>
    <w:uiPriority w:val="0"/>
    <w:rPr>
      <w:rFonts w:ascii="Cambria" w:hAnsi="Cambria" w:eastAsia="黑体"/>
      <w:sz w:val="20"/>
      <w:szCs w:val="20"/>
    </w:rPr>
  </w:style>
  <w:style w:type="paragraph" w:styleId="18">
    <w:name w:val="Document Map"/>
    <w:basedOn w:val="1"/>
    <w:semiHidden/>
    <w:qFormat/>
    <w:uiPriority w:val="0"/>
    <w:pPr>
      <w:shd w:val="clear" w:color="auto" w:fill="000080"/>
    </w:pPr>
  </w:style>
  <w:style w:type="paragraph" w:styleId="19">
    <w:name w:val="annotation text"/>
    <w:basedOn w:val="1"/>
    <w:link w:val="129"/>
    <w:qFormat/>
    <w:uiPriority w:val="99"/>
    <w:pPr>
      <w:jc w:val="left"/>
    </w:pPr>
  </w:style>
  <w:style w:type="paragraph" w:styleId="20">
    <w:name w:val="Salutation"/>
    <w:basedOn w:val="1"/>
    <w:next w:val="1"/>
    <w:link w:val="164"/>
    <w:qFormat/>
    <w:uiPriority w:val="0"/>
    <w:pPr>
      <w:tabs>
        <w:tab w:val="left" w:pos="306"/>
        <w:tab w:val="left" w:pos="1078"/>
      </w:tabs>
    </w:pPr>
    <w:rPr>
      <w:rFonts w:ascii="宋体"/>
      <w:sz w:val="24"/>
      <w:szCs w:val="20"/>
    </w:rPr>
  </w:style>
  <w:style w:type="paragraph" w:styleId="21">
    <w:name w:val="Body Text 3"/>
    <w:basedOn w:val="1"/>
    <w:qFormat/>
    <w:uiPriority w:val="0"/>
    <w:pPr>
      <w:jc w:val="center"/>
    </w:pPr>
    <w:rPr>
      <w:rFonts w:ascii="宋体"/>
      <w:szCs w:val="20"/>
    </w:rPr>
  </w:style>
  <w:style w:type="paragraph" w:styleId="22">
    <w:name w:val="Body Text"/>
    <w:basedOn w:val="1"/>
    <w:next w:val="23"/>
    <w:link w:val="88"/>
    <w:qFormat/>
    <w:uiPriority w:val="0"/>
    <w:pPr>
      <w:spacing w:after="120"/>
    </w:pPr>
  </w:style>
  <w:style w:type="paragraph" w:styleId="23">
    <w:name w:val="Body Text First Indent"/>
    <w:basedOn w:val="1"/>
    <w:next w:val="24"/>
    <w:link w:val="120"/>
    <w:qFormat/>
    <w:uiPriority w:val="0"/>
    <w:pPr>
      <w:autoSpaceDE w:val="0"/>
      <w:autoSpaceDN w:val="0"/>
      <w:adjustRightInd w:val="0"/>
      <w:jc w:val="left"/>
    </w:pPr>
    <w:rPr>
      <w:kern w:val="0"/>
      <w:szCs w:val="20"/>
    </w:rPr>
  </w:style>
  <w:style w:type="paragraph" w:styleId="24">
    <w:name w:val="toc 6"/>
    <w:basedOn w:val="1"/>
    <w:next w:val="1"/>
    <w:qFormat/>
    <w:uiPriority w:val="99"/>
    <w:pPr>
      <w:ind w:left="2100" w:leftChars="1000"/>
    </w:pPr>
  </w:style>
  <w:style w:type="paragraph" w:styleId="25">
    <w:name w:val="List 2"/>
    <w:basedOn w:val="1"/>
    <w:qFormat/>
    <w:uiPriority w:val="0"/>
    <w:pPr>
      <w:ind w:left="100" w:leftChars="200" w:hanging="200" w:hangingChars="200"/>
    </w:pPr>
    <w:rPr>
      <w:szCs w:val="21"/>
    </w:rPr>
  </w:style>
  <w:style w:type="paragraph" w:styleId="26">
    <w:name w:val="Block Text"/>
    <w:basedOn w:val="1"/>
    <w:unhideWhenUsed/>
    <w:qFormat/>
    <w:uiPriority w:val="99"/>
    <w:pPr>
      <w:spacing w:after="120"/>
      <w:ind w:left="1440" w:leftChars="700" w:right="1440" w:rightChars="700"/>
    </w:pPr>
    <w:rPr>
      <w:szCs w:val="21"/>
    </w:rPr>
  </w:style>
  <w:style w:type="paragraph" w:styleId="27">
    <w:name w:val="toc 5"/>
    <w:basedOn w:val="1"/>
    <w:next w:val="1"/>
    <w:qFormat/>
    <w:uiPriority w:val="99"/>
    <w:pPr>
      <w:ind w:left="1680" w:leftChars="800"/>
    </w:pPr>
  </w:style>
  <w:style w:type="paragraph" w:styleId="28">
    <w:name w:val="toc 3"/>
    <w:basedOn w:val="1"/>
    <w:next w:val="1"/>
    <w:qFormat/>
    <w:uiPriority w:val="99"/>
    <w:pPr>
      <w:tabs>
        <w:tab w:val="right" w:leader="dot" w:pos="9180"/>
      </w:tabs>
    </w:pPr>
  </w:style>
  <w:style w:type="paragraph" w:styleId="29">
    <w:name w:val="Plain Text"/>
    <w:basedOn w:val="1"/>
    <w:next w:val="1"/>
    <w:link w:val="115"/>
    <w:qFormat/>
    <w:uiPriority w:val="0"/>
    <w:rPr>
      <w:rFonts w:ascii="宋体" w:hAnsi="Courier New"/>
      <w:szCs w:val="21"/>
    </w:rPr>
  </w:style>
  <w:style w:type="paragraph" w:styleId="30">
    <w:name w:val="toc 8"/>
    <w:basedOn w:val="1"/>
    <w:next w:val="1"/>
    <w:qFormat/>
    <w:uiPriority w:val="99"/>
    <w:pPr>
      <w:ind w:left="2940" w:leftChars="1400"/>
    </w:pPr>
  </w:style>
  <w:style w:type="paragraph" w:styleId="31">
    <w:name w:val="Date"/>
    <w:basedOn w:val="1"/>
    <w:next w:val="1"/>
    <w:link w:val="78"/>
    <w:qFormat/>
    <w:uiPriority w:val="0"/>
    <w:pPr>
      <w:adjustRightInd w:val="0"/>
      <w:spacing w:line="312" w:lineRule="atLeast"/>
      <w:textAlignment w:val="baseline"/>
    </w:pPr>
    <w:rPr>
      <w:rFonts w:ascii="仿宋_GB2312" w:eastAsia="仿宋_GB2312"/>
      <w:kern w:val="0"/>
      <w:sz w:val="28"/>
      <w:szCs w:val="20"/>
    </w:rPr>
  </w:style>
  <w:style w:type="paragraph" w:styleId="32">
    <w:name w:val="Body Text Indent 2"/>
    <w:basedOn w:val="1"/>
    <w:link w:val="77"/>
    <w:qFormat/>
    <w:uiPriority w:val="0"/>
    <w:pPr>
      <w:spacing w:after="120" w:line="480" w:lineRule="auto"/>
      <w:ind w:left="420" w:leftChars="200"/>
    </w:pPr>
  </w:style>
  <w:style w:type="paragraph" w:styleId="33">
    <w:name w:val="endnote text"/>
    <w:basedOn w:val="1"/>
    <w:link w:val="166"/>
    <w:qFormat/>
    <w:uiPriority w:val="0"/>
    <w:pPr>
      <w:snapToGrid w:val="0"/>
      <w:jc w:val="left"/>
    </w:pPr>
  </w:style>
  <w:style w:type="paragraph" w:styleId="34">
    <w:name w:val="Balloon Text"/>
    <w:basedOn w:val="1"/>
    <w:link w:val="170"/>
    <w:qFormat/>
    <w:uiPriority w:val="0"/>
    <w:rPr>
      <w:sz w:val="18"/>
      <w:szCs w:val="18"/>
    </w:rPr>
  </w:style>
  <w:style w:type="paragraph" w:styleId="35">
    <w:name w:val="footer"/>
    <w:basedOn w:val="1"/>
    <w:link w:val="148"/>
    <w:qFormat/>
    <w:uiPriority w:val="0"/>
    <w:pPr>
      <w:tabs>
        <w:tab w:val="center" w:pos="4153"/>
        <w:tab w:val="right" w:pos="8306"/>
      </w:tabs>
      <w:adjustRightInd w:val="0"/>
      <w:spacing w:line="240" w:lineRule="atLeast"/>
      <w:jc w:val="left"/>
      <w:textAlignment w:val="baseline"/>
    </w:pPr>
    <w:rPr>
      <w:kern w:val="0"/>
      <w:sz w:val="18"/>
      <w:szCs w:val="20"/>
    </w:rPr>
  </w:style>
  <w:style w:type="paragraph" w:styleId="36">
    <w:name w:val="header"/>
    <w:basedOn w:val="1"/>
    <w:link w:val="149"/>
    <w:qFormat/>
    <w:uiPriority w:val="99"/>
    <w:pPr>
      <w:pBdr>
        <w:bottom w:val="single" w:color="auto" w:sz="6" w:space="1"/>
      </w:pBdr>
      <w:tabs>
        <w:tab w:val="center" w:pos="4153"/>
        <w:tab w:val="right" w:pos="8306"/>
      </w:tabs>
      <w:adjustRightInd w:val="0"/>
      <w:spacing w:line="240" w:lineRule="atLeast"/>
      <w:jc w:val="center"/>
      <w:textAlignment w:val="baseline"/>
    </w:pPr>
    <w:rPr>
      <w:kern w:val="0"/>
      <w:sz w:val="18"/>
      <w:szCs w:val="20"/>
    </w:rPr>
  </w:style>
  <w:style w:type="paragraph" w:styleId="37">
    <w:name w:val="toc 1"/>
    <w:basedOn w:val="1"/>
    <w:next w:val="1"/>
    <w:qFormat/>
    <w:uiPriority w:val="39"/>
    <w:pPr>
      <w:tabs>
        <w:tab w:val="right" w:leader="dot" w:pos="8834"/>
      </w:tabs>
      <w:spacing w:line="600" w:lineRule="exact"/>
    </w:pPr>
    <w:rPr>
      <w:szCs w:val="28"/>
    </w:rPr>
  </w:style>
  <w:style w:type="paragraph" w:styleId="38">
    <w:name w:val="toc 4"/>
    <w:basedOn w:val="1"/>
    <w:next w:val="1"/>
    <w:qFormat/>
    <w:uiPriority w:val="99"/>
    <w:pPr>
      <w:ind w:left="1260" w:leftChars="600"/>
    </w:pPr>
  </w:style>
  <w:style w:type="paragraph" w:styleId="39">
    <w:name w:val="Subtitle"/>
    <w:basedOn w:val="1"/>
    <w:next w:val="1"/>
    <w:link w:val="151"/>
    <w:qFormat/>
    <w:uiPriority w:val="0"/>
    <w:pPr>
      <w:spacing w:before="240" w:after="60" w:line="312" w:lineRule="auto"/>
      <w:jc w:val="center"/>
      <w:outlineLvl w:val="1"/>
    </w:pPr>
    <w:rPr>
      <w:rFonts w:ascii="Calibri Light" w:hAnsi="Calibri Light"/>
      <w:b/>
      <w:bCs/>
      <w:kern w:val="28"/>
      <w:sz w:val="32"/>
      <w:szCs w:val="32"/>
    </w:rPr>
  </w:style>
  <w:style w:type="paragraph" w:styleId="40">
    <w:name w:val="footnote text"/>
    <w:basedOn w:val="1"/>
    <w:link w:val="161"/>
    <w:qFormat/>
    <w:uiPriority w:val="0"/>
    <w:pPr>
      <w:snapToGrid w:val="0"/>
      <w:jc w:val="left"/>
    </w:pPr>
    <w:rPr>
      <w:sz w:val="18"/>
      <w:szCs w:val="18"/>
    </w:rPr>
  </w:style>
  <w:style w:type="paragraph" w:styleId="41">
    <w:name w:val="Body Text Indent 3"/>
    <w:basedOn w:val="1"/>
    <w:link w:val="75"/>
    <w:qFormat/>
    <w:uiPriority w:val="0"/>
    <w:pPr>
      <w:spacing w:after="120"/>
      <w:ind w:left="420" w:leftChars="200"/>
    </w:pPr>
    <w:rPr>
      <w:sz w:val="16"/>
      <w:szCs w:val="16"/>
    </w:rPr>
  </w:style>
  <w:style w:type="paragraph" w:styleId="42">
    <w:name w:val="table of figures"/>
    <w:basedOn w:val="1"/>
    <w:next w:val="1"/>
    <w:semiHidden/>
    <w:qFormat/>
    <w:uiPriority w:val="0"/>
    <w:pPr>
      <w:tabs>
        <w:tab w:val="left" w:pos="510"/>
      </w:tabs>
      <w:adjustRightInd w:val="0"/>
      <w:spacing w:line="240" w:lineRule="atLeast"/>
      <w:textAlignment w:val="baseline"/>
    </w:pPr>
    <w:rPr>
      <w:kern w:val="0"/>
      <w:sz w:val="24"/>
      <w:szCs w:val="20"/>
    </w:rPr>
  </w:style>
  <w:style w:type="paragraph" w:styleId="43">
    <w:name w:val="toc 2"/>
    <w:basedOn w:val="1"/>
    <w:next w:val="1"/>
    <w:qFormat/>
    <w:uiPriority w:val="99"/>
    <w:pPr>
      <w:tabs>
        <w:tab w:val="right" w:leader="dot" w:pos="9180"/>
      </w:tabs>
      <w:jc w:val="left"/>
    </w:pPr>
    <w:rPr>
      <w:smallCaps/>
    </w:rPr>
  </w:style>
  <w:style w:type="paragraph" w:styleId="44">
    <w:name w:val="toc 9"/>
    <w:basedOn w:val="1"/>
    <w:next w:val="1"/>
    <w:qFormat/>
    <w:uiPriority w:val="99"/>
    <w:pPr>
      <w:ind w:left="3360" w:leftChars="1600"/>
    </w:pPr>
  </w:style>
  <w:style w:type="paragraph" w:styleId="45">
    <w:name w:val="Body Text 2"/>
    <w:basedOn w:val="1"/>
    <w:link w:val="150"/>
    <w:qFormat/>
    <w:uiPriority w:val="0"/>
    <w:rPr>
      <w:sz w:val="24"/>
    </w:rPr>
  </w:style>
  <w:style w:type="paragraph" w:styleId="4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7">
    <w:name w:val="index 1"/>
    <w:basedOn w:val="1"/>
    <w:next w:val="1"/>
    <w:qFormat/>
    <w:uiPriority w:val="99"/>
  </w:style>
  <w:style w:type="paragraph" w:styleId="48">
    <w:name w:val="Title"/>
    <w:basedOn w:val="1"/>
    <w:next w:val="1"/>
    <w:link w:val="168"/>
    <w:qFormat/>
    <w:uiPriority w:val="0"/>
    <w:pPr>
      <w:spacing w:before="240" w:after="60"/>
      <w:jc w:val="center"/>
      <w:outlineLvl w:val="0"/>
    </w:pPr>
    <w:rPr>
      <w:rFonts w:ascii="Cambria" w:hAnsi="Cambria"/>
      <w:b/>
      <w:bCs/>
      <w:sz w:val="32"/>
      <w:szCs w:val="32"/>
    </w:rPr>
  </w:style>
  <w:style w:type="paragraph" w:styleId="49">
    <w:name w:val="annotation subject"/>
    <w:basedOn w:val="19"/>
    <w:next w:val="19"/>
    <w:link w:val="83"/>
    <w:unhideWhenUsed/>
    <w:qFormat/>
    <w:uiPriority w:val="99"/>
    <w:rPr>
      <w:b/>
      <w:bCs/>
    </w:rPr>
  </w:style>
  <w:style w:type="table" w:styleId="51">
    <w:name w:val="Table Grid"/>
    <w:basedOn w:val="5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99"/>
    <w:rPr>
      <w:b/>
      <w:bCs/>
    </w:rPr>
  </w:style>
  <w:style w:type="character" w:styleId="54">
    <w:name w:val="endnote reference"/>
    <w:qFormat/>
    <w:uiPriority w:val="0"/>
    <w:rPr>
      <w:vertAlign w:val="superscript"/>
    </w:rPr>
  </w:style>
  <w:style w:type="character" w:styleId="55">
    <w:name w:val="page number"/>
    <w:basedOn w:val="52"/>
    <w:qFormat/>
    <w:uiPriority w:val="0"/>
  </w:style>
  <w:style w:type="character" w:styleId="56">
    <w:name w:val="FollowedHyperlink"/>
    <w:qFormat/>
    <w:uiPriority w:val="99"/>
    <w:rPr>
      <w:color w:val="800080"/>
      <w:u w:val="single"/>
    </w:rPr>
  </w:style>
  <w:style w:type="character" w:styleId="57">
    <w:name w:val="line number"/>
    <w:qFormat/>
    <w:uiPriority w:val="99"/>
  </w:style>
  <w:style w:type="character" w:styleId="58">
    <w:name w:val="HTML Typewriter"/>
    <w:qFormat/>
    <w:uiPriority w:val="0"/>
    <w:rPr>
      <w:rFonts w:ascii="黑体" w:hAnsi="Courier New" w:eastAsia="黑体" w:cs="Courier New"/>
      <w:spacing w:val="312"/>
      <w:sz w:val="18"/>
      <w:szCs w:val="18"/>
    </w:rPr>
  </w:style>
  <w:style w:type="character" w:styleId="59">
    <w:name w:val="Hyperlink"/>
    <w:qFormat/>
    <w:uiPriority w:val="99"/>
    <w:rPr>
      <w:color w:val="0000FF"/>
      <w:u w:val="single"/>
    </w:rPr>
  </w:style>
  <w:style w:type="character" w:styleId="60">
    <w:name w:val="annotation reference"/>
    <w:unhideWhenUsed/>
    <w:qFormat/>
    <w:uiPriority w:val="99"/>
    <w:rPr>
      <w:sz w:val="21"/>
      <w:szCs w:val="21"/>
    </w:rPr>
  </w:style>
  <w:style w:type="character" w:styleId="61">
    <w:name w:val="footnote reference"/>
    <w:qFormat/>
    <w:uiPriority w:val="0"/>
    <w:rPr>
      <w:vertAlign w:val="superscript"/>
    </w:rPr>
  </w:style>
  <w:style w:type="paragraph" w:customStyle="1" w:styleId="62">
    <w:name w:val="列出段落1"/>
    <w:basedOn w:val="1"/>
    <w:qFormat/>
    <w:uiPriority w:val="99"/>
    <w:pPr>
      <w:ind w:firstLine="200" w:firstLineChars="200"/>
    </w:pPr>
    <w:rPr>
      <w:rFonts w:ascii="Calibri" w:hAnsi="Calibri" w:cs="Arial"/>
    </w:rPr>
  </w:style>
  <w:style w:type="paragraph" w:customStyle="1" w:styleId="63">
    <w:name w:val="FC正文"/>
    <w:basedOn w:val="1"/>
    <w:qFormat/>
    <w:uiPriority w:val="0"/>
    <w:pPr>
      <w:autoSpaceDE w:val="0"/>
      <w:autoSpaceDN w:val="0"/>
      <w:adjustRightInd w:val="0"/>
      <w:spacing w:line="360" w:lineRule="auto"/>
      <w:ind w:firstLine="200" w:firstLineChars="200"/>
    </w:pPr>
    <w:rPr>
      <w:rFonts w:ascii="宋体" w:hAnsi="宋体"/>
      <w:kern w:val="0"/>
      <w:sz w:val="24"/>
      <w:szCs w:val="28"/>
    </w:rPr>
  </w:style>
  <w:style w:type="paragraph" w:customStyle="1" w:styleId="64">
    <w:name w:val="Body Text First Indent 21"/>
    <w:basedOn w:val="65"/>
    <w:qFormat/>
    <w:uiPriority w:val="99"/>
    <w:pPr>
      <w:ind w:firstLine="420"/>
    </w:pPr>
  </w:style>
  <w:style w:type="paragraph" w:customStyle="1" w:styleId="65">
    <w:name w:val="Body Text Indent1"/>
    <w:basedOn w:val="1"/>
    <w:qFormat/>
    <w:uiPriority w:val="99"/>
    <w:pPr>
      <w:ind w:left="420" w:leftChars="200"/>
    </w:pPr>
  </w:style>
  <w:style w:type="paragraph" w:customStyle="1" w:styleId="66">
    <w:name w:val="表格文字"/>
    <w:basedOn w:val="1"/>
    <w:next w:val="22"/>
    <w:qFormat/>
    <w:uiPriority w:val="0"/>
    <w:pPr>
      <w:jc w:val="left"/>
    </w:pPr>
    <w:rPr>
      <w:szCs w:val="22"/>
    </w:rPr>
  </w:style>
  <w:style w:type="character" w:customStyle="1" w:styleId="67">
    <w:name w:val="三级 Char"/>
    <w:link w:val="68"/>
    <w:qFormat/>
    <w:uiPriority w:val="0"/>
    <w:rPr>
      <w:rFonts w:eastAsia="黑体"/>
      <w:kern w:val="2"/>
      <w:sz w:val="24"/>
      <w:szCs w:val="22"/>
    </w:rPr>
  </w:style>
  <w:style w:type="paragraph" w:customStyle="1" w:styleId="68">
    <w:name w:val="三级"/>
    <w:basedOn w:val="1"/>
    <w:link w:val="67"/>
    <w:qFormat/>
    <w:uiPriority w:val="0"/>
    <w:pPr>
      <w:spacing w:before="120" w:after="120" w:line="400" w:lineRule="exact"/>
    </w:pPr>
    <w:rPr>
      <w:rFonts w:eastAsia="黑体"/>
      <w:sz w:val="24"/>
      <w:szCs w:val="22"/>
    </w:rPr>
  </w:style>
  <w:style w:type="character" w:customStyle="1" w:styleId="69">
    <w:name w:val="副标题 Char"/>
    <w:qFormat/>
    <w:uiPriority w:val="0"/>
    <w:rPr>
      <w:rFonts w:ascii="Calibri Light" w:hAnsi="Calibri Light" w:cs="Times New Roman"/>
      <w:b/>
      <w:bCs/>
      <w:kern w:val="28"/>
      <w:sz w:val="32"/>
      <w:szCs w:val="32"/>
    </w:rPr>
  </w:style>
  <w:style w:type="character" w:customStyle="1" w:styleId="70">
    <w:name w:val="标题 1 Char"/>
    <w:qFormat/>
    <w:locked/>
    <w:uiPriority w:val="0"/>
    <w:rPr>
      <w:rFonts w:eastAsia="宋体"/>
      <w:b/>
      <w:bCs/>
      <w:kern w:val="44"/>
      <w:sz w:val="44"/>
      <w:szCs w:val="44"/>
      <w:lang w:val="en-US" w:eastAsia="zh-CN" w:bidi="ar-SA"/>
    </w:rPr>
  </w:style>
  <w:style w:type="character" w:customStyle="1" w:styleId="71">
    <w:name w:val="font01"/>
    <w:qFormat/>
    <w:uiPriority w:val="0"/>
    <w:rPr>
      <w:rFonts w:hint="eastAsia" w:ascii="宋体" w:hAnsi="宋体" w:eastAsia="宋体" w:cs="宋体"/>
      <w:color w:val="000000"/>
      <w:sz w:val="20"/>
      <w:szCs w:val="20"/>
      <w:u w:val="none"/>
      <w:vertAlign w:val="superscript"/>
    </w:rPr>
  </w:style>
  <w:style w:type="character" w:customStyle="1" w:styleId="72">
    <w:name w:val="font51"/>
    <w:basedOn w:val="52"/>
    <w:qFormat/>
    <w:uiPriority w:val="0"/>
    <w:rPr>
      <w:rFonts w:hint="default" w:ascii="Times New Roman" w:hAnsi="Times New Roman" w:cs="Times New Roman"/>
      <w:color w:val="000000"/>
      <w:sz w:val="20"/>
      <w:szCs w:val="20"/>
      <w:u w:val="none"/>
    </w:rPr>
  </w:style>
  <w:style w:type="character" w:customStyle="1" w:styleId="73">
    <w:name w:val="Footnote Text Char1"/>
    <w:semiHidden/>
    <w:qFormat/>
    <w:uiPriority w:val="99"/>
    <w:rPr>
      <w:sz w:val="18"/>
      <w:szCs w:val="18"/>
    </w:rPr>
  </w:style>
  <w:style w:type="character" w:customStyle="1" w:styleId="74">
    <w:name w:val="Date Char1"/>
    <w:semiHidden/>
    <w:qFormat/>
    <w:uiPriority w:val="99"/>
    <w:rPr>
      <w:szCs w:val="20"/>
    </w:rPr>
  </w:style>
  <w:style w:type="character" w:customStyle="1" w:styleId="75">
    <w:name w:val="正文文本缩进 3 字符"/>
    <w:link w:val="41"/>
    <w:qFormat/>
    <w:uiPriority w:val="0"/>
    <w:rPr>
      <w:kern w:val="2"/>
      <w:sz w:val="16"/>
      <w:szCs w:val="16"/>
    </w:rPr>
  </w:style>
  <w:style w:type="character" w:customStyle="1" w:styleId="76">
    <w:name w:val="Body Text Indent Char1"/>
    <w:semiHidden/>
    <w:qFormat/>
    <w:uiPriority w:val="99"/>
    <w:rPr>
      <w:szCs w:val="20"/>
    </w:rPr>
  </w:style>
  <w:style w:type="character" w:customStyle="1" w:styleId="77">
    <w:name w:val="正文文本缩进 2 字符"/>
    <w:link w:val="32"/>
    <w:qFormat/>
    <w:uiPriority w:val="0"/>
    <w:rPr>
      <w:kern w:val="2"/>
      <w:sz w:val="21"/>
      <w:szCs w:val="24"/>
    </w:rPr>
  </w:style>
  <w:style w:type="character" w:customStyle="1" w:styleId="78">
    <w:name w:val="日期 字符"/>
    <w:link w:val="31"/>
    <w:qFormat/>
    <w:uiPriority w:val="0"/>
    <w:rPr>
      <w:rFonts w:ascii="仿宋_GB2312" w:eastAsia="仿宋_GB2312"/>
      <w:sz w:val="28"/>
    </w:rPr>
  </w:style>
  <w:style w:type="character" w:customStyle="1" w:styleId="79">
    <w:name w:val="Body Text Indent 2 Char1"/>
    <w:semiHidden/>
    <w:qFormat/>
    <w:uiPriority w:val="99"/>
    <w:rPr>
      <w:szCs w:val="20"/>
    </w:rPr>
  </w:style>
  <w:style w:type="character" w:customStyle="1" w:styleId="80">
    <w:name w:val="列表段落 字符"/>
    <w:link w:val="81"/>
    <w:qFormat/>
    <w:locked/>
    <w:uiPriority w:val="0"/>
    <w:rPr>
      <w:kern w:val="2"/>
      <w:sz w:val="21"/>
      <w:szCs w:val="24"/>
    </w:rPr>
  </w:style>
  <w:style w:type="paragraph" w:styleId="81">
    <w:name w:val="List Paragraph"/>
    <w:basedOn w:val="1"/>
    <w:link w:val="80"/>
    <w:qFormat/>
    <w:uiPriority w:val="0"/>
    <w:pPr>
      <w:ind w:firstLine="420" w:firstLineChars="200"/>
    </w:pPr>
  </w:style>
  <w:style w:type="character" w:customStyle="1" w:styleId="82">
    <w:name w:val="Char Char10"/>
    <w:qFormat/>
    <w:locked/>
    <w:uiPriority w:val="0"/>
    <w:rPr>
      <w:rFonts w:ascii="宋体" w:hAnsi="Courier New" w:eastAsia="宋体" w:cs="宋体"/>
      <w:lang w:val="en-US" w:eastAsia="zh-CN"/>
    </w:rPr>
  </w:style>
  <w:style w:type="character" w:customStyle="1" w:styleId="83">
    <w:name w:val="批注主题 字符"/>
    <w:link w:val="49"/>
    <w:qFormat/>
    <w:uiPriority w:val="99"/>
    <w:rPr>
      <w:b/>
      <w:bCs/>
      <w:kern w:val="2"/>
      <w:sz w:val="21"/>
      <w:szCs w:val="24"/>
    </w:rPr>
  </w:style>
  <w:style w:type="character" w:customStyle="1" w:styleId="84">
    <w:name w:val="jbox-icon-success"/>
    <w:qFormat/>
    <w:uiPriority w:val="0"/>
  </w:style>
  <w:style w:type="character" w:customStyle="1" w:styleId="85">
    <w:name w:val="正文缩进 Char1"/>
    <w:qFormat/>
    <w:uiPriority w:val="0"/>
    <w:rPr>
      <w:sz w:val="21"/>
      <w:szCs w:val="21"/>
    </w:rPr>
  </w:style>
  <w:style w:type="character" w:customStyle="1" w:styleId="86">
    <w:name w:val="z-窗体顶端 Char1"/>
    <w:qFormat/>
    <w:uiPriority w:val="99"/>
    <w:rPr>
      <w:rFonts w:ascii="Arial" w:hAnsi="Arial" w:cs="Arial"/>
      <w:vanish/>
      <w:sz w:val="16"/>
      <w:szCs w:val="16"/>
    </w:rPr>
  </w:style>
  <w:style w:type="character" w:customStyle="1" w:styleId="87">
    <w:name w:val="批注文字 Char1"/>
    <w:qFormat/>
    <w:uiPriority w:val="99"/>
    <w:rPr>
      <w:kern w:val="2"/>
      <w:sz w:val="21"/>
      <w:szCs w:val="24"/>
    </w:rPr>
  </w:style>
  <w:style w:type="character" w:customStyle="1" w:styleId="88">
    <w:name w:val="正文文本 字符"/>
    <w:link w:val="22"/>
    <w:qFormat/>
    <w:uiPriority w:val="0"/>
    <w:rPr>
      <w:kern w:val="2"/>
      <w:sz w:val="21"/>
      <w:szCs w:val="24"/>
    </w:rPr>
  </w:style>
  <w:style w:type="character" w:customStyle="1" w:styleId="89">
    <w:name w:val="Body Text Char1"/>
    <w:semiHidden/>
    <w:qFormat/>
    <w:uiPriority w:val="99"/>
    <w:rPr>
      <w:szCs w:val="20"/>
    </w:rPr>
  </w:style>
  <w:style w:type="character" w:customStyle="1" w:styleId="90">
    <w:name w:val="en"/>
    <w:qFormat/>
    <w:uiPriority w:val="0"/>
  </w:style>
  <w:style w:type="character" w:customStyle="1" w:styleId="91">
    <w:name w:val="批注框文本 Char"/>
    <w:qFormat/>
    <w:uiPriority w:val="0"/>
    <w:rPr>
      <w:kern w:val="2"/>
      <w:sz w:val="18"/>
      <w:szCs w:val="18"/>
    </w:rPr>
  </w:style>
  <w:style w:type="character" w:customStyle="1" w:styleId="92">
    <w:name w:val="标题 Char1"/>
    <w:qFormat/>
    <w:uiPriority w:val="0"/>
    <w:rPr>
      <w:rFonts w:ascii="Cambria" w:hAnsi="Cambria" w:cs="Times New Roman"/>
      <w:b/>
      <w:bCs/>
      <w:kern w:val="2"/>
      <w:sz w:val="32"/>
      <w:szCs w:val="32"/>
    </w:rPr>
  </w:style>
  <w:style w:type="character" w:customStyle="1" w:styleId="93">
    <w:name w:val="layui-laypage-curr"/>
    <w:qFormat/>
    <w:uiPriority w:val="0"/>
  </w:style>
  <w:style w:type="character" w:customStyle="1" w:styleId="94">
    <w:name w:val="text"/>
    <w:qFormat/>
    <w:uiPriority w:val="0"/>
  </w:style>
  <w:style w:type="character" w:customStyle="1" w:styleId="95">
    <w:name w:val="z-窗体顶端 Char"/>
    <w:semiHidden/>
    <w:qFormat/>
    <w:uiPriority w:val="99"/>
    <w:rPr>
      <w:rFonts w:ascii="Arial" w:hAnsi="Arial" w:cs="Arial"/>
      <w:vanish/>
      <w:kern w:val="2"/>
      <w:sz w:val="16"/>
      <w:szCs w:val="16"/>
    </w:rPr>
  </w:style>
  <w:style w:type="character" w:customStyle="1" w:styleId="96">
    <w:name w:val="Plain Text Char1"/>
    <w:semiHidden/>
    <w:qFormat/>
    <w:uiPriority w:val="99"/>
    <w:rPr>
      <w:rFonts w:ascii="宋体" w:hAnsi="Courier New" w:cs="Courier New"/>
      <w:szCs w:val="21"/>
    </w:rPr>
  </w:style>
  <w:style w:type="character" w:customStyle="1" w:styleId="97">
    <w:name w:val="3级标题 Char"/>
    <w:link w:val="98"/>
    <w:qFormat/>
    <w:uiPriority w:val="0"/>
    <w:rPr>
      <w:rFonts w:ascii="Arial" w:hAnsi="Arial" w:eastAsia="黑体"/>
      <w:b/>
      <w:spacing w:val="4"/>
      <w:kern w:val="2"/>
      <w:sz w:val="21"/>
      <w:szCs w:val="21"/>
    </w:rPr>
  </w:style>
  <w:style w:type="paragraph" w:customStyle="1" w:styleId="98">
    <w:name w:val="3级标题"/>
    <w:basedOn w:val="1"/>
    <w:link w:val="97"/>
    <w:qFormat/>
    <w:uiPriority w:val="0"/>
    <w:pPr>
      <w:snapToGrid w:val="0"/>
      <w:spacing w:before="60" w:after="60" w:line="400" w:lineRule="exact"/>
    </w:pPr>
    <w:rPr>
      <w:rFonts w:ascii="Arial" w:hAnsi="Arial" w:eastAsia="黑体"/>
      <w:b/>
      <w:spacing w:val="4"/>
      <w:szCs w:val="21"/>
    </w:rPr>
  </w:style>
  <w:style w:type="character" w:customStyle="1" w:styleId="99">
    <w:name w:val="批注主题 Char"/>
    <w:qFormat/>
    <w:uiPriority w:val="0"/>
    <w:rPr>
      <w:b/>
      <w:bCs/>
      <w:kern w:val="2"/>
      <w:sz w:val="21"/>
      <w:szCs w:val="24"/>
    </w:rPr>
  </w:style>
  <w:style w:type="character" w:customStyle="1" w:styleId="100">
    <w:name w:val="font61"/>
    <w:qFormat/>
    <w:uiPriority w:val="0"/>
    <w:rPr>
      <w:rFonts w:hint="eastAsia" w:ascii="宋体" w:hAnsi="宋体" w:eastAsia="宋体" w:cs="宋体"/>
      <w:color w:val="000000"/>
      <w:sz w:val="22"/>
      <w:szCs w:val="22"/>
      <w:u w:val="none"/>
    </w:rPr>
  </w:style>
  <w:style w:type="character" w:customStyle="1" w:styleId="101">
    <w:name w:val="标题 2 字符"/>
    <w:link w:val="5"/>
    <w:qFormat/>
    <w:uiPriority w:val="0"/>
    <w:rPr>
      <w:rFonts w:ascii="Arial" w:hAnsi="Arial" w:eastAsia="黑体"/>
      <w:b/>
      <w:bCs/>
      <w:kern w:val="2"/>
      <w:sz w:val="32"/>
      <w:szCs w:val="32"/>
    </w:rPr>
  </w:style>
  <w:style w:type="character" w:customStyle="1" w:styleId="102">
    <w:name w:val="正文2 Char Char"/>
    <w:link w:val="103"/>
    <w:qFormat/>
    <w:uiPriority w:val="0"/>
    <w:rPr>
      <w:kern w:val="2"/>
      <w:sz w:val="24"/>
    </w:rPr>
  </w:style>
  <w:style w:type="paragraph" w:customStyle="1" w:styleId="103">
    <w:name w:val="正文2"/>
    <w:basedOn w:val="1"/>
    <w:link w:val="102"/>
    <w:qFormat/>
    <w:uiPriority w:val="0"/>
    <w:pPr>
      <w:spacing w:before="156" w:line="360" w:lineRule="auto"/>
      <w:ind w:firstLine="510" w:firstLineChars="200"/>
    </w:pPr>
    <w:rPr>
      <w:sz w:val="24"/>
      <w:szCs w:val="20"/>
    </w:rPr>
  </w:style>
  <w:style w:type="character" w:customStyle="1" w:styleId="104">
    <w:name w:val="jbox-icon-none"/>
    <w:qFormat/>
    <w:uiPriority w:val="0"/>
    <w:rPr>
      <w:vanish/>
    </w:rPr>
  </w:style>
  <w:style w:type="character" w:customStyle="1" w:styleId="105">
    <w:name w:val="标题 1 Char Char"/>
    <w:qFormat/>
    <w:uiPriority w:val="0"/>
    <w:rPr>
      <w:rFonts w:eastAsia="宋体"/>
      <w:b/>
      <w:spacing w:val="-2"/>
      <w:sz w:val="24"/>
      <w:lang w:val="en-US" w:eastAsia="zh-CN"/>
    </w:rPr>
  </w:style>
  <w:style w:type="character" w:customStyle="1" w:styleId="106">
    <w:name w:val="z-窗体顶端 Char2"/>
    <w:link w:val="107"/>
    <w:qFormat/>
    <w:uiPriority w:val="99"/>
    <w:rPr>
      <w:rFonts w:ascii="Arial" w:hAnsi="Arial" w:cs="Arial"/>
      <w:vanish/>
      <w:sz w:val="16"/>
      <w:szCs w:val="16"/>
    </w:rPr>
  </w:style>
  <w:style w:type="paragraph" w:customStyle="1" w:styleId="107">
    <w:name w:val="z-窗体顶端1"/>
    <w:basedOn w:val="1"/>
    <w:next w:val="1"/>
    <w:link w:val="106"/>
    <w:unhideWhenUsed/>
    <w:qFormat/>
    <w:uiPriority w:val="99"/>
    <w:pPr>
      <w:widowControl/>
      <w:pBdr>
        <w:bottom w:val="single" w:color="auto" w:sz="6" w:space="1"/>
      </w:pBdr>
      <w:jc w:val="center"/>
    </w:pPr>
    <w:rPr>
      <w:rFonts w:ascii="Arial" w:hAnsi="Arial"/>
      <w:vanish/>
      <w:kern w:val="0"/>
      <w:sz w:val="16"/>
      <w:szCs w:val="16"/>
    </w:rPr>
  </w:style>
  <w:style w:type="character" w:customStyle="1" w:styleId="108">
    <w:name w:val="标题 3 字符"/>
    <w:qFormat/>
    <w:uiPriority w:val="9"/>
    <w:rPr>
      <w:b/>
      <w:bCs/>
      <w:sz w:val="32"/>
      <w:szCs w:val="32"/>
    </w:rPr>
  </w:style>
  <w:style w:type="character" w:customStyle="1" w:styleId="109">
    <w:name w:val="标题 1 Char2"/>
    <w:qFormat/>
    <w:uiPriority w:val="0"/>
    <w:rPr>
      <w:b/>
      <w:kern w:val="44"/>
      <w:sz w:val="44"/>
    </w:rPr>
  </w:style>
  <w:style w:type="character" w:customStyle="1" w:styleId="110">
    <w:name w:val="纯文本 Char1"/>
    <w:qFormat/>
    <w:uiPriority w:val="0"/>
    <w:rPr>
      <w:rFonts w:ascii="宋体" w:hAnsi="Courier New" w:cs="Courier New"/>
      <w:kern w:val="2"/>
      <w:sz w:val="21"/>
      <w:szCs w:val="21"/>
    </w:rPr>
  </w:style>
  <w:style w:type="character" w:customStyle="1" w:styleId="111">
    <w:name w:val="批注主题 Char1"/>
    <w:qFormat/>
    <w:uiPriority w:val="99"/>
    <w:rPr>
      <w:b/>
      <w:bCs/>
      <w:kern w:val="2"/>
      <w:sz w:val="21"/>
      <w:szCs w:val="24"/>
    </w:rPr>
  </w:style>
  <w:style w:type="character" w:customStyle="1" w:styleId="112">
    <w:name w:val="标题 1 Char1"/>
    <w:qFormat/>
    <w:uiPriority w:val="0"/>
    <w:rPr>
      <w:b/>
      <w:kern w:val="44"/>
      <w:sz w:val="44"/>
    </w:rPr>
  </w:style>
  <w:style w:type="character" w:customStyle="1" w:styleId="113">
    <w:name w:val="z-窗体底端 Char2"/>
    <w:link w:val="114"/>
    <w:qFormat/>
    <w:uiPriority w:val="99"/>
    <w:rPr>
      <w:rFonts w:ascii="Arial" w:hAnsi="Arial" w:cs="Arial"/>
      <w:vanish/>
      <w:sz w:val="16"/>
      <w:szCs w:val="16"/>
    </w:rPr>
  </w:style>
  <w:style w:type="paragraph" w:customStyle="1" w:styleId="114">
    <w:name w:val="z-窗体底端1"/>
    <w:basedOn w:val="1"/>
    <w:next w:val="1"/>
    <w:link w:val="113"/>
    <w:unhideWhenUsed/>
    <w:qFormat/>
    <w:uiPriority w:val="99"/>
    <w:pPr>
      <w:widowControl/>
      <w:pBdr>
        <w:top w:val="single" w:color="auto" w:sz="6" w:space="1"/>
      </w:pBdr>
      <w:jc w:val="center"/>
    </w:pPr>
    <w:rPr>
      <w:rFonts w:ascii="Arial" w:hAnsi="Arial"/>
      <w:vanish/>
      <w:kern w:val="0"/>
      <w:sz w:val="16"/>
      <w:szCs w:val="16"/>
    </w:rPr>
  </w:style>
  <w:style w:type="character" w:customStyle="1" w:styleId="115">
    <w:name w:val="纯文本 字符1"/>
    <w:link w:val="29"/>
    <w:qFormat/>
    <w:uiPriority w:val="0"/>
    <w:rPr>
      <w:rFonts w:ascii="宋体" w:hAnsi="Courier New" w:cs="Courier New"/>
      <w:kern w:val="2"/>
      <w:sz w:val="21"/>
      <w:szCs w:val="21"/>
    </w:rPr>
  </w:style>
  <w:style w:type="character" w:customStyle="1" w:styleId="116">
    <w:name w:val="Footer Char1"/>
    <w:semiHidden/>
    <w:qFormat/>
    <w:uiPriority w:val="99"/>
    <w:rPr>
      <w:sz w:val="18"/>
      <w:szCs w:val="18"/>
    </w:rPr>
  </w:style>
  <w:style w:type="character" w:customStyle="1" w:styleId="117">
    <w:name w:val="标题 4 字符"/>
    <w:link w:val="7"/>
    <w:qFormat/>
    <w:uiPriority w:val="0"/>
    <w:rPr>
      <w:rFonts w:ascii="Arial" w:hAnsi="Arial" w:eastAsia="黑体"/>
      <w:b/>
      <w:bCs/>
      <w:kern w:val="2"/>
      <w:sz w:val="28"/>
      <w:szCs w:val="28"/>
    </w:rPr>
  </w:style>
  <w:style w:type="character" w:customStyle="1" w:styleId="118">
    <w:name w:val="z-窗体底端 Char1"/>
    <w:qFormat/>
    <w:uiPriority w:val="99"/>
    <w:rPr>
      <w:rFonts w:ascii="Arial" w:hAnsi="Arial" w:cs="Arial"/>
      <w:vanish/>
      <w:sz w:val="16"/>
      <w:szCs w:val="16"/>
    </w:rPr>
  </w:style>
  <w:style w:type="character" w:customStyle="1" w:styleId="119">
    <w:name w:val="纯文本 Char2"/>
    <w:qFormat/>
    <w:locked/>
    <w:uiPriority w:val="0"/>
    <w:rPr>
      <w:rFonts w:ascii="宋体" w:hAnsi="Courier New" w:eastAsia="宋体" w:cs="宋体"/>
      <w:kern w:val="2"/>
      <w:sz w:val="24"/>
      <w:szCs w:val="24"/>
      <w:lang w:val="en-US" w:eastAsia="zh-CN" w:bidi="ar-SA"/>
    </w:rPr>
  </w:style>
  <w:style w:type="character" w:customStyle="1" w:styleId="120">
    <w:name w:val="正文文本首行缩进 字符"/>
    <w:link w:val="23"/>
    <w:qFormat/>
    <w:uiPriority w:val="0"/>
  </w:style>
  <w:style w:type="character" w:customStyle="1" w:styleId="121">
    <w:name w:val="标题 4 Char"/>
    <w:qFormat/>
    <w:uiPriority w:val="0"/>
    <w:rPr>
      <w:rFonts w:ascii="Arial" w:hAnsi="Arial" w:eastAsia="黑体"/>
      <w:b/>
      <w:bCs/>
      <w:kern w:val="2"/>
      <w:sz w:val="28"/>
      <w:szCs w:val="28"/>
      <w:lang w:val="en-US" w:eastAsia="zh-CN" w:bidi="ar-SA"/>
    </w:rPr>
  </w:style>
  <w:style w:type="character" w:customStyle="1" w:styleId="122">
    <w:name w:val="jbox-icon"/>
    <w:qFormat/>
    <w:uiPriority w:val="0"/>
  </w:style>
  <w:style w:type="character" w:customStyle="1" w:styleId="123">
    <w:name w:val="jbox-icon-question"/>
    <w:qFormat/>
    <w:uiPriority w:val="0"/>
  </w:style>
  <w:style w:type="character" w:customStyle="1" w:styleId="124">
    <w:name w:val="正文首行缩进 Char1"/>
    <w:qFormat/>
    <w:uiPriority w:val="0"/>
  </w:style>
  <w:style w:type="character" w:customStyle="1" w:styleId="125">
    <w:name w:val="2级标题 Char"/>
    <w:link w:val="126"/>
    <w:qFormat/>
    <w:uiPriority w:val="0"/>
    <w:rPr>
      <w:rFonts w:ascii="Arial" w:hAnsi="黑体" w:eastAsia="黑体"/>
      <w:b/>
      <w:kern w:val="2"/>
      <w:sz w:val="24"/>
      <w:szCs w:val="24"/>
    </w:rPr>
  </w:style>
  <w:style w:type="paragraph" w:customStyle="1" w:styleId="126">
    <w:name w:val="2级标题"/>
    <w:basedOn w:val="1"/>
    <w:link w:val="125"/>
    <w:qFormat/>
    <w:uiPriority w:val="0"/>
    <w:pPr>
      <w:numPr>
        <w:ilvl w:val="1"/>
        <w:numId w:val="2"/>
      </w:numPr>
      <w:tabs>
        <w:tab w:val="left" w:pos="1710"/>
      </w:tabs>
      <w:spacing w:line="360" w:lineRule="auto"/>
      <w:ind w:left="861" w:hanging="612"/>
      <w:outlineLvl w:val="1"/>
    </w:pPr>
    <w:rPr>
      <w:rFonts w:ascii="Arial" w:hAnsi="黑体" w:eastAsia="黑体"/>
      <w:b/>
      <w:sz w:val="24"/>
    </w:rPr>
  </w:style>
  <w:style w:type="character" w:customStyle="1" w:styleId="127">
    <w:name w:val="纯文本 字符"/>
    <w:qFormat/>
    <w:uiPriority w:val="0"/>
    <w:rPr>
      <w:rFonts w:ascii="宋体" w:hAnsi="Courier New"/>
      <w:kern w:val="2"/>
      <w:sz w:val="21"/>
    </w:rPr>
  </w:style>
  <w:style w:type="character" w:customStyle="1" w:styleId="128">
    <w:name w:val="font31"/>
    <w:qFormat/>
    <w:uiPriority w:val="0"/>
    <w:rPr>
      <w:rFonts w:hint="default" w:ascii="仿宋_GB2312" w:eastAsia="仿宋_GB2312" w:cs="仿宋_GB2312"/>
      <w:color w:val="000000"/>
      <w:sz w:val="20"/>
      <w:szCs w:val="20"/>
      <w:u w:val="none"/>
    </w:rPr>
  </w:style>
  <w:style w:type="character" w:customStyle="1" w:styleId="129">
    <w:name w:val="批注文字 字符"/>
    <w:link w:val="19"/>
    <w:qFormat/>
    <w:uiPriority w:val="99"/>
    <w:rPr>
      <w:kern w:val="2"/>
      <w:sz w:val="21"/>
      <w:szCs w:val="24"/>
    </w:rPr>
  </w:style>
  <w:style w:type="character" w:customStyle="1" w:styleId="130">
    <w:name w:val="Balloon Text Char1"/>
    <w:semiHidden/>
    <w:qFormat/>
    <w:uiPriority w:val="99"/>
    <w:rPr>
      <w:sz w:val="16"/>
      <w:szCs w:val="0"/>
    </w:rPr>
  </w:style>
  <w:style w:type="character" w:customStyle="1" w:styleId="131">
    <w:name w:val="标题 3 字符1"/>
    <w:link w:val="6"/>
    <w:qFormat/>
    <w:uiPriority w:val="0"/>
    <w:rPr>
      <w:rFonts w:eastAsia="微软雅黑"/>
      <w:b/>
      <w:bCs/>
      <w:kern w:val="2"/>
      <w:sz w:val="21"/>
      <w:szCs w:val="32"/>
    </w:rPr>
  </w:style>
  <w:style w:type="character" w:customStyle="1" w:styleId="132">
    <w:name w:val="样式 标题 1合同标题卷标题H1h1Level 1 Topic HeadingH11H12H111H13H1... Char Char"/>
    <w:qFormat/>
    <w:uiPriority w:val="0"/>
    <w:rPr>
      <w:rFonts w:ascii="宋体" w:hAnsi="宋体" w:eastAsia="宋体"/>
      <w:b/>
      <w:bCs/>
      <w:kern w:val="44"/>
      <w:sz w:val="24"/>
      <w:szCs w:val="44"/>
      <w:lang w:val="en-US" w:eastAsia="zh-CN" w:bidi="ar-SA"/>
    </w:rPr>
  </w:style>
  <w:style w:type="character" w:customStyle="1" w:styleId="133">
    <w:name w:val="jbox-icon-loading"/>
    <w:qFormat/>
    <w:uiPriority w:val="0"/>
  </w:style>
  <w:style w:type="character" w:customStyle="1" w:styleId="134">
    <w:name w:val="正文缩进 字符"/>
    <w:link w:val="16"/>
    <w:qFormat/>
    <w:uiPriority w:val="0"/>
    <w:rPr>
      <w:rFonts w:ascii="宋体"/>
      <w:sz w:val="21"/>
    </w:rPr>
  </w:style>
  <w:style w:type="character" w:customStyle="1" w:styleId="135">
    <w:name w:val="批注文字 Char"/>
    <w:qFormat/>
    <w:uiPriority w:val="0"/>
    <w:rPr>
      <w:kern w:val="2"/>
      <w:sz w:val="21"/>
      <w:szCs w:val="24"/>
    </w:rPr>
  </w:style>
  <w:style w:type="character" w:customStyle="1" w:styleId="136">
    <w:name w:val="z-窗体底端 Char"/>
    <w:semiHidden/>
    <w:qFormat/>
    <w:uiPriority w:val="99"/>
    <w:rPr>
      <w:rFonts w:ascii="Arial" w:hAnsi="Arial" w:cs="Arial"/>
      <w:vanish/>
      <w:kern w:val="2"/>
      <w:sz w:val="16"/>
      <w:szCs w:val="16"/>
    </w:rPr>
  </w:style>
  <w:style w:type="character" w:customStyle="1" w:styleId="137">
    <w:name w:val="1级 Char"/>
    <w:link w:val="138"/>
    <w:qFormat/>
    <w:uiPriority w:val="0"/>
    <w:rPr>
      <w:rFonts w:ascii="Arial" w:hAnsi="Arial" w:eastAsia="黑体"/>
      <w:b/>
      <w:bCs/>
      <w:kern w:val="2"/>
      <w:sz w:val="28"/>
      <w:szCs w:val="24"/>
    </w:rPr>
  </w:style>
  <w:style w:type="paragraph" w:customStyle="1" w:styleId="138">
    <w:name w:val="1级"/>
    <w:basedOn w:val="139"/>
    <w:link w:val="137"/>
    <w:qFormat/>
    <w:uiPriority w:val="0"/>
    <w:pPr>
      <w:tabs>
        <w:tab w:val="left" w:pos="366"/>
        <w:tab w:val="left" w:pos="615"/>
        <w:tab w:val="left" w:pos="1558"/>
      </w:tabs>
      <w:ind w:left="615" w:hanging="615"/>
    </w:pPr>
  </w:style>
  <w:style w:type="paragraph" w:customStyle="1" w:styleId="139">
    <w:name w:val="1级标题"/>
    <w:basedOn w:val="1"/>
    <w:link w:val="152"/>
    <w:qFormat/>
    <w:uiPriority w:val="0"/>
    <w:pPr>
      <w:tabs>
        <w:tab w:val="left" w:pos="366"/>
        <w:tab w:val="left" w:pos="1558"/>
      </w:tabs>
      <w:spacing w:before="60" w:after="60"/>
      <w:ind w:left="612" w:hanging="612"/>
      <w:outlineLvl w:val="0"/>
    </w:pPr>
    <w:rPr>
      <w:rFonts w:ascii="Arial" w:hAnsi="Arial" w:eastAsia="黑体"/>
      <w:b/>
      <w:bCs/>
      <w:sz w:val="28"/>
    </w:rPr>
  </w:style>
  <w:style w:type="character" w:customStyle="1" w:styleId="140">
    <w:name w:val="无间隔 字符"/>
    <w:link w:val="141"/>
    <w:qFormat/>
    <w:uiPriority w:val="0"/>
    <w:rPr>
      <w:rFonts w:ascii="Calibri" w:hAnsi="Calibri"/>
      <w:sz w:val="22"/>
      <w:szCs w:val="22"/>
      <w:lang w:val="en-US" w:eastAsia="zh-CN" w:bidi="ar-SA"/>
    </w:rPr>
  </w:style>
  <w:style w:type="paragraph" w:styleId="141">
    <w:name w:val="No Spacing"/>
    <w:link w:val="140"/>
    <w:qFormat/>
    <w:uiPriority w:val="0"/>
    <w:rPr>
      <w:rFonts w:ascii="Calibri" w:hAnsi="Calibri" w:eastAsia="宋体" w:cs="Times New Roman"/>
      <w:sz w:val="22"/>
      <w:szCs w:val="22"/>
      <w:lang w:val="en-US" w:eastAsia="zh-CN" w:bidi="ar-SA"/>
    </w:rPr>
  </w:style>
  <w:style w:type="character" w:customStyle="1" w:styleId="142">
    <w:name w:val="页眉 字符"/>
    <w:semiHidden/>
    <w:qFormat/>
    <w:uiPriority w:val="99"/>
    <w:rPr>
      <w:rFonts w:ascii="Times New Roman" w:hAnsi="Times New Roman"/>
      <w:kern w:val="2"/>
      <w:sz w:val="18"/>
      <w:szCs w:val="18"/>
    </w:rPr>
  </w:style>
  <w:style w:type="character" w:customStyle="1" w:styleId="143">
    <w:name w:val="Body Text First Indent Char1"/>
    <w:semiHidden/>
    <w:qFormat/>
    <w:uiPriority w:val="99"/>
    <w:rPr>
      <w:rFonts w:ascii="宋体" w:hAnsi="宋体" w:eastAsia="宋体"/>
      <w:sz w:val="24"/>
      <w:szCs w:val="20"/>
      <w:lang w:bidi="ar-SA"/>
    </w:rPr>
  </w:style>
  <w:style w:type="character" w:customStyle="1" w:styleId="144">
    <w:name w:val="Char Char13"/>
    <w:qFormat/>
    <w:locked/>
    <w:uiPriority w:val="0"/>
    <w:rPr>
      <w:rFonts w:ascii="宋体" w:hAnsi="Courier New" w:eastAsia="宋体" w:cs="宋体"/>
      <w:sz w:val="24"/>
      <w:szCs w:val="24"/>
    </w:rPr>
  </w:style>
  <w:style w:type="character" w:customStyle="1" w:styleId="145">
    <w:name w:val="jbox-icon-error"/>
    <w:qFormat/>
    <w:uiPriority w:val="0"/>
  </w:style>
  <w:style w:type="character" w:customStyle="1" w:styleId="146">
    <w:name w:val="正文文本缩进 字符"/>
    <w:link w:val="3"/>
    <w:qFormat/>
    <w:locked/>
    <w:uiPriority w:val="0"/>
    <w:rPr>
      <w:kern w:val="2"/>
      <w:sz w:val="21"/>
      <w:szCs w:val="24"/>
    </w:rPr>
  </w:style>
  <w:style w:type="character" w:customStyle="1" w:styleId="147">
    <w:name w:val="Body Text 2 Char1"/>
    <w:semiHidden/>
    <w:qFormat/>
    <w:uiPriority w:val="99"/>
    <w:rPr>
      <w:szCs w:val="20"/>
    </w:rPr>
  </w:style>
  <w:style w:type="character" w:customStyle="1" w:styleId="148">
    <w:name w:val="页脚 字符1"/>
    <w:link w:val="35"/>
    <w:qFormat/>
    <w:uiPriority w:val="0"/>
    <w:rPr>
      <w:sz w:val="18"/>
    </w:rPr>
  </w:style>
  <w:style w:type="character" w:customStyle="1" w:styleId="149">
    <w:name w:val="页眉 字符1"/>
    <w:link w:val="36"/>
    <w:qFormat/>
    <w:uiPriority w:val="99"/>
    <w:rPr>
      <w:sz w:val="18"/>
    </w:rPr>
  </w:style>
  <w:style w:type="character" w:customStyle="1" w:styleId="150">
    <w:name w:val="正文文本 2 字符"/>
    <w:link w:val="45"/>
    <w:qFormat/>
    <w:uiPriority w:val="0"/>
    <w:rPr>
      <w:kern w:val="2"/>
      <w:sz w:val="24"/>
      <w:szCs w:val="24"/>
    </w:rPr>
  </w:style>
  <w:style w:type="character" w:customStyle="1" w:styleId="151">
    <w:name w:val="副标题 字符"/>
    <w:link w:val="39"/>
    <w:qFormat/>
    <w:uiPriority w:val="0"/>
    <w:rPr>
      <w:rFonts w:ascii="Calibri Light" w:hAnsi="Calibri Light"/>
      <w:b/>
      <w:bCs/>
      <w:kern w:val="28"/>
      <w:sz w:val="32"/>
      <w:szCs w:val="32"/>
    </w:rPr>
  </w:style>
  <w:style w:type="character" w:customStyle="1" w:styleId="152">
    <w:name w:val="1级标题 Char"/>
    <w:link w:val="139"/>
    <w:qFormat/>
    <w:uiPriority w:val="0"/>
    <w:rPr>
      <w:rFonts w:ascii="Arial" w:hAnsi="Arial" w:eastAsia="黑体"/>
      <w:b/>
      <w:bCs/>
      <w:kern w:val="2"/>
      <w:sz w:val="28"/>
      <w:szCs w:val="24"/>
    </w:rPr>
  </w:style>
  <w:style w:type="character" w:customStyle="1" w:styleId="153">
    <w:name w:val="Header Char1"/>
    <w:semiHidden/>
    <w:qFormat/>
    <w:uiPriority w:val="99"/>
    <w:rPr>
      <w:sz w:val="18"/>
      <w:szCs w:val="18"/>
    </w:rPr>
  </w:style>
  <w:style w:type="character" w:customStyle="1" w:styleId="154">
    <w:name w:val="font71"/>
    <w:basedOn w:val="52"/>
    <w:qFormat/>
    <w:uiPriority w:val="0"/>
    <w:rPr>
      <w:rFonts w:ascii="BatangChe" w:hAnsi="BatangChe" w:eastAsia="BatangChe" w:cs="BatangChe"/>
      <w:color w:val="000000"/>
      <w:sz w:val="20"/>
      <w:szCs w:val="20"/>
      <w:u w:val="none"/>
    </w:rPr>
  </w:style>
  <w:style w:type="character" w:customStyle="1" w:styleId="155">
    <w:name w:val="页脚 字符"/>
    <w:semiHidden/>
    <w:qFormat/>
    <w:uiPriority w:val="99"/>
    <w:rPr>
      <w:rFonts w:ascii="Times New Roman" w:hAnsi="Times New Roman"/>
      <w:kern w:val="2"/>
      <w:sz w:val="18"/>
      <w:szCs w:val="18"/>
    </w:rPr>
  </w:style>
  <w:style w:type="character" w:customStyle="1" w:styleId="156">
    <w:name w:val="标书正文 Char"/>
    <w:link w:val="157"/>
    <w:qFormat/>
    <w:uiPriority w:val="0"/>
    <w:rPr>
      <w:kern w:val="2"/>
      <w:sz w:val="24"/>
      <w:szCs w:val="22"/>
    </w:rPr>
  </w:style>
  <w:style w:type="paragraph" w:customStyle="1" w:styleId="157">
    <w:name w:val="标书正文"/>
    <w:basedOn w:val="1"/>
    <w:link w:val="156"/>
    <w:qFormat/>
    <w:uiPriority w:val="0"/>
    <w:pPr>
      <w:spacing w:line="400" w:lineRule="exact"/>
    </w:pPr>
    <w:rPr>
      <w:sz w:val="24"/>
      <w:szCs w:val="22"/>
    </w:rPr>
  </w:style>
  <w:style w:type="character" w:customStyle="1" w:styleId="158">
    <w:name w:val="Char Char7"/>
    <w:qFormat/>
    <w:uiPriority w:val="0"/>
    <w:rPr>
      <w:rFonts w:ascii="宋体" w:hAnsi="Courier New" w:eastAsia="宋体"/>
      <w:kern w:val="2"/>
      <w:sz w:val="24"/>
      <w:szCs w:val="24"/>
      <w:lang w:val="en-US" w:eastAsia="zh-CN" w:bidi="ar-SA"/>
    </w:rPr>
  </w:style>
  <w:style w:type="character" w:customStyle="1" w:styleId="159">
    <w:name w:val="font11"/>
    <w:qFormat/>
    <w:uiPriority w:val="0"/>
    <w:rPr>
      <w:rFonts w:hint="default" w:ascii="仿宋_GB2312" w:eastAsia="仿宋_GB2312" w:cs="仿宋_GB2312"/>
      <w:color w:val="000000"/>
      <w:sz w:val="20"/>
      <w:szCs w:val="20"/>
      <w:u w:val="none"/>
    </w:rPr>
  </w:style>
  <w:style w:type="character" w:customStyle="1" w:styleId="160">
    <w:name w:val="Salutation Char1"/>
    <w:semiHidden/>
    <w:qFormat/>
    <w:uiPriority w:val="99"/>
    <w:rPr>
      <w:szCs w:val="20"/>
    </w:rPr>
  </w:style>
  <w:style w:type="character" w:customStyle="1" w:styleId="161">
    <w:name w:val="脚注文本 字符"/>
    <w:link w:val="40"/>
    <w:qFormat/>
    <w:uiPriority w:val="0"/>
    <w:rPr>
      <w:kern w:val="2"/>
      <w:sz w:val="18"/>
      <w:szCs w:val="18"/>
    </w:rPr>
  </w:style>
  <w:style w:type="character" w:customStyle="1" w:styleId="162">
    <w:name w:val="jbox-icon-info"/>
    <w:qFormat/>
    <w:uiPriority w:val="0"/>
  </w:style>
  <w:style w:type="character" w:customStyle="1" w:styleId="163">
    <w:name w:val="font21"/>
    <w:qFormat/>
    <w:uiPriority w:val="0"/>
    <w:rPr>
      <w:rFonts w:ascii="Arial" w:hAnsi="Arial" w:cs="Arial"/>
      <w:color w:val="000000"/>
      <w:sz w:val="20"/>
      <w:szCs w:val="20"/>
      <w:u w:val="none"/>
    </w:rPr>
  </w:style>
  <w:style w:type="character" w:customStyle="1" w:styleId="164">
    <w:name w:val="称呼 字符"/>
    <w:link w:val="20"/>
    <w:qFormat/>
    <w:uiPriority w:val="0"/>
    <w:rPr>
      <w:rFonts w:ascii="宋体"/>
      <w:kern w:val="2"/>
      <w:sz w:val="24"/>
    </w:rPr>
  </w:style>
  <w:style w:type="character" w:customStyle="1" w:styleId="165">
    <w:name w:val="jbox-icon-warning"/>
    <w:qFormat/>
    <w:uiPriority w:val="0"/>
  </w:style>
  <w:style w:type="character" w:customStyle="1" w:styleId="166">
    <w:name w:val="尾注文本 字符"/>
    <w:link w:val="33"/>
    <w:qFormat/>
    <w:uiPriority w:val="0"/>
    <w:rPr>
      <w:kern w:val="2"/>
      <w:sz w:val="21"/>
      <w:szCs w:val="24"/>
    </w:rPr>
  </w:style>
  <w:style w:type="character" w:customStyle="1" w:styleId="167">
    <w:name w:val="称呼 Char1"/>
    <w:qFormat/>
    <w:uiPriority w:val="0"/>
    <w:rPr>
      <w:kern w:val="2"/>
      <w:sz w:val="21"/>
      <w:szCs w:val="24"/>
    </w:rPr>
  </w:style>
  <w:style w:type="character" w:customStyle="1" w:styleId="168">
    <w:name w:val="标题 字符"/>
    <w:link w:val="48"/>
    <w:qFormat/>
    <w:uiPriority w:val="0"/>
    <w:rPr>
      <w:rFonts w:ascii="Cambria" w:hAnsi="Cambria"/>
      <w:b/>
      <w:bCs/>
      <w:kern w:val="2"/>
      <w:sz w:val="32"/>
      <w:szCs w:val="32"/>
    </w:rPr>
  </w:style>
  <w:style w:type="character" w:customStyle="1" w:styleId="169">
    <w:name w:val="font41"/>
    <w:qFormat/>
    <w:uiPriority w:val="0"/>
    <w:rPr>
      <w:rFonts w:hint="eastAsia" w:ascii="宋体" w:hAnsi="宋体" w:eastAsia="宋体" w:cs="宋体"/>
      <w:color w:val="000000"/>
      <w:sz w:val="22"/>
      <w:szCs w:val="22"/>
      <w:u w:val="none"/>
    </w:rPr>
  </w:style>
  <w:style w:type="character" w:customStyle="1" w:styleId="170">
    <w:name w:val="批注框文本 字符"/>
    <w:link w:val="34"/>
    <w:qFormat/>
    <w:uiPriority w:val="0"/>
    <w:rPr>
      <w:kern w:val="2"/>
      <w:sz w:val="18"/>
      <w:szCs w:val="18"/>
    </w:rPr>
  </w:style>
  <w:style w:type="character" w:customStyle="1" w:styleId="171">
    <w:name w:val="标题 2 Char1"/>
    <w:qFormat/>
    <w:uiPriority w:val="0"/>
    <w:rPr>
      <w:rFonts w:ascii="Arial" w:hAnsi="Arial" w:eastAsia="黑体"/>
      <w:b/>
      <w:bCs/>
      <w:kern w:val="2"/>
      <w:sz w:val="32"/>
      <w:szCs w:val="32"/>
    </w:rPr>
  </w:style>
  <w:style w:type="paragraph" w:customStyle="1" w:styleId="172">
    <w:name w:val="Table Paragraph"/>
    <w:basedOn w:val="1"/>
    <w:qFormat/>
    <w:uiPriority w:val="1"/>
    <w:rPr>
      <w:rFonts w:ascii="宋体" w:hAnsi="宋体" w:cs="宋体"/>
      <w:lang w:val="zh-CN" w:bidi="zh-CN"/>
    </w:rPr>
  </w:style>
  <w:style w:type="paragraph" w:customStyle="1" w:styleId="173">
    <w:name w:val="xl54"/>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0"/>
    </w:rPr>
  </w:style>
  <w:style w:type="paragraph" w:customStyle="1" w:styleId="17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7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176">
    <w:name w:val="Char1"/>
    <w:basedOn w:val="1"/>
    <w:qFormat/>
    <w:uiPriority w:val="99"/>
    <w:rPr>
      <w:rFonts w:ascii="Tahoma" w:hAnsi="Tahoma"/>
      <w:sz w:val="24"/>
      <w:szCs w:val="20"/>
    </w:rPr>
  </w:style>
  <w:style w:type="paragraph" w:customStyle="1" w:styleId="177">
    <w:name w:val="样式1"/>
    <w:basedOn w:val="7"/>
    <w:qFormat/>
    <w:uiPriority w:val="99"/>
  </w:style>
  <w:style w:type="paragraph" w:customStyle="1" w:styleId="178">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79">
    <w:name w:val="二级"/>
    <w:basedOn w:val="180"/>
    <w:next w:val="1"/>
    <w:qFormat/>
    <w:uiPriority w:val="0"/>
    <w:pPr>
      <w:spacing w:before="240" w:after="240"/>
      <w:outlineLvl w:val="2"/>
    </w:pPr>
    <w:rPr>
      <w:rFonts w:eastAsia="黑体"/>
      <w:sz w:val="28"/>
    </w:rPr>
  </w:style>
  <w:style w:type="paragraph" w:customStyle="1" w:styleId="180">
    <w:name w:val="要求正文"/>
    <w:basedOn w:val="1"/>
    <w:qFormat/>
    <w:uiPriority w:val="0"/>
    <w:pPr>
      <w:spacing w:line="400" w:lineRule="exact"/>
    </w:pPr>
    <w:rPr>
      <w:sz w:val="24"/>
      <w:szCs w:val="22"/>
    </w:rPr>
  </w:style>
  <w:style w:type="paragraph" w:customStyle="1" w:styleId="181">
    <w:name w:val="msonormalcxspmidd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82">
    <w:name w:val="表格标题 Char Char Char"/>
    <w:basedOn w:val="1"/>
    <w:qFormat/>
    <w:uiPriority w:val="0"/>
    <w:pPr>
      <w:widowControl/>
      <w:spacing w:beforeLines="50" w:afterLines="50"/>
      <w:jc w:val="center"/>
    </w:pPr>
    <w:rPr>
      <w:b/>
      <w:kern w:val="0"/>
      <w:sz w:val="24"/>
      <w:szCs w:val="20"/>
    </w:rPr>
  </w:style>
  <w:style w:type="paragraph" w:customStyle="1" w:styleId="183">
    <w:name w:val="Char Char Char1 Char Char Char Char Char Char Char Char Char Char Char Char Char Char Char Char Char Char Char Char Char Char"/>
    <w:basedOn w:val="1"/>
    <w:qFormat/>
    <w:uiPriority w:val="0"/>
    <w:pPr>
      <w:spacing w:line="360" w:lineRule="auto"/>
      <w:ind w:firstLine="200" w:firstLineChars="200"/>
    </w:pPr>
    <w:rPr>
      <w:szCs w:val="20"/>
    </w:rPr>
  </w:style>
  <w:style w:type="paragraph" w:customStyle="1" w:styleId="184">
    <w:name w:val="样式 标题 1 + 长城黑体 小二 非加粗"/>
    <w:basedOn w:val="4"/>
    <w:qFormat/>
    <w:uiPriority w:val="99"/>
    <w:pPr>
      <w:numPr>
        <w:ilvl w:val="0"/>
        <w:numId w:val="3"/>
      </w:numPr>
      <w:tabs>
        <w:tab w:val="left" w:pos="720"/>
      </w:tabs>
      <w:spacing w:before="100" w:beforeAutospacing="1" w:after="100" w:afterAutospacing="1" w:line="240" w:lineRule="auto"/>
      <w:jc w:val="center"/>
    </w:pPr>
    <w:rPr>
      <w:rFonts w:ascii="宋体" w:hAnsi="宋体"/>
      <w:sz w:val="32"/>
      <w:szCs w:val="32"/>
    </w:rPr>
  </w:style>
  <w:style w:type="paragraph" w:customStyle="1" w:styleId="185">
    <w:name w:val="Char"/>
    <w:basedOn w:val="1"/>
    <w:qFormat/>
    <w:uiPriority w:val="0"/>
    <w:pPr>
      <w:ind w:firstLine="200" w:firstLineChars="200"/>
    </w:pPr>
    <w:rPr>
      <w:rFonts w:ascii="Tahoma" w:hAnsi="Tahoma"/>
      <w:sz w:val="24"/>
      <w:szCs w:val="20"/>
    </w:rPr>
  </w:style>
  <w:style w:type="paragraph" w:customStyle="1" w:styleId="186">
    <w:name w:val="xl7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187">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188">
    <w:name w:val="Char Char Char Char Char Char Char"/>
    <w:basedOn w:val="1"/>
    <w:qFormat/>
    <w:uiPriority w:val="0"/>
    <w:rPr>
      <w:rFonts w:ascii="仿宋_GB2312" w:eastAsia="仿宋_GB2312"/>
      <w:b/>
      <w:sz w:val="32"/>
      <w:szCs w:val="32"/>
    </w:rPr>
  </w:style>
  <w:style w:type="paragraph" w:customStyle="1" w:styleId="189">
    <w:name w:val="333"/>
    <w:basedOn w:val="1"/>
    <w:qFormat/>
    <w:uiPriority w:val="0"/>
    <w:pPr>
      <w:adjustRightInd w:val="0"/>
      <w:spacing w:line="312" w:lineRule="atLeast"/>
      <w:textAlignment w:val="baseline"/>
    </w:pPr>
    <w:rPr>
      <w:kern w:val="0"/>
      <w:szCs w:val="20"/>
    </w:rPr>
  </w:style>
  <w:style w:type="paragraph" w:customStyle="1" w:styleId="190">
    <w:name w:val="Char Char Char Char Char Char Char11"/>
    <w:basedOn w:val="1"/>
    <w:qFormat/>
    <w:uiPriority w:val="0"/>
    <w:rPr>
      <w:rFonts w:ascii="仿宋_GB2312" w:eastAsia="仿宋_GB2312"/>
      <w:b/>
      <w:sz w:val="32"/>
      <w:szCs w:val="32"/>
    </w:rPr>
  </w:style>
  <w:style w:type="paragraph" w:customStyle="1" w:styleId="191">
    <w:name w:val="一级"/>
    <w:basedOn w:val="1"/>
    <w:next w:val="1"/>
    <w:qFormat/>
    <w:uiPriority w:val="0"/>
    <w:pPr>
      <w:spacing w:before="360" w:after="360" w:line="400" w:lineRule="exact"/>
      <w:outlineLvl w:val="1"/>
    </w:pPr>
    <w:rPr>
      <w:rFonts w:eastAsia="黑体"/>
      <w:sz w:val="28"/>
      <w:szCs w:val="22"/>
    </w:rPr>
  </w:style>
  <w:style w:type="paragraph" w:customStyle="1" w:styleId="192">
    <w:name w:val="列出段落2"/>
    <w:basedOn w:val="1"/>
    <w:qFormat/>
    <w:uiPriority w:val="0"/>
    <w:pPr>
      <w:ind w:firstLine="420" w:firstLineChars="200"/>
    </w:pPr>
    <w:rPr>
      <w:szCs w:val="21"/>
    </w:rPr>
  </w:style>
  <w:style w:type="paragraph" w:customStyle="1" w:styleId="19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94">
    <w:name w:val="正文空2格  1."/>
    <w:basedOn w:val="1"/>
    <w:qFormat/>
    <w:uiPriority w:val="0"/>
    <w:pPr>
      <w:adjustRightInd w:val="0"/>
      <w:spacing w:line="360" w:lineRule="auto"/>
      <w:ind w:firstLine="480" w:firstLineChars="200"/>
      <w:textAlignment w:val="baseline"/>
    </w:pPr>
    <w:rPr>
      <w:rFonts w:ascii="宋体" w:eastAsia="仿宋" w:cs="宋体"/>
      <w:kern w:val="0"/>
      <w:sz w:val="28"/>
      <w:szCs w:val="20"/>
    </w:rPr>
  </w:style>
  <w:style w:type="paragraph" w:customStyle="1" w:styleId="19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196">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kern w:val="0"/>
      <w:sz w:val="24"/>
    </w:rPr>
  </w:style>
  <w:style w:type="paragraph" w:customStyle="1" w:styleId="197">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198">
    <w:name w:val="正文_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9">
    <w:name w:val="方案正文"/>
    <w:basedOn w:val="1"/>
    <w:qFormat/>
    <w:uiPriority w:val="0"/>
    <w:pPr>
      <w:adjustRightInd w:val="0"/>
      <w:spacing w:line="360" w:lineRule="auto"/>
      <w:textAlignment w:val="baseline"/>
    </w:pPr>
    <w:rPr>
      <w:rFonts w:ascii="宋体" w:hAnsi="宋体"/>
      <w:kern w:val="0"/>
      <w:szCs w:val="20"/>
    </w:rPr>
  </w:style>
  <w:style w:type="paragraph" w:customStyle="1" w:styleId="200">
    <w:name w:val="编号，小四"/>
    <w:basedOn w:val="1"/>
    <w:qFormat/>
    <w:uiPriority w:val="0"/>
    <w:pPr>
      <w:numPr>
        <w:ilvl w:val="0"/>
        <w:numId w:val="4"/>
      </w:numPr>
      <w:spacing w:line="360" w:lineRule="auto"/>
    </w:pPr>
    <w:rPr>
      <w:rFonts w:ascii="Arial" w:hAnsi="Arial" w:cs="宋体"/>
      <w:sz w:val="24"/>
      <w:szCs w:val="20"/>
    </w:rPr>
  </w:style>
  <w:style w:type="paragraph" w:customStyle="1" w:styleId="201">
    <w:name w:val="PI"/>
    <w:basedOn w:val="1"/>
    <w:next w:val="3"/>
    <w:qFormat/>
    <w:uiPriority w:val="0"/>
    <w:pPr>
      <w:spacing w:line="360" w:lineRule="auto"/>
      <w:ind w:left="539" w:firstLine="721"/>
      <w:jc w:val="left"/>
    </w:pPr>
    <w:rPr>
      <w:spacing w:val="20"/>
      <w:szCs w:val="20"/>
    </w:rPr>
  </w:style>
  <w:style w:type="paragraph" w:customStyle="1" w:styleId="202">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kern w:val="0"/>
      <w:sz w:val="28"/>
      <w:szCs w:val="28"/>
    </w:rPr>
  </w:style>
  <w:style w:type="paragraph" w:customStyle="1" w:styleId="203">
    <w:name w:val="正文1"/>
    <w:basedOn w:val="1"/>
    <w:qFormat/>
    <w:uiPriority w:val="99"/>
    <w:pPr>
      <w:numPr>
        <w:ilvl w:val="0"/>
        <w:numId w:val="5"/>
      </w:numPr>
      <w:spacing w:line="360" w:lineRule="auto"/>
      <w:jc w:val="left"/>
    </w:pPr>
    <w:rPr>
      <w:rFonts w:ascii="宋体" w:hAnsi="宋体"/>
      <w:spacing w:val="4"/>
      <w:sz w:val="18"/>
      <w:szCs w:val="20"/>
    </w:rPr>
  </w:style>
  <w:style w:type="paragraph" w:customStyle="1" w:styleId="204">
    <w:name w:val="正文不缩进"/>
    <w:basedOn w:val="1"/>
    <w:qFormat/>
    <w:uiPriority w:val="0"/>
    <w:pPr>
      <w:adjustRightInd w:val="0"/>
      <w:spacing w:line="360" w:lineRule="auto"/>
      <w:jc w:val="left"/>
      <w:textAlignment w:val="baseline"/>
    </w:pPr>
    <w:rPr>
      <w:kern w:val="0"/>
      <w:sz w:val="24"/>
      <w:szCs w:val="20"/>
    </w:rPr>
  </w:style>
  <w:style w:type="paragraph" w:customStyle="1" w:styleId="205">
    <w:name w:val="论文"/>
    <w:basedOn w:val="1"/>
    <w:qFormat/>
    <w:uiPriority w:val="0"/>
    <w:pPr>
      <w:spacing w:line="400" w:lineRule="exact"/>
    </w:pPr>
    <w:rPr>
      <w:sz w:val="24"/>
      <w:szCs w:val="22"/>
    </w:rPr>
  </w:style>
  <w:style w:type="paragraph" w:customStyle="1" w:styleId="206">
    <w:name w:val="SS正文首行缩进 +"/>
    <w:basedOn w:val="23"/>
    <w:qFormat/>
    <w:uiPriority w:val="99"/>
    <w:pPr>
      <w:autoSpaceDE/>
      <w:autoSpaceDN/>
      <w:adjustRightInd/>
      <w:spacing w:beforeLines="50" w:afterLines="50" w:line="360" w:lineRule="auto"/>
      <w:ind w:firstLine="480" w:firstLineChars="200"/>
      <w:jc w:val="both"/>
    </w:pPr>
    <w:rPr>
      <w:rFonts w:ascii="宋体" w:hAnsi="宋体"/>
      <w:kern w:val="2"/>
      <w:sz w:val="24"/>
    </w:rPr>
  </w:style>
  <w:style w:type="paragraph" w:customStyle="1" w:styleId="207">
    <w:name w:val="表"/>
    <w:basedOn w:val="29"/>
    <w:qFormat/>
    <w:uiPriority w:val="0"/>
    <w:pPr>
      <w:keepNext/>
      <w:tabs>
        <w:tab w:val="left" w:pos="720"/>
      </w:tabs>
      <w:autoSpaceDE w:val="0"/>
      <w:autoSpaceDN w:val="0"/>
      <w:adjustRightInd w:val="0"/>
      <w:spacing w:line="240" w:lineRule="exact"/>
      <w:jc w:val="center"/>
      <w:textAlignment w:val="baseline"/>
    </w:pPr>
    <w:rPr>
      <w:rFonts w:ascii="Times New Roman" w:hAnsi="Times New Roman" w:eastAsia="楷体_GB2312"/>
      <w:kern w:val="0"/>
      <w:sz w:val="24"/>
      <w:szCs w:val="20"/>
    </w:rPr>
  </w:style>
  <w:style w:type="paragraph" w:customStyle="1" w:styleId="208">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0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10">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olor w:val="000000"/>
      <w:kern w:val="0"/>
      <w:sz w:val="24"/>
    </w:rPr>
  </w:style>
  <w:style w:type="paragraph" w:customStyle="1" w:styleId="211">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12">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213">
    <w:name w:val="Body Text First Indent1"/>
    <w:basedOn w:val="22"/>
    <w:next w:val="36"/>
    <w:qFormat/>
    <w:uiPriority w:val="99"/>
    <w:pPr>
      <w:ind w:firstLine="420" w:firstLineChars="100"/>
    </w:pPr>
  </w:style>
  <w:style w:type="paragraph" w:customStyle="1" w:styleId="214">
    <w:name w:val="xl65"/>
    <w:basedOn w:val="1"/>
    <w:qFormat/>
    <w:uiPriority w:val="0"/>
    <w:pPr>
      <w:widowControl/>
      <w:spacing w:before="100" w:beforeAutospacing="1" w:after="100" w:afterAutospacing="1"/>
      <w:jc w:val="center"/>
    </w:pPr>
    <w:rPr>
      <w:rFonts w:ascii="宋体" w:hAnsi="宋体" w:cs="宋体"/>
      <w:kern w:val="0"/>
      <w:sz w:val="24"/>
    </w:rPr>
  </w:style>
  <w:style w:type="paragraph" w:customStyle="1" w:styleId="215">
    <w:name w:val="前附表"/>
    <w:basedOn w:val="1"/>
    <w:qFormat/>
    <w:uiPriority w:val="0"/>
    <w:pPr>
      <w:ind w:firstLine="643"/>
      <w:jc w:val="center"/>
    </w:pPr>
    <w:rPr>
      <w:rFonts w:ascii="宋体" w:hAnsi="宋体"/>
      <w:b/>
      <w:sz w:val="30"/>
      <w:szCs w:val="30"/>
    </w:rPr>
  </w:style>
  <w:style w:type="paragraph" w:customStyle="1" w:styleId="216">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kern w:val="0"/>
      <w:sz w:val="24"/>
    </w:rPr>
  </w:style>
  <w:style w:type="paragraph" w:customStyle="1" w:styleId="217">
    <w:name w:val="GP正文(首行缩进)"/>
    <w:basedOn w:val="1"/>
    <w:qFormat/>
    <w:uiPriority w:val="0"/>
    <w:pPr>
      <w:ind w:firstLine="480" w:firstLineChars="200"/>
      <w:jc w:val="left"/>
    </w:pPr>
    <w:rPr>
      <w:rFonts w:hAnsi="宋体"/>
    </w:rPr>
  </w:style>
  <w:style w:type="paragraph" w:customStyle="1" w:styleId="218">
    <w:name w:val="正文3"/>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19">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220">
    <w:name w:val="纯文本1"/>
    <w:basedOn w:val="218"/>
    <w:qFormat/>
    <w:uiPriority w:val="0"/>
    <w:pPr>
      <w:widowControl/>
      <w:jc w:val="left"/>
    </w:pPr>
    <w:rPr>
      <w:rFonts w:ascii="宋体" w:hAnsi="Courier New"/>
    </w:rPr>
  </w:style>
  <w:style w:type="paragraph" w:customStyle="1" w:styleId="221">
    <w:name w:val="font8"/>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222">
    <w:name w:val="样式 首行缩进:  0 字符"/>
    <w:basedOn w:val="1"/>
    <w:qFormat/>
    <w:uiPriority w:val="0"/>
    <w:pPr>
      <w:adjustRightInd w:val="0"/>
      <w:snapToGrid w:val="0"/>
      <w:spacing w:line="360" w:lineRule="auto"/>
    </w:pPr>
    <w:rPr>
      <w:sz w:val="24"/>
      <w:szCs w:val="20"/>
    </w:rPr>
  </w:style>
  <w:style w:type="paragraph" w:customStyle="1" w:styleId="22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224">
    <w:name w:val="Char Char Char Char Char Char Char1"/>
    <w:basedOn w:val="1"/>
    <w:qFormat/>
    <w:uiPriority w:val="0"/>
    <w:rPr>
      <w:rFonts w:ascii="仿宋_GB2312" w:eastAsia="仿宋_GB2312"/>
      <w:b/>
      <w:sz w:val="32"/>
      <w:szCs w:val="32"/>
    </w:rPr>
  </w:style>
  <w:style w:type="paragraph" w:customStyle="1" w:styleId="225">
    <w:name w:val="符号样式"/>
    <w:basedOn w:val="200"/>
    <w:qFormat/>
    <w:uiPriority w:val="0"/>
    <w:pPr>
      <w:numPr>
        <w:ilvl w:val="0"/>
        <w:numId w:val="6"/>
      </w:numPr>
      <w:ind w:firstLine="200" w:firstLineChars="200"/>
      <w:jc w:val="left"/>
    </w:pPr>
  </w:style>
  <w:style w:type="paragraph" w:customStyle="1" w:styleId="226">
    <w:name w:val="font6"/>
    <w:basedOn w:val="1"/>
    <w:qFormat/>
    <w:uiPriority w:val="0"/>
    <w:pPr>
      <w:widowControl/>
      <w:spacing w:before="100" w:beforeAutospacing="1" w:after="100" w:afterAutospacing="1"/>
      <w:jc w:val="left"/>
    </w:pPr>
    <w:rPr>
      <w:kern w:val="0"/>
      <w:sz w:val="20"/>
      <w:szCs w:val="20"/>
    </w:rPr>
  </w:style>
  <w:style w:type="paragraph" w:customStyle="1" w:styleId="227">
    <w:name w:val="首行缩进"/>
    <w:basedOn w:val="1"/>
    <w:qFormat/>
    <w:uiPriority w:val="0"/>
    <w:pPr>
      <w:keepNext/>
      <w:spacing w:line="520" w:lineRule="exact"/>
    </w:pPr>
    <w:rPr>
      <w:bCs/>
      <w:kern w:val="0"/>
      <w:sz w:val="24"/>
      <w:szCs w:val="28"/>
    </w:rPr>
  </w:style>
  <w:style w:type="paragraph" w:customStyle="1" w:styleId="228">
    <w:name w:val="样式 标题 5 + 右侧:  -0.18 字符"/>
    <w:basedOn w:val="1"/>
    <w:qFormat/>
    <w:uiPriority w:val="99"/>
    <w:pPr>
      <w:numPr>
        <w:ilvl w:val="4"/>
        <w:numId w:val="1"/>
      </w:numPr>
      <w:tabs>
        <w:tab w:val="left" w:pos="1008"/>
      </w:tabs>
    </w:pPr>
    <w:rPr>
      <w:szCs w:val="20"/>
    </w:rPr>
  </w:style>
  <w:style w:type="paragraph" w:customStyle="1" w:styleId="229">
    <w:name w:val="_Style 7"/>
    <w:basedOn w:val="22"/>
    <w:next w:val="23"/>
    <w:qFormat/>
    <w:uiPriority w:val="99"/>
    <w:pPr>
      <w:ind w:firstLine="420" w:firstLineChars="100"/>
    </w:pPr>
    <w:rPr>
      <w:rFonts w:ascii="Calibri" w:hAnsi="Calibri"/>
    </w:rPr>
  </w:style>
  <w:style w:type="paragraph" w:customStyle="1" w:styleId="230">
    <w:name w:val="Char1 Char Char Char Char Char Char"/>
    <w:basedOn w:val="1"/>
    <w:qFormat/>
    <w:uiPriority w:val="0"/>
    <w:rPr>
      <w:rFonts w:ascii="Tahoma" w:hAnsi="Tahoma"/>
      <w:sz w:val="24"/>
      <w:szCs w:val="20"/>
    </w:rPr>
  </w:style>
  <w:style w:type="paragraph" w:customStyle="1" w:styleId="231">
    <w:name w:val="表格标题 Char Char Char Char"/>
    <w:basedOn w:val="1"/>
    <w:qFormat/>
    <w:uiPriority w:val="0"/>
    <w:pPr>
      <w:autoSpaceDE w:val="0"/>
      <w:autoSpaceDN w:val="0"/>
      <w:adjustRightInd w:val="0"/>
      <w:jc w:val="center"/>
      <w:textAlignment w:val="baseline"/>
    </w:pPr>
    <w:rPr>
      <w:color w:val="FF0000"/>
      <w:kern w:val="0"/>
      <w:sz w:val="24"/>
      <w:szCs w:val="20"/>
    </w:rPr>
  </w:style>
  <w:style w:type="paragraph" w:customStyle="1" w:styleId="232">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33">
    <w:name w:val="xl74"/>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234">
    <w:name w:val="Char111"/>
    <w:basedOn w:val="1"/>
    <w:qFormat/>
    <w:uiPriority w:val="0"/>
    <w:rPr>
      <w:rFonts w:ascii="Tahoma" w:hAnsi="Tahoma"/>
      <w:sz w:val="24"/>
      <w:szCs w:val="20"/>
    </w:rPr>
  </w:style>
  <w:style w:type="paragraph" w:customStyle="1" w:styleId="23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23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237">
    <w:name w:val="xl66"/>
    <w:basedOn w:val="1"/>
    <w:qFormat/>
    <w:uiPriority w:val="0"/>
    <w:pPr>
      <w:widowControl/>
      <w:spacing w:before="100" w:beforeAutospacing="1" w:after="100" w:afterAutospacing="1"/>
      <w:jc w:val="left"/>
    </w:pPr>
    <w:rPr>
      <w:rFonts w:ascii="宋体" w:hAnsi="宋体" w:cs="宋体"/>
      <w:b/>
      <w:bCs/>
      <w:kern w:val="0"/>
      <w:sz w:val="24"/>
    </w:rPr>
  </w:style>
  <w:style w:type="paragraph" w:customStyle="1" w:styleId="238">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239">
    <w:name w:val="Default"/>
    <w:qFormat/>
    <w:uiPriority w:val="0"/>
    <w:pPr>
      <w:widowControl w:val="0"/>
      <w:autoSpaceDE w:val="0"/>
      <w:autoSpaceDN w:val="0"/>
      <w:adjustRightInd w:val="0"/>
    </w:pPr>
    <w:rPr>
      <w:rFonts w:ascii="宋体..鍼笁鍼." w:hAnsi="Calibri" w:eastAsia="宋体..鍼笁鍼." w:cs="宋体..鍼笁鍼."/>
      <w:color w:val="000000"/>
      <w:sz w:val="24"/>
      <w:szCs w:val="24"/>
      <w:lang w:val="en-US" w:eastAsia="zh-CN" w:bidi="ar-SA"/>
    </w:rPr>
  </w:style>
  <w:style w:type="paragraph" w:customStyle="1" w:styleId="240">
    <w:name w:val="无间隔1"/>
    <w:qFormat/>
    <w:uiPriority w:val="0"/>
    <w:rPr>
      <w:rFonts w:ascii="Calibri" w:hAnsi="Calibri" w:eastAsia="宋体" w:cs="Times New Roman"/>
      <w:sz w:val="22"/>
      <w:szCs w:val="22"/>
      <w:lang w:val="en-US" w:eastAsia="en-US" w:bidi="ar-SA"/>
    </w:rPr>
  </w:style>
  <w:style w:type="paragraph" w:customStyle="1" w:styleId="241">
    <w:name w:val="font7"/>
    <w:basedOn w:val="1"/>
    <w:qFormat/>
    <w:uiPriority w:val="0"/>
    <w:pPr>
      <w:widowControl/>
      <w:spacing w:before="100" w:beforeAutospacing="1" w:after="100" w:afterAutospacing="1"/>
      <w:jc w:val="left"/>
    </w:pPr>
    <w:rPr>
      <w:kern w:val="0"/>
      <w:sz w:val="20"/>
      <w:szCs w:val="20"/>
    </w:rPr>
  </w:style>
  <w:style w:type="paragraph" w:customStyle="1" w:styleId="242">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olor w:val="000000"/>
      <w:kern w:val="0"/>
      <w:sz w:val="20"/>
      <w:szCs w:val="20"/>
    </w:rPr>
  </w:style>
  <w:style w:type="paragraph" w:customStyle="1" w:styleId="243">
    <w:name w:val="Char1 Char Char Char Char Char Char1"/>
    <w:basedOn w:val="1"/>
    <w:qFormat/>
    <w:uiPriority w:val="99"/>
    <w:rPr>
      <w:rFonts w:ascii="Tahoma" w:hAnsi="Tahoma"/>
      <w:sz w:val="24"/>
      <w:szCs w:val="20"/>
    </w:rPr>
  </w:style>
  <w:style w:type="paragraph" w:customStyle="1" w:styleId="24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245">
    <w:name w:val="Char11"/>
    <w:basedOn w:val="1"/>
    <w:qFormat/>
    <w:uiPriority w:val="99"/>
    <w:pPr>
      <w:widowControl/>
      <w:spacing w:after="160" w:line="240" w:lineRule="exact"/>
      <w:jc w:val="left"/>
    </w:pPr>
    <w:rPr>
      <w:rFonts w:ascii="Verdana" w:hAnsi="Verdana" w:cs="Verdana"/>
      <w:kern w:val="0"/>
      <w:szCs w:val="21"/>
      <w:lang w:eastAsia="en-US"/>
    </w:rPr>
  </w:style>
  <w:style w:type="paragraph" w:customStyle="1" w:styleId="246">
    <w:name w:val="中等深浅网格 21"/>
    <w:qFormat/>
    <w:uiPriority w:val="1"/>
    <w:pPr>
      <w:widowControl w:val="0"/>
      <w:autoSpaceDE w:val="0"/>
      <w:autoSpaceDN w:val="0"/>
      <w:adjustRightInd w:val="0"/>
      <w:jc w:val="both"/>
      <w:textAlignment w:val="baseline"/>
    </w:pPr>
    <w:rPr>
      <w:rFonts w:ascii="Times New Roman" w:hAnsi="Times New Roman" w:eastAsia="宋体" w:cs="Times New Roman"/>
      <w:sz w:val="21"/>
      <w:lang w:val="en-US" w:eastAsia="zh-CN" w:bidi="ar-SA"/>
    </w:rPr>
  </w:style>
  <w:style w:type="paragraph" w:customStyle="1" w:styleId="247">
    <w:name w:val="Char Char Char1 Char Char Char Char Char Char Char Char Char Char Char Char Char Char Char Char Char Char Char Char Char Char1"/>
    <w:basedOn w:val="1"/>
    <w:qFormat/>
    <w:uiPriority w:val="99"/>
    <w:pPr>
      <w:spacing w:line="360" w:lineRule="auto"/>
      <w:ind w:firstLine="200" w:firstLineChars="200"/>
    </w:pPr>
    <w:rPr>
      <w:szCs w:val="20"/>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249">
    <w:name w:val="正文空格"/>
    <w:basedOn w:val="1"/>
    <w:next w:val="1"/>
    <w:qFormat/>
    <w:uiPriority w:val="0"/>
    <w:pPr>
      <w:spacing w:line="400" w:lineRule="exact"/>
      <w:ind w:firstLine="200" w:firstLineChars="200"/>
    </w:pPr>
    <w:rPr>
      <w:sz w:val="24"/>
      <w:szCs w:val="22"/>
    </w:rPr>
  </w:style>
  <w:style w:type="paragraph" w:customStyle="1" w:styleId="250">
    <w:name w:val="Char Char Char Char Char Char"/>
    <w:basedOn w:val="1"/>
    <w:qFormat/>
    <w:uiPriority w:val="0"/>
    <w:pPr>
      <w:ind w:firstLine="200" w:firstLineChars="200"/>
    </w:pPr>
    <w:rPr>
      <w:rFonts w:ascii="Tahoma" w:hAnsi="Tahoma"/>
      <w:sz w:val="24"/>
      <w:szCs w:val="20"/>
    </w:rPr>
  </w:style>
  <w:style w:type="paragraph" w:customStyle="1" w:styleId="25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52">
    <w:name w:val="Char Char Char Char"/>
    <w:basedOn w:val="1"/>
    <w:qFormat/>
    <w:uiPriority w:val="0"/>
  </w:style>
  <w:style w:type="paragraph" w:customStyle="1" w:styleId="253">
    <w:name w:val="hc正文1.5"/>
    <w:basedOn w:val="1"/>
    <w:qFormat/>
    <w:uiPriority w:val="0"/>
    <w:pPr>
      <w:tabs>
        <w:tab w:val="left" w:pos="3265"/>
      </w:tabs>
      <w:spacing w:beforeLines="20" w:afterLines="20" w:line="460" w:lineRule="exact"/>
      <w:ind w:firstLine="480" w:firstLineChars="200"/>
    </w:pPr>
    <w:rPr>
      <w:rFonts w:ascii="宋体" w:hAnsi="宋体" w:cs="仿宋_GB2312"/>
    </w:rPr>
  </w:style>
  <w:style w:type="paragraph" w:customStyle="1" w:styleId="254">
    <w:name w:val="默认段落字体 Para Char Char Char Char Char Char Char Char Char1 Char Char Char Char"/>
    <w:basedOn w:val="1"/>
    <w:qFormat/>
    <w:uiPriority w:val="0"/>
    <w:rPr>
      <w:rFonts w:ascii="Tahoma" w:hAnsi="Tahoma" w:cs="Tahoma"/>
      <w:sz w:val="24"/>
    </w:rPr>
  </w:style>
  <w:style w:type="paragraph" w:customStyle="1" w:styleId="255">
    <w:name w:val="简单回函地址"/>
    <w:basedOn w:val="1"/>
    <w:qFormat/>
    <w:uiPriority w:val="0"/>
  </w:style>
  <w:style w:type="paragraph" w:customStyle="1" w:styleId="256">
    <w:name w:val="正文文本缩进1"/>
    <w:basedOn w:val="1"/>
    <w:qFormat/>
    <w:uiPriority w:val="0"/>
    <w:pPr>
      <w:widowControl/>
      <w:snapToGrid w:val="0"/>
      <w:spacing w:line="440" w:lineRule="atLeast"/>
      <w:ind w:left="2400" w:hanging="1980"/>
      <w:jc w:val="center"/>
    </w:pPr>
    <w:rPr>
      <w:rFonts w:hint="eastAsia" w:ascii="宋体"/>
      <w:kern w:val="0"/>
      <w:sz w:val="24"/>
      <w:szCs w:val="20"/>
    </w:rPr>
  </w:style>
  <w:style w:type="paragraph" w:customStyle="1" w:styleId="25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25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59">
    <w:name w:val="￥正文"/>
    <w:basedOn w:val="1"/>
    <w:qFormat/>
    <w:uiPriority w:val="0"/>
    <w:pPr>
      <w:spacing w:line="360" w:lineRule="auto"/>
      <w:ind w:firstLine="200" w:firstLineChars="200"/>
    </w:pPr>
    <w:rPr>
      <w:rFonts w:ascii="Calibri" w:hAnsi="Calibri"/>
      <w:kern w:val="0"/>
      <w:sz w:val="24"/>
      <w:lang w:eastAsia="en-US"/>
    </w:rPr>
  </w:style>
  <w:style w:type="paragraph" w:customStyle="1" w:styleId="260">
    <w:name w:val="表格1"/>
    <w:basedOn w:val="1"/>
    <w:qFormat/>
    <w:uiPriority w:val="0"/>
    <w:pPr>
      <w:adjustRightInd w:val="0"/>
      <w:spacing w:line="420" w:lineRule="atLeast"/>
      <w:ind w:left="284"/>
      <w:textAlignment w:val="baseline"/>
    </w:pPr>
    <w:rPr>
      <w:kern w:val="0"/>
      <w:szCs w:val="20"/>
    </w:rPr>
  </w:style>
  <w:style w:type="paragraph" w:customStyle="1" w:styleId="261">
    <w:name w:val="表格内容"/>
    <w:basedOn w:val="1"/>
    <w:qFormat/>
    <w:uiPriority w:val="0"/>
    <w:pPr>
      <w:widowControl/>
      <w:autoSpaceDE w:val="0"/>
      <w:autoSpaceDN w:val="0"/>
      <w:adjustRightInd w:val="0"/>
      <w:ind w:left="-99" w:leftChars="-37"/>
      <w:jc w:val="center"/>
      <w:textAlignment w:val="baseline"/>
    </w:pPr>
    <w:rPr>
      <w:rFonts w:hAnsi="宋体"/>
      <w:kern w:val="0"/>
      <w:sz w:val="24"/>
      <w:szCs w:val="21"/>
    </w:rPr>
  </w:style>
  <w:style w:type="paragraph" w:customStyle="1" w:styleId="262">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63">
    <w:name w:val="TOC 标题2"/>
    <w:basedOn w:val="4"/>
    <w:next w:val="1"/>
    <w:unhideWhenUsed/>
    <w:qFormat/>
    <w:uiPriority w:val="39"/>
    <w:pPr>
      <w:widowControl/>
      <w:spacing w:before="480" w:line="276" w:lineRule="auto"/>
      <w:ind w:left="0"/>
      <w:jc w:val="left"/>
      <w:outlineLvl w:val="9"/>
    </w:pPr>
    <w:rPr>
      <w:rFonts w:ascii="Cambria" w:hAnsi="Cambria"/>
      <w:color w:val="366091"/>
      <w:kern w:val="0"/>
      <w:sz w:val="28"/>
      <w:szCs w:val="28"/>
    </w:rPr>
  </w:style>
  <w:style w:type="character" w:customStyle="1" w:styleId="264">
    <w:name w:val="标题 1 字符"/>
    <w:link w:val="4"/>
    <w:qFormat/>
    <w:uiPriority w:val="0"/>
    <w:rPr>
      <w:rFonts w:ascii="Times New Roman" w:hAnsi="Times New Roman" w:eastAsia="宋体" w:cs="Times New Roman"/>
      <w:b/>
      <w:kern w:val="44"/>
      <w:sz w:val="32"/>
      <w:szCs w:val="20"/>
    </w:rPr>
  </w:style>
  <w:style w:type="paragraph" w:customStyle="1" w:styleId="265">
    <w:name w:val="公告正文"/>
    <w:basedOn w:val="1"/>
    <w:qFormat/>
    <w:uiPriority w:val="0"/>
    <w:pPr>
      <w:spacing w:line="400" w:lineRule="atLeast"/>
      <w:ind w:firstLine="437"/>
    </w:pPr>
    <w:rPr>
      <w:rFonts w:ascii="宋体"/>
      <w:sz w:val="24"/>
    </w:rPr>
  </w:style>
  <w:style w:type="paragraph" w:customStyle="1" w:styleId="266">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67">
    <w:name w:val="font121"/>
    <w:basedOn w:val="52"/>
    <w:qFormat/>
    <w:uiPriority w:val="0"/>
    <w:rPr>
      <w:rFonts w:hint="eastAsia" w:ascii="微软雅黑" w:hAnsi="微软雅黑" w:eastAsia="微软雅黑" w:cs="微软雅黑"/>
      <w:b/>
      <w:bCs/>
      <w:color w:val="000000"/>
      <w:sz w:val="36"/>
      <w:szCs w:val="36"/>
      <w:u w:val="none"/>
    </w:rPr>
  </w:style>
  <w:style w:type="character" w:customStyle="1" w:styleId="268">
    <w:name w:val="font91"/>
    <w:basedOn w:val="52"/>
    <w:qFormat/>
    <w:uiPriority w:val="0"/>
    <w:rPr>
      <w:rFonts w:hint="eastAsia" w:ascii="微软雅黑" w:hAnsi="微软雅黑" w:eastAsia="微软雅黑" w:cs="微软雅黑"/>
      <w:b/>
      <w:bCs/>
      <w:color w:val="000000"/>
      <w:sz w:val="28"/>
      <w:szCs w:val="28"/>
      <w:u w:val="none"/>
    </w:rPr>
  </w:style>
  <w:style w:type="character" w:customStyle="1" w:styleId="269">
    <w:name w:val="font81"/>
    <w:basedOn w:val="52"/>
    <w:qFormat/>
    <w:uiPriority w:val="0"/>
    <w:rPr>
      <w:rFonts w:hint="eastAsia" w:ascii="微软雅黑" w:hAnsi="微软雅黑" w:eastAsia="微软雅黑" w:cs="微软雅黑"/>
      <w:b/>
      <w:bCs/>
      <w:color w:val="000000"/>
      <w:sz w:val="28"/>
      <w:szCs w:val="28"/>
      <w:u w:val="none"/>
    </w:rPr>
  </w:style>
  <w:style w:type="character" w:customStyle="1" w:styleId="270">
    <w:name w:val="font131"/>
    <w:basedOn w:val="52"/>
    <w:qFormat/>
    <w:uiPriority w:val="0"/>
    <w:rPr>
      <w:rFonts w:hint="eastAsia" w:ascii="微软雅黑" w:hAnsi="微软雅黑" w:eastAsia="微软雅黑" w:cs="微软雅黑"/>
      <w:color w:val="000000"/>
      <w:sz w:val="28"/>
      <w:szCs w:val="28"/>
      <w:u w:val="none"/>
    </w:rPr>
  </w:style>
  <w:style w:type="paragraph" w:customStyle="1" w:styleId="271">
    <w:name w:val="*正文"/>
    <w:basedOn w:val="1"/>
    <w:qFormat/>
    <w:uiPriority w:val="0"/>
    <w:pPr>
      <w:widowControl/>
      <w:ind w:firstLine="200"/>
    </w:pPr>
    <w:rPr>
      <w:rFonts w:ascii="宋体" w:hAnsi="宋体"/>
      <w:kern w:val="0"/>
    </w:rPr>
  </w:style>
  <w:style w:type="paragraph" w:customStyle="1" w:styleId="272">
    <w:name w:val="表格正文"/>
    <w:qFormat/>
    <w:uiPriority w:val="99"/>
    <w:pPr>
      <w:jc w:val="center"/>
    </w:pPr>
    <w:rPr>
      <w:rFonts w:ascii="宋体" w:hAnsi="宋体" w:eastAsia="宋体" w:cs="宋体"/>
      <w:kern w:val="2"/>
      <w:sz w:val="21"/>
      <w:szCs w:val="21"/>
      <w:lang w:val="en-US" w:eastAsia="zh-CN" w:bidi="ar-SA"/>
    </w:rPr>
  </w:style>
  <w:style w:type="paragraph" w:customStyle="1" w:styleId="273">
    <w:name w:val="表格小4字"/>
    <w:basedOn w:val="1"/>
    <w:next w:val="1"/>
    <w:qFormat/>
    <w:uiPriority w:val="0"/>
    <w:pPr>
      <w:widowControl/>
      <w:spacing w:line="300" w:lineRule="auto"/>
      <w:jc w:val="center"/>
    </w:pPr>
    <w:rPr>
      <w:kern w:val="0"/>
      <w:szCs w:val="28"/>
    </w:rPr>
  </w:style>
  <w:style w:type="paragraph" w:customStyle="1" w:styleId="274">
    <w:name w:val="表格"/>
    <w:basedOn w:val="1"/>
    <w:qFormat/>
    <w:uiPriority w:val="0"/>
  </w:style>
  <w:style w:type="paragraph" w:customStyle="1" w:styleId="275">
    <w:name w:val="MY正文"/>
    <w:basedOn w:val="1"/>
    <w:qFormat/>
    <w:uiPriority w:val="0"/>
    <w:pPr>
      <w:widowControl/>
      <w:jc w:val="left"/>
    </w:pPr>
    <w:rPr>
      <w:kern w:val="0"/>
      <w:lang w:eastAsia="en-US" w:bidi="en-US"/>
    </w:rPr>
  </w:style>
  <w:style w:type="table" w:customStyle="1" w:styleId="276">
    <w:name w:val="Table Normal1"/>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277">
    <w:name w:val="样式  + 首行缩进:  2 字符"/>
    <w:basedOn w:val="1"/>
    <w:qFormat/>
    <w:uiPriority w:val="0"/>
    <w:pPr>
      <w:adjustRightInd w:val="0"/>
      <w:snapToGrid w:val="0"/>
      <w:ind w:firstLine="480"/>
    </w:pPr>
    <w:rPr>
      <w:rFonts w:ascii="宋体" w:hAnsi="宋体" w:cs="Calibri"/>
      <w:spacing w:val="11"/>
      <w:kern w:val="0"/>
      <w:szCs w:val="20"/>
    </w:rPr>
  </w:style>
  <w:style w:type="paragraph" w:customStyle="1" w:styleId="278">
    <w:name w:val="正文缩进1"/>
    <w:basedOn w:val="1"/>
    <w:qFormat/>
    <w:uiPriority w:val="0"/>
    <w:pPr>
      <w:ind w:firstLine="420"/>
    </w:pPr>
  </w:style>
  <w:style w:type="paragraph" w:customStyle="1" w:styleId="279">
    <w:name w:val="正文-正文"/>
    <w:basedOn w:val="1"/>
    <w:qFormat/>
    <w:uiPriority w:val="0"/>
    <w:rPr>
      <w:rFonts w:eastAsia="仿宋_GB2312"/>
      <w:sz w:val="28"/>
    </w:rPr>
  </w:style>
  <w:style w:type="paragraph" w:customStyle="1" w:styleId="280">
    <w:name w:val="p0"/>
    <w:basedOn w:val="1"/>
    <w:qFormat/>
    <w:uiPriority w:val="0"/>
    <w:pPr>
      <w:widowControl/>
    </w:pPr>
    <w:rPr>
      <w:rFonts w:ascii="華康辦公用具篇" w:hAnsi="華康辦公用具篇" w:cs="宋体"/>
      <w:kern w:val="0"/>
      <w:szCs w:val="21"/>
    </w:rPr>
  </w:style>
  <w:style w:type="character" w:customStyle="1" w:styleId="281">
    <w:name w:val="dxrpheader_metropolis"/>
    <w:basedOn w:val="52"/>
    <w:uiPriority w:val="0"/>
    <w:rPr>
      <w:b/>
      <w:bCs/>
      <w:color w:val="C0C0C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8.emf"/><Relationship Id="rId23" Type="http://schemas.openxmlformats.org/officeDocument/2006/relationships/image" Target="media/image7.png"/><Relationship Id="rId22" Type="http://schemas.openxmlformats.org/officeDocument/2006/relationships/image" Target="media/image6.wmf"/><Relationship Id="rId21" Type="http://schemas.openxmlformats.org/officeDocument/2006/relationships/oleObject" Target="embeddings/oleObject4.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4.emf"/><Relationship Id="rId17" Type="http://schemas.openxmlformats.org/officeDocument/2006/relationships/oleObject" Target="embeddings/oleObject2.bin"/><Relationship Id="rId16" Type="http://schemas.openxmlformats.org/officeDocument/2006/relationships/image" Target="media/image3.emf"/><Relationship Id="rId15" Type="http://schemas.openxmlformats.org/officeDocument/2006/relationships/oleObject" Target="embeddings/oleObject1.bin"/><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162</Pages>
  <Words>94189</Words>
  <Characters>99090</Characters>
  <Lines>751</Lines>
  <Paragraphs>211</Paragraphs>
  <TotalTime>32</TotalTime>
  <ScaleCrop>false</ScaleCrop>
  <LinksUpToDate>false</LinksUpToDate>
  <CharactersWithSpaces>102469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2021-11-15T01:35:00Z</dcterms:created>
  <dc:creator>石宗杰</dc:creator>
  <cp:lastModifiedBy>宁波市盛达工程管理咨询有限公司</cp:lastModifiedBy>
  <cp:lastPrinted>2021-02-23T05:50:00Z</cp:lastPrinted>
  <dcterms:modified xsi:type="dcterms:W3CDTF">2022-08-09T08:56:35Z</dcterms:modified>
  <dc:title>政  府  采  购</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r8>32695518</vt:r8>
  </property>
  <property fmtid="{D5CDD505-2E9C-101B-9397-08002B2CF9AE}" pid="3" name="KSOProductBuildVer">
    <vt:lpwstr>2052-11.1.0.12302</vt:lpwstr>
  </property>
  <property fmtid="{D5CDD505-2E9C-101B-9397-08002B2CF9AE}" pid="4" name="ICV">
    <vt:lpwstr>2363DCDE9CB640548F3C87F92703A50F</vt:lpwstr>
  </property>
</Properties>
</file>