
<file path=[Content_Types].xml><?xml version="1.0" encoding="utf-8"?>
<Types xmlns="http://schemas.openxmlformats.org/package/2006/content-types">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left="0" w:leftChars="0" w:firstLine="0" w:firstLineChars="0"/>
        <w:jc w:val="center"/>
        <w:rPr>
          <w:rFonts w:hAnsi="宋体"/>
          <w:b/>
          <w:bCs/>
          <w:color w:val="auto"/>
          <w:sz w:val="48"/>
          <w:szCs w:val="48"/>
          <w:highlight w:val="none"/>
        </w:rPr>
      </w:pPr>
      <w:bookmarkStart w:id="97" w:name="_GoBack"/>
      <w:bookmarkEnd w:id="97"/>
      <w:r>
        <w:drawing>
          <wp:anchor distT="0" distB="0" distL="114300" distR="114300" simplePos="0" relativeHeight="251659264" behindDoc="1" locked="0" layoutInCell="1" allowOverlap="1">
            <wp:simplePos x="0" y="0"/>
            <wp:positionH relativeFrom="column">
              <wp:posOffset>-1130300</wp:posOffset>
            </wp:positionH>
            <wp:positionV relativeFrom="paragraph">
              <wp:posOffset>-902970</wp:posOffset>
            </wp:positionV>
            <wp:extent cx="7698740" cy="10828655"/>
            <wp:effectExtent l="0" t="0" r="16510" b="1079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7698740" cy="10828655"/>
                    </a:xfrm>
                    <a:prstGeom prst="rect">
                      <a:avLst/>
                    </a:prstGeom>
                    <a:noFill/>
                    <a:ln>
                      <a:noFill/>
                    </a:ln>
                  </pic:spPr>
                </pic:pic>
              </a:graphicData>
            </a:graphic>
          </wp:anchor>
        </w:drawing>
      </w:r>
      <w:r>
        <w:rPr>
          <w:rFonts w:hAnsi="宋体"/>
          <w:b/>
          <w:bCs/>
          <w:sz w:val="48"/>
          <w:szCs w:val="48"/>
        </w:rPr>
        <w:br w:type="page"/>
      </w:r>
      <w:r>
        <w:rPr>
          <w:rFonts w:hAnsi="宋体"/>
          <w:b/>
          <w:bCs/>
          <w:color w:val="auto"/>
          <w:sz w:val="48"/>
          <w:szCs w:val="48"/>
          <w:highlight w:val="none"/>
        </w:rPr>
        <w:t>目</w:t>
      </w:r>
      <w:r>
        <w:rPr>
          <w:rFonts w:hint="eastAsia" w:hAnsi="宋体"/>
          <w:b/>
          <w:bCs/>
          <w:color w:val="auto"/>
          <w:sz w:val="48"/>
          <w:szCs w:val="48"/>
          <w:highlight w:val="none"/>
          <w:lang w:val="en-US"/>
        </w:rPr>
        <w:t xml:space="preserve"> </w:t>
      </w:r>
      <w:r>
        <w:rPr>
          <w:rFonts w:hAnsi="宋体"/>
          <w:b/>
          <w:bCs/>
          <w:color w:val="auto"/>
          <w:sz w:val="48"/>
          <w:szCs w:val="48"/>
          <w:highlight w:val="none"/>
        </w:rPr>
        <w:t>录</w:t>
      </w:r>
    </w:p>
    <w:p>
      <w:pPr>
        <w:rPr>
          <w:color w:val="auto"/>
          <w:highlight w:val="none"/>
        </w:rPr>
      </w:pPr>
    </w:p>
    <w:p>
      <w:pPr>
        <w:pStyle w:val="2"/>
        <w:rPr>
          <w:color w:val="auto"/>
          <w:highlight w:val="none"/>
        </w:rPr>
      </w:pPr>
    </w:p>
    <w:p>
      <w:pPr>
        <w:pStyle w:val="35"/>
        <w:shd w:val="clear" w:color="auto" w:fill="auto"/>
        <w:tabs>
          <w:tab w:val="right" w:leader="dot" w:pos="8504"/>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_Toc12211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第一章  招标公告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_Toc12211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_Toc23591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第二章  招标需求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_Toc23591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_Toc18561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第三章  投标人须知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_Toc18561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146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_Toc22982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评标办法及评分标准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_Toc22982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160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lang w:val="en-US"/>
        </w:rPr>
        <w:t xml:space="preserve">第五章  </w:t>
      </w:r>
      <w:r>
        <w:rPr>
          <w:rFonts w:hint="eastAsia" w:ascii="宋体" w:hAnsi="宋体" w:eastAsia="宋体" w:cs="宋体"/>
          <w:color w:val="auto"/>
          <w:sz w:val="28"/>
          <w:szCs w:val="28"/>
          <w:highlight w:val="none"/>
        </w:rPr>
        <w:t>合同</w:t>
      </w:r>
      <w:r>
        <w:rPr>
          <w:rFonts w:hint="eastAsia" w:ascii="宋体" w:hAnsi="宋体" w:eastAsia="宋体" w:cs="宋体"/>
          <w:color w:val="auto"/>
          <w:sz w:val="28"/>
          <w:szCs w:val="28"/>
          <w:highlight w:val="none"/>
          <w:lang w:val="en-US"/>
        </w:rPr>
        <w:t>主要</w:t>
      </w:r>
      <w:r>
        <w:rPr>
          <w:rFonts w:hint="eastAsia" w:ascii="宋体" w:hAnsi="宋体" w:eastAsia="宋体" w:cs="宋体"/>
          <w:color w:val="auto"/>
          <w:sz w:val="28"/>
          <w:szCs w:val="28"/>
          <w:highlight w:val="none"/>
        </w:rPr>
        <w:t>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_Toc8884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169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35"/>
        <w:shd w:val="clear" w:color="auto" w:fill="auto"/>
        <w:tabs>
          <w:tab w:val="right" w:leader="dot" w:pos="8504"/>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_Toc10113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lang w:val="en-US" w:eastAsia="zh-CN"/>
        </w:rPr>
        <w:t>第六章 投标文件格式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_Toc10113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9"/>
        <w:shd w:val="clear" w:color="auto" w:fill="auto"/>
        <w:spacing w:line="360" w:lineRule="auto"/>
        <w:ind w:firstLine="210"/>
        <w:rPr>
          <w:rFonts w:hint="eastAsia" w:ascii="宋体" w:hAnsi="宋体"/>
          <w:color w:val="auto"/>
          <w:highlight w:val="none"/>
        </w:rPr>
        <w:sectPr>
          <w:headerReference r:id="rId3" w:type="default"/>
          <w:footerReference r:id="rId4" w:type="default"/>
          <w:pgSz w:w="11906" w:h="16838"/>
          <w:pgMar w:top="1440" w:right="1701" w:bottom="1440" w:left="1701" w:header="851" w:footer="850" w:gutter="0"/>
          <w:paperSrc/>
          <w:pgBorders>
            <w:top w:val="none" w:sz="0" w:space="0"/>
            <w:left w:val="none" w:sz="0" w:space="0"/>
            <w:bottom w:val="none" w:sz="0" w:space="0"/>
            <w:right w:val="none" w:sz="0" w:space="0"/>
          </w:pgBorders>
          <w:pgNumType w:fmt="decimal" w:start="1"/>
          <w:cols w:space="720" w:num="1"/>
          <w:rtlGutter w:val="0"/>
          <w:docGrid w:linePitch="312" w:charSpace="0"/>
        </w:sectPr>
      </w:pPr>
      <w:r>
        <w:rPr>
          <w:rFonts w:hint="eastAsia" w:ascii="宋体" w:hAnsi="宋体" w:eastAsia="宋体" w:cs="宋体"/>
          <w:color w:val="auto"/>
          <w:sz w:val="28"/>
          <w:szCs w:val="28"/>
          <w:highlight w:val="none"/>
        </w:rPr>
        <w:fldChar w:fldCharType="end"/>
      </w:r>
    </w:p>
    <w:p>
      <w:pPr>
        <w:shd w:val="clear" w:color="auto" w:fill="auto"/>
        <w:spacing w:line="360" w:lineRule="auto"/>
        <w:ind w:right="297"/>
        <w:jc w:val="center"/>
        <w:outlineLvl w:val="0"/>
        <w:rPr>
          <w:color w:val="auto"/>
          <w:kern w:val="2"/>
          <w:sz w:val="21"/>
          <w:szCs w:val="21"/>
          <w:highlight w:val="none"/>
          <w:lang w:val="en-US" w:bidi="ar"/>
        </w:rPr>
      </w:pPr>
      <w:bookmarkStart w:id="0" w:name="_Toc4865"/>
      <w:bookmarkStart w:id="1" w:name="_Toc12211"/>
      <w:r>
        <w:rPr>
          <w:rFonts w:hint="eastAsia"/>
          <w:b/>
          <w:bCs/>
          <w:color w:val="auto"/>
          <w:sz w:val="30"/>
          <w:szCs w:val="30"/>
          <w:highlight w:val="none"/>
        </w:rPr>
        <w:t>第一章  招标公告</w:t>
      </w:r>
      <w:bookmarkEnd w:id="0"/>
      <w:bookmarkEnd w:id="1"/>
    </w:p>
    <w:tbl>
      <w:tblPr>
        <w:tblStyle w:val="51"/>
        <w:tblW w:w="89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8940" w:type="dxa"/>
            <w:tcBorders>
              <w:tl2br w:val="nil"/>
              <w:tr2bl w:val="nil"/>
            </w:tcBorders>
            <w:noWrap w:val="0"/>
            <w:vAlign w:val="top"/>
          </w:tcPr>
          <w:p>
            <w:pPr>
              <w:keepNext/>
              <w:keepLines/>
              <w:widowControl w:val="0"/>
              <w:shd w:val="clear" w:color="auto" w:fill="auto"/>
              <w:bidi w:val="0"/>
              <w:spacing w:line="360" w:lineRule="auto"/>
              <w:jc w:val="left"/>
              <w:outlineLvl w:val="2"/>
              <w:rPr>
                <w:rFonts w:hint="eastAsia" w:ascii="Times New Roman" w:hAnsi="Times New Roman" w:eastAsia="微软雅黑" w:cs="Times New Roman"/>
                <w:b/>
                <w:bCs/>
                <w:color w:val="auto"/>
                <w:kern w:val="2"/>
                <w:sz w:val="21"/>
                <w:szCs w:val="32"/>
                <w:highlight w:val="none"/>
                <w:lang w:val="en-US" w:eastAsia="zh-CN" w:bidi="ar-SA"/>
              </w:rPr>
            </w:pPr>
            <w:r>
              <w:rPr>
                <w:rFonts w:hint="eastAsia" w:ascii="Times New Roman" w:hAnsi="Times New Roman" w:eastAsia="微软雅黑" w:cs="Times New Roman"/>
                <w:b/>
                <w:bCs/>
                <w:color w:val="auto"/>
                <w:kern w:val="2"/>
                <w:sz w:val="21"/>
                <w:szCs w:val="32"/>
                <w:highlight w:val="none"/>
                <w:lang w:val="en-US" w:eastAsia="zh-CN" w:bidi="ar-SA"/>
              </w:rPr>
              <w:t>项目概况</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Times New Roman" w:hAnsi="Times New Roman" w:eastAsia="宋体" w:cs="Times New Roman"/>
                <w:color w:val="auto"/>
                <w:kern w:val="2"/>
                <w:sz w:val="21"/>
                <w:szCs w:val="24"/>
                <w:highlight w:val="none"/>
                <w:vertAlign w:val="baseline"/>
                <w:lang w:val="en-US" w:bidi="ar-SA"/>
              </w:rPr>
            </w:pPr>
            <w:r>
              <w:rPr>
                <w:rFonts w:hint="eastAsia" w:ascii="宋体" w:hAnsi="宋体" w:eastAsia="宋体" w:cs="宋体"/>
                <w:color w:val="auto"/>
                <w:kern w:val="2"/>
                <w:sz w:val="21"/>
                <w:szCs w:val="21"/>
                <w:highlight w:val="none"/>
                <w:u w:val="single"/>
                <w:shd w:val="clear" w:color="auto" w:fill="FFFFFF"/>
                <w:lang w:val="en-US" w:eastAsia="zh-CN" w:bidi="ar-SA"/>
              </w:rPr>
              <w:t>宁波江北姚江未来社区数字化改造项目</w:t>
            </w:r>
            <w:r>
              <w:rPr>
                <w:rFonts w:hint="eastAsia" w:ascii="宋体" w:hAnsi="宋体" w:eastAsia="宋体" w:cs="宋体"/>
                <w:color w:val="auto"/>
                <w:kern w:val="2"/>
                <w:sz w:val="21"/>
                <w:szCs w:val="21"/>
                <w:highlight w:val="none"/>
                <w:lang w:val="en-US" w:bidi="ar-SA"/>
              </w:rPr>
              <w:t>的潜在投标人应在浙江政府采购网（http://zfcg.czt.zj.gov.cn）获取（下载）招标文件，并于</w:t>
            </w:r>
            <w:r>
              <w:rPr>
                <w:rFonts w:hint="eastAsia" w:ascii="宋体" w:hAnsi="宋体" w:eastAsia="宋体" w:cs="宋体"/>
                <w:color w:val="auto"/>
                <w:kern w:val="2"/>
                <w:sz w:val="21"/>
                <w:szCs w:val="21"/>
                <w:highlight w:val="none"/>
                <w:u w:val="single"/>
                <w:lang w:val="en-US" w:bidi="ar-SA"/>
              </w:rPr>
              <w:t>202</w:t>
            </w:r>
            <w:r>
              <w:rPr>
                <w:rFonts w:hint="eastAsia" w:ascii="宋体" w:hAnsi="宋体" w:eastAsia="宋体" w:cs="宋体"/>
                <w:color w:val="auto"/>
                <w:kern w:val="2"/>
                <w:sz w:val="21"/>
                <w:szCs w:val="21"/>
                <w:highlight w:val="none"/>
                <w:u w:val="single"/>
                <w:lang w:val="en-US" w:eastAsia="zh-CN" w:bidi="ar-SA"/>
              </w:rPr>
              <w:t>2</w:t>
            </w:r>
            <w:r>
              <w:rPr>
                <w:rFonts w:hint="eastAsia" w:ascii="宋体" w:hAnsi="宋体" w:eastAsia="宋体" w:cs="宋体"/>
                <w:color w:val="auto"/>
                <w:kern w:val="2"/>
                <w:sz w:val="21"/>
                <w:szCs w:val="21"/>
                <w:highlight w:val="none"/>
                <w:u w:val="none"/>
                <w:lang w:val="en-US" w:bidi="ar-SA"/>
              </w:rPr>
              <w:t>年</w:t>
            </w:r>
            <w:r>
              <w:rPr>
                <w:rFonts w:hint="eastAsia" w:ascii="宋体" w:hAnsi="宋体" w:eastAsia="宋体" w:cs="宋体"/>
                <w:color w:val="auto"/>
                <w:kern w:val="2"/>
                <w:sz w:val="21"/>
                <w:szCs w:val="21"/>
                <w:highlight w:val="none"/>
                <w:u w:val="single"/>
                <w:lang w:val="en-US" w:eastAsia="zh-CN" w:bidi="ar-SA"/>
              </w:rPr>
              <w:t xml:space="preserve"> 12 </w:t>
            </w:r>
            <w:r>
              <w:rPr>
                <w:rFonts w:hint="eastAsia" w:ascii="宋体" w:hAnsi="宋体" w:eastAsia="宋体" w:cs="宋体"/>
                <w:color w:val="auto"/>
                <w:kern w:val="2"/>
                <w:sz w:val="21"/>
                <w:szCs w:val="21"/>
                <w:highlight w:val="none"/>
                <w:u w:val="none"/>
                <w:lang w:val="en-US" w:bidi="ar-SA"/>
              </w:rPr>
              <w:t>月</w:t>
            </w:r>
            <w:r>
              <w:rPr>
                <w:rFonts w:hint="eastAsia" w:ascii="宋体" w:hAnsi="宋体" w:eastAsia="宋体" w:cs="宋体"/>
                <w:color w:val="auto"/>
                <w:kern w:val="2"/>
                <w:sz w:val="21"/>
                <w:szCs w:val="21"/>
                <w:highlight w:val="none"/>
                <w:u w:val="single"/>
                <w:lang w:val="en-US" w:eastAsia="zh-CN" w:bidi="ar-SA"/>
              </w:rPr>
              <w:t xml:space="preserve"> 9 </w:t>
            </w:r>
            <w:r>
              <w:rPr>
                <w:rFonts w:hint="eastAsia" w:ascii="宋体" w:hAnsi="宋体" w:eastAsia="宋体" w:cs="宋体"/>
                <w:color w:val="auto"/>
                <w:kern w:val="2"/>
                <w:sz w:val="21"/>
                <w:szCs w:val="21"/>
                <w:highlight w:val="none"/>
                <w:u w:val="none"/>
                <w:lang w:val="en-US" w:bidi="ar-SA"/>
              </w:rPr>
              <w:t>日</w:t>
            </w:r>
            <w:r>
              <w:rPr>
                <w:rFonts w:hint="eastAsia" w:ascii="宋体" w:hAnsi="宋体" w:eastAsia="宋体" w:cs="宋体"/>
                <w:color w:val="auto"/>
                <w:kern w:val="2"/>
                <w:sz w:val="21"/>
                <w:szCs w:val="21"/>
                <w:highlight w:val="none"/>
                <w:u w:val="single"/>
                <w:lang w:val="en-US" w:eastAsia="zh-CN" w:bidi="ar-SA"/>
              </w:rPr>
              <w:t xml:space="preserve"> 13 </w:t>
            </w:r>
            <w:r>
              <w:rPr>
                <w:rFonts w:hint="eastAsia" w:ascii="宋体" w:hAnsi="宋体" w:eastAsia="宋体" w:cs="宋体"/>
                <w:color w:val="auto"/>
                <w:kern w:val="2"/>
                <w:sz w:val="21"/>
                <w:szCs w:val="21"/>
                <w:highlight w:val="none"/>
                <w:u w:val="none"/>
                <w:lang w:val="en-US" w:bidi="ar-SA"/>
              </w:rPr>
              <w:t>时</w:t>
            </w:r>
            <w:r>
              <w:rPr>
                <w:rFonts w:hint="eastAsia" w:ascii="宋体" w:hAnsi="宋体" w:eastAsia="宋体" w:cs="宋体"/>
                <w:color w:val="auto"/>
                <w:kern w:val="2"/>
                <w:sz w:val="21"/>
                <w:szCs w:val="21"/>
                <w:highlight w:val="none"/>
                <w:u w:val="single"/>
                <w:lang w:val="en-US" w:eastAsia="zh-CN" w:bidi="ar-SA"/>
              </w:rPr>
              <w:t xml:space="preserve"> 30 </w:t>
            </w:r>
            <w:r>
              <w:rPr>
                <w:rFonts w:hint="eastAsia" w:ascii="宋体" w:hAnsi="宋体" w:eastAsia="宋体" w:cs="宋体"/>
                <w:color w:val="auto"/>
                <w:kern w:val="2"/>
                <w:sz w:val="21"/>
                <w:szCs w:val="21"/>
                <w:highlight w:val="none"/>
                <w:u w:val="none"/>
                <w:lang w:val="en-US" w:bidi="ar-SA"/>
              </w:rPr>
              <w:t>分</w:t>
            </w:r>
            <w:r>
              <w:rPr>
                <w:rFonts w:hint="eastAsia" w:ascii="宋体" w:hAnsi="宋体" w:eastAsia="宋体" w:cs="宋体"/>
                <w:color w:val="auto"/>
                <w:kern w:val="2"/>
                <w:sz w:val="21"/>
                <w:szCs w:val="21"/>
                <w:highlight w:val="none"/>
                <w:lang w:val="en-US" w:bidi="ar-SA"/>
              </w:rPr>
              <w:t>（北京时间）前递交（上传）投标文件</w:t>
            </w:r>
            <w:r>
              <w:rPr>
                <w:rFonts w:hint="eastAsia" w:ascii="宋体" w:hAnsi="宋体" w:eastAsia="宋体" w:cs="宋体"/>
                <w:color w:val="auto"/>
                <w:kern w:val="2"/>
                <w:sz w:val="21"/>
                <w:szCs w:val="21"/>
                <w:highlight w:val="none"/>
                <w:shd w:val="clear" w:color="auto" w:fill="FFFFFF"/>
                <w:lang w:val="en-US" w:bidi="ar-SA"/>
              </w:rPr>
              <w:t>。</w:t>
            </w:r>
          </w:p>
        </w:tc>
      </w:tr>
    </w:tbl>
    <w:p>
      <w:pPr>
        <w:shd w:val="clear" w:color="auto" w:fill="auto"/>
        <w:autoSpaceDE/>
        <w:autoSpaceDN/>
        <w:jc w:val="both"/>
        <w:rPr>
          <w:rFonts w:hint="eastAsia" w:ascii="Times New Roman" w:hAnsi="Times New Roman" w:eastAsia="宋体" w:cs="Times New Roman"/>
          <w:color w:val="auto"/>
          <w:kern w:val="2"/>
          <w:sz w:val="21"/>
          <w:szCs w:val="24"/>
          <w:highlight w:val="none"/>
          <w:lang w:val="en-US" w:eastAsia="zh-CN" w:bidi="ar-SA"/>
        </w:rPr>
      </w:pPr>
    </w:p>
    <w:p>
      <w:pPr>
        <w:widowControl w:val="0"/>
        <w:shd w:val="clear" w:color="auto" w:fill="auto"/>
        <w:autoSpaceDE w:val="0"/>
        <w:autoSpaceDN w:val="0"/>
        <w:adjustRightInd w:val="0"/>
        <w:spacing w:after="0"/>
        <w:jc w:val="left"/>
        <w:rPr>
          <w:rFonts w:hint="eastAsia" w:ascii="Times New Roman" w:hAnsi="Times New Roman" w:eastAsia="宋体" w:cs="Times New Roman"/>
          <w:color w:val="auto"/>
          <w:kern w:val="0"/>
          <w:sz w:val="21"/>
          <w:szCs w:val="20"/>
          <w:highlight w:val="none"/>
          <w:lang w:val="en-US" w:eastAsia="zh-CN" w:bidi="ar-SA"/>
        </w:rPr>
      </w:pP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一、项目基本情况</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项目编号：</w:t>
      </w:r>
      <w:r>
        <w:rPr>
          <w:rFonts w:hint="eastAsia" w:ascii="宋体" w:hAnsi="宋体" w:eastAsia="宋体" w:cs="宋体"/>
          <w:color w:val="auto"/>
          <w:kern w:val="2"/>
          <w:sz w:val="21"/>
          <w:szCs w:val="21"/>
          <w:highlight w:val="none"/>
          <w:u w:val="single"/>
          <w:lang w:val="en-US" w:eastAsia="zh-CN" w:bidi="ar-SA"/>
        </w:rPr>
        <w:t>NBSD2022-074</w:t>
      </w:r>
      <w:r>
        <w:rPr>
          <w:rFonts w:hint="eastAsia" w:ascii="宋体" w:hAnsi="宋体" w:eastAsia="宋体" w:cs="宋体"/>
          <w:color w:val="auto"/>
          <w:kern w:val="2"/>
          <w:sz w:val="21"/>
          <w:szCs w:val="21"/>
          <w:highlight w:val="none"/>
          <w:lang w:val="en-US" w:bidi="ar-SA"/>
        </w:rPr>
        <w:t>（交易登记号：</w:t>
      </w:r>
      <w:r>
        <w:rPr>
          <w:rFonts w:hint="eastAsia" w:ascii="宋体" w:hAnsi="宋体" w:eastAsia="宋体" w:cs="宋体"/>
          <w:color w:val="auto"/>
          <w:kern w:val="2"/>
          <w:sz w:val="21"/>
          <w:szCs w:val="21"/>
          <w:highlight w:val="none"/>
          <w:u w:val="single"/>
          <w:lang w:val="en-US" w:eastAsia="zh-CN" w:bidi="ar-SA"/>
        </w:rPr>
        <w:t>FSCG2022239</w:t>
      </w:r>
      <w:r>
        <w:rPr>
          <w:rFonts w:hint="eastAsia" w:ascii="宋体" w:hAnsi="宋体" w:eastAsia="宋体" w:cs="宋体"/>
          <w:color w:val="auto"/>
          <w:kern w:val="2"/>
          <w:sz w:val="21"/>
          <w:szCs w:val="21"/>
          <w:highlight w:val="none"/>
          <w:lang w:val="en-US" w:bidi="ar-SA"/>
        </w:rPr>
        <w:t>）</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bidi="ar-SA"/>
        </w:rPr>
        <w:t>项目名称：</w:t>
      </w:r>
      <w:r>
        <w:rPr>
          <w:rFonts w:hint="eastAsia" w:ascii="宋体" w:hAnsi="宋体" w:eastAsia="宋体" w:cs="宋体"/>
          <w:color w:val="auto"/>
          <w:kern w:val="2"/>
          <w:sz w:val="21"/>
          <w:szCs w:val="21"/>
          <w:highlight w:val="none"/>
          <w:lang w:val="en-US" w:eastAsia="zh-CN" w:bidi="ar-SA"/>
        </w:rPr>
        <w:t>宁波江北姚江未来社区数字化改造项目</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预算金额（元）：</w:t>
      </w:r>
      <w:r>
        <w:rPr>
          <w:rFonts w:hint="eastAsia" w:ascii="宋体" w:hAnsi="宋体" w:eastAsia="宋体" w:cs="宋体"/>
          <w:color w:val="auto"/>
          <w:kern w:val="2"/>
          <w:sz w:val="21"/>
          <w:szCs w:val="21"/>
          <w:highlight w:val="none"/>
          <w:lang w:val="en-US" w:eastAsia="zh-CN" w:bidi="ar-SA"/>
        </w:rPr>
        <w:t xml:space="preserve">8000000 </w:t>
      </w:r>
      <w:r>
        <w:rPr>
          <w:rFonts w:hint="eastAsia" w:ascii="宋体" w:hAnsi="宋体" w:eastAsia="宋体" w:cs="宋体"/>
          <w:color w:val="auto"/>
          <w:kern w:val="2"/>
          <w:sz w:val="21"/>
          <w:szCs w:val="21"/>
          <w:highlight w:val="none"/>
          <w:lang w:val="en-US" w:bidi="ar-SA"/>
        </w:rPr>
        <w:t xml:space="preserve">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最高限价（元）：</w:t>
      </w:r>
      <w:r>
        <w:rPr>
          <w:rFonts w:hint="eastAsia" w:ascii="宋体" w:hAnsi="宋体" w:eastAsia="宋体" w:cs="宋体"/>
          <w:color w:val="auto"/>
          <w:kern w:val="2"/>
          <w:sz w:val="21"/>
          <w:szCs w:val="21"/>
          <w:highlight w:val="none"/>
          <w:lang w:val="en-US" w:eastAsia="zh-CN" w:bidi="ar-SA"/>
        </w:rPr>
        <w:t>5710007</w:t>
      </w:r>
      <w:r>
        <w:rPr>
          <w:rFonts w:hint="eastAsia" w:ascii="宋体" w:hAnsi="宋体" w:eastAsia="宋体" w:cs="宋体"/>
          <w:color w:val="auto"/>
          <w:kern w:val="2"/>
          <w:sz w:val="21"/>
          <w:szCs w:val="21"/>
          <w:highlight w:val="none"/>
          <w:lang w:val="en-US" w:bidi="ar-SA"/>
        </w:rPr>
        <w:t xml:space="preserve">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采购需求：</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标项名称:</w:t>
      </w:r>
      <w:r>
        <w:rPr>
          <w:rFonts w:hint="eastAsia" w:ascii="宋体" w:hAnsi="宋体" w:eastAsia="宋体" w:cs="宋体"/>
          <w:bCs/>
          <w:color w:val="auto"/>
          <w:kern w:val="2"/>
          <w:sz w:val="21"/>
          <w:szCs w:val="21"/>
          <w:highlight w:val="none"/>
          <w:lang w:val="en-US" w:bidi="ar-SA"/>
        </w:rPr>
        <w:t xml:space="preserve"> </w:t>
      </w:r>
      <w:r>
        <w:rPr>
          <w:rFonts w:hint="eastAsia" w:ascii="宋体" w:hAnsi="宋体" w:eastAsia="宋体" w:cs="宋体"/>
          <w:color w:val="auto"/>
          <w:kern w:val="2"/>
          <w:sz w:val="21"/>
          <w:szCs w:val="21"/>
          <w:highlight w:val="none"/>
          <w:lang w:val="en-US" w:eastAsia="zh-CN" w:bidi="ar-SA"/>
        </w:rPr>
        <w:t>宁波江北姚江未来社区数字化改造项目</w:t>
      </w:r>
      <w:r>
        <w:rPr>
          <w:rFonts w:hint="eastAsia" w:ascii="宋体" w:hAnsi="宋体" w:eastAsia="宋体" w:cs="宋体"/>
          <w:color w:val="auto"/>
          <w:kern w:val="2"/>
          <w:sz w:val="21"/>
          <w:szCs w:val="21"/>
          <w:highlight w:val="none"/>
          <w:lang w:val="en-US" w:bidi="ar-SA"/>
        </w:rPr>
        <w:t xml:space="preserve">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数量: 1项</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default"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bidi="ar-SA"/>
        </w:rPr>
        <w:t xml:space="preserve">预算金额（元）: </w:t>
      </w:r>
      <w:r>
        <w:rPr>
          <w:rFonts w:hint="eastAsia" w:ascii="宋体" w:hAnsi="宋体" w:eastAsia="宋体" w:cs="宋体"/>
          <w:color w:val="auto"/>
          <w:kern w:val="2"/>
          <w:sz w:val="21"/>
          <w:szCs w:val="21"/>
          <w:highlight w:val="none"/>
          <w:lang w:val="en-US" w:eastAsia="zh-CN" w:bidi="ar-SA"/>
        </w:rPr>
        <w:t>8000000</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简要规格描述或项目基本概况介绍、用途：</w:t>
      </w:r>
      <w:r>
        <w:rPr>
          <w:rFonts w:hint="eastAsia" w:ascii="宋体" w:hAnsi="宋体" w:eastAsia="宋体" w:cs="宋体"/>
          <w:color w:val="auto"/>
          <w:kern w:val="2"/>
          <w:sz w:val="21"/>
          <w:szCs w:val="21"/>
          <w:highlight w:val="none"/>
          <w:lang w:val="en-US" w:eastAsia="zh-CN" w:bidi="ar-SA"/>
        </w:rPr>
        <w:t>宁波江北姚江未来社区数字化改造项目</w:t>
      </w:r>
      <w:r>
        <w:rPr>
          <w:rFonts w:hint="eastAsia" w:ascii="宋体" w:hAnsi="宋体" w:eastAsia="宋体" w:cs="宋体"/>
          <w:color w:val="auto"/>
          <w:kern w:val="2"/>
          <w:sz w:val="21"/>
          <w:szCs w:val="21"/>
          <w:highlight w:val="none"/>
          <w:lang w:val="en-US" w:bidi="ar-SA"/>
        </w:rPr>
        <w:t>；详见招标文件第二章招标需求。</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 xml:space="preserve">备注：/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i/>
          <w:iCs/>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合同履行期限：本项目建设开发周期为</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bidi="ar-SA"/>
        </w:rPr>
        <w:t>个月，自合同签订之日起至</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bidi="ar-SA"/>
        </w:rPr>
        <w:t>个月内完成项目的建设实施、试运行、系统调试、应用培训和竣工验收等工作。</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本项目</w:t>
      </w:r>
      <w:r>
        <w:rPr>
          <w:rFonts w:hint="eastAsia" w:ascii="宋体" w:hAnsi="宋体" w:eastAsia="宋体" w:cs="宋体"/>
          <w:color w:val="auto"/>
          <w:kern w:val="2"/>
          <w:sz w:val="21"/>
          <w:szCs w:val="21"/>
          <w:highlight w:val="none"/>
          <w:u w:val="single"/>
          <w:lang w:val="en-US" w:eastAsia="zh-CN" w:bidi="ar-SA"/>
        </w:rPr>
        <w:t>不接受</w:t>
      </w:r>
      <w:r>
        <w:rPr>
          <w:rFonts w:hint="eastAsia" w:ascii="宋体" w:hAnsi="宋体" w:eastAsia="宋体" w:cs="宋体"/>
          <w:color w:val="auto"/>
          <w:kern w:val="2"/>
          <w:sz w:val="21"/>
          <w:szCs w:val="21"/>
          <w:highlight w:val="none"/>
          <w:lang w:val="en-US" w:bidi="ar-SA"/>
        </w:rPr>
        <w:t>联合体投标。</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bookmarkStart w:id="2" w:name="_Toc35393791"/>
      <w:bookmarkStart w:id="3" w:name="_Toc28359080"/>
      <w:bookmarkStart w:id="4" w:name="_Toc35393622"/>
      <w:bookmarkStart w:id="5" w:name="_Toc28359003"/>
      <w:r>
        <w:rPr>
          <w:rFonts w:hint="eastAsia" w:ascii="微软雅黑" w:hAnsi="微软雅黑" w:eastAsia="微软雅黑" w:cs="微软雅黑"/>
          <w:b/>
          <w:bCs/>
          <w:color w:val="auto"/>
          <w:kern w:val="2"/>
          <w:sz w:val="21"/>
          <w:szCs w:val="32"/>
          <w:highlight w:val="none"/>
          <w:lang w:val="en-US" w:eastAsia="zh-CN" w:bidi="ar-SA"/>
        </w:rPr>
        <w:t>二、申请人的资格要求</w:t>
      </w:r>
      <w:bookmarkEnd w:id="2"/>
      <w:bookmarkEnd w:id="3"/>
      <w:bookmarkEnd w:id="4"/>
      <w:bookmarkEnd w:id="5"/>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1、符合《中华人民共和国政府采购法》第二十二条规定的供应商资格条件：</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（1）具有独立承担民事责任的能力；</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（2）具有良好的商业信誉和健全的财务会计制度；</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（3）具有履行合同所必需的设备和专业技术能力；</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（4）有依法缴纳税收和社会保障资金的良好记录；</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（5）参加政府采购活动前三年内，在经营活动中没有重大违法记录。</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2、落实政府采购政策需满足的资格要求：无。</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bidi="ar-SA"/>
        </w:rPr>
        <w:t>3、本项目的特定资格要求：</w:t>
      </w:r>
      <w:r>
        <w:rPr>
          <w:rFonts w:hint="eastAsia" w:ascii="宋体" w:hAnsi="宋体" w:eastAsia="宋体" w:cs="宋体"/>
          <w:color w:val="auto"/>
          <w:kern w:val="2"/>
          <w:sz w:val="21"/>
          <w:szCs w:val="21"/>
          <w:highlight w:val="none"/>
          <w:lang w:val="en-US" w:eastAsia="zh-CN" w:bidi="ar-SA"/>
        </w:rPr>
        <w:t>无。</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bidi="ar-SA"/>
        </w:rPr>
        <w:t>单位负责人为同一人或者存在直接控股、管理关系的不同投标人，不得参加同一标项的投标。为本项目提供整体设计、规范编制或者项目管理、监理、检测等服务的投标人，不得再参加本项目的投标。</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bidi="ar-SA"/>
        </w:rPr>
        <w:t>、供应商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告前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三、获取（下载）招标文件</w:t>
      </w:r>
    </w:p>
    <w:p>
      <w:pPr>
        <w:keepNext w:val="0"/>
        <w:keepLines w:val="0"/>
        <w:pageBreakBefore w:val="0"/>
        <w:shd w:val="clear" w:color="auto" w:fill="auto"/>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1、时间：</w:t>
      </w:r>
      <w:r>
        <w:rPr>
          <w:rFonts w:hint="eastAsia" w:ascii="宋体" w:hAnsi="宋体" w:eastAsia="宋体" w:cs="宋体"/>
          <w:color w:val="auto"/>
          <w:kern w:val="2"/>
          <w:sz w:val="21"/>
          <w:szCs w:val="21"/>
          <w:highlight w:val="none"/>
          <w:u w:val="single"/>
          <w:lang w:val="en-US" w:eastAsia="zh-CN" w:bidi="ar-SA"/>
        </w:rPr>
        <w:t xml:space="preserve">  / </w:t>
      </w:r>
      <w:r>
        <w:rPr>
          <w:rFonts w:hint="eastAsia" w:ascii="宋体" w:hAnsi="宋体" w:eastAsia="宋体" w:cs="宋体"/>
          <w:color w:val="auto"/>
          <w:kern w:val="2"/>
          <w:sz w:val="21"/>
          <w:szCs w:val="21"/>
          <w:highlight w:val="none"/>
          <w:lang w:val="en-US" w:bidi="ar-SA"/>
        </w:rPr>
        <w:t>至</w:t>
      </w:r>
      <w:r>
        <w:rPr>
          <w:rFonts w:hint="eastAsia" w:ascii="宋体" w:hAnsi="宋体" w:eastAsia="宋体" w:cs="宋体"/>
          <w:color w:val="auto"/>
          <w:kern w:val="2"/>
          <w:sz w:val="21"/>
          <w:szCs w:val="21"/>
          <w:highlight w:val="none"/>
          <w:u w:val="single"/>
          <w:lang w:val="en-US" w:bidi="ar-SA"/>
        </w:rPr>
        <w:t>202</w:t>
      </w:r>
      <w:r>
        <w:rPr>
          <w:rFonts w:hint="eastAsia" w:ascii="宋体" w:hAnsi="宋体" w:eastAsia="宋体" w:cs="宋体"/>
          <w:color w:val="auto"/>
          <w:kern w:val="2"/>
          <w:sz w:val="21"/>
          <w:szCs w:val="21"/>
          <w:highlight w:val="none"/>
          <w:u w:val="single"/>
          <w:lang w:val="en-US" w:eastAsia="zh-CN" w:bidi="ar-SA"/>
        </w:rPr>
        <w:t>2</w:t>
      </w:r>
      <w:r>
        <w:rPr>
          <w:rFonts w:hint="eastAsia" w:ascii="宋体" w:hAnsi="宋体" w:eastAsia="宋体" w:cs="宋体"/>
          <w:color w:val="auto"/>
          <w:kern w:val="2"/>
          <w:sz w:val="21"/>
          <w:szCs w:val="21"/>
          <w:highlight w:val="none"/>
          <w:lang w:val="en-US" w:bidi="ar-SA"/>
        </w:rPr>
        <w:t>年</w:t>
      </w:r>
      <w:r>
        <w:rPr>
          <w:rFonts w:hint="eastAsia" w:ascii="宋体" w:hAnsi="宋体" w:eastAsia="宋体" w:cs="宋体"/>
          <w:color w:val="auto"/>
          <w:kern w:val="2"/>
          <w:sz w:val="21"/>
          <w:szCs w:val="21"/>
          <w:highlight w:val="none"/>
          <w:u w:val="single"/>
          <w:lang w:val="en-US" w:eastAsia="zh-CN" w:bidi="ar-SA"/>
        </w:rPr>
        <w:t xml:space="preserve"> 12 </w:t>
      </w:r>
      <w:r>
        <w:rPr>
          <w:rFonts w:hint="eastAsia" w:ascii="宋体" w:hAnsi="宋体" w:eastAsia="宋体" w:cs="宋体"/>
          <w:color w:val="auto"/>
          <w:kern w:val="2"/>
          <w:sz w:val="21"/>
          <w:szCs w:val="21"/>
          <w:highlight w:val="none"/>
          <w:lang w:val="en-US" w:bidi="ar-SA"/>
        </w:rPr>
        <w:t>月</w:t>
      </w:r>
      <w:r>
        <w:rPr>
          <w:rFonts w:hint="eastAsia" w:ascii="宋体" w:hAnsi="宋体" w:eastAsia="宋体" w:cs="宋体"/>
          <w:color w:val="auto"/>
          <w:kern w:val="2"/>
          <w:sz w:val="21"/>
          <w:szCs w:val="21"/>
          <w:highlight w:val="none"/>
          <w:u w:val="single"/>
          <w:lang w:val="en-US" w:eastAsia="zh-CN" w:bidi="ar-SA"/>
        </w:rPr>
        <w:t xml:space="preserve"> 9 </w:t>
      </w:r>
      <w:r>
        <w:rPr>
          <w:rFonts w:hint="eastAsia" w:ascii="宋体" w:hAnsi="宋体" w:eastAsia="宋体" w:cs="宋体"/>
          <w:color w:val="auto"/>
          <w:kern w:val="2"/>
          <w:sz w:val="21"/>
          <w:szCs w:val="21"/>
          <w:highlight w:val="none"/>
          <w:lang w:val="en-US" w:bidi="ar-SA"/>
        </w:rPr>
        <w:t>日，每天上午00:00至12:00，下午12:00至23:59（北京时间，线上获取法定节假日均可，线下获取文件法定节假日除外）</w:t>
      </w:r>
    </w:p>
    <w:p>
      <w:pPr>
        <w:keepNext w:val="0"/>
        <w:keepLines w:val="0"/>
        <w:pageBreakBefore w:val="0"/>
        <w:shd w:val="clear" w:color="auto" w:fill="auto"/>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2、地点：浙江政府采购云平台（www.zcygov.cn）</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方式：本项目采购文件于“政府采购云平台”在线获取。投标人获取采购文件前应先完成“政府采购云平台”的账号注册，登陆政府采购云平台（www.zcygov.cn）在线申请获取采购文件（政府采购云平台→“政采云用户”登录→【项目采购】→【获取采购文件】），进入“项目采购”应用，在获取采购文件菜单中选择项目，申请获取采购文件，仅浏览采购文件的投标人可点击“游客，浏览采购文件”下载采购文件浏览；招标公告附件内的采购文件仅供阅览，投标人只有在“政府采购云平台”完成获取采购文件申请并下载了采购文件后方视作依法获取采购文件（法律、法规所指的获取采购文件时间以投标人完成获取采购文件申请后下载采购文件的时间为准）。注：请投标人按上述要求获取采购文件，如未在“政府采购云平台”完成相关流程引起的无效投标，责任自负。</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6、招标文件售价：</w:t>
      </w:r>
      <w:r>
        <w:rPr>
          <w:rFonts w:hint="eastAsia" w:ascii="宋体" w:hAnsi="宋体" w:eastAsia="宋体" w:cs="宋体"/>
          <w:color w:val="auto"/>
          <w:kern w:val="2"/>
          <w:sz w:val="21"/>
          <w:szCs w:val="21"/>
          <w:highlight w:val="none"/>
          <w:u w:val="single"/>
          <w:lang w:val="en-US" w:eastAsia="zh-CN" w:bidi="ar-SA"/>
        </w:rPr>
        <w:t xml:space="preserve">  0  </w:t>
      </w:r>
      <w:r>
        <w:rPr>
          <w:rFonts w:hint="eastAsia" w:ascii="宋体" w:hAnsi="宋体" w:eastAsia="宋体" w:cs="宋体"/>
          <w:color w:val="auto"/>
          <w:kern w:val="2"/>
          <w:sz w:val="21"/>
          <w:szCs w:val="21"/>
          <w:highlight w:val="none"/>
          <w:u w:val="none"/>
          <w:lang w:val="en-US" w:eastAsia="zh-CN" w:bidi="ar-SA"/>
        </w:rPr>
        <w:t>元</w:t>
      </w:r>
      <w:r>
        <w:rPr>
          <w:rFonts w:hint="eastAsia" w:ascii="宋体" w:hAnsi="宋体" w:eastAsia="宋体" w:cs="宋体"/>
          <w:color w:val="auto"/>
          <w:kern w:val="2"/>
          <w:sz w:val="21"/>
          <w:szCs w:val="21"/>
          <w:highlight w:val="none"/>
          <w:lang w:val="en-US" w:bidi="ar-SA"/>
        </w:rPr>
        <w:t xml:space="preserve">。  </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四、投标文件提交（上传）截止时间及地点</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kern w:val="2"/>
          <w:sz w:val="21"/>
          <w:szCs w:val="21"/>
          <w:highlight w:val="none"/>
          <w:lang w:val="en-US" w:bidi="ar-SA"/>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bidi="ar-SA"/>
        </w:rPr>
        <w:t>提交投标文件截止时间：</w:t>
      </w:r>
      <w:r>
        <w:rPr>
          <w:rFonts w:hint="eastAsia" w:ascii="宋体" w:hAnsi="宋体" w:eastAsia="宋体" w:cs="宋体"/>
          <w:color w:val="auto"/>
          <w:kern w:val="2"/>
          <w:sz w:val="21"/>
          <w:szCs w:val="21"/>
          <w:highlight w:val="none"/>
          <w:u w:val="single"/>
          <w:lang w:val="en-US" w:bidi="ar-SA"/>
        </w:rPr>
        <w:t>202</w:t>
      </w:r>
      <w:r>
        <w:rPr>
          <w:rFonts w:hint="eastAsia" w:ascii="宋体" w:hAnsi="宋体" w:eastAsia="宋体" w:cs="宋体"/>
          <w:color w:val="auto"/>
          <w:kern w:val="2"/>
          <w:sz w:val="21"/>
          <w:szCs w:val="21"/>
          <w:highlight w:val="none"/>
          <w:u w:val="single"/>
          <w:lang w:val="en-US" w:eastAsia="zh-CN" w:bidi="ar-SA"/>
        </w:rPr>
        <w:t>2</w:t>
      </w:r>
      <w:r>
        <w:rPr>
          <w:rFonts w:hint="eastAsia" w:ascii="宋体" w:hAnsi="宋体" w:eastAsia="宋体" w:cs="宋体"/>
          <w:color w:val="auto"/>
          <w:kern w:val="2"/>
          <w:sz w:val="21"/>
          <w:szCs w:val="21"/>
          <w:highlight w:val="none"/>
          <w:u w:val="none"/>
          <w:lang w:val="en-US" w:bidi="ar-SA"/>
        </w:rPr>
        <w:t>年</w:t>
      </w:r>
      <w:r>
        <w:rPr>
          <w:rFonts w:hint="eastAsia" w:ascii="宋体" w:hAnsi="宋体" w:eastAsia="宋体" w:cs="宋体"/>
          <w:color w:val="auto"/>
          <w:kern w:val="2"/>
          <w:sz w:val="21"/>
          <w:szCs w:val="21"/>
          <w:highlight w:val="none"/>
          <w:u w:val="single"/>
          <w:lang w:val="en-US" w:eastAsia="zh-CN" w:bidi="ar-SA"/>
        </w:rPr>
        <w:t xml:space="preserve"> 12 </w:t>
      </w:r>
      <w:r>
        <w:rPr>
          <w:rFonts w:hint="eastAsia" w:ascii="宋体" w:hAnsi="宋体" w:eastAsia="宋体" w:cs="宋体"/>
          <w:color w:val="auto"/>
          <w:kern w:val="2"/>
          <w:sz w:val="21"/>
          <w:szCs w:val="21"/>
          <w:highlight w:val="none"/>
          <w:u w:val="none"/>
          <w:lang w:val="en-US" w:bidi="ar-SA"/>
        </w:rPr>
        <w:t>月</w:t>
      </w:r>
      <w:r>
        <w:rPr>
          <w:rFonts w:hint="eastAsia" w:ascii="宋体" w:hAnsi="宋体" w:eastAsia="宋体" w:cs="宋体"/>
          <w:color w:val="auto"/>
          <w:kern w:val="2"/>
          <w:sz w:val="21"/>
          <w:szCs w:val="21"/>
          <w:highlight w:val="none"/>
          <w:u w:val="single"/>
          <w:lang w:val="en-US" w:eastAsia="zh-CN" w:bidi="ar-SA"/>
        </w:rPr>
        <w:t xml:space="preserve"> 9 </w:t>
      </w:r>
      <w:r>
        <w:rPr>
          <w:rFonts w:hint="eastAsia" w:ascii="宋体" w:hAnsi="宋体" w:eastAsia="宋体" w:cs="宋体"/>
          <w:color w:val="auto"/>
          <w:kern w:val="2"/>
          <w:sz w:val="21"/>
          <w:szCs w:val="21"/>
          <w:highlight w:val="none"/>
          <w:u w:val="none"/>
          <w:lang w:val="en-US" w:bidi="ar-SA"/>
        </w:rPr>
        <w:t>日</w:t>
      </w:r>
      <w:r>
        <w:rPr>
          <w:rFonts w:hint="eastAsia" w:ascii="宋体" w:hAnsi="宋体" w:eastAsia="宋体" w:cs="宋体"/>
          <w:color w:val="auto"/>
          <w:kern w:val="2"/>
          <w:sz w:val="21"/>
          <w:szCs w:val="21"/>
          <w:highlight w:val="none"/>
          <w:u w:val="single"/>
          <w:lang w:val="en-US" w:eastAsia="zh-CN" w:bidi="ar-SA"/>
        </w:rPr>
        <w:t xml:space="preserve"> 13 </w:t>
      </w:r>
      <w:r>
        <w:rPr>
          <w:rFonts w:hint="eastAsia" w:ascii="宋体" w:hAnsi="宋体" w:eastAsia="宋体" w:cs="宋体"/>
          <w:color w:val="auto"/>
          <w:kern w:val="2"/>
          <w:sz w:val="21"/>
          <w:szCs w:val="21"/>
          <w:highlight w:val="none"/>
          <w:u w:val="none"/>
          <w:lang w:val="en-US" w:bidi="ar-SA"/>
        </w:rPr>
        <w:t>时</w:t>
      </w:r>
      <w:r>
        <w:rPr>
          <w:rFonts w:hint="eastAsia" w:ascii="宋体" w:hAnsi="宋体" w:eastAsia="宋体" w:cs="宋体"/>
          <w:color w:val="auto"/>
          <w:kern w:val="2"/>
          <w:sz w:val="21"/>
          <w:szCs w:val="21"/>
          <w:highlight w:val="none"/>
          <w:u w:val="single"/>
          <w:lang w:val="en-US" w:eastAsia="zh-CN" w:bidi="ar-SA"/>
        </w:rPr>
        <w:t xml:space="preserve"> 30 </w:t>
      </w:r>
      <w:r>
        <w:rPr>
          <w:rFonts w:hint="eastAsia" w:ascii="宋体" w:hAnsi="宋体" w:eastAsia="宋体" w:cs="宋体"/>
          <w:color w:val="auto"/>
          <w:kern w:val="2"/>
          <w:sz w:val="21"/>
          <w:szCs w:val="21"/>
          <w:highlight w:val="none"/>
          <w:u w:val="none"/>
          <w:lang w:val="en-US" w:bidi="ar-SA"/>
        </w:rPr>
        <w:t>分</w:t>
      </w:r>
      <w:r>
        <w:rPr>
          <w:rFonts w:hint="eastAsia" w:ascii="宋体" w:hAnsi="宋体" w:eastAsia="宋体" w:cs="宋体"/>
          <w:b w:val="0"/>
          <w:bCs w:val="0"/>
          <w:color w:val="auto"/>
          <w:kern w:val="2"/>
          <w:sz w:val="21"/>
          <w:szCs w:val="21"/>
          <w:highlight w:val="none"/>
          <w:lang w:val="en-US" w:bidi="ar-SA"/>
        </w:rPr>
        <w:t>（北京时间）</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kern w:val="2"/>
          <w:sz w:val="21"/>
          <w:szCs w:val="21"/>
          <w:highlight w:val="none"/>
          <w:lang w:val="en-US" w:bidi="ar-SA"/>
        </w:rPr>
      </w:pP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US" w:bidi="ar-SA"/>
        </w:rPr>
        <w:t>投标地点（网址）：投标人通过“政府采购云平台（www.zcygov.cn）”在线制作、传输递交电子投标文件。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kern w:val="2"/>
          <w:sz w:val="21"/>
          <w:szCs w:val="21"/>
          <w:highlight w:val="none"/>
          <w:lang w:val="en-US" w:bidi="ar-SA"/>
        </w:rPr>
      </w:pPr>
      <w:r>
        <w:rPr>
          <w:rFonts w:hint="eastAsia" w:ascii="宋体" w:hAnsi="宋体" w:eastAsia="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bidi="ar-SA"/>
        </w:rPr>
        <w:t>开标时间</w:t>
      </w: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u w:val="single"/>
          <w:lang w:val="en-US" w:bidi="ar-SA"/>
        </w:rPr>
        <w:t>202</w:t>
      </w:r>
      <w:r>
        <w:rPr>
          <w:rFonts w:hint="eastAsia" w:ascii="宋体" w:hAnsi="宋体" w:eastAsia="宋体" w:cs="宋体"/>
          <w:color w:val="auto"/>
          <w:kern w:val="2"/>
          <w:sz w:val="21"/>
          <w:szCs w:val="21"/>
          <w:highlight w:val="none"/>
          <w:u w:val="single"/>
          <w:lang w:val="en-US" w:eastAsia="zh-CN" w:bidi="ar-SA"/>
        </w:rPr>
        <w:t>2</w:t>
      </w:r>
      <w:r>
        <w:rPr>
          <w:rFonts w:hint="eastAsia" w:ascii="宋体" w:hAnsi="宋体" w:eastAsia="宋体" w:cs="宋体"/>
          <w:color w:val="auto"/>
          <w:kern w:val="2"/>
          <w:sz w:val="21"/>
          <w:szCs w:val="21"/>
          <w:highlight w:val="none"/>
          <w:u w:val="none"/>
          <w:lang w:val="en-US" w:bidi="ar-SA"/>
        </w:rPr>
        <w:t>年</w:t>
      </w:r>
      <w:r>
        <w:rPr>
          <w:rFonts w:hint="eastAsia" w:ascii="宋体" w:hAnsi="宋体" w:eastAsia="宋体" w:cs="宋体"/>
          <w:color w:val="auto"/>
          <w:kern w:val="2"/>
          <w:sz w:val="21"/>
          <w:szCs w:val="21"/>
          <w:highlight w:val="none"/>
          <w:u w:val="single"/>
          <w:lang w:val="en-US" w:eastAsia="zh-CN" w:bidi="ar-SA"/>
        </w:rPr>
        <w:t xml:space="preserve"> 12 </w:t>
      </w:r>
      <w:r>
        <w:rPr>
          <w:rFonts w:hint="eastAsia" w:ascii="宋体" w:hAnsi="宋体" w:eastAsia="宋体" w:cs="宋体"/>
          <w:color w:val="auto"/>
          <w:kern w:val="2"/>
          <w:sz w:val="21"/>
          <w:szCs w:val="21"/>
          <w:highlight w:val="none"/>
          <w:u w:val="none"/>
          <w:lang w:val="en-US" w:bidi="ar-SA"/>
        </w:rPr>
        <w:t>月</w:t>
      </w:r>
      <w:r>
        <w:rPr>
          <w:rFonts w:hint="eastAsia" w:ascii="宋体" w:hAnsi="宋体" w:eastAsia="宋体" w:cs="宋体"/>
          <w:color w:val="auto"/>
          <w:kern w:val="2"/>
          <w:sz w:val="21"/>
          <w:szCs w:val="21"/>
          <w:highlight w:val="none"/>
          <w:u w:val="single"/>
          <w:lang w:val="en-US" w:eastAsia="zh-CN" w:bidi="ar-SA"/>
        </w:rPr>
        <w:t xml:space="preserve"> 9 </w:t>
      </w:r>
      <w:r>
        <w:rPr>
          <w:rFonts w:hint="eastAsia" w:ascii="宋体" w:hAnsi="宋体" w:eastAsia="宋体" w:cs="宋体"/>
          <w:color w:val="auto"/>
          <w:kern w:val="2"/>
          <w:sz w:val="21"/>
          <w:szCs w:val="21"/>
          <w:highlight w:val="none"/>
          <w:u w:val="none"/>
          <w:lang w:val="en-US" w:bidi="ar-SA"/>
        </w:rPr>
        <w:t>日</w:t>
      </w:r>
      <w:r>
        <w:rPr>
          <w:rFonts w:hint="eastAsia" w:ascii="宋体" w:hAnsi="宋体" w:eastAsia="宋体" w:cs="宋体"/>
          <w:color w:val="auto"/>
          <w:kern w:val="2"/>
          <w:sz w:val="21"/>
          <w:szCs w:val="21"/>
          <w:highlight w:val="none"/>
          <w:u w:val="single"/>
          <w:lang w:val="en-US" w:eastAsia="zh-CN" w:bidi="ar-SA"/>
        </w:rPr>
        <w:t xml:space="preserve"> 13 </w:t>
      </w:r>
      <w:r>
        <w:rPr>
          <w:rFonts w:hint="eastAsia" w:ascii="宋体" w:hAnsi="宋体" w:eastAsia="宋体" w:cs="宋体"/>
          <w:color w:val="auto"/>
          <w:kern w:val="2"/>
          <w:sz w:val="21"/>
          <w:szCs w:val="21"/>
          <w:highlight w:val="none"/>
          <w:u w:val="none"/>
          <w:lang w:val="en-US" w:bidi="ar-SA"/>
        </w:rPr>
        <w:t>时</w:t>
      </w:r>
      <w:r>
        <w:rPr>
          <w:rFonts w:hint="eastAsia" w:ascii="宋体" w:hAnsi="宋体" w:eastAsia="宋体" w:cs="宋体"/>
          <w:color w:val="auto"/>
          <w:kern w:val="2"/>
          <w:sz w:val="21"/>
          <w:szCs w:val="21"/>
          <w:highlight w:val="none"/>
          <w:u w:val="single"/>
          <w:lang w:val="en-US" w:eastAsia="zh-CN" w:bidi="ar-SA"/>
        </w:rPr>
        <w:t xml:space="preserve"> 30 </w:t>
      </w:r>
      <w:r>
        <w:rPr>
          <w:rFonts w:hint="eastAsia" w:ascii="宋体" w:hAnsi="宋体" w:eastAsia="宋体" w:cs="宋体"/>
          <w:color w:val="auto"/>
          <w:kern w:val="2"/>
          <w:sz w:val="21"/>
          <w:szCs w:val="21"/>
          <w:highlight w:val="none"/>
          <w:u w:val="none"/>
          <w:lang w:val="en-US" w:bidi="ar-SA"/>
        </w:rPr>
        <w:t>分</w:t>
      </w:r>
      <w:r>
        <w:rPr>
          <w:rFonts w:hint="eastAsia" w:ascii="宋体" w:hAnsi="宋体" w:eastAsia="宋体" w:cs="宋体"/>
          <w:b w:val="0"/>
          <w:bCs w:val="0"/>
          <w:color w:val="auto"/>
          <w:kern w:val="2"/>
          <w:sz w:val="21"/>
          <w:szCs w:val="21"/>
          <w:highlight w:val="none"/>
          <w:lang w:val="en-US" w:bidi="ar-SA"/>
        </w:rPr>
        <w:t>（北京时间） </w:t>
      </w:r>
    </w:p>
    <w:p>
      <w:pPr>
        <w:keepNext w:val="0"/>
        <w:keepLines w:val="0"/>
        <w:pageBreakBefore w:val="0"/>
        <w:shd w:val="clear" w:color="auto" w:fill="auto"/>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bidi="ar-SA"/>
        </w:rPr>
        <w:t>开标地点（网址）：宁波市江北区公共资源交易中心开标室（江北区育才路138号北投大厦南楼7楼）。本项目通过“政府采购云平台”实行在线电子投标，投标人应在线参加开标。</w:t>
      </w:r>
      <w:r>
        <w:rPr>
          <w:rFonts w:hint="eastAsia" w:ascii="宋体" w:hAnsi="宋体" w:eastAsia="宋体" w:cs="宋体"/>
          <w:color w:val="auto"/>
          <w:kern w:val="2"/>
          <w:sz w:val="21"/>
          <w:szCs w:val="21"/>
          <w:highlight w:val="none"/>
          <w:lang w:val="en-US" w:bidi="ar-SA"/>
        </w:rPr>
        <w:t> </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五、公告期限</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自本公告发布之日起5个工作日。</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六、其他补充事宜</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2.其他事项：</w:t>
      </w:r>
    </w:p>
    <w:p>
      <w:pPr>
        <w:keepNext w:val="0"/>
        <w:keepLines w:val="0"/>
        <w:pageBreakBefore w:val="0"/>
        <w:shd w:val="clear" w:color="auto" w:fill="auto"/>
        <w:kinsoku/>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2.1供应商须在浙江政府采购网进行注册登记。注册具体要求及申请流程详见《浙江省政府采购供应商注册及诚信管理暂行办法》(浙财采监字{2009}28号)和浙江政府采购网“网上办事指南”的“供应商注册申请”，未注册供应商应当注意注册登记所需时间，以免影响投标。</w:t>
      </w:r>
    </w:p>
    <w:p>
      <w:pPr>
        <w:keepNext w:val="0"/>
        <w:keepLines w:val="0"/>
        <w:pageBreakBefore w:val="0"/>
        <w:widowControl/>
        <w:shd w:val="clear" w:color="auto" w:fill="auto"/>
        <w:kinsoku/>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2.2本次政府采购活动有关信息在“浙江政府采购网(http：//www.zjzfcg.gov.cn/)”及“宁波市公共资源交易网江北分网（http：//jiangbei.bidding.gov.cn/）”上公布，参加投标的供应商有义务在采购活动期间浏览上述两个网站。</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2.3关于在线投标与开标注意事项：</w:t>
      </w:r>
    </w:p>
    <w:p>
      <w:pPr>
        <w:keepNext w:val="0"/>
        <w:keepLines w:val="0"/>
        <w:pageBreakBefore w:val="0"/>
        <w:numPr>
          <w:ilvl w:val="0"/>
          <w:numId w:val="7"/>
        </w:numPr>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本项目通过“政府采购云平台（www.zcygov.cn）”实行网上投标，采用电子投标文件。若投标人参与投标，自行承担投标一切费用。</w:t>
      </w:r>
    </w:p>
    <w:p>
      <w:pPr>
        <w:keepNext w:val="0"/>
        <w:keepLines w:val="0"/>
        <w:pageBreakBefore w:val="0"/>
        <w:numPr>
          <w:ilvl w:val="0"/>
          <w:numId w:val="7"/>
        </w:numPr>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标前准备：各投标人应在开标前确保成为浙江政府采购网正式注册入库供应商，并完成CA数字证书办理，具体请自行前往“浙江政府采购网-下载专区-电子交易客户端-</w:t>
      </w:r>
      <w:r>
        <w:rPr>
          <w:rFonts w:hint="eastAsia" w:ascii="宋体" w:hAnsi="宋体" w:eastAsia="宋体" w:cs="宋体"/>
          <w:color w:val="auto"/>
          <w:kern w:val="2"/>
          <w:sz w:val="21"/>
          <w:szCs w:val="21"/>
          <w:highlight w:val="none"/>
          <w:lang w:val="en-US" w:bidi="ar-SA"/>
        </w:rPr>
        <w:fldChar w:fldCharType="begin"/>
      </w:r>
      <w:r>
        <w:rPr>
          <w:rFonts w:hint="eastAsia" w:ascii="宋体" w:hAnsi="宋体" w:eastAsia="宋体" w:cs="宋体"/>
          <w:color w:val="auto"/>
          <w:kern w:val="2"/>
          <w:sz w:val="21"/>
          <w:szCs w:val="21"/>
          <w:highlight w:val="none"/>
          <w:lang w:val="en-US" w:bidi="ar-SA"/>
        </w:rPr>
        <w:instrText xml:space="preserve"> HYPERLINK "http://zfcg.czt.zj.gov.cn/bidClientTemplate/2019-05-27/12945.html" \o "CA驱动和申领流程" </w:instrText>
      </w:r>
      <w:r>
        <w:rPr>
          <w:rFonts w:hint="eastAsia" w:ascii="宋体" w:hAnsi="宋体" w:eastAsia="宋体" w:cs="宋体"/>
          <w:color w:val="auto"/>
          <w:kern w:val="2"/>
          <w:sz w:val="21"/>
          <w:szCs w:val="21"/>
          <w:highlight w:val="none"/>
          <w:lang w:val="en-US" w:bidi="ar-SA"/>
        </w:rPr>
        <w:fldChar w:fldCharType="separate"/>
      </w:r>
      <w:r>
        <w:rPr>
          <w:rFonts w:hint="eastAsia" w:ascii="宋体" w:hAnsi="宋体" w:eastAsia="宋体" w:cs="宋体"/>
          <w:color w:val="auto"/>
          <w:kern w:val="2"/>
          <w:sz w:val="21"/>
          <w:szCs w:val="21"/>
          <w:highlight w:val="none"/>
          <w:lang w:val="en-US" w:bidi="ar-SA"/>
        </w:rPr>
        <w:t>CA驱动和申领流程</w:t>
      </w:r>
      <w:r>
        <w:rPr>
          <w:rFonts w:hint="eastAsia" w:ascii="宋体" w:hAnsi="宋体" w:eastAsia="宋体" w:cs="宋体"/>
          <w:color w:val="auto"/>
          <w:kern w:val="2"/>
          <w:sz w:val="21"/>
          <w:szCs w:val="21"/>
          <w:highlight w:val="none"/>
          <w:lang w:val="en-US" w:bidi="ar-SA"/>
        </w:rPr>
        <w:fldChar w:fldCharType="end"/>
      </w:r>
      <w:r>
        <w:rPr>
          <w:rFonts w:hint="eastAsia" w:ascii="宋体" w:hAnsi="宋体" w:eastAsia="宋体" w:cs="宋体"/>
          <w:color w:val="auto"/>
          <w:kern w:val="2"/>
          <w:sz w:val="21"/>
          <w:szCs w:val="21"/>
          <w:highlight w:val="none"/>
          <w:lang w:val="en-US" w:bidi="ar-SA"/>
        </w:rPr>
        <w:t>”进行查阅，因未注册入库供应商、未办理CA数字证书等原因造成无法投标或投标失败等后果由投标人自行承担。（操作指南链接：</w:t>
      </w:r>
      <w:r>
        <w:rPr>
          <w:rFonts w:hint="eastAsia" w:ascii="宋体" w:hAnsi="宋体" w:eastAsia="宋体" w:cs="宋体"/>
          <w:color w:val="auto"/>
          <w:kern w:val="2"/>
          <w:sz w:val="21"/>
          <w:szCs w:val="21"/>
          <w:highlight w:val="none"/>
          <w:lang w:val="en-US" w:bidi="ar-SA"/>
        </w:rPr>
        <w:fldChar w:fldCharType="begin"/>
      </w:r>
      <w:r>
        <w:rPr>
          <w:rFonts w:hint="eastAsia" w:ascii="宋体" w:hAnsi="宋体" w:eastAsia="宋体" w:cs="宋体"/>
          <w:color w:val="auto"/>
          <w:kern w:val="2"/>
          <w:sz w:val="21"/>
          <w:szCs w:val="21"/>
          <w:highlight w:val="none"/>
          <w:lang w:val="en-US" w:bidi="ar-SA"/>
        </w:rPr>
        <w:instrText xml:space="preserve"> HYPERLINK "https://service.zcygov.cn/" \l "/knowledges/cm2eqWwBFdiHxlNd_otq/lwV6GXABiyELHE-oVMj3?keyword=CA）。" </w:instrText>
      </w:r>
      <w:r>
        <w:rPr>
          <w:rFonts w:hint="eastAsia" w:ascii="宋体" w:hAnsi="宋体" w:eastAsia="宋体" w:cs="宋体"/>
          <w:color w:val="auto"/>
          <w:kern w:val="2"/>
          <w:sz w:val="21"/>
          <w:szCs w:val="21"/>
          <w:highlight w:val="none"/>
          <w:lang w:val="en-US" w:bidi="ar-SA"/>
        </w:rPr>
        <w:fldChar w:fldCharType="separate"/>
      </w:r>
      <w:r>
        <w:rPr>
          <w:rFonts w:hint="eastAsia" w:ascii="宋体" w:hAnsi="宋体" w:eastAsia="宋体" w:cs="宋体"/>
          <w:color w:val="auto"/>
          <w:kern w:val="2"/>
          <w:sz w:val="21"/>
          <w:szCs w:val="21"/>
          <w:highlight w:val="none"/>
          <w:u w:val="single"/>
          <w:lang w:val="en-US" w:bidi="ar-SA"/>
        </w:rPr>
        <w:t>https://service.zcygov.cn/#/knowledges/cm2eqWwBFdiHxlNd_otq/lwV6GXABiyELHE-oVMj3?keyword=CA）</w:t>
      </w:r>
      <w:r>
        <w:rPr>
          <w:rFonts w:hint="eastAsia" w:ascii="宋体" w:hAnsi="宋体" w:eastAsia="宋体" w:cs="宋体"/>
          <w:color w:val="auto"/>
          <w:kern w:val="2"/>
          <w:sz w:val="21"/>
          <w:szCs w:val="21"/>
          <w:highlight w:val="none"/>
          <w:u w:val="none"/>
          <w:lang w:val="en-US" w:bidi="ar-SA"/>
        </w:rPr>
        <w:t>。</w:t>
      </w:r>
      <w:r>
        <w:rPr>
          <w:rFonts w:hint="eastAsia" w:ascii="宋体" w:hAnsi="宋体" w:eastAsia="宋体" w:cs="宋体"/>
          <w:color w:val="auto"/>
          <w:kern w:val="2"/>
          <w:sz w:val="21"/>
          <w:szCs w:val="21"/>
          <w:highlight w:val="none"/>
          <w:u w:val="single"/>
          <w:lang w:val="en-US" w:bidi="ar-SA"/>
        </w:rPr>
        <w:fldChar w:fldCharType="end"/>
      </w:r>
    </w:p>
    <w:p>
      <w:pPr>
        <w:keepNext w:val="0"/>
        <w:keepLines w:val="0"/>
        <w:pageBreakBefore w:val="0"/>
        <w:numPr>
          <w:ilvl w:val="0"/>
          <w:numId w:val="7"/>
        </w:numPr>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投标文件制作：3.1投标人应先安装“政采云电子交易客户端”，并按照本项目采购文件和“政府采购云平台”的要求，通过“政采云电子交易客户端”编制并加密投标文件，“政采云电子交易客户端”请自行前往“浙江政府采购网-下载专区-电子交易客户端”进行下载并安装。电子投标文件制作具体流程详见政府采购云平台。投标人在使用系统进行投标的过程中遇到涉及平台使用的任何问题，可致电政府采购云平台技术支持热线咨询。</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3.2为确保采购项目顺利实施，避免因解密失败导致投标人投标无效，投标人可自行选择是否在投标截止时间前将在“政采云电子投标客户端”上最后生成的具备电子签章的备份电子投标文件（以U盘为载体，投标人应当确保U盘能够打开运行并正常使用）密封，安排“甬行码”为绿色的相关人员（原则上不超过一名，须全程佩戴口罩）递交至宁波市江北区公共资源交易中心开标室（江北区育才路138号北投大厦南楼7楼）。</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3.3采购代理机构将在投标文件规定的时间通过政府采购云平台组织开标、开启投标文件，所有投标人均应准时在线参加。开标时间后30分钟内，投标人可以登录政府采购云平台（www.zcygov.cn），用“项目采购-开标评标”功能进行解密投标文件。</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3.4投标人成功上传电子投标文件，若无法读取或在规定时间内无法解密或解密失败，采购代理机构方可调用以U盘介质存储的数据电文形式的备份电子投标文件（备份电子投标文件损坏、格式不符等致使异常情况处理失败的责任由投标人自行承担），并对“备份电子投标文件”进行解密；若出现投标人上传的电子投标文件和备份电子投标文件均无法读取的情况，则该投标人作无效投标处理。</w:t>
      </w:r>
    </w:p>
    <w:p>
      <w:pPr>
        <w:keepNext w:val="0"/>
        <w:keepLines w:val="0"/>
        <w:pageBreakBefore w:val="0"/>
        <w:shd w:val="clear" w:color="auto" w:fill="auto"/>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3.5本项目投标人的备份电子投标文件不予退还。</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bookmarkStart w:id="6" w:name="_Toc28359008"/>
      <w:bookmarkStart w:id="7" w:name="_Toc35393627"/>
      <w:bookmarkStart w:id="8" w:name="_Toc35393796"/>
      <w:bookmarkStart w:id="9" w:name="_Toc28359085"/>
      <w:r>
        <w:rPr>
          <w:rFonts w:hint="eastAsia" w:ascii="微软雅黑" w:hAnsi="微软雅黑" w:eastAsia="微软雅黑" w:cs="微软雅黑"/>
          <w:b/>
          <w:bCs/>
          <w:color w:val="auto"/>
          <w:kern w:val="2"/>
          <w:sz w:val="21"/>
          <w:szCs w:val="32"/>
          <w:highlight w:val="none"/>
          <w:lang w:val="en-US" w:eastAsia="zh-CN" w:bidi="ar-SA"/>
        </w:rPr>
        <w:t>七、对本次招标提出询问，请按以下方式联系</w:t>
      </w:r>
      <w:bookmarkEnd w:id="6"/>
      <w:bookmarkEnd w:id="7"/>
      <w:bookmarkEnd w:id="8"/>
      <w:bookmarkEnd w:id="9"/>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采购人名称：</w:t>
      </w:r>
      <w:r>
        <w:rPr>
          <w:rFonts w:hint="eastAsia" w:ascii="宋体" w:hAnsi="宋体" w:eastAsia="宋体" w:cs="宋体"/>
          <w:bCs/>
          <w:color w:val="auto"/>
          <w:kern w:val="2"/>
          <w:sz w:val="21"/>
          <w:szCs w:val="21"/>
          <w:highlight w:val="none"/>
          <w:lang w:val="en-US" w:eastAsia="zh-CN" w:bidi="ar-SA"/>
        </w:rPr>
        <w:t>宁波市江北区人民政府洪塘街道办事处</w:t>
      </w:r>
      <w:r>
        <w:rPr>
          <w:rFonts w:hint="eastAsia" w:ascii="宋体" w:hAnsi="宋体" w:eastAsia="宋体" w:cs="宋体"/>
          <w:bCs/>
          <w:color w:val="auto"/>
          <w:kern w:val="2"/>
          <w:sz w:val="21"/>
          <w:szCs w:val="21"/>
          <w:highlight w:val="none"/>
          <w:lang w:val="en-US" w:bidi="ar-SA"/>
        </w:rPr>
        <w:t xml:space="preserve"> </w:t>
      </w:r>
      <w:r>
        <w:rPr>
          <w:rFonts w:hint="eastAsia" w:ascii="宋体" w:hAnsi="宋体" w:eastAsia="宋体" w:cs="宋体"/>
          <w:color w:val="auto"/>
          <w:kern w:val="2"/>
          <w:sz w:val="21"/>
          <w:szCs w:val="21"/>
          <w:highlight w:val="none"/>
          <w:lang w:val="en-US" w:bidi="ar-SA"/>
        </w:rPr>
        <w:t>　　　　　</w:t>
      </w:r>
    </w:p>
    <w:p>
      <w:pPr>
        <w:pageBreakBefore w:val="0"/>
        <w:shd w:val="clear" w:color="auto" w:fill="auto"/>
        <w:kinsoku/>
        <w:wordWrap/>
        <w:overflowPunct/>
        <w:topLinePunct w:val="0"/>
        <w:bidi w:val="0"/>
        <w:adjustRightInd/>
        <w:spacing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项目联系人（询问）：</w:t>
      </w:r>
      <w:r>
        <w:rPr>
          <w:rFonts w:hint="eastAsia" w:eastAsia="宋体" w:cs="宋体"/>
          <w:color w:val="auto"/>
          <w:sz w:val="21"/>
          <w:szCs w:val="21"/>
          <w:highlight w:val="none"/>
          <w:lang w:val="en-US" w:eastAsia="zh-CN"/>
        </w:rPr>
        <w:t>鲍老师</w:t>
      </w:r>
    </w:p>
    <w:p>
      <w:pPr>
        <w:pStyle w:val="300"/>
        <w:keepNext w:val="0"/>
        <w:keepLines w:val="0"/>
        <w:pageBreakBefore w:val="0"/>
        <w:widowControl w:val="0"/>
        <w:shd w:val="clear" w:color="auto" w:fill="auto"/>
        <w:tabs>
          <w:tab w:val="left" w:pos="1124"/>
        </w:tabs>
        <w:kinsoku/>
        <w:wordWrap/>
        <w:overflowPunct/>
        <w:topLinePunct w:val="0"/>
        <w:autoSpaceDE/>
        <w:autoSpaceDN/>
        <w:bidi w:val="0"/>
        <w:adjustRightInd/>
        <w:snapToGrid/>
        <w:spacing w:before="0" w:after="0" w:line="360" w:lineRule="auto"/>
        <w:ind w:right="0"/>
        <w:jc w:val="left"/>
        <w:textAlignment w:val="auto"/>
        <w:rPr>
          <w:rFonts w:hint="eastAsia" w:ascii="宋体" w:hAnsi="宋体" w:eastAsia="宋体" w:cs="宋体"/>
          <w:color w:val="auto"/>
          <w:spacing w:val="0"/>
          <w:w w:val="100"/>
          <w:position w:val="0"/>
          <w:sz w:val="21"/>
          <w:szCs w:val="21"/>
          <w:highlight w:val="none"/>
          <w:lang w:val="en-US" w:eastAsia="en-US" w:bidi="en-US"/>
        </w:rPr>
      </w:pPr>
      <w:r>
        <w:rPr>
          <w:rFonts w:hint="eastAsia" w:ascii="宋体" w:hAnsi="宋体" w:eastAsia="宋体" w:cs="宋体"/>
          <w:color w:val="auto"/>
          <w:sz w:val="21"/>
          <w:szCs w:val="21"/>
          <w:highlight w:val="none"/>
        </w:rPr>
        <w:t>项目联系方式（询问）：</w:t>
      </w:r>
      <w:r>
        <w:rPr>
          <w:rFonts w:hint="eastAsia" w:ascii="宋体" w:hAnsi="宋体" w:eastAsia="宋体" w:cs="宋体"/>
          <w:color w:val="auto"/>
          <w:spacing w:val="0"/>
          <w:w w:val="100"/>
          <w:position w:val="0"/>
          <w:sz w:val="21"/>
          <w:szCs w:val="21"/>
          <w:highlight w:val="none"/>
          <w:lang w:val="en-US" w:eastAsia="en-US" w:bidi="en-US"/>
        </w:rPr>
        <w:t>0574-87562585</w:t>
      </w:r>
    </w:p>
    <w:p>
      <w:pPr>
        <w:pageBreakBefore w:val="0"/>
        <w:shd w:val="clear" w:color="auto" w:fill="auto"/>
        <w:kinsoku/>
        <w:wordWrap/>
        <w:overflowPunct/>
        <w:topLinePunct w:val="0"/>
        <w:bidi w:val="0"/>
        <w:adjustRightInd/>
        <w:spacing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质疑联系人：</w:t>
      </w:r>
      <w:r>
        <w:rPr>
          <w:rFonts w:hint="eastAsia" w:eastAsia="宋体" w:cs="宋体"/>
          <w:color w:val="auto"/>
          <w:sz w:val="21"/>
          <w:szCs w:val="21"/>
          <w:highlight w:val="none"/>
          <w:lang w:val="en-US" w:eastAsia="zh-CN"/>
        </w:rPr>
        <w:t>戚老师</w:t>
      </w:r>
    </w:p>
    <w:p>
      <w:pPr>
        <w:pageBreakBefore w:val="0"/>
        <w:shd w:val="clear" w:color="auto" w:fill="auto"/>
        <w:kinsoku/>
        <w:wordWrap/>
        <w:overflowPunct/>
        <w:topLinePunct w:val="0"/>
        <w:bidi w:val="0"/>
        <w:adjustRightIn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质疑联系方式：0574-87563016</w:t>
      </w:r>
    </w:p>
    <w:p>
      <w:pPr>
        <w:pageBreakBefore w:val="0"/>
        <w:shd w:val="clear" w:color="auto" w:fill="auto"/>
        <w:kinsoku/>
        <w:wordWrap/>
        <w:overflowPunct/>
        <w:topLinePunct w:val="0"/>
        <w:bidi w:val="0"/>
        <w:adjustRightIn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联系地址：宁波市江北区洪塘南路东段1号 </w:t>
      </w:r>
    </w:p>
    <w:p>
      <w:pPr>
        <w:keepNext w:val="0"/>
        <w:keepLines w:val="0"/>
        <w:pageBreakBefore w:val="0"/>
        <w:widowControl w:val="0"/>
        <w:shd w:val="clear" w:color="auto" w:fill="auto"/>
        <w:kinsoku/>
        <w:overflowPunct/>
        <w:topLinePunct w:val="0"/>
        <w:autoSpaceDE/>
        <w:autoSpaceDN/>
        <w:bidi w:val="0"/>
        <w:spacing w:after="120" w:line="360" w:lineRule="auto"/>
        <w:ind w:firstLine="420" w:firstLineChars="200"/>
        <w:jc w:val="both"/>
        <w:outlineLvl w:val="9"/>
        <w:rPr>
          <w:rFonts w:hint="eastAsia" w:ascii="宋体" w:hAnsi="宋体" w:eastAsia="宋体" w:cs="宋体"/>
          <w:color w:val="auto"/>
          <w:kern w:val="2"/>
          <w:sz w:val="21"/>
          <w:szCs w:val="21"/>
          <w:highlight w:val="none"/>
          <w:lang w:val="en-US" w:eastAsia="zh-CN" w:bidi="ar-SA"/>
        </w:rPr>
      </w:pP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采购代理机构：宁波市盛达工程管理咨询有限公司</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bidi="ar-SA"/>
        </w:rPr>
        <w:t>地址：</w:t>
      </w:r>
      <w:r>
        <w:rPr>
          <w:rFonts w:hint="eastAsia" w:ascii="宋体" w:hAnsi="宋体" w:eastAsia="宋体" w:cs="宋体"/>
          <w:color w:val="auto"/>
          <w:kern w:val="2"/>
          <w:sz w:val="21"/>
          <w:szCs w:val="21"/>
          <w:highlight w:val="none"/>
          <w:lang w:val="en-US" w:eastAsia="zh-CN" w:bidi="ar-SA"/>
        </w:rPr>
        <w:t>宁波市江北区唐虞路319号（创富商业中心） 5楼</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传真：0574-87636525</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bidi="ar-SA"/>
        </w:rPr>
        <w:t>项目联系人（询问）：</w:t>
      </w:r>
      <w:r>
        <w:rPr>
          <w:rFonts w:hint="eastAsia" w:ascii="宋体" w:hAnsi="宋体" w:eastAsia="宋体" w:cs="宋体"/>
          <w:color w:val="auto"/>
          <w:kern w:val="2"/>
          <w:sz w:val="21"/>
          <w:szCs w:val="21"/>
          <w:highlight w:val="none"/>
          <w:lang w:val="en-US" w:eastAsia="zh-CN" w:bidi="ar-SA"/>
        </w:rPr>
        <w:t>张琳玲、王瑶红、方海杰</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bidi="ar-SA"/>
        </w:rPr>
        <w:t>项目联系方式（询问）：0574-87636525</w:t>
      </w:r>
      <w:r>
        <w:rPr>
          <w:rFonts w:hint="eastAsia" w:ascii="宋体" w:hAnsi="宋体" w:eastAsia="宋体" w:cs="宋体"/>
          <w:color w:val="auto"/>
          <w:kern w:val="2"/>
          <w:sz w:val="21"/>
          <w:szCs w:val="21"/>
          <w:highlight w:val="none"/>
          <w:lang w:val="en-US" w:eastAsia="zh-CN" w:bidi="ar-SA"/>
        </w:rPr>
        <w:t>、13685841196</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质疑联系人：方海杰</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质疑联系方式：0574-87636525</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同级政府采购监督管理部门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名    称：宁波市江北区财政局</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地    址：宁波市江北区大庆南路181号</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传    真：/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联系人：张老师</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监督投诉电话：0574-87388098</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若对项目采购电子交易系统操作有疑问，可登录政采云（https://www.zcygov.cn/），点击右侧咨询小采，获取采小蜜智能服务管家帮助，或拨打政采云服务热线400-881-7190获取热线服务帮助。       </w:t>
      </w:r>
    </w:p>
    <w:p>
      <w:pPr>
        <w:keepNext w:val="0"/>
        <w:keepLines w:val="0"/>
        <w:pageBreakBefore w:val="0"/>
        <w:shd w:val="clear" w:color="auto" w:fill="auto"/>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CA问题联系电话（人工）：汇信CA 400-888-4636；天谷CA 400-087-8198。</w:t>
      </w:r>
    </w:p>
    <w:p>
      <w:pPr>
        <w:pStyle w:val="5"/>
        <w:shd w:val="clear" w:color="auto" w:fill="auto"/>
        <w:tabs>
          <w:tab w:val="left" w:pos="1199"/>
        </w:tabs>
        <w:spacing w:before="0" w:line="360" w:lineRule="auto"/>
        <w:ind w:right="297"/>
        <w:rPr>
          <w:rFonts w:hint="eastAsia"/>
          <w:color w:val="auto"/>
          <w:highlight w:val="none"/>
        </w:rPr>
      </w:pPr>
      <w:r>
        <w:rPr>
          <w:rFonts w:hint="eastAsia"/>
          <w:color w:val="auto"/>
          <w:kern w:val="2"/>
          <w:sz w:val="21"/>
          <w:szCs w:val="21"/>
          <w:highlight w:val="none"/>
          <w:lang w:val="en-US" w:bidi="ar"/>
        </w:rPr>
        <w:br w:type="page"/>
      </w:r>
      <w:bookmarkStart w:id="10" w:name="_Toc6267"/>
      <w:bookmarkStart w:id="11" w:name="_Toc23591"/>
      <w:r>
        <w:rPr>
          <w:rFonts w:hint="eastAsia"/>
          <w:b/>
          <w:bCs/>
          <w:color w:val="auto"/>
          <w:highlight w:val="none"/>
        </w:rPr>
        <w:t>第二章  招标需求</w:t>
      </w:r>
      <w:bookmarkEnd w:id="10"/>
      <w:bookmarkEnd w:id="11"/>
    </w:p>
    <w:p>
      <w:pPr>
        <w:pStyle w:val="6"/>
        <w:pageBreakBefore w:val="0"/>
        <w:widowControl w:val="0"/>
        <w:kinsoku/>
        <w:wordWrap/>
        <w:overflowPunct/>
        <w:topLinePunct w:val="0"/>
        <w:bidi w:val="0"/>
        <w:adjustRightInd/>
        <w:snapToGrid/>
        <w:spacing w:before="0"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一、项目概况</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宁波江北姚江未来社区项目，实施单元总用地面积约25公顷，由姚江花园一个小区组成。规划单元范围(15分钟生活圈)总用地面积约180公顷,</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rPr>
        <w:t>规划单元：由东侧机场高架，西侧洪塘西路，南侧北环高架，北侧江北大道围合而成。</w:t>
      </w:r>
    </w:p>
    <w:p>
      <w:pPr>
        <w:spacing w:line="360" w:lineRule="auto"/>
        <w:jc w:val="center"/>
        <w:rPr>
          <w:color w:val="auto"/>
          <w:highlight w:val="none"/>
          <w:lang w:val="en-US"/>
        </w:rPr>
      </w:pPr>
      <w:r>
        <w:rPr>
          <w:color w:val="auto"/>
          <w:highlight w:val="none"/>
        </w:rPr>
        <w:drawing>
          <wp:inline distT="0" distB="0" distL="114300" distR="114300">
            <wp:extent cx="4587875" cy="3344545"/>
            <wp:effectExtent l="0" t="0" r="3175" b="825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9"/>
                    <a:stretch>
                      <a:fillRect/>
                    </a:stretch>
                  </pic:blipFill>
                  <pic:spPr>
                    <a:xfrm>
                      <a:off x="0" y="0"/>
                      <a:ext cx="4587875" cy="3344545"/>
                    </a:xfrm>
                    <a:prstGeom prst="rect">
                      <a:avLst/>
                    </a:prstGeom>
                    <a:noFill/>
                    <a:ln>
                      <a:noFill/>
                    </a:ln>
                  </pic:spPr>
                </pic:pic>
              </a:graphicData>
            </a:graphic>
          </wp:inline>
        </w:drawing>
      </w:r>
    </w:p>
    <w:p>
      <w:pPr>
        <w:spacing w:line="360" w:lineRule="auto"/>
        <w:jc w:val="center"/>
        <w:rPr>
          <w:rFonts w:hint="eastAsia"/>
          <w:color w:val="auto"/>
          <w:sz w:val="21"/>
          <w:szCs w:val="21"/>
          <w:highlight w:val="none"/>
        </w:rPr>
      </w:pPr>
      <w:r>
        <w:rPr>
          <w:rFonts w:hint="eastAsia"/>
          <w:color w:val="auto"/>
          <w:sz w:val="21"/>
          <w:szCs w:val="21"/>
          <w:highlight w:val="none"/>
        </w:rPr>
        <w:t>注：红色虚线框为本项目实施单元，蓝色虚线框为规划单元。</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宁波江北姚江未来社区建设目标：</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重塑社区里坊格局，传承社区礼俗文化，构建社区市井百态，重塑社区生活市井味、烟火味、人情味，创建智慧服务便民宜居社区。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对照未来社区三化九场景33项指标，姚江未来社区将具体着重探索“建一个主题、探索两个课题”：</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1、一个主题：“城乡共融 美好共生”，民俗文化让城市更温暖，现代生活让乡邻更文明；</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2、两个课题：</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（1）乡土文化与现代城市的共融共生；</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（2）失地农民走向城市的社区化就业探索与实践。</w:t>
      </w:r>
    </w:p>
    <w:p>
      <w:pPr>
        <w:pStyle w:val="6"/>
        <w:pageBreakBefore w:val="0"/>
        <w:kinsoku/>
        <w:wordWrap/>
        <w:overflowPunct/>
        <w:topLinePunct w:val="0"/>
        <w:bidi w:val="0"/>
        <w:adjustRightInd/>
        <w:snapToGrid/>
        <w:spacing w:before="0" w:after="0" w:line="360" w:lineRule="auto"/>
        <w:ind w:left="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二、建设内容</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宁波江北姚江未来社区数字化建设以数字社会需求为牵引，以未来社区九大场景落地为基础，建设具有姚江社区特色的未来社区智慧服务平台：</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1、通过建立多部门业务协同机制以及市-区-街道-社区四级联动机制，以及现有支撑系统获取相关数据资源，搭建未来社区智慧服务平台，支撑9大场景。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通过搭建综合态势社区一张图，形成姚江社区九大场景动态数据管控，展示社区模型、9大场景落位、社区动态感知、社区体征监测及智能预警、设备设施联动管理以及社区基础信息展示。为市区两级领导、洪塘街道、姚江社区管理人员、社区居民、物业、业委会、数字化运营公司等提供管理、运营和服务等应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本项目建设内容主要包括：</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ab/>
      </w:r>
      <w:r>
        <w:rPr>
          <w:rFonts w:hint="eastAsia" w:ascii="宋体" w:hAnsi="宋体" w:eastAsia="宋体" w:cs="宋体"/>
          <w:color w:val="auto"/>
          <w:sz w:val="21"/>
          <w:szCs w:val="21"/>
          <w:highlight w:val="none"/>
          <w:lang w:val="en-US"/>
        </w:rPr>
        <w:t>未来社区智慧服务平台及</w:t>
      </w:r>
      <w:r>
        <w:rPr>
          <w:rFonts w:hint="eastAsia" w:ascii="宋体" w:hAnsi="宋体" w:eastAsia="宋体" w:cs="宋体"/>
          <w:color w:val="auto"/>
          <w:sz w:val="21"/>
          <w:szCs w:val="21"/>
          <w:highlight w:val="none"/>
          <w:lang w:val="en-US"/>
        </w:rPr>
        <w:tab/>
      </w:r>
      <w:r>
        <w:rPr>
          <w:rFonts w:hint="eastAsia" w:ascii="宋体" w:hAnsi="宋体" w:eastAsia="宋体" w:cs="宋体"/>
          <w:color w:val="auto"/>
          <w:sz w:val="21"/>
          <w:szCs w:val="21"/>
          <w:highlight w:val="none"/>
          <w:lang w:val="en-US"/>
        </w:rPr>
        <w:t>九大场景应用系统（未来邻里、未来教育、未来健康、未来创业、未来建筑、未来交通、未来低碳、未来服务、未来治理）；</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2.实施单元内未来社区服务中心及姚江花园小区九大场景配套智能化硬件建设，并接入姚江花园</w:t>
      </w:r>
      <w:r>
        <w:rPr>
          <w:rFonts w:hint="eastAsia" w:ascii="宋体" w:hAnsi="宋体" w:eastAsia="宋体" w:cs="宋体"/>
          <w:color w:val="auto"/>
          <w:sz w:val="21"/>
          <w:szCs w:val="21"/>
          <w:highlight w:val="none"/>
        </w:rPr>
        <w:t>已有智能化基础设施、老旧小区改造建设的智能化基础设施</w:t>
      </w:r>
      <w:r>
        <w:rPr>
          <w:rFonts w:hint="eastAsia" w:ascii="宋体" w:hAnsi="宋体" w:eastAsia="宋体" w:cs="宋体"/>
          <w:color w:val="auto"/>
          <w:sz w:val="21"/>
          <w:szCs w:val="21"/>
          <w:highlight w:val="none"/>
          <w:lang w:val="en-US"/>
        </w:rPr>
        <w:t>；</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3.开展常态化未来社区数字化运维（两年）。</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4.政务云资源租赁（成交供应商须负责与江北区大数据中心进行资源对接相关事宜，需支持国产政务云服务器）；</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5.区级未来社区底座、数字社会“12有”及第三方系统平台对接；</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6.信息安全等级保护建设；</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7.提供符合未来社区命名的相关资料；</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8.通过区、市、省未来社区验收相关要求等。</w:t>
      </w:r>
    </w:p>
    <w:p>
      <w:pPr>
        <w:pStyle w:val="6"/>
        <w:pageBreakBefore w:val="0"/>
        <w:kinsoku/>
        <w:wordWrap/>
        <w:overflowPunct/>
        <w:topLinePunct w:val="0"/>
        <w:bidi w:val="0"/>
        <w:adjustRightInd/>
        <w:snapToGrid/>
        <w:spacing w:before="0" w:after="0" w:line="360" w:lineRule="auto"/>
        <w:ind w:left="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三、软件模块发开需求</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1.建设姚江未来社区数据仓</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宁波市智能公共数据平台、宁波市基层治理四平台、一体化数字资源系统（“IRS”）、洪塘街道现有应用平台实现数据互联互通、应用有机融合，汇聚社区物联感知数据、市场服务数据及社区自组织各主体活动数据，包括社区空间、人、车、房、物、事、权等多元数据资产和动态记录，通过数据清洗、治理和存储，形成未来社区数据仓，实现社区数据的汇聚、治理和应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同时，在数据安全与隐私保护基础上，通过数据接口实现数据交换和共享，实现社会事业公共服务、市场化生活服务、居民自组织服务等数据全场景链接。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结合江北区一体化智能化公共数据平台等系统能力，实现数据汇聚、数据治理和数据应用，解决社区数据的“存”、“通”、“用”。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区级数据仓对接具体项目：</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个案基础信息上传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个案基础信息查询</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个案详细信息上传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个案详细信息查询</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住户信息上传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住户信息删除</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住户信息查询</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房屋信息上传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房屋信息删除</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房屋信息查询</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车位信息上传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车位信息删除</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车位信息查询</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车辆信息上传</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车辆信息删除</w:t>
      </w:r>
    </w:p>
    <w:p>
      <w:pPr>
        <w:keepNext w:val="0"/>
        <w:keepLines w:val="0"/>
        <w:pageBreakBefore w:val="0"/>
        <w:numPr>
          <w:ilvl w:val="0"/>
          <w:numId w:val="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车辆信息查询</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2.建设姚江未来社区智慧服务平台</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根据《未来社区数字化建设总体要求》与《浙江省城镇未来社区验收办法》，社区自建姚江未来社区服务平台及本地特色应用。</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姚江未来社区智慧服务平台是社区数字化应用和服务的支撑平台，是未来社区数字化建设的核心部分，是保障社区数字化安全稳定运行的操作系统，应具备“轻量化、按需使用、开箱即用、低成本”的特点，可快速实施基层数字治理。</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依托姚江未来社区智慧服务平台，未来街道其他社区可共享使用该平台相关功能，全域复制落地，实现大大节约成本。</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平台需遵循“1N93”整体架构，</w:t>
      </w:r>
      <w:r>
        <w:rPr>
          <w:rFonts w:hint="eastAsia" w:ascii="宋体" w:hAnsi="宋体" w:eastAsia="宋体" w:cs="宋体"/>
          <w:color w:val="auto"/>
          <w:sz w:val="21"/>
          <w:szCs w:val="21"/>
          <w:highlight w:val="none"/>
          <w:lang w:val="en-US"/>
        </w:rPr>
        <w:t>即“建设一个数字底座，落地N个应用，数字化赋能打造九大场景，融合治理端、运营端和服务端三端入口”</w:t>
      </w:r>
      <w:r>
        <w:rPr>
          <w:rFonts w:hint="eastAsia" w:ascii="宋体" w:hAnsi="宋体" w:eastAsia="宋体" w:cs="宋体"/>
          <w:color w:val="auto"/>
          <w:sz w:val="21"/>
          <w:szCs w:val="21"/>
          <w:highlight w:val="none"/>
        </w:rPr>
        <w:t>。</w:t>
      </w:r>
    </w:p>
    <w:p>
      <w:pPr>
        <w:spacing w:line="360" w:lineRule="auto"/>
        <w:jc w:val="center"/>
        <w:rPr>
          <w:color w:val="auto"/>
          <w:highlight w:val="none"/>
        </w:rPr>
      </w:pPr>
      <w:r>
        <w:rPr>
          <w:color w:val="auto"/>
          <w:highlight w:val="none"/>
        </w:rPr>
        <w:drawing>
          <wp:inline distT="0" distB="0" distL="114300" distR="114300">
            <wp:extent cx="5738495" cy="3098800"/>
            <wp:effectExtent l="0" t="0" r="14605"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0"/>
                    <a:stretch>
                      <a:fillRect/>
                    </a:stretch>
                  </pic:blipFill>
                  <pic:spPr>
                    <a:xfrm>
                      <a:off x="0" y="0"/>
                      <a:ext cx="5738495" cy="3098800"/>
                    </a:xfrm>
                    <a:prstGeom prst="rect">
                      <a:avLst/>
                    </a:prstGeom>
                    <a:noFill/>
                    <a:ln>
                      <a:noFill/>
                    </a:ln>
                  </pic:spPr>
                </pic:pic>
              </a:graphicData>
            </a:graphic>
          </wp:inline>
        </w:drawing>
      </w:r>
    </w:p>
    <w:p>
      <w:pPr>
        <w:spacing w:line="360" w:lineRule="auto"/>
        <w:ind w:firstLine="440" w:firstLineChars="200"/>
        <w:jc w:val="center"/>
        <w:rPr>
          <w:rFonts w:hint="eastAsia"/>
          <w:color w:val="auto"/>
          <w:highlight w:val="none"/>
        </w:rPr>
      </w:pPr>
      <w:r>
        <w:rPr>
          <w:rFonts w:hint="eastAsia"/>
          <w:color w:val="auto"/>
          <w:highlight w:val="none"/>
        </w:rPr>
        <w:t>图 三-</w:t>
      </w:r>
      <w:r>
        <w:rPr>
          <w:color w:val="auto"/>
          <w:highlight w:val="none"/>
        </w:rPr>
        <w:t xml:space="preserve">2 </w:t>
      </w:r>
      <w:r>
        <w:rPr>
          <w:rFonts w:hint="eastAsia"/>
          <w:color w:val="auto"/>
          <w:highlight w:val="none"/>
        </w:rPr>
        <w:t>未来社区数字化建设“1</w:t>
      </w:r>
      <w:r>
        <w:rPr>
          <w:color w:val="auto"/>
          <w:highlight w:val="none"/>
        </w:rPr>
        <w:t>N93</w:t>
      </w:r>
      <w:r>
        <w:rPr>
          <w:rFonts w:hint="eastAsia"/>
          <w:color w:val="auto"/>
          <w:highlight w:val="none"/>
        </w:rPr>
        <w:t>”总体架构</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1个数字底座：数字底座需具备兼容、可靠、安全的基层数据治理能力和应用集成能力，由社区物联引擎、社区数据仓、空间数据资产和社区应用能力中心等部分组成。</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个模块应用（标配+特色）：如糖豆积分、邻里活动、邻里圈、张阿姨工作、洪塘周边游、达人直播、安心幼托等共计90余个功能模块，N个应用组成未来邻里、未来服务、未来治理等九大场景。N个应用应紧紧围绕政府治理及居民服务两个维度进行整体谋划，充分利用现有全域数字化成果和资源，以打造高频应用为重点，赋能九大场景精准落地。</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端入口：包括C端（浙里办+小程序）、B端（社区运营WEB端）、G端（社区治理WEB端+可视化应用）。三端入口应以高效治理和居民体验为出发点，其中治理端(浙政钉)为各级管理人员根据各自的职能形成相关的管理界面；运营端为物业、运营以及生态链服务企业提供入口；居民服务端可依托“浙里办”或本地统一的服务端口作为主要入口，兼容支付宝、微信等应用小程序入口，按需引入智能交互终端，满足全年龄段人群服务需求。</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rPr>
        <w:t>姚江未来社区智慧服务平台需满足按照江北区未来社区数字底座的接入规范进行接入，对接开发调试相关费用由中标人自行承担。</w:t>
      </w:r>
    </w:p>
    <w:p>
      <w:pPr>
        <w:keepNext w:val="0"/>
        <w:keepLines w:val="0"/>
        <w:pageBreakBefore w:val="0"/>
        <w:kinsoku/>
        <w:wordWrap/>
        <w:overflowPunct/>
        <w:topLinePunct w:val="0"/>
        <w:bidi w:val="0"/>
        <w:adjustRightInd/>
        <w:snapToGrid/>
        <w:spacing w:line="360" w:lineRule="auto"/>
        <w:ind w:left="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3.接入姚江未来社区智能化基础设施</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社区智慧服务平台建设需充分整合利用已有智能化、数字化基础，统筹同公安雪亮工程、智安小区平台、智慧物业、基层治理四平台、合成作战中心等数字化成果进行有效联动、集成应用，充分发挥现有数字化成果的综合集成创新效应。按需完善原有社区智能感知设备网络，联动社区智慧服务平台，实现对社区数字化覆盖扩面和功能提升，全面提升社区智能化水平和成效。</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社区数字基建（智能化硬件）主要包含：</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噪音监测系统；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特殊人群关怀系统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室内门禁</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室内监控</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室外重点场所监控</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智能物联感知</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共享法庭系统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社会治理平台</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信息发布屏/文化宣传屏/信息投影系统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宣讲系统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背景音乐</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停车监控及停车道闸系统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托育监控及AI识别系统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智慧用电监管系统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垃圾分类及治理系统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直播间系统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网络及安全系统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机房配套系统；</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综合管线等。</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具体需求详见主要设备参数清单。</w:t>
      </w:r>
    </w:p>
    <w:p>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需整合姚江社区、姚江花园小区及周边已有智能化、数字化建设成果及老旧小区智能化改造相关成果，如高清监控、AI监控、智能门禁、智慧停车、电瓶车/电动车充电桩、物联感知、物业系统等。未来治理场景需实现与基层治理四平台有效联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4.软件模块开发需求分析</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bookmarkStart w:id="12" w:name="_Toc31286"/>
      <w:r>
        <w:rPr>
          <w:rFonts w:hint="eastAsia" w:ascii="宋体" w:hAnsi="宋体" w:eastAsia="宋体" w:cs="宋体"/>
          <w:b/>
          <w:bCs/>
          <w:color w:val="auto"/>
          <w:sz w:val="21"/>
          <w:szCs w:val="21"/>
          <w:highlight w:val="none"/>
          <w:lang w:val="en-US"/>
        </w:rPr>
        <w:t>4.1</w:t>
      </w:r>
      <w:r>
        <w:rPr>
          <w:rFonts w:hint="eastAsia" w:ascii="宋体" w:hAnsi="宋体" w:eastAsia="宋体" w:cs="宋体"/>
          <w:b/>
          <w:bCs/>
          <w:color w:val="auto"/>
          <w:sz w:val="21"/>
          <w:szCs w:val="21"/>
          <w:highlight w:val="none"/>
        </w:rPr>
        <w:t>业务需求分析</w:t>
      </w:r>
      <w:bookmarkEnd w:id="12"/>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未来社区数字化建设，以数字社会需求为牵引，以未来社区九大场景落地为基础，建设社区智慧服务平台。基于社区治理和服务的颗粒度需求，搭建社区三维模型（“一户一档”“数模分离”原则），构建基于现实社会的数字孪生社区，充分运用CIM空间治理优势,提升未来社区智慧服务平台应用效率，以高效支撑社区的一体化、智慧化运营。</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姚江未来社区智慧服务平台主要包含以下三大核心业务模块：</w:t>
      </w:r>
    </w:p>
    <w:p>
      <w:pPr>
        <w:pStyle w:val="92"/>
        <w:keepNext w:val="0"/>
        <w:keepLines w:val="0"/>
        <w:pageBreakBefore w:val="0"/>
        <w:widowControl/>
        <w:tabs>
          <w:tab w:val="left" w:pos="851"/>
        </w:tabs>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rPr>
        <w:t>1）</w:t>
      </w:r>
      <w:r>
        <w:rPr>
          <w:rFonts w:hint="eastAsia" w:ascii="宋体" w:hAnsi="宋体" w:eastAsia="宋体" w:cs="宋体"/>
          <w:b/>
          <w:color w:val="auto"/>
          <w:sz w:val="21"/>
          <w:szCs w:val="21"/>
          <w:highlight w:val="none"/>
        </w:rPr>
        <w:t>数字底座：</w:t>
      </w:r>
      <w:r>
        <w:rPr>
          <w:rFonts w:hint="eastAsia" w:ascii="宋体" w:hAnsi="宋体" w:eastAsia="宋体" w:cs="宋体"/>
          <w:color w:val="auto"/>
          <w:sz w:val="21"/>
          <w:szCs w:val="21"/>
          <w:highlight w:val="none"/>
        </w:rPr>
        <w:t>依托区级数字底座的支撑，包含了物联引擎、数据资源中心、空间资产中心、应用服务中心。外部第三方软件开放商可以按照标准化的方式接入到未来社区生态圈，为广大用户提供专业的应用服务。另一方面，灵活可配的应用管理模式，可以实现标准应用和特色应用相结合的方式，充分满足社区平台用户多元化的业务需求。推进解决互联互通难、信息共享难、业务协同难的问题，将“大平台、大数据、大系统”作为未来社区信息化治理体系，促进治理机制协调化和治理手段高效化，形成部门联动的协同治理新局面。</w:t>
      </w:r>
    </w:p>
    <w:p>
      <w:pPr>
        <w:pStyle w:val="92"/>
        <w:keepNext w:val="0"/>
        <w:keepLines w:val="0"/>
        <w:pageBreakBefore w:val="0"/>
        <w:widowControl/>
        <w:tabs>
          <w:tab w:val="left" w:pos="851"/>
        </w:tabs>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rPr>
        <w:t>2）</w:t>
      </w:r>
      <w:r>
        <w:rPr>
          <w:rFonts w:hint="eastAsia" w:ascii="宋体" w:hAnsi="宋体" w:eastAsia="宋体" w:cs="宋体"/>
          <w:b/>
          <w:color w:val="auto"/>
          <w:sz w:val="21"/>
          <w:szCs w:val="21"/>
          <w:highlight w:val="none"/>
        </w:rPr>
        <w:t>未来社区管理和服务平台：</w:t>
      </w:r>
      <w:r>
        <w:rPr>
          <w:rFonts w:hint="eastAsia" w:ascii="宋体" w:hAnsi="宋体" w:eastAsia="宋体" w:cs="宋体"/>
          <w:bCs/>
          <w:color w:val="auto"/>
          <w:sz w:val="21"/>
          <w:szCs w:val="21"/>
          <w:highlight w:val="none"/>
        </w:rPr>
        <w:t>社区自建，</w:t>
      </w:r>
      <w:r>
        <w:rPr>
          <w:rFonts w:hint="eastAsia" w:ascii="宋体" w:hAnsi="宋体" w:eastAsia="宋体" w:cs="宋体"/>
          <w:color w:val="auto"/>
          <w:sz w:val="21"/>
          <w:szCs w:val="21"/>
          <w:highlight w:val="none"/>
        </w:rPr>
        <w:t>面向社区中的各个组成部分，如政府、用户、运营、商户等，提供便民服务和商业服务，面向居民和企业用户提供人口管控、车辆管控、房屋管理、重点单位管理、治安防控、群防群治管理、消防管理等，面向物业的主要是物业管理、设施管理、消防管理、社区安全管理、巡更巡检、事件工单派单处置等；社区服务应包括便民服务、物业服务、家政服务、社区文化、居家养老、社区医疗、协商共治等，是人民群众最关心、最迫切解决问题的切入点和突破口。通过未来社区平台建设，将社区工作中的居民服务、物业监管、协商议事等内容，通过未来社区平台实现统一展现、管理，有助于提高社区治理工作的精细化水平。</w:t>
      </w:r>
    </w:p>
    <w:p>
      <w:pPr>
        <w:pStyle w:val="92"/>
        <w:keepNext w:val="0"/>
        <w:keepLines w:val="0"/>
        <w:pageBreakBefore w:val="0"/>
        <w:widowControl/>
        <w:tabs>
          <w:tab w:val="left" w:pos="851"/>
        </w:tabs>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rPr>
        <w:t>3）</w:t>
      </w:r>
      <w:r>
        <w:rPr>
          <w:rFonts w:hint="eastAsia" w:ascii="宋体" w:hAnsi="宋体" w:eastAsia="宋体" w:cs="宋体"/>
          <w:b/>
          <w:color w:val="auto"/>
          <w:sz w:val="21"/>
          <w:szCs w:val="21"/>
          <w:highlight w:val="none"/>
        </w:rPr>
        <w:t>未来社区服务可视化应用：</w:t>
      </w:r>
      <w:r>
        <w:rPr>
          <w:rFonts w:hint="eastAsia" w:ascii="宋体" w:hAnsi="宋体" w:eastAsia="宋体" w:cs="宋体"/>
          <w:color w:val="auto"/>
          <w:sz w:val="21"/>
          <w:szCs w:val="21"/>
          <w:highlight w:val="none"/>
        </w:rPr>
        <w:t>社区自建，同时也是社区智治运营中心，将社区的运行状态进行实时的展示，打造“看得见、看得清、看得全、看得远”“能管理”的可视化应用，全面赋能领导决策，提升政府治理能力和现代化水平。</w:t>
      </w:r>
    </w:p>
    <w:p>
      <w:pPr>
        <w:keepNext w:val="0"/>
        <w:keepLines w:val="0"/>
        <w:pageBreakBefore w:val="0"/>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color w:val="auto"/>
          <w:sz w:val="21"/>
          <w:szCs w:val="21"/>
          <w:highlight w:val="none"/>
          <w:lang w:val="en-US"/>
        </w:rPr>
      </w:pPr>
      <w:r>
        <w:rPr>
          <w:rFonts w:hint="eastAsia" w:ascii="宋体" w:hAnsi="宋体" w:eastAsia="宋体" w:cs="宋体"/>
          <w:b/>
          <w:color w:val="auto"/>
          <w:sz w:val="21"/>
          <w:szCs w:val="21"/>
          <w:highlight w:val="none"/>
          <w:lang w:val="en-US"/>
        </w:rPr>
        <w:t>4）数字社会“12有”及九大场景配套空间线上线下融合服务需求</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根据数字化改革和“城市大脑+未来社区”打造核心场景的要求，数字化系统建设应遵循“顶层设计、问策于民、 低本高效、融合运营”原则，充分结合百姓需求，围绕基层治理和社区服务打造高频应用，推动线上线下融合塑造九大场景。因地制宜规划设计九大场景服务配套空间，为社会事业“12 个有”多跨应用在未来社区精准落地提供必要的空间载体，数字化应用需充分与之实现无缝对接，并按需推进空间数字化覆盖扩面和功能提升，实现线上线下服务的融合。</w:t>
      </w:r>
    </w:p>
    <w:p>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为实现线上线下融合，数字化系统设计方案具体包括：</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1.明确平台建设模式与组织架构。</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2.充分利用现有数字化资源，梳理数字化需求清单，提出数字化建设的目标和任务。</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3.从社区现状出发，围绕“1N93”总体框架，设计数字化建设总体框架图和路线图。</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4.拟建设/落地的重点数字化应用，包含需求问题、应用名称、应用描述、空间配套、运营思路等。</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5.明确数字社会公共服务落地方案。 </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6.明确数字化融合社区运营方案。</w:t>
      </w:r>
    </w:p>
    <w:p>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▲对接至少5个数字社会12有应用，具体采购内容由采购人根据实际需求确定。</w:t>
      </w:r>
      <w:r>
        <w:rPr>
          <w:rFonts w:hint="eastAsia" w:ascii="宋体" w:hAnsi="宋体" w:eastAsia="宋体" w:cs="宋体"/>
          <w:b/>
          <w:bCs/>
          <w:color w:val="auto"/>
          <w:sz w:val="21"/>
          <w:szCs w:val="21"/>
          <w:highlight w:val="none"/>
          <w:lang w:val="en-US"/>
        </w:rPr>
        <w:t>九大场景配套空间线上线下融合服务时间为验收通过后2年。</w:t>
      </w:r>
    </w:p>
    <w:p>
      <w:pPr>
        <w:keepNext w:val="0"/>
        <w:keepLines w:val="0"/>
        <w:pageBreakBefore w:val="0"/>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color w:val="auto"/>
          <w:sz w:val="21"/>
          <w:szCs w:val="21"/>
          <w:highlight w:val="none"/>
          <w:lang w:val="en-US"/>
        </w:rPr>
      </w:pPr>
      <w:bookmarkStart w:id="13" w:name="_Toc30332"/>
      <w:r>
        <w:rPr>
          <w:rFonts w:hint="eastAsia" w:ascii="宋体" w:hAnsi="宋体" w:eastAsia="宋体" w:cs="宋体"/>
          <w:b/>
          <w:color w:val="auto"/>
          <w:sz w:val="21"/>
          <w:szCs w:val="21"/>
          <w:highlight w:val="none"/>
          <w:lang w:val="en-US"/>
        </w:rPr>
        <w:t>5）用户对象分析</w:t>
      </w:r>
      <w:bookmarkEnd w:id="13"/>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本项目用户对象主要包含社区居民、社区工作人员、街道工作人员、相关运营机构以及相关政府监管单位。</w:t>
      </w:r>
    </w:p>
    <w:p>
      <w:pPr>
        <w:keepNext w:val="0"/>
        <w:keepLines w:val="0"/>
        <w:pageBreakBefore w:val="0"/>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color w:val="auto"/>
          <w:sz w:val="21"/>
          <w:szCs w:val="21"/>
          <w:highlight w:val="none"/>
          <w:lang w:val="en-US"/>
        </w:rPr>
      </w:pPr>
      <w:bookmarkStart w:id="14" w:name="_Toc27738"/>
      <w:r>
        <w:rPr>
          <w:rFonts w:hint="eastAsia" w:ascii="宋体" w:hAnsi="宋体" w:eastAsia="宋体" w:cs="宋体"/>
          <w:b/>
          <w:color w:val="auto"/>
          <w:sz w:val="21"/>
          <w:szCs w:val="21"/>
          <w:highlight w:val="none"/>
          <w:lang w:val="en-US"/>
        </w:rPr>
        <w:t>6）业务处理量分析</w:t>
      </w:r>
      <w:bookmarkEnd w:id="14"/>
    </w:p>
    <w:p>
      <w:pPr>
        <w:keepNext w:val="0"/>
        <w:keepLines w:val="0"/>
        <w:pageBreakBefore w:val="0"/>
        <w:tabs>
          <w:tab w:val="left" w:pos="2127"/>
        </w:tabs>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用户数测算</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姚江社区总体居民户数2332户，常住人口约4500人，总人口约6250人。其中：</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儿童781人，占比约12.50%；</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青少年219人，占比约3.5%</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青年人群 625人，占比约10%；</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中年人群 2000人，占比约32%；</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中老年人群 939人，占比约15%；</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老年人群 1688人，占比约27%。</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本项目中的大部分业务系统面向社区居民、社区工作者使用，预估移动端使用用户数为3500人，最高并发访问量为100；后台管理系统使用人数为100人，最高并发量20。</w:t>
      </w:r>
    </w:p>
    <w:p>
      <w:pPr>
        <w:keepNext w:val="0"/>
        <w:keepLines w:val="0"/>
        <w:pageBreakBefore w:val="0"/>
        <w:tabs>
          <w:tab w:val="left" w:pos="2127"/>
        </w:tabs>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数据资源测算</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姚江未来社区智慧服务平台的每个月的高频应用如下：</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浙里办、小程序等签到每天200条数据，30（天）*200=6000条；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社区未来邻里中心、居家养老服务中心进出数据每天200条数据 ，30（天）*200= 6000条；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社区超话、活动数据产出，30*300=9000条； </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物联网数据上报数据，30（天）*48条（定期心跳+动态上报估算均数）*100（台，含利旧）= 144000条。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其他应用模块数据估算：30*600=18000条；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合计1个月的数量为：6000+6000+9000+144000+18000= 183000条。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可计算2年的数据量约为：183000*24（月）= 4392000条；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2年时间业务端产生的数量为：1条数据大小按照5KB，4392000*5KB=20.94GB（结构化数据）。 </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3年时间产生的数据量为：183000*36*5KB/1024/1024=31.41GB。</w:t>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 xml:space="preserve">表 </w:t>
      </w:r>
      <w:r>
        <w:rPr>
          <w:rFonts w:ascii="宋体" w:hAnsi="宋体" w:eastAsia="宋体"/>
          <w:color w:val="auto"/>
          <w:highlight w:val="none"/>
        </w:rPr>
        <w:fldChar w:fldCharType="begin"/>
      </w:r>
      <w:r>
        <w:rPr>
          <w:rFonts w:ascii="宋体" w:hAnsi="宋体" w:eastAsia="宋体"/>
          <w:color w:val="auto"/>
          <w:highlight w:val="none"/>
        </w:rPr>
        <w:instrText xml:space="preserve"> STYLEREF 1 \s </w:instrText>
      </w:r>
      <w:r>
        <w:rPr>
          <w:rFonts w:ascii="宋体" w:hAnsi="宋体" w:eastAsia="宋体"/>
          <w:color w:val="auto"/>
          <w:highlight w:val="none"/>
        </w:rPr>
        <w:fldChar w:fldCharType="separate"/>
      </w:r>
      <w:r>
        <w:rPr>
          <w:rFonts w:ascii="宋体" w:hAnsi="宋体" w:eastAsia="宋体"/>
          <w:color w:val="auto"/>
          <w:highlight w:val="none"/>
        </w:rPr>
        <w:t>4</w:t>
      </w:r>
      <w:r>
        <w:rPr>
          <w:rFonts w:ascii="宋体" w:hAnsi="宋体" w:eastAsia="宋体"/>
          <w:color w:val="auto"/>
          <w:highlight w:val="none"/>
        </w:rPr>
        <w:fldChar w:fldCharType="end"/>
      </w:r>
      <w:r>
        <w:rPr>
          <w:rFonts w:ascii="宋体" w:hAnsi="宋体" w:eastAsia="宋体"/>
          <w:color w:val="auto"/>
          <w:highlight w:val="none"/>
        </w:rPr>
        <w:noBreakHyphen/>
      </w:r>
      <w:r>
        <w:rPr>
          <w:rFonts w:ascii="宋体" w:hAnsi="宋体" w:eastAsia="宋体"/>
          <w:color w:val="auto"/>
          <w:highlight w:val="none"/>
        </w:rPr>
        <w:fldChar w:fldCharType="begin"/>
      </w:r>
      <w:r>
        <w:rPr>
          <w:rFonts w:ascii="宋体" w:hAnsi="宋体" w:eastAsia="宋体"/>
          <w:color w:val="auto"/>
          <w:highlight w:val="none"/>
        </w:rPr>
        <w:instrText xml:space="preserve"> SEQ 表 \* ARABIC \s 1 </w:instrText>
      </w:r>
      <w:r>
        <w:rPr>
          <w:rFonts w:ascii="宋体" w:hAnsi="宋体" w:eastAsia="宋体"/>
          <w:color w:val="auto"/>
          <w:highlight w:val="none"/>
        </w:rPr>
        <w:fldChar w:fldCharType="separate"/>
      </w:r>
      <w:r>
        <w:rPr>
          <w:rFonts w:ascii="宋体" w:hAnsi="宋体" w:eastAsia="宋体"/>
          <w:color w:val="auto"/>
          <w:highlight w:val="none"/>
        </w:rPr>
        <w:t>1</w:t>
      </w:r>
      <w:r>
        <w:rPr>
          <w:rFonts w:ascii="宋体" w:hAnsi="宋体" w:eastAsia="宋体"/>
          <w:color w:val="auto"/>
          <w:highlight w:val="none"/>
        </w:rPr>
        <w:fldChar w:fldCharType="end"/>
      </w:r>
      <w:r>
        <w:rPr>
          <w:rFonts w:ascii="宋体" w:hAnsi="宋体" w:eastAsia="宋体"/>
          <w:color w:val="auto"/>
          <w:highlight w:val="none"/>
        </w:rPr>
        <w:t>数据资源测算</w:t>
      </w:r>
    </w:p>
    <w:tbl>
      <w:tblPr>
        <w:tblStyle w:val="50"/>
        <w:tblW w:w="9418" w:type="dxa"/>
        <w:jc w:val="center"/>
        <w:tblLayout w:type="autofit"/>
        <w:tblCellMar>
          <w:top w:w="0" w:type="dxa"/>
          <w:left w:w="108" w:type="dxa"/>
          <w:bottom w:w="0" w:type="dxa"/>
          <w:right w:w="108" w:type="dxa"/>
        </w:tblCellMar>
      </w:tblPr>
      <w:tblGrid>
        <w:gridCol w:w="808"/>
        <w:gridCol w:w="2298"/>
        <w:gridCol w:w="3704"/>
        <w:gridCol w:w="2608"/>
      </w:tblGrid>
      <w:tr>
        <w:tblPrEx>
          <w:tblCellMar>
            <w:top w:w="0" w:type="dxa"/>
            <w:left w:w="108" w:type="dxa"/>
            <w:bottom w:w="0" w:type="dxa"/>
            <w:right w:w="108" w:type="dxa"/>
          </w:tblCellMar>
        </w:tblPrEx>
        <w:trPr>
          <w:trHeight w:val="567" w:hRule="atLeast"/>
          <w:jc w:val="center"/>
        </w:trPr>
        <w:tc>
          <w:tcPr>
            <w:tcW w:w="8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序号</w:t>
            </w:r>
          </w:p>
        </w:tc>
        <w:tc>
          <w:tcPr>
            <w:tcW w:w="22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数据来源</w:t>
            </w:r>
          </w:p>
        </w:tc>
        <w:tc>
          <w:tcPr>
            <w:tcW w:w="37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月数据记录（条）</w:t>
            </w:r>
          </w:p>
        </w:tc>
        <w:tc>
          <w:tcPr>
            <w:tcW w:w="26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数据量</w:t>
            </w:r>
          </w:p>
        </w:tc>
      </w:tr>
      <w:tr>
        <w:tblPrEx>
          <w:tblCellMar>
            <w:top w:w="0" w:type="dxa"/>
            <w:left w:w="108" w:type="dxa"/>
            <w:bottom w:w="0" w:type="dxa"/>
            <w:right w:w="108" w:type="dxa"/>
          </w:tblCellMar>
        </w:tblPrEx>
        <w:trPr>
          <w:trHeight w:val="567" w:hRule="atLeast"/>
          <w:jc w:val="center"/>
        </w:trPr>
        <w:tc>
          <w:tcPr>
            <w:tcW w:w="80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1</w:t>
            </w:r>
          </w:p>
        </w:tc>
        <w:tc>
          <w:tcPr>
            <w:tcW w:w="229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浙里办、小程序签到</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6000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w:t>
            </w:r>
          </w:p>
        </w:tc>
      </w:tr>
      <w:tr>
        <w:tblPrEx>
          <w:tblCellMar>
            <w:top w:w="0" w:type="dxa"/>
            <w:left w:w="108" w:type="dxa"/>
            <w:bottom w:w="0" w:type="dxa"/>
            <w:right w:w="108" w:type="dxa"/>
          </w:tblCellMar>
        </w:tblPrEx>
        <w:trPr>
          <w:trHeight w:val="567" w:hRule="atLeast"/>
          <w:jc w:val="center"/>
        </w:trPr>
        <w:tc>
          <w:tcPr>
            <w:tcW w:w="80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2</w:t>
            </w:r>
          </w:p>
        </w:tc>
        <w:tc>
          <w:tcPr>
            <w:tcW w:w="229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社区</w:t>
            </w:r>
            <w:r>
              <w:rPr>
                <w:rFonts w:hint="eastAsia"/>
                <w:color w:val="auto"/>
                <w:sz w:val="21"/>
                <w:szCs w:val="21"/>
                <w:highlight w:val="none"/>
              </w:rPr>
              <w:t>未来邻里中心、居家养老服务中心</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6</w:t>
            </w:r>
            <w:r>
              <w:rPr>
                <w:bCs/>
                <w:color w:val="auto"/>
                <w:sz w:val="21"/>
                <w:szCs w:val="21"/>
                <w:highlight w:val="none"/>
              </w:rPr>
              <w:t>000</w:t>
            </w:r>
          </w:p>
        </w:tc>
        <w:tc>
          <w:tcPr>
            <w:tcW w:w="2608"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w:t>
            </w:r>
          </w:p>
        </w:tc>
      </w:tr>
      <w:tr>
        <w:tblPrEx>
          <w:tblCellMar>
            <w:top w:w="0" w:type="dxa"/>
            <w:left w:w="108" w:type="dxa"/>
            <w:bottom w:w="0" w:type="dxa"/>
            <w:right w:w="108" w:type="dxa"/>
          </w:tblCellMar>
        </w:tblPrEx>
        <w:trPr>
          <w:trHeight w:val="567" w:hRule="atLeast"/>
          <w:jc w:val="center"/>
        </w:trPr>
        <w:tc>
          <w:tcPr>
            <w:tcW w:w="80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3</w:t>
            </w:r>
          </w:p>
        </w:tc>
        <w:tc>
          <w:tcPr>
            <w:tcW w:w="229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社区超话</w:t>
            </w:r>
            <w:r>
              <w:rPr>
                <w:rFonts w:hint="eastAsia"/>
                <w:color w:val="auto"/>
                <w:sz w:val="21"/>
                <w:szCs w:val="21"/>
                <w:highlight w:val="none"/>
              </w:rPr>
              <w:t>、活动</w:t>
            </w:r>
            <w:r>
              <w:rPr>
                <w:color w:val="auto"/>
                <w:sz w:val="21"/>
                <w:szCs w:val="21"/>
                <w:highlight w:val="none"/>
              </w:rPr>
              <w:t>数据</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9</w:t>
            </w:r>
            <w:r>
              <w:rPr>
                <w:bCs/>
                <w:color w:val="auto"/>
                <w:sz w:val="21"/>
                <w:szCs w:val="21"/>
                <w:highlight w:val="none"/>
              </w:rPr>
              <w:t>000</w:t>
            </w:r>
          </w:p>
        </w:tc>
        <w:tc>
          <w:tcPr>
            <w:tcW w:w="2608"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w:t>
            </w:r>
          </w:p>
        </w:tc>
      </w:tr>
      <w:tr>
        <w:tblPrEx>
          <w:tblCellMar>
            <w:top w:w="0" w:type="dxa"/>
            <w:left w:w="108" w:type="dxa"/>
            <w:bottom w:w="0" w:type="dxa"/>
            <w:right w:w="108" w:type="dxa"/>
          </w:tblCellMar>
        </w:tblPrEx>
        <w:trPr>
          <w:trHeight w:val="567" w:hRule="atLeast"/>
          <w:jc w:val="center"/>
        </w:trPr>
        <w:tc>
          <w:tcPr>
            <w:tcW w:w="80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3</w:t>
            </w:r>
          </w:p>
        </w:tc>
        <w:tc>
          <w:tcPr>
            <w:tcW w:w="229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物联网数据上报数据</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1</w:t>
            </w:r>
            <w:r>
              <w:rPr>
                <w:bCs/>
                <w:color w:val="auto"/>
                <w:sz w:val="21"/>
                <w:szCs w:val="21"/>
                <w:highlight w:val="none"/>
              </w:rPr>
              <w:t>44000</w:t>
            </w:r>
          </w:p>
        </w:tc>
        <w:tc>
          <w:tcPr>
            <w:tcW w:w="2608"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w:t>
            </w:r>
          </w:p>
        </w:tc>
      </w:tr>
      <w:tr>
        <w:tblPrEx>
          <w:tblCellMar>
            <w:top w:w="0" w:type="dxa"/>
            <w:left w:w="108" w:type="dxa"/>
            <w:bottom w:w="0" w:type="dxa"/>
            <w:right w:w="108" w:type="dxa"/>
          </w:tblCellMar>
        </w:tblPrEx>
        <w:trPr>
          <w:trHeight w:val="567" w:hRule="atLeast"/>
          <w:jc w:val="center"/>
        </w:trPr>
        <w:tc>
          <w:tcPr>
            <w:tcW w:w="80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4</w:t>
            </w:r>
          </w:p>
        </w:tc>
        <w:tc>
          <w:tcPr>
            <w:tcW w:w="229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其他应用</w:t>
            </w:r>
            <w:r>
              <w:rPr>
                <w:rFonts w:hint="eastAsia"/>
                <w:color w:val="auto"/>
                <w:sz w:val="21"/>
                <w:szCs w:val="21"/>
                <w:highlight w:val="none"/>
              </w:rPr>
              <w:t>模块数据</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18000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rFonts w:hint="eastAsia"/>
                <w:bCs/>
                <w:color w:val="auto"/>
                <w:sz w:val="21"/>
                <w:szCs w:val="21"/>
                <w:highlight w:val="none"/>
              </w:rPr>
              <w:t>/</w:t>
            </w:r>
          </w:p>
        </w:tc>
      </w:tr>
      <w:tr>
        <w:tblPrEx>
          <w:tblCellMar>
            <w:top w:w="0" w:type="dxa"/>
            <w:left w:w="108" w:type="dxa"/>
            <w:bottom w:w="0" w:type="dxa"/>
            <w:right w:w="108" w:type="dxa"/>
          </w:tblCellMar>
        </w:tblPrEx>
        <w:trPr>
          <w:trHeight w:val="567"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合计（单  月）</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183000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893.55</w:t>
            </w:r>
            <w:r>
              <w:rPr>
                <w:rFonts w:hint="eastAsia"/>
                <w:bCs/>
                <w:color w:val="auto"/>
                <w:sz w:val="21"/>
                <w:szCs w:val="21"/>
                <w:highlight w:val="none"/>
              </w:rPr>
              <w:t>MB</w:t>
            </w:r>
          </w:p>
        </w:tc>
      </w:tr>
      <w:tr>
        <w:tblPrEx>
          <w:tblCellMar>
            <w:top w:w="0" w:type="dxa"/>
            <w:left w:w="108" w:type="dxa"/>
            <w:bottom w:w="0" w:type="dxa"/>
            <w:right w:w="108" w:type="dxa"/>
          </w:tblCellMar>
        </w:tblPrEx>
        <w:trPr>
          <w:trHeight w:val="567"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合计（第一年）</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2196000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10.47GB</w:t>
            </w:r>
          </w:p>
        </w:tc>
      </w:tr>
      <w:tr>
        <w:tblPrEx>
          <w:tblCellMar>
            <w:top w:w="0" w:type="dxa"/>
            <w:left w:w="108" w:type="dxa"/>
            <w:bottom w:w="0" w:type="dxa"/>
            <w:right w:w="108" w:type="dxa"/>
          </w:tblCellMar>
        </w:tblPrEx>
        <w:trPr>
          <w:trHeight w:val="567"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合计（第三年）</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color w:val="auto"/>
                <w:sz w:val="21"/>
                <w:szCs w:val="21"/>
                <w:highlight w:val="none"/>
              </w:rPr>
              <w:t>6588000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31.41GB</w:t>
            </w:r>
          </w:p>
        </w:tc>
      </w:tr>
      <w:tr>
        <w:tblPrEx>
          <w:tblCellMar>
            <w:top w:w="0" w:type="dxa"/>
            <w:left w:w="108" w:type="dxa"/>
            <w:bottom w:w="0" w:type="dxa"/>
            <w:right w:w="108" w:type="dxa"/>
          </w:tblCellMar>
        </w:tblPrEx>
        <w:trPr>
          <w:trHeight w:val="567"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合计（第五年）</w:t>
            </w:r>
          </w:p>
        </w:tc>
        <w:tc>
          <w:tcPr>
            <w:tcW w:w="370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10980000</w:t>
            </w:r>
          </w:p>
        </w:tc>
        <w:tc>
          <w:tcPr>
            <w:tcW w:w="260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Cs/>
                <w:color w:val="auto"/>
                <w:sz w:val="21"/>
                <w:szCs w:val="21"/>
                <w:highlight w:val="none"/>
              </w:rPr>
            </w:pPr>
            <w:r>
              <w:rPr>
                <w:bCs/>
                <w:color w:val="auto"/>
                <w:sz w:val="21"/>
                <w:szCs w:val="21"/>
                <w:highlight w:val="none"/>
              </w:rPr>
              <w:t>52.36GB</w:t>
            </w:r>
          </w:p>
        </w:tc>
      </w:tr>
    </w:tbl>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另外：</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3年时间后台管理系统数据量为：</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1条数据大小按照400KB</w:t>
      </w:r>
      <w:r>
        <w:rPr>
          <w:rFonts w:hint="eastAsia"/>
          <w:color w:val="auto"/>
          <w:sz w:val="21"/>
          <w:szCs w:val="21"/>
          <w:highlight w:val="none"/>
        </w:rPr>
        <w:t>（含人脸照片、头像、附件等）</w:t>
      </w:r>
      <w:r>
        <w:rPr>
          <w:color w:val="auto"/>
          <w:sz w:val="21"/>
          <w:szCs w:val="21"/>
          <w:highlight w:val="none"/>
        </w:rPr>
        <w:t>，</w:t>
      </w:r>
      <w:r>
        <w:rPr>
          <w:rFonts w:hint="eastAsia"/>
          <w:color w:val="auto"/>
          <w:sz w:val="21"/>
          <w:szCs w:val="21"/>
          <w:highlight w:val="none"/>
        </w:rPr>
        <w:t>3年内</w:t>
      </w:r>
      <w:r>
        <w:rPr>
          <w:color w:val="auto"/>
          <w:sz w:val="21"/>
          <w:szCs w:val="21"/>
          <w:highlight w:val="none"/>
        </w:rPr>
        <w:t>人口数据按照5578人</w:t>
      </w:r>
      <w:r>
        <w:rPr>
          <w:rFonts w:hint="eastAsia"/>
          <w:color w:val="auto"/>
          <w:sz w:val="21"/>
          <w:szCs w:val="21"/>
          <w:highlight w:val="none"/>
        </w:rPr>
        <w:t>*</w:t>
      </w:r>
      <w:r>
        <w:rPr>
          <w:color w:val="auto"/>
          <w:sz w:val="21"/>
          <w:szCs w:val="21"/>
          <w:highlight w:val="none"/>
        </w:rPr>
        <w:t>1.5</w:t>
      </w:r>
      <w:r>
        <w:rPr>
          <w:rFonts w:hint="eastAsia"/>
          <w:color w:val="auto"/>
          <w:sz w:val="21"/>
          <w:szCs w:val="21"/>
          <w:highlight w:val="none"/>
        </w:rPr>
        <w:t>（人员流动适当冗余）</w:t>
      </w:r>
      <w:r>
        <w:rPr>
          <w:color w:val="auto"/>
          <w:sz w:val="21"/>
          <w:szCs w:val="21"/>
          <w:highlight w:val="none"/>
        </w:rPr>
        <w:t>，5578*1.5*400KB/1024=3268.36MB</w:t>
      </w:r>
      <w:r>
        <w:rPr>
          <w:rFonts w:hint="eastAsia"/>
          <w:color w:val="auto"/>
          <w:sz w:val="21"/>
          <w:szCs w:val="21"/>
          <w:highlight w:val="none"/>
        </w:rPr>
        <w:t>；</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房屋</w:t>
      </w:r>
      <w:r>
        <w:rPr>
          <w:rFonts w:hint="eastAsia"/>
          <w:color w:val="auto"/>
          <w:sz w:val="21"/>
          <w:szCs w:val="21"/>
          <w:highlight w:val="none"/>
        </w:rPr>
        <w:t>等空间结构数</w:t>
      </w:r>
      <w:r>
        <w:rPr>
          <w:color w:val="auto"/>
          <w:sz w:val="21"/>
          <w:szCs w:val="21"/>
          <w:highlight w:val="none"/>
        </w:rPr>
        <w:t>据</w:t>
      </w:r>
      <w:r>
        <w:rPr>
          <w:rFonts w:hint="eastAsia"/>
          <w:color w:val="auto"/>
          <w:sz w:val="21"/>
          <w:szCs w:val="21"/>
          <w:highlight w:val="none"/>
        </w:rPr>
        <w:t>不考虑变化，</w:t>
      </w:r>
      <w:r>
        <w:rPr>
          <w:color w:val="auto"/>
          <w:sz w:val="21"/>
          <w:szCs w:val="21"/>
          <w:highlight w:val="none"/>
        </w:rPr>
        <w:t>按照1876户，1876*5KB/1024=9.16MB</w:t>
      </w:r>
      <w:r>
        <w:rPr>
          <w:rFonts w:hint="eastAsia"/>
          <w:color w:val="auto"/>
          <w:sz w:val="21"/>
          <w:szCs w:val="21"/>
          <w:highlight w:val="none"/>
        </w:rPr>
        <w:t>，</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其他基础数据</w:t>
      </w:r>
      <w:r>
        <w:rPr>
          <w:rFonts w:hint="eastAsia"/>
          <w:color w:val="auto"/>
          <w:sz w:val="21"/>
          <w:szCs w:val="21"/>
          <w:highlight w:val="none"/>
        </w:rPr>
        <w:t>如日志等按</w:t>
      </w:r>
      <w:r>
        <w:rPr>
          <w:color w:val="auto"/>
          <w:sz w:val="21"/>
          <w:szCs w:val="21"/>
          <w:highlight w:val="none"/>
        </w:rPr>
        <w:t>照</w:t>
      </w:r>
      <w:r>
        <w:rPr>
          <w:rFonts w:hint="eastAsia"/>
          <w:color w:val="auto"/>
          <w:sz w:val="21"/>
          <w:szCs w:val="21"/>
          <w:highlight w:val="none"/>
        </w:rPr>
        <w:t>每天产生操作记录1</w:t>
      </w:r>
      <w:r>
        <w:rPr>
          <w:color w:val="auto"/>
          <w:sz w:val="21"/>
          <w:szCs w:val="21"/>
          <w:highlight w:val="none"/>
        </w:rPr>
        <w:t>000</w:t>
      </w:r>
      <w:r>
        <w:rPr>
          <w:rFonts w:hint="eastAsia"/>
          <w:color w:val="auto"/>
          <w:sz w:val="21"/>
          <w:szCs w:val="21"/>
          <w:highlight w:val="none"/>
        </w:rPr>
        <w:t>条，</w:t>
      </w:r>
      <w:r>
        <w:rPr>
          <w:color w:val="auto"/>
          <w:sz w:val="21"/>
          <w:szCs w:val="21"/>
          <w:highlight w:val="none"/>
        </w:rPr>
        <w:t>30*1000</w:t>
      </w:r>
      <w:r>
        <w:rPr>
          <w:rFonts w:hint="eastAsia"/>
          <w:color w:val="auto"/>
          <w:sz w:val="21"/>
          <w:szCs w:val="21"/>
          <w:highlight w:val="none"/>
        </w:rPr>
        <w:t>条*</w:t>
      </w:r>
      <w:r>
        <w:rPr>
          <w:color w:val="auto"/>
          <w:sz w:val="21"/>
          <w:szCs w:val="21"/>
          <w:highlight w:val="none"/>
        </w:rPr>
        <w:t>36*5KB/1024=5273.44MB。</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rFonts w:hint="eastAsia"/>
          <w:color w:val="auto"/>
          <w:sz w:val="21"/>
          <w:szCs w:val="21"/>
          <w:highlight w:val="none"/>
        </w:rPr>
      </w:pPr>
      <w:r>
        <w:rPr>
          <w:rFonts w:hint="eastAsia"/>
          <w:color w:val="auto"/>
          <w:sz w:val="21"/>
          <w:szCs w:val="21"/>
          <w:highlight w:val="none"/>
        </w:rPr>
        <w:t>人脸、车脸、车牌识别记录照片数据量：</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rFonts w:hint="eastAsia"/>
          <w:color w:val="auto"/>
          <w:sz w:val="21"/>
          <w:szCs w:val="21"/>
          <w:highlight w:val="none"/>
        </w:rPr>
      </w:pPr>
      <w:r>
        <w:rPr>
          <w:color w:val="auto"/>
          <w:sz w:val="21"/>
          <w:szCs w:val="21"/>
          <w:highlight w:val="none"/>
        </w:rPr>
        <w:t>1条数据大小按照400KB</w:t>
      </w:r>
      <w:r>
        <w:rPr>
          <w:rFonts w:hint="eastAsia"/>
          <w:color w:val="auto"/>
          <w:sz w:val="21"/>
          <w:szCs w:val="21"/>
          <w:highlight w:val="none"/>
        </w:rPr>
        <w:t>计算，记录按照人口数据*</w:t>
      </w:r>
      <w:r>
        <w:rPr>
          <w:color w:val="auto"/>
          <w:sz w:val="21"/>
          <w:szCs w:val="21"/>
          <w:highlight w:val="none"/>
        </w:rPr>
        <w:t>4</w:t>
      </w:r>
      <w:r>
        <w:rPr>
          <w:rFonts w:hint="eastAsia"/>
          <w:color w:val="auto"/>
          <w:sz w:val="21"/>
          <w:szCs w:val="21"/>
          <w:highlight w:val="none"/>
        </w:rPr>
        <w:t>，</w:t>
      </w:r>
      <w:r>
        <w:rPr>
          <w:color w:val="auto"/>
          <w:sz w:val="21"/>
          <w:szCs w:val="21"/>
          <w:highlight w:val="none"/>
        </w:rPr>
        <w:t>30*36*5578*4*400KB/1024=9412875MB</w:t>
      </w:r>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rFonts w:cs="宋体"/>
          <w:color w:val="auto"/>
          <w:sz w:val="21"/>
          <w:szCs w:val="21"/>
          <w:highlight w:val="none"/>
          <w:lang w:val="zh-CN" w:bidi="zh-CN"/>
        </w:rPr>
      </w:pPr>
      <w:r>
        <w:rPr>
          <w:rFonts w:cs="宋体"/>
          <w:color w:val="auto"/>
          <w:sz w:val="21"/>
          <w:szCs w:val="21"/>
          <w:highlight w:val="none"/>
          <w:lang w:val="zh-CN" w:bidi="zh-CN"/>
        </w:rPr>
        <w:t>未来社区智慧服务平台结构化数据3年数据量3268.36MB+9.16MB+</w:t>
      </w:r>
      <w:r>
        <w:rPr>
          <w:color w:val="auto"/>
          <w:sz w:val="21"/>
          <w:szCs w:val="21"/>
          <w:highlight w:val="none"/>
        </w:rPr>
        <w:t>5273.44MB</w:t>
      </w:r>
      <w:r>
        <w:rPr>
          <w:rFonts w:cs="宋体"/>
          <w:color w:val="auto"/>
          <w:sz w:val="21"/>
          <w:szCs w:val="21"/>
          <w:highlight w:val="none"/>
          <w:lang w:val="zh-CN" w:bidi="zh-CN"/>
        </w:rPr>
        <w:t>+</w:t>
      </w:r>
      <w:r>
        <w:rPr>
          <w:color w:val="auto"/>
          <w:sz w:val="21"/>
          <w:szCs w:val="21"/>
          <w:highlight w:val="none"/>
        </w:rPr>
        <w:t>9412875MB</w:t>
      </w:r>
      <w:r>
        <w:rPr>
          <w:rFonts w:cs="宋体"/>
          <w:color w:val="auto"/>
          <w:sz w:val="21"/>
          <w:szCs w:val="21"/>
          <w:highlight w:val="none"/>
          <w:lang w:val="zh-CN" w:bidi="zh-CN"/>
        </w:rPr>
        <w:t xml:space="preserve"> =9200.63GB。</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rFonts w:hint="eastAsia"/>
          <w:color w:val="auto"/>
          <w:sz w:val="21"/>
          <w:szCs w:val="21"/>
          <w:highlight w:val="none"/>
        </w:rPr>
      </w:pPr>
      <w:r>
        <w:rPr>
          <w:rFonts w:hint="eastAsia"/>
          <w:color w:val="auto"/>
          <w:sz w:val="21"/>
          <w:szCs w:val="21"/>
          <w:highlight w:val="none"/>
        </w:rPr>
        <w:t>以上可作为政务云资源申请参考，部分计算资源具体按规定要求申请扩容。</w:t>
      </w:r>
    </w:p>
    <w:p>
      <w:pPr>
        <w:keepNext w:val="0"/>
        <w:keepLines w:val="0"/>
        <w:pageBreakBefore w:val="0"/>
        <w:kinsoku/>
        <w:wordWrap/>
        <w:overflowPunct/>
        <w:topLinePunct w:val="0"/>
        <w:bidi w:val="0"/>
        <w:adjustRightInd/>
        <w:snapToGrid/>
        <w:spacing w:line="360" w:lineRule="auto"/>
        <w:ind w:firstLine="422" w:firstLineChars="200"/>
        <w:jc w:val="both"/>
        <w:textAlignment w:val="auto"/>
        <w:rPr>
          <w:b/>
          <w:bCs/>
          <w:color w:val="auto"/>
          <w:sz w:val="21"/>
          <w:szCs w:val="21"/>
          <w:highlight w:val="none"/>
          <w:lang w:val="en-US"/>
        </w:rPr>
      </w:pPr>
      <w:bookmarkStart w:id="15" w:name="_Toc13412"/>
      <w:r>
        <w:rPr>
          <w:rFonts w:hint="eastAsia"/>
          <w:b/>
          <w:bCs/>
          <w:color w:val="auto"/>
          <w:sz w:val="21"/>
          <w:szCs w:val="21"/>
          <w:highlight w:val="none"/>
          <w:lang w:val="en-US"/>
        </w:rPr>
        <w:t>4.2业务流程分析</w:t>
      </w:r>
      <w:bookmarkEnd w:id="15"/>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姚江未来社区数字化服务应用，分为三类交互端，包括社区居民服务端、运营端、政府人员</w:t>
      </w:r>
      <w:r>
        <w:rPr>
          <w:rFonts w:hint="eastAsia"/>
          <w:color w:val="auto"/>
          <w:sz w:val="21"/>
          <w:szCs w:val="21"/>
          <w:highlight w:val="none"/>
        </w:rPr>
        <w:t>管理</w:t>
      </w:r>
      <w:r>
        <w:rPr>
          <w:color w:val="auto"/>
          <w:sz w:val="21"/>
          <w:szCs w:val="21"/>
          <w:highlight w:val="none"/>
        </w:rPr>
        <w:t>端。</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1.社区居民通过登录</w:t>
      </w:r>
      <w:r>
        <w:rPr>
          <w:rFonts w:hint="eastAsia"/>
          <w:color w:val="auto"/>
          <w:sz w:val="21"/>
          <w:szCs w:val="21"/>
          <w:highlight w:val="none"/>
        </w:rPr>
        <w:t>未来社区</w:t>
      </w:r>
      <w:r>
        <w:rPr>
          <w:color w:val="auto"/>
          <w:sz w:val="21"/>
          <w:szCs w:val="21"/>
          <w:highlight w:val="none"/>
        </w:rPr>
        <w:t>小程序,注册填写个人信息并绑定房号</w:t>
      </w:r>
      <w:r>
        <w:rPr>
          <w:rFonts w:hint="eastAsia"/>
          <w:color w:val="auto"/>
          <w:sz w:val="21"/>
          <w:szCs w:val="21"/>
          <w:highlight w:val="none"/>
        </w:rPr>
        <w:t>/商户</w:t>
      </w:r>
      <w:r>
        <w:rPr>
          <w:color w:val="auto"/>
          <w:sz w:val="21"/>
          <w:szCs w:val="21"/>
          <w:highlight w:val="none"/>
        </w:rPr>
        <w:t>，由</w:t>
      </w:r>
      <w:r>
        <w:rPr>
          <w:rFonts w:hint="eastAsia"/>
          <w:color w:val="auto"/>
          <w:sz w:val="21"/>
          <w:szCs w:val="21"/>
          <w:highlight w:val="none"/>
        </w:rPr>
        <w:t>物业/运营</w:t>
      </w:r>
      <w:r>
        <w:rPr>
          <w:color w:val="auto"/>
          <w:sz w:val="21"/>
          <w:szCs w:val="21"/>
          <w:highlight w:val="none"/>
        </w:rPr>
        <w:t>人员审核，审核通过后，房屋绑定成功。</w:t>
      </w:r>
      <w:r>
        <w:rPr>
          <w:rFonts w:hint="eastAsia"/>
          <w:color w:val="auto"/>
          <w:sz w:val="21"/>
          <w:szCs w:val="21"/>
          <w:highlight w:val="none"/>
        </w:rPr>
        <w:t>同事，用户数</w:t>
      </w:r>
      <w:r>
        <w:rPr>
          <w:color w:val="auto"/>
          <w:sz w:val="21"/>
          <w:szCs w:val="21"/>
          <w:highlight w:val="none"/>
        </w:rPr>
        <w:t>据</w:t>
      </w:r>
      <w:r>
        <w:rPr>
          <w:rFonts w:hint="eastAsia"/>
          <w:color w:val="auto"/>
          <w:sz w:val="21"/>
          <w:szCs w:val="21"/>
          <w:highlight w:val="none"/>
        </w:rPr>
        <w:t>可统计分析后传递给</w:t>
      </w:r>
      <w:r>
        <w:rPr>
          <w:color w:val="auto"/>
          <w:sz w:val="21"/>
          <w:szCs w:val="21"/>
          <w:highlight w:val="none"/>
        </w:rPr>
        <w:t>大屏端，通过可视化数据图表展示小程序当前用户数目、用户类型以及人员分布等情况</w:t>
      </w:r>
      <w:r>
        <w:rPr>
          <w:rFonts w:hint="eastAsia"/>
          <w:color w:val="auto"/>
          <w:sz w:val="21"/>
          <w:szCs w:val="21"/>
          <w:highlight w:val="none"/>
        </w:rPr>
        <w:t>，动态实时展示</w:t>
      </w:r>
      <w:r>
        <w:rPr>
          <w:color w:val="auto"/>
          <w:sz w:val="21"/>
          <w:szCs w:val="21"/>
          <w:highlight w:val="none"/>
        </w:rPr>
        <w:t>。</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2.社区运营人员通过管理后台，发布小程序应用内容信息，社区居民查看发布信息，并使用九大场景相关应用，产出数据内容由运营人员来查看、审核，并将数据</w:t>
      </w:r>
      <w:r>
        <w:rPr>
          <w:rFonts w:hint="eastAsia"/>
          <w:color w:val="auto"/>
          <w:sz w:val="21"/>
          <w:szCs w:val="21"/>
          <w:highlight w:val="none"/>
        </w:rPr>
        <w:t>统计分析后传递</w:t>
      </w:r>
      <w:r>
        <w:rPr>
          <w:color w:val="auto"/>
          <w:sz w:val="21"/>
          <w:szCs w:val="21"/>
          <w:highlight w:val="none"/>
        </w:rPr>
        <w:t>大屏端。政府</w:t>
      </w:r>
      <w:r>
        <w:rPr>
          <w:rFonts w:hint="eastAsia"/>
          <w:color w:val="auto"/>
          <w:sz w:val="21"/>
          <w:szCs w:val="21"/>
          <w:highlight w:val="none"/>
        </w:rPr>
        <w:t>管理</w:t>
      </w:r>
      <w:r>
        <w:rPr>
          <w:color w:val="auto"/>
          <w:sz w:val="21"/>
          <w:szCs w:val="21"/>
          <w:highlight w:val="none"/>
        </w:rPr>
        <w:t>人员根据大屏数据展示，查看九大场景板块数据内容。</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3.大屏端展示小程序应用入口，社区居民查看后可扫码进入小程序，参与活动报名</w:t>
      </w:r>
      <w:r>
        <w:rPr>
          <w:rFonts w:hint="eastAsia"/>
          <w:color w:val="auto"/>
          <w:sz w:val="21"/>
          <w:szCs w:val="21"/>
          <w:highlight w:val="none"/>
        </w:rPr>
        <w:t>、积分兑换、党建工作</w:t>
      </w:r>
      <w:r>
        <w:rPr>
          <w:color w:val="auto"/>
          <w:sz w:val="21"/>
          <w:szCs w:val="21"/>
          <w:highlight w:val="none"/>
        </w:rPr>
        <w:t>等相关内容，</w:t>
      </w:r>
      <w:r>
        <w:rPr>
          <w:rFonts w:hint="eastAsia"/>
          <w:color w:val="auto"/>
          <w:sz w:val="21"/>
          <w:szCs w:val="21"/>
          <w:highlight w:val="none"/>
        </w:rPr>
        <w:t>相关</w:t>
      </w:r>
      <w:r>
        <w:rPr>
          <w:color w:val="auto"/>
          <w:sz w:val="21"/>
          <w:szCs w:val="21"/>
          <w:highlight w:val="none"/>
        </w:rPr>
        <w:t>数据</w:t>
      </w:r>
      <w:r>
        <w:rPr>
          <w:rFonts w:hint="eastAsia"/>
          <w:color w:val="auto"/>
          <w:sz w:val="21"/>
          <w:szCs w:val="21"/>
          <w:highlight w:val="none"/>
        </w:rPr>
        <w:t>统计分析后传递</w:t>
      </w:r>
      <w:r>
        <w:rPr>
          <w:color w:val="auto"/>
          <w:sz w:val="21"/>
          <w:szCs w:val="21"/>
          <w:highlight w:val="none"/>
        </w:rPr>
        <w:t>大屏端进行</w:t>
      </w:r>
      <w:r>
        <w:rPr>
          <w:rFonts w:hint="eastAsia"/>
          <w:color w:val="auto"/>
          <w:sz w:val="21"/>
          <w:szCs w:val="21"/>
          <w:highlight w:val="none"/>
        </w:rPr>
        <w:t>实时</w:t>
      </w:r>
      <w:r>
        <w:rPr>
          <w:color w:val="auto"/>
          <w:sz w:val="21"/>
          <w:szCs w:val="21"/>
          <w:highlight w:val="none"/>
        </w:rPr>
        <w:t>展示。</w:t>
      </w:r>
    </w:p>
    <w:p>
      <w:pPr>
        <w:pStyle w:val="17"/>
        <w:spacing w:before="0" w:after="0" w:line="360" w:lineRule="auto"/>
        <w:rPr>
          <w:rFonts w:ascii="宋体" w:hAnsi="宋体" w:eastAsia="宋体"/>
          <w:color w:val="auto"/>
          <w:highlight w:val="none"/>
        </w:rPr>
      </w:pPr>
      <w:r>
        <w:rPr>
          <w:rFonts w:hint="eastAsia"/>
          <w:color w:val="auto"/>
          <w:highlight w:val="none"/>
        </w:rPr>
        <w:drawing>
          <wp:inline distT="0" distB="0" distL="114300" distR="114300">
            <wp:extent cx="4578985" cy="4254500"/>
            <wp:effectExtent l="0" t="0" r="12065" b="12700"/>
            <wp:docPr id="20" name="图片 18" descr="微信图片_2022111515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微信图片_20221115151628"/>
                    <pic:cNvPicPr>
                      <a:picLocks noChangeAspect="1"/>
                    </pic:cNvPicPr>
                  </pic:nvPicPr>
                  <pic:blipFill>
                    <a:blip r:embed="rId11"/>
                    <a:stretch>
                      <a:fillRect/>
                    </a:stretch>
                  </pic:blipFill>
                  <pic:spPr>
                    <a:xfrm>
                      <a:off x="0" y="0"/>
                      <a:ext cx="4578985" cy="4254500"/>
                    </a:xfrm>
                    <a:prstGeom prst="rect">
                      <a:avLst/>
                    </a:prstGeom>
                    <a:noFill/>
                    <a:ln>
                      <a:noFill/>
                    </a:ln>
                  </pic:spPr>
                </pic:pic>
              </a:graphicData>
            </a:graphic>
          </wp:inline>
        </w:drawing>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图4-2 业务流程</w:t>
      </w:r>
      <w:r>
        <w:rPr>
          <w:rFonts w:hint="eastAsia" w:ascii="宋体" w:hAnsi="宋体" w:eastAsia="宋体"/>
          <w:color w:val="auto"/>
          <w:highlight w:val="none"/>
        </w:rPr>
        <w:t>分析</w:t>
      </w:r>
      <w:r>
        <w:rPr>
          <w:rFonts w:ascii="宋体" w:hAnsi="宋体" w:eastAsia="宋体"/>
          <w:color w:val="auto"/>
          <w:highlight w:val="none"/>
        </w:rPr>
        <w:t>图</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16" w:name="_Toc25160"/>
      <w:r>
        <w:rPr>
          <w:rFonts w:hint="eastAsia" w:ascii="宋体" w:hAnsi="宋体" w:eastAsia="宋体" w:cs="宋体"/>
          <w:b/>
          <w:bCs/>
          <w:color w:val="auto"/>
          <w:sz w:val="21"/>
          <w:szCs w:val="21"/>
          <w:highlight w:val="none"/>
          <w:lang w:val="en-US"/>
        </w:rPr>
        <w:t>4.3功能需求分析</w:t>
      </w:r>
      <w:bookmarkEnd w:id="16"/>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4.3.1社区居民服务的需求</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为解决社区居民提供衣、食、住、行、游等方面的需求，未来社区服务应用系统通过与政府、服务商等合作，为社区居民提供具有本地特色的政务、民生、商业、文旅等信息服务:</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rPr>
        <w:t>为解决社区居民办事困难需求，未来社区服务应用系统提供了居民说事应用，帮助居民解决办事难题。</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r>
        <w:rPr>
          <w:rFonts w:hint="eastAsia" w:ascii="宋体" w:hAnsi="宋体" w:eastAsia="宋体" w:cs="宋体"/>
          <w:color w:val="auto"/>
          <w:sz w:val="21"/>
          <w:szCs w:val="21"/>
          <w:highlight w:val="none"/>
        </w:rPr>
        <w:t>为解决社区居民物业报事报修，社区治理需求，未来社区服务应用系统提供了一键报事报修、投票表决/问卷调查、物业管家功能为居民提供家电维修、水电报修、开锁修锁等物业服务：</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3.</w:t>
      </w:r>
      <w:r>
        <w:rPr>
          <w:rFonts w:hint="eastAsia" w:ascii="宋体" w:hAnsi="宋体" w:eastAsia="宋体" w:cs="宋体"/>
          <w:color w:val="auto"/>
          <w:sz w:val="21"/>
          <w:szCs w:val="21"/>
          <w:highlight w:val="none"/>
        </w:rPr>
        <w:t>为解决社区居民健康管理的需求，未来社区服务应用系统提供了健康小屋、体育活动、运动积分、智慧养老功能，帮助居民解决医院信息查询、健康管理、养老服务等需求。</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4.</w:t>
      </w:r>
      <w:r>
        <w:rPr>
          <w:rFonts w:hint="eastAsia" w:ascii="宋体" w:hAnsi="宋体" w:eastAsia="宋体" w:cs="宋体"/>
          <w:color w:val="auto"/>
          <w:sz w:val="21"/>
          <w:szCs w:val="21"/>
          <w:highlight w:val="none"/>
        </w:rPr>
        <w:t>为促进邻里和谐、交流互助，未来社区服务应用系统提供了热门活动、邻里圈、社区超话、社区直播间功能板块，其内包括教育、文化、娱乐、帮扶等形式的活动。线上预约，线下报名参与。</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4.3.2社区运营及管理的需求</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为解决社区运营人员日常管理以及发布应用内容的工作，搭建未来社区运营工作台系统。</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rPr>
        <w:t>为解决运营者的审核业主信息、人员管理工作，未来社区运营工作台系统提供用户管理功能模块。</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r>
        <w:rPr>
          <w:rFonts w:hint="eastAsia" w:ascii="宋体" w:hAnsi="宋体" w:eastAsia="宋体" w:cs="宋体"/>
          <w:color w:val="auto"/>
          <w:sz w:val="21"/>
          <w:szCs w:val="21"/>
          <w:highlight w:val="none"/>
        </w:rPr>
        <w:t>为解决运营者活动发布、积分配置、积分商品上架的工作，未来社区运营工作台系统提供活动管理、场地管理、商品管理功能模块。</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3.</w:t>
      </w:r>
      <w:r>
        <w:rPr>
          <w:rFonts w:hint="eastAsia" w:ascii="宋体" w:hAnsi="宋体" w:eastAsia="宋体" w:cs="宋体"/>
          <w:color w:val="auto"/>
          <w:sz w:val="21"/>
          <w:szCs w:val="21"/>
          <w:highlight w:val="none"/>
        </w:rPr>
        <w:t>为解决运营者发布社区信息的工作，未来社区运营工作台系统提供资讯管理模块，供运营者发布信息以及管理。</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4.3.3政府部门管理的需求</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为解决政务管理部门的监管需求，搭建未来社区服务可视化应用</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rPr>
        <w:t>为解决政府实施监测未来社区九大场景活跃程度，搭建未来社区服务可视化应用提供相应省级监测页面；</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r>
        <w:rPr>
          <w:rFonts w:hint="eastAsia" w:ascii="宋体" w:hAnsi="宋体" w:eastAsia="宋体" w:cs="宋体"/>
          <w:color w:val="auto"/>
          <w:sz w:val="21"/>
          <w:szCs w:val="21"/>
          <w:highlight w:val="none"/>
        </w:rPr>
        <w:t>为了解决政府部门了解社区的运行状态进行实时的展示，基于未来社区服务可视化应用，结合空间数据，进行可视化展示。</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17" w:name="_Toc22108"/>
      <w:r>
        <w:rPr>
          <w:rFonts w:hint="eastAsia" w:ascii="宋体" w:hAnsi="宋体" w:eastAsia="宋体" w:cs="宋体"/>
          <w:b/>
          <w:bCs/>
          <w:color w:val="auto"/>
          <w:sz w:val="21"/>
          <w:szCs w:val="21"/>
          <w:highlight w:val="none"/>
          <w:lang w:val="en-US"/>
        </w:rPr>
        <w:t>4.3.3.1应用发布端需求</w:t>
      </w:r>
      <w:bookmarkEnd w:id="17"/>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本次项目主要建设1个未来社区智慧服务平台（社区级），涉及应用发布3个端，即治理端（兼顾浙政钉扫码登录-网页端）、运营端（社区管理运营主体入口-网页端）、服务端（浙里办、小程序）。</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18" w:name="_Toc15404"/>
      <w:r>
        <w:rPr>
          <w:rFonts w:hint="eastAsia" w:ascii="宋体" w:hAnsi="宋体" w:eastAsia="宋体" w:cs="宋体"/>
          <w:b/>
          <w:bCs/>
          <w:color w:val="auto"/>
          <w:sz w:val="21"/>
          <w:szCs w:val="21"/>
          <w:highlight w:val="none"/>
          <w:lang w:val="en-US"/>
        </w:rPr>
        <w:t>4.3.3.2应用支撑需求</w:t>
      </w:r>
      <w:bookmarkEnd w:id="18"/>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托宁波市智能公共数据平台的应用支撑体系，通过对接浙江省政务服务中台，为宁波市提供基础的支撑能力，对接浙政钉和服务网用户身份认证等系统，实现对用户信息的统一管理，集中统一的系统用户信息，为所有用户在平台内所有应用建立统一的认证，使用户使用统一账号密码登录系统；集中管理所有应用授权信息；为用户访问平台提供“一站式”体验。</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同时本项目需建设应用支撑系统，包括社区物联感知接入支撑系统、空间数据管理系统、社区业务数据管理系统、应用开放接口管理系统。</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（1）社区物联引擎为社区数字基建提供物联技术服务，基于统一标准提供社区智能化设备认证、接入、监控、控制及管理能力，可实现社区内物联感知设备间、设备与业务应用系统间的运行联动。</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社区数据仓实现社区数据的汇聚、治理和应用。汇聚社区物联感知数据、应用服务数据及社区各主体活动数据，包括社区空间、人、车、房、物等资产数据和动态记录数据存储及管理功能。在原有数据资产基础上，充分考虑数据安全与隐私保护，通过标准化数据接口对接城市大脑，全面对接下沉的政府治理数据和数字社会公共服务数据，赋能九场景落地应用，建立数据迭代更新机制，通过高频应用推动数据治理。</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（3）社区应用能力中心为城市大脑、数字社会和服务应用商城在社区智慧服务平台上实施应用提供标准的 API 接口，提供应用承接及落地集成的能力。通过社区统一的空间、用户、积分、 权限、支付、评价、停车、安防等社区标准应用服务，实现应用接入、验证、发布等标准化管理，避免碎片化应用建设，有效降低成本、减少重复开发。</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（4）空间数据资产是社区建设管理中积累的空间基础数据，基于“未来社区 CIM 基础平台”的标准化空间服务能力，实现社区空间全要素数字化、全状态可视化、管理精细化。对于新建类社区，应使用建筑信息模型(BIM)构建 CIM 应用，鼓励开展正向CIM应用和数字孪生建设;对于旧改类社区，可采用实景三维模型形成数字虚拟空间辅助治理和服务，有条件有需求的社区可开展CIM 应用和数字孪生建设。</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19" w:name="_Toc10693"/>
      <w:r>
        <w:rPr>
          <w:rFonts w:hint="eastAsia" w:ascii="宋体" w:hAnsi="宋体" w:eastAsia="宋体" w:cs="宋体"/>
          <w:b/>
          <w:bCs/>
          <w:color w:val="auto"/>
          <w:sz w:val="21"/>
          <w:szCs w:val="21"/>
          <w:highlight w:val="none"/>
          <w:lang w:val="en-US"/>
        </w:rPr>
        <w:t>4.3.3.3数据资源需求</w:t>
      </w:r>
      <w:bookmarkEnd w:id="19"/>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建设需要应用大量数据资源，数据主要管理单位涉及江北区大数据管理部门，数据来源涉及本地数据和服务数据两种方式，打通市、区、街道、社区四级数据通道，重点加强人口、房屋、社区资源和空间地理等基础数据以及各部门业务数据的整合共享。为更合理预估系统运行期间涉及到的数据资源，将信息按照基础数据、空间数据、应用场景数据、物联网上报数据、其他信息进行分类，并在估算时考虑结构化和非结构化存储方式。</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0" w:name="_Toc31251"/>
      <w:r>
        <w:rPr>
          <w:rFonts w:hint="eastAsia" w:ascii="宋体" w:hAnsi="宋体" w:eastAsia="宋体" w:cs="宋体"/>
          <w:b/>
          <w:bCs/>
          <w:color w:val="auto"/>
          <w:sz w:val="21"/>
          <w:szCs w:val="21"/>
          <w:highlight w:val="none"/>
          <w:lang w:val="en-US"/>
        </w:rPr>
        <w:t>4.3.3.4基础设施支撑需求</w:t>
      </w:r>
      <w:bookmarkEnd w:id="20"/>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依托宁波市智能公共数据平台的基础设施资源，如计算资源、数据库资源、存储资源、网络资源以及安全资源，来实现未来社区可视化应用、管理系统和服务系统等的部署。</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1" w:name="_Toc6990"/>
      <w:r>
        <w:rPr>
          <w:rFonts w:hint="eastAsia" w:ascii="宋体" w:hAnsi="宋体" w:eastAsia="宋体" w:cs="宋体"/>
          <w:b/>
          <w:bCs/>
          <w:color w:val="auto"/>
          <w:sz w:val="21"/>
          <w:szCs w:val="21"/>
          <w:highlight w:val="none"/>
          <w:lang w:val="en-US"/>
        </w:rPr>
        <w:t>4.4系统性能需求</w:t>
      </w:r>
      <w:bookmarkEnd w:id="21"/>
      <w:r>
        <w:rPr>
          <w:rFonts w:hint="eastAsia" w:ascii="宋体" w:hAnsi="宋体" w:eastAsia="宋体" w:cs="宋体"/>
          <w:b/>
          <w:bCs/>
          <w:color w:val="auto"/>
          <w:sz w:val="21"/>
          <w:szCs w:val="21"/>
          <w:highlight w:val="none"/>
          <w:lang w:val="en-US"/>
        </w:rPr>
        <w:t>分析</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设计合理、架构科学，具有一定的技术先进性、具有较高的适应性和灵活性。在符合技术要求的前提下，系统开发、引入的技术构件等采用目前主流产品和成熟的技术，综合利用水平上具有先进性，从而保证建成系统具有良好的稳定性、可扩展性和安全性。应用系统的性能应满足业务处理流程的要求，稳定、可靠、实用，人机界面友好，输入输出便捷，查询功能简单明了。提供丰富的功能和业务组件，保证灵活扩展，相关组件相互调用简单易用。系统采用WEB Service的形式提供数据服务，遵循OGC规范的WMS/WFS标准。系统运维管理操作简便，平台监控时效性高，对低质量服务和恶意访问及时提示管理员，并能有效、方便地进行控制和管理。</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2" w:name="_Toc10456"/>
      <w:bookmarkStart w:id="23" w:name="_Toc26307100"/>
      <w:bookmarkStart w:id="24" w:name="_Toc66898225"/>
      <w:bookmarkStart w:id="25" w:name="_Toc27175800"/>
      <w:r>
        <w:rPr>
          <w:rFonts w:hint="eastAsia" w:ascii="宋体" w:hAnsi="宋体" w:eastAsia="宋体" w:cs="宋体"/>
          <w:b/>
          <w:bCs/>
          <w:color w:val="auto"/>
          <w:sz w:val="21"/>
          <w:szCs w:val="21"/>
          <w:highlight w:val="none"/>
          <w:lang w:val="en-US"/>
        </w:rPr>
        <w:t>4.4.1并发用户数要求</w:t>
      </w:r>
      <w:bookmarkEnd w:id="22"/>
      <w:bookmarkEnd w:id="23"/>
      <w:bookmarkEnd w:id="24"/>
      <w:bookmarkEnd w:id="25"/>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本项目中的大部分业务系统面向社区居民、社区工作者使用，预估移动端使用用户数为3500人，最高并发访问量为100；后台管理系统使用人数为100人，最高并发量20。</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6" w:name="_Toc30066"/>
      <w:r>
        <w:rPr>
          <w:rFonts w:hint="eastAsia" w:ascii="宋体" w:hAnsi="宋体" w:eastAsia="宋体" w:cs="宋体"/>
          <w:b/>
          <w:bCs/>
          <w:color w:val="auto"/>
          <w:sz w:val="21"/>
          <w:szCs w:val="21"/>
          <w:highlight w:val="none"/>
          <w:lang w:val="en-US"/>
        </w:rPr>
        <w:t>4.4.2响应时间要求</w:t>
      </w:r>
      <w:bookmarkEnd w:id="26"/>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要求系统平均响应时间（ART） ≤5秒；</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要求系统一般最大响应时间（MRT）≤5秒；</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要求离线业务统计分析最大响应时间（MRT）≤2小时；</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要求系统在地图放大，缩小，平移等操作时，无明显延迟感，响应时间≤3秒。</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7" w:name="_Toc5422"/>
      <w:r>
        <w:rPr>
          <w:rFonts w:hint="eastAsia" w:ascii="宋体" w:hAnsi="宋体" w:eastAsia="宋体" w:cs="宋体"/>
          <w:b/>
          <w:bCs/>
          <w:color w:val="auto"/>
          <w:sz w:val="21"/>
          <w:szCs w:val="21"/>
          <w:highlight w:val="none"/>
          <w:lang w:val="en-US"/>
        </w:rPr>
        <w:t>4.4.3系统资源利用率</w:t>
      </w:r>
      <w:bookmarkEnd w:id="27"/>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要求系统可对常见系统资源进行监控，包括：CPU占用率、内存使用率、磁盘I/O、网络I/O；</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要求依据资源利用率情况及时进行预警或自动切换负载；</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系统设计应满足未来5年内年增长20%的处理能力要求；</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应用系统并发数设计应该支持30%的冗余，保证系统在业务高峰期间稳定运行；</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服务器忙时CPU占用率＜70%。</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8" w:name="_Toc13774"/>
      <w:r>
        <w:rPr>
          <w:rFonts w:hint="eastAsia" w:ascii="宋体" w:hAnsi="宋体" w:eastAsia="宋体" w:cs="宋体"/>
          <w:b/>
          <w:bCs/>
          <w:color w:val="auto"/>
          <w:sz w:val="21"/>
          <w:szCs w:val="21"/>
          <w:highlight w:val="none"/>
          <w:lang w:val="en-US"/>
        </w:rPr>
        <w:t>4.4.4系统容错性要求</w:t>
      </w:r>
      <w:bookmarkEnd w:id="28"/>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核心应用要求多活，避免单点设计，自身有容错和修复能力；</w:t>
      </w:r>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平台须具备数据冗余机制，数据存储的副本数可以设置，读写分离，冷热数据分离；应用出现问题时，要求能回滚到上一版本，或做功能开关或降级；确保系统的保密性能完整性，要求具有足够的防攻击能力。</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29" w:name="_Toc25380"/>
      <w:r>
        <w:rPr>
          <w:rFonts w:hint="eastAsia" w:ascii="宋体" w:hAnsi="宋体" w:eastAsia="宋体" w:cs="宋体"/>
          <w:b/>
          <w:bCs/>
          <w:color w:val="auto"/>
          <w:sz w:val="21"/>
          <w:szCs w:val="21"/>
          <w:highlight w:val="none"/>
          <w:lang w:val="en-US"/>
        </w:rPr>
        <w:t>4.4.5国产化支持要求</w:t>
      </w:r>
      <w:bookmarkEnd w:id="29"/>
    </w:p>
    <w:p>
      <w:pPr>
        <w:pStyle w:val="92"/>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系统应支持国产与非国产设备兼容访问。所有定制化的软件系统，均要求兼容用户端的国产化终端环境（如服务器、数据库、中间件、操作系统等），可使用国产化终端办公终端正常运行系统。</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30" w:name="_Toc16757"/>
      <w:r>
        <w:rPr>
          <w:rFonts w:hint="eastAsia" w:ascii="宋体" w:hAnsi="宋体" w:eastAsia="宋体" w:cs="宋体"/>
          <w:b/>
          <w:bCs/>
          <w:color w:val="auto"/>
          <w:sz w:val="21"/>
          <w:szCs w:val="21"/>
          <w:highlight w:val="none"/>
          <w:lang w:val="en-US"/>
        </w:rPr>
        <w:t>4.5安全需求分析</w:t>
      </w:r>
      <w:bookmarkEnd w:id="30"/>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国家信息安全等级保护要求，结合宁波数字化建设总体部署，加快未来社区智慧服务平台网络与信息安全基础设施建设，建立完善网络安全保障机制，提高社区信息基础设施、数据资源、系统平台的安全保障能力。一是建立健全网络安全防护制度，在遵循国家、浙江省、宁波市安全策略和管控要求的基础上，制定未来社区智慧服务平台网络信息安全保护政策及实施办法，明确各级各部门责任主体，确保各项制度全面落实。二是加强网络安全技术防护，基于现有网络安全技术体系架构，构建“云网端”一体化安全防护技术体系，加强边界防护、远程访问权限管理，防范外部攻击和渗透，实施账号密码管理、数字身份认证、数据存储加密、容灾备份、流量监控等安全策略，防止数据外泄。三是提升网络安全态势感知和应急处置能力，强化安全分析早期预警、安全事件及时感知、渗透攻击有效阻断、事中事后完整追溯的四位一体网络安全防护体系，加强网络信息安全实时监测、防护评测、应急演练，提升基层信息安全预警、响应和处理能力。</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建设需满足信息安全等级保护2.0二级或以上要求（具体以专家定级为准）。其中，安全物理环境、安全通信环境、安全区域边界、安全技术计算环境、安全管理中心主要依托市电子政务网、市电子政务云平台进行建设，应用层面做好访问控制、身份鉴别、恶意代码防范、入侵防范、安全审计、数据保密、数据安全及备份恢复等方面建设。</w:t>
      </w:r>
    </w:p>
    <w:p>
      <w:pPr>
        <w:keepNext w:val="0"/>
        <w:keepLines w:val="0"/>
        <w:pageBreakBefore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val="en-US"/>
        </w:rPr>
      </w:pPr>
      <w:bookmarkStart w:id="31" w:name="_Toc30647"/>
      <w:r>
        <w:rPr>
          <w:rFonts w:hint="eastAsia" w:ascii="宋体" w:hAnsi="宋体" w:eastAsia="宋体" w:cs="宋体"/>
          <w:b/>
          <w:bCs/>
          <w:color w:val="auto"/>
          <w:sz w:val="21"/>
          <w:szCs w:val="21"/>
          <w:highlight w:val="none"/>
          <w:lang w:val="en-US"/>
        </w:rPr>
        <w:t>4.5.1部署安全需求</w:t>
      </w:r>
      <w:bookmarkEnd w:id="31"/>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本项目分业务应用系统（面向政府部门）和服务端应用（面向社会公众），分别部署在市政务云的政务外网资源共享区和公众服务区上，两个部分的应用程序、配置文件和数据库需分别部署，不能共用。</w:t>
      </w:r>
    </w:p>
    <w:p>
      <w:pPr>
        <w:spacing w:line="360" w:lineRule="auto"/>
        <w:jc w:val="center"/>
        <w:rPr>
          <w:color w:val="auto"/>
          <w:highlight w:val="none"/>
        </w:rPr>
      </w:pPr>
      <w:r>
        <w:rPr>
          <w:color w:val="auto"/>
          <w:highlight w:val="none"/>
        </w:rPr>
        <w:drawing>
          <wp:inline distT="0" distB="0" distL="114300" distR="114300">
            <wp:extent cx="4487545" cy="3393440"/>
            <wp:effectExtent l="0" t="0" r="8255" b="1651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2"/>
                    <a:stretch>
                      <a:fillRect/>
                    </a:stretch>
                  </pic:blipFill>
                  <pic:spPr>
                    <a:xfrm>
                      <a:off x="0" y="0"/>
                      <a:ext cx="4487545" cy="3393440"/>
                    </a:xfrm>
                    <a:prstGeom prst="rect">
                      <a:avLst/>
                    </a:prstGeom>
                    <a:noFill/>
                    <a:ln>
                      <a:noFill/>
                    </a:ln>
                  </pic:spPr>
                </pic:pic>
              </a:graphicData>
            </a:graphic>
          </wp:inline>
        </w:drawing>
      </w:r>
    </w:p>
    <w:p>
      <w:pPr>
        <w:spacing w:line="360" w:lineRule="auto"/>
        <w:jc w:val="center"/>
        <w:rPr>
          <w:rFonts w:hint="eastAsia"/>
          <w:color w:val="auto"/>
          <w:highlight w:val="none"/>
        </w:rPr>
      </w:pPr>
      <w:r>
        <w:rPr>
          <w:rFonts w:hint="eastAsia"/>
          <w:color w:val="auto"/>
          <w:highlight w:val="none"/>
        </w:rPr>
        <w:t>图4</w:t>
      </w:r>
      <w:r>
        <w:rPr>
          <w:color w:val="auto"/>
          <w:highlight w:val="none"/>
        </w:rPr>
        <w:t xml:space="preserve">.5 </w:t>
      </w:r>
      <w:r>
        <w:rPr>
          <w:rFonts w:hint="eastAsia"/>
          <w:color w:val="auto"/>
          <w:highlight w:val="none"/>
        </w:rPr>
        <w:t>网络拓扑图</w:t>
      </w:r>
    </w:p>
    <w:p>
      <w:pPr>
        <w:keepNext w:val="0"/>
        <w:keepLines w:val="0"/>
        <w:pageBreakBefore w:val="0"/>
        <w:kinsoku/>
        <w:wordWrap/>
        <w:overflowPunct/>
        <w:topLinePunct w:val="0"/>
        <w:bidi w:val="0"/>
        <w:adjustRightInd/>
        <w:snapToGrid/>
        <w:spacing w:line="360" w:lineRule="auto"/>
        <w:ind w:firstLine="422" w:firstLineChars="200"/>
        <w:jc w:val="both"/>
        <w:textAlignment w:val="auto"/>
        <w:rPr>
          <w:b/>
          <w:bCs/>
          <w:color w:val="auto"/>
          <w:sz w:val="21"/>
          <w:szCs w:val="21"/>
          <w:highlight w:val="none"/>
          <w:lang w:val="en-US"/>
        </w:rPr>
      </w:pPr>
      <w:bookmarkStart w:id="32" w:name="_Toc5310"/>
      <w:r>
        <w:rPr>
          <w:rFonts w:hint="eastAsia"/>
          <w:b/>
          <w:bCs/>
          <w:color w:val="auto"/>
          <w:sz w:val="21"/>
          <w:szCs w:val="21"/>
          <w:highlight w:val="none"/>
          <w:lang w:val="en-US"/>
        </w:rPr>
        <w:t>4.5.2</w:t>
      </w:r>
      <w:r>
        <w:rPr>
          <w:b/>
          <w:bCs/>
          <w:color w:val="auto"/>
          <w:sz w:val="21"/>
          <w:szCs w:val="21"/>
          <w:highlight w:val="none"/>
          <w:lang w:val="en-US"/>
        </w:rPr>
        <w:t>应用安全需求</w:t>
      </w:r>
      <w:bookmarkEnd w:id="32"/>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通过专业的应用安全团队对业务系统应用进行漏洞扫描检测、上线安全测评、人工渗透测试。应对各业务进行统一防护。通过使用黑白名单的方式，对学习模式获取的变量长度、类型、规则进行定义，从而输出匹配规则进行防护。安全策略由安全专家根据日常的安全防护日志记录进行不断更新调优。在遭受新型攻击时，安全专家保证防护策略可优先代码修复，实现0day的防护能力。通过制定不同的安全标准，实现整体应用安全管理：</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应用安全管控标准：定义应用安全的过程文档、开发环境、代码安全、需求分析、安全设计、数据安全设计、安全检测、安全发布进行完整的要求说明。</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应用安全管理规范：主要规定应用上线应进行安全检测和审批，对审批的流程和角色进行定义。在产品进行功能需求、架构设计时，需进行安全评审，规范应用系统变更、维护的原则，对敏感系统隔离进行说明。</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配置变更安全管理：应用配置变更的安全管理，负责对版本变更、应用的文件数据变更、开发需求变更等进行详细的变更流程设计，加入安全审计。</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源代码安全管理：使得源代码的安全使用可跟踪。</w:t>
      </w:r>
    </w:p>
    <w:p>
      <w:pPr>
        <w:keepNext w:val="0"/>
        <w:keepLines w:val="0"/>
        <w:pageBreakBefore w:val="0"/>
        <w:kinsoku/>
        <w:wordWrap/>
        <w:overflowPunct/>
        <w:topLinePunct w:val="0"/>
        <w:bidi w:val="0"/>
        <w:adjustRightInd/>
        <w:snapToGrid/>
        <w:spacing w:line="360" w:lineRule="auto"/>
        <w:ind w:firstLine="422" w:firstLineChars="200"/>
        <w:jc w:val="both"/>
        <w:textAlignment w:val="auto"/>
        <w:rPr>
          <w:b/>
          <w:bCs/>
          <w:color w:val="auto"/>
          <w:sz w:val="21"/>
          <w:szCs w:val="21"/>
          <w:highlight w:val="none"/>
          <w:lang w:val="en-US"/>
        </w:rPr>
      </w:pPr>
      <w:bookmarkStart w:id="33" w:name="_Toc9201"/>
      <w:r>
        <w:rPr>
          <w:rFonts w:hint="eastAsia"/>
          <w:b/>
          <w:bCs/>
          <w:color w:val="auto"/>
          <w:sz w:val="21"/>
          <w:szCs w:val="21"/>
          <w:highlight w:val="none"/>
          <w:lang w:val="en-US"/>
        </w:rPr>
        <w:t>4.5.3</w:t>
      </w:r>
      <w:r>
        <w:rPr>
          <w:b/>
          <w:bCs/>
          <w:color w:val="auto"/>
          <w:sz w:val="21"/>
          <w:szCs w:val="21"/>
          <w:highlight w:val="none"/>
          <w:lang w:val="en-US"/>
        </w:rPr>
        <w:t>应用访问安全</w:t>
      </w:r>
      <w:bookmarkEnd w:id="33"/>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设置登录次数限制，对登录用户进行标识，只允许同一时间同一来源只有该用户登录；</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设置严格的密码管理和访问策略；</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设置认证失败处理和超时退出措施；</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重要应用系统需要设置双因子认证，对同一用户采用两种或两种以上组合的鉴别技术实现用户身份鉴别；</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依据安全策略控制用户对客体的访问；</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提供登录失败处理，可采取结束会话、限制非法登录次数和自动退出等措施；</w:t>
      </w:r>
    </w:p>
    <w:p>
      <w:pPr>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启用身份鉴别、用户身份标识唯一性检查、用户身份鉴别信息复杂度检查以及登录失败处理，并根据安全策略配置相关参数。</w:t>
      </w:r>
    </w:p>
    <w:p>
      <w:pPr>
        <w:keepNext w:val="0"/>
        <w:keepLines w:val="0"/>
        <w:pageBreakBefore w:val="0"/>
        <w:kinsoku/>
        <w:wordWrap/>
        <w:overflowPunct/>
        <w:topLinePunct w:val="0"/>
        <w:bidi w:val="0"/>
        <w:adjustRightInd/>
        <w:snapToGrid/>
        <w:spacing w:line="360" w:lineRule="auto"/>
        <w:ind w:firstLine="422" w:firstLineChars="200"/>
        <w:jc w:val="both"/>
        <w:textAlignment w:val="auto"/>
        <w:rPr>
          <w:b/>
          <w:bCs/>
          <w:color w:val="auto"/>
          <w:sz w:val="21"/>
          <w:szCs w:val="21"/>
          <w:highlight w:val="none"/>
          <w:lang w:val="en-US"/>
        </w:rPr>
      </w:pPr>
      <w:bookmarkStart w:id="34" w:name="_Toc4722"/>
      <w:r>
        <w:rPr>
          <w:rFonts w:hint="eastAsia"/>
          <w:b/>
          <w:bCs/>
          <w:color w:val="auto"/>
          <w:sz w:val="21"/>
          <w:szCs w:val="21"/>
          <w:highlight w:val="none"/>
          <w:lang w:val="en-US"/>
        </w:rPr>
        <w:t>4.5.4</w:t>
      </w:r>
      <w:r>
        <w:rPr>
          <w:b/>
          <w:bCs/>
          <w:color w:val="auto"/>
          <w:sz w:val="21"/>
          <w:szCs w:val="21"/>
          <w:highlight w:val="none"/>
          <w:lang w:val="en-US"/>
        </w:rPr>
        <w:t>数据安全需求</w:t>
      </w:r>
      <w:bookmarkEnd w:id="34"/>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数据是应用系统的基础，要从授权管理、数据加密、数据脱敏、使用留痕等方面加强数据安全。</w:t>
      </w:r>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 xml:space="preserve">授权管理。信用信息按照社会公开、政务共享、授权使用三大类进行管理，每一类还需对每个指标集设置更细的权限，如是否可以列表显示、是否可以查询。 </w:t>
      </w:r>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数据加密。部署在互联网区域的数据库原则上要求加密，至少要对信用主体标识信息及有关自然人信用信息进行加密。有条件的市也可对政务网上的数据库进行加密。</w:t>
      </w:r>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数据“脱敏”。在对外公示时，身份证号码、电话号码等敏感数据需进行“脱敏”处理，如将部分字符以*号代替。</w:t>
      </w:r>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使用留痕。各部门对信用信息的使用都需要记录，包括申请使用权限、查询数据、交换数据、通过接口使用数据、下载数据，记录的数据项包括登录名、部门名、时间、IP地址</w:t>
      </w:r>
      <w:r>
        <w:rPr>
          <w:rFonts w:hint="eastAsia"/>
          <w:color w:val="auto"/>
          <w:sz w:val="21"/>
          <w:szCs w:val="21"/>
          <w:highlight w:val="none"/>
        </w:rPr>
        <w:t>、I</w:t>
      </w:r>
      <w:r>
        <w:rPr>
          <w:color w:val="auto"/>
          <w:sz w:val="21"/>
          <w:szCs w:val="21"/>
          <w:highlight w:val="none"/>
        </w:rPr>
        <w:t>P</w:t>
      </w:r>
      <w:r>
        <w:rPr>
          <w:rFonts w:hint="eastAsia"/>
          <w:color w:val="auto"/>
          <w:sz w:val="21"/>
          <w:szCs w:val="21"/>
          <w:highlight w:val="none"/>
        </w:rPr>
        <w:t>地址归属等</w:t>
      </w:r>
      <w:r>
        <w:rPr>
          <w:color w:val="auto"/>
          <w:sz w:val="21"/>
          <w:szCs w:val="21"/>
          <w:highlight w:val="none"/>
        </w:rPr>
        <w:t>。对于网站上的信用信息查询，也需记录查询者的IP</w:t>
      </w:r>
      <w:r>
        <w:rPr>
          <w:rFonts w:hint="eastAsia"/>
          <w:color w:val="auto"/>
          <w:sz w:val="21"/>
          <w:szCs w:val="21"/>
          <w:highlight w:val="none"/>
        </w:rPr>
        <w:t>、I</w:t>
      </w:r>
      <w:r>
        <w:rPr>
          <w:color w:val="auto"/>
          <w:sz w:val="21"/>
          <w:szCs w:val="21"/>
          <w:highlight w:val="none"/>
        </w:rPr>
        <w:t>P</w:t>
      </w:r>
      <w:r>
        <w:rPr>
          <w:rFonts w:hint="eastAsia"/>
          <w:color w:val="auto"/>
          <w:sz w:val="21"/>
          <w:szCs w:val="21"/>
          <w:highlight w:val="none"/>
        </w:rPr>
        <w:t>地址归属</w:t>
      </w:r>
      <w:r>
        <w:rPr>
          <w:color w:val="auto"/>
          <w:sz w:val="21"/>
          <w:szCs w:val="21"/>
          <w:highlight w:val="none"/>
        </w:rPr>
        <w:t>和时间。</w:t>
      </w:r>
    </w:p>
    <w:p>
      <w:pPr>
        <w:keepNext w:val="0"/>
        <w:keepLines w:val="0"/>
        <w:pageBreakBefore w:val="0"/>
        <w:kinsoku/>
        <w:wordWrap/>
        <w:overflowPunct/>
        <w:topLinePunct w:val="0"/>
        <w:bidi w:val="0"/>
        <w:adjustRightInd/>
        <w:snapToGrid/>
        <w:spacing w:line="360" w:lineRule="auto"/>
        <w:ind w:firstLine="422" w:firstLineChars="200"/>
        <w:jc w:val="both"/>
        <w:textAlignment w:val="auto"/>
        <w:rPr>
          <w:b/>
          <w:bCs/>
          <w:color w:val="auto"/>
          <w:sz w:val="21"/>
          <w:szCs w:val="21"/>
          <w:highlight w:val="none"/>
          <w:lang w:val="en-US"/>
        </w:rPr>
      </w:pPr>
      <w:bookmarkStart w:id="35" w:name="_Toc17870"/>
      <w:r>
        <w:rPr>
          <w:rFonts w:hint="eastAsia"/>
          <w:b/>
          <w:bCs/>
          <w:color w:val="auto"/>
          <w:sz w:val="21"/>
          <w:szCs w:val="21"/>
          <w:highlight w:val="none"/>
          <w:lang w:val="en-US"/>
        </w:rPr>
        <w:t>4.4.5</w:t>
      </w:r>
      <w:r>
        <w:rPr>
          <w:b/>
          <w:bCs/>
          <w:color w:val="auto"/>
          <w:sz w:val="21"/>
          <w:szCs w:val="21"/>
          <w:highlight w:val="none"/>
          <w:lang w:val="en-US"/>
        </w:rPr>
        <w:t>信息安全等级保护需求</w:t>
      </w:r>
      <w:bookmarkEnd w:id="35"/>
    </w:p>
    <w:p>
      <w:pPr>
        <w:pStyle w:val="296"/>
        <w:keepNext w:val="0"/>
        <w:keepLines w:val="0"/>
        <w:pageBreakBefore w:val="0"/>
        <w:kinsoku/>
        <w:wordWrap/>
        <w:overflowPunct/>
        <w:topLinePunct w:val="0"/>
        <w:bidi w:val="0"/>
        <w:adjustRightInd/>
        <w:snapToGrid/>
        <w:spacing w:line="360" w:lineRule="auto"/>
        <w:ind w:firstLine="420" w:firstLineChars="200"/>
        <w:jc w:val="both"/>
        <w:textAlignment w:val="auto"/>
        <w:rPr>
          <w:color w:val="auto"/>
          <w:sz w:val="21"/>
          <w:szCs w:val="21"/>
          <w:highlight w:val="none"/>
        </w:rPr>
      </w:pPr>
      <w:r>
        <w:rPr>
          <w:color w:val="auto"/>
          <w:sz w:val="21"/>
          <w:szCs w:val="21"/>
          <w:highlight w:val="none"/>
        </w:rPr>
        <w:t>坚持“属地管理，谁主管谁负责”的原则，落实各方的安全责任，依照国家网络安全相关法律法规，健全网络安全保障 体系，构建云、边、端三位一体的安全防护能力。平台应具有高度的安全性，从网络传输安全、操作系统安全、数据存储安 全、应用接入安全等多个维度全方位保障平台的安全性;数据 安全要求存储于政务云的数据需实现与外界的隔离保护;对例 如身份证等敏感信息做加密与脱敏存储;通过动态签名机制、 操作系统安全加固、数据库系统安全加固、非对称加密技术、 接入鉴权等来保障系统安全设计的落地实现，并配以规范合理 的安全管理组织架构与运维规则，实现平台安全的全面可控。</w:t>
      </w:r>
    </w:p>
    <w:p>
      <w:pPr>
        <w:spacing w:line="360" w:lineRule="auto"/>
        <w:jc w:val="center"/>
        <w:rPr>
          <w:color w:val="auto"/>
          <w:highlight w:val="none"/>
        </w:rPr>
      </w:pPr>
      <w:r>
        <w:rPr>
          <w:color w:val="auto"/>
          <w:highlight w:val="none"/>
        </w:rPr>
        <w:drawing>
          <wp:inline distT="0" distB="0" distL="114300" distR="114300">
            <wp:extent cx="4366260" cy="2516505"/>
            <wp:effectExtent l="0" t="0" r="15240" b="1714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3"/>
                    <a:stretch>
                      <a:fillRect/>
                    </a:stretch>
                  </pic:blipFill>
                  <pic:spPr>
                    <a:xfrm>
                      <a:off x="0" y="0"/>
                      <a:ext cx="4366260" cy="2516505"/>
                    </a:xfrm>
                    <a:prstGeom prst="rect">
                      <a:avLst/>
                    </a:prstGeom>
                    <a:noFill/>
                    <a:ln>
                      <a:noFill/>
                    </a:ln>
                  </pic:spPr>
                </pic:pic>
              </a:graphicData>
            </a:graphic>
          </wp:inline>
        </w:drawing>
      </w:r>
    </w:p>
    <w:p>
      <w:pPr>
        <w:pStyle w:val="296"/>
        <w:spacing w:line="360" w:lineRule="auto"/>
        <w:ind w:firstLine="420" w:firstLineChars="200"/>
        <w:jc w:val="center"/>
        <w:rPr>
          <w:rFonts w:hint="eastAsia"/>
          <w:color w:val="auto"/>
          <w:highlight w:val="none"/>
        </w:rPr>
      </w:pPr>
      <w:r>
        <w:rPr>
          <w:rFonts w:hint="eastAsia"/>
          <w:color w:val="auto"/>
          <w:highlight w:val="none"/>
        </w:rPr>
        <w:t>图4</w:t>
      </w:r>
      <w:r>
        <w:rPr>
          <w:color w:val="auto"/>
          <w:highlight w:val="none"/>
        </w:rPr>
        <w:t>.4.5 信息安全等级保护需求</w:t>
      </w:r>
    </w:p>
    <w:p>
      <w:pPr>
        <w:pStyle w:val="296"/>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rPr>
      </w:pPr>
      <w:r>
        <w:rPr>
          <w:rFonts w:hint="eastAsia"/>
          <w:b/>
          <w:bCs/>
          <w:color w:val="auto"/>
          <w:sz w:val="21"/>
          <w:szCs w:val="21"/>
          <w:highlight w:val="none"/>
        </w:rPr>
        <w:t>▲本项目</w:t>
      </w:r>
      <w:r>
        <w:rPr>
          <w:b/>
          <w:bCs/>
          <w:color w:val="auto"/>
          <w:sz w:val="21"/>
          <w:szCs w:val="21"/>
          <w:highlight w:val="none"/>
        </w:rPr>
        <w:t>涉及大量公民个人信息以及为公民提供公共服务的大数据平台/系统，</w:t>
      </w:r>
      <w:r>
        <w:rPr>
          <w:rFonts w:hint="eastAsia"/>
          <w:b/>
          <w:bCs/>
          <w:color w:val="auto"/>
          <w:sz w:val="21"/>
          <w:szCs w:val="21"/>
          <w:highlight w:val="none"/>
        </w:rPr>
        <w:t>需</w:t>
      </w:r>
      <w:r>
        <w:rPr>
          <w:b/>
          <w:bCs/>
          <w:color w:val="auto"/>
          <w:sz w:val="21"/>
          <w:szCs w:val="21"/>
          <w:highlight w:val="none"/>
        </w:rPr>
        <w:t>执行《信息安全技术网络安全等级保护定级指南》规定</w:t>
      </w:r>
      <w:r>
        <w:rPr>
          <w:rFonts w:hint="eastAsia"/>
          <w:b/>
          <w:bCs/>
          <w:color w:val="auto"/>
          <w:sz w:val="21"/>
          <w:szCs w:val="21"/>
          <w:highlight w:val="none"/>
        </w:rPr>
        <w:t>，</w:t>
      </w:r>
      <w:r>
        <w:rPr>
          <w:b/>
          <w:bCs/>
          <w:color w:val="auto"/>
          <w:sz w:val="21"/>
          <w:szCs w:val="21"/>
          <w:highlight w:val="none"/>
        </w:rPr>
        <w:t>原则上</w:t>
      </w:r>
      <w:r>
        <w:rPr>
          <w:color w:val="auto"/>
          <w:sz w:val="21"/>
          <w:szCs w:val="21"/>
          <w:highlight w:val="none"/>
        </w:rPr>
        <w:t>满足信息安全等级保护</w:t>
      </w:r>
      <w:r>
        <w:rPr>
          <w:rFonts w:hint="eastAsia"/>
          <w:color w:val="auto"/>
          <w:sz w:val="21"/>
          <w:szCs w:val="21"/>
          <w:highlight w:val="none"/>
        </w:rPr>
        <w:t>二</w:t>
      </w:r>
      <w:r>
        <w:rPr>
          <w:color w:val="auto"/>
          <w:sz w:val="21"/>
          <w:szCs w:val="21"/>
          <w:highlight w:val="none"/>
        </w:rPr>
        <w:t>级</w:t>
      </w:r>
      <w:r>
        <w:rPr>
          <w:rFonts w:hint="eastAsia"/>
          <w:color w:val="auto"/>
          <w:sz w:val="21"/>
          <w:szCs w:val="21"/>
          <w:highlight w:val="none"/>
        </w:rPr>
        <w:t>或以上</w:t>
      </w:r>
      <w:r>
        <w:rPr>
          <w:color w:val="auto"/>
          <w:sz w:val="21"/>
          <w:szCs w:val="21"/>
          <w:highlight w:val="none"/>
        </w:rPr>
        <w:t>要求</w:t>
      </w:r>
      <w:r>
        <w:rPr>
          <w:rFonts w:hint="eastAsia"/>
          <w:b/>
          <w:bCs/>
          <w:color w:val="auto"/>
          <w:sz w:val="21"/>
          <w:szCs w:val="21"/>
          <w:highlight w:val="none"/>
        </w:rPr>
        <w:t>（具体以验收要求为准）</w:t>
      </w:r>
      <w:r>
        <w:rPr>
          <w:b/>
          <w:bCs/>
          <w:color w:val="auto"/>
          <w:sz w:val="21"/>
          <w:szCs w:val="21"/>
          <w:highlight w:val="none"/>
        </w:rPr>
        <w:t>。</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lang w:val="en-US"/>
        </w:rPr>
      </w:pPr>
      <w:r>
        <w:rPr>
          <w:b/>
          <w:bCs/>
          <w:color w:val="auto"/>
          <w:sz w:val="21"/>
          <w:szCs w:val="21"/>
          <w:highlight w:val="none"/>
          <w:lang w:val="en-US"/>
        </w:rPr>
        <w:t>4.6</w:t>
      </w:r>
      <w:r>
        <w:rPr>
          <w:rFonts w:hint="eastAsia"/>
          <w:b/>
          <w:bCs/>
          <w:color w:val="auto"/>
          <w:sz w:val="21"/>
          <w:szCs w:val="21"/>
          <w:highlight w:val="none"/>
          <w:lang w:val="en-US"/>
        </w:rPr>
        <w:t>数字化服务需求分析</w:t>
      </w:r>
    </w:p>
    <w:p>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（1）服务期限要求：</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color w:val="auto"/>
          <w:sz w:val="21"/>
          <w:szCs w:val="21"/>
          <w:highlight w:val="none"/>
          <w:lang w:val="en-US"/>
        </w:rPr>
        <w:t>自签订合同之日起3个月内完成项目建设，试运行期3个月；</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color w:val="auto"/>
          <w:sz w:val="21"/>
          <w:szCs w:val="21"/>
          <w:highlight w:val="none"/>
          <w:lang w:val="en-US"/>
        </w:rPr>
        <w:t>运行维护期：自完成交付并经采购人验收通过之日起2年。</w:t>
      </w:r>
    </w:p>
    <w:p>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w:t>
      </w:r>
      <w:r>
        <w:rPr>
          <w:b/>
          <w:bCs/>
          <w:color w:val="auto"/>
          <w:sz w:val="21"/>
          <w:szCs w:val="21"/>
          <w:highlight w:val="none"/>
          <w:lang w:val="en-US"/>
        </w:rPr>
        <w:t>2</w:t>
      </w:r>
      <w:r>
        <w:rPr>
          <w:rFonts w:hint="eastAsia"/>
          <w:b/>
          <w:bCs/>
          <w:color w:val="auto"/>
          <w:sz w:val="21"/>
          <w:szCs w:val="21"/>
          <w:highlight w:val="none"/>
          <w:lang w:val="en-US"/>
        </w:rPr>
        <w:t>）服务内容要求：</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包括但不限于以下服务：</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需求调研</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平台系统架构设计</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软件开发</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软件测试</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color w:val="auto"/>
          <w:sz w:val="21"/>
          <w:szCs w:val="21"/>
          <w:highlight w:val="none"/>
          <w:lang w:val="en-US"/>
        </w:rPr>
        <w:t>区级平台对接</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未来社区台账资料</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rFonts w:hint="eastAsia"/>
          <w:color w:val="auto"/>
          <w:sz w:val="21"/>
          <w:szCs w:val="21"/>
          <w:highlight w:val="none"/>
          <w:lang w:val="en-US"/>
        </w:rPr>
      </w:pPr>
      <w:r>
        <w:rPr>
          <w:rFonts w:hint="eastAsia"/>
          <w:color w:val="auto"/>
          <w:sz w:val="21"/>
          <w:szCs w:val="21"/>
          <w:highlight w:val="none"/>
          <w:lang w:val="en-US"/>
        </w:rPr>
        <w:t>政务云资源、网络策略申请</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政务云服务器部署</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平台软件部署</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街道、社区、运营、物业等相关操作、管理、服务人员培训</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验收后两年内运维服务（包括但不限于每工作日平台运行情况巡检、记录、服务器资源使用情况巡检、数据备份、安全风险审查等，非工作日、节假日根据客户要求频次）</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平台</w:t>
      </w:r>
      <w:r>
        <w:rPr>
          <w:color w:val="auto"/>
          <w:sz w:val="21"/>
          <w:szCs w:val="21"/>
          <w:highlight w:val="none"/>
          <w:lang w:val="en-US"/>
        </w:rPr>
        <w:t>等保测评</w:t>
      </w:r>
      <w:r>
        <w:rPr>
          <w:rFonts w:hint="eastAsia"/>
          <w:color w:val="auto"/>
          <w:sz w:val="21"/>
          <w:szCs w:val="21"/>
          <w:highlight w:val="none"/>
          <w:lang w:val="en-US"/>
        </w:rPr>
        <w:t>（一次）</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color w:val="auto"/>
          <w:sz w:val="21"/>
          <w:szCs w:val="21"/>
          <w:highlight w:val="none"/>
          <w:lang w:val="en-US"/>
        </w:rPr>
      </w:pPr>
      <w:r>
        <w:rPr>
          <w:rFonts w:hint="eastAsia"/>
          <w:color w:val="auto"/>
          <w:sz w:val="21"/>
          <w:szCs w:val="21"/>
          <w:highlight w:val="none"/>
          <w:lang w:val="en-US"/>
        </w:rPr>
        <w:t>平台系统</w:t>
      </w:r>
      <w:r>
        <w:rPr>
          <w:color w:val="auto"/>
          <w:sz w:val="21"/>
          <w:szCs w:val="21"/>
          <w:highlight w:val="none"/>
          <w:lang w:val="en-US"/>
        </w:rPr>
        <w:t>安全加固</w:t>
      </w:r>
      <w:r>
        <w:rPr>
          <w:rFonts w:hint="eastAsia"/>
          <w:color w:val="auto"/>
          <w:sz w:val="21"/>
          <w:szCs w:val="21"/>
          <w:highlight w:val="none"/>
          <w:lang w:val="en-US"/>
        </w:rPr>
        <w:t>（每月不定期）</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firstLine="420" w:firstLineChars="200"/>
        <w:jc w:val="both"/>
        <w:textAlignment w:val="auto"/>
        <w:rPr>
          <w:rFonts w:hint="eastAsia"/>
          <w:color w:val="auto"/>
          <w:sz w:val="21"/>
          <w:szCs w:val="21"/>
          <w:highlight w:val="none"/>
          <w:lang w:val="en-US"/>
        </w:rPr>
      </w:pPr>
      <w:r>
        <w:rPr>
          <w:color w:val="auto"/>
          <w:sz w:val="21"/>
          <w:szCs w:val="21"/>
          <w:highlight w:val="none"/>
          <w:lang w:val="en-US"/>
        </w:rPr>
        <w:t>招标需求要求的</w:t>
      </w:r>
      <w:r>
        <w:rPr>
          <w:rFonts w:hint="eastAsia"/>
          <w:color w:val="auto"/>
          <w:sz w:val="21"/>
          <w:szCs w:val="21"/>
          <w:highlight w:val="none"/>
          <w:lang w:val="en-US"/>
        </w:rPr>
        <w:t>配套硬件相关服务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lang w:val="en-US"/>
        </w:rPr>
      </w:pPr>
      <w:bookmarkStart w:id="36" w:name="_Toc4666"/>
      <w:r>
        <w:rPr>
          <w:rFonts w:hint="eastAsia"/>
          <w:b/>
          <w:bCs/>
          <w:color w:val="auto"/>
          <w:sz w:val="21"/>
          <w:szCs w:val="21"/>
          <w:highlight w:val="none"/>
          <w:lang w:val="en-US"/>
        </w:rPr>
        <w:t>5.详细方案设计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5.1业务应用层设计</w:t>
      </w:r>
      <w:bookmarkEnd w:id="36"/>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rPr>
      </w:pPr>
      <w:bookmarkStart w:id="37" w:name="_Toc12099"/>
      <w:r>
        <w:rPr>
          <w:rFonts w:hint="eastAsia"/>
          <w:b/>
          <w:bCs/>
          <w:color w:val="auto"/>
          <w:sz w:val="21"/>
          <w:szCs w:val="21"/>
          <w:highlight w:val="none"/>
          <w:lang w:val="en-US"/>
        </w:rPr>
        <w:t>5.1.1</w:t>
      </w:r>
      <w:r>
        <w:rPr>
          <w:rFonts w:hint="eastAsia"/>
          <w:b/>
          <w:bCs/>
          <w:color w:val="auto"/>
          <w:sz w:val="21"/>
          <w:szCs w:val="21"/>
          <w:highlight w:val="none"/>
        </w:rPr>
        <w:t>未来社区服务应用系统</w:t>
      </w:r>
      <w:bookmarkEnd w:id="37"/>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rPr>
      </w:pPr>
      <w:r>
        <w:rPr>
          <w:b/>
          <w:bCs/>
          <w:color w:val="auto"/>
          <w:sz w:val="21"/>
          <w:szCs w:val="21"/>
          <w:highlight w:val="none"/>
          <w:lang w:val="en-US"/>
        </w:rPr>
        <w:t>5.1.1.</w:t>
      </w:r>
      <w:r>
        <w:rPr>
          <w:rFonts w:hint="eastAsia"/>
          <w:b/>
          <w:bCs/>
          <w:color w:val="auto"/>
          <w:sz w:val="21"/>
          <w:szCs w:val="21"/>
          <w:highlight w:val="none"/>
          <w:lang w:val="en-US"/>
        </w:rPr>
        <w:t>1</w:t>
      </w:r>
      <w:r>
        <w:rPr>
          <w:rFonts w:hint="eastAsia"/>
          <w:b/>
          <w:bCs/>
          <w:color w:val="auto"/>
          <w:sz w:val="21"/>
          <w:szCs w:val="21"/>
          <w:highlight w:val="none"/>
        </w:rPr>
        <w:t>系统概述</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color w:val="auto"/>
          <w:sz w:val="21"/>
          <w:szCs w:val="21"/>
          <w:highlight w:val="none"/>
        </w:rPr>
      </w:pPr>
      <w:r>
        <w:rPr>
          <w:rFonts w:hint="eastAsia"/>
          <w:color w:val="auto"/>
          <w:sz w:val="21"/>
          <w:szCs w:val="21"/>
          <w:highlight w:val="none"/>
        </w:rPr>
        <w:t>未来社区服务应用系统以移动端（浙里办、小程序）为载体，主要用户对象为社区居民，服务应用以未来社区九大场景为划分。在落实未来社区分项指标过程中，突出智慧互联，注重数字技术在社区建设运营中的应用，利用物联网、大数据、人工智能等先进技术赋能九大场景创新集成落地，打造数字孪生社区。通过线上的未来社区服务应用系统，叠加邻里中心和公共服务空间等线下设施，将旧改新建区域整合于一体，实现线上线下服务设施全社区普惠共享，构建较完备的社区生活圈。</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b/>
          <w:bCs/>
          <w:color w:val="auto"/>
          <w:sz w:val="21"/>
          <w:szCs w:val="21"/>
          <w:highlight w:val="none"/>
          <w:lang w:val="en-US"/>
        </w:rPr>
      </w:pPr>
      <w:r>
        <w:rPr>
          <w:b/>
          <w:bCs/>
          <w:color w:val="auto"/>
          <w:sz w:val="21"/>
          <w:szCs w:val="21"/>
          <w:highlight w:val="none"/>
          <w:lang w:val="en-US"/>
        </w:rPr>
        <w:t>5.1.1.</w:t>
      </w:r>
      <w:r>
        <w:rPr>
          <w:rFonts w:hint="eastAsia"/>
          <w:b/>
          <w:bCs/>
          <w:color w:val="auto"/>
          <w:sz w:val="21"/>
          <w:szCs w:val="21"/>
          <w:highlight w:val="none"/>
          <w:lang w:val="en-US"/>
        </w:rPr>
        <w:t>2功能架构</w:t>
      </w:r>
    </w:p>
    <w:p>
      <w:pPr>
        <w:pStyle w:val="92"/>
        <w:widowControl/>
        <w:tabs>
          <w:tab w:val="left" w:pos="851"/>
        </w:tabs>
        <w:spacing w:line="360" w:lineRule="auto"/>
        <w:ind w:firstLine="0" w:firstLineChars="0"/>
        <w:rPr>
          <w:color w:val="auto"/>
          <w:highlight w:val="none"/>
        </w:rPr>
      </w:pPr>
      <w:r>
        <w:rPr>
          <w:color w:val="auto"/>
          <w:highlight w:val="none"/>
        </w:rPr>
        <w:drawing>
          <wp:inline distT="0" distB="0" distL="114300" distR="114300">
            <wp:extent cx="6119495" cy="2900680"/>
            <wp:effectExtent l="0" t="0" r="14605" b="13970"/>
            <wp:docPr id="23" name="图片 21" descr="e232bce09c8a02cb9a62699b5fa5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e232bce09c8a02cb9a62699b5fa5d2d"/>
                    <pic:cNvPicPr>
                      <a:picLocks noChangeAspect="1"/>
                    </pic:cNvPicPr>
                  </pic:nvPicPr>
                  <pic:blipFill>
                    <a:blip r:embed="rId14"/>
                    <a:stretch>
                      <a:fillRect/>
                    </a:stretch>
                  </pic:blipFill>
                  <pic:spPr>
                    <a:xfrm>
                      <a:off x="0" y="0"/>
                      <a:ext cx="6119495" cy="2900680"/>
                    </a:xfrm>
                    <a:prstGeom prst="rect">
                      <a:avLst/>
                    </a:prstGeom>
                    <a:noFill/>
                    <a:ln>
                      <a:noFill/>
                    </a:ln>
                  </pic:spPr>
                </pic:pic>
              </a:graphicData>
            </a:graphic>
          </wp:inline>
        </w:drawing>
      </w:r>
    </w:p>
    <w:p>
      <w:pPr>
        <w:pStyle w:val="92"/>
        <w:widowControl/>
        <w:tabs>
          <w:tab w:val="left" w:pos="851"/>
        </w:tabs>
        <w:spacing w:line="360" w:lineRule="auto"/>
        <w:ind w:firstLine="440"/>
        <w:jc w:val="center"/>
        <w:rPr>
          <w:rFonts w:hint="eastAsia"/>
          <w:color w:val="auto"/>
          <w:highlight w:val="none"/>
        </w:rPr>
      </w:pPr>
      <w:r>
        <w:rPr>
          <w:rFonts w:hint="eastAsia"/>
          <w:color w:val="auto"/>
          <w:highlight w:val="none"/>
        </w:rPr>
        <w:t>图</w:t>
      </w:r>
      <w:r>
        <w:rPr>
          <w:color w:val="auto"/>
          <w:highlight w:val="none"/>
        </w:rPr>
        <w:t xml:space="preserve">5.1 </w:t>
      </w:r>
      <w:r>
        <w:rPr>
          <w:color w:val="auto"/>
          <w:sz w:val="21"/>
          <w:szCs w:val="21"/>
          <w:highlight w:val="none"/>
        </w:rPr>
        <w:t>来社区服务应用系统功能架构</w:t>
      </w:r>
      <w:r>
        <w:rPr>
          <w:rFonts w:hint="eastAsia"/>
          <w:color w:val="auto"/>
          <w:sz w:val="21"/>
          <w:szCs w:val="21"/>
          <w:highlight w:val="none"/>
        </w:rPr>
        <w:t>示意图</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5.1.1.3功能设计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rPr>
        <w:t>5.1.1.3.1</w:t>
      </w:r>
      <w:r>
        <w:rPr>
          <w:rFonts w:hint="eastAsia" w:ascii="宋体" w:hAnsi="宋体" w:eastAsia="宋体" w:cs="宋体"/>
          <w:b/>
          <w:bCs/>
          <w:color w:val="auto"/>
          <w:sz w:val="21"/>
          <w:szCs w:val="21"/>
          <w:highlight w:val="none"/>
        </w:rPr>
        <w:t>基本功能</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1.首页</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小程序首页集成顶部Banner栏、个人信息（积分、等级）、签到、党建引领、邻里活动/邻里公约、张阿姨工作室、洪塘周边游、积分商城、场馆预约、达人直播、热门活动、最新资讯这几大主要栏目。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2.活动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活动页面主要展示邻里活动中的活动内容，分为热门活动、志愿活动、幸福学堂、体育活动和时间银行等，不同活动可通过不同的标签分类。</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3.商城</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展示社区商城首页，包含商品分类、Banner、秒杀、社区拼团、二手闲置、我的订单、商城商品展示区等。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4.我的</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个人信息页面，包含个人昵称、姓名、个人头像、实名认证、房号或地址信息、个人积分值、我的订单、我报名的活动等。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5.1.1.3.2邻里场景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邻里场景应用，在小程序首页应用配置区。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1.积分商城</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积分商城首页，包含个人总积分、个人可用积分、积分明细、积分排行榜、我的订单、积分商城商品展示区、积分获取规则等。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2.邻里公约</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线上发布邻里公约信息，支持居民在小程序端进行公约的查看和签订，发挥居民的主人翁精神，自觉遵守公约，大家一起努力创建一个和谐文明的品质社区。</w:t>
      </w:r>
    </w:p>
    <w:p>
      <w:pPr>
        <w:keepNext w:val="0"/>
        <w:keepLines w:val="0"/>
        <w:pageBreakBefore w:val="0"/>
        <w:numPr>
          <w:ilvl w:val="0"/>
          <w:numId w:val="1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邻里公约展示：查看邻里公约条款明细</w:t>
      </w:r>
    </w:p>
    <w:p>
      <w:pPr>
        <w:keepNext w:val="0"/>
        <w:keepLines w:val="0"/>
        <w:pageBreakBefore w:val="0"/>
        <w:numPr>
          <w:ilvl w:val="0"/>
          <w:numId w:val="1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签约功能：支持在线手写签名落款，完成邻里公约签约动作。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3.邻里圈</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打造姚江社区的各类特色社群，将社区中有共同追求、共同理想、共同目标、共同兴趣的人汇集在一起，实现了人与人、人与物之间的连接。促进居民间邻里关系，提升社区档次。</w:t>
      </w:r>
    </w:p>
    <w:p>
      <w:pPr>
        <w:keepNext w:val="0"/>
        <w:keepLines w:val="0"/>
        <w:pageBreakBefore w:val="0"/>
        <w:numPr>
          <w:ilvl w:val="0"/>
          <w:numId w:val="1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社群展示：查看社群列表及社群详情，展示社群基本信息，包含社群负责人、社群参与人数、社群组织方、社群成立时间、社群历史活动集锦。</w:t>
      </w:r>
    </w:p>
    <w:p>
      <w:pPr>
        <w:keepNext w:val="0"/>
        <w:keepLines w:val="0"/>
        <w:pageBreakBefore w:val="0"/>
        <w:numPr>
          <w:ilvl w:val="0"/>
          <w:numId w:val="1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社群申请：根据居民喜好，可以自行选择社群提交申请加入。</w:t>
      </w:r>
    </w:p>
    <w:p>
      <w:pPr>
        <w:keepNext w:val="0"/>
        <w:keepLines w:val="0"/>
        <w:pageBreakBefore w:val="0"/>
        <w:numPr>
          <w:ilvl w:val="0"/>
          <w:numId w:val="1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社群审核：社群负责人可以对社群用户进行管理，支持通过申请、驳回申请、人员踢除操作；</w:t>
      </w:r>
    </w:p>
    <w:p>
      <w:pPr>
        <w:keepNext w:val="0"/>
        <w:keepLines w:val="0"/>
        <w:pageBreakBefore w:val="0"/>
        <w:numPr>
          <w:ilvl w:val="0"/>
          <w:numId w:val="1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社群活动：社区负责人可以发布社群活动，社区运营后台审核通过后，社区成员查看可以报名参加。</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4.社区超话</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社区运营后台发布超话内容，居民查看超话列表，点击可查看详情，详情内容可进度评论，居民互动探讨。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5.社区达人</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整合社区内有特长或有影响力的居民，申请成为社区达人后能够自行发起社区活动，增加社区活跃度促进增加邻里关系。</w:t>
      </w:r>
    </w:p>
    <w:p>
      <w:pPr>
        <w:keepNext w:val="0"/>
        <w:keepLines w:val="0"/>
        <w:pageBreakBefore w:val="0"/>
        <w:numPr>
          <w:ilvl w:val="0"/>
          <w:numId w:val="1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达人申请：居民通过小程序端进行达人信息的填报，提交申请后由后台工作人员审。</w:t>
      </w:r>
    </w:p>
    <w:p>
      <w:pPr>
        <w:keepNext w:val="0"/>
        <w:keepLines w:val="0"/>
        <w:pageBreakBefore w:val="0"/>
        <w:numPr>
          <w:ilvl w:val="0"/>
          <w:numId w:val="1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达人发起活动：已经成为达人的居民，可以在小程序发布活动信息，通过审核后社区内的其他居民可以报名参加。</w:t>
      </w:r>
    </w:p>
    <w:p>
      <w:pPr>
        <w:keepNext w:val="0"/>
        <w:keepLines w:val="0"/>
        <w:pageBreakBefore w:val="0"/>
        <w:numPr>
          <w:ilvl w:val="0"/>
          <w:numId w:val="1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达人风采展示：展示达人优秀事迹、所举办活动的精彩瞬间，沟通互动。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6.投票表决</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进行社区公共空间改造、社区民主决议、小区物业费调整、社区体育设施优化、社区文化活动提升公共事务投票，听取居民意见反馈，一事一议。</w:t>
      </w:r>
    </w:p>
    <w:p>
      <w:pPr>
        <w:keepNext w:val="0"/>
        <w:keepLines w:val="0"/>
        <w:pageBreakBefore w:val="0"/>
        <w:numPr>
          <w:ilvl w:val="0"/>
          <w:numId w:val="1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投票事项公告：查看由社区物业管理人员发布的各类投票表决事项。</w:t>
      </w:r>
    </w:p>
    <w:p>
      <w:pPr>
        <w:keepNext w:val="0"/>
        <w:keepLines w:val="0"/>
        <w:pageBreakBefore w:val="0"/>
        <w:numPr>
          <w:ilvl w:val="0"/>
          <w:numId w:val="1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查看投票信息：查看已经发布的全部投票表决信息，点击列表查看投票详情。</w:t>
      </w:r>
    </w:p>
    <w:p>
      <w:pPr>
        <w:keepNext w:val="0"/>
        <w:keepLines w:val="0"/>
        <w:pageBreakBefore w:val="0"/>
        <w:numPr>
          <w:ilvl w:val="0"/>
          <w:numId w:val="1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投票：在投票详情页面，点击各选项完成投票动作。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7.邻里活动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邻里活动应用作为未来社区各类活动的入口，业主可以通过小程序进行活动报名、报名管理、活动回顾等操作；由社区运营管理人员在管理后台发布和管理活动内容。</w:t>
      </w:r>
    </w:p>
    <w:p>
      <w:pPr>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活动内容展示：展示活动头图、活动主题、报名时间、活动时间、活动地点、可报名人数等信息。</w:t>
      </w:r>
    </w:p>
    <w:p>
      <w:pPr>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活动报名：在编辑报名者信息后，可以为个人或者他人进行活动报名。</w:t>
      </w:r>
    </w:p>
    <w:p>
      <w:pPr>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个人报名管理：管理自己的活动报名情况，可以查看已经报名的活动，支持取消报名。</w:t>
      </w:r>
    </w:p>
    <w:p>
      <w:pPr>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活动内容回顾：回顾活动过程，能够展示视频、文字和图片。</w:t>
      </w:r>
    </w:p>
    <w:p>
      <w:pPr>
        <w:keepNext w:val="0"/>
        <w:keepLines w:val="0"/>
        <w:pageBreakBefore w:val="0"/>
        <w:numPr>
          <w:ilvl w:val="0"/>
          <w:numId w:val="1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活动扫码签到：已经报名的活动可以在现场通过扫码二维码获得活动的参与积分。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8.社区广播</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展示社区、物业、运营发布通知公告信息列表，点击可查看广播通知详情。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9.许愿池</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许愿池主要打造社区邻里互助，社区发布收集居民许愿池、或居民发布许愿池，居民可以对社区、其他居民发布心愿认领，并在帮且其达成心愿。</w:t>
      </w:r>
    </w:p>
    <w:p>
      <w:pPr>
        <w:pStyle w:val="296"/>
        <w:keepNext w:val="0"/>
        <w:keepLines w:val="0"/>
        <w:pageBreakBefore w:val="0"/>
        <w:numPr>
          <w:ilvl w:val="0"/>
          <w:numId w:val="16"/>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心愿墙：展示心愿列表，点击可以查看心愿详情、心愿认领；</w:t>
      </w:r>
    </w:p>
    <w:p>
      <w:pPr>
        <w:pStyle w:val="296"/>
        <w:keepNext w:val="0"/>
        <w:keepLines w:val="0"/>
        <w:pageBreakBefore w:val="0"/>
        <w:numPr>
          <w:ilvl w:val="0"/>
          <w:numId w:val="16"/>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许愿：点击后填写心愿内容，提交后由运营管理后台审核，审核后可以心愿墙上展示；</w:t>
      </w:r>
    </w:p>
    <w:p>
      <w:pPr>
        <w:pStyle w:val="296"/>
        <w:keepNext w:val="0"/>
        <w:keepLines w:val="0"/>
        <w:pageBreakBefore w:val="0"/>
        <w:numPr>
          <w:ilvl w:val="0"/>
          <w:numId w:val="16"/>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我的心愿：显示我发布的心愿，点击可查看心愿详情，心愿进展；</w:t>
      </w:r>
    </w:p>
    <w:p>
      <w:pPr>
        <w:pStyle w:val="296"/>
        <w:keepNext w:val="0"/>
        <w:keepLines w:val="0"/>
        <w:pageBreakBefore w:val="0"/>
        <w:numPr>
          <w:ilvl w:val="0"/>
          <w:numId w:val="16"/>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我的认领：显示我认领的心愿，点击可查看心愿详情。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10.便民生活圈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便民生活圈展示社区周边便民服务点信息，可对便民服务点信息搜索查询、分类筛选，点击展示便民服务点介绍内容及导航。</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便民生活圈可接入街道已有系统数据、商企店铺信息。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11.热点场馆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提供区级场馆、街道级级场馆、社区级场馆、体育健身、共享会议等场馆综合在线查询/预约服务。</w:t>
      </w:r>
    </w:p>
    <w:p>
      <w:pPr>
        <w:keepNext w:val="0"/>
        <w:keepLines w:val="0"/>
        <w:pageBreakBefore w:val="0"/>
        <w:numPr>
          <w:ilvl w:val="0"/>
          <w:numId w:val="1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场馆列表：查看可预约的场馆信息。</w:t>
      </w:r>
    </w:p>
    <w:p>
      <w:pPr>
        <w:keepNext w:val="0"/>
        <w:keepLines w:val="0"/>
        <w:pageBreakBefore w:val="0"/>
        <w:numPr>
          <w:ilvl w:val="0"/>
          <w:numId w:val="1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预约场馆：点击场馆详情，根据场馆配置的信息进行预约，主要分为：场次预约、电话预约、第三方预约界面接入、文字说明四种方式。</w:t>
      </w:r>
    </w:p>
    <w:p>
      <w:pPr>
        <w:keepNext w:val="0"/>
        <w:keepLines w:val="0"/>
        <w:pageBreakBefore w:val="0"/>
        <w:numPr>
          <w:ilvl w:val="0"/>
          <w:numId w:val="1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我的预约：查看我预约的场馆信息，支持取消预约。</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12.张阿姨工作室</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周边工业区、电商园区、工厂数量众多，充分利用邻里空间“张阿姨工作室”及线上居民端应用，通过线上、线下专业技能培训、就业合作社、工厂订单接单、上门、就业帮扶等功能板块，打造数字化线上接派单系统。。</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13.洪塘周边游</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洪塘周边游景点如荪湖花海、洪塘湾等深度集成，信息列表，周边游景点详情、停车收费信息、优惠信息；支持信息搜索；支持位置导航、VR全景查看。</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14.家头条</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接入省级统一邻里平台-家头条，为社区内的居民展示社区文化等内容。</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15.闲置捐赠</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闲置捐赠主要居民将闲置物品捐赠给社区，社区发放一定积分给捐赠的居民，社区可投放到积分商城供其他居民兑换，或由社区统一捐赠给其他公益组织。</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5.1.1.3.3教育场景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健康场景应用，在小程序首页应用配置区。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1.教育地图</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1.学习地图</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提供周边幼儿园、小学、中学、大学等学校信息，驾考等职业技能培训信息，培训机构信息</w:t>
      </w:r>
    </w:p>
    <w:p>
      <w:pPr>
        <w:keepNext w:val="0"/>
        <w:keepLines w:val="0"/>
        <w:pageBreakBefore w:val="0"/>
        <w:numPr>
          <w:ilvl w:val="0"/>
          <w:numId w:val="1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场馆列表：查看可周边的学校信息。</w:t>
      </w:r>
    </w:p>
    <w:p>
      <w:pPr>
        <w:keepNext w:val="0"/>
        <w:keepLines w:val="0"/>
        <w:pageBreakBefore w:val="0"/>
        <w:numPr>
          <w:ilvl w:val="0"/>
          <w:numId w:val="1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校园动态：展示各校园动态新闻。</w:t>
      </w:r>
    </w:p>
    <w:p>
      <w:pPr>
        <w:keepNext w:val="0"/>
        <w:keepLines w:val="0"/>
        <w:pageBreakBefore w:val="0"/>
        <w:numPr>
          <w:ilvl w:val="0"/>
          <w:numId w:val="1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招生简章：展示各学校招生信息及报名，主要分为：线上预约、电话预约、文字说明四种方式</w:t>
      </w:r>
    </w:p>
    <w:p>
      <w:pPr>
        <w:keepNext w:val="0"/>
        <w:keepLines w:val="0"/>
        <w:pageBreakBefore w:val="0"/>
        <w:numPr>
          <w:ilvl w:val="0"/>
          <w:numId w:val="1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我的预约：查看我预约的报名信息，支持取消预约。</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2.安心幼托</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为完善幼托业务闭环，为居民提供在线幼托课程查看、幼托申请、幼托监控查看等功能</w:t>
      </w:r>
    </w:p>
    <w:p>
      <w:pPr>
        <w:keepNext w:val="0"/>
        <w:keepLines w:val="0"/>
        <w:pageBreakBefore w:val="0"/>
        <w:numPr>
          <w:ilvl w:val="0"/>
          <w:numId w:val="1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幼托课程列表：查看幼托课程信息</w:t>
      </w:r>
    </w:p>
    <w:p>
      <w:pPr>
        <w:keepNext w:val="0"/>
        <w:keepLines w:val="0"/>
        <w:pageBreakBefore w:val="0"/>
        <w:numPr>
          <w:ilvl w:val="0"/>
          <w:numId w:val="1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幼托预约：提交课程申请，待审核通过后可以在课程开课期间查看对应幼托场所的监控情况，实时掌握孩子的幼托情况。</w:t>
      </w:r>
    </w:p>
    <w:p>
      <w:pPr>
        <w:keepNext w:val="0"/>
        <w:keepLines w:val="0"/>
        <w:pageBreakBefore w:val="0"/>
        <w:numPr>
          <w:ilvl w:val="0"/>
          <w:numId w:val="1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我的预约：查看自己的幼托申请数据，及每条申请的处理状态。</w:t>
      </w:r>
    </w:p>
    <w:p>
      <w:pPr>
        <w:keepNext w:val="0"/>
        <w:keepLines w:val="0"/>
        <w:pageBreakBefore w:val="0"/>
        <w:numPr>
          <w:ilvl w:val="0"/>
          <w:numId w:val="1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幼托审核：管理人员通过小程序进行幼托申请的审核、驳回操作。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3.幸福学堂</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为丰富社区居民的业余生活，不定期开展幸福学堂课程活动，线上报名，线下活动。</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活动内容展示：展示活动头图、活动主题、报名时间、活动时间、活动地点、可报名人数等信息。</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活动报名：在编辑报名者信息后，可以为个人或者他人进行活动报名。</w:t>
      </w:r>
    </w:p>
    <w:p>
      <w:pPr>
        <w:keepNext w:val="0"/>
        <w:keepLines w:val="0"/>
        <w:pageBreakBefore w:val="0"/>
        <w:numPr>
          <w:ilvl w:val="0"/>
          <w:numId w:val="2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个人报名管理：管理自己的活动报名情况，可以查看已经报名的活动，支持取消报名。</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活动内容回顾：回顾活动过程，能够展示视频、文字和图片。</w:t>
      </w:r>
    </w:p>
    <w:p>
      <w:pPr>
        <w:keepNext w:val="0"/>
        <w:keepLines w:val="0"/>
        <w:pageBreakBefore w:val="0"/>
        <w:numPr>
          <w:ilvl w:val="0"/>
          <w:numId w:val="2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活动扫码签到：已经报名的活动可以在现场通过扫码二维码获得活动的参与积分。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4.社区直播间</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接入小程序直播、微信视频号，展示社区共享直播间直播预告及直播列表，直播回看等；</w:t>
      </w:r>
    </w:p>
    <w:p>
      <w:pPr>
        <w:keepNext w:val="0"/>
        <w:keepLines w:val="0"/>
        <w:pageBreakBefore w:val="0"/>
        <w:numPr>
          <w:ilvl w:val="0"/>
          <w:numId w:val="21"/>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直播列表：展示直播间状态，直播中点击可进入直播间观看，未开播可预约。</w:t>
      </w:r>
    </w:p>
    <w:p>
      <w:pPr>
        <w:keepNext w:val="0"/>
        <w:keepLines w:val="0"/>
        <w:pageBreakBefore w:val="0"/>
        <w:numPr>
          <w:ilvl w:val="0"/>
          <w:numId w:val="21"/>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直播回看：展示历史直播、短视频作品列表，点击可观看视频。</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5.教培机构对接 </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(1)社区周边教育机构，申请入驻；</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(2)教育机构入驻成功后，课程管理，报名管理。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(3)展示教育机构列表，点击后展示课程列表；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(4)展示课程列表，进行预约报名、免费体验课、优惠体验课报名；</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(5)展示课程报名记录。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6.社会实践</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为了丰富学生假期生活，暑假、寒假期间不定期开展学生社会实践活动，学生或家长通过线上报名，线下活动。</w:t>
      </w:r>
    </w:p>
    <w:p>
      <w:pPr>
        <w:keepNext w:val="0"/>
        <w:keepLines w:val="0"/>
        <w:pageBreakBefore w:val="0"/>
        <w:widowControl/>
        <w:numPr>
          <w:ilvl w:val="0"/>
          <w:numId w:val="2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活动内容展示：展示活动头图、活动主题、报名时间、活动时间、活动地点、可报名人数等信息。</w:t>
      </w:r>
    </w:p>
    <w:p>
      <w:pPr>
        <w:keepNext w:val="0"/>
        <w:keepLines w:val="0"/>
        <w:pageBreakBefore w:val="0"/>
        <w:widowControl/>
        <w:numPr>
          <w:ilvl w:val="0"/>
          <w:numId w:val="2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活动报名：在编辑报名者信息后，可以为个人或者他人进行活动报名。</w:t>
      </w:r>
    </w:p>
    <w:p>
      <w:pPr>
        <w:keepNext w:val="0"/>
        <w:keepLines w:val="0"/>
        <w:pageBreakBefore w:val="0"/>
        <w:numPr>
          <w:ilvl w:val="0"/>
          <w:numId w:val="2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个人报名管理：管理自己的活动报名情况，可以查看已经报名的活动，支持取消报名。</w:t>
      </w:r>
    </w:p>
    <w:p>
      <w:pPr>
        <w:keepNext w:val="0"/>
        <w:keepLines w:val="0"/>
        <w:pageBreakBefore w:val="0"/>
        <w:widowControl/>
        <w:numPr>
          <w:ilvl w:val="0"/>
          <w:numId w:val="2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活动内容回顾：回顾活动过程，能够展示视频、文字和图片。</w:t>
      </w:r>
    </w:p>
    <w:p>
      <w:pPr>
        <w:keepNext w:val="0"/>
        <w:keepLines w:val="0"/>
        <w:pageBreakBefore w:val="0"/>
        <w:numPr>
          <w:ilvl w:val="0"/>
          <w:numId w:val="2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活动扫码签到：已经报名的活动可以在现场通过扫码二维码获得活动的参与积分。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7.甬上云校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接入宁波市级统一教育平台-甬上云校，为社区内的学生提供在线教育资源，</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支持在线课程查询和学习。</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5.1.1.3.4健康场景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健康场景应用，在小程序首页应用配置区。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1.运动积分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健身计划通过社区发布健身挑战计划，居民参与挑战，完成挑战后获得对应积分奖励，从而激励居民参与健身锻炼。</w:t>
      </w:r>
    </w:p>
    <w:p>
      <w:pPr>
        <w:keepNext w:val="0"/>
        <w:keepLines w:val="0"/>
        <w:pageBreakBefore w:val="0"/>
        <w:widowControl/>
        <w:numPr>
          <w:ilvl w:val="0"/>
          <w:numId w:val="2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挑战内容展示：展示挑战头图、挑战主题、挑战时限，挑战内容，挑战奖励积分等。</w:t>
      </w:r>
    </w:p>
    <w:p>
      <w:pPr>
        <w:keepNext w:val="0"/>
        <w:keepLines w:val="0"/>
        <w:pageBreakBefore w:val="0"/>
        <w:widowControl/>
        <w:numPr>
          <w:ilvl w:val="0"/>
          <w:numId w:val="2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挑战报名：完善个人信息后，可以进行活动报名。</w:t>
      </w:r>
    </w:p>
    <w:p>
      <w:pPr>
        <w:keepNext w:val="0"/>
        <w:keepLines w:val="0"/>
        <w:pageBreakBefore w:val="0"/>
        <w:numPr>
          <w:ilvl w:val="0"/>
          <w:numId w:val="2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个人报名管理：管理自己的活动报名情况，可以查看已经报名的活动，支持取消报名。</w:t>
      </w:r>
    </w:p>
    <w:p>
      <w:pPr>
        <w:keepNext w:val="0"/>
        <w:keepLines w:val="0"/>
        <w:pageBreakBefore w:val="0"/>
        <w:widowControl/>
        <w:numPr>
          <w:ilvl w:val="0"/>
          <w:numId w:val="2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挑战内容回顾：回顾活动过程，能够展示视频、文字和图片。</w:t>
      </w:r>
    </w:p>
    <w:p>
      <w:pPr>
        <w:keepNext w:val="0"/>
        <w:keepLines w:val="0"/>
        <w:pageBreakBefore w:val="0"/>
        <w:numPr>
          <w:ilvl w:val="0"/>
          <w:numId w:val="2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挑战打卡：居民每日上传自己的运动照片，获得对应积分。点击应用进行拍照或者上传照片，提交当天打卡信息，每天只能提交一次有效信息。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2.电子健康档案</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展示居民健康小屋检测数据，历史健身数据。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3.健康活动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为了提升居民体质，社区不定期组织邻里体育趣味活动，让居民参与运动健身、健身知识等活动，在邻里活动体育活动板块展示活动内容。</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4.时间银行</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社区发布志愿活动，居民可报名参与，获得奖励积分。</w:t>
      </w:r>
    </w:p>
    <w:p>
      <w:pPr>
        <w:keepNext w:val="0"/>
        <w:keepLines w:val="0"/>
        <w:pageBreakBefore w:val="0"/>
        <w:numPr>
          <w:ilvl w:val="0"/>
          <w:numId w:val="24"/>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活动内容展示：展示活动头图、活动主题、报名时间、活动时间、活动地点、可报名人数等信息。</w:t>
      </w:r>
    </w:p>
    <w:p>
      <w:pPr>
        <w:keepNext w:val="0"/>
        <w:keepLines w:val="0"/>
        <w:pageBreakBefore w:val="0"/>
        <w:numPr>
          <w:ilvl w:val="0"/>
          <w:numId w:val="24"/>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活动报名：在编辑报名者信息后，可以为个人或者他人进行活动报名。</w:t>
      </w:r>
    </w:p>
    <w:p>
      <w:pPr>
        <w:keepNext w:val="0"/>
        <w:keepLines w:val="0"/>
        <w:pageBreakBefore w:val="0"/>
        <w:numPr>
          <w:ilvl w:val="0"/>
          <w:numId w:val="24"/>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个人报名管理：管理自己的活动报名情况，可以查看已经报名的活动，支持取消报名。</w:t>
      </w:r>
    </w:p>
    <w:p>
      <w:pPr>
        <w:keepNext w:val="0"/>
        <w:keepLines w:val="0"/>
        <w:pageBreakBefore w:val="0"/>
        <w:numPr>
          <w:ilvl w:val="0"/>
          <w:numId w:val="24"/>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活动内容回顾：回顾活动过程，能够展示视频、文字和图片。</w:t>
      </w:r>
    </w:p>
    <w:p>
      <w:pPr>
        <w:keepNext w:val="0"/>
        <w:keepLines w:val="0"/>
        <w:pageBreakBefore w:val="0"/>
        <w:numPr>
          <w:ilvl w:val="0"/>
          <w:numId w:val="24"/>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活动扫码签到：已经报名的活动可以在现场通过扫码二维码获得活动的参与积分。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5.AED地图</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展示社区AED设备位置信息及AED使用说明视频、教程</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6.健身地图</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展示社区及周边健身场馆位置信息在线预约服务。</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场馆列表：查看可预约的场馆信息。</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预约场馆：点击场馆详情，根据场馆配置的信息进行预约，主要分为：线上预约、电话预约、第三方预约界面接入、文字说明四种方式。</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我的预约：查看我预约的场馆信息，支持取消预约。</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7.</w:t>
      </w:r>
      <w:r>
        <w:rPr>
          <w:rFonts w:hint="eastAsia" w:ascii="宋体" w:hAnsi="宋体" w:eastAsia="宋体" w:cs="宋体"/>
          <w:b/>
          <w:bCs/>
          <w:color w:val="auto"/>
          <w:sz w:val="21"/>
          <w:szCs w:val="21"/>
          <w:highlight w:val="none"/>
        </w:rPr>
        <w:t>健康小屋</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1）展示健康小屋信息；</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2）展示健康小屋检测器材信息，使用说明；</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3）健康小屋设备系统打通，同步检测数据。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5.1.1.3.5创业场景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创业场景应用，全部在小程序首页应用配置区。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1．助企政策</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展示政策荟萃内容列表，点击后查看详情，可以对详情进行评价、点赞等操作。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人才补贴</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1）展示招才引智、人才补贴、大学生创业、购房补贴等内容列表；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2）点击后查看详情，可以对详情进行评价、点赞等操作。</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3）审核招才引智、人才补贴评论内容。</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3.助企招聘</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获取招聘信息，查看招聘详情；招聘企业可发布岗位，岗位平台审核后可在招聘信息列表中查看。</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明星企业</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展示明星辖区内明星企业宣传内容。</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办公场地出租</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展示办公出租场地列表，展示场地详情，包括场地位置，租赁信息，场地基础信息。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5.1.1.3.6建筑场景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建筑场景应用，全部在小程序首页应用配置区。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5.1.1.3.7交通场景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交通场景应用，全部在小程序首页应用配置区。</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停车引导</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1）地图展示小区内及周边停车场位置信息，包括停车场地点、停车收费情况；</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2）点击后可以进入导航；</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3）停车场信息维护，包括停车场经纬度位置，名称等；</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4）对接菜场停车系统数据。</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color w:val="auto"/>
          <w:sz w:val="21"/>
          <w:szCs w:val="21"/>
          <w:highlight w:val="none"/>
        </w:rPr>
        <w:t xml:space="preserve"> 台风</w:t>
      </w:r>
      <w:r>
        <w:rPr>
          <w:rFonts w:hint="eastAsia" w:ascii="宋体" w:hAnsi="宋体" w:eastAsia="宋体" w:cs="宋体"/>
          <w:b/>
          <w:bCs/>
          <w:color w:val="auto"/>
          <w:sz w:val="21"/>
          <w:szCs w:val="21"/>
          <w:highlight w:val="none"/>
        </w:rPr>
        <w:t>积水</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1）展示积水地图，包括点位当前积水情况；</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2）点击积水点位后，可以看到积水具体情况，积水程度，积水现场图片等信息。</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3）对接积水大数据、水浸传感器；</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4）人工维护积水点位，包括积水程度、现场积水图片等。。</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台风路径</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展示台风路径地图。</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天气</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展示天气预报信息、空气质量信息，根据天气信息生成生活指导。</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5.1.1.3.8服务场景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服务场景应用中，姚江广播、姚江积分在小程序首页中单独透出，其他应用全部在小程序首页应用配置区。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物业管家</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展示物业管家列表，物业管家个人信息，包括管家评价。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物业报修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上报维修内容，查看历史记录，记录详情，服务评价。报修服务，含各类报修，如水管、燃气灶、灯泡等等。在线提交服务工单，线下提供上门服务，为用户提供住房维修，报事报修1v1的专项服务。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报修申报：在线提交服务工单，如报事报修，家电维修。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打分评价：支持对物业报修订单的评价，支持物业查看评价、反馈评价。</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管理人员：物业管理人员可在小程序端进行工单处理。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投诉建议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对社区不合理现象、物业服务进行投诉或反馈或提出好的改进建议。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物业风采</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社区面向居民展示物业日常服务工作动态内容，点击后展示物业风采详情。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便民通讯录</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社区面向居民展示便民电话通讯录。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访客管理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访客填写姓名、小区、访问户室，访问时间，访问事由，提交后被访人审核通过生成二维码；展示我的访客记录。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远程开门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完成身份认证，根据物业登记信息获取我有权限的门禁列表，点击后进行远程开门。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惠停车（亲友停车）</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业主申请亲友停车，展示申请记录，业主亲友车辆录到停车系统享受小区内部车辆收费优惠政策。</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color w:val="auto"/>
          <w:sz w:val="21"/>
          <w:szCs w:val="21"/>
          <w:highlight w:val="none"/>
        </w:rPr>
        <w:t xml:space="preserve"> 慧生活</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展示社区商城首页，包含商品分类、Banner、秒杀、社区拼团、二手闲置、我的订单、商城商品展示区等。</w:t>
      </w:r>
    </w:p>
    <w:p>
      <w:pPr>
        <w:keepNext w:val="0"/>
        <w:keepLines w:val="0"/>
        <w:pageBreakBefore w:val="0"/>
        <w:numPr>
          <w:ilvl w:val="0"/>
          <w:numId w:val="2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展示商城列表；</w:t>
      </w:r>
    </w:p>
    <w:p>
      <w:pPr>
        <w:keepNext w:val="0"/>
        <w:keepLines w:val="0"/>
        <w:pageBreakBefore w:val="0"/>
        <w:numPr>
          <w:ilvl w:val="0"/>
          <w:numId w:val="2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展示团购列表；</w:t>
      </w:r>
    </w:p>
    <w:p>
      <w:pPr>
        <w:keepNext w:val="0"/>
        <w:keepLines w:val="0"/>
        <w:pageBreakBefore w:val="0"/>
        <w:numPr>
          <w:ilvl w:val="0"/>
          <w:numId w:val="2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管理我的购物车；</w:t>
      </w:r>
    </w:p>
    <w:p>
      <w:pPr>
        <w:keepNext w:val="0"/>
        <w:keepLines w:val="0"/>
        <w:pageBreakBefore w:val="0"/>
        <w:numPr>
          <w:ilvl w:val="0"/>
          <w:numId w:val="2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下单商品，参与团购；</w:t>
      </w:r>
    </w:p>
    <w:p>
      <w:pPr>
        <w:keepNext w:val="0"/>
        <w:keepLines w:val="0"/>
        <w:pageBreakBefore w:val="0"/>
        <w:numPr>
          <w:ilvl w:val="0"/>
          <w:numId w:val="2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我的订单管理，可以对商品、商家进行评价；。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服务评价</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对物业进行服务满意度评价，包括评分、评价内容等。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阳光公示</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展示物业、业委员对小区各项收支明细等公示。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幸福大食堂</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展示食堂菜品列表，线上下单点餐，展示我的订单，并且可以对订单进行评价。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 求租/出租</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1）实名居民、中介可发布房屋出租信息或求租信息；</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2）出租信息、求租信息展示、评论、举报。</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5.1.1.3.9低碳场景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低碳场景应用，在小程序首页应用配置区。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1.垃圾分类</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1）垃圾分类知识查询，链接宁波垃圾分类小程序；</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2）垃圾分类点位、要求宣传、地图展示，方便新居民、流动居民知晓；</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3）资源上门回收，积分奖励。</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2.电动车/电瓶车充电桩</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1）充电桩设备列表，设备运行状态查询；</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2）设备故障告警；</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3）充电设备使用及设备运行状态数据分析。</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5.1.1.3.10治理场景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治理场景应用中，姚江超话在小程序首页中单独透出，其他应用全部在小程序首页应用配置区。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bookmarkStart w:id="38" w:name="_Toc4620"/>
      <w:r>
        <w:rPr>
          <w:rFonts w:hint="eastAsia" w:ascii="宋体" w:hAnsi="宋体" w:eastAsia="宋体" w:cs="宋体"/>
          <w:b/>
          <w:bCs/>
          <w:color w:val="auto"/>
          <w:sz w:val="21"/>
          <w:szCs w:val="21"/>
          <w:highlight w:val="none"/>
        </w:rPr>
        <w:t>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居民议事厅</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面向社区居民展示居民议事会组织架构及议事动态。</w:t>
      </w:r>
    </w:p>
    <w:p>
      <w:pPr>
        <w:keepNext w:val="0"/>
        <w:keepLines w:val="0"/>
        <w:pageBreakBefore w:val="0"/>
        <w:numPr>
          <w:ilvl w:val="0"/>
          <w:numId w:val="2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议事动态：居民议事动态列表，查看议事详情，支持对议事动态评论、点赞。</w:t>
      </w:r>
    </w:p>
    <w:p>
      <w:pPr>
        <w:keepNext w:val="0"/>
        <w:keepLines w:val="0"/>
        <w:pageBreakBefore w:val="0"/>
        <w:numPr>
          <w:ilvl w:val="0"/>
          <w:numId w:val="2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组织架构：街道人大工委成员，社区居民议事会成员。</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居民说事/随手拍</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面社区居民，收集社区民意民生诉求，解决民生问题；</w:t>
      </w:r>
    </w:p>
    <w:p>
      <w:pPr>
        <w:keepNext w:val="0"/>
        <w:keepLines w:val="0"/>
        <w:pageBreakBefore w:val="0"/>
        <w:numPr>
          <w:ilvl w:val="0"/>
          <w:numId w:val="27"/>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街道、社区民生话题、居民民意列表、查询话题详情、民意详情；</w:t>
      </w:r>
    </w:p>
    <w:p>
      <w:pPr>
        <w:keepNext w:val="0"/>
        <w:keepLines w:val="0"/>
        <w:pageBreakBefore w:val="0"/>
        <w:numPr>
          <w:ilvl w:val="0"/>
          <w:numId w:val="27"/>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支持对话题评论、点赞；</w:t>
      </w:r>
    </w:p>
    <w:p>
      <w:pPr>
        <w:keepNext w:val="0"/>
        <w:keepLines w:val="0"/>
        <w:pageBreakBefore w:val="0"/>
        <w:numPr>
          <w:ilvl w:val="0"/>
          <w:numId w:val="27"/>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居民“随手拍”上报功能，上报后可查看答复、处置信息。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民生项目/民生实事</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向居民公开街道、社区民生工程、民生小事项目进度、动态、建议过程中事项商议。</w:t>
      </w:r>
    </w:p>
    <w:p>
      <w:pPr>
        <w:keepNext w:val="0"/>
        <w:keepLines w:val="0"/>
        <w:pageBreakBefore w:val="0"/>
        <w:numPr>
          <w:ilvl w:val="0"/>
          <w:numId w:val="2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项目列表：民生项目、民生小事信息列表，民生项目、民生小事详细介绍。</w:t>
      </w:r>
    </w:p>
    <w:p>
      <w:pPr>
        <w:keepNext w:val="0"/>
        <w:keepLines w:val="0"/>
        <w:pageBreakBefore w:val="0"/>
        <w:numPr>
          <w:ilvl w:val="0"/>
          <w:numId w:val="2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项目动态：民生项目、民生小事动态信息列表，动态详情内容查看，支持内容评论、点赞。</w:t>
      </w:r>
    </w:p>
    <w:p>
      <w:pPr>
        <w:keepNext w:val="0"/>
        <w:keepLines w:val="0"/>
        <w:pageBreakBefore w:val="0"/>
        <w:numPr>
          <w:ilvl w:val="0"/>
          <w:numId w:val="2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议一议：民生项目、民生小事话题列表，话题详情，参与话题讨论、点赞。</w:t>
      </w:r>
    </w:p>
    <w:p>
      <w:pPr>
        <w:keepNext w:val="0"/>
        <w:keepLines w:val="0"/>
        <w:pageBreakBefore w:val="0"/>
        <w:numPr>
          <w:ilvl w:val="0"/>
          <w:numId w:val="2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评一评：民生项目、民生小事评论、点赞，支持居民互动评论、点赞。</w:t>
      </w:r>
    </w:p>
    <w:p>
      <w:pPr>
        <w:keepNext w:val="0"/>
        <w:keepLines w:val="0"/>
        <w:pageBreakBefore w:val="0"/>
        <w:numPr>
          <w:ilvl w:val="0"/>
          <w:numId w:val="28"/>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满意度测评：民生项目、民生小事满意度测评投票，评价、点赞。</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防疫防控</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针对新冠疫情常态化管理，面向居民提供核酸检测点、疫苗接种、防疫资讯服务；</w:t>
      </w:r>
    </w:p>
    <w:p>
      <w:pPr>
        <w:keepNext w:val="0"/>
        <w:keepLines w:val="0"/>
        <w:pageBreakBefore w:val="0"/>
        <w:numPr>
          <w:ilvl w:val="0"/>
          <w:numId w:val="29"/>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核酸检测点：核酸检测点信息列表，支持位置导航、电话咨询。</w:t>
      </w:r>
    </w:p>
    <w:p>
      <w:pPr>
        <w:keepNext w:val="0"/>
        <w:keepLines w:val="0"/>
        <w:pageBreakBefore w:val="0"/>
        <w:numPr>
          <w:ilvl w:val="0"/>
          <w:numId w:val="29"/>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疫苗接种点：疫苗接种点信息、预约，疫苗供应情况。</w:t>
      </w:r>
    </w:p>
    <w:p>
      <w:pPr>
        <w:keepNext w:val="0"/>
        <w:keepLines w:val="0"/>
        <w:pageBreakBefore w:val="0"/>
        <w:numPr>
          <w:ilvl w:val="0"/>
          <w:numId w:val="29"/>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防疫资讯：防疫资讯信息，评论、点赞。</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5.1.2未来社区运营工作台系统</w:t>
      </w:r>
      <w:bookmarkEnd w:id="38"/>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5.1.2.1系统概述</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未来社区运营工作台系统以PC WEB端为载体，主要用户对象为社区运营方、物业公司、商家、教培机构等，主要进行针对居民小程序进行活动发布、资讯发布、活动积分管理、商品/产品/资源维护、列表清单、订单、客户管理等功能。</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5.1.2.2功能架构</w:t>
      </w:r>
    </w:p>
    <w:p>
      <w:pPr>
        <w:spacing w:line="360" w:lineRule="auto"/>
        <w:jc w:val="center"/>
        <w:rPr>
          <w:color w:val="auto"/>
          <w:szCs w:val="21"/>
          <w:highlight w:val="none"/>
        </w:rPr>
      </w:pPr>
      <w:r>
        <w:rPr>
          <w:color w:val="auto"/>
          <w:szCs w:val="21"/>
          <w:highlight w:val="none"/>
        </w:rPr>
        <w:drawing>
          <wp:inline distT="0" distB="0" distL="114300" distR="114300">
            <wp:extent cx="4232275" cy="4699635"/>
            <wp:effectExtent l="0" t="0" r="15875" b="5715"/>
            <wp:docPr id="24" name="图片 22" descr="f7e4422357cd3efb7c1d8b6be36f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f7e4422357cd3efb7c1d8b6be36f260"/>
                    <pic:cNvPicPr>
                      <a:picLocks noChangeAspect="1"/>
                    </pic:cNvPicPr>
                  </pic:nvPicPr>
                  <pic:blipFill>
                    <a:blip r:embed="rId15"/>
                    <a:stretch>
                      <a:fillRect/>
                    </a:stretch>
                  </pic:blipFill>
                  <pic:spPr>
                    <a:xfrm>
                      <a:off x="0" y="0"/>
                      <a:ext cx="4232275" cy="4699635"/>
                    </a:xfrm>
                    <a:prstGeom prst="rect">
                      <a:avLst/>
                    </a:prstGeom>
                    <a:noFill/>
                    <a:ln>
                      <a:noFill/>
                    </a:ln>
                  </pic:spPr>
                </pic:pic>
              </a:graphicData>
            </a:graphic>
          </wp:inline>
        </w:drawing>
      </w:r>
    </w:p>
    <w:p>
      <w:pPr>
        <w:spacing w:line="360" w:lineRule="auto"/>
        <w:jc w:val="center"/>
        <w:rPr>
          <w:color w:val="auto"/>
          <w:szCs w:val="21"/>
          <w:highlight w:val="none"/>
        </w:rPr>
      </w:pPr>
      <w:r>
        <w:rPr>
          <w:color w:val="auto"/>
          <w:sz w:val="21"/>
          <w:szCs w:val="21"/>
          <w:highlight w:val="none"/>
        </w:rPr>
        <w:t>图</w:t>
      </w:r>
      <w:r>
        <w:rPr>
          <w:color w:val="auto"/>
          <w:szCs w:val="21"/>
          <w:highlight w:val="none"/>
        </w:rPr>
        <w:t xml:space="preserve">5.1.2.2 </w:t>
      </w:r>
      <w:r>
        <w:rPr>
          <w:color w:val="auto"/>
          <w:sz w:val="21"/>
          <w:szCs w:val="21"/>
          <w:highlight w:val="none"/>
        </w:rPr>
        <w:t>未来社区运营工作台系统功能架构</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5.1.2.3功能设计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1.用户管理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rPr>
        <w:t>1.1房号管理</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管理和维护社区内的物业小区、门牌地址、房屋楼栋、房屋单元等空间数据，房屋室户号等信息，可进行数据新增、删除、修改、查询等操作。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1.2房号审核</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支持居民与房号绑定申请的审核功能，审核通过后将作为人房关系数据储存入库。</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1.3实名认证管理</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根据业主提交的姓名、身份证号码、身份证照片，判断是否人证合一，完成实名认证动作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1.4用户列表</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查询社区平台的用户信息，包含用户姓名、用户性别、用户手机号、用户房号等信息。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1.5车位管理</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查看社区内车位与各房号之间的关联关系，查询车位归属的产权信息。</w:t>
      </w:r>
    </w:p>
    <w:p>
      <w:pPr>
        <w:pStyle w:val="2"/>
        <w:keepNext w:val="0"/>
        <w:keepLines w:val="0"/>
        <w:pageBreakBefore w:val="0"/>
        <w:kinsoku/>
        <w:wordWrap/>
        <w:overflowPunct/>
        <w:topLinePunct w:val="0"/>
        <w:bidi w:val="0"/>
        <w:adjustRightInd/>
        <w:snapToGrid/>
        <w:spacing w:line="360" w:lineRule="auto"/>
        <w:ind w:left="0" w:firstLine="404" w:firstLineChars="200"/>
        <w:jc w:val="both"/>
        <w:textAlignment w:val="auto"/>
        <w:rPr>
          <w:rFonts w:hint="eastAsia" w:ascii="宋体" w:hAnsi="宋体" w:eastAsia="宋体" w:cs="宋体"/>
          <w:color w:val="auto"/>
          <w:sz w:val="21"/>
          <w:szCs w:val="21"/>
          <w:highlight w:val="none"/>
        </w:rPr>
      </w:pP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2.运营管理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2.1积分管理</w:t>
      </w:r>
    </w:p>
    <w:p>
      <w:pPr>
        <w:pStyle w:val="296"/>
        <w:keepNext w:val="0"/>
        <w:keepLines w:val="0"/>
        <w:pageBreakBefore w:val="0"/>
        <w:numPr>
          <w:ilvl w:val="0"/>
          <w:numId w:val="30"/>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积分规则配置：对平台中各场景应用可以获得积分值、可获得积分频率、可获得积分对象等信息的配置。</w:t>
      </w:r>
    </w:p>
    <w:p>
      <w:pPr>
        <w:pStyle w:val="296"/>
        <w:keepNext w:val="0"/>
        <w:keepLines w:val="0"/>
        <w:pageBreakBefore w:val="0"/>
        <w:numPr>
          <w:ilvl w:val="0"/>
          <w:numId w:val="30"/>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积分看板：总发放糖果数量、兑换糖果数量，积分获取和使用记录，积分发放、兑换记录，用户每日积分变化、用户持有分数、累计产生分数、消费分数、待兑换分数、已兑换分数。</w:t>
      </w:r>
    </w:p>
    <w:p>
      <w:pPr>
        <w:pStyle w:val="296"/>
        <w:keepNext w:val="0"/>
        <w:keepLines w:val="0"/>
        <w:pageBreakBefore w:val="0"/>
        <w:numPr>
          <w:ilvl w:val="0"/>
          <w:numId w:val="30"/>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积分商品管理：配置积分商品名称、商品分类、商品分值、商品SKU信息，支持同种商品多款式，支持商品上下架。</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2.2物业工作台</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物业管理系统一登录，待办事项汇总（待处理报事报修、待审核人员统计及清单，过期人员、卡片、车辆统计）。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2.3运营工作台</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运营管理工作台、待办事项、运营情况分析、设备运行状态等。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3.系统设置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3.1账号管理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账号管理：管理平台登录的账号信息，包括创建账号、修改账号信息、删除账号。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3.2角色管理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角色管理：为平台分配不同的角色权限，每个权限有对应的可见菜单。角色能够和账号绑定，给不同的用户进行使用，实现分级分权控制。</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3.3登录页面</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登录页面：运营维护系统登录页面，输入账号密码后根据不同用户权限，首页展示不同菜单信息。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3.4应用管理</w:t>
      </w:r>
    </w:p>
    <w:p>
      <w:pPr>
        <w:keepNext w:val="0"/>
        <w:keepLines w:val="0"/>
        <w:pageBreakBefore w:val="0"/>
        <w:numPr>
          <w:ilvl w:val="0"/>
          <w:numId w:val="3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平台应用管理：配置未来社区平台级别小程序端展示的服务应用名称、功能、以及是否与第三方打通、是否需要设置用户信息授权等功能。</w:t>
      </w:r>
    </w:p>
    <w:p>
      <w:pPr>
        <w:keepNext w:val="0"/>
        <w:keepLines w:val="0"/>
        <w:pageBreakBefore w:val="0"/>
        <w:numPr>
          <w:ilvl w:val="0"/>
          <w:numId w:val="3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租户应用管理：可查看根据平台应用管理下发到租户层级的应用信息，支持平台应用针对各租户单独设置独立应用名称、应用图片等信息。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4.邻里场景管理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4.1邻里公约管理</w:t>
      </w:r>
    </w:p>
    <w:p>
      <w:pPr>
        <w:keepNext w:val="0"/>
        <w:keepLines w:val="0"/>
        <w:pageBreakBefore w:val="0"/>
        <w:numPr>
          <w:ilvl w:val="0"/>
          <w:numId w:val="3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公约内容管理：公约内容编辑，修订，发布。</w:t>
      </w:r>
    </w:p>
    <w:p>
      <w:pPr>
        <w:keepNext w:val="0"/>
        <w:keepLines w:val="0"/>
        <w:pageBreakBefore w:val="0"/>
        <w:numPr>
          <w:ilvl w:val="0"/>
          <w:numId w:val="3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签约列表：居民已签约名单，显示用户信息及签约时间。</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4.2邻里圈管理</w:t>
      </w:r>
    </w:p>
    <w:p>
      <w:pPr>
        <w:keepNext w:val="0"/>
        <w:keepLines w:val="0"/>
        <w:pageBreakBefore w:val="0"/>
        <w:numPr>
          <w:ilvl w:val="0"/>
          <w:numId w:val="3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社群管理：社群基本信息管理，包含社群负责人、社群参与人数、社群组织方、社群成立时间、社群历史活动集锦。支持社群的新增、编辑、删除操作。支持社群成员管理，社群负责人的任命、罢免操作。</w:t>
      </w:r>
    </w:p>
    <w:p>
      <w:pPr>
        <w:keepNext w:val="0"/>
        <w:keepLines w:val="0"/>
        <w:pageBreakBefore w:val="0"/>
        <w:numPr>
          <w:ilvl w:val="0"/>
          <w:numId w:val="3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社群活动审核：社群活动创建申请列表，审核通过的活动会添加到邻里活动的社群活动中。</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4.3社区超话管理</w:t>
      </w:r>
    </w:p>
    <w:p>
      <w:pPr>
        <w:keepNext w:val="0"/>
        <w:keepLines w:val="0"/>
        <w:pageBreakBefore w:val="0"/>
        <w:numPr>
          <w:ilvl w:val="0"/>
          <w:numId w:val="3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话题管理：社区话题列表，话题编辑、发布。</w:t>
      </w:r>
    </w:p>
    <w:p>
      <w:pPr>
        <w:keepNext w:val="0"/>
        <w:keepLines w:val="0"/>
        <w:pageBreakBefore w:val="0"/>
        <w:numPr>
          <w:ilvl w:val="0"/>
          <w:numId w:val="3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内容审核：话题活跃度统计分析，用户话题参与，评论内容安全审核等管理。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4.4社区达人管理</w:t>
      </w:r>
    </w:p>
    <w:p>
      <w:pPr>
        <w:keepNext w:val="0"/>
        <w:keepLines w:val="0"/>
        <w:pageBreakBefore w:val="0"/>
        <w:numPr>
          <w:ilvl w:val="0"/>
          <w:numId w:val="3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达人审核：审核达人申请信息，可以选择通过、不通过两种状态。</w:t>
      </w:r>
    </w:p>
    <w:p>
      <w:pPr>
        <w:keepNext w:val="0"/>
        <w:keepLines w:val="0"/>
        <w:pageBreakBefore w:val="0"/>
        <w:numPr>
          <w:ilvl w:val="0"/>
          <w:numId w:val="3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达人发起活动审核：审核达人发起的活动，可以选择通过、不通过两种状态。</w:t>
      </w:r>
    </w:p>
    <w:p>
      <w:pPr>
        <w:keepNext w:val="0"/>
        <w:keepLines w:val="0"/>
        <w:pageBreakBefore w:val="0"/>
        <w:numPr>
          <w:ilvl w:val="0"/>
          <w:numId w:val="3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达人风采发布：新增和编辑达人风采信息，支持发布、取消发布两种状态。</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4.5投票管理</w:t>
      </w:r>
    </w:p>
    <w:p>
      <w:pPr>
        <w:keepNext w:val="0"/>
        <w:keepLines w:val="0"/>
        <w:pageBreakBefore w:val="0"/>
        <w:numPr>
          <w:ilvl w:val="0"/>
          <w:numId w:val="3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投票管理：支持对投票的新增、修改、删除、发布、下架操作。支持生成投票二维码，使用小程序扫码进行投票。支持投票结果的查看。</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4.6活动管理</w:t>
      </w:r>
    </w:p>
    <w:p>
      <w:pPr>
        <w:keepNext w:val="0"/>
        <w:keepLines w:val="0"/>
        <w:pageBreakBefore w:val="0"/>
        <w:numPr>
          <w:ilvl w:val="0"/>
          <w:numId w:val="3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活动列表：支持活动的新增、编辑、发布、取消操作，活动内容支持文字、图片视频的播放。支持查看活动报名二维码、查看活动签到二维码。支持编辑活动回顾信息。支持查看活动报名用户信息。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4.7社区广播管理</w:t>
      </w:r>
    </w:p>
    <w:p>
      <w:pPr>
        <w:keepNext w:val="0"/>
        <w:keepLines w:val="0"/>
        <w:pageBreakBefore w:val="0"/>
        <w:numPr>
          <w:ilvl w:val="0"/>
          <w:numId w:val="3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通知公告管理：通知公告列表，通知公告内容编辑、发布，通知公告浏览记录，已阅读人员列表。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4.8许愿池管理</w:t>
      </w:r>
    </w:p>
    <w:p>
      <w:pPr>
        <w:keepNext w:val="0"/>
        <w:keepLines w:val="0"/>
        <w:pageBreakBefore w:val="0"/>
        <w:numPr>
          <w:ilvl w:val="0"/>
          <w:numId w:val="3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心愿管理：社区统筹心愿编辑、发布；居民提交心愿列表，心愿详情及审核；社区统筹心愿认领落实。</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4.9便民生活圈管理</w:t>
      </w:r>
    </w:p>
    <w:p>
      <w:pPr>
        <w:keepNext w:val="0"/>
        <w:keepLines w:val="0"/>
        <w:pageBreakBefore w:val="0"/>
        <w:numPr>
          <w:ilvl w:val="0"/>
          <w:numId w:val="4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便民生活服务点列表：教育、医疗、服务等各类便民服务点管理，便民生活圈服务点信息维护。</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4.10 场馆预约管理</w:t>
      </w:r>
    </w:p>
    <w:p>
      <w:pPr>
        <w:keepNext w:val="0"/>
        <w:keepLines w:val="0"/>
        <w:pageBreakBefore w:val="0"/>
        <w:numPr>
          <w:ilvl w:val="0"/>
          <w:numId w:val="4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邻里场馆类型管理：配置邻里场馆对应的类型，支持新增、修改、删除。</w:t>
      </w:r>
    </w:p>
    <w:p>
      <w:pPr>
        <w:keepNext w:val="0"/>
        <w:keepLines w:val="0"/>
        <w:pageBreakBefore w:val="0"/>
        <w:numPr>
          <w:ilvl w:val="0"/>
          <w:numId w:val="4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场馆管理：支持邻里场馆信息的配置，支持新增、修改、删除、开启、关闭操作，邻里场馆信息支持图片和文字描述。预约方式支持场次预约、电话预约、第三方预约界面接入、文字说明四种。支持邻里场馆点位配置。</w:t>
      </w:r>
    </w:p>
    <w:p>
      <w:pPr>
        <w:keepNext w:val="0"/>
        <w:keepLines w:val="0"/>
        <w:pageBreakBefore w:val="0"/>
        <w:numPr>
          <w:ilvl w:val="0"/>
          <w:numId w:val="4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邻里场馆预约订单：查看用户预约订单详情信息，支持取消预约订单。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4.11张阿姨工作室管理</w:t>
      </w:r>
    </w:p>
    <w:p>
      <w:pPr>
        <w:keepNext w:val="0"/>
        <w:keepLines w:val="0"/>
        <w:pageBreakBefore w:val="0"/>
        <w:numPr>
          <w:ilvl w:val="0"/>
          <w:numId w:val="4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手工订单发布、管理、数据统计分析。</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4.12周边游信息管理</w:t>
      </w:r>
    </w:p>
    <w:p>
      <w:pPr>
        <w:keepNext w:val="0"/>
        <w:keepLines w:val="0"/>
        <w:pageBreakBefore w:val="0"/>
        <w:numPr>
          <w:ilvl w:val="0"/>
          <w:numId w:val="4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景点管理：景观点位信息维护，景观、人物介绍、音频管理、设备绑定等信息维护。</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4.13家头条管理</w:t>
      </w:r>
    </w:p>
    <w:p>
      <w:pPr>
        <w:keepNext w:val="0"/>
        <w:keepLines w:val="0"/>
        <w:pageBreakBefore w:val="0"/>
        <w:numPr>
          <w:ilvl w:val="0"/>
          <w:numId w:val="4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家头条：打开家头条管理页面，家头条内容维护。</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4.14惠停车管理</w:t>
      </w:r>
    </w:p>
    <w:p>
      <w:pPr>
        <w:keepNext w:val="0"/>
        <w:keepLines w:val="0"/>
        <w:pageBreakBefore w:val="0"/>
        <w:numPr>
          <w:ilvl w:val="0"/>
          <w:numId w:val="4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亲友车辆管理；</w:t>
      </w:r>
    </w:p>
    <w:p>
      <w:pPr>
        <w:keepNext w:val="0"/>
        <w:keepLines w:val="0"/>
        <w:pageBreakBefore w:val="0"/>
        <w:numPr>
          <w:ilvl w:val="0"/>
          <w:numId w:val="4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亲友停车申请管理。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5.教育场景管理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5.1学习地图管理</w:t>
      </w:r>
    </w:p>
    <w:p>
      <w:pPr>
        <w:keepNext w:val="0"/>
        <w:keepLines w:val="0"/>
        <w:pageBreakBefore w:val="0"/>
        <w:numPr>
          <w:ilvl w:val="0"/>
          <w:numId w:val="4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教育场馆类型管理：配置不同教育场景下的场馆类型。</w:t>
      </w:r>
    </w:p>
    <w:p>
      <w:pPr>
        <w:keepNext w:val="0"/>
        <w:keepLines w:val="0"/>
        <w:pageBreakBefore w:val="0"/>
        <w:numPr>
          <w:ilvl w:val="0"/>
          <w:numId w:val="4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场馆管理：支持教育场馆的新增、修改、删除、开启、关闭操作，教育场馆信息展示支持图片和文字描述。场馆预约方式支持电话预约、第三方预约界面接入、文字说明三种。教育场馆信息能与空间点位关联，支持实景点位展示。</w:t>
      </w:r>
    </w:p>
    <w:p>
      <w:pPr>
        <w:keepNext w:val="0"/>
        <w:keepLines w:val="0"/>
        <w:pageBreakBefore w:val="0"/>
        <w:numPr>
          <w:ilvl w:val="0"/>
          <w:numId w:val="4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教育地图预约订单：查看用户预约订单详情信息，支持取消预约订单。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5.2幼托管理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幼托空间管理：配置幼托场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馆信息、排班信息以及对应空间监控摄像头信息。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5.3幸福学堂活动管理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活动列表：支持活动的新增、编辑、发布、取消操作，活动内容支持文字、图片视频的播放。支持查看活动报名二维码、查看活动签到二维码。支持编辑活动回顾信息。支持查看活动报名用户信息。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5.4社区直播间管理</w:t>
      </w:r>
    </w:p>
    <w:p>
      <w:pPr>
        <w:keepNext w:val="0"/>
        <w:keepLines w:val="0"/>
        <w:pageBreakBefore w:val="0"/>
        <w:numPr>
          <w:ilvl w:val="0"/>
          <w:numId w:val="4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主播管理：管理达人直播间列表。</w:t>
      </w:r>
    </w:p>
    <w:p>
      <w:pPr>
        <w:keepNext w:val="0"/>
        <w:keepLines w:val="0"/>
        <w:pageBreakBefore w:val="0"/>
        <w:numPr>
          <w:ilvl w:val="0"/>
          <w:numId w:val="4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视频管理：达人视频列表管理，内容添加、删除、发布、下架。</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5.5社会实践活动管理</w:t>
      </w:r>
    </w:p>
    <w:p>
      <w:pPr>
        <w:keepNext w:val="0"/>
        <w:keepLines w:val="0"/>
        <w:pageBreakBefore w:val="0"/>
        <w:numPr>
          <w:ilvl w:val="0"/>
          <w:numId w:val="4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活动列表：支持活动的新增、编辑、发布、取消操作，活动内容支持文字、图片视频的播放。支持查看活动报名二维码、查看活动签到二维码。支持编辑活动回顾信息。支持查看活动报名用户信息。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5.6教培机构管理</w:t>
      </w:r>
    </w:p>
    <w:p>
      <w:pPr>
        <w:keepNext w:val="0"/>
        <w:keepLines w:val="0"/>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教育机构入驻管理，教育机构通过小程序申请入驻，平台审核；</w:t>
      </w:r>
    </w:p>
    <w:p>
      <w:pPr>
        <w:keepNext w:val="0"/>
        <w:keepLines w:val="0"/>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教育机构管理。</w:t>
      </w:r>
    </w:p>
    <w:p>
      <w:pPr>
        <w:keepNext w:val="0"/>
        <w:keepLines w:val="0"/>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教育机构培训课程管理，包括小程序提交后需要审核课程，以及已审核课程；</w:t>
      </w:r>
    </w:p>
    <w:p>
      <w:pPr>
        <w:keepNext w:val="0"/>
        <w:keepLines w:val="0"/>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课程（免费+非免费）预约报名列表。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6.健康场景管理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6.1运动积分管理</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查看运动积分产生情况。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6.2时间银行活动管理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银行志愿活动管理：支持志愿活动的新增、编辑、发布、取消操作，志愿活动可以设置活动名称、活动介绍、报名开始时间、报名结束时间、完成活动可获得时间银行分值。支持查看时间银行活动报名二维码、签到二维码。可查看活动报名情况，并对报名人员进行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6.3 AED地图管理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AED设备管理：AED设备位置信息及使用说明维护。</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6.4健身地图管理</w:t>
      </w:r>
    </w:p>
    <w:p>
      <w:pPr>
        <w:keepNext w:val="0"/>
        <w:keepLines w:val="0"/>
        <w:pageBreakBefore w:val="0"/>
        <w:numPr>
          <w:ilvl w:val="0"/>
          <w:numId w:val="5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健康场所类型管理：配置健康场所对应的类型，支持新增、修改、删除。</w:t>
      </w:r>
    </w:p>
    <w:p>
      <w:pPr>
        <w:keepNext w:val="0"/>
        <w:keepLines w:val="0"/>
        <w:pageBreakBefore w:val="0"/>
        <w:numPr>
          <w:ilvl w:val="0"/>
          <w:numId w:val="5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健康场所管理：支持健康场所信息的配置，支持新增、修改、删除、开启、关闭操作，健康场所支持图片和文字描述，能够设置排班预约、拨打电话预约、嵌入官网预约页面、预约负责人微信二维码。</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6.5健身小屋管理</w:t>
      </w:r>
    </w:p>
    <w:p>
      <w:pPr>
        <w:keepNext w:val="0"/>
        <w:keepLines w:val="0"/>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维护健康小屋信息；</w:t>
      </w:r>
    </w:p>
    <w:p>
      <w:pPr>
        <w:keepNext w:val="0"/>
        <w:keepLines w:val="0"/>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管理健康小屋设备运行状态；</w:t>
      </w:r>
    </w:p>
    <w:p>
      <w:pPr>
        <w:keepNext w:val="0"/>
        <w:keepLines w:val="0"/>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管理健康小屋检查记录。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7.创业场景管理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7.1助企政策内容管理</w:t>
      </w:r>
    </w:p>
    <w:p>
      <w:pPr>
        <w:keepNext w:val="0"/>
        <w:keepLines w:val="0"/>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政策分类管理：配置政策内容对应的类型，支持新增、修改、删除</w:t>
      </w:r>
    </w:p>
    <w:p>
      <w:pPr>
        <w:keepNext w:val="0"/>
        <w:keepLines w:val="0"/>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政策内容管理：支持政策内容的新增、修改、删除、开启、关闭操作，政策信息展示支持图片和文字描述。</w:t>
      </w:r>
    </w:p>
    <w:p>
      <w:pPr>
        <w:keepNext w:val="0"/>
        <w:keepLines w:val="0"/>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内容审核管理：评论内容审核。</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7.2办公场地出租</w:t>
      </w:r>
    </w:p>
    <w:p>
      <w:pPr>
        <w:keepNext w:val="0"/>
        <w:keepLines w:val="0"/>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管理办公场地列表；</w:t>
      </w:r>
    </w:p>
    <w:p>
      <w:pPr>
        <w:keepNext w:val="0"/>
        <w:keepLines w:val="0"/>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管理场地租赁订单。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7.3助企招聘管理</w:t>
      </w:r>
    </w:p>
    <w:p>
      <w:pPr>
        <w:keepNext w:val="0"/>
        <w:keepLines w:val="0"/>
        <w:pageBreakBefore w:val="0"/>
        <w:numPr>
          <w:ilvl w:val="0"/>
          <w:numId w:val="5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发布、管理、上架、下架招聘信息。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7.4明星企业管理</w:t>
      </w:r>
    </w:p>
    <w:p>
      <w:pPr>
        <w:keepNext w:val="0"/>
        <w:keepLines w:val="0"/>
        <w:pageBreakBefore w:val="0"/>
        <w:numPr>
          <w:ilvl w:val="0"/>
          <w:numId w:val="5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企业管理：支持明星企业宣传内容的新增、修改、删除、开启、关闭操作，明星企业宣传信息展示支持图片和文字描述。</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7.5人才补贴管理</w:t>
      </w:r>
    </w:p>
    <w:p>
      <w:pPr>
        <w:keepNext w:val="0"/>
        <w:keepLines w:val="0"/>
        <w:pageBreakBefore w:val="0"/>
        <w:numPr>
          <w:ilvl w:val="0"/>
          <w:numId w:val="5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审核招才引智、人才补贴评论内容。</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8.服务场景管理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8.1物业管家管理</w:t>
      </w:r>
    </w:p>
    <w:p>
      <w:pPr>
        <w:keepNext w:val="0"/>
        <w:keepLines w:val="0"/>
        <w:pageBreakBefore w:val="0"/>
        <w:numPr>
          <w:ilvl w:val="0"/>
          <w:numId w:val="5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物业管家管理：物业管家列表，物业管家个人信息，物业管家评分管理。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8.2报事报修工单管理</w:t>
      </w:r>
    </w:p>
    <w:p>
      <w:pPr>
        <w:keepNext w:val="0"/>
        <w:keepLines w:val="0"/>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工单管理订单：根据小区、楼栋，配备相应的管理员进行处理，下单和超时的进行短信提醒。</w:t>
      </w:r>
    </w:p>
    <w:p>
      <w:pPr>
        <w:keepNext w:val="0"/>
        <w:keepLines w:val="0"/>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工单类型管理：可进行增加修改内容等操作。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8.3投诉建议管理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投诉建议管理：投诉问题审核及答复，建议内容评估及采纳答复。</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bookmarkStart w:id="39" w:name="_Hlk108203105"/>
      <w:r>
        <w:rPr>
          <w:rFonts w:hint="eastAsia" w:ascii="宋体" w:hAnsi="宋体" w:eastAsia="宋体" w:cs="宋体"/>
          <w:b/>
          <w:bCs/>
          <w:color w:val="auto"/>
          <w:sz w:val="21"/>
          <w:szCs w:val="21"/>
          <w:highlight w:val="none"/>
        </w:rPr>
        <w:t>8.4物业风采管理</w:t>
      </w:r>
    </w:p>
    <w:p>
      <w:pPr>
        <w:keepNext w:val="0"/>
        <w:keepLines w:val="0"/>
        <w:pageBreakBefore w:val="0"/>
        <w:numPr>
          <w:ilvl w:val="0"/>
          <w:numId w:val="5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物业风采管理：物业工作动态及形象宣传内容发布，支持内容添加、编辑、发布。</w:t>
      </w:r>
    </w:p>
    <w:bookmarkEnd w:id="39"/>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8.5便民通讯录管理</w:t>
      </w:r>
    </w:p>
    <w:p>
      <w:pPr>
        <w:keepNext w:val="0"/>
        <w:keepLines w:val="0"/>
        <w:pageBreakBefore w:val="0"/>
        <w:numPr>
          <w:ilvl w:val="0"/>
          <w:numId w:val="6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便民通讯录管理：添加、删除便民通讯电话。</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8.6访客管理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访客管理：访客登记信息及访客来访记录。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8.7惠停车管理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亲友停车管理：审核亲友车辆登记申请。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8.8惠生活管理</w:t>
      </w:r>
    </w:p>
    <w:p>
      <w:pPr>
        <w:keepNext w:val="0"/>
        <w:keepLines w:val="0"/>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商家入驻管理；</w:t>
      </w:r>
    </w:p>
    <w:p>
      <w:pPr>
        <w:keepNext w:val="0"/>
        <w:keepLines w:val="0"/>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商家商品发布审核；</w:t>
      </w:r>
    </w:p>
    <w:p>
      <w:pPr>
        <w:keepNext w:val="0"/>
        <w:keepLines w:val="0"/>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商家商品管理，包括商品评价；</w:t>
      </w:r>
    </w:p>
    <w:p>
      <w:pPr>
        <w:keepNext w:val="0"/>
        <w:keepLines w:val="0"/>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订单管理。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8.9服务评价管理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服务评价管理：物业服务评价统计。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8.10阳光公示管理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公示管理：发布公示内容，内容支持力图片、文字描述，支持内容添加、编辑、发布。</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8.11幸福大食堂管理</w:t>
      </w:r>
    </w:p>
    <w:p>
      <w:pPr>
        <w:keepNext w:val="0"/>
        <w:keepLines w:val="0"/>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管理菜品、套餐列表；</w:t>
      </w:r>
    </w:p>
    <w:p>
      <w:pPr>
        <w:keepNext w:val="0"/>
        <w:keepLines w:val="0"/>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管理订单列表，并且可以查询订单评价；</w:t>
      </w:r>
    </w:p>
    <w:p>
      <w:pPr>
        <w:keepNext w:val="0"/>
        <w:keepLines w:val="0"/>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统计我的菜品评价。</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8.12幸福大食堂管理</w:t>
      </w:r>
    </w:p>
    <w:p>
      <w:pPr>
        <w:keepNext w:val="0"/>
        <w:keepLines w:val="0"/>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管理审核房屋出租、求租信息；</w:t>
      </w:r>
    </w:p>
    <w:p>
      <w:pPr>
        <w:keepNext w:val="0"/>
        <w:keepLines w:val="0"/>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管理、核实举报数据；</w:t>
      </w:r>
    </w:p>
    <w:p>
      <w:pPr>
        <w:keepNext w:val="0"/>
        <w:keepLines w:val="0"/>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提供VR全景上传功能，增值运营。</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9.低碳场景管理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9.1电动车/电瓶车充电桩管理</w:t>
      </w:r>
    </w:p>
    <w:p>
      <w:pPr>
        <w:keepNext w:val="0"/>
        <w:keepLines w:val="0"/>
        <w:pageBreakBefore w:val="0"/>
        <w:numPr>
          <w:ilvl w:val="0"/>
          <w:numId w:val="6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充电桩设备列表，设备运行状态查询；</w:t>
      </w:r>
    </w:p>
    <w:p>
      <w:pPr>
        <w:keepNext w:val="0"/>
        <w:keepLines w:val="0"/>
        <w:pageBreakBefore w:val="0"/>
        <w:numPr>
          <w:ilvl w:val="0"/>
          <w:numId w:val="6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设备故障告警；</w:t>
      </w:r>
    </w:p>
    <w:p>
      <w:pPr>
        <w:keepNext w:val="0"/>
        <w:keepLines w:val="0"/>
        <w:pageBreakBefore w:val="0"/>
        <w:numPr>
          <w:ilvl w:val="0"/>
          <w:numId w:val="6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充电设备使用及设备运行状态数据分析。</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9.2垃圾分类管理</w:t>
      </w:r>
    </w:p>
    <w:p>
      <w:pPr>
        <w:keepNext w:val="0"/>
        <w:keepLines w:val="0"/>
        <w:pageBreakBefore w:val="0"/>
        <w:numPr>
          <w:ilvl w:val="0"/>
          <w:numId w:val="6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答题库管理：知识答题库题型的增添修改。</w:t>
      </w:r>
    </w:p>
    <w:p>
      <w:pPr>
        <w:keepNext w:val="0"/>
        <w:keepLines w:val="0"/>
        <w:pageBreakBefore w:val="0"/>
        <w:numPr>
          <w:ilvl w:val="0"/>
          <w:numId w:val="6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照片审核：管理员审核垃圾桶照片。</w:t>
      </w:r>
    </w:p>
    <w:p>
      <w:pPr>
        <w:keepNext w:val="0"/>
        <w:keepLines w:val="0"/>
        <w:pageBreakBefore w:val="0"/>
        <w:numPr>
          <w:ilvl w:val="0"/>
          <w:numId w:val="6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完成度查看：查看本期答题整体完成情况。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10.治理场景管理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10.1居民议事厅管理</w:t>
      </w:r>
    </w:p>
    <w:p>
      <w:pPr>
        <w:keepNext w:val="0"/>
        <w:keepLines w:val="0"/>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组织架构管理：街道工委、社区居民议事员信息管理，添加、修改、删除人员。</w:t>
      </w:r>
    </w:p>
    <w:p>
      <w:pPr>
        <w:keepNext w:val="0"/>
        <w:keepLines w:val="0"/>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议事动态管理：发布议事动态内容，内容支持力图片、文字描述，支持内容添加、编辑、发布。</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10.2民意收集</w:t>
      </w:r>
    </w:p>
    <w:p>
      <w:pPr>
        <w:keepNext w:val="0"/>
        <w:keepLines w:val="0"/>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话题管理：话题添加、修改、删除、发布，话题讨论内容审核。</w:t>
      </w:r>
    </w:p>
    <w:p>
      <w:pPr>
        <w:keepNext w:val="0"/>
        <w:keepLines w:val="0"/>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民生建议管理：民生民意问题审核及答复，居民建议内容评估及采纳答复。</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10.3民生实事管理</w:t>
      </w:r>
    </w:p>
    <w:p>
      <w:pPr>
        <w:keepNext w:val="0"/>
        <w:keepLines w:val="0"/>
        <w:pageBreakBefore w:val="0"/>
        <w:numPr>
          <w:ilvl w:val="0"/>
          <w:numId w:val="6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民生实事项目管理：支持项目介绍、项目动态、项目议事话题、项目评价、项目满意度测评的新增、修改、删除。</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10.4防疫防控</w:t>
      </w:r>
    </w:p>
    <w:p>
      <w:pPr>
        <w:keepNext w:val="0"/>
        <w:keepLines w:val="0"/>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核酸检测点管理：核酸检测点信息添加、修改。删除。</w:t>
      </w:r>
    </w:p>
    <w:p>
      <w:pPr>
        <w:keepNext w:val="0"/>
        <w:keepLines w:val="0"/>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疫苗接种管理：社区疫苗接种预约、疫苗情况信息维护。</w:t>
      </w:r>
    </w:p>
    <w:p>
      <w:pPr>
        <w:keepNext w:val="0"/>
        <w:keepLines w:val="0"/>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防疫资讯：发布防疫动态内容，内容支持力图片、文字描述，支持内容添加、编辑、发布。</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10.5</w:t>
      </w:r>
      <w:bookmarkStart w:id="40" w:name="_Hlk108206899"/>
      <w:r>
        <w:rPr>
          <w:rFonts w:hint="eastAsia" w:ascii="宋体" w:hAnsi="宋体" w:eastAsia="宋体" w:cs="宋体"/>
          <w:b/>
          <w:bCs/>
          <w:color w:val="auto"/>
          <w:sz w:val="21"/>
          <w:szCs w:val="21"/>
          <w:highlight w:val="none"/>
        </w:rPr>
        <w:t>反诈知识</w:t>
      </w:r>
      <w:bookmarkEnd w:id="40"/>
      <w:r>
        <w:rPr>
          <w:rFonts w:hint="eastAsia" w:ascii="宋体" w:hAnsi="宋体" w:eastAsia="宋体" w:cs="宋体"/>
          <w:b/>
          <w:bCs/>
          <w:color w:val="auto"/>
          <w:sz w:val="21"/>
          <w:szCs w:val="21"/>
          <w:highlight w:val="none"/>
        </w:rPr>
        <w:t>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反诈知识管理：反诈知识的新增、修改和删除，以及发布和取消发布操作。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bookmarkStart w:id="41" w:name="_Toc23476"/>
      <w:bookmarkStart w:id="42" w:name="_Hlk108357195"/>
      <w:r>
        <w:rPr>
          <w:rFonts w:hint="eastAsia" w:ascii="宋体" w:hAnsi="宋体" w:eastAsia="宋体" w:cs="宋体"/>
          <w:b/>
          <w:bCs/>
          <w:color w:val="auto"/>
          <w:sz w:val="21"/>
          <w:szCs w:val="21"/>
          <w:highlight w:val="none"/>
          <w:lang w:val="en-US"/>
        </w:rPr>
        <w:t>5.1.3未来社区治理工作台系统</w:t>
      </w:r>
      <w:bookmarkEnd w:id="41"/>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bookmarkStart w:id="43" w:name="_Hlk108359969"/>
      <w:r>
        <w:rPr>
          <w:rFonts w:hint="eastAsia" w:ascii="宋体" w:hAnsi="宋体" w:eastAsia="宋体" w:cs="宋体"/>
          <w:b/>
          <w:bCs/>
          <w:color w:val="auto"/>
          <w:sz w:val="21"/>
          <w:szCs w:val="21"/>
          <w:highlight w:val="none"/>
          <w:lang w:val="en-US"/>
        </w:rPr>
        <w:t>5.1.3.1系统概述</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未来社区治理工作台系统以PC WEB端为载体，主要用户对象为社区工作人员及政府人员，主要进行针对未来社区数字化综合治理的场景管理和数据查阅。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5.1.3.2功能架构</w:t>
      </w:r>
    </w:p>
    <w:p>
      <w:pPr>
        <w:spacing w:line="360" w:lineRule="auto"/>
        <w:jc w:val="center"/>
        <w:rPr>
          <w:color w:val="auto"/>
          <w:szCs w:val="21"/>
          <w:highlight w:val="none"/>
        </w:rPr>
      </w:pPr>
      <w:r>
        <w:rPr>
          <w:color w:val="auto"/>
          <w:szCs w:val="21"/>
          <w:highlight w:val="none"/>
        </w:rPr>
        <w:drawing>
          <wp:inline distT="0" distB="0" distL="114300" distR="114300">
            <wp:extent cx="5824855" cy="3173095"/>
            <wp:effectExtent l="0" t="0" r="4445" b="8255"/>
            <wp:docPr id="25" name="图片 23" descr="300894d5b3fc642add3aa626f116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300894d5b3fc642add3aa626f116d8e"/>
                    <pic:cNvPicPr>
                      <a:picLocks noChangeAspect="1"/>
                    </pic:cNvPicPr>
                  </pic:nvPicPr>
                  <pic:blipFill>
                    <a:blip r:embed="rId16"/>
                    <a:stretch>
                      <a:fillRect/>
                    </a:stretch>
                  </pic:blipFill>
                  <pic:spPr>
                    <a:xfrm>
                      <a:off x="0" y="0"/>
                      <a:ext cx="5824855" cy="3173095"/>
                    </a:xfrm>
                    <a:prstGeom prst="rect">
                      <a:avLst/>
                    </a:prstGeom>
                    <a:noFill/>
                    <a:ln>
                      <a:noFill/>
                    </a:ln>
                  </pic:spPr>
                </pic:pic>
              </a:graphicData>
            </a:graphic>
          </wp:inline>
        </w:drawing>
      </w:r>
    </w:p>
    <w:p>
      <w:pPr>
        <w:spacing w:line="360" w:lineRule="auto"/>
        <w:jc w:val="center"/>
        <w:rPr>
          <w:color w:val="auto"/>
          <w:szCs w:val="21"/>
          <w:highlight w:val="none"/>
        </w:rPr>
      </w:pPr>
      <w:r>
        <w:rPr>
          <w:color w:val="auto"/>
          <w:sz w:val="21"/>
          <w:szCs w:val="21"/>
          <w:highlight w:val="none"/>
        </w:rPr>
        <w:t>图</w:t>
      </w:r>
      <w:r>
        <w:rPr>
          <w:color w:val="auto"/>
          <w:szCs w:val="21"/>
          <w:highlight w:val="none"/>
        </w:rPr>
        <w:t xml:space="preserve"> 5.1.3.2 </w:t>
      </w:r>
      <w:r>
        <w:rPr>
          <w:color w:val="auto"/>
          <w:sz w:val="21"/>
          <w:szCs w:val="21"/>
          <w:highlight w:val="none"/>
        </w:rPr>
        <w:t>未来社区治理工作台系统功能架构</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5.1.3.3功能设计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1.场景管理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1.1邻里场景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（1）投票数据总览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投票数据总览：查询未来社区运营过程中举办过的投票次数，以及每次投票的结果数据。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（2）邻里公约设置</w:t>
      </w:r>
    </w:p>
    <w:p>
      <w:pPr>
        <w:keepNext w:val="0"/>
        <w:keepLines w:val="0"/>
        <w:pageBreakBefore w:val="0"/>
        <w:numPr>
          <w:ilvl w:val="0"/>
          <w:numId w:val="7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邻里公约管理：编辑邻里公约内容。</w:t>
      </w:r>
    </w:p>
    <w:p>
      <w:pPr>
        <w:keepNext w:val="0"/>
        <w:keepLines w:val="0"/>
        <w:pageBreakBefore w:val="0"/>
        <w:numPr>
          <w:ilvl w:val="0"/>
          <w:numId w:val="7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邻里公约签订查询：查看邻里公约的签订情况，查询签订率和签订详情。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（3）活动数据总览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社区活动数据总览：</w:t>
      </w:r>
      <w:bookmarkStart w:id="44" w:name="_Hlk108207754"/>
      <w:r>
        <w:rPr>
          <w:rFonts w:hint="eastAsia" w:ascii="宋体" w:hAnsi="宋体" w:eastAsia="宋体" w:cs="宋体"/>
          <w:color w:val="auto"/>
          <w:sz w:val="21"/>
          <w:szCs w:val="21"/>
          <w:highlight w:val="none"/>
        </w:rPr>
        <w:t>查询未来社区运营过程中举办过的活动次数、活动参与人数，以及每次活动的参与数据，根据分类统计居民参与人数，分析居民活动喜好</w:t>
      </w:r>
      <w:bookmarkEnd w:id="44"/>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（4）邻里圈数据总览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邻里圈数据总览：查询未来社区运营过程中邻里圈子次数、成员人数、活动参与人数，圈了活跃度，圈子分类统计。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1.2教育场景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（1）教育地图总览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教育地图总览：展示教育地图相关的场所名称、简介、负责人、负责人联系方式、场所点位等信息。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（2）直播数据总览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直播数据总览：展示直播场次、观看人数、分类统计观看人数等信息。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（3）学生实践数据总览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学生实践数据总览：查询未来社区运营过程中举办过的活动次数、活动参与人数，以及每次活动的参与数据，根据分类统计学生参与人数，分析学生对活动喜好。</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1.3健康场景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（1）康养地图场馆总览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康养地图总览：展示康养地图上各康养机构的数据信息，包含服务时间、服务范围、服务内容、服务咨询方式、服务预约方式等信息。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（2）安全智护报警总览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智护报警总览：查看各类智慧养老安全守护设备的报警信息，以及报警后生成的工单的处理情况和平台情况。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1.4服务场景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（1）党建引领管理</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党建引领管理：三会一课、主题活动以及社区党员数据维护管理。</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（2）物业服务数据总览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物业服务数据总览：物业人员配备情况、服务次数、投诉次数、服务评价等数据总览。</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bookmarkStart w:id="45" w:name="_Hlk108352688"/>
      <w:r>
        <w:rPr>
          <w:rFonts w:hint="eastAsia" w:ascii="宋体" w:hAnsi="宋体" w:eastAsia="宋体" w:cs="宋体"/>
          <w:b/>
          <w:bCs/>
          <w:color w:val="auto"/>
          <w:sz w:val="21"/>
          <w:szCs w:val="21"/>
          <w:highlight w:val="none"/>
        </w:rPr>
        <w:t>社区商城数据总</w:t>
      </w:r>
      <w:bookmarkEnd w:id="45"/>
      <w:r>
        <w:rPr>
          <w:rFonts w:hint="eastAsia" w:ascii="宋体" w:hAnsi="宋体" w:eastAsia="宋体" w:cs="宋体"/>
          <w:b/>
          <w:bCs/>
          <w:color w:val="auto"/>
          <w:sz w:val="21"/>
          <w:szCs w:val="21"/>
          <w:highlight w:val="none"/>
        </w:rPr>
        <w:t>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社区商城数据总监：商家、商品、团购、服务评价、订单等数据总览。</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（4）幸福大食堂数据总览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幸福大食堂数据总监：菜品数量、订单数量、服务评价等数据总览。</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1.5低碳场景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（1）电动车/电瓶车充电数据总览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充电数据总览：查看社区范围内电动车/电瓶车使用及运行情况等数据。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（2）垃圾分类/资源回收数据总览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资源回收数据总览：查看居民使用智能垃圾回收柜情况及积分奖励情况数据。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1.6治理场景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（1）民意收集总览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民意收集总览：查看居民民意收集的事件信息，以及处理结果和平台，可根据社区楼幢查询不同维度下的反馈数量和处理完成百分比。</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（2）安防、消防数据总览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安防、消防数据总览：安防、消防物联网设备的在线状态、设备名称、点位信息。以及对应设备产生的告警工单信息的查看、处置。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（3）特殊人群关怀</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特殊人群关怀总览：特殊人群信息，智能手环、SOS报警、门磁探测数据，独居老人事件AI分析及事件数据。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（4）重点人员</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重点人员管理：重点人员管理，人员信息添加、编辑、删除；AI监控抓分析，人员出入告警，告警信息推送；告警事件处置。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（5）应急指挥</w:t>
      </w:r>
    </w:p>
    <w:p>
      <w:pPr>
        <w:keepNext w:val="0"/>
        <w:keepLines w:val="0"/>
        <w:pageBreakBefore w:val="0"/>
        <w:numPr>
          <w:ilvl w:val="0"/>
          <w:numId w:val="7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整合社区监控、物联感知设备，应急指挥资源调度。</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（6）店铺监管数据互通</w:t>
      </w:r>
    </w:p>
    <w:p>
      <w:pPr>
        <w:keepNext w:val="0"/>
        <w:keepLines w:val="0"/>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沿街店铺安全检查，检查项目管理，检查记录；</w:t>
      </w:r>
    </w:p>
    <w:p>
      <w:pPr>
        <w:keepNext w:val="0"/>
        <w:keepLines w:val="0"/>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社工管理，社工账号、信息维护；</w:t>
      </w:r>
    </w:p>
    <w:p>
      <w:pPr>
        <w:keepNext w:val="0"/>
        <w:keepLines w:val="0"/>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AI监控、油烟监测仪、水质浑浊度等设备管理；</w:t>
      </w:r>
    </w:p>
    <w:p>
      <w:pPr>
        <w:keepNext w:val="0"/>
        <w:keepLines w:val="0"/>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物联感知数据采集，分析；</w:t>
      </w:r>
    </w:p>
    <w:p>
      <w:pPr>
        <w:keepNext w:val="0"/>
        <w:keepLines w:val="0"/>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事件告警，事件处置、消息推送。</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（7）防疫防控</w:t>
      </w:r>
    </w:p>
    <w:p>
      <w:pPr>
        <w:keepNext w:val="0"/>
        <w:keepLines w:val="0"/>
        <w:pageBreakBefore w:val="0"/>
        <w:numPr>
          <w:ilvl w:val="0"/>
          <w:numId w:val="7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疫苗接种：根据辖区在册人员信息库，进行人员疫苗接种情况查询，掌握辖区人员疫苗接种情况。</w:t>
      </w:r>
    </w:p>
    <w:p>
      <w:pPr>
        <w:keepNext w:val="0"/>
        <w:keepLines w:val="0"/>
        <w:pageBreakBefore w:val="0"/>
        <w:numPr>
          <w:ilvl w:val="0"/>
          <w:numId w:val="7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核酸检测：根据辖区在册人员信息库，进行人员核酸检测情况查询，掌握辖区人员核酸检情况，尤其是疫情管控期间能及时掌握辖区人员核酸检情况，特别是部分特殊行业从业人员核酸检情况；</w:t>
      </w:r>
    </w:p>
    <w:p>
      <w:pPr>
        <w:keepNext w:val="0"/>
        <w:keepLines w:val="0"/>
        <w:pageBreakBefore w:val="0"/>
        <w:numPr>
          <w:ilvl w:val="0"/>
          <w:numId w:val="7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码上安全：疫情常态化防控，门禁系统在设备上展示人员健康码、疫苗接种、核酸检测情况并记录出入记录中，有效减轻社区、物业在防疫防控人员投入。</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1.7交通场景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（1）停车数据总览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停车数据总览：查看居民停车服务使用情况数据统计，闲置车位出租次数、收益。</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1.8创业场景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（1）创业数据总览</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创业数据总览：政策访问量，岗位发布数量、访问量，场地出租订单数量、共享空间预约数量等数据统计分析。</w:t>
      </w:r>
    </w:p>
    <w:bookmarkEnd w:id="43"/>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2.运营管理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功能与未来社区运营工作台系统共用。</w:t>
      </w:r>
    </w:p>
    <w:bookmarkEnd w:id="42"/>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3.用户管理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采用浙里办和浙政钉用户体系、组织架构体系，进行用户身份统一认证。其余功能与未来社区运营工作台系统共用。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4.系统设置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功能与未来社区运营工作台系统共用。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bookmarkStart w:id="46" w:name="_Toc2467"/>
      <w:r>
        <w:rPr>
          <w:rFonts w:hint="eastAsia" w:ascii="宋体" w:hAnsi="宋体" w:eastAsia="宋体" w:cs="宋体"/>
          <w:b/>
          <w:bCs/>
          <w:color w:val="auto"/>
          <w:sz w:val="21"/>
          <w:szCs w:val="21"/>
          <w:highlight w:val="none"/>
          <w:lang w:val="en-US"/>
        </w:rPr>
        <w:t>5.1.4未来社区服务可视化应用</w:t>
      </w:r>
      <w:bookmarkEnd w:id="46"/>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5.1.4.1系统概述</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未来社区</w:t>
      </w:r>
      <w:r>
        <w:rPr>
          <w:rFonts w:hint="eastAsia" w:ascii="宋体" w:hAnsi="宋体" w:eastAsia="宋体" w:cs="宋体"/>
          <w:bCs/>
          <w:color w:val="auto"/>
          <w:sz w:val="21"/>
          <w:szCs w:val="21"/>
          <w:highlight w:val="none"/>
        </w:rPr>
        <w:t>服务</w:t>
      </w:r>
      <w:r>
        <w:rPr>
          <w:rFonts w:hint="eastAsia" w:ascii="宋体" w:hAnsi="宋体" w:eastAsia="宋体" w:cs="宋体"/>
          <w:color w:val="auto"/>
          <w:sz w:val="21"/>
          <w:szCs w:val="21"/>
          <w:highlight w:val="none"/>
        </w:rPr>
        <w:t>可视化应用以网页版数字化大屏为载体，主要用户对象为社区工作人员、运营及街道治理人员等，结合空间数据资产，针对未来社区整体运营情况、周边物联设备数据进行可视化展示。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5.1.4.2功能架构</w:t>
      </w:r>
    </w:p>
    <w:p>
      <w:pPr>
        <w:spacing w:line="360" w:lineRule="auto"/>
        <w:jc w:val="center"/>
        <w:rPr>
          <w:color w:val="auto"/>
          <w:szCs w:val="21"/>
          <w:highlight w:val="none"/>
        </w:rPr>
      </w:pPr>
      <w:bookmarkStart w:id="47" w:name="_Hlk119495807"/>
      <w:r>
        <w:rPr>
          <w:color w:val="auto"/>
          <w:highlight w:val="none"/>
        </w:rPr>
        <w:drawing>
          <wp:inline distT="0" distB="0" distL="114300" distR="114300">
            <wp:extent cx="5394325" cy="4816475"/>
            <wp:effectExtent l="0" t="0" r="15875" b="317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7"/>
                    <a:stretch>
                      <a:fillRect/>
                    </a:stretch>
                  </pic:blipFill>
                  <pic:spPr>
                    <a:xfrm>
                      <a:off x="0" y="0"/>
                      <a:ext cx="5394325" cy="4816475"/>
                    </a:xfrm>
                    <a:prstGeom prst="rect">
                      <a:avLst/>
                    </a:prstGeom>
                    <a:noFill/>
                    <a:ln>
                      <a:noFill/>
                    </a:ln>
                  </pic:spPr>
                </pic:pic>
              </a:graphicData>
            </a:graphic>
          </wp:inline>
        </w:drawing>
      </w:r>
      <w:bookmarkEnd w:id="47"/>
    </w:p>
    <w:p>
      <w:pPr>
        <w:spacing w:line="360" w:lineRule="auto"/>
        <w:jc w:val="center"/>
        <w:rPr>
          <w:color w:val="auto"/>
          <w:szCs w:val="21"/>
          <w:highlight w:val="none"/>
        </w:rPr>
      </w:pPr>
      <w:r>
        <w:rPr>
          <w:color w:val="auto"/>
          <w:sz w:val="21"/>
          <w:szCs w:val="21"/>
          <w:highlight w:val="none"/>
        </w:rPr>
        <w:t>图</w:t>
      </w:r>
      <w:r>
        <w:rPr>
          <w:color w:val="auto"/>
          <w:szCs w:val="21"/>
          <w:highlight w:val="none"/>
        </w:rPr>
        <w:t xml:space="preserve"> 5.1.4.2 </w:t>
      </w:r>
      <w:r>
        <w:rPr>
          <w:color w:val="auto"/>
          <w:highlight w:val="none"/>
        </w:rPr>
        <w:t>未来社区</w:t>
      </w:r>
      <w:r>
        <w:rPr>
          <w:bCs/>
          <w:color w:val="auto"/>
          <w:highlight w:val="none"/>
        </w:rPr>
        <w:t>服务</w:t>
      </w:r>
      <w:r>
        <w:rPr>
          <w:color w:val="auto"/>
          <w:highlight w:val="none"/>
        </w:rPr>
        <w:t>可视化应用</w:t>
      </w:r>
      <w:r>
        <w:rPr>
          <w:color w:val="auto"/>
          <w:sz w:val="21"/>
          <w:szCs w:val="21"/>
          <w:highlight w:val="none"/>
        </w:rPr>
        <w:t>功能架构</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5.1.4.3功能设计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w:t>
      </w:r>
      <w:bookmarkStart w:id="48" w:name="_Hlk108366146"/>
      <w:r>
        <w:rPr>
          <w:rFonts w:hint="eastAsia" w:ascii="宋体" w:hAnsi="宋体" w:eastAsia="宋体" w:cs="宋体"/>
          <w:b/>
          <w:bCs/>
          <w:color w:val="auto"/>
          <w:sz w:val="21"/>
          <w:szCs w:val="21"/>
          <w:highlight w:val="none"/>
          <w:lang w:val="en-US"/>
        </w:rPr>
        <w:t>.综合态势总览</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态势总览页面基于规划单元倾斜摄影、天地图浙江及VR全景照片、建模模型，提供了各大场景的初始入口，并支持在三维场景中漫游、切换视图模式。同时介绍了社区基本情况、社区热门关注、社区热门活动、话题、事件、网格/微网格/专属网格等情况，同时结合了九大场景的动态数据管控。</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社区基本情况，用图片和数据标签方式，展示居民户数、人口总数、常住人口、流动人口、企业总数、商铺总数、居民建筑面积、商业建筑面积、办公建筑面积等信息，并可钻取数据详情；社区热门关注，通过动态滚动排行榜方式，展示社区热门活动信息；建筑概况，展示住宅、办公、教育、商业、餐饮、其他等不同房屋建筑使用性质的数量比例情况，以及展示无障碍设施和社区配套服务等数量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含不同场景卡片，如未来邻里包含达人人数、社群数目、历史活动数；未来教育包含幼儿园、小学、中学、学前幼托、线上课程和幸福学堂数量；未来服务包含积分产生数、服务次数；未来治理显示党支部、业委会数量、物联网设备数量、问卷调查数量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2.邻里场景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（1）社区达人、达人排行榜</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整合社区内有特长或有影响力的居民，申请成为社区达人后能够自行发起社区活动，增加社区活跃度促进增加邻里关系。</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7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社区达人分类：饼状图展示各类社区达人的分类及具体排布比例情况。</w:t>
      </w:r>
    </w:p>
    <w:p>
      <w:pPr>
        <w:keepNext w:val="0"/>
        <w:keepLines w:val="0"/>
        <w:pageBreakBefore w:val="0"/>
        <w:numPr>
          <w:ilvl w:val="0"/>
          <w:numId w:val="7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社区达人排行榜单：根据后期社区达人举办活动的参与人数、频率及居民关注度等多方因素对社区达人依据热度进行排名，形成排行榜。</w:t>
      </w:r>
    </w:p>
    <w:p>
      <w:pPr>
        <w:keepNext w:val="0"/>
        <w:keepLines w:val="0"/>
        <w:pageBreakBefore w:val="0"/>
        <w:numPr>
          <w:ilvl w:val="0"/>
          <w:numId w:val="7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社区达人申请渠道统计：社区登记、小程序申请达人数量统计。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（2）投票表决一览</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进行社区公共空间改造、社区民主决议等公共事务投票，听取居民意见反馈，一事一议。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7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投票统计：社区发起居民投票或问卷累计次数，居民参与度，可拉取投票目录清单。</w:t>
      </w:r>
    </w:p>
    <w:p>
      <w:pPr>
        <w:keepNext w:val="0"/>
        <w:keepLines w:val="0"/>
        <w:pageBreakBefore w:val="0"/>
        <w:numPr>
          <w:ilvl w:val="0"/>
          <w:numId w:val="7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投票结果：目录清单中投票或问卷，可摘取对于居民投票或问卷所得出结果数据的动态展示</w:t>
      </w:r>
    </w:p>
    <w:p>
      <w:pPr>
        <w:keepNext w:val="0"/>
        <w:keepLines w:val="0"/>
        <w:pageBreakBefore w:val="0"/>
        <w:numPr>
          <w:ilvl w:val="0"/>
          <w:numId w:val="7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参与投票人员信息：展示参与投票人员的具体信息，包括男女比例、用户类别、调查区域等。</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（3）邻里中心窗口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进行社区邻里中心改造，并对公共空间进行数字化、可视化管控。</w:t>
      </w:r>
    </w:p>
    <w:p>
      <w:pPr>
        <w:keepNext w:val="0"/>
        <w:keepLines w:val="0"/>
        <w:pageBreakBefore w:val="0"/>
        <w:numPr>
          <w:ilvl w:val="0"/>
          <w:numId w:val="7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可视化展示：对于邻里中心的场馆，进行三维建模，在模型中进行三维立体式查看。并区分不同功能的房间，点击不同的区域会弹出对应的房间信息弹窗，可获取活动场次信息等。</w:t>
      </w:r>
    </w:p>
    <w:p>
      <w:pPr>
        <w:keepNext w:val="0"/>
        <w:keepLines w:val="0"/>
        <w:pageBreakBefore w:val="0"/>
        <w:numPr>
          <w:ilvl w:val="0"/>
          <w:numId w:val="7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空间使用热度统计：利用现场装配的客流计数器、空间预约记录进行邻里中心公共活动场所热度可视化管控，并通过每月度进入对应空间的人次展示空间使用热度。</w:t>
      </w:r>
    </w:p>
    <w:p>
      <w:pPr>
        <w:keepNext w:val="0"/>
        <w:keepLines w:val="0"/>
        <w:pageBreakBefore w:val="0"/>
        <w:numPr>
          <w:ilvl w:val="0"/>
          <w:numId w:val="7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活动热度排行：展示举办活动热度最高空间排行榜。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（4）邻里活动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活动广场应用作为未来社区各类活动的入口，可以通过此页进行活动组织情况进行分析展示，不同维度分析居民活跃度及拉取相应数据统计表及清单等操作。</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7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活动热度展示：累计活动次数、活动分类统计、居民活跃度、喜好度等数据展示。</w:t>
      </w:r>
    </w:p>
    <w:p>
      <w:pPr>
        <w:keepNext w:val="0"/>
        <w:keepLines w:val="0"/>
        <w:pageBreakBefore w:val="0"/>
        <w:numPr>
          <w:ilvl w:val="0"/>
          <w:numId w:val="7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活动表、清单：历史活动记录表、活动组织及报名清单等数据。</w:t>
      </w:r>
    </w:p>
    <w:p>
      <w:pPr>
        <w:keepNext w:val="0"/>
        <w:keepLines w:val="0"/>
        <w:pageBreakBefore w:val="0"/>
        <w:numPr>
          <w:ilvl w:val="0"/>
          <w:numId w:val="7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活动内容回顾：活动回顾图片的轮播展示。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（5）邻里空间地图</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主要包含的功能有：</w:t>
      </w:r>
    </w:p>
    <w:p>
      <w:pPr>
        <w:keepNext w:val="0"/>
        <w:keepLines w:val="0"/>
        <w:pageBreakBefore w:val="0"/>
        <w:numPr>
          <w:ilvl w:val="0"/>
          <w:numId w:val="7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各类邻里共享空间所处位置可视化标注：利用倾斜摄影模型标注各个场馆的具体位置、漫游定位。</w:t>
      </w:r>
    </w:p>
    <w:p>
      <w:pPr>
        <w:keepNext w:val="0"/>
        <w:keepLines w:val="0"/>
        <w:pageBreakBefore w:val="0"/>
        <w:numPr>
          <w:ilvl w:val="0"/>
          <w:numId w:val="7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场馆情况可视化展示：点击图上的热点，会弹出具体的空间、场馆信息、介绍、VR全景展示。</w:t>
      </w:r>
    </w:p>
    <w:p>
      <w:pPr>
        <w:keepNext w:val="0"/>
        <w:keepLines w:val="0"/>
        <w:pageBreakBefore w:val="0"/>
        <w:numPr>
          <w:ilvl w:val="0"/>
          <w:numId w:val="7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热度排名：按照空间/场馆的预约量或人流量（依托客流摄像机统计）、浏览量等因素对场馆进行热度排名。</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（6）邻里圈板块</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打造姚江社区的各类特色社群，将社区中有共同追求、共同理想、共同目标、共同兴趣的人汇集在一起，实现了人与人、人与物之间的连接。促进居民间邻里关系，提升社区档次。</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7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圈子活动看板：动态轮播展示社区已举办的活动的具体信息及现场照片。</w:t>
      </w:r>
    </w:p>
    <w:p>
      <w:pPr>
        <w:keepNext w:val="0"/>
        <w:keepLines w:val="0"/>
        <w:pageBreakBefore w:val="0"/>
        <w:numPr>
          <w:ilvl w:val="0"/>
          <w:numId w:val="7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圈子活跃度：圈子创建数量、圈子分类统计、圈子人数及活跃度等数据展示。</w:t>
      </w:r>
    </w:p>
    <w:p>
      <w:pPr>
        <w:keepNext w:val="0"/>
        <w:keepLines w:val="0"/>
        <w:pageBreakBefore w:val="0"/>
        <w:numPr>
          <w:ilvl w:val="0"/>
          <w:numId w:val="7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社区超话：话题数量、参与人数，话题热门等数据展示。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3.教育场景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（1）学习打卡点、培训机构、热度排名</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提供周边周边幼儿园、小学、中学、大学等学校信息，驾考等职业技能培训信息，培训机构信息等场所预约入口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各级场馆所处位置可视化标注：利用360°VR全景照片标注周边幼儿园、小学、中学、大学、培训机构等教育场馆的具体位置。</w:t>
      </w:r>
    </w:p>
    <w:p>
      <w:pPr>
        <w:keepNext w:val="0"/>
        <w:keepLines w:val="0"/>
        <w:pageBreakBefore w:val="0"/>
        <w:numPr>
          <w:ilvl w:val="0"/>
          <w:numId w:val="8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场馆情况可视化展示：点击全景图上的热点，会弹出具体的场馆信息及预约情况弹窗。</w:t>
      </w:r>
    </w:p>
    <w:p>
      <w:pPr>
        <w:keepNext w:val="0"/>
        <w:keepLines w:val="0"/>
        <w:pageBreakBefore w:val="0"/>
        <w:numPr>
          <w:ilvl w:val="0"/>
          <w:numId w:val="8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场馆分类：饼状图展示各类教育场馆的分类及具体排布比例情况。</w:t>
      </w:r>
    </w:p>
    <w:p>
      <w:pPr>
        <w:keepNext w:val="0"/>
        <w:keepLines w:val="0"/>
        <w:pageBreakBefore w:val="0"/>
        <w:numPr>
          <w:ilvl w:val="0"/>
          <w:numId w:val="8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场馆热度排名：按照场馆的预约量、人流量、浏览量等因素对场馆进行热度排名。</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（2）安心幼托</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完善幼托业务闭环，业主可以通过此页进行姚江幼托空间、余量、红黑榜动态监管等操作。</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可视化管理：对于幼儿托管点，进行三维建模，在模型中进行三维立体式查看。并区分不同功能的房间，点击不同的区域会弹出对应的房间信息弹窗，可获取空间余量信息等。</w:t>
      </w:r>
    </w:p>
    <w:p>
      <w:pPr>
        <w:keepNext w:val="0"/>
        <w:keepLines w:val="0"/>
        <w:pageBreakBefore w:val="0"/>
        <w:numPr>
          <w:ilvl w:val="0"/>
          <w:numId w:val="8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活动区监控：家长通过监控查看儿童在幼托点生活情况，记录家长使用情况，并收集对幼托点的服务进行评价。</w:t>
      </w:r>
    </w:p>
    <w:p>
      <w:pPr>
        <w:keepNext w:val="0"/>
        <w:keepLines w:val="0"/>
        <w:pageBreakBefore w:val="0"/>
        <w:numPr>
          <w:ilvl w:val="0"/>
          <w:numId w:val="8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幼托人数：幼托人数动态展示。</w:t>
      </w:r>
    </w:p>
    <w:p>
      <w:pPr>
        <w:keepNext w:val="0"/>
        <w:keepLines w:val="0"/>
        <w:pageBreakBefore w:val="0"/>
        <w:numPr>
          <w:ilvl w:val="0"/>
          <w:numId w:val="8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幼托服务统计：按年、月、日分项统计该时间段幼托人次。</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（3）幸福学堂</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为丰富社区居民的业余生活，不定期开展幸福学堂课程活动，线上报名，线下活动。</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活动展示：以轮播图形式展示线下实际开展的幸福学堂的活动照片。</w:t>
      </w:r>
    </w:p>
    <w:p>
      <w:pPr>
        <w:keepNext w:val="0"/>
        <w:keepLines w:val="0"/>
        <w:pageBreakBefore w:val="0"/>
        <w:numPr>
          <w:ilvl w:val="0"/>
          <w:numId w:val="8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活动统计：利用折线图进行幸福学堂活动数量统计，居民参与人数统计。</w:t>
      </w:r>
    </w:p>
    <w:p>
      <w:pPr>
        <w:keepNext w:val="0"/>
        <w:keepLines w:val="0"/>
        <w:pageBreakBefore w:val="0"/>
        <w:numPr>
          <w:ilvl w:val="0"/>
          <w:numId w:val="8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活动统计表及活动清单：回顾历史活动清单及活动报名参与人名录。</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（4）社区直播间</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社区直播间情况、场次、直播数据、直播详情等。</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链接电商直播基地。</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4.健康场景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（1）健康空间、场馆地图、空间热度</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姚江健康、养老资源一张图，方便老年人及家庭设定条件，搜索附近养老设施，感知周边养老服务机构、幸福食堂、康复医院、护理院等养老资源。</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可视化展示：结合全景照片，展示健身、养老资源，点击会弹出具场馆信息的弹窗。</w:t>
      </w:r>
    </w:p>
    <w:p>
      <w:pPr>
        <w:keepNext w:val="0"/>
        <w:keepLines w:val="0"/>
        <w:pageBreakBefore w:val="0"/>
        <w:numPr>
          <w:ilvl w:val="0"/>
          <w:numId w:val="8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场馆分类：饼状图展示各类养老场馆的分类及具体排布比例情况。</w:t>
      </w:r>
    </w:p>
    <w:p>
      <w:pPr>
        <w:keepNext w:val="0"/>
        <w:keepLines w:val="0"/>
        <w:pageBreakBefore w:val="0"/>
        <w:numPr>
          <w:ilvl w:val="0"/>
          <w:numId w:val="8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场馆热度排名：按照场馆的预约量、人流量、浏览量等因素对场馆进行热度排名。</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（2）安全智守护/特殊人群关怀</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为独居老人提供申请安装安全智护设备，通过对设备数据的监控、报警辅助判断老人当前的生活状态。</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设备展示：结合三维模型将智能手环、一键报警、门磁、智能门禁等IOT设备位置与状态进行展示，点击可弹出设备详情弹窗，进行查看。</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（3）体育活动、活动排行、精彩时刻</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为健身计划、体育活动等健身活动居民参与度及运行水平。</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体育活动展示：活动举办次数、居民参与人数，各类体育活动热度等数据。</w:t>
      </w:r>
    </w:p>
    <w:p>
      <w:pPr>
        <w:pStyle w:val="296"/>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活动排行榜、精彩时刻。</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5.创业场景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（1）创业概况</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创业空间、企业、就业岗位、明星企业、税收金额数量、详情。</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（2）人才引进</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人才引进概况、详情钻取。</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（3）政策资讯</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企业、人才政策、惠企政策等信息发布以及公司及创业税务政策发布。</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（4）惠企助稳</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惠企助稳相关概况数据、详情钻取，饼图分析。</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（5）创业空间</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场地租赁、共享会议室、访问量、预约量等数据展示。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（6）招聘信息</w:t>
      </w:r>
    </w:p>
    <w:p>
      <w:pPr>
        <w:keepNext w:val="0"/>
        <w:keepLines w:val="0"/>
        <w:pageBreakBefore w:val="0"/>
        <w:numPr>
          <w:ilvl w:val="0"/>
          <w:numId w:val="8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招聘信息：展示招聘岗位数量，岗位查询数量，岗位浏览咨询次数。</w:t>
      </w:r>
    </w:p>
    <w:p>
      <w:pPr>
        <w:keepNext w:val="0"/>
        <w:keepLines w:val="0"/>
        <w:pageBreakBefore w:val="0"/>
        <w:numPr>
          <w:ilvl w:val="0"/>
          <w:numId w:val="8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热门搜索：根据搜索频次对我要开企业、我要租赁办公场所、我要查询创业政策法规、我要找工作4个模块依据热度进行排名，形成排行榜。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6.建筑场景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（1）数字社区总览</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通过社区级CIM模型，实现精确到户服务与管理，可视化展示居民注册情况、活动参与情况、积分持有情况、积分兑换情况等。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可视化管理：对于整体社区，进行三维建模，在模型中进行三维立体式查看。展示各个用户积分热力分布，点击后查看该户的人员接口、每日点击、兴趣排行、用户积分趋势、积分分类情况、参与活动列表。</w:t>
      </w:r>
    </w:p>
    <w:p>
      <w:pPr>
        <w:keepNext w:val="0"/>
        <w:keepLines w:val="0"/>
        <w:pageBreakBefore w:val="0"/>
        <w:numPr>
          <w:ilvl w:val="0"/>
          <w:numId w:val="8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跃度展示：展示每日日活、日活分布、点击排行榜的内容，其中每日日活采用折线图方式，展示移动端每日访问数据以及总访问量，日活分布通过柱状图方式，展示移动端不同板块访问情况，点击排行榜，采用柱状图方式，展示不同板块点击排行情况。</w:t>
      </w:r>
    </w:p>
    <w:p>
      <w:pPr>
        <w:keepNext w:val="0"/>
        <w:keepLines w:val="0"/>
        <w:pageBreakBefore w:val="0"/>
        <w:numPr>
          <w:ilvl w:val="0"/>
          <w:numId w:val="8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居民注册情况：展示居民注册情况、积分排名、注册分布内容；居民注册情况采用折线图方式，展示按周、月、年方式统计人员注册数量；积分排名通过表格方式，展示居民、商圈、企业的积分获得排名；注册分布采用图片和标签方式，展示人员分布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（2）室内模型、VR全景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实施单元内重点空间、场所、场馆室内模型、VR全景展示，规划单元内选取重点展示。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7.交通场景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（1）交通概览空间</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公共停车场、车位数量、小区、公交站点、地铁等空间概览数据查看，详情钻取。</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（2）公交交通</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公交站点、地铁站点、公共自行车点位数据、详情钻取。</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（3）慧停车</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实现亲友优惠停车申请、使用情况数据信息查看与动态看板。</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8.服务场景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（1）社区服务看板</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社区党群服务中心、物业、管家、服务情况统计数据展示，详情钻取、VR全景展示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（2）事件中心</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社区服务（含物业服务）相关的事件统计（饼图）、详情查看，事件处置情况。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（3）商圈看板</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可以进行商户定位、商户线下优惠信息发布等功能。</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商户展示：在360°VR全景上展示出商铺位置，点击位置点，能显示出商铺的详情、商铺优惠券信息。</w:t>
      </w:r>
    </w:p>
    <w:p>
      <w:pPr>
        <w:keepNext w:val="0"/>
        <w:keepLines w:val="0"/>
        <w:pageBreakBefore w:val="0"/>
        <w:numPr>
          <w:ilvl w:val="0"/>
          <w:numId w:val="8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商户统计：以商户经营范围、热度来统计各类型的商户情况。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（2）积分看板、积分商城</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展示从积分产生到积分核销全生命周期。</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积分展示：以表格形式展示出用户实时获取积分的情况。</w:t>
      </w:r>
    </w:p>
    <w:p>
      <w:pPr>
        <w:keepNext w:val="0"/>
        <w:keepLines w:val="0"/>
        <w:pageBreakBefore w:val="0"/>
        <w:numPr>
          <w:ilvl w:val="0"/>
          <w:numId w:val="8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积分统计：以统计图的方式展示出用户每日积分变化、用户持有分数、累计产生分数、消费分数、待兑换分数、已兑换分数。</w:t>
      </w:r>
    </w:p>
    <w:p>
      <w:pPr>
        <w:keepNext w:val="0"/>
        <w:keepLines w:val="0"/>
        <w:pageBreakBefore w:val="0"/>
        <w:numPr>
          <w:ilvl w:val="0"/>
          <w:numId w:val="8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积分分类统计：以统计图的方式展现出各个类型的积分获取。</w:t>
      </w:r>
    </w:p>
    <w:p>
      <w:pPr>
        <w:keepNext w:val="0"/>
        <w:keepLines w:val="0"/>
        <w:pageBreakBefore w:val="0"/>
        <w:numPr>
          <w:ilvl w:val="0"/>
          <w:numId w:val="8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积分兑换情况：以表格、统计的方式展现出兑换物品的情况，点击后可显示兑换详情。</w:t>
      </w:r>
    </w:p>
    <w:p>
      <w:pPr>
        <w:keepNext w:val="0"/>
        <w:keepLines w:val="0"/>
        <w:pageBreakBefore w:val="0"/>
        <w:numPr>
          <w:ilvl w:val="0"/>
          <w:numId w:val="8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积分兑换物品统计：以统计图的方式统计出各个物品兑换占比。</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（3）社区党群服务</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社区党员、三会一课、主题活动数据综合展示。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（4）物业服务</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物业人员配备情况、服务次数、投诉次数、服务评价等数据综合展示。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（5）社区商城</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商家、商品、团购、服务评价、订单综合分析展示。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（6）幸福食堂</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菜品数量、订单数量、服务评价、服务次数综合展示。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9.治理场景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（1）社区概况</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社区人口、建筑、商业、企业等概况数据、详情钻取。</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（2）治理事件一览、事件趋势、智能感知态势</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1）治理/智治事件一览、饼图分类、详情列表、处置情况钻取、基层治理四平台对接情况；</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2）事件周/月趋势图</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3）智能感知发现时间态势、预警、设备预警详情查看钻取</w:t>
      </w:r>
    </w:p>
    <w:p>
      <w:pPr>
        <w:keepNext w:val="0"/>
        <w:keepLines w:val="0"/>
        <w:pageBreakBefore w:val="0"/>
        <w:widowControl/>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4）天地图、三维模型上事件定位、上图、详情钻取、处置。</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（3）社情民意</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事件查看：查看居民上报的事件。</w:t>
      </w:r>
    </w:p>
    <w:p>
      <w:pPr>
        <w:keepNext w:val="0"/>
        <w:keepLines w:val="0"/>
        <w:pageBreakBefore w:val="0"/>
        <w:numPr>
          <w:ilvl w:val="0"/>
          <w:numId w:val="8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事件统计：结合天地图、三维模型查看上报事件统计图表。</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（2）智能安防一张图</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8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安防设备展示：在倾斜摄影遥感影像和模型基础上展示出各设备的分布位置，点击设备可展示出设备详情。</w:t>
      </w:r>
    </w:p>
    <w:p>
      <w:pPr>
        <w:keepNext w:val="0"/>
        <w:keepLines w:val="0"/>
        <w:pageBreakBefore w:val="0"/>
        <w:numPr>
          <w:ilvl w:val="0"/>
          <w:numId w:val="8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安防设备统计：以统计图方式展示出各种类型设备数量统计。</w:t>
      </w:r>
    </w:p>
    <w:p>
      <w:pPr>
        <w:keepNext w:val="0"/>
        <w:keepLines w:val="0"/>
        <w:pageBreakBefore w:val="0"/>
        <w:numPr>
          <w:ilvl w:val="0"/>
          <w:numId w:val="8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安防设备消息通知：以表格的形式展示出设备历史推送消息。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（3）智慧消防一张图</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9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消防设备展示：在倾斜摄影遥感影像和模型基础上展示出设备点的位置，点击设备可显示设备详情。</w:t>
      </w:r>
    </w:p>
    <w:p>
      <w:pPr>
        <w:keepNext w:val="0"/>
        <w:keepLines w:val="0"/>
        <w:pageBreakBefore w:val="0"/>
        <w:numPr>
          <w:ilvl w:val="0"/>
          <w:numId w:val="9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设备监控数据展示：以统计图的方式展示各个设备的指标数据情况，点击计图以表格的形式展示出统计的相关设备防设备消息通知，并以表格的形式展示出设备历史推送消息。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（4）特殊人群关怀、重点人员管理</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9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特殊人群关怀：人员数据统计、人员分类统计、相关设备及事件结统计表，设备、事件清单数据等综合展示。</w:t>
      </w:r>
    </w:p>
    <w:p>
      <w:pPr>
        <w:keepNext w:val="0"/>
        <w:keepLines w:val="0"/>
        <w:pageBreakBefore w:val="0"/>
        <w:numPr>
          <w:ilvl w:val="0"/>
          <w:numId w:val="9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重点人员管理：人员数据统计、人员分类统计、事件清单数据等综合展示。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（5）应急指挥一张图</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9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微网格：结合天地图、三维模型、360°VR全景，展示微网格，点击查询微网格长、网格员、物业等人员力量信息。</w:t>
      </w:r>
    </w:p>
    <w:p>
      <w:pPr>
        <w:keepNext w:val="0"/>
        <w:keepLines w:val="0"/>
        <w:pageBreakBefore w:val="0"/>
        <w:numPr>
          <w:ilvl w:val="0"/>
          <w:numId w:val="9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应急资源：整合社区监控、物联感知设备，应急指挥资源调度。</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（6）防疫防控 </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页面主要包含的功能有：</w:t>
      </w:r>
    </w:p>
    <w:p>
      <w:pPr>
        <w:keepNext w:val="0"/>
        <w:keepLines w:val="0"/>
        <w:pageBreakBefore w:val="0"/>
        <w:numPr>
          <w:ilvl w:val="0"/>
          <w:numId w:val="9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防疫防控服务点：疫苗接种、核酸检测服务点信息及地图落位，服务次数统计数据。</w:t>
      </w:r>
    </w:p>
    <w:p>
      <w:pPr>
        <w:keepNext w:val="0"/>
        <w:keepLines w:val="0"/>
        <w:pageBreakBefore w:val="0"/>
        <w:numPr>
          <w:ilvl w:val="0"/>
          <w:numId w:val="9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疫苗接种情况：辖区人员疫苗接种情况统计分析报表及清单。</w:t>
      </w:r>
    </w:p>
    <w:p>
      <w:pPr>
        <w:keepNext w:val="0"/>
        <w:keepLines w:val="0"/>
        <w:pageBreakBefore w:val="0"/>
        <w:numPr>
          <w:ilvl w:val="0"/>
          <w:numId w:val="9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核酸检测情况：辖区人员核酸检测情况统计分析报表及清单、核算点监控排队情况。</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10.低碳场景</w:t>
      </w:r>
    </w:p>
    <w:p>
      <w:pPr>
        <w:keepNext w:val="0"/>
        <w:keepLines w:val="0"/>
        <w:pageBreakBefore w:val="0"/>
        <w:numPr>
          <w:ilvl w:val="0"/>
          <w:numId w:val="94"/>
        </w:numPr>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电动车/电瓶车充电桩</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电动车/电瓶车充电桩空间落位、使用情况等数据综合展示。</w:t>
      </w:r>
    </w:p>
    <w:p>
      <w:pPr>
        <w:keepNext w:val="0"/>
        <w:keepLines w:val="0"/>
        <w:pageBreakBefore w:val="0"/>
        <w:numPr>
          <w:ilvl w:val="0"/>
          <w:numId w:val="94"/>
        </w:numPr>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垃圾分类地图</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垃圾分类AI监控数据综合展示。</w:t>
      </w:r>
    </w:p>
    <w:p>
      <w:pPr>
        <w:keepNext w:val="0"/>
        <w:keepLines w:val="0"/>
        <w:pageBreakBefore w:val="0"/>
        <w:numPr>
          <w:ilvl w:val="0"/>
          <w:numId w:val="94"/>
        </w:numPr>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资源回收</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资源回收数据如资源分类、服务次数、积分奖励等数据综合展示。</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11.党建场景</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根据社区组织介绍、党组织阵地情况、党员情况、组织生活、党建特色进行综合展示。</w:t>
      </w:r>
    </w:p>
    <w:p>
      <w:pPr>
        <w:keepNext w:val="0"/>
        <w:keepLines w:val="0"/>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相关数据可钻取详情。</w:t>
      </w:r>
    </w:p>
    <w:bookmarkEnd w:id="48"/>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bookmarkStart w:id="49" w:name="_Toc31829"/>
      <w:r>
        <w:rPr>
          <w:rFonts w:hint="eastAsia" w:ascii="宋体" w:hAnsi="宋体" w:eastAsia="宋体" w:cs="宋体"/>
          <w:b/>
          <w:bCs/>
          <w:color w:val="auto"/>
          <w:sz w:val="21"/>
          <w:szCs w:val="21"/>
          <w:highlight w:val="none"/>
          <w:lang w:val="en-US"/>
        </w:rPr>
        <w:t>5.1.5系统接口</w:t>
      </w:r>
      <w:bookmarkEnd w:id="49"/>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5.1.5.1对外开放接口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1.空间数字资产查询接口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未来社区三维数字资产信息共享接口供外部门访问，查看社区下所有三维数字资产和热点信息，其中三维数字资产包括三维模型、360°VR全景、倾斜摄影遥感影像和模型等信息，热点信息包含经纬度、关联物联网设备、关联场馆信息、以及热点状态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2.小区信息共享接口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提供指定小区信息共享接口供外部门访问，查看特定社区下的所有小区，包含各个小区简称、空间类型等信息。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3.房屋信息共享接口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房屋信息共享接口供外部门访问，查看房屋的空间位置、房屋基本信息、楼幢信息、不动产权信息等，其中空间位置包含经纬度、四至位置等；房屋基本信息包含房屋使用状态、住户人数、CIM相关的数字空间编号等，房屋楼幢信息包含小区、楼、幢、单元等；不动产权信息包含坐落、界址、空间界限、面积、用途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4.车辆信息共享接口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提供车辆信息共享接口供外部门访问，查看指定小区下指定房屋下的车辆信息，其中包含车辆的车牌号、绑定的车位信息、车主信息等。 </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5.住户信息共享接口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提供小区住户信息共享接口供外部门访问，查看指定小区下的用户基本信息，包括用户所绑定的房产信息、用户所属角色、注册来源、系统编号、受限脱敏信息（如姓名、年龄等）等。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6.物联网设备信息共享接口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小区内物联网信息共享接口供外部门访问，查看指定小区下的物联网设备列表信息，包括设备唯一编号、所属产品类型、设备名称、设备状态、设备扩展信息等；其中设备扩展信息包含设备安装地点、经纬度、设备维保信息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7.事件信息共享接口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提供小区内物联网设备事件告警信息共享接口供外部门访问，查看指定小区下的物联网设备所产生的事件通知信息，包括设备唯一编号、事件发生时间、事件关闭时间、事件内容、事件等级、事件解决人等。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8.积分信息共享接口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小区内用户积分信息共享接口供外部门访问，查看指定小区下的用户使用积分的信息，包括当前积分、已使用的积分、剩余积分等。同时提供增加积分、扣除积分接口，即为当外部业务产生积分的时候，可以调用该接口进行增加积分；当用户在外部应用中使用服务时候，外部业务系统可以调用积分扣除接口进行积分扣除操作。</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5.1.5.2系统对接接口</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1.与智慧宁波时空信息云平台对接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智慧宁波时空信息云平台，获取地理空间框架数据、地名地址数据、遥感影像数据、倾斜摄影数据和城市三维空间信息-城市建（构）筑模型信息，主要包含行政区划、社区名、模型名称等信息；获取房屋实体信息，实体分类码、实体名称、实体别名等信息；获取企业地址标准化信息，包含工商内部、标准地址、匹配分数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2.与宁波市智能公共数据平台对接</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eastAsia="zh-Hans"/>
        </w:rPr>
      </w:pPr>
      <w:r>
        <w:rPr>
          <w:rFonts w:hint="eastAsia" w:ascii="宋体" w:hAnsi="宋体" w:eastAsia="宋体" w:cs="宋体"/>
          <w:b/>
          <w:bCs/>
          <w:color w:val="auto"/>
          <w:sz w:val="21"/>
          <w:szCs w:val="21"/>
          <w:highlight w:val="none"/>
        </w:rPr>
        <w:t>（1）健康</w:t>
      </w:r>
      <w:r>
        <w:rPr>
          <w:rFonts w:hint="eastAsia" w:ascii="宋体" w:hAnsi="宋体" w:eastAsia="宋体" w:cs="宋体"/>
          <w:b/>
          <w:bCs/>
          <w:color w:val="auto"/>
          <w:sz w:val="21"/>
          <w:szCs w:val="21"/>
          <w:highlight w:val="none"/>
          <w:lang w:eastAsia="zh-Hans"/>
        </w:rPr>
        <w:t>码信息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通过省回流接口，获取宁波市健康码基础信息，包括</w:t>
      </w:r>
      <w:r>
        <w:rPr>
          <w:rFonts w:hint="eastAsia" w:ascii="宋体" w:hAnsi="宋体" w:eastAsia="宋体" w:cs="宋体"/>
          <w:color w:val="auto"/>
          <w:sz w:val="21"/>
          <w:szCs w:val="21"/>
          <w:highlight w:val="none"/>
          <w:lang w:val="en-US" w:eastAsia="zh-Hans"/>
        </w:rPr>
        <w:t>码状态，</w:t>
      </w:r>
      <w:r>
        <w:rPr>
          <w:rFonts w:hint="eastAsia" w:ascii="宋体" w:hAnsi="宋体" w:eastAsia="宋体" w:cs="宋体"/>
          <w:color w:val="auto"/>
          <w:sz w:val="21"/>
          <w:szCs w:val="21"/>
          <w:highlight w:val="none"/>
        </w:rPr>
        <w:t>以及红码/橙码原因、个人身份等信息。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（2）核酸信息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通过省回流接口，获取社区居民、工作人员的核酸基础信息，包括核酸检测时间点，核酸结果等信息。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Hans"/>
        </w:rPr>
        <w:t>新冠疫苗</w:t>
      </w:r>
      <w:r>
        <w:rPr>
          <w:rFonts w:hint="eastAsia" w:ascii="宋体" w:hAnsi="宋体" w:eastAsia="宋体" w:cs="宋体"/>
          <w:b/>
          <w:bCs/>
          <w:color w:val="auto"/>
          <w:sz w:val="21"/>
          <w:szCs w:val="21"/>
          <w:highlight w:val="none"/>
        </w:rPr>
        <w:t>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通过省回流接口，获取社区居民的疫苗基础信息，包括居民个人身份、疫苗接种次数、最后接种时间、疫苗接种记录等信息。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（4）就业和失业保险信息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通过宁波市就业与失业保险管理信息系统，获取网上创业认定信息，包含身份证、姓名等信息；创业带动就业岗位补贴信息，包含业务流水、补贴金额、身份证等信息。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（5）科技管理信息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通过宁波市科技管理系统，获取创新领域市级众创空间信息，包括认定年份、平台名称等信息。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（6）人才信息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通过宁波市人才综合信息管理系统，获取人才中介服务信息，包含企业名称、营业地址等信息。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通过宁波市人才网，获取简历信息，包含简历名称、自我评价等信息。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通过宁波市云校招系统，获取职位信息，包含单位ID，职位名称等信息。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（7）房屋信息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通过宁波基层社会治理服务管理综合信息系统，获取房屋数据信息，包含ID，网格、住房编码等信息。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（8）公交自行车综合信息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宁波市公交自行车综合信息管理系统，获取自行车网点信息，包含网点ID、网点编码、网点名称等信息；获取桩位信息，包含桩位表、桩位数、网点名称点等信息；获取桩位状态信息，包含网点ID、统计时间、租用量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3.与江北区数据仓对接</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（1）江北区医疗机构科室信息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获取江北区医疗机构科室信息，包含科室代码、科室名称、负责人、联系方式等信息。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（2）江北区农家乐（客栈）调查汇总信息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农家乐（客栈）信息，包含带动基地面积、自有基地面积、周边农副产品销售收入、年接待游客数、季节性从业人数、常年从业人数、餐位数、床位数、客房数、累计投入资金、是否位于海山湖库四边、具体地址、联系电话及手机、联系人、获星级、评定级别、星级农家乐名称、带动农民人数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（3）江北区在册企业信息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获取江北区企业信息，包含企业名称、统一社会信用代码、法定代表人、成立日期、企业类型、注册资本、经营地址等信息。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（4）江北区出租车GPS信息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获取江北区出租车GPS信息，包含记录ID、出租车ID、车牌、数据时间、经度、纬度、速度、角度、重车车辆状态、入库时间、空车车辆状态、ACC状态、车辆颜色、SIM卡标识等信息。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（5）宁波市市级统筹区医保定点医疗机构名单信息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获取医保定点医疗机构名单，包含医疗机构名称、单位地址、所在区域、机构代码等信息。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（6）江北区博物馆景区信息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获取博物馆景区信息，包含场馆ID、名称、封面图、类型ID、别名、级别、标签、开放时间、门票信息、电话、网址、简介、语言、网络、类别ID、表ID等信息。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（7）江北区幼儿园、幼儿班分年龄幼儿数信息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获取幼儿园分年龄幼儿数信息，包含在园大班、在园中班、在园小班、在园托班、其中女生数量、大班、中班、小班、托班、合计、学校名称、离园离班人数等信息。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（8）江北区幼儿园、特殊教育学校占地面积及其他办学条件信息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获取学校占地面积及其他办学条件信息，包含占地面积合计、其中绿化用地面积、其中运动场地面积、图书、电子图书、电子期刊、学位论文、音视频等信息。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（9）江北区幼儿园/托儿所地理位置信息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幼儿园位置信息，包含分类代码、名称、简称、别名、地址、标注点位置X坐标、标注点位置Y坐标、中心点位置X坐标、中心点位置Y坐标、类型、电话、网址、照片、要素对应的比例尺、符号化字段、更新参考数据源、更新时间、更新类型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（10）江北区中学地理位置信息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中学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（11）江北区党员个人履历信息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获取江北区党员个人履历信息，包含UID、创建人ID、创建人姓名、修改人ID、修改人、创建时间、修改时间、版本号、人员信息UID、简历、其他、备注、前单位名称、结束时间、开始时间等信息。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（12）江北区体育场馆地理位置信息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体育场馆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（13）江北区一般停车场地理位置信息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江北区一般停车场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4.与宁波市公交交通GPS调度系统对接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通过与宁波市公交交通GPS调度系统对接，获取公交线路信息、公交站点信息、公交车定位数据信息、公交线路站点明细信息、公交线路首末班时间信息、公交线路发车时刻信息等。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5.与宁波市甬城泊车市级智慧停车系统对接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与宁波市甬城泊车市级智慧停车系统，路内停车点当前时间的泊位使用情况信息、近30日路内泊位使用率情况信息、按停车点统计前一天路内泊位利用率信息、停车场当前时间的泊位使用情况信息、按每小时统计前一天24小时泊位使用情况信息、路内业务信息、路内停车点信息、停车统计信息等。</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6.“浙里办”我的家园开通</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姚江社区开通我的家园，上架数字社会的应用，便于企业和群众办事。</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7.与视频监控系统对接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与姚江社区及小区周边视频监控系统对接，获取安防监控、门禁道闸、进出车辆、AI监控等视频监控信息。</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en-US"/>
        </w:rPr>
        <w:t>.与</w:t>
      </w:r>
      <w:r>
        <w:rPr>
          <w:rFonts w:hint="eastAsia" w:ascii="宋体" w:hAnsi="宋体" w:eastAsia="宋体" w:cs="宋体"/>
          <w:color w:val="auto"/>
          <w:sz w:val="21"/>
          <w:szCs w:val="21"/>
          <w:highlight w:val="none"/>
        </w:rPr>
        <w:t>充电设施</w:t>
      </w:r>
      <w:r>
        <w:rPr>
          <w:rFonts w:hint="eastAsia" w:ascii="宋体" w:hAnsi="宋体" w:eastAsia="宋体" w:cs="宋体"/>
          <w:color w:val="auto"/>
          <w:sz w:val="21"/>
          <w:szCs w:val="21"/>
          <w:highlight w:val="none"/>
          <w:lang w:val="en-US"/>
        </w:rPr>
        <w:t>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Hans"/>
        </w:rPr>
        <w:t>与充电设施平台对接</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Hans"/>
        </w:rPr>
        <w:t>电瓶车充电桩、电动车充电桩相关</w:t>
      </w:r>
      <w:r>
        <w:rPr>
          <w:rFonts w:hint="eastAsia" w:ascii="宋体" w:hAnsi="宋体" w:eastAsia="宋体" w:cs="宋体"/>
          <w:color w:val="auto"/>
          <w:sz w:val="21"/>
          <w:szCs w:val="21"/>
          <w:highlight w:val="none"/>
        </w:rPr>
        <w:t>信息</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包括充电桩名称、经纬度位置、充电状态、设备状态（正常、电压低、故障等）等信息</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9.与物业服务平台对接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Hans"/>
        </w:rPr>
        <w:t>与</w:t>
      </w:r>
      <w:r>
        <w:rPr>
          <w:rFonts w:hint="eastAsia" w:ascii="宋体" w:hAnsi="宋体" w:eastAsia="宋体" w:cs="宋体"/>
          <w:color w:val="auto"/>
          <w:sz w:val="21"/>
          <w:szCs w:val="21"/>
          <w:highlight w:val="none"/>
        </w:rPr>
        <w:t>物业服务平台对接，获取物业服务公司的报事报修工单、门禁设备远程开门、访客通行。</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10.与江北区区级底座平台对接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根据江北区区级底座平台的开放接口能力和要求，进行系统对接，上报区级底座平台所需的姚江社区的业务和运营数据以及物联网设备数据。</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bookmarkStart w:id="50" w:name="_Toc5936"/>
      <w:r>
        <w:rPr>
          <w:rFonts w:hint="eastAsia" w:ascii="宋体" w:hAnsi="宋体" w:eastAsia="宋体" w:cs="宋体"/>
          <w:color w:val="auto"/>
          <w:sz w:val="21"/>
          <w:szCs w:val="21"/>
          <w:highlight w:val="none"/>
          <w:lang w:val="en-US"/>
        </w:rPr>
        <w:t>11.与</w:t>
      </w:r>
      <w:r>
        <w:rPr>
          <w:rFonts w:hint="eastAsia" w:ascii="宋体" w:hAnsi="宋体" w:eastAsia="宋体" w:cs="宋体"/>
          <w:color w:val="auto"/>
          <w:sz w:val="21"/>
          <w:szCs w:val="21"/>
          <w:highlight w:val="none"/>
          <w:lang w:val="en-US" w:eastAsia="zh-Hans"/>
        </w:rPr>
        <w:t>江北区区级</w:t>
      </w:r>
      <w:r>
        <w:rPr>
          <w:rFonts w:hint="eastAsia" w:ascii="宋体" w:hAnsi="宋体" w:eastAsia="宋体" w:cs="宋体"/>
          <w:color w:val="auto"/>
          <w:sz w:val="21"/>
          <w:szCs w:val="21"/>
          <w:highlight w:val="none"/>
          <w:lang w:val="en-US"/>
        </w:rPr>
        <w:t>积分平台对接</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Hans"/>
        </w:rPr>
        <w:t>江北区区级</w:t>
      </w:r>
      <w:r>
        <w:rPr>
          <w:rFonts w:hint="eastAsia" w:ascii="宋体" w:hAnsi="宋体" w:eastAsia="宋体" w:cs="宋体"/>
          <w:color w:val="auto"/>
          <w:sz w:val="21"/>
          <w:szCs w:val="21"/>
          <w:highlight w:val="none"/>
        </w:rPr>
        <w:t>积分平台的开放接口能力和要求，进行系统对接。上报积分获得、积分消费等积分异动数据。主要接口：</w:t>
      </w:r>
    </w:p>
    <w:p>
      <w:pPr>
        <w:keepNext w:val="0"/>
        <w:keepLines w:val="0"/>
        <w:pageBreakBefore w:val="0"/>
        <w:numPr>
          <w:ilvl w:val="0"/>
          <w:numId w:val="9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查询积分：第三方应用通过积分查询接口，查询用户在未来社区基座账户中的积分余额。</w:t>
      </w:r>
    </w:p>
    <w:p>
      <w:pPr>
        <w:keepNext w:val="0"/>
        <w:keepLines w:val="0"/>
        <w:pageBreakBefore w:val="0"/>
        <w:numPr>
          <w:ilvl w:val="0"/>
          <w:numId w:val="95"/>
        </w:numPr>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积分上传：第三方应用通过积分上传接口，将用户在第三方应用上产生的积分上传至未来社区基座账户中。</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5.2应用支撑层设计</w:t>
      </w:r>
      <w:bookmarkEnd w:id="50"/>
    </w:p>
    <w:p>
      <w:pPr>
        <w:keepNext w:val="0"/>
        <w:keepLines w:val="0"/>
        <w:pageBreakBefore w:val="0"/>
        <w:kinsoku/>
        <w:wordWrap/>
        <w:overflowPunct/>
        <w:topLinePunct w:val="0"/>
        <w:bidi w:val="0"/>
        <w:adjustRightInd/>
        <w:snapToGrid/>
        <w:spacing w:line="360" w:lineRule="auto"/>
        <w:ind w:left="0" w:firstLine="422" w:firstLineChars="200"/>
        <w:jc w:val="both"/>
        <w:textAlignment w:val="auto"/>
        <w:rPr>
          <w:rFonts w:hint="eastAsia" w:ascii="宋体" w:hAnsi="宋体" w:eastAsia="宋体" w:cs="宋体"/>
          <w:b/>
          <w:bCs/>
          <w:color w:val="auto"/>
          <w:sz w:val="21"/>
          <w:szCs w:val="21"/>
          <w:highlight w:val="none"/>
          <w:lang w:val="en-US"/>
        </w:rPr>
      </w:pPr>
      <w:bookmarkStart w:id="51" w:name="_Toc29818"/>
      <w:r>
        <w:rPr>
          <w:rFonts w:hint="eastAsia" w:ascii="宋体" w:hAnsi="宋体" w:eastAsia="宋体" w:cs="宋体"/>
          <w:b/>
          <w:bCs/>
          <w:color w:val="auto"/>
          <w:sz w:val="21"/>
          <w:szCs w:val="21"/>
          <w:highlight w:val="none"/>
          <w:lang w:val="en-US"/>
        </w:rPr>
        <w:t>5.2.1未来社区应用支撑系统</w:t>
      </w:r>
      <w:bookmarkEnd w:id="51"/>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基于宁波市智能公共数据平台的基础服务，开展项目所需的定制化开发，以补充宁波市智能公共数据平台（原城市大脑）其他方面的服务能力。</w:t>
      </w:r>
    </w:p>
    <w:p>
      <w:pPr>
        <w:keepNext w:val="0"/>
        <w:keepLines w:val="0"/>
        <w:pageBreakBefore w:val="0"/>
        <w:kinsoku/>
        <w:wordWrap/>
        <w:overflowPunct/>
        <w:topLinePunct w:val="0"/>
        <w:bidi w:val="0"/>
        <w:adjustRightInd/>
        <w:snapToGrid/>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全区统一的社区应用系统建设需求，打造统一未来社区底层业务支撑能力，建设未来社区应用支撑系统，包含社区物联引擎感知接入支撑系统、空间数据管理系统、社区业务数据管理系统和应用开放接口管理系统等。</w:t>
      </w:r>
    </w:p>
    <w:p>
      <w:pPr>
        <w:spacing w:line="360" w:lineRule="auto"/>
        <w:jc w:val="center"/>
        <w:rPr>
          <w:color w:val="auto"/>
          <w:highlight w:val="none"/>
        </w:rPr>
      </w:pPr>
      <w:r>
        <w:rPr>
          <w:color w:val="auto"/>
          <w:szCs w:val="21"/>
          <w:highlight w:val="none"/>
        </w:rPr>
        <w:drawing>
          <wp:inline distT="0" distB="0" distL="114300" distR="114300">
            <wp:extent cx="5182870" cy="1356995"/>
            <wp:effectExtent l="0" t="0" r="17780" b="1460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8"/>
                    <a:stretch>
                      <a:fillRect/>
                    </a:stretch>
                  </pic:blipFill>
                  <pic:spPr>
                    <a:xfrm>
                      <a:off x="0" y="0"/>
                      <a:ext cx="5182870" cy="1356995"/>
                    </a:xfrm>
                    <a:prstGeom prst="rect">
                      <a:avLst/>
                    </a:prstGeom>
                    <a:noFill/>
                    <a:ln>
                      <a:noFill/>
                    </a:ln>
                  </pic:spPr>
                </pic:pic>
              </a:graphicData>
            </a:graphic>
          </wp:inline>
        </w:drawing>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图 5.2.1未来社区应用支撑系统功能架构图</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5.2.2社区物联感知支撑系统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1.系统概述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为社区数字基建提供物联技术服务，基于统一标准提供社区智能化设备认证、接入、监控、控制及管理能力，可实现社区内物联感知设备间、设备与业务应用系统间的运行联动。</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2.功能架构</w:t>
      </w:r>
    </w:p>
    <w:p>
      <w:pPr>
        <w:spacing w:line="360" w:lineRule="auto"/>
        <w:jc w:val="center"/>
        <w:rPr>
          <w:color w:val="auto"/>
          <w:highlight w:val="none"/>
        </w:rPr>
      </w:pPr>
      <w:r>
        <w:rPr>
          <w:color w:val="auto"/>
          <w:highlight w:val="none"/>
        </w:rPr>
        <w:drawing>
          <wp:inline distT="0" distB="0" distL="114300" distR="114300">
            <wp:extent cx="4138295" cy="3149600"/>
            <wp:effectExtent l="0" t="0" r="14605" b="1270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9"/>
                    <a:stretch>
                      <a:fillRect/>
                    </a:stretch>
                  </pic:blipFill>
                  <pic:spPr>
                    <a:xfrm>
                      <a:off x="0" y="0"/>
                      <a:ext cx="4138295" cy="3149600"/>
                    </a:xfrm>
                    <a:prstGeom prst="rect">
                      <a:avLst/>
                    </a:prstGeom>
                    <a:noFill/>
                    <a:ln>
                      <a:noFill/>
                    </a:ln>
                  </pic:spPr>
                </pic:pic>
              </a:graphicData>
            </a:graphic>
          </wp:inline>
        </w:drawing>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图 5.2.2-2社区物联感知接入支撑系统功能架构图</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3.功能设计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（1）总览</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展示社区范围内的所有接入的物联网设备的统一信息概览，包含总设备数、故障发生数、在线离线情况等。</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（2）物联场景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基于已经对接了的物联场景进行分场景管理，包含门禁管理、安防管理、车行管理等实际落地场景。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（3）产品管理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针对海量物联设备的产品构建要求，维护统一的产品模型来适配不同设备的管理需求。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（4）设备管理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提供海量传感设备的统一管理，包括设备状况监控、控制、维护、升级。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（5）事件管理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基于流程引擎对海量物联数据进行预处置、设置规则、定义流程，从而赋能上层应用实现智能发现、智能处置、业务联动。</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bookmarkStart w:id="52" w:name="_Hlk99094084"/>
      <w:bookmarkEnd w:id="52"/>
      <w:r>
        <w:rPr>
          <w:rFonts w:hint="eastAsia"/>
          <w:b/>
          <w:bCs/>
          <w:color w:val="auto"/>
          <w:sz w:val="21"/>
          <w:szCs w:val="21"/>
          <w:highlight w:val="none"/>
          <w:lang w:val="en-US"/>
        </w:rPr>
        <w:t>5.2.3空间数据管理系统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5.2.3.1系统概述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空间数据管理系统，</w:t>
      </w:r>
      <w:bookmarkStart w:id="53" w:name="_Hlk99203091"/>
      <w:r>
        <w:rPr>
          <w:rFonts w:hint="eastAsia"/>
          <w:color w:val="auto"/>
          <w:sz w:val="21"/>
          <w:szCs w:val="21"/>
          <w:highlight w:val="none"/>
        </w:rPr>
        <w:t>基于全省未来社区CIM基础平台的标准化空间服务能力，实现社区空间全要素数字化、全状态可视化、管理精细化</w:t>
      </w:r>
      <w:bookmarkEnd w:id="53"/>
      <w:r>
        <w:rPr>
          <w:rFonts w:hint="eastAsia"/>
          <w:color w:val="auto"/>
          <w:sz w:val="21"/>
          <w:szCs w:val="21"/>
          <w:highlight w:val="none"/>
        </w:rPr>
        <w:t>。该系统主要提供空间数字资产的管理，包含模型上传、处理、分发等功能，便于通过三维模型辅助空间治理服务，还包含空间热点管理，通过热点将空间与物联网设备、活动场馆等信息紧密关联，更好为各个场景提供服务。</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5.2.3.2功能架构</w:t>
      </w:r>
    </w:p>
    <w:p>
      <w:pPr>
        <w:spacing w:line="360" w:lineRule="auto"/>
        <w:jc w:val="center"/>
        <w:rPr>
          <w:color w:val="auto"/>
          <w:highlight w:val="none"/>
        </w:rPr>
      </w:pPr>
      <w:r>
        <w:rPr>
          <w:color w:val="auto"/>
          <w:highlight w:val="none"/>
        </w:rPr>
        <w:t xml:space="preserve"> </w:t>
      </w:r>
      <w:r>
        <w:rPr>
          <w:color w:val="auto"/>
          <w:highlight w:val="none"/>
        </w:rPr>
        <w:drawing>
          <wp:inline distT="0" distB="0" distL="114300" distR="114300">
            <wp:extent cx="4298950" cy="2477770"/>
            <wp:effectExtent l="0" t="0" r="6350" b="1778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0"/>
                    <a:stretch>
                      <a:fillRect/>
                    </a:stretch>
                  </pic:blipFill>
                  <pic:spPr>
                    <a:xfrm>
                      <a:off x="0" y="0"/>
                      <a:ext cx="4298950" cy="2477770"/>
                    </a:xfrm>
                    <a:prstGeom prst="rect">
                      <a:avLst/>
                    </a:prstGeom>
                    <a:noFill/>
                    <a:ln>
                      <a:noFill/>
                    </a:ln>
                  </pic:spPr>
                </pic:pic>
              </a:graphicData>
            </a:graphic>
          </wp:inline>
        </w:drawing>
      </w:r>
    </w:p>
    <w:p>
      <w:pPr>
        <w:spacing w:line="360" w:lineRule="auto"/>
        <w:jc w:val="center"/>
        <w:rPr>
          <w:color w:val="auto"/>
          <w:highlight w:val="none"/>
        </w:rPr>
      </w:pPr>
      <w:r>
        <w:rPr>
          <w:color w:val="auto"/>
          <w:highlight w:val="none"/>
        </w:rPr>
        <w:t>图 5.2.3.2 空间数据管理系统功能架构图</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5.2.3.4功能设计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1.仪表盘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以仪表盘方式，通过卡片数字方式直观展示平台场景应用数量、三维数据数量、三维热点数量统计以及三维数据引用过程情况等统计。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2.场景管理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将三维数据与业务平台页面进行绑定管理，可以方便在页面中动态加载不同三维数据以及三维热点。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3.三维数据管理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rPr>
      </w:pPr>
      <w:r>
        <w:rPr>
          <w:rFonts w:hint="eastAsia"/>
          <w:b/>
          <w:bCs/>
          <w:color w:val="auto"/>
          <w:sz w:val="21"/>
          <w:szCs w:val="21"/>
          <w:highlight w:val="none"/>
        </w:rPr>
        <w:t>（1）360°VR全景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提供360°VR全景图片上传、预览、编辑、删除的功能，并在预览界面可以对热点进行增加、编辑、删除的功能。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rPr>
      </w:pPr>
      <w:r>
        <w:rPr>
          <w:rFonts w:hint="eastAsia"/>
          <w:b/>
          <w:bCs/>
          <w:color w:val="auto"/>
          <w:sz w:val="21"/>
          <w:szCs w:val="21"/>
          <w:highlight w:val="none"/>
        </w:rPr>
        <w:t>（2）三维模型</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提供三维模型上传、预览、编辑、删除的功能。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rPr>
      </w:pPr>
      <w:r>
        <w:rPr>
          <w:rFonts w:hint="eastAsia"/>
          <w:b/>
          <w:bCs/>
          <w:color w:val="auto"/>
          <w:sz w:val="21"/>
          <w:szCs w:val="21"/>
          <w:highlight w:val="none"/>
        </w:rPr>
        <w:t>（3）热点标签管理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提供倾斜摄影遥感影像和模型数据的上传、预览、编辑、删除的功能，并在预览界面可以对热点进行增加、编辑、删除的功能。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4.三维热点管理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rPr>
      </w:pPr>
      <w:r>
        <w:rPr>
          <w:rFonts w:hint="eastAsia"/>
          <w:b/>
          <w:bCs/>
          <w:color w:val="auto"/>
          <w:sz w:val="21"/>
          <w:szCs w:val="21"/>
          <w:highlight w:val="none"/>
        </w:rPr>
        <w:t>（1）热点信息管理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提供热点信息管理，将热点与物联网设备、活动场馆等信息进行绑定，便于后续业务展开。</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rPr>
      </w:pPr>
      <w:r>
        <w:rPr>
          <w:rFonts w:hint="eastAsia"/>
          <w:b/>
          <w:bCs/>
          <w:color w:val="auto"/>
          <w:sz w:val="21"/>
          <w:szCs w:val="21"/>
          <w:highlight w:val="none"/>
        </w:rPr>
        <w:t>（2）热点样式管理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提供热点样式管理，包含热点边框颜色、边框粗细、填充色、使用图标等参数管理，并提供不同状态管理，针对业务需求提供不同样式展示。</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5.2.4社区业务应用数据管理系统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5.2.4.1系统概述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实现社区数据的汇聚、治理和应用。汇聚社区物联感知数据、应用服务数据及社区各主体活动数据，包括社区空间、人、车、房、物、事、权等资产数据和动态记录数据存储及管理功能。在原有数据资产基础上，充分考虑数据安全与隐私保护，通过标准化数据接口对接宁波市智能公共数据平台（原城市大脑），全面对接下沉的政府治理数据和数字社会公共服务数据，赋能九场景落地应用，建立数据迭代更新机制，通过高频应用推动数据治理。</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5.2.4.2功能架构</w:t>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drawing>
          <wp:inline distT="0" distB="0" distL="114300" distR="114300">
            <wp:extent cx="3289300" cy="2450465"/>
            <wp:effectExtent l="0" t="0" r="6350" b="698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1"/>
                    <a:stretch>
                      <a:fillRect/>
                    </a:stretch>
                  </pic:blipFill>
                  <pic:spPr>
                    <a:xfrm>
                      <a:off x="0" y="0"/>
                      <a:ext cx="3289300" cy="2450465"/>
                    </a:xfrm>
                    <a:prstGeom prst="rect">
                      <a:avLst/>
                    </a:prstGeom>
                    <a:noFill/>
                    <a:ln>
                      <a:noFill/>
                    </a:ln>
                  </pic:spPr>
                </pic:pic>
              </a:graphicData>
            </a:graphic>
          </wp:inline>
        </w:drawing>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图 5.2.4.2 社区业务数据管理系统功能架构图</w:t>
      </w:r>
    </w:p>
    <w:p>
      <w:pPr>
        <w:spacing w:line="360" w:lineRule="auto"/>
        <w:rPr>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5.2.4.3功能设计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1.总览</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展示业务数据管理流程，并可以对整个社区下的业务数据统计信息进行综合概览。</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2.数据源接入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将不同的数据源接入要求，进行模块化管理，包含关系型数据库、非关系型数据库等多源数据源的接入。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3.资产建模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支持业务资产模型的创建、修改、删除，以及模型和分析任务的关联操作等功能。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4.存储管理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支持存储方式的选择、存储信息的配置，最终为数据消费提供基础。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5.分析任务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支持任务的创建、分析类型的选择、类SQL的查询任务、以及流数据的分析等功能。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6.数据集市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支持数据分析结果的展示、数据访问API的自动化生成、订阅等功能。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5.2.5应用开放接口管理系统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5.2.5.1系统概述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为宁波市智能公共数据平台（原城市大脑）、数字社会和区级服务应用商城在社区智慧服务平台上实施应用提供标准的API接口，提供应用承接及落地集成的能力。通过社区统一的空间、用户、积分、权限、支付、评价、停车、安防等社区标准应用服务，实现应用接入、验证、发布等标准化管理，避免碎片化应用建设，有效降低成本、减少重复开发。</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5.2.5.2功能架构</w:t>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drawing>
          <wp:inline distT="0" distB="0" distL="114300" distR="114300">
            <wp:extent cx="3914140" cy="2668270"/>
            <wp:effectExtent l="0" t="0" r="10160" b="1778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2"/>
                    <a:stretch>
                      <a:fillRect/>
                    </a:stretch>
                  </pic:blipFill>
                  <pic:spPr>
                    <a:xfrm>
                      <a:off x="0" y="0"/>
                      <a:ext cx="3914140" cy="2668270"/>
                    </a:xfrm>
                    <a:prstGeom prst="rect">
                      <a:avLst/>
                    </a:prstGeom>
                    <a:noFill/>
                    <a:ln>
                      <a:noFill/>
                    </a:ln>
                  </pic:spPr>
                </pic:pic>
              </a:graphicData>
            </a:graphic>
          </wp:inline>
        </w:drawing>
      </w:r>
    </w:p>
    <w:p>
      <w:pPr>
        <w:pStyle w:val="17"/>
        <w:spacing w:before="0" w:after="0" w:line="360" w:lineRule="auto"/>
        <w:jc w:val="center"/>
        <w:rPr>
          <w:rFonts w:ascii="宋体" w:hAnsi="宋体" w:eastAsia="宋体"/>
          <w:color w:val="auto"/>
          <w:highlight w:val="none"/>
        </w:rPr>
      </w:pPr>
      <w:r>
        <w:rPr>
          <w:rFonts w:ascii="宋体" w:hAnsi="宋体" w:eastAsia="宋体"/>
          <w:color w:val="auto"/>
          <w:highlight w:val="none"/>
        </w:rPr>
        <w:t>图 5.2.5.2应用开放接口管理系统功能架构图</w:t>
      </w:r>
    </w:p>
    <w:p>
      <w:pPr>
        <w:spacing w:line="360" w:lineRule="auto"/>
        <w:rPr>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b/>
          <w:bCs/>
          <w:color w:val="auto"/>
          <w:sz w:val="21"/>
          <w:szCs w:val="21"/>
          <w:highlight w:val="none"/>
          <w:lang w:val="en-US"/>
        </w:rPr>
      </w:pPr>
      <w:r>
        <w:rPr>
          <w:rFonts w:hint="eastAsia"/>
          <w:b/>
          <w:bCs/>
          <w:color w:val="auto"/>
          <w:sz w:val="21"/>
          <w:szCs w:val="21"/>
          <w:highlight w:val="none"/>
          <w:lang w:val="en-US"/>
        </w:rPr>
        <w:t>5.2.5.3功能设计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1.开发入驻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支持开发者账号申请、后台审核开发者资格、发放开发者凭证等功能。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2.接口管理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支持开发者接口权限申请、接口文档在线下载、接口调用安全审计等功能。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lang w:val="en-US"/>
        </w:rPr>
      </w:pPr>
      <w:r>
        <w:rPr>
          <w:rFonts w:hint="eastAsia"/>
          <w:color w:val="auto"/>
          <w:sz w:val="21"/>
          <w:szCs w:val="21"/>
          <w:highlight w:val="none"/>
          <w:lang w:val="en-US"/>
        </w:rPr>
        <w:t>3.应用管理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sz w:val="21"/>
          <w:szCs w:val="21"/>
          <w:highlight w:val="none"/>
        </w:rPr>
      </w:pPr>
      <w:r>
        <w:rPr>
          <w:rFonts w:hint="eastAsia"/>
          <w:color w:val="auto"/>
          <w:sz w:val="21"/>
          <w:szCs w:val="21"/>
          <w:highlight w:val="none"/>
        </w:rPr>
        <w:t>区级应用商城应用对接、应用列表。</w:t>
      </w:r>
    </w:p>
    <w:p>
      <w:pPr>
        <w:shd w:val="clear" w:color="auto" w:fill="auto"/>
        <w:spacing w:line="360" w:lineRule="auto"/>
        <w:ind w:firstLine="420" w:firstLineChars="200"/>
        <w:rPr>
          <w:color w:val="auto"/>
          <w:sz w:val="21"/>
          <w:szCs w:val="21"/>
          <w:highlight w:val="none"/>
        </w:rPr>
      </w:pPr>
    </w:p>
    <w:p>
      <w:pPr>
        <w:pStyle w:val="6"/>
        <w:shd w:val="clear" w:color="auto" w:fill="auto"/>
        <w:spacing w:before="0" w:after="0" w:line="360" w:lineRule="auto"/>
        <w:rPr>
          <w:rFonts w:ascii="宋体" w:hAnsi="宋体" w:eastAsia="宋体"/>
          <w:color w:val="auto"/>
          <w:sz w:val="21"/>
          <w:szCs w:val="21"/>
          <w:highlight w:val="none"/>
          <w:lang w:val="en-US"/>
        </w:rPr>
        <w:sectPr>
          <w:headerReference r:id="rId5" w:type="default"/>
          <w:footerReference r:id="rId6" w:type="default"/>
          <w:pgSz w:w="11906" w:h="16838"/>
          <w:pgMar w:top="1417" w:right="1701" w:bottom="1417" w:left="1701" w:header="851" w:footer="850" w:gutter="0"/>
          <w:paperSrc/>
          <w:pgBorders>
            <w:top w:val="none" w:sz="0" w:space="0"/>
            <w:left w:val="none" w:sz="0" w:space="0"/>
            <w:bottom w:val="none" w:sz="0" w:space="0"/>
            <w:right w:val="none" w:sz="0" w:space="0"/>
          </w:pgBorders>
          <w:pgNumType w:fmt="decimal"/>
          <w:cols w:space="720" w:num="1"/>
          <w:rtlGutter w:val="0"/>
          <w:docGrid w:linePitch="312" w:charSpace="0"/>
        </w:sectPr>
      </w:pPr>
    </w:p>
    <w:p>
      <w:pPr>
        <w:pStyle w:val="6"/>
        <w:numPr>
          <w:ilvl w:val="0"/>
          <w:numId w:val="0"/>
        </w:numPr>
        <w:shd w:val="clear" w:color="auto" w:fill="auto"/>
        <w:spacing w:before="0" w:after="0" w:line="360" w:lineRule="auto"/>
        <w:rPr>
          <w:rFonts w:ascii="宋体" w:hAnsi="宋体" w:eastAsia="宋体"/>
          <w:color w:val="auto"/>
          <w:sz w:val="28"/>
          <w:szCs w:val="28"/>
          <w:highlight w:val="none"/>
        </w:rPr>
      </w:pPr>
      <w:r>
        <w:rPr>
          <w:rFonts w:hint="eastAsia" w:ascii="宋体" w:hAnsi="宋体" w:eastAsia="宋体"/>
          <w:color w:val="auto"/>
          <w:sz w:val="28"/>
          <w:szCs w:val="28"/>
          <w:highlight w:val="none"/>
          <w:lang w:val="en-US" w:eastAsia="zh-CN"/>
        </w:rPr>
        <w:t>四、</w:t>
      </w:r>
      <w:r>
        <w:rPr>
          <w:rFonts w:hint="eastAsia" w:ascii="宋体" w:hAnsi="宋体" w:eastAsia="宋体"/>
          <w:color w:val="auto"/>
          <w:sz w:val="28"/>
          <w:szCs w:val="28"/>
          <w:highlight w:val="none"/>
        </w:rPr>
        <w:t>数字化建设需求</w:t>
      </w:r>
      <w:r>
        <w:rPr>
          <w:rFonts w:ascii="宋体" w:hAnsi="宋体" w:eastAsia="宋体"/>
          <w:color w:val="auto"/>
          <w:sz w:val="28"/>
          <w:szCs w:val="28"/>
          <w:highlight w:val="none"/>
        </w:rPr>
        <w:t>清单</w:t>
      </w:r>
    </w:p>
    <w:p>
      <w:pPr>
        <w:pStyle w:val="7"/>
        <w:shd w:val="clear" w:color="auto" w:fill="auto"/>
        <w:spacing w:before="0" w:after="0" w:line="360" w:lineRule="auto"/>
        <w:jc w:val="left"/>
        <w:rPr>
          <w:rFonts w:hint="default" w:ascii="宋体" w:hAnsi="宋体" w:eastAsia="宋体" w:cs="宋体"/>
          <w:b/>
          <w:bCs/>
          <w:color w:val="auto"/>
          <w:sz w:val="28"/>
          <w:szCs w:val="28"/>
          <w:highlight w:val="none"/>
          <w:lang w:val="en-US" w:eastAsia="zh-CN" w:bidi="zh-CN"/>
        </w:rPr>
      </w:pPr>
      <w:bookmarkStart w:id="54" w:name="_Toc16001"/>
      <w:r>
        <w:rPr>
          <w:rFonts w:hint="eastAsia" w:ascii="宋体" w:hAnsi="宋体" w:eastAsia="宋体" w:cs="宋体"/>
          <w:b/>
          <w:bCs/>
          <w:color w:val="auto"/>
          <w:sz w:val="28"/>
          <w:szCs w:val="28"/>
          <w:highlight w:val="none"/>
          <w:lang w:val="en-US" w:eastAsia="zh-CN" w:bidi="zh-CN"/>
        </w:rPr>
        <w:t>1、未来社区智慧服务平台（含九大场景应用开发及服务）</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53"/>
        <w:gridCol w:w="1883"/>
        <w:gridCol w:w="1217"/>
        <w:gridCol w:w="9286"/>
        <w:gridCol w:w="535"/>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b/>
                <w:bCs/>
                <w:color w:val="auto"/>
                <w:sz w:val="21"/>
                <w:szCs w:val="21"/>
                <w:highlight w:val="none"/>
                <w:lang w:val="en-US" w:bidi="ar-SA"/>
              </w:rPr>
            </w:pPr>
            <w:r>
              <w:rPr>
                <w:rFonts w:hint="eastAsia"/>
                <w:b/>
                <w:bCs/>
                <w:color w:val="auto"/>
                <w:sz w:val="21"/>
                <w:szCs w:val="21"/>
                <w:highlight w:val="none"/>
                <w:lang w:val="en-US" w:bidi="ar-SA"/>
              </w:rPr>
              <w:t>一、未来邻里场景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社区积分系统</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1、个人积分（糖豆）查询，积分规则说明，个人积分二维码、等级（糖果）；</w:t>
            </w:r>
            <w:r>
              <w:rPr>
                <w:rFonts w:hint="eastAsia"/>
                <w:color w:val="auto"/>
                <w:sz w:val="21"/>
                <w:szCs w:val="21"/>
                <w:highlight w:val="none"/>
                <w:lang w:val="en-US" w:bidi="ar-SA"/>
              </w:rPr>
              <w:br w:type="textWrapping"/>
            </w:r>
            <w:r>
              <w:rPr>
                <w:rFonts w:hint="eastAsia"/>
                <w:color w:val="auto"/>
                <w:sz w:val="21"/>
                <w:szCs w:val="21"/>
                <w:highlight w:val="none"/>
                <w:lang w:val="en-US" w:bidi="ar-SA"/>
              </w:rPr>
              <w:t>2、积分获取和扣除记录历史记录查询；</w:t>
            </w:r>
            <w:r>
              <w:rPr>
                <w:rFonts w:hint="eastAsia"/>
                <w:color w:val="auto"/>
                <w:sz w:val="21"/>
                <w:szCs w:val="21"/>
                <w:highlight w:val="none"/>
                <w:lang w:val="en-US" w:bidi="ar-SA"/>
              </w:rPr>
              <w:br w:type="textWrapping"/>
            </w:r>
            <w:r>
              <w:rPr>
                <w:rFonts w:hint="eastAsia"/>
                <w:color w:val="auto"/>
                <w:sz w:val="21"/>
                <w:szCs w:val="21"/>
                <w:highlight w:val="none"/>
                <w:lang w:val="en-US" w:bidi="ar-SA"/>
              </w:rPr>
              <w:t>3、支持签到、活动、学习、运动等多场景、不同年龄段居民、志愿者、党员等获得积分。</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1、积分（糖豆）规则管理（积分规则设置，积分等级评定规则设置，设置不同类型活动的积分发放范围等）；</w:t>
            </w:r>
            <w:r>
              <w:rPr>
                <w:rFonts w:hint="eastAsia"/>
                <w:color w:val="auto"/>
                <w:sz w:val="21"/>
                <w:szCs w:val="21"/>
                <w:highlight w:val="none"/>
                <w:lang w:val="en-US" w:bidi="ar-SA"/>
              </w:rPr>
              <w:br w:type="textWrapping"/>
            </w:r>
            <w:r>
              <w:rPr>
                <w:rFonts w:hint="eastAsia"/>
                <w:color w:val="auto"/>
                <w:sz w:val="21"/>
                <w:szCs w:val="21"/>
                <w:highlight w:val="none"/>
                <w:lang w:val="en-US" w:bidi="ar-SA"/>
              </w:rPr>
              <w:t>2、积分获取和使用记录，居民积分获得、兑换记录。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1.今日领取积分（糖豆）：今日发放给用户的积分数及详情；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2.今日兑换积分：今日用户兑换积分数及详情；</w:t>
            </w:r>
            <w:r>
              <w:rPr>
                <w:rFonts w:hint="eastAsia"/>
                <w:color w:val="auto"/>
                <w:sz w:val="21"/>
                <w:szCs w:val="21"/>
                <w:highlight w:val="none"/>
                <w:lang w:val="en-US" w:bidi="ar-SA"/>
              </w:rPr>
              <w:br w:type="textWrapping"/>
            </w:r>
            <w:r>
              <w:rPr>
                <w:rFonts w:hint="eastAsia"/>
                <w:color w:val="auto"/>
                <w:sz w:val="21"/>
                <w:szCs w:val="21"/>
                <w:highlight w:val="none"/>
                <w:lang w:val="en-US" w:bidi="ar-SA"/>
              </w:rPr>
              <w:t>3.社区积分排名：社区内居民积分获得及消费排名；</w:t>
            </w:r>
            <w:r>
              <w:rPr>
                <w:rFonts w:hint="eastAsia"/>
                <w:color w:val="auto"/>
                <w:sz w:val="21"/>
                <w:szCs w:val="21"/>
                <w:highlight w:val="none"/>
                <w:lang w:val="en-US" w:bidi="ar-SA"/>
              </w:rPr>
              <w:br w:type="textWrapping"/>
            </w:r>
            <w:r>
              <w:rPr>
                <w:rFonts w:hint="eastAsia"/>
                <w:color w:val="auto"/>
                <w:sz w:val="21"/>
                <w:szCs w:val="21"/>
                <w:highlight w:val="none"/>
                <w:lang w:val="en-US" w:bidi="ar-SA"/>
              </w:rPr>
              <w:t>4.发放金额趋势：根据社区发放积分进行日/月/年统计，可直观的</w:t>
            </w:r>
            <w:r>
              <w:rPr>
                <w:rFonts w:hint="eastAsia"/>
                <w:color w:val="auto"/>
                <w:sz w:val="21"/>
                <w:szCs w:val="21"/>
                <w:highlight w:val="none"/>
                <w:lang w:val="en-US" w:bidi="ar-SA"/>
              </w:rPr>
              <w:br w:type="textWrapping"/>
            </w:r>
            <w:r>
              <w:rPr>
                <w:rFonts w:hint="eastAsia"/>
                <w:color w:val="auto"/>
                <w:sz w:val="21"/>
                <w:szCs w:val="21"/>
                <w:highlight w:val="none"/>
                <w:lang w:val="en-US" w:bidi="ar-SA"/>
              </w:rPr>
              <w:t>查看社区用户活跃度积分发放兑换趋势；</w:t>
            </w:r>
            <w:r>
              <w:rPr>
                <w:rFonts w:hint="eastAsia"/>
                <w:color w:val="auto"/>
                <w:sz w:val="21"/>
                <w:szCs w:val="21"/>
                <w:highlight w:val="none"/>
                <w:lang w:val="en-US" w:bidi="ar-SA"/>
              </w:rPr>
              <w:br w:type="textWrapping"/>
            </w:r>
            <w:r>
              <w:rPr>
                <w:rFonts w:hint="eastAsia"/>
                <w:color w:val="auto"/>
                <w:sz w:val="21"/>
                <w:szCs w:val="21"/>
                <w:highlight w:val="none"/>
                <w:lang w:val="en-US" w:bidi="ar-SA"/>
              </w:rPr>
              <w:t>5.积分发放情况:查看社区所发放的积分数及发放次</w:t>
            </w:r>
            <w:r>
              <w:rPr>
                <w:rFonts w:hint="eastAsia"/>
                <w:color w:val="auto"/>
                <w:sz w:val="21"/>
                <w:szCs w:val="21"/>
                <w:highlight w:val="none"/>
                <w:lang w:val="en-US" w:bidi="ar-SA"/>
              </w:rPr>
              <w:br w:type="textWrapping"/>
            </w:r>
            <w:r>
              <w:rPr>
                <w:rFonts w:hint="eastAsia"/>
                <w:color w:val="auto"/>
                <w:sz w:val="21"/>
                <w:szCs w:val="21"/>
                <w:highlight w:val="none"/>
                <w:lang w:val="en-US" w:bidi="ar-SA"/>
              </w:rPr>
              <w:t>数，便于社区统计积分发放情况；</w:t>
            </w:r>
            <w:r>
              <w:rPr>
                <w:rFonts w:hint="eastAsia"/>
                <w:color w:val="auto"/>
                <w:sz w:val="21"/>
                <w:szCs w:val="21"/>
                <w:highlight w:val="none"/>
                <w:lang w:val="en-US" w:bidi="ar-SA"/>
              </w:rPr>
              <w:br w:type="textWrapping"/>
            </w:r>
            <w:r>
              <w:rPr>
                <w:rFonts w:hint="eastAsia"/>
                <w:color w:val="auto"/>
                <w:sz w:val="21"/>
                <w:szCs w:val="21"/>
                <w:highlight w:val="none"/>
                <w:lang w:val="en-US" w:bidi="ar-SA"/>
              </w:rPr>
              <w:t>6.积分区级账户占比：查看各个积分区级注册用户数的比例。</w:t>
            </w:r>
            <w:r>
              <w:rPr>
                <w:rFonts w:hint="eastAsia"/>
                <w:color w:val="auto"/>
                <w:sz w:val="21"/>
                <w:szCs w:val="21"/>
                <w:highlight w:val="none"/>
                <w:lang w:val="en-US" w:bidi="ar-SA"/>
              </w:rPr>
              <w:br w:type="textWrapping"/>
            </w:r>
            <w:r>
              <w:rPr>
                <w:rFonts w:hint="eastAsia"/>
                <w:color w:val="auto"/>
                <w:sz w:val="21"/>
                <w:szCs w:val="21"/>
                <w:highlight w:val="none"/>
                <w:lang w:val="en-US" w:bidi="ar-SA"/>
              </w:rPr>
              <w:t>7.社区积分累积发放排名：各个社区积分发放情况排名。</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社区积分系统-积分商城</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1、积分兑换商城，可兑换商品列表，商品详情，商品兑换；</w:t>
            </w:r>
            <w:r>
              <w:rPr>
                <w:rFonts w:hint="eastAsia"/>
                <w:color w:val="auto"/>
                <w:sz w:val="21"/>
                <w:szCs w:val="21"/>
                <w:highlight w:val="none"/>
                <w:lang w:val="en-US" w:bidi="ar-SA"/>
              </w:rPr>
              <w:br w:type="textWrapping"/>
            </w:r>
            <w:r>
              <w:rPr>
                <w:rFonts w:hint="eastAsia"/>
                <w:color w:val="auto"/>
                <w:sz w:val="21"/>
                <w:szCs w:val="21"/>
                <w:highlight w:val="none"/>
                <w:lang w:val="en-US" w:bidi="ar-SA"/>
              </w:rPr>
              <w:t>2、历史兑换订单查询，订单详情，订单核销码。</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1、积分商城商家列表、商家详情、商家管理；</w:t>
            </w:r>
            <w:r>
              <w:rPr>
                <w:rFonts w:hint="eastAsia"/>
                <w:color w:val="auto"/>
                <w:sz w:val="21"/>
                <w:szCs w:val="21"/>
                <w:highlight w:val="none"/>
                <w:lang w:val="en-US" w:bidi="ar-SA"/>
              </w:rPr>
              <w:br w:type="textWrapping"/>
            </w:r>
            <w:r>
              <w:rPr>
                <w:rFonts w:hint="eastAsia"/>
                <w:color w:val="auto"/>
                <w:sz w:val="21"/>
                <w:szCs w:val="21"/>
                <w:highlight w:val="none"/>
                <w:lang w:val="en-US" w:bidi="ar-SA"/>
              </w:rPr>
              <w:t>2、积分商城的商品编辑与管理，兑换商品的列表的查看；</w:t>
            </w:r>
            <w:r>
              <w:rPr>
                <w:rFonts w:hint="eastAsia"/>
                <w:color w:val="auto"/>
                <w:sz w:val="21"/>
                <w:szCs w:val="21"/>
                <w:highlight w:val="none"/>
                <w:lang w:val="en-US" w:bidi="ar-SA"/>
              </w:rPr>
              <w:br w:type="textWrapping"/>
            </w:r>
            <w:r>
              <w:rPr>
                <w:rFonts w:hint="eastAsia"/>
                <w:color w:val="auto"/>
                <w:sz w:val="21"/>
                <w:szCs w:val="21"/>
                <w:highlight w:val="none"/>
                <w:lang w:val="en-US" w:bidi="ar-SA"/>
              </w:rPr>
              <w:t>3、用户兑换订单查询，线下实物核销记录查询；</w:t>
            </w:r>
            <w:r>
              <w:rPr>
                <w:rFonts w:hint="eastAsia"/>
                <w:color w:val="auto"/>
                <w:sz w:val="21"/>
                <w:szCs w:val="21"/>
                <w:highlight w:val="none"/>
                <w:lang w:val="en-US" w:bidi="ar-SA"/>
              </w:rPr>
              <w:br w:type="textWrapping"/>
            </w:r>
            <w:r>
              <w:rPr>
                <w:rFonts w:hint="eastAsia"/>
                <w:color w:val="auto"/>
                <w:sz w:val="21"/>
                <w:szCs w:val="21"/>
                <w:highlight w:val="none"/>
                <w:lang w:val="en-US" w:bidi="ar-SA"/>
              </w:rPr>
              <w:t>4、提供积分兑换核销工具。</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社区积分系统-区级平台打通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区级平台积分系统对接预留，通过积分接口进行积分数据的交换和同步。</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邻里公约</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1、公约内容查阅，居民查询完成后生成线上签约界面，签约领取积分；</w:t>
            </w:r>
            <w:r>
              <w:rPr>
                <w:rFonts w:hint="eastAsia"/>
                <w:color w:val="auto"/>
                <w:sz w:val="21"/>
                <w:szCs w:val="21"/>
                <w:highlight w:val="none"/>
                <w:lang w:val="en-US" w:bidi="ar-SA"/>
              </w:rPr>
              <w:br w:type="textWrapping"/>
            </w:r>
            <w:r>
              <w:rPr>
                <w:rFonts w:hint="eastAsia"/>
                <w:color w:val="auto"/>
                <w:sz w:val="21"/>
                <w:szCs w:val="21"/>
                <w:highlight w:val="none"/>
                <w:lang w:val="en-US" w:bidi="ar-SA"/>
              </w:rPr>
              <w:t>2、公约内容变更通知，让居民重新查阅相关内容。</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1、经公约意见稿公示后，通过邻里公约管理后台可对公约内容编辑、发布，在居民端显示邻里公约正式内容；</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2、居民签约记录查询，展示已签约居民清单及未签约居民清单。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邻里圈(社群)</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1、展示社区社群列表，点击可查看社群详情、社群活动、社群历史活动回顾，可参社群活动报名。</w:t>
            </w:r>
            <w:r>
              <w:rPr>
                <w:rFonts w:hint="eastAsia"/>
                <w:color w:val="auto"/>
                <w:sz w:val="21"/>
                <w:szCs w:val="21"/>
                <w:highlight w:val="none"/>
                <w:lang w:val="en-US" w:bidi="ar-SA"/>
              </w:rPr>
              <w:br w:type="textWrapping"/>
            </w:r>
            <w:r>
              <w:rPr>
                <w:rFonts w:hint="eastAsia"/>
                <w:color w:val="auto"/>
                <w:sz w:val="21"/>
                <w:szCs w:val="21"/>
                <w:highlight w:val="none"/>
                <w:lang w:val="en-US" w:bidi="ar-SA"/>
              </w:rPr>
              <w:t>2、社群创建申请，由社群创建人发起创建申请，可在申请记录中查看申请结果，审核通过社群将在我的社群中显示，创建人员可对社群信息、成员进行管理，对成员申请进行审核；</w:t>
            </w:r>
            <w:r>
              <w:rPr>
                <w:rFonts w:hint="eastAsia"/>
                <w:color w:val="auto"/>
                <w:sz w:val="21"/>
                <w:szCs w:val="21"/>
                <w:highlight w:val="none"/>
                <w:lang w:val="en-US" w:bidi="ar-SA"/>
              </w:rPr>
              <w:br w:type="textWrapping"/>
            </w:r>
            <w:r>
              <w:rPr>
                <w:rFonts w:hint="eastAsia"/>
                <w:color w:val="auto"/>
                <w:sz w:val="21"/>
                <w:szCs w:val="21"/>
                <w:highlight w:val="none"/>
                <w:lang w:val="en-US" w:bidi="ar-SA"/>
              </w:rPr>
              <w:t>3、社群管理员可发布社群活动，查看成员报名名单，发布社群活动回顾，评论内容审核；</w:t>
            </w:r>
            <w:r>
              <w:rPr>
                <w:rFonts w:hint="eastAsia"/>
                <w:color w:val="auto"/>
                <w:sz w:val="21"/>
                <w:szCs w:val="21"/>
                <w:highlight w:val="none"/>
                <w:lang w:val="en-US" w:bidi="ar-SA"/>
              </w:rPr>
              <w:br w:type="textWrapping"/>
            </w:r>
            <w:r>
              <w:rPr>
                <w:rFonts w:hint="eastAsia"/>
                <w:color w:val="auto"/>
                <w:sz w:val="21"/>
                <w:szCs w:val="21"/>
                <w:highlight w:val="none"/>
                <w:lang w:val="en-US" w:bidi="ar-SA"/>
              </w:rPr>
              <w:t>4、社群入群申请，居民申请加入感兴趣的社群，由社群管理人员审核，申请记录中显示审核记录，审核通过在我的社群中显示；</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1、社群列表，查询社群信息，群成员列表，社群成员管理；居民入群申请列表，申请审核；</w:t>
            </w:r>
            <w:r>
              <w:rPr>
                <w:rFonts w:hint="eastAsia"/>
                <w:color w:val="auto"/>
                <w:sz w:val="21"/>
                <w:szCs w:val="21"/>
                <w:highlight w:val="none"/>
                <w:lang w:val="en-US" w:bidi="ar-SA"/>
              </w:rPr>
              <w:br w:type="textWrapping"/>
            </w:r>
            <w:r>
              <w:rPr>
                <w:rFonts w:hint="eastAsia"/>
                <w:color w:val="auto"/>
                <w:sz w:val="21"/>
                <w:szCs w:val="21"/>
                <w:highlight w:val="none"/>
                <w:lang w:val="en-US" w:bidi="ar-SA"/>
              </w:rPr>
              <w:t>2、社群活动列表，社群活动编辑、发布，活动报名结果；</w:t>
            </w:r>
            <w:r>
              <w:rPr>
                <w:rFonts w:hint="eastAsia"/>
                <w:color w:val="auto"/>
                <w:sz w:val="21"/>
                <w:szCs w:val="21"/>
                <w:highlight w:val="none"/>
                <w:lang w:val="en-US" w:bidi="ar-SA"/>
              </w:rPr>
              <w:br w:type="textWrapping"/>
            </w:r>
            <w:r>
              <w:rPr>
                <w:rFonts w:hint="eastAsia"/>
                <w:color w:val="auto"/>
                <w:sz w:val="21"/>
                <w:szCs w:val="21"/>
                <w:highlight w:val="none"/>
                <w:lang w:val="en-US" w:bidi="ar-SA"/>
              </w:rPr>
              <w:t>3、活动风采列表，活动风采编辑、发布。</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1、社群创建审批，社群备案（可设置权限由B端审核）</w:t>
            </w:r>
            <w:r>
              <w:rPr>
                <w:rFonts w:hint="eastAsia"/>
                <w:color w:val="auto"/>
                <w:sz w:val="21"/>
                <w:szCs w:val="21"/>
                <w:highlight w:val="none"/>
                <w:lang w:val="en-US" w:bidi="ar-SA"/>
              </w:rPr>
              <w:br w:type="textWrapping"/>
            </w:r>
            <w:r>
              <w:rPr>
                <w:rFonts w:hint="eastAsia"/>
                <w:color w:val="auto"/>
                <w:sz w:val="21"/>
                <w:szCs w:val="21"/>
                <w:highlight w:val="none"/>
                <w:lang w:val="en-US" w:bidi="ar-SA"/>
              </w:rPr>
              <w:t>2、社群成长画像（社群发展历程、成员变迁、历史活动）。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社区超话</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社区发布话题列表，查看话题详情，参与话题讨论，点赞、互动，并获取参与积分。</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1、社区话题列表，话题编辑、发布；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2、话题活跃度统计分析；</w:t>
            </w:r>
            <w:r>
              <w:rPr>
                <w:rFonts w:hint="eastAsia"/>
                <w:color w:val="auto"/>
                <w:sz w:val="21"/>
                <w:szCs w:val="21"/>
                <w:highlight w:val="none"/>
                <w:lang w:val="en-US" w:bidi="ar-SA"/>
              </w:rPr>
              <w:br w:type="textWrapping"/>
            </w:r>
            <w:r>
              <w:rPr>
                <w:rFonts w:hint="eastAsia"/>
                <w:color w:val="auto"/>
                <w:sz w:val="21"/>
                <w:szCs w:val="21"/>
                <w:highlight w:val="none"/>
                <w:lang w:val="en-US" w:bidi="ar-SA"/>
              </w:rPr>
              <w:t>3、用户话题参与，评论内容安全审核等管理；</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社区达人</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1、社区达人亮相列表，达人详情，关注达人；</w:t>
            </w:r>
            <w:r>
              <w:rPr>
                <w:rFonts w:hint="eastAsia"/>
                <w:color w:val="auto"/>
                <w:sz w:val="21"/>
                <w:szCs w:val="21"/>
                <w:highlight w:val="none"/>
                <w:lang w:val="en-US" w:bidi="ar-SA"/>
              </w:rPr>
              <w:br w:type="textWrapping"/>
            </w:r>
            <w:r>
              <w:rPr>
                <w:rFonts w:hint="eastAsia"/>
                <w:color w:val="auto"/>
                <w:sz w:val="21"/>
                <w:szCs w:val="21"/>
                <w:highlight w:val="none"/>
                <w:lang w:val="en-US" w:bidi="ar-SA"/>
              </w:rPr>
              <w:t>2、达人认证，社区居民提交相关资料，运营审核后居民成为社区达人；</w:t>
            </w:r>
            <w:r>
              <w:rPr>
                <w:rFonts w:hint="eastAsia"/>
                <w:color w:val="auto"/>
                <w:sz w:val="21"/>
                <w:szCs w:val="21"/>
                <w:highlight w:val="none"/>
                <w:lang w:val="en-US" w:bidi="ar-SA"/>
              </w:rPr>
              <w:br w:type="textWrapping"/>
            </w:r>
            <w:r>
              <w:rPr>
                <w:rFonts w:hint="eastAsia"/>
                <w:color w:val="auto"/>
                <w:sz w:val="21"/>
                <w:szCs w:val="21"/>
                <w:highlight w:val="none"/>
                <w:lang w:val="en-US" w:bidi="ar-SA"/>
              </w:rPr>
              <w:t>3、达人发布：达人可通过小程序端发布相关主题内容，申请达人直播。</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1、社区达人管理，达人列表，达人信息查询、编辑、发布；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2、达人认证审核，对居民申请进行审核，审核记录查询。</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投票表决/问卷调查</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1、居民可以查询投票、问卷列表，投票、问卷详情查看；</w:t>
            </w:r>
            <w:r>
              <w:rPr>
                <w:rFonts w:hint="eastAsia"/>
                <w:color w:val="auto"/>
                <w:sz w:val="21"/>
                <w:szCs w:val="21"/>
                <w:highlight w:val="none"/>
                <w:lang w:val="en-US" w:bidi="ar-SA"/>
              </w:rPr>
              <w:br w:type="textWrapping"/>
            </w:r>
            <w:r>
              <w:rPr>
                <w:rFonts w:hint="eastAsia"/>
                <w:color w:val="auto"/>
                <w:sz w:val="21"/>
                <w:szCs w:val="21"/>
                <w:highlight w:val="none"/>
                <w:lang w:val="en-US" w:bidi="ar-SA"/>
              </w:rPr>
              <w:t>2、投票、问卷内容填报，投票结果查询，评论。</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1、投票、问卷管理列表，投票、问卷内容查询、编辑、发布；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2、投票、问卷结果统计分析，居民填报结果详情列表。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投票、问卷结果统计分析、呈现</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邻里活动</w:t>
            </w:r>
            <w:r>
              <w:rPr>
                <w:rFonts w:hint="eastAsia"/>
                <w:color w:val="auto"/>
                <w:sz w:val="21"/>
                <w:szCs w:val="21"/>
                <w:highlight w:val="none"/>
                <w:lang w:val="en-US" w:bidi="ar-SA"/>
              </w:rPr>
              <w:br w:type="textWrapping"/>
            </w:r>
            <w:r>
              <w:rPr>
                <w:rFonts w:hint="eastAsia"/>
                <w:color w:val="auto"/>
                <w:sz w:val="21"/>
                <w:szCs w:val="21"/>
                <w:highlight w:val="none"/>
                <w:lang w:val="en-US" w:bidi="ar-SA"/>
              </w:rPr>
              <w:t>（与门禁、信息发布打通）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1、活动列表，查看活动详情，并参与邻里活动报名、签到，评论、点赞，活动可以是公益类、健康类、节日类；</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2、居民成功参与活动，完成活动后就可获取积分，获取的积分可用于兑换相应的商品/服务；</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1、活动列表管理，活动详情查询，活动详情内容编辑、发布，活动参与积分配置；</w:t>
            </w:r>
            <w:r>
              <w:rPr>
                <w:rFonts w:hint="eastAsia"/>
                <w:color w:val="auto"/>
                <w:sz w:val="21"/>
                <w:szCs w:val="21"/>
                <w:highlight w:val="none"/>
                <w:lang w:val="en-US" w:bidi="ar-SA"/>
              </w:rPr>
              <w:br w:type="textWrapping"/>
            </w:r>
            <w:r>
              <w:rPr>
                <w:rFonts w:hint="eastAsia"/>
                <w:color w:val="auto"/>
                <w:sz w:val="21"/>
                <w:szCs w:val="21"/>
                <w:highlight w:val="none"/>
                <w:lang w:val="en-US" w:bidi="ar-SA"/>
              </w:rPr>
              <w:t>2、活动报名数据查询，各个活动报名人清单查询；</w:t>
            </w:r>
            <w:r>
              <w:rPr>
                <w:rFonts w:hint="eastAsia"/>
                <w:color w:val="auto"/>
                <w:sz w:val="21"/>
                <w:szCs w:val="21"/>
                <w:highlight w:val="none"/>
                <w:lang w:val="en-US" w:bidi="ar-SA"/>
              </w:rPr>
              <w:br w:type="textWrapping"/>
            </w:r>
            <w:r>
              <w:rPr>
                <w:rFonts w:hint="eastAsia"/>
                <w:color w:val="auto"/>
                <w:sz w:val="21"/>
                <w:szCs w:val="21"/>
                <w:highlight w:val="none"/>
                <w:lang w:val="en-US" w:bidi="ar-SA"/>
              </w:rPr>
              <w:t>3、分类统计居民活动参与活跃度等；</w:t>
            </w:r>
            <w:r>
              <w:rPr>
                <w:rFonts w:hint="eastAsia"/>
                <w:color w:val="auto"/>
                <w:sz w:val="21"/>
                <w:szCs w:val="21"/>
                <w:highlight w:val="none"/>
                <w:lang w:val="en-US" w:bidi="ar-SA"/>
              </w:rPr>
              <w:br w:type="textWrapping"/>
            </w:r>
            <w:r>
              <w:rPr>
                <w:rFonts w:hint="eastAsia"/>
                <w:color w:val="auto"/>
                <w:sz w:val="21"/>
                <w:szCs w:val="21"/>
                <w:highlight w:val="none"/>
                <w:lang w:val="en-US" w:bidi="ar-SA"/>
              </w:rPr>
              <w:t>4、活动参与签到记录及积分发放记录。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邻里活动组织情况、居民参与活跃度等统计分析</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社区广播</w:t>
            </w:r>
            <w:r>
              <w:rPr>
                <w:rFonts w:hint="eastAsia"/>
                <w:color w:val="auto"/>
                <w:sz w:val="21"/>
                <w:szCs w:val="21"/>
                <w:highlight w:val="none"/>
                <w:lang w:val="en-US" w:bidi="ar-SA"/>
              </w:rPr>
              <w:br w:type="textWrapping"/>
            </w:r>
            <w:r>
              <w:rPr>
                <w:rFonts w:hint="eastAsia"/>
                <w:color w:val="auto"/>
                <w:sz w:val="21"/>
                <w:szCs w:val="21"/>
                <w:highlight w:val="none"/>
                <w:lang w:val="en-US" w:bidi="ar-SA"/>
              </w:rPr>
              <w:t>（与门禁、信息发布打通）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1、居民查看社区、小区、物业等通知、公告信息列表，点击通知、公告可查看详情；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2、如果关注运营公众号，可通过公众号推送相应消息提醒。</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1、通知公告管理，通知公告列表，通知公告内容编辑、发布；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2、通知公告浏览记录，已阅读人员列表。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1、展示通知公告发布统计数据、居民接收阅读数据、已阅读人员列表。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许愿池</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1、心愿列表，查看心愿详情，可认领心愿；</w:t>
            </w:r>
            <w:r>
              <w:rPr>
                <w:rFonts w:hint="eastAsia"/>
                <w:color w:val="auto"/>
                <w:sz w:val="21"/>
                <w:szCs w:val="21"/>
                <w:highlight w:val="none"/>
                <w:lang w:val="en-US" w:bidi="ar-SA"/>
              </w:rPr>
              <w:br w:type="textWrapping"/>
            </w:r>
            <w:r>
              <w:rPr>
                <w:rFonts w:hint="eastAsia"/>
                <w:color w:val="auto"/>
                <w:sz w:val="21"/>
                <w:szCs w:val="21"/>
                <w:highlight w:val="none"/>
                <w:lang w:val="en-US" w:bidi="ar-SA"/>
              </w:rPr>
              <w:t>2、心愿内容填写提交；</w:t>
            </w:r>
            <w:r>
              <w:rPr>
                <w:rFonts w:hint="eastAsia"/>
                <w:color w:val="auto"/>
                <w:sz w:val="21"/>
                <w:szCs w:val="21"/>
                <w:highlight w:val="none"/>
                <w:lang w:val="en-US" w:bidi="ar-SA"/>
              </w:rPr>
              <w:br w:type="textWrapping"/>
            </w:r>
            <w:r>
              <w:rPr>
                <w:rFonts w:hint="eastAsia"/>
                <w:color w:val="auto"/>
                <w:sz w:val="21"/>
                <w:szCs w:val="21"/>
                <w:highlight w:val="none"/>
                <w:lang w:val="en-US" w:bidi="ar-SA"/>
              </w:rPr>
              <w:t>3、我的认领、我的心愿列表。</w:t>
            </w:r>
          </w:p>
        </w:tc>
        <w:tc>
          <w:tcPr>
            <w:tcW w:w="188"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1、社区统筹心愿编辑、发布；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2、居民提交心愿列表，心愿详情及审核；</w:t>
            </w:r>
            <w:r>
              <w:rPr>
                <w:rFonts w:hint="eastAsia"/>
                <w:color w:val="auto"/>
                <w:sz w:val="21"/>
                <w:szCs w:val="21"/>
                <w:highlight w:val="none"/>
                <w:lang w:val="en-US" w:bidi="ar-SA"/>
              </w:rPr>
              <w:br w:type="textWrapping"/>
            </w:r>
            <w:r>
              <w:rPr>
                <w:rFonts w:hint="eastAsia"/>
                <w:color w:val="auto"/>
                <w:sz w:val="21"/>
                <w:szCs w:val="21"/>
                <w:highlight w:val="none"/>
                <w:lang w:val="en-US" w:bidi="ar-SA"/>
              </w:rPr>
              <w:t>3、社区统筹心愿认领落实。</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便民生活圈</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1、教育、医疗、服务等各类便民服务点信息列表；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2、支持列表模式、地图模式、渲染模式；</w:t>
            </w:r>
            <w:r>
              <w:rPr>
                <w:rFonts w:hint="eastAsia"/>
                <w:color w:val="auto"/>
                <w:sz w:val="21"/>
                <w:szCs w:val="21"/>
                <w:highlight w:val="none"/>
                <w:lang w:val="en-US" w:bidi="ar-SA"/>
              </w:rPr>
              <w:br w:type="textWrapping"/>
            </w:r>
            <w:r>
              <w:rPr>
                <w:rFonts w:hint="eastAsia"/>
                <w:color w:val="auto"/>
                <w:sz w:val="21"/>
                <w:szCs w:val="21"/>
                <w:highlight w:val="none"/>
                <w:lang w:val="en-US" w:bidi="ar-SA"/>
              </w:rPr>
              <w:t>3、支持便民服务点搜索、详情展示。</w:t>
            </w:r>
          </w:p>
        </w:tc>
        <w:tc>
          <w:tcPr>
            <w:tcW w:w="188"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1、教育、医疗、服务等各类便民服务点管理，便民生活圈服务点信息维护。</w:t>
            </w:r>
            <w:r>
              <w:rPr>
                <w:rFonts w:hint="eastAsia"/>
                <w:color w:val="auto"/>
                <w:sz w:val="21"/>
                <w:szCs w:val="21"/>
                <w:highlight w:val="none"/>
                <w:lang w:val="en-US" w:bidi="ar-SA"/>
              </w:rPr>
              <w:br w:type="textWrapping"/>
            </w:r>
            <w:r>
              <w:rPr>
                <w:rFonts w:hint="eastAsia"/>
                <w:color w:val="auto"/>
                <w:sz w:val="21"/>
                <w:szCs w:val="21"/>
                <w:highlight w:val="none"/>
                <w:lang w:val="en-US" w:bidi="ar-SA"/>
              </w:rPr>
              <w:t>2、生活圈内资源的梳理、整理、导入。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热点场馆</w:t>
            </w:r>
            <w:r>
              <w:rPr>
                <w:rFonts w:hint="eastAsia"/>
                <w:color w:val="auto"/>
                <w:sz w:val="21"/>
                <w:szCs w:val="21"/>
                <w:highlight w:val="none"/>
                <w:lang w:val="en-US" w:bidi="ar-SA"/>
              </w:rPr>
              <w:br w:type="textWrapping"/>
            </w:r>
            <w:r>
              <w:rPr>
                <w:rFonts w:hint="eastAsia"/>
                <w:color w:val="auto"/>
                <w:sz w:val="21"/>
                <w:szCs w:val="21"/>
                <w:highlight w:val="none"/>
                <w:lang w:val="en-US" w:bidi="ar-SA"/>
              </w:rPr>
              <w:t>（与门禁打通）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根据当前居民端当前使用位置，自动推荐就近场馆，邻里共享空间，足球公园，羽毛球和网球场地，支持线上预约的场馆空间提供线上或电话预约，支持线下场馆门禁或监控打通、积分抵扣券，与积分系统互通</w:t>
            </w:r>
          </w:p>
        </w:tc>
        <w:tc>
          <w:tcPr>
            <w:tcW w:w="188"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1、邻里共享空间，足球公园，羽毛球和网球场地信息列表，场地信息详情编辑、发布；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2、居民预约申请记录，如需要审核可开启人工审核；</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张阿姨工作室</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周边工业区、电商园区、工厂数量众多，充分利用邻里空间“张阿姨工作室”及线上居民端应用，通过线上、线下专业技能培训、就业合作社、工厂订单接单、上门、就业帮扶等功能板块，打造数字化线上接派单系统。</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1、手工订单发布、管理、数据统计分析。</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1、根据时间维度统计分析张阿姨工作室手动订单数据、展现；</w:t>
            </w:r>
            <w:r>
              <w:rPr>
                <w:rFonts w:hint="eastAsia"/>
                <w:color w:val="auto"/>
                <w:sz w:val="21"/>
                <w:szCs w:val="21"/>
                <w:highlight w:val="none"/>
                <w:lang w:val="en-US" w:bidi="ar-SA"/>
              </w:rPr>
              <w:br w:type="textWrapping"/>
            </w:r>
            <w:r>
              <w:rPr>
                <w:rFonts w:hint="eastAsia"/>
                <w:color w:val="auto"/>
                <w:sz w:val="21"/>
                <w:szCs w:val="21"/>
                <w:highlight w:val="none"/>
                <w:lang w:val="en-US" w:bidi="ar-SA"/>
              </w:rPr>
              <w:t>2、可钻取订单详情，详情内容包括参与人数、数量、订单内容、订单描述；</w:t>
            </w:r>
            <w:r>
              <w:rPr>
                <w:rFonts w:hint="eastAsia"/>
                <w:color w:val="auto"/>
                <w:sz w:val="21"/>
                <w:szCs w:val="21"/>
                <w:highlight w:val="none"/>
                <w:lang w:val="en-US" w:bidi="ar-SA"/>
              </w:rPr>
              <w:br w:type="textWrapping"/>
            </w:r>
            <w:r>
              <w:rPr>
                <w:rFonts w:hint="eastAsia"/>
                <w:color w:val="auto"/>
                <w:sz w:val="21"/>
                <w:szCs w:val="21"/>
                <w:highlight w:val="none"/>
                <w:lang w:val="en-US" w:bidi="ar-SA"/>
              </w:rPr>
              <w:t>3、可统计张阿姨工作室订单产生的经济收入指标数据。</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洪塘周边游</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1、洪塘周边游景点如荪湖花海、洪塘湾等深度集成，信息列表，周边游景点详情、停车收费信息、优惠信息；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2、支持信息搜索；</w:t>
            </w:r>
            <w:r>
              <w:rPr>
                <w:rFonts w:hint="eastAsia"/>
                <w:color w:val="auto"/>
                <w:sz w:val="21"/>
                <w:szCs w:val="21"/>
                <w:highlight w:val="none"/>
                <w:lang w:val="en-US" w:bidi="ar-SA"/>
              </w:rPr>
              <w:br w:type="textWrapping"/>
            </w:r>
            <w:r>
              <w:rPr>
                <w:rFonts w:hint="eastAsia"/>
                <w:color w:val="auto"/>
                <w:sz w:val="21"/>
                <w:szCs w:val="21"/>
                <w:highlight w:val="none"/>
                <w:lang w:val="en-US" w:bidi="ar-SA"/>
              </w:rPr>
              <w:t>3、支持位置导航。</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1、周边游景点信息列表，景点信息编辑、发布；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2、景点搜索量、点击量统计分析，景点热度。</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家头条（对接）</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浙里办“我的家园”开通，并透出到小程序</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闲置捐赠</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1、居民提交捐赠闲置物品信息；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2、查看审核记录，捐赠获取积分记录。</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1、捐赠申请列表，运营审核捐赠物品是否符合捐赠要求；</w:t>
            </w:r>
            <w:r>
              <w:rPr>
                <w:rFonts w:hint="eastAsia"/>
                <w:color w:val="auto"/>
                <w:sz w:val="21"/>
                <w:szCs w:val="21"/>
                <w:highlight w:val="none"/>
                <w:lang w:val="en-US" w:bidi="ar-SA"/>
              </w:rPr>
              <w:br w:type="textWrapping"/>
            </w:r>
            <w:r>
              <w:rPr>
                <w:rFonts w:hint="eastAsia"/>
                <w:color w:val="auto"/>
                <w:sz w:val="21"/>
                <w:szCs w:val="21"/>
                <w:highlight w:val="none"/>
                <w:lang w:val="en-US" w:bidi="ar-SA"/>
              </w:rPr>
              <w:t>2、捐赠闲置收集，捐赠积分发放。</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二、未来教育场景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学习打卡地图</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1、地图展示学校、社区周边培训机构、周边博物馆、美术馆等学习点位；</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2、点击点位进入相应功能界面；</w:t>
            </w:r>
            <w:r>
              <w:rPr>
                <w:rFonts w:hint="eastAsia"/>
                <w:color w:val="auto"/>
                <w:sz w:val="21"/>
                <w:szCs w:val="21"/>
                <w:highlight w:val="none"/>
                <w:lang w:val="en-US" w:bidi="ar-SA"/>
              </w:rPr>
              <w:br w:type="textWrapping"/>
            </w:r>
            <w:r>
              <w:rPr>
                <w:rFonts w:hint="eastAsia"/>
                <w:color w:val="auto"/>
                <w:sz w:val="21"/>
                <w:szCs w:val="21"/>
                <w:highlight w:val="none"/>
                <w:lang w:val="en-US" w:bidi="ar-SA"/>
              </w:rPr>
              <w:t>3、进入教育学习点位展示学校介绍、动态、招生简章、教育咨询等内容；</w:t>
            </w:r>
            <w:r>
              <w:rPr>
                <w:rFonts w:hint="eastAsia"/>
                <w:color w:val="auto"/>
                <w:sz w:val="21"/>
                <w:szCs w:val="21"/>
                <w:highlight w:val="none"/>
                <w:lang w:val="en-US" w:bidi="ar-SA"/>
              </w:rPr>
              <w:br w:type="textWrapping"/>
            </w:r>
            <w:r>
              <w:rPr>
                <w:rFonts w:hint="eastAsia"/>
                <w:color w:val="auto"/>
                <w:sz w:val="21"/>
                <w:szCs w:val="21"/>
                <w:highlight w:val="none"/>
                <w:lang w:val="en-US" w:bidi="ar-SA"/>
              </w:rPr>
              <w:t>4、可通过定位打卡获得学习积分；</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1、管理教育类型，学历教育、职业教育、老年大学、学前教育等；</w:t>
            </w:r>
            <w:r>
              <w:rPr>
                <w:rFonts w:hint="eastAsia"/>
                <w:color w:val="auto"/>
                <w:sz w:val="21"/>
                <w:szCs w:val="21"/>
                <w:highlight w:val="none"/>
                <w:lang w:val="en-US" w:bidi="ar-SA"/>
              </w:rPr>
              <w:br w:type="textWrapping"/>
            </w:r>
            <w:r>
              <w:rPr>
                <w:rFonts w:hint="eastAsia"/>
                <w:color w:val="auto"/>
                <w:sz w:val="21"/>
                <w:szCs w:val="21"/>
                <w:highlight w:val="none"/>
                <w:lang w:val="en-US" w:bidi="ar-SA"/>
              </w:rPr>
              <w:t>2、按照教育类型新增学校；</w:t>
            </w:r>
            <w:r>
              <w:rPr>
                <w:rFonts w:hint="eastAsia"/>
                <w:color w:val="auto"/>
                <w:sz w:val="21"/>
                <w:szCs w:val="21"/>
                <w:highlight w:val="none"/>
                <w:lang w:val="en-US" w:bidi="ar-SA"/>
              </w:rPr>
              <w:br w:type="textWrapping"/>
            </w:r>
            <w:r>
              <w:rPr>
                <w:rFonts w:hint="eastAsia"/>
                <w:color w:val="auto"/>
                <w:sz w:val="21"/>
                <w:szCs w:val="21"/>
                <w:highlight w:val="none"/>
                <w:lang w:val="en-US" w:bidi="ar-SA"/>
              </w:rPr>
              <w:t>3、添加学校介绍、动态、招生简章、教育咨询；</w:t>
            </w:r>
            <w:r>
              <w:rPr>
                <w:rFonts w:hint="eastAsia"/>
                <w:color w:val="auto"/>
                <w:sz w:val="21"/>
                <w:szCs w:val="21"/>
                <w:highlight w:val="none"/>
                <w:lang w:val="en-US" w:bidi="ar-SA"/>
              </w:rPr>
              <w:br w:type="textWrapping"/>
            </w:r>
            <w:r>
              <w:rPr>
                <w:rFonts w:hint="eastAsia"/>
                <w:color w:val="auto"/>
                <w:sz w:val="21"/>
                <w:szCs w:val="21"/>
                <w:highlight w:val="none"/>
                <w:lang w:val="en-US" w:bidi="ar-SA"/>
              </w:rPr>
              <w:t>4、发布学校资讯信息。</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安心托幼</w:t>
            </w:r>
            <w:r>
              <w:rPr>
                <w:rFonts w:hint="eastAsia"/>
                <w:color w:val="auto"/>
                <w:sz w:val="21"/>
                <w:szCs w:val="21"/>
                <w:highlight w:val="none"/>
                <w:lang w:val="en-US" w:bidi="ar-SA"/>
              </w:rPr>
              <w:br w:type="textWrapping"/>
            </w:r>
            <w:r>
              <w:rPr>
                <w:rFonts w:hint="eastAsia"/>
                <w:color w:val="auto"/>
                <w:sz w:val="21"/>
                <w:szCs w:val="21"/>
                <w:highlight w:val="none"/>
                <w:lang w:val="en-US" w:bidi="ar-SA"/>
              </w:rPr>
              <w:t>（与幼儿园监控贯通）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1、幼托点信息介绍；(未登记情况下展示“我有意向”按钮，点击后工作人员会打电话沟通)</w:t>
            </w:r>
            <w:r>
              <w:rPr>
                <w:rFonts w:hint="eastAsia"/>
                <w:color w:val="auto"/>
                <w:sz w:val="21"/>
                <w:szCs w:val="21"/>
                <w:highlight w:val="none"/>
                <w:lang w:val="en-US" w:bidi="ar-SA"/>
              </w:rPr>
              <w:br w:type="textWrapping"/>
            </w:r>
            <w:r>
              <w:rPr>
                <w:rFonts w:hint="eastAsia"/>
                <w:color w:val="auto"/>
                <w:sz w:val="21"/>
                <w:szCs w:val="21"/>
                <w:highlight w:val="none"/>
                <w:lang w:val="en-US" w:bidi="ar-SA"/>
              </w:rPr>
              <w:t>2、小孩信息展示，姓名、亲属关系；</w:t>
            </w:r>
            <w:r>
              <w:rPr>
                <w:rFonts w:hint="eastAsia"/>
                <w:color w:val="auto"/>
                <w:sz w:val="21"/>
                <w:szCs w:val="21"/>
                <w:highlight w:val="none"/>
                <w:lang w:val="en-US" w:bidi="ar-SA"/>
              </w:rPr>
              <w:br w:type="textWrapping"/>
            </w:r>
            <w:r>
              <w:rPr>
                <w:rFonts w:hint="eastAsia"/>
                <w:color w:val="auto"/>
                <w:sz w:val="21"/>
                <w:szCs w:val="21"/>
                <w:highlight w:val="none"/>
                <w:lang w:val="en-US" w:bidi="ar-SA"/>
              </w:rPr>
              <w:t>3、幼托点视频查看（需要托育点审核是否家长）。</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1、家长管理，新增家长姓名、手机号码、亲属关系、小孩子姓名。</w:t>
            </w:r>
            <w:r>
              <w:rPr>
                <w:rFonts w:hint="eastAsia"/>
                <w:color w:val="auto"/>
                <w:sz w:val="21"/>
                <w:szCs w:val="21"/>
                <w:highlight w:val="none"/>
                <w:lang w:val="en-US" w:bidi="ar-SA"/>
              </w:rPr>
              <w:br w:type="textWrapping"/>
            </w:r>
            <w:r>
              <w:rPr>
                <w:rFonts w:hint="eastAsia"/>
                <w:color w:val="auto"/>
                <w:sz w:val="21"/>
                <w:szCs w:val="21"/>
                <w:highlight w:val="none"/>
                <w:lang w:val="en-US" w:bidi="ar-SA"/>
              </w:rPr>
              <w:t>2、监控视频管理，可以设置访问时限；</w:t>
            </w:r>
            <w:r>
              <w:rPr>
                <w:rFonts w:hint="eastAsia"/>
                <w:color w:val="auto"/>
                <w:sz w:val="21"/>
                <w:szCs w:val="21"/>
                <w:highlight w:val="none"/>
                <w:lang w:val="en-US" w:bidi="ar-SA"/>
              </w:rPr>
              <w:br w:type="textWrapping"/>
            </w:r>
            <w:r>
              <w:rPr>
                <w:rFonts w:hint="eastAsia"/>
                <w:color w:val="auto"/>
                <w:sz w:val="21"/>
                <w:szCs w:val="21"/>
                <w:highlight w:val="none"/>
                <w:lang w:val="en-US" w:bidi="ar-SA"/>
              </w:rPr>
              <w:t>3、监控视频授权管理，可以设置某个视频可以访问的家长列表，和设置某个家长可以访问的视频列表。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幸福学堂</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1、展示幸福学堂课程列表；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2、选择课程进行报名；</w:t>
            </w:r>
            <w:r>
              <w:rPr>
                <w:rFonts w:hint="eastAsia"/>
                <w:color w:val="auto"/>
                <w:sz w:val="21"/>
                <w:szCs w:val="21"/>
                <w:highlight w:val="none"/>
                <w:lang w:val="en-US" w:bidi="ar-SA"/>
              </w:rPr>
              <w:br w:type="textWrapping"/>
            </w:r>
            <w:r>
              <w:rPr>
                <w:rFonts w:hint="eastAsia"/>
                <w:color w:val="auto"/>
                <w:sz w:val="21"/>
                <w:szCs w:val="21"/>
                <w:highlight w:val="none"/>
                <w:lang w:val="en-US" w:bidi="ar-SA"/>
              </w:rPr>
              <w:t>3、展示已经报名的课程列表；</w:t>
            </w:r>
            <w:r>
              <w:rPr>
                <w:rFonts w:hint="eastAsia"/>
                <w:color w:val="auto"/>
                <w:sz w:val="21"/>
                <w:szCs w:val="21"/>
                <w:highlight w:val="none"/>
                <w:lang w:val="en-US" w:bidi="ar-SA"/>
              </w:rPr>
              <w:br w:type="textWrapping"/>
            </w:r>
            <w:r>
              <w:rPr>
                <w:rFonts w:hint="eastAsia"/>
                <w:color w:val="auto"/>
                <w:sz w:val="21"/>
                <w:szCs w:val="21"/>
                <w:highlight w:val="none"/>
                <w:lang w:val="en-US" w:bidi="ar-SA"/>
              </w:rPr>
              <w:t>4、课程签到获取学习积分。</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1、展示课程列表，包括新增课程，设置报名获取积分值；</w:t>
            </w:r>
            <w:r>
              <w:rPr>
                <w:rFonts w:hint="eastAsia"/>
                <w:color w:val="auto"/>
                <w:sz w:val="21"/>
                <w:szCs w:val="21"/>
                <w:highlight w:val="none"/>
                <w:lang w:val="en-US" w:bidi="ar-SA"/>
              </w:rPr>
              <w:br w:type="textWrapping"/>
            </w:r>
            <w:r>
              <w:rPr>
                <w:rFonts w:hint="eastAsia"/>
                <w:color w:val="auto"/>
                <w:sz w:val="21"/>
                <w:szCs w:val="21"/>
                <w:highlight w:val="none"/>
                <w:lang w:val="en-US" w:bidi="ar-SA"/>
              </w:rPr>
              <w:t>2、展示课程报名情况，以及签到记录。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社区直播间</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1、展示直播间列表、类型（社区党建、学习教育、亲子、育儿、达人、游戏、相亲、创业等标签）列表上面展示直播间状态，并且展示直播时间段；</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2、点击进入直播间观看直播，进入直播间及观看直播一定时间获得积分。</w:t>
            </w:r>
            <w:r>
              <w:rPr>
                <w:rFonts w:hint="eastAsia"/>
                <w:color w:val="auto"/>
                <w:sz w:val="21"/>
                <w:szCs w:val="21"/>
                <w:highlight w:val="none"/>
                <w:lang w:val="en-US" w:bidi="ar-SA"/>
              </w:rPr>
              <w:br w:type="textWrapping"/>
            </w:r>
            <w:r>
              <w:rPr>
                <w:rFonts w:hint="eastAsia"/>
                <w:color w:val="auto"/>
                <w:sz w:val="21"/>
                <w:szCs w:val="21"/>
                <w:highlight w:val="none"/>
                <w:lang w:val="en-US" w:bidi="ar-SA"/>
              </w:rPr>
              <w:t>3、洪塘抖音直播基地数据接入、信息展示。</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1、管理达人直播间列表；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2、查看直播间观看情况；</w:t>
            </w:r>
            <w:r>
              <w:rPr>
                <w:rFonts w:hint="eastAsia"/>
                <w:color w:val="auto"/>
                <w:sz w:val="21"/>
                <w:szCs w:val="21"/>
                <w:highlight w:val="none"/>
                <w:lang w:val="en-US" w:bidi="ar-SA"/>
              </w:rPr>
              <w:br w:type="textWrapping"/>
            </w:r>
            <w:r>
              <w:rPr>
                <w:rFonts w:hint="eastAsia"/>
                <w:color w:val="auto"/>
                <w:sz w:val="21"/>
                <w:szCs w:val="21"/>
                <w:highlight w:val="none"/>
                <w:lang w:val="en-US" w:bidi="ar-SA"/>
              </w:rPr>
              <w:t>3、洪塘抖音直播基地资源引入。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教培机构对接</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1、社区周边教育机构，申请入驻；</w:t>
            </w:r>
            <w:r>
              <w:rPr>
                <w:rFonts w:hint="eastAsia"/>
                <w:color w:val="auto"/>
                <w:sz w:val="21"/>
                <w:szCs w:val="21"/>
                <w:highlight w:val="none"/>
                <w:lang w:val="en-US" w:bidi="ar-SA"/>
              </w:rPr>
              <w:br w:type="textWrapping"/>
            </w:r>
            <w:r>
              <w:rPr>
                <w:rFonts w:hint="eastAsia"/>
                <w:color w:val="auto"/>
                <w:sz w:val="21"/>
                <w:szCs w:val="21"/>
                <w:highlight w:val="none"/>
                <w:lang w:val="en-US" w:bidi="ar-SA"/>
              </w:rPr>
              <w:t>2、教育机构入驻成功后，课程管理，报名管理。</w:t>
            </w:r>
            <w:r>
              <w:rPr>
                <w:rFonts w:hint="eastAsia"/>
                <w:color w:val="auto"/>
                <w:sz w:val="21"/>
                <w:szCs w:val="21"/>
                <w:highlight w:val="none"/>
                <w:lang w:val="en-US" w:bidi="ar-SA"/>
              </w:rPr>
              <w:br w:type="textWrapping"/>
            </w:r>
            <w:r>
              <w:rPr>
                <w:rFonts w:hint="eastAsia"/>
                <w:color w:val="auto"/>
                <w:sz w:val="21"/>
                <w:szCs w:val="21"/>
                <w:highlight w:val="none"/>
                <w:lang w:val="en-US" w:bidi="ar-SA"/>
              </w:rPr>
              <w:t>3、展示教育机构列表，点击后展示课程列表；</w:t>
            </w:r>
            <w:r>
              <w:rPr>
                <w:rFonts w:hint="eastAsia"/>
                <w:color w:val="auto"/>
                <w:sz w:val="21"/>
                <w:szCs w:val="21"/>
                <w:highlight w:val="none"/>
                <w:lang w:val="en-US" w:bidi="ar-SA"/>
              </w:rPr>
              <w:br w:type="textWrapping"/>
            </w:r>
            <w:r>
              <w:rPr>
                <w:rFonts w:hint="eastAsia"/>
                <w:color w:val="auto"/>
                <w:sz w:val="21"/>
                <w:szCs w:val="21"/>
                <w:highlight w:val="none"/>
                <w:lang w:val="en-US" w:bidi="ar-SA"/>
              </w:rPr>
              <w:t>4、展示课程列表，进行预约报名、免费体验课报名；</w:t>
            </w:r>
            <w:r>
              <w:rPr>
                <w:rFonts w:hint="eastAsia"/>
                <w:color w:val="auto"/>
                <w:sz w:val="21"/>
                <w:szCs w:val="21"/>
                <w:highlight w:val="none"/>
                <w:lang w:val="en-US" w:bidi="ar-SA"/>
              </w:rPr>
              <w:br w:type="textWrapping"/>
            </w:r>
            <w:r>
              <w:rPr>
                <w:rFonts w:hint="eastAsia"/>
                <w:color w:val="auto"/>
                <w:sz w:val="21"/>
                <w:szCs w:val="21"/>
                <w:highlight w:val="none"/>
                <w:lang w:val="en-US" w:bidi="ar-SA"/>
              </w:rPr>
              <w:t>5、展示课程报名记录。</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1、教育机构入驻管理，教育机构通过小程序申请入驻，平台审核；</w:t>
            </w:r>
            <w:r>
              <w:rPr>
                <w:rFonts w:hint="eastAsia"/>
                <w:color w:val="auto"/>
                <w:sz w:val="21"/>
                <w:szCs w:val="21"/>
                <w:highlight w:val="none"/>
                <w:lang w:val="en-US" w:bidi="ar-SA"/>
              </w:rPr>
              <w:br w:type="textWrapping"/>
            </w:r>
            <w:r>
              <w:rPr>
                <w:rFonts w:hint="eastAsia"/>
                <w:color w:val="auto"/>
                <w:sz w:val="21"/>
                <w:szCs w:val="21"/>
                <w:highlight w:val="none"/>
                <w:lang w:val="en-US" w:bidi="ar-SA"/>
              </w:rPr>
              <w:t>2、教育机构管理。</w:t>
            </w:r>
            <w:r>
              <w:rPr>
                <w:rFonts w:hint="eastAsia"/>
                <w:color w:val="auto"/>
                <w:sz w:val="21"/>
                <w:szCs w:val="21"/>
                <w:highlight w:val="none"/>
                <w:lang w:val="en-US" w:bidi="ar-SA"/>
              </w:rPr>
              <w:br w:type="textWrapping"/>
            </w:r>
            <w:r>
              <w:rPr>
                <w:rFonts w:hint="eastAsia"/>
                <w:color w:val="auto"/>
                <w:sz w:val="21"/>
                <w:szCs w:val="21"/>
                <w:highlight w:val="none"/>
                <w:lang w:val="en-US" w:bidi="ar-SA"/>
              </w:rPr>
              <w:t>3、教育机构培训课程管理，包括小程序提交后需要审核课程，以及已审核课程；</w:t>
            </w:r>
            <w:r>
              <w:rPr>
                <w:rFonts w:hint="eastAsia"/>
                <w:color w:val="auto"/>
                <w:sz w:val="21"/>
                <w:szCs w:val="21"/>
                <w:highlight w:val="none"/>
                <w:lang w:val="en-US" w:bidi="ar-SA"/>
              </w:rPr>
              <w:br w:type="textWrapping"/>
            </w:r>
            <w:r>
              <w:rPr>
                <w:rFonts w:hint="eastAsia"/>
                <w:color w:val="auto"/>
                <w:sz w:val="21"/>
                <w:szCs w:val="21"/>
                <w:highlight w:val="none"/>
                <w:lang w:val="en-US" w:bidi="ar-SA"/>
              </w:rPr>
              <w:t>4、课程（免费+非免费）预约报名列表。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社会实践</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1、学生寒暑假社会实践进社区活动列表；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2、报名活动；</w:t>
            </w:r>
            <w:r>
              <w:rPr>
                <w:rFonts w:hint="eastAsia"/>
                <w:color w:val="auto"/>
                <w:sz w:val="21"/>
                <w:szCs w:val="21"/>
                <w:highlight w:val="none"/>
                <w:lang w:val="en-US" w:bidi="ar-SA"/>
              </w:rPr>
              <w:br w:type="textWrapping"/>
            </w:r>
            <w:r>
              <w:rPr>
                <w:rFonts w:hint="eastAsia"/>
                <w:color w:val="auto"/>
                <w:sz w:val="21"/>
                <w:szCs w:val="21"/>
                <w:highlight w:val="none"/>
                <w:lang w:val="en-US" w:bidi="ar-SA"/>
              </w:rPr>
              <w:t>3、活动报名记录；</w:t>
            </w:r>
            <w:r>
              <w:rPr>
                <w:rFonts w:hint="eastAsia"/>
                <w:color w:val="auto"/>
                <w:sz w:val="21"/>
                <w:szCs w:val="21"/>
                <w:highlight w:val="none"/>
                <w:lang w:val="en-US" w:bidi="ar-SA"/>
              </w:rPr>
              <w:br w:type="textWrapping"/>
            </w:r>
            <w:r>
              <w:rPr>
                <w:rFonts w:hint="eastAsia"/>
                <w:color w:val="auto"/>
                <w:sz w:val="21"/>
                <w:szCs w:val="21"/>
                <w:highlight w:val="none"/>
                <w:lang w:val="en-US" w:bidi="ar-SA"/>
              </w:rPr>
              <w:t>4、参与完成社会实践，获得认证证书。</w:t>
            </w:r>
          </w:p>
        </w:tc>
        <w:tc>
          <w:tcPr>
            <w:tcW w:w="188"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1、发布学生寒暑假社会实践活动；</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2、管理活动报名记录、签到记录；</w:t>
            </w:r>
            <w:r>
              <w:rPr>
                <w:rFonts w:hint="eastAsia"/>
                <w:color w:val="auto"/>
                <w:sz w:val="21"/>
                <w:szCs w:val="21"/>
                <w:highlight w:val="none"/>
                <w:lang w:val="en-US" w:bidi="ar-SA"/>
              </w:rPr>
              <w:br w:type="textWrapping"/>
            </w:r>
            <w:r>
              <w:rPr>
                <w:rFonts w:hint="eastAsia"/>
                <w:color w:val="auto"/>
                <w:sz w:val="21"/>
                <w:szCs w:val="21"/>
                <w:highlight w:val="none"/>
                <w:lang w:val="en-US" w:bidi="ar-SA"/>
              </w:rPr>
              <w:t>3、发放社会实践认证证书（电子版）。</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三、未来健康场景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运动积分</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1、参与健身获取运动积分；</w:t>
            </w:r>
            <w:r>
              <w:rPr>
                <w:rFonts w:hint="eastAsia"/>
                <w:color w:val="auto"/>
                <w:sz w:val="21"/>
                <w:szCs w:val="21"/>
                <w:highlight w:val="none"/>
                <w:lang w:val="en-US" w:bidi="ar-SA"/>
              </w:rPr>
              <w:br w:type="textWrapping"/>
            </w:r>
            <w:r>
              <w:rPr>
                <w:rFonts w:hint="eastAsia"/>
                <w:color w:val="auto"/>
                <w:sz w:val="21"/>
                <w:szCs w:val="21"/>
                <w:highlight w:val="none"/>
                <w:lang w:val="en-US" w:bidi="ar-SA"/>
              </w:rPr>
              <w:t>2、参与体育活动获取运动积分；</w:t>
            </w:r>
            <w:r>
              <w:rPr>
                <w:rFonts w:hint="eastAsia"/>
                <w:color w:val="auto"/>
                <w:sz w:val="21"/>
                <w:szCs w:val="21"/>
                <w:highlight w:val="none"/>
                <w:lang w:val="en-US" w:bidi="ar-SA"/>
              </w:rPr>
              <w:br w:type="textWrapping"/>
            </w:r>
            <w:r>
              <w:rPr>
                <w:rFonts w:hint="eastAsia"/>
                <w:color w:val="auto"/>
                <w:sz w:val="21"/>
                <w:szCs w:val="21"/>
                <w:highlight w:val="none"/>
                <w:lang w:val="en-US" w:bidi="ar-SA"/>
              </w:rPr>
              <w:t>3、通过步数换取运动积分；</w:t>
            </w:r>
            <w:r>
              <w:rPr>
                <w:rFonts w:hint="eastAsia"/>
                <w:color w:val="auto"/>
                <w:sz w:val="21"/>
                <w:szCs w:val="21"/>
                <w:highlight w:val="none"/>
                <w:lang w:val="en-US" w:bidi="ar-SA"/>
              </w:rPr>
              <w:br w:type="textWrapping"/>
            </w:r>
            <w:r>
              <w:rPr>
                <w:rFonts w:hint="eastAsia"/>
                <w:color w:val="auto"/>
                <w:sz w:val="21"/>
                <w:szCs w:val="21"/>
                <w:highlight w:val="none"/>
                <w:lang w:val="en-US" w:bidi="ar-SA"/>
              </w:rPr>
              <w:t>4、可分享运动积分、社区运动排名。</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电子健康档案</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1、查看健康小屋检测记录；</w:t>
            </w:r>
            <w:r>
              <w:rPr>
                <w:rFonts w:hint="eastAsia"/>
                <w:color w:val="auto"/>
                <w:sz w:val="21"/>
                <w:szCs w:val="21"/>
                <w:highlight w:val="none"/>
                <w:lang w:val="en-US" w:bidi="ar-SA"/>
              </w:rPr>
              <w:br w:type="textWrapping"/>
            </w:r>
            <w:r>
              <w:rPr>
                <w:rFonts w:hint="eastAsia"/>
                <w:color w:val="auto"/>
                <w:sz w:val="21"/>
                <w:szCs w:val="21"/>
                <w:highlight w:val="none"/>
                <w:lang w:val="en-US" w:bidi="ar-SA"/>
              </w:rPr>
              <w:t>2、查看我的健身运动记录；</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健康小屋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1、展示健康小屋信息；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2、展示健康小屋检测器材信息，使用说明；</w:t>
            </w:r>
            <w:r>
              <w:rPr>
                <w:rFonts w:hint="eastAsia"/>
                <w:color w:val="auto"/>
                <w:sz w:val="21"/>
                <w:szCs w:val="21"/>
                <w:highlight w:val="none"/>
                <w:lang w:val="en-US" w:bidi="ar-SA"/>
              </w:rPr>
              <w:br w:type="textWrapping"/>
            </w:r>
            <w:r>
              <w:rPr>
                <w:rFonts w:hint="eastAsia"/>
                <w:color w:val="auto"/>
                <w:sz w:val="21"/>
                <w:szCs w:val="21"/>
                <w:highlight w:val="none"/>
                <w:lang w:val="en-US" w:bidi="ar-SA"/>
              </w:rPr>
              <w:t>3、同步检测数据。</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1、维护健康小屋信息；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2、管理健康小屋设备运行状态；</w:t>
            </w:r>
            <w:r>
              <w:rPr>
                <w:rFonts w:hint="eastAsia"/>
                <w:color w:val="auto"/>
                <w:sz w:val="21"/>
                <w:szCs w:val="21"/>
                <w:highlight w:val="none"/>
                <w:lang w:val="en-US" w:bidi="ar-SA"/>
              </w:rPr>
              <w:br w:type="textWrapping"/>
            </w:r>
            <w:r>
              <w:rPr>
                <w:rFonts w:hint="eastAsia"/>
                <w:color w:val="auto"/>
                <w:sz w:val="21"/>
                <w:szCs w:val="21"/>
                <w:highlight w:val="none"/>
                <w:lang w:val="en-US" w:bidi="ar-SA"/>
              </w:rPr>
              <w:t>3、管理健康小屋检查记录。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健康活动</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1、展示社区体育、健康、健身类活动列表；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2、展示活动详情，活动风采；</w:t>
            </w:r>
            <w:r>
              <w:rPr>
                <w:rFonts w:hint="eastAsia"/>
                <w:color w:val="auto"/>
                <w:sz w:val="21"/>
                <w:szCs w:val="21"/>
                <w:highlight w:val="none"/>
                <w:lang w:val="en-US" w:bidi="ar-SA"/>
              </w:rPr>
              <w:br w:type="textWrapping"/>
            </w:r>
            <w:r>
              <w:rPr>
                <w:rFonts w:hint="eastAsia"/>
                <w:color w:val="auto"/>
                <w:sz w:val="21"/>
                <w:szCs w:val="21"/>
                <w:highlight w:val="none"/>
                <w:lang w:val="en-US" w:bidi="ar-SA"/>
              </w:rPr>
              <w:t>3、报名活动；</w:t>
            </w:r>
            <w:r>
              <w:rPr>
                <w:rFonts w:hint="eastAsia"/>
                <w:color w:val="auto"/>
                <w:sz w:val="21"/>
                <w:szCs w:val="21"/>
                <w:highlight w:val="none"/>
                <w:lang w:val="en-US" w:bidi="ar-SA"/>
              </w:rPr>
              <w:br w:type="textWrapping"/>
            </w:r>
            <w:r>
              <w:rPr>
                <w:rFonts w:hint="eastAsia"/>
                <w:color w:val="auto"/>
                <w:sz w:val="21"/>
                <w:szCs w:val="21"/>
                <w:highlight w:val="none"/>
                <w:lang w:val="en-US" w:bidi="ar-SA"/>
              </w:rPr>
              <w:t>4、展示我的活动列表，评论。</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1、管理活动列表；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2、管理活动报名列表；</w:t>
            </w:r>
            <w:r>
              <w:rPr>
                <w:rFonts w:hint="eastAsia"/>
                <w:color w:val="auto"/>
                <w:sz w:val="21"/>
                <w:szCs w:val="21"/>
                <w:highlight w:val="none"/>
                <w:lang w:val="en-US" w:bidi="ar-SA"/>
              </w:rPr>
              <w:br w:type="textWrapping"/>
            </w:r>
            <w:r>
              <w:rPr>
                <w:rFonts w:hint="eastAsia"/>
                <w:color w:val="auto"/>
                <w:sz w:val="21"/>
                <w:szCs w:val="21"/>
                <w:highlight w:val="none"/>
                <w:lang w:val="en-US" w:bidi="ar-SA"/>
              </w:rPr>
              <w:t>3、管理活动评论列表。</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时间银行</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社区志愿活动列表，活动报名，活动签到，志愿服务列表，积分兑换服务，服务接单，获取社区积分。</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志愿活动发起，活动报名组织管理，志愿服务管理，时间银行服务订单管理，时间银行志愿时长、积分记录。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AED地图</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1、地图展示AED设备列表；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2、列表展示AED设备列表，包括设备距离；</w:t>
            </w:r>
            <w:r>
              <w:rPr>
                <w:rFonts w:hint="eastAsia"/>
                <w:color w:val="auto"/>
                <w:sz w:val="21"/>
                <w:szCs w:val="21"/>
                <w:highlight w:val="none"/>
                <w:lang w:val="en-US" w:bidi="ar-SA"/>
              </w:rPr>
              <w:br w:type="textWrapping"/>
            </w:r>
            <w:r>
              <w:rPr>
                <w:rFonts w:hint="eastAsia"/>
                <w:color w:val="auto"/>
                <w:sz w:val="21"/>
                <w:szCs w:val="21"/>
                <w:highlight w:val="none"/>
                <w:lang w:val="en-US" w:bidi="ar-SA"/>
              </w:rPr>
              <w:t>3、点击AED设备后，可以查看设备使用教程（视频|图文）。</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1、管理AED设备列表，包括设备位置信息；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2、维护设备使用教程。</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健身地图</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1、地图展示社区、街道及周边健身场地；</w:t>
            </w:r>
            <w:r>
              <w:rPr>
                <w:rFonts w:hint="eastAsia"/>
                <w:color w:val="auto"/>
                <w:sz w:val="21"/>
                <w:szCs w:val="21"/>
                <w:highlight w:val="none"/>
                <w:lang w:val="en-US" w:bidi="ar-SA"/>
              </w:rPr>
              <w:br w:type="textWrapping"/>
            </w:r>
            <w:r>
              <w:rPr>
                <w:rFonts w:hint="eastAsia"/>
                <w:color w:val="auto"/>
                <w:sz w:val="21"/>
                <w:szCs w:val="21"/>
                <w:highlight w:val="none"/>
                <w:lang w:val="en-US" w:bidi="ar-SA"/>
              </w:rPr>
              <w:t>2、列表展示健身场地；</w:t>
            </w:r>
            <w:r>
              <w:rPr>
                <w:rFonts w:hint="eastAsia"/>
                <w:color w:val="auto"/>
                <w:sz w:val="21"/>
                <w:szCs w:val="21"/>
                <w:highlight w:val="none"/>
                <w:lang w:val="en-US" w:bidi="ar-SA"/>
              </w:rPr>
              <w:br w:type="textWrapping"/>
            </w:r>
            <w:r>
              <w:rPr>
                <w:rFonts w:hint="eastAsia"/>
                <w:color w:val="auto"/>
                <w:sz w:val="21"/>
                <w:szCs w:val="21"/>
                <w:highlight w:val="none"/>
                <w:lang w:val="en-US" w:bidi="ar-SA"/>
              </w:rPr>
              <w:t>3、点击后可以导航到场地。</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四、未来服务场景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物业管家</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1、物业管家列表（从门禁系统对接）；</w:t>
            </w:r>
            <w:r>
              <w:rPr>
                <w:rFonts w:hint="eastAsia"/>
                <w:color w:val="auto"/>
                <w:sz w:val="21"/>
                <w:szCs w:val="21"/>
                <w:highlight w:val="none"/>
                <w:lang w:val="en-US" w:bidi="ar-SA"/>
              </w:rPr>
              <w:br w:type="textWrapping"/>
            </w:r>
            <w:r>
              <w:rPr>
                <w:rFonts w:hint="eastAsia"/>
                <w:color w:val="auto"/>
                <w:sz w:val="21"/>
                <w:szCs w:val="21"/>
                <w:highlight w:val="none"/>
                <w:lang w:val="en-US" w:bidi="ar-SA"/>
              </w:rPr>
              <w:t>2、物业管家个人信息，居民可对管家进行评价；</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1、物业管家列表；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2、物业管家个人信息；</w:t>
            </w:r>
            <w:r>
              <w:rPr>
                <w:rFonts w:hint="eastAsia"/>
                <w:color w:val="auto"/>
                <w:sz w:val="21"/>
                <w:szCs w:val="21"/>
                <w:highlight w:val="none"/>
                <w:lang w:val="en-US" w:bidi="ar-SA"/>
              </w:rPr>
              <w:br w:type="textWrapping"/>
            </w:r>
            <w:r>
              <w:rPr>
                <w:rFonts w:hint="eastAsia"/>
                <w:color w:val="auto"/>
                <w:sz w:val="21"/>
                <w:szCs w:val="21"/>
                <w:highlight w:val="none"/>
                <w:lang w:val="en-US" w:bidi="ar-SA"/>
              </w:rPr>
              <w:t>3、物业管家评分查看、管理。</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物业报修</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1、上报维修内容，可根据不同类别选择(与门禁系统对接实现楼道自动关联)；</w:t>
            </w:r>
            <w:r>
              <w:rPr>
                <w:rFonts w:hint="eastAsia"/>
                <w:color w:val="auto"/>
                <w:sz w:val="21"/>
                <w:szCs w:val="21"/>
                <w:highlight w:val="none"/>
                <w:lang w:val="en-US" w:bidi="ar-SA"/>
              </w:rPr>
              <w:br w:type="textWrapping"/>
            </w:r>
            <w:r>
              <w:rPr>
                <w:rFonts w:hint="eastAsia"/>
                <w:color w:val="auto"/>
                <w:sz w:val="21"/>
                <w:szCs w:val="21"/>
                <w:highlight w:val="none"/>
                <w:lang w:val="en-US" w:bidi="ar-SA"/>
              </w:rPr>
              <w:t>2、查看历史记录，记录详情、派单详情、联系方式，服务完成后可进行服务评价、评论、投诉；</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1、报修工单管理；</w:t>
            </w:r>
            <w:r>
              <w:rPr>
                <w:rFonts w:hint="eastAsia"/>
                <w:color w:val="auto"/>
                <w:sz w:val="21"/>
                <w:szCs w:val="21"/>
                <w:highlight w:val="none"/>
                <w:lang w:val="en-US" w:bidi="ar-SA"/>
              </w:rPr>
              <w:br w:type="textWrapping"/>
            </w:r>
            <w:r>
              <w:rPr>
                <w:rFonts w:hint="eastAsia"/>
                <w:color w:val="auto"/>
                <w:sz w:val="21"/>
                <w:szCs w:val="21"/>
                <w:highlight w:val="none"/>
                <w:lang w:val="en-US" w:bidi="ar-SA"/>
              </w:rPr>
              <w:t>2、工具不同的类型，任务派单到相应物业人员、社工；</w:t>
            </w:r>
            <w:r>
              <w:rPr>
                <w:rFonts w:hint="eastAsia"/>
                <w:color w:val="auto"/>
                <w:sz w:val="21"/>
                <w:szCs w:val="21"/>
                <w:highlight w:val="none"/>
                <w:lang w:val="en-US" w:bidi="ar-SA"/>
              </w:rPr>
              <w:br w:type="textWrapping"/>
            </w:r>
            <w:r>
              <w:rPr>
                <w:rFonts w:hint="eastAsia"/>
                <w:color w:val="auto"/>
                <w:sz w:val="21"/>
                <w:szCs w:val="21"/>
                <w:highlight w:val="none"/>
                <w:lang w:val="en-US" w:bidi="ar-SA"/>
              </w:rPr>
              <w:t>3、处置结果，包括服务评分；</w:t>
            </w:r>
            <w:r>
              <w:rPr>
                <w:rFonts w:hint="eastAsia"/>
                <w:color w:val="auto"/>
                <w:sz w:val="21"/>
                <w:szCs w:val="21"/>
                <w:highlight w:val="none"/>
                <w:lang w:val="en-US" w:bidi="ar-SA"/>
              </w:rPr>
              <w:br w:type="textWrapping"/>
            </w:r>
            <w:r>
              <w:rPr>
                <w:rFonts w:hint="eastAsia"/>
                <w:color w:val="auto"/>
                <w:sz w:val="21"/>
                <w:szCs w:val="21"/>
                <w:highlight w:val="none"/>
                <w:lang w:val="en-US" w:bidi="ar-SA"/>
              </w:rPr>
              <w:t>4、超时未处理的工单可通过消息、短信等方式通知管理人员即使安排处理。</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投诉建议</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对不合理现象进行反馈或提出好的改进建议。</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对居民反馈的问题及提出建议进行评估，并反馈相应处理方法及结果</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物业风采</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1、展示物业风采列表；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2、点击后展示物业风采详情。</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1、物业风采列表管理；</w:t>
            </w:r>
            <w:r>
              <w:rPr>
                <w:rFonts w:hint="eastAsia"/>
                <w:color w:val="auto"/>
                <w:sz w:val="21"/>
                <w:szCs w:val="21"/>
                <w:highlight w:val="none"/>
                <w:lang w:val="en-US" w:bidi="ar-SA"/>
              </w:rPr>
              <w:br w:type="textWrapping"/>
            </w:r>
            <w:r>
              <w:rPr>
                <w:rFonts w:hint="eastAsia"/>
                <w:color w:val="auto"/>
                <w:sz w:val="21"/>
                <w:szCs w:val="21"/>
                <w:highlight w:val="none"/>
                <w:lang w:val="en-US" w:bidi="ar-SA"/>
              </w:rPr>
              <w:t>2、物业风采发布。</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便民通讯录</w:t>
            </w:r>
            <w:r>
              <w:rPr>
                <w:rFonts w:hint="eastAsia"/>
                <w:color w:val="auto"/>
                <w:sz w:val="21"/>
                <w:szCs w:val="21"/>
                <w:highlight w:val="none"/>
                <w:lang w:val="en-US" w:bidi="ar-SA"/>
              </w:rPr>
              <w:br w:type="textWrapping"/>
            </w:r>
            <w:r>
              <w:rPr>
                <w:rFonts w:hint="eastAsia"/>
                <w:color w:val="auto"/>
                <w:sz w:val="21"/>
                <w:szCs w:val="21"/>
                <w:highlight w:val="none"/>
                <w:lang w:val="en-US" w:bidi="ar-SA"/>
              </w:rPr>
              <w:t>（一键求助入口）</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查看便民通讯录、社区及相关部门联系电话</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通讯录信息维护</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访客管理</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1、访客填写姓名、小区、访问户室，访问时间，访问事由，提交后被访人审核通过生成二维码；</w:t>
            </w:r>
            <w:r>
              <w:rPr>
                <w:rFonts w:hint="eastAsia"/>
                <w:color w:val="auto"/>
                <w:sz w:val="21"/>
                <w:szCs w:val="21"/>
                <w:highlight w:val="none"/>
                <w:lang w:val="en-US" w:bidi="ar-SA"/>
              </w:rPr>
              <w:br w:type="textWrapping"/>
            </w:r>
            <w:r>
              <w:rPr>
                <w:rFonts w:hint="eastAsia"/>
                <w:color w:val="auto"/>
                <w:sz w:val="21"/>
                <w:szCs w:val="21"/>
                <w:highlight w:val="none"/>
                <w:lang w:val="en-US" w:bidi="ar-SA"/>
              </w:rPr>
              <w:t>2、展示我的访客记录。</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远程开门</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1、获取我有权限的门禁列表；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2、点击后进行远程开门。</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惠停车</w:t>
            </w:r>
            <w:r>
              <w:rPr>
                <w:rFonts w:hint="eastAsia"/>
                <w:color w:val="auto"/>
                <w:sz w:val="21"/>
                <w:szCs w:val="21"/>
                <w:highlight w:val="none"/>
                <w:lang w:val="en-US" w:bidi="ar-SA"/>
              </w:rPr>
              <w:br w:type="textWrapping"/>
            </w:r>
            <w:r>
              <w:rPr>
                <w:rFonts w:hint="eastAsia"/>
                <w:color w:val="auto"/>
                <w:sz w:val="21"/>
                <w:szCs w:val="21"/>
                <w:highlight w:val="none"/>
                <w:lang w:val="en-US" w:bidi="ar-SA"/>
              </w:rPr>
              <w:t>（亲友停车）</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1、业主可自主申请亲友停车（数量根据社区、物业确定）；</w:t>
            </w:r>
            <w:r>
              <w:rPr>
                <w:rFonts w:hint="eastAsia"/>
                <w:color w:val="auto"/>
                <w:sz w:val="21"/>
                <w:szCs w:val="21"/>
                <w:highlight w:val="none"/>
                <w:lang w:val="en-US" w:bidi="ar-SA"/>
              </w:rPr>
              <w:br w:type="textWrapping"/>
            </w:r>
            <w:r>
              <w:rPr>
                <w:rFonts w:hint="eastAsia"/>
                <w:color w:val="auto"/>
                <w:sz w:val="21"/>
                <w:szCs w:val="21"/>
                <w:highlight w:val="none"/>
                <w:lang w:val="en-US" w:bidi="ar-SA"/>
              </w:rPr>
              <w:t>2、亲友车辆在一定时间内免费停车或优惠停车、方便子女、亲友日常及节假日探访停车；</w:t>
            </w:r>
            <w:r>
              <w:rPr>
                <w:rFonts w:hint="eastAsia"/>
                <w:color w:val="auto"/>
                <w:sz w:val="21"/>
                <w:szCs w:val="21"/>
                <w:highlight w:val="none"/>
                <w:lang w:val="en-US" w:bidi="ar-SA"/>
              </w:rPr>
              <w:br w:type="textWrapping"/>
            </w:r>
            <w:r>
              <w:rPr>
                <w:rFonts w:hint="eastAsia"/>
                <w:color w:val="auto"/>
                <w:sz w:val="21"/>
                <w:szCs w:val="21"/>
                <w:highlight w:val="none"/>
                <w:lang w:val="en-US" w:bidi="ar-SA"/>
              </w:rPr>
              <w:t>3、展示申请记录。</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1、亲友车辆管理；</w:t>
            </w:r>
            <w:r>
              <w:rPr>
                <w:rFonts w:hint="eastAsia"/>
                <w:color w:val="auto"/>
                <w:sz w:val="21"/>
                <w:szCs w:val="21"/>
                <w:highlight w:val="none"/>
                <w:lang w:val="en-US" w:bidi="ar-SA"/>
              </w:rPr>
              <w:br w:type="textWrapping"/>
            </w:r>
            <w:r>
              <w:rPr>
                <w:rFonts w:hint="eastAsia"/>
                <w:color w:val="auto"/>
                <w:sz w:val="21"/>
                <w:szCs w:val="21"/>
                <w:highlight w:val="none"/>
                <w:lang w:val="en-US" w:bidi="ar-SA"/>
              </w:rPr>
              <w:t>2、亲友停车申请管理。</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惠生活</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1、展示商城、服务列表、商品详情、联系商家；</w:t>
            </w:r>
            <w:r>
              <w:rPr>
                <w:rFonts w:hint="eastAsia"/>
                <w:color w:val="auto"/>
                <w:sz w:val="21"/>
                <w:szCs w:val="21"/>
                <w:highlight w:val="none"/>
                <w:lang w:val="en-US" w:bidi="ar-SA"/>
              </w:rPr>
              <w:br w:type="textWrapping"/>
            </w:r>
            <w:r>
              <w:rPr>
                <w:rFonts w:hint="eastAsia"/>
                <w:color w:val="auto"/>
                <w:sz w:val="21"/>
                <w:szCs w:val="21"/>
                <w:highlight w:val="none"/>
                <w:lang w:val="en-US" w:bidi="ar-SA"/>
              </w:rPr>
              <w:t>2、社区团购功能，团购列表、团长入住申请、团购接龙分享；</w:t>
            </w:r>
            <w:r>
              <w:rPr>
                <w:rFonts w:hint="eastAsia"/>
                <w:color w:val="auto"/>
                <w:sz w:val="21"/>
                <w:szCs w:val="21"/>
                <w:highlight w:val="none"/>
                <w:lang w:val="en-US" w:bidi="ar-SA"/>
              </w:rPr>
              <w:br w:type="textWrapping"/>
            </w:r>
            <w:r>
              <w:rPr>
                <w:rFonts w:hint="eastAsia"/>
                <w:color w:val="auto"/>
                <w:sz w:val="21"/>
                <w:szCs w:val="21"/>
                <w:highlight w:val="none"/>
                <w:lang w:val="en-US" w:bidi="ar-SA"/>
              </w:rPr>
              <w:t>3、管理我的购物车、服务订单；</w:t>
            </w:r>
            <w:r>
              <w:rPr>
                <w:rFonts w:hint="eastAsia"/>
                <w:color w:val="auto"/>
                <w:sz w:val="21"/>
                <w:szCs w:val="21"/>
                <w:highlight w:val="none"/>
                <w:lang w:val="en-US" w:bidi="ar-SA"/>
              </w:rPr>
              <w:br w:type="textWrapping"/>
            </w:r>
            <w:r>
              <w:rPr>
                <w:rFonts w:hint="eastAsia"/>
                <w:color w:val="auto"/>
                <w:sz w:val="21"/>
                <w:szCs w:val="21"/>
                <w:highlight w:val="none"/>
                <w:lang w:val="en-US" w:bidi="ar-SA"/>
              </w:rPr>
              <w:t>4、下单商品、服务，参与团购；</w:t>
            </w:r>
            <w:r>
              <w:rPr>
                <w:rFonts w:hint="eastAsia"/>
                <w:color w:val="auto"/>
                <w:sz w:val="21"/>
                <w:szCs w:val="21"/>
                <w:highlight w:val="none"/>
                <w:lang w:val="en-US" w:bidi="ar-SA"/>
              </w:rPr>
              <w:br w:type="textWrapping"/>
            </w:r>
            <w:r>
              <w:rPr>
                <w:rFonts w:hint="eastAsia"/>
                <w:color w:val="auto"/>
                <w:sz w:val="21"/>
                <w:szCs w:val="21"/>
                <w:highlight w:val="none"/>
                <w:lang w:val="en-US" w:bidi="ar-SA"/>
              </w:rPr>
              <w:t>5、我的订单管理，可以对商品、商家服务进行评价、反馈、投诉；</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1、商家端：入驻申请、商家平台登陆、商品类别管理维护、商品或服务发布、商品订单、商品评价、发货（线上或线下）等、经营数据分析等；</w:t>
            </w:r>
            <w:r>
              <w:rPr>
                <w:rFonts w:hint="eastAsia"/>
                <w:color w:val="auto"/>
                <w:sz w:val="21"/>
                <w:szCs w:val="21"/>
                <w:highlight w:val="none"/>
                <w:lang w:val="en-US" w:bidi="ar-SA"/>
              </w:rPr>
              <w:br w:type="textWrapping"/>
            </w:r>
            <w:r>
              <w:rPr>
                <w:rFonts w:hint="eastAsia"/>
                <w:color w:val="auto"/>
                <w:sz w:val="21"/>
                <w:szCs w:val="21"/>
                <w:highlight w:val="none"/>
                <w:lang w:val="en-US" w:bidi="ar-SA"/>
              </w:rPr>
              <w:t>2、运营端：商家审核、商品审核、投诉处理、商品下架、经营数据分析、社区数字运营收费功能；</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服务评价</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对物业日常服务满意度评价，包括评分、评价内容等。</w:t>
            </w:r>
            <w:r>
              <w:rPr>
                <w:rFonts w:hint="eastAsia"/>
                <w:color w:val="auto"/>
                <w:sz w:val="21"/>
                <w:szCs w:val="21"/>
                <w:highlight w:val="none"/>
                <w:lang w:val="en-US" w:bidi="ar-SA"/>
              </w:rPr>
              <w:br w:type="textWrapping"/>
            </w:r>
            <w:r>
              <w:rPr>
                <w:rFonts w:hint="eastAsia"/>
                <w:color w:val="auto"/>
                <w:sz w:val="21"/>
                <w:szCs w:val="21"/>
                <w:highlight w:val="none"/>
                <w:lang w:val="en-US" w:bidi="ar-SA"/>
              </w:rPr>
              <w:t>可按季度、半年、年发布评价。</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1、物业评分列表；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2、物业评分详情，包括评分记录，评价内容。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服务满意度评估结果，引导规范物业经营服务。</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阳光公示</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展示物业、业委员对小区各项收支明细等公示</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1、管理物业、业委员对小区各项收支明细等公示列表；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2、发布公示。</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幸福大食堂</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1、展示食堂菜品列表；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2、线上下单点餐；</w:t>
            </w:r>
            <w:r>
              <w:rPr>
                <w:rFonts w:hint="eastAsia"/>
                <w:color w:val="auto"/>
                <w:sz w:val="21"/>
                <w:szCs w:val="21"/>
                <w:highlight w:val="none"/>
                <w:lang w:val="en-US" w:bidi="ar-SA"/>
              </w:rPr>
              <w:br w:type="textWrapping"/>
            </w:r>
            <w:r>
              <w:rPr>
                <w:rFonts w:hint="eastAsia"/>
                <w:color w:val="auto"/>
                <w:sz w:val="21"/>
                <w:szCs w:val="21"/>
                <w:highlight w:val="none"/>
                <w:lang w:val="en-US" w:bidi="ar-SA"/>
              </w:rPr>
              <w:t>3、展示我的订单，并且可以对订单进行评价。</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1、管理菜品列表；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2、管理订单列表，并且可以查询订单评价；</w:t>
            </w:r>
            <w:r>
              <w:rPr>
                <w:rFonts w:hint="eastAsia"/>
                <w:color w:val="auto"/>
                <w:sz w:val="21"/>
                <w:szCs w:val="21"/>
                <w:highlight w:val="none"/>
                <w:lang w:val="en-US" w:bidi="ar-SA"/>
              </w:rPr>
              <w:br w:type="textWrapping"/>
            </w:r>
            <w:r>
              <w:rPr>
                <w:rFonts w:hint="eastAsia"/>
                <w:color w:val="auto"/>
                <w:sz w:val="21"/>
                <w:szCs w:val="21"/>
                <w:highlight w:val="none"/>
                <w:lang w:val="en-US" w:bidi="ar-SA"/>
              </w:rPr>
              <w:t>3、统计我的菜品评价。</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求租/出租</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1、实名居民、中介可发布房屋出租信息或求租信息；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2、出租信息、求租信息展示、评论、举报；</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1、管理审核房屋出租、求租信息；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2、管理、核实举报数据；</w:t>
            </w:r>
            <w:r>
              <w:rPr>
                <w:rFonts w:hint="eastAsia"/>
                <w:color w:val="auto"/>
                <w:sz w:val="21"/>
                <w:szCs w:val="21"/>
                <w:highlight w:val="none"/>
                <w:lang w:val="en-US" w:bidi="ar-SA"/>
              </w:rPr>
              <w:br w:type="textWrapping"/>
            </w:r>
            <w:r>
              <w:rPr>
                <w:rFonts w:hint="eastAsia"/>
                <w:color w:val="auto"/>
                <w:sz w:val="21"/>
                <w:szCs w:val="21"/>
                <w:highlight w:val="none"/>
                <w:lang w:val="en-US" w:bidi="ar-SA"/>
              </w:rPr>
              <w:t>3、提供VR全景上传功能，增值运营。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物业工作台</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物业管理系集成对接、统一登录，待办事项汇总（待处理报事报修、待审核人员统计及清单，过期人员、卡片、车辆统计）</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运营工作台</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运营管理工作台、待办事项、运营情况分析、设备运行状态、运营增值收费功能等</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五、未来治理场景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居民议事厅-议事动态</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1、居民议事动态列表，查看议事详情；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2、支持对议事动态评论、点赞。</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居民评论列表，评论详情查看、评论内容安全审核</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1、居民议事动态发布；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2、居民评论列表，评论详情查看、评论内容安全审核（可下发运营审核）。</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居民议事厅-组织架构</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1、街道人大工委成员；</w:t>
            </w:r>
            <w:r>
              <w:rPr>
                <w:rFonts w:hint="eastAsia"/>
                <w:color w:val="auto"/>
                <w:sz w:val="21"/>
                <w:szCs w:val="21"/>
                <w:highlight w:val="none"/>
                <w:lang w:val="en-US" w:bidi="ar-SA"/>
              </w:rPr>
              <w:br w:type="textWrapping"/>
            </w:r>
            <w:r>
              <w:rPr>
                <w:rFonts w:hint="eastAsia"/>
                <w:color w:val="auto"/>
                <w:sz w:val="21"/>
                <w:szCs w:val="21"/>
                <w:highlight w:val="none"/>
                <w:lang w:val="en-US" w:bidi="ar-SA"/>
              </w:rPr>
              <w:t>2、各社区居民议事会成员。</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1、街道人大工委成员信息维护；</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2、各社区居民议事会成员维护。</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居民说事/随手拍</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1、街道、社区民生话题、居民民意列表、查询话题详情、民意详情；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2、支持对话题评论、点赞；</w:t>
            </w:r>
            <w:r>
              <w:rPr>
                <w:rFonts w:hint="eastAsia"/>
                <w:color w:val="auto"/>
                <w:sz w:val="21"/>
                <w:szCs w:val="21"/>
                <w:highlight w:val="none"/>
                <w:lang w:val="en-US" w:bidi="ar-SA"/>
              </w:rPr>
              <w:br w:type="textWrapping"/>
            </w:r>
            <w:r>
              <w:rPr>
                <w:rFonts w:hint="eastAsia"/>
                <w:color w:val="auto"/>
                <w:sz w:val="21"/>
                <w:szCs w:val="21"/>
                <w:highlight w:val="none"/>
                <w:lang w:val="en-US" w:bidi="ar-SA"/>
              </w:rPr>
              <w:t>3、居民“随手拍”上报功能，上报后可查看答复、处置信息。</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街道、社区民生话题列表查看，街道、社区民生话题、居民民意评论详情查看、评论内容安全审核。</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1、居民提交民意内容审核及答复；</w:t>
            </w:r>
            <w:r>
              <w:rPr>
                <w:rFonts w:hint="eastAsia"/>
                <w:color w:val="auto"/>
                <w:sz w:val="21"/>
                <w:szCs w:val="21"/>
                <w:highlight w:val="none"/>
                <w:lang w:val="en-US" w:bidi="ar-SA"/>
              </w:rPr>
              <w:br w:type="textWrapping"/>
            </w:r>
            <w:r>
              <w:rPr>
                <w:rFonts w:hint="eastAsia"/>
                <w:color w:val="auto"/>
                <w:sz w:val="21"/>
                <w:szCs w:val="21"/>
                <w:highlight w:val="none"/>
                <w:lang w:val="en-US" w:bidi="ar-SA"/>
              </w:rPr>
              <w:t>2、街道、社区民生话题编辑、发布。</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民生项目</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1、民生工程项目评选参与投票，投票结果查询；</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2、支持民生项目评选评论、点赞。</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民生项目评选列表，评选内容评论列表查看、评论内容安全审核。</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1、民生项目评选内容编辑、发布；</w:t>
            </w:r>
            <w:r>
              <w:rPr>
                <w:rFonts w:hint="eastAsia"/>
                <w:color w:val="auto"/>
                <w:sz w:val="21"/>
                <w:szCs w:val="21"/>
                <w:highlight w:val="none"/>
                <w:lang w:val="en-US" w:bidi="ar-SA"/>
              </w:rPr>
              <w:br w:type="textWrapping"/>
            </w:r>
            <w:r>
              <w:rPr>
                <w:rFonts w:hint="eastAsia"/>
                <w:color w:val="auto"/>
                <w:sz w:val="21"/>
                <w:szCs w:val="21"/>
                <w:highlight w:val="none"/>
                <w:lang w:val="en-US" w:bidi="ar-SA"/>
              </w:rPr>
              <w:t>2、居民投票结果查询及数据统计分析。</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民生实事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1、民生实事、小事信息列表；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2、民生实事、民生小事详细介绍。</w:t>
            </w:r>
            <w:r>
              <w:rPr>
                <w:rFonts w:hint="eastAsia"/>
                <w:color w:val="auto"/>
                <w:sz w:val="21"/>
                <w:szCs w:val="21"/>
                <w:highlight w:val="none"/>
                <w:lang w:val="en-US" w:bidi="ar-SA"/>
              </w:rPr>
              <w:br w:type="textWrapping"/>
            </w:r>
            <w:r>
              <w:rPr>
                <w:rFonts w:hint="eastAsia"/>
                <w:color w:val="auto"/>
                <w:sz w:val="21"/>
                <w:szCs w:val="21"/>
                <w:highlight w:val="none"/>
                <w:lang w:val="en-US" w:bidi="ar-SA"/>
              </w:rPr>
              <w:t>3、民生实事、民生小事满意度测评。</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民生实事、民生小事介绍信息代维护、管理、评价查看、统计分析。</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1、民生实事、民生小事信息列表；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2、民生实事、民生小事信息编辑、发布；</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充电区AI监控</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治理端平台侧：</w:t>
            </w:r>
            <w:r>
              <w:rPr>
                <w:rFonts w:hint="eastAsia"/>
                <w:color w:val="auto"/>
                <w:sz w:val="21"/>
                <w:szCs w:val="21"/>
                <w:highlight w:val="none"/>
                <w:lang w:val="en-US" w:bidi="ar-SA"/>
              </w:rPr>
              <w:br w:type="textWrapping"/>
            </w:r>
            <w:r>
              <w:rPr>
                <w:rFonts w:hint="eastAsia"/>
                <w:color w:val="auto"/>
                <w:sz w:val="21"/>
                <w:szCs w:val="21"/>
                <w:highlight w:val="none"/>
                <w:lang w:val="en-US" w:bidi="ar-SA"/>
              </w:rPr>
              <w:t>1、电瓶车集中充电区热成像监控列表、设备详情、监控画面展示、事件列表获取、事件详情；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2、电瓶车集中充电区热成像监控时间预警消息通知推送物业。</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垃圾分类AI监控</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1、垃圾分类AI监控监控列表、设备详情、监控画面展示、事件列表获取、事件详情；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2、垃圾分类AI监控事件告警消息推送物业。</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消防通道AI监控</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1、消防通道AI监控列表、设备详情、监控占用事件AI学习、监控画面展示、事件列表获取、事件详情；；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2、消防通道占用事件告警，告警消息推送。</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消防火灾监测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1、消防感烟感温传感器设备列表、消防事件获取、事件详情；</w:t>
            </w:r>
            <w:r>
              <w:rPr>
                <w:rFonts w:hint="eastAsia"/>
                <w:color w:val="auto"/>
                <w:sz w:val="21"/>
                <w:szCs w:val="21"/>
                <w:highlight w:val="none"/>
                <w:lang w:val="en-US" w:bidi="ar-SA"/>
              </w:rPr>
              <w:br w:type="textWrapping"/>
            </w:r>
            <w:r>
              <w:rPr>
                <w:rFonts w:hint="eastAsia"/>
                <w:color w:val="auto"/>
                <w:sz w:val="21"/>
                <w:szCs w:val="21"/>
                <w:highlight w:val="none"/>
                <w:lang w:val="en-US" w:bidi="ar-SA"/>
              </w:rPr>
              <w:t>2、消防火灾告警事件消息推送通知、电话通知物业。</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窨井盖监测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1、窨井盖安全事件告警；</w:t>
            </w:r>
            <w:r>
              <w:rPr>
                <w:rFonts w:hint="eastAsia"/>
                <w:color w:val="auto"/>
                <w:sz w:val="21"/>
                <w:szCs w:val="21"/>
                <w:highlight w:val="none"/>
                <w:lang w:val="en-US" w:bidi="ar-SA"/>
              </w:rPr>
              <w:br w:type="textWrapping"/>
            </w:r>
            <w:r>
              <w:rPr>
                <w:rFonts w:hint="eastAsia"/>
                <w:color w:val="auto"/>
                <w:sz w:val="21"/>
                <w:szCs w:val="21"/>
                <w:highlight w:val="none"/>
                <w:lang w:val="en-US" w:bidi="ar-SA"/>
              </w:rPr>
              <w:t>2、安全事件消息推送通知、电话通知物业。</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燃气报警监测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1、燃气报警状态数据；</w:t>
            </w:r>
            <w:r>
              <w:rPr>
                <w:rFonts w:hint="eastAsia"/>
                <w:color w:val="auto"/>
                <w:sz w:val="21"/>
                <w:szCs w:val="21"/>
                <w:highlight w:val="none"/>
                <w:lang w:val="en-US" w:bidi="ar-SA"/>
              </w:rPr>
              <w:br w:type="textWrapping"/>
            </w:r>
            <w:r>
              <w:rPr>
                <w:rFonts w:hint="eastAsia"/>
                <w:color w:val="auto"/>
                <w:sz w:val="21"/>
                <w:szCs w:val="21"/>
                <w:highlight w:val="none"/>
                <w:lang w:val="en-US" w:bidi="ar-SA"/>
              </w:rPr>
              <w:t>2、燃气泄漏事件预警，告警消息推送、电话通知物业。</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水浸监测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1、小区内水浸传感器设备列表、设备详情、设备状态；小区周边桥洞已有水浸及监控对接。</w:t>
            </w:r>
            <w:r>
              <w:rPr>
                <w:rFonts w:hint="eastAsia"/>
                <w:color w:val="auto"/>
                <w:sz w:val="21"/>
                <w:szCs w:val="21"/>
                <w:highlight w:val="none"/>
                <w:lang w:val="en-US" w:bidi="ar-SA"/>
              </w:rPr>
              <w:br w:type="textWrapping"/>
            </w:r>
            <w:r>
              <w:rPr>
                <w:rFonts w:hint="eastAsia"/>
                <w:color w:val="auto"/>
                <w:sz w:val="21"/>
                <w:szCs w:val="21"/>
                <w:highlight w:val="none"/>
                <w:lang w:val="en-US" w:bidi="ar-SA"/>
              </w:rPr>
              <w:t>2、水浸传感器事件推送社区网格及街道工作人员；</w:t>
            </w:r>
            <w:r>
              <w:rPr>
                <w:rFonts w:hint="eastAsia"/>
                <w:color w:val="auto"/>
                <w:sz w:val="21"/>
                <w:szCs w:val="21"/>
                <w:highlight w:val="none"/>
                <w:lang w:val="en-US" w:bidi="ar-SA"/>
              </w:rPr>
              <w:br w:type="textWrapping"/>
            </w:r>
            <w:r>
              <w:rPr>
                <w:rFonts w:hint="eastAsia"/>
                <w:color w:val="auto"/>
                <w:sz w:val="21"/>
                <w:szCs w:val="21"/>
                <w:highlight w:val="none"/>
                <w:lang w:val="en-US" w:bidi="ar-SA"/>
              </w:rPr>
              <w:t>3、水浸可通过短信、公众号消息、电话方式通知到相关人员。</w:t>
            </w:r>
            <w:r>
              <w:rPr>
                <w:rFonts w:hint="eastAsia"/>
                <w:color w:val="auto"/>
                <w:sz w:val="21"/>
                <w:szCs w:val="21"/>
                <w:highlight w:val="none"/>
                <w:lang w:val="en-US" w:bidi="ar-SA"/>
              </w:rPr>
              <w:br w:type="textWrapping"/>
            </w:r>
            <w:r>
              <w:rPr>
                <w:rFonts w:hint="eastAsia"/>
                <w:color w:val="auto"/>
                <w:sz w:val="21"/>
                <w:szCs w:val="21"/>
                <w:highlight w:val="none"/>
                <w:lang w:val="en-US" w:bidi="ar-SA"/>
              </w:rPr>
              <w:t>4、水浸事件查看，可调阅周边监控。</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社区噪音监测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1、小区内噪音监测设备列表、设备详情、设备状态；</w:t>
            </w:r>
            <w:r>
              <w:rPr>
                <w:rFonts w:hint="eastAsia"/>
                <w:color w:val="auto"/>
                <w:sz w:val="21"/>
                <w:szCs w:val="21"/>
                <w:highlight w:val="none"/>
                <w:lang w:val="en-US" w:bidi="ar-SA"/>
              </w:rPr>
              <w:br w:type="textWrapping"/>
            </w:r>
            <w:r>
              <w:rPr>
                <w:rFonts w:hint="eastAsia"/>
                <w:color w:val="auto"/>
                <w:sz w:val="21"/>
                <w:szCs w:val="21"/>
                <w:highlight w:val="none"/>
                <w:lang w:val="en-US" w:bidi="ar-SA"/>
              </w:rPr>
              <w:t>2、噪音监测事件推送社区网格及物业工作人员；</w:t>
            </w:r>
            <w:r>
              <w:rPr>
                <w:rFonts w:hint="eastAsia"/>
                <w:color w:val="auto"/>
                <w:sz w:val="21"/>
                <w:szCs w:val="21"/>
                <w:highlight w:val="none"/>
                <w:lang w:val="en-US" w:bidi="ar-SA"/>
              </w:rPr>
              <w:br w:type="textWrapping"/>
            </w:r>
            <w:r>
              <w:rPr>
                <w:rFonts w:hint="eastAsia"/>
                <w:color w:val="auto"/>
                <w:sz w:val="21"/>
                <w:szCs w:val="21"/>
                <w:highlight w:val="none"/>
                <w:lang w:val="en-US" w:bidi="ar-SA"/>
              </w:rPr>
              <w:t>3、噪音监测事件可通过短信、公众号消息方式通知到相关人员。</w:t>
            </w:r>
            <w:r>
              <w:rPr>
                <w:rFonts w:hint="eastAsia"/>
                <w:color w:val="auto"/>
                <w:sz w:val="21"/>
                <w:szCs w:val="21"/>
                <w:highlight w:val="none"/>
                <w:lang w:val="en-US" w:bidi="ar-SA"/>
              </w:rPr>
              <w:br w:type="textWrapping"/>
            </w:r>
            <w:r>
              <w:rPr>
                <w:rFonts w:hint="eastAsia"/>
                <w:color w:val="auto"/>
                <w:sz w:val="21"/>
                <w:szCs w:val="21"/>
                <w:highlight w:val="none"/>
                <w:lang w:val="en-US" w:bidi="ar-SA"/>
              </w:rPr>
              <w:t>4、噪音事件查看，可调阅周边监控、云台控制。</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　</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特殊人群关怀</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1、智能手环、SOS报警按钮、智能门磁设备列表、设备详情、设备关联、信息维护；</w:t>
            </w:r>
            <w:r>
              <w:rPr>
                <w:rFonts w:hint="eastAsia"/>
                <w:color w:val="auto"/>
                <w:sz w:val="21"/>
                <w:szCs w:val="21"/>
                <w:highlight w:val="none"/>
                <w:lang w:val="en-US" w:bidi="ar-SA"/>
              </w:rPr>
              <w:br w:type="textWrapping"/>
            </w:r>
            <w:r>
              <w:rPr>
                <w:rFonts w:hint="eastAsia"/>
                <w:color w:val="auto"/>
                <w:sz w:val="21"/>
                <w:szCs w:val="21"/>
                <w:highlight w:val="none"/>
                <w:lang w:val="en-US" w:bidi="ar-SA"/>
              </w:rPr>
              <w:t>2、设备运行状态信息；</w:t>
            </w:r>
            <w:r>
              <w:rPr>
                <w:rFonts w:hint="eastAsia"/>
                <w:color w:val="auto"/>
                <w:sz w:val="21"/>
                <w:szCs w:val="21"/>
                <w:highlight w:val="none"/>
                <w:lang w:val="en-US" w:bidi="ar-SA"/>
              </w:rPr>
              <w:br w:type="textWrapping"/>
            </w:r>
            <w:r>
              <w:rPr>
                <w:rFonts w:hint="eastAsia"/>
                <w:color w:val="auto"/>
                <w:sz w:val="21"/>
                <w:szCs w:val="21"/>
                <w:highlight w:val="none"/>
                <w:lang w:val="en-US" w:bidi="ar-SA"/>
              </w:rPr>
              <w:t>3、数据采集、分析；</w:t>
            </w:r>
            <w:r>
              <w:rPr>
                <w:rFonts w:hint="eastAsia"/>
                <w:color w:val="auto"/>
                <w:sz w:val="21"/>
                <w:szCs w:val="21"/>
                <w:highlight w:val="none"/>
                <w:lang w:val="en-US" w:bidi="ar-SA"/>
              </w:rPr>
              <w:br w:type="textWrapping"/>
            </w:r>
            <w:r>
              <w:rPr>
                <w:rFonts w:hint="eastAsia"/>
                <w:color w:val="auto"/>
                <w:sz w:val="21"/>
                <w:szCs w:val="21"/>
                <w:highlight w:val="none"/>
                <w:lang w:val="en-US" w:bidi="ar-SA"/>
              </w:rPr>
              <w:t>4、数据预警，消息推送。</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1、特殊人群关怀事件查询；</w:t>
            </w:r>
            <w:r>
              <w:rPr>
                <w:rFonts w:hint="eastAsia"/>
                <w:color w:val="auto"/>
                <w:sz w:val="21"/>
                <w:szCs w:val="21"/>
                <w:highlight w:val="none"/>
                <w:lang w:val="en-US" w:bidi="ar-SA"/>
              </w:rPr>
              <w:br w:type="textWrapping"/>
            </w:r>
            <w:r>
              <w:rPr>
                <w:rFonts w:hint="eastAsia"/>
                <w:color w:val="auto"/>
                <w:sz w:val="21"/>
                <w:szCs w:val="21"/>
                <w:highlight w:val="none"/>
                <w:lang w:val="en-US" w:bidi="ar-SA"/>
              </w:rPr>
              <w:t>2、事件处置。</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重点人员</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1、重点人员管理，人员信息添加、编辑、删除；</w:t>
            </w:r>
            <w:r>
              <w:rPr>
                <w:rFonts w:hint="eastAsia"/>
                <w:color w:val="auto"/>
                <w:sz w:val="21"/>
                <w:szCs w:val="21"/>
                <w:highlight w:val="none"/>
                <w:lang w:val="en-US" w:bidi="ar-SA"/>
              </w:rPr>
              <w:br w:type="textWrapping"/>
            </w:r>
            <w:r>
              <w:rPr>
                <w:rFonts w:hint="eastAsia"/>
                <w:color w:val="auto"/>
                <w:sz w:val="21"/>
                <w:szCs w:val="21"/>
                <w:highlight w:val="none"/>
                <w:lang w:val="en-US" w:bidi="ar-SA"/>
              </w:rPr>
              <w:t>2、人脸、车脸AI监控抓拍分析，人员出入告警，告警信息推送；</w:t>
            </w:r>
            <w:r>
              <w:rPr>
                <w:rFonts w:hint="eastAsia"/>
                <w:color w:val="auto"/>
                <w:sz w:val="21"/>
                <w:szCs w:val="21"/>
                <w:highlight w:val="none"/>
                <w:lang w:val="en-US" w:bidi="ar-SA"/>
              </w:rPr>
              <w:br w:type="textWrapping"/>
            </w:r>
            <w:r>
              <w:rPr>
                <w:rFonts w:hint="eastAsia"/>
                <w:color w:val="auto"/>
                <w:sz w:val="21"/>
                <w:szCs w:val="21"/>
                <w:highlight w:val="none"/>
                <w:lang w:val="en-US" w:bidi="ar-SA"/>
              </w:rPr>
              <w:t>3、告警事件处置；</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社区服务客流分析</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1、主要场景服务客流数量分析管理、设备列表、设备详情、设备状态；</w:t>
            </w:r>
            <w:r>
              <w:rPr>
                <w:rFonts w:hint="eastAsia"/>
                <w:color w:val="auto"/>
                <w:sz w:val="21"/>
                <w:szCs w:val="21"/>
                <w:highlight w:val="none"/>
                <w:lang w:val="en-US" w:bidi="ar-SA"/>
              </w:rPr>
              <w:br w:type="textWrapping"/>
            </w:r>
            <w:r>
              <w:rPr>
                <w:rFonts w:hint="eastAsia"/>
                <w:color w:val="auto"/>
                <w:sz w:val="21"/>
                <w:szCs w:val="21"/>
                <w:highlight w:val="none"/>
                <w:lang w:val="en-US" w:bidi="ar-SA"/>
              </w:rPr>
              <w:t>2、客流数据统计分析：可以按照天、周、月等时间、空间维度统计服务客流数据。</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应急指挥</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1、整合社区监控、物联感知设备；</w:t>
            </w:r>
            <w:r>
              <w:rPr>
                <w:rFonts w:hint="eastAsia"/>
                <w:color w:val="auto"/>
                <w:sz w:val="21"/>
                <w:szCs w:val="21"/>
                <w:highlight w:val="none"/>
                <w:lang w:val="en-US" w:bidi="ar-SA"/>
              </w:rPr>
              <w:br w:type="textWrapping"/>
            </w:r>
            <w:r>
              <w:rPr>
                <w:rFonts w:hint="eastAsia"/>
                <w:color w:val="auto"/>
                <w:sz w:val="21"/>
                <w:szCs w:val="21"/>
                <w:highlight w:val="none"/>
                <w:lang w:val="en-US" w:bidi="ar-SA"/>
              </w:rPr>
              <w:t>2、不同类型资源分层在社区三维模型中定位、展示，点击单个设备可弹窗展示具体页面。</w:t>
            </w:r>
            <w:r>
              <w:rPr>
                <w:rFonts w:hint="eastAsia"/>
                <w:color w:val="auto"/>
                <w:sz w:val="21"/>
                <w:szCs w:val="21"/>
                <w:highlight w:val="none"/>
                <w:lang w:val="en-US" w:bidi="ar-SA"/>
              </w:rPr>
              <w:br w:type="textWrapping"/>
            </w:r>
            <w:r>
              <w:rPr>
                <w:rFonts w:hint="eastAsia"/>
                <w:color w:val="auto"/>
                <w:sz w:val="21"/>
                <w:szCs w:val="21"/>
                <w:highlight w:val="none"/>
                <w:lang w:val="en-US" w:bidi="ar-SA"/>
              </w:rPr>
              <w:t>3、应急指挥资源调度。</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防疫防控-疫苗接种</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1、辖区人员信息导入；</w:t>
            </w:r>
            <w:r>
              <w:rPr>
                <w:rFonts w:hint="eastAsia"/>
                <w:color w:val="auto"/>
                <w:sz w:val="21"/>
                <w:szCs w:val="21"/>
                <w:highlight w:val="none"/>
                <w:lang w:val="en-US" w:bidi="ar-SA"/>
              </w:rPr>
              <w:br w:type="textWrapping"/>
            </w:r>
            <w:r>
              <w:rPr>
                <w:rFonts w:hint="eastAsia"/>
                <w:color w:val="auto"/>
                <w:sz w:val="21"/>
                <w:szCs w:val="21"/>
                <w:highlight w:val="none"/>
                <w:lang w:val="en-US" w:bidi="ar-SA"/>
              </w:rPr>
              <w:t>2、人员疫苗接种情况查询。</w:t>
            </w:r>
            <w:r>
              <w:rPr>
                <w:rFonts w:hint="eastAsia"/>
                <w:color w:val="auto"/>
                <w:sz w:val="21"/>
                <w:szCs w:val="21"/>
                <w:highlight w:val="none"/>
                <w:lang w:val="en-US" w:bidi="ar-SA"/>
              </w:rPr>
              <w:br w:type="textWrapping"/>
            </w:r>
            <w:r>
              <w:rPr>
                <w:rFonts w:hint="eastAsia"/>
                <w:color w:val="auto"/>
                <w:sz w:val="21"/>
                <w:szCs w:val="21"/>
                <w:highlight w:val="none"/>
                <w:lang w:val="en-US" w:bidi="ar-SA"/>
              </w:rPr>
              <w:t>3、可统计分析18以上接种情况、60~70岁接种情况等。</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防疫防控-核酸检测</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1、辖区人员信息导入；</w:t>
            </w:r>
            <w:r>
              <w:rPr>
                <w:rFonts w:hint="eastAsia"/>
                <w:color w:val="auto"/>
                <w:sz w:val="21"/>
                <w:szCs w:val="21"/>
                <w:highlight w:val="none"/>
                <w:lang w:val="en-US" w:bidi="ar-SA"/>
              </w:rPr>
              <w:br w:type="textWrapping"/>
            </w:r>
            <w:r>
              <w:rPr>
                <w:rFonts w:hint="eastAsia"/>
                <w:color w:val="auto"/>
                <w:sz w:val="21"/>
                <w:szCs w:val="21"/>
                <w:highlight w:val="none"/>
                <w:lang w:val="en-US" w:bidi="ar-SA"/>
              </w:rPr>
              <w:t>2、核酸检测情况查询，可分析24小时、48小时、7天不同时间、空间核酸检测情况。</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20</w:t>
            </w:r>
          </w:p>
        </w:tc>
        <w:tc>
          <w:tcPr>
            <w:tcW w:w="662"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防疫防控-健康码</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1、门禁系统（刷卡、刷脸、刷身份证开门）显示健康码、疫苗接种情况、核酸检测情况</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1、门禁系统出录记录人员健康码、疫苗接种、核酸检测情况记录；</w:t>
            </w:r>
            <w:r>
              <w:rPr>
                <w:rFonts w:hint="eastAsia"/>
                <w:color w:val="auto"/>
                <w:sz w:val="21"/>
                <w:szCs w:val="21"/>
                <w:highlight w:val="none"/>
                <w:lang w:val="en-US" w:bidi="ar-SA"/>
              </w:rPr>
              <w:br w:type="textWrapping"/>
            </w:r>
            <w:r>
              <w:rPr>
                <w:rFonts w:hint="eastAsia"/>
                <w:color w:val="auto"/>
                <w:sz w:val="21"/>
                <w:szCs w:val="21"/>
                <w:highlight w:val="none"/>
                <w:lang w:val="en-US" w:bidi="ar-SA"/>
              </w:rPr>
              <w:t>2、人员数据统计分析、异常告警。</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防疫防控-核酸检测点</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1、核酸检测点信息列表、监控抓图（如有，面向居民开放）；</w:t>
            </w:r>
            <w:r>
              <w:rPr>
                <w:rFonts w:hint="eastAsia"/>
                <w:color w:val="auto"/>
                <w:sz w:val="21"/>
                <w:szCs w:val="21"/>
                <w:highlight w:val="none"/>
                <w:lang w:val="en-US" w:bidi="ar-SA"/>
              </w:rPr>
              <w:br w:type="textWrapping"/>
            </w:r>
            <w:r>
              <w:rPr>
                <w:rFonts w:hint="eastAsia"/>
                <w:color w:val="auto"/>
                <w:sz w:val="21"/>
                <w:szCs w:val="21"/>
                <w:highlight w:val="none"/>
                <w:lang w:val="en-US" w:bidi="ar-SA"/>
              </w:rPr>
              <w:t>2、支持位置导航、电话咨询；</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1、核酸检测点信息维护；</w:t>
            </w:r>
            <w:r>
              <w:rPr>
                <w:rFonts w:hint="eastAsia"/>
                <w:color w:val="auto"/>
                <w:sz w:val="21"/>
                <w:szCs w:val="21"/>
                <w:highlight w:val="none"/>
                <w:lang w:val="en-US" w:bidi="ar-SA"/>
              </w:rPr>
              <w:br w:type="textWrapping"/>
            </w:r>
            <w:r>
              <w:rPr>
                <w:rFonts w:hint="eastAsia"/>
                <w:color w:val="auto"/>
                <w:sz w:val="21"/>
                <w:szCs w:val="21"/>
                <w:highlight w:val="none"/>
                <w:lang w:val="en-US" w:bidi="ar-SA"/>
              </w:rPr>
              <w:t>2、检测点状态数据对接。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防疫防控-疫苗接种点</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疫苗接种点信息、预约，疫苗供应情况。</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疫苗接种点信息、预约电话维护，疫苗供应情况维护。</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防疫防控-防疫资讯</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防疫资讯信息，评论、点赞。</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防疫资讯信息发布，评论内容审核管理。</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24</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数据驾驶舱-综合展示版块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1、社区人、车、房数据统计，党建、未来社区九大场景、12有应用运行情况等概览；</w:t>
            </w:r>
            <w:r>
              <w:rPr>
                <w:rFonts w:hint="eastAsia"/>
                <w:color w:val="auto"/>
                <w:sz w:val="21"/>
                <w:szCs w:val="21"/>
                <w:highlight w:val="none"/>
                <w:lang w:val="en-US" w:bidi="ar-SA"/>
              </w:rPr>
              <w:br w:type="textWrapping"/>
            </w:r>
            <w:r>
              <w:rPr>
                <w:rFonts w:hint="eastAsia"/>
                <w:color w:val="auto"/>
                <w:sz w:val="21"/>
                <w:szCs w:val="21"/>
                <w:highlight w:val="none"/>
                <w:lang w:val="en-US" w:bidi="ar-SA"/>
              </w:rPr>
              <w:t>2、不同场景可钻取展示详细运行、运营数据。</w:t>
            </w:r>
            <w:r>
              <w:rPr>
                <w:rFonts w:hint="eastAsia"/>
                <w:color w:val="auto"/>
                <w:sz w:val="21"/>
                <w:szCs w:val="21"/>
                <w:highlight w:val="none"/>
                <w:lang w:val="en-US" w:bidi="ar-SA"/>
              </w:rPr>
              <w:br w:type="textWrapping"/>
            </w:r>
            <w:r>
              <w:rPr>
                <w:rFonts w:hint="eastAsia"/>
                <w:color w:val="auto"/>
                <w:sz w:val="21"/>
                <w:szCs w:val="21"/>
                <w:highlight w:val="none"/>
                <w:lang w:val="en-US" w:bidi="ar-SA"/>
              </w:rPr>
              <w:t>3、基于社区三维模型、VR全景、室内模型，标签落位相关数据、事件、标签。</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25</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数据驾驶舱-党建引领版块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1、社区基层当组织介绍、党建阵地、党员人数及详情、人大代表、议事员人数及详情；数量、年龄、学历、所属行业等多纬度分析；</w:t>
            </w:r>
            <w:r>
              <w:rPr>
                <w:rFonts w:hint="eastAsia"/>
                <w:color w:val="auto"/>
                <w:sz w:val="21"/>
                <w:szCs w:val="21"/>
                <w:highlight w:val="none"/>
                <w:lang w:val="en-US" w:bidi="ar-SA"/>
              </w:rPr>
              <w:br w:type="textWrapping"/>
            </w:r>
            <w:r>
              <w:rPr>
                <w:rFonts w:hint="eastAsia"/>
                <w:color w:val="auto"/>
                <w:sz w:val="21"/>
                <w:szCs w:val="21"/>
                <w:highlight w:val="none"/>
                <w:lang w:val="en-US" w:bidi="ar-SA"/>
              </w:rPr>
              <w:t>2、社区党组织架构及详情</w:t>
            </w:r>
            <w:r>
              <w:rPr>
                <w:rFonts w:hint="eastAsia"/>
                <w:color w:val="auto"/>
                <w:sz w:val="21"/>
                <w:szCs w:val="21"/>
                <w:highlight w:val="none"/>
                <w:lang w:val="en-US" w:bidi="ar-SA"/>
              </w:rPr>
              <w:br w:type="textWrapping"/>
            </w:r>
            <w:r>
              <w:rPr>
                <w:rFonts w:hint="eastAsia"/>
                <w:color w:val="auto"/>
                <w:sz w:val="21"/>
                <w:szCs w:val="21"/>
                <w:highlight w:val="none"/>
                <w:lang w:val="en-US" w:bidi="ar-SA"/>
              </w:rPr>
              <w:t>3、社区党建活动、组织生活情况及详情；</w:t>
            </w:r>
            <w:r>
              <w:rPr>
                <w:rFonts w:hint="eastAsia"/>
                <w:color w:val="auto"/>
                <w:sz w:val="21"/>
                <w:szCs w:val="21"/>
                <w:highlight w:val="none"/>
                <w:lang w:val="en-US" w:bidi="ar-SA"/>
              </w:rPr>
              <w:br w:type="textWrapping"/>
            </w:r>
            <w:r>
              <w:rPr>
                <w:rFonts w:hint="eastAsia"/>
                <w:color w:val="auto"/>
                <w:sz w:val="21"/>
                <w:szCs w:val="21"/>
                <w:highlight w:val="none"/>
                <w:lang w:val="en-US" w:bidi="ar-SA"/>
              </w:rPr>
              <w:t>4、党员参与社区活动、治理情况及详情；</w:t>
            </w:r>
            <w:r>
              <w:rPr>
                <w:rFonts w:hint="eastAsia"/>
                <w:color w:val="auto"/>
                <w:sz w:val="21"/>
                <w:szCs w:val="21"/>
                <w:highlight w:val="none"/>
                <w:lang w:val="en-US" w:bidi="ar-SA"/>
              </w:rPr>
              <w:br w:type="textWrapping"/>
            </w:r>
            <w:r>
              <w:rPr>
                <w:rFonts w:hint="eastAsia"/>
                <w:color w:val="auto"/>
                <w:sz w:val="21"/>
                <w:szCs w:val="21"/>
                <w:highlight w:val="none"/>
                <w:lang w:val="en-US" w:bidi="ar-SA"/>
              </w:rPr>
              <w:t>5、基于社区三维模型、VR全景、室内模型，标签落位党建阵地等数据。</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26</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数据驾驶舱-未来邻里版块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1、邻里活动画像数据展示，活动组织数量、参与人数、活跃度、分类热度等；</w:t>
            </w:r>
            <w:r>
              <w:rPr>
                <w:rFonts w:hint="eastAsia"/>
                <w:color w:val="auto"/>
                <w:sz w:val="21"/>
                <w:szCs w:val="21"/>
                <w:highlight w:val="none"/>
                <w:lang w:val="en-US" w:bidi="ar-SA"/>
              </w:rPr>
              <w:br w:type="textWrapping"/>
            </w:r>
            <w:r>
              <w:rPr>
                <w:rFonts w:hint="eastAsia"/>
                <w:color w:val="auto"/>
                <w:sz w:val="21"/>
                <w:szCs w:val="21"/>
                <w:highlight w:val="none"/>
                <w:lang w:val="en-US" w:bidi="ar-SA"/>
              </w:rPr>
              <w:t>2、共享空间使用画像，使用频次、利用率；</w:t>
            </w:r>
            <w:r>
              <w:rPr>
                <w:rFonts w:hint="eastAsia"/>
                <w:color w:val="auto"/>
                <w:sz w:val="21"/>
                <w:szCs w:val="21"/>
                <w:highlight w:val="none"/>
                <w:lang w:val="en-US" w:bidi="ar-SA"/>
              </w:rPr>
              <w:br w:type="textWrapping"/>
            </w:r>
            <w:r>
              <w:rPr>
                <w:rFonts w:hint="eastAsia"/>
                <w:color w:val="auto"/>
                <w:sz w:val="21"/>
                <w:szCs w:val="21"/>
                <w:highlight w:val="none"/>
                <w:lang w:val="en-US" w:bidi="ar-SA"/>
              </w:rPr>
              <w:t>3、话题、邻里活动、张阿姨工作室、达人资源、二手商城等统计情况、活跃情况，；</w:t>
            </w:r>
            <w:r>
              <w:rPr>
                <w:rFonts w:hint="eastAsia"/>
                <w:color w:val="auto"/>
                <w:sz w:val="21"/>
                <w:szCs w:val="21"/>
                <w:highlight w:val="none"/>
                <w:lang w:val="en-US" w:bidi="ar-SA"/>
              </w:rPr>
              <w:br w:type="textWrapping"/>
            </w:r>
            <w:r>
              <w:rPr>
                <w:rFonts w:hint="eastAsia"/>
                <w:color w:val="auto"/>
                <w:sz w:val="21"/>
                <w:szCs w:val="21"/>
                <w:highlight w:val="none"/>
                <w:lang w:val="en-US" w:bidi="ar-SA"/>
              </w:rPr>
              <w:t>4、基于社区三维模型、VR全景、室内模型，在空间落位邻里相关应用。</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27</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数据驾驶舱-未来教育版块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1、托幼监控预览及家长使用情况；</w:t>
            </w:r>
            <w:r>
              <w:rPr>
                <w:rFonts w:hint="eastAsia"/>
                <w:color w:val="auto"/>
                <w:sz w:val="21"/>
                <w:szCs w:val="21"/>
                <w:highlight w:val="none"/>
                <w:lang w:val="en-US" w:bidi="ar-SA"/>
              </w:rPr>
              <w:br w:type="textWrapping"/>
            </w:r>
            <w:r>
              <w:rPr>
                <w:rFonts w:hint="eastAsia"/>
                <w:color w:val="auto"/>
                <w:sz w:val="21"/>
                <w:szCs w:val="21"/>
                <w:highlight w:val="none"/>
                <w:lang w:val="en-US" w:bidi="ar-SA"/>
              </w:rPr>
              <w:t>2、幸福学堂、社会实践开展情况及活动热度；</w:t>
            </w:r>
            <w:r>
              <w:rPr>
                <w:rFonts w:hint="eastAsia"/>
                <w:color w:val="auto"/>
                <w:sz w:val="21"/>
                <w:szCs w:val="21"/>
                <w:highlight w:val="none"/>
                <w:lang w:val="en-US" w:bidi="ar-SA"/>
              </w:rPr>
              <w:br w:type="textWrapping"/>
            </w:r>
            <w:r>
              <w:rPr>
                <w:rFonts w:hint="eastAsia"/>
                <w:color w:val="auto"/>
                <w:sz w:val="21"/>
                <w:szCs w:val="21"/>
                <w:highlight w:val="none"/>
                <w:lang w:val="en-US" w:bidi="ar-SA"/>
              </w:rPr>
              <w:t>3、达人直播间活跃度，图书查询量及书籍热度，数据多维度分析、全景呈现</w:t>
            </w:r>
            <w:r>
              <w:rPr>
                <w:rFonts w:hint="eastAsia"/>
                <w:color w:val="auto"/>
                <w:sz w:val="21"/>
                <w:szCs w:val="21"/>
                <w:highlight w:val="none"/>
                <w:lang w:val="en-US" w:bidi="ar-SA"/>
              </w:rPr>
              <w:br w:type="textWrapping"/>
            </w:r>
            <w:r>
              <w:rPr>
                <w:rFonts w:hint="eastAsia"/>
                <w:color w:val="auto"/>
                <w:sz w:val="21"/>
                <w:szCs w:val="21"/>
                <w:highlight w:val="none"/>
                <w:lang w:val="en-US" w:bidi="ar-SA"/>
              </w:rPr>
              <w:t>4、基于社区三维模型、VR全景、室内模型，在空间落位教育相关应用。</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28</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数据驾驶舱-未来健康版块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1、健身房、健康小屋、AED等空间、设备资源上图；</w:t>
            </w:r>
            <w:r>
              <w:rPr>
                <w:rFonts w:hint="eastAsia"/>
                <w:color w:val="auto"/>
                <w:sz w:val="21"/>
                <w:szCs w:val="21"/>
                <w:highlight w:val="none"/>
                <w:lang w:val="en-US" w:bidi="ar-SA"/>
              </w:rPr>
              <w:br w:type="textWrapping"/>
            </w:r>
            <w:r>
              <w:rPr>
                <w:rFonts w:hint="eastAsia"/>
                <w:color w:val="auto"/>
                <w:sz w:val="21"/>
                <w:szCs w:val="21"/>
                <w:highlight w:val="none"/>
                <w:lang w:val="en-US" w:bidi="ar-SA"/>
              </w:rPr>
              <w:t>2、健身空间使用情况，健康资源地图；</w:t>
            </w:r>
            <w:r>
              <w:rPr>
                <w:rFonts w:hint="eastAsia"/>
                <w:color w:val="auto"/>
                <w:sz w:val="21"/>
                <w:szCs w:val="21"/>
                <w:highlight w:val="none"/>
                <w:lang w:val="en-US" w:bidi="ar-SA"/>
              </w:rPr>
              <w:br w:type="textWrapping"/>
            </w:r>
            <w:r>
              <w:rPr>
                <w:rFonts w:hint="eastAsia"/>
                <w:color w:val="auto"/>
                <w:sz w:val="21"/>
                <w:szCs w:val="21"/>
                <w:highlight w:val="none"/>
                <w:lang w:val="en-US" w:bidi="ar-SA"/>
              </w:rPr>
              <w:t>3、体育活动画像数据展示，活动组织数量、参与人数、活跃度；</w:t>
            </w:r>
            <w:r>
              <w:rPr>
                <w:rFonts w:hint="eastAsia"/>
                <w:color w:val="auto"/>
                <w:sz w:val="21"/>
                <w:szCs w:val="21"/>
                <w:highlight w:val="none"/>
                <w:lang w:val="en-US" w:bidi="ar-SA"/>
              </w:rPr>
              <w:br w:type="textWrapping"/>
            </w:r>
            <w:r>
              <w:rPr>
                <w:rFonts w:hint="eastAsia"/>
                <w:color w:val="auto"/>
                <w:sz w:val="21"/>
                <w:szCs w:val="21"/>
                <w:highlight w:val="none"/>
                <w:lang w:val="en-US" w:bidi="ar-SA"/>
              </w:rPr>
              <w:t>4、基于社区三维模型、VR全景、室内模型，在空间落位健康相关应用。</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29</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数据驾驶舱-未来服务版块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1、物业服务数据分析报事报修、物业管理评价、物业服务评价；</w:t>
            </w:r>
            <w:r>
              <w:rPr>
                <w:rFonts w:hint="eastAsia"/>
                <w:color w:val="auto"/>
                <w:sz w:val="21"/>
                <w:szCs w:val="21"/>
                <w:highlight w:val="none"/>
                <w:lang w:val="en-US" w:bidi="ar-SA"/>
              </w:rPr>
              <w:br w:type="textWrapping"/>
            </w:r>
            <w:r>
              <w:rPr>
                <w:rFonts w:hint="eastAsia"/>
                <w:color w:val="auto"/>
                <w:sz w:val="21"/>
                <w:szCs w:val="21"/>
                <w:highlight w:val="none"/>
                <w:lang w:val="en-US" w:bidi="ar-SA"/>
              </w:rPr>
              <w:t>2、智能设备数据分析，智慧停车、智能门禁；</w:t>
            </w:r>
            <w:r>
              <w:rPr>
                <w:rFonts w:hint="eastAsia"/>
                <w:color w:val="auto"/>
                <w:sz w:val="21"/>
                <w:szCs w:val="21"/>
                <w:highlight w:val="none"/>
                <w:lang w:val="en-US" w:bidi="ar-SA"/>
              </w:rPr>
              <w:br w:type="textWrapping"/>
            </w:r>
            <w:r>
              <w:rPr>
                <w:rFonts w:hint="eastAsia"/>
                <w:color w:val="auto"/>
                <w:sz w:val="21"/>
                <w:szCs w:val="21"/>
                <w:highlight w:val="none"/>
                <w:lang w:val="en-US" w:bidi="ar-SA"/>
              </w:rPr>
              <w:t>3、社区商城、阳光公示、幸福食堂等数据分析</w:t>
            </w:r>
            <w:r>
              <w:rPr>
                <w:rFonts w:hint="eastAsia"/>
                <w:color w:val="auto"/>
                <w:sz w:val="21"/>
                <w:szCs w:val="21"/>
                <w:highlight w:val="none"/>
                <w:lang w:val="en-US" w:bidi="ar-SA"/>
              </w:rPr>
              <w:br w:type="textWrapping"/>
            </w:r>
            <w:r>
              <w:rPr>
                <w:rFonts w:hint="eastAsia"/>
                <w:color w:val="auto"/>
                <w:sz w:val="21"/>
                <w:szCs w:val="21"/>
                <w:highlight w:val="none"/>
                <w:lang w:val="en-US" w:bidi="ar-SA"/>
              </w:rPr>
              <w:t>4、基于社区三维模型、VR全景、室内模型，在空间落位服务相关应用。</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30</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数据驾驶舱-未来治理版块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1、视频监控预览，各类事件预警分析；</w:t>
            </w:r>
            <w:r>
              <w:rPr>
                <w:rFonts w:hint="eastAsia"/>
                <w:color w:val="auto"/>
                <w:sz w:val="21"/>
                <w:szCs w:val="21"/>
                <w:highlight w:val="none"/>
                <w:lang w:val="en-US" w:bidi="ar-SA"/>
              </w:rPr>
              <w:br w:type="textWrapping"/>
            </w:r>
            <w:r>
              <w:rPr>
                <w:rFonts w:hint="eastAsia"/>
                <w:color w:val="auto"/>
                <w:sz w:val="21"/>
                <w:szCs w:val="21"/>
                <w:highlight w:val="none"/>
                <w:lang w:val="en-US" w:bidi="ar-SA"/>
              </w:rPr>
              <w:t>2、重点人员、居民议事、防疫防控等数据分析，</w:t>
            </w:r>
            <w:r>
              <w:rPr>
                <w:rFonts w:hint="eastAsia"/>
                <w:color w:val="auto"/>
                <w:sz w:val="21"/>
                <w:szCs w:val="21"/>
                <w:highlight w:val="none"/>
                <w:lang w:val="en-US" w:bidi="ar-SA"/>
              </w:rPr>
              <w:br w:type="textWrapping"/>
            </w:r>
            <w:r>
              <w:rPr>
                <w:rFonts w:hint="eastAsia"/>
                <w:color w:val="auto"/>
                <w:sz w:val="21"/>
                <w:szCs w:val="21"/>
                <w:highlight w:val="none"/>
                <w:lang w:val="en-US" w:bidi="ar-SA"/>
              </w:rPr>
              <w:t>3、AI事件统计态势分析；</w:t>
            </w:r>
            <w:r>
              <w:rPr>
                <w:rFonts w:hint="eastAsia"/>
                <w:color w:val="auto"/>
                <w:sz w:val="21"/>
                <w:szCs w:val="21"/>
                <w:highlight w:val="none"/>
                <w:lang w:val="en-US" w:bidi="ar-SA"/>
              </w:rPr>
              <w:br w:type="textWrapping"/>
            </w:r>
            <w:r>
              <w:rPr>
                <w:rFonts w:hint="eastAsia"/>
                <w:color w:val="auto"/>
                <w:sz w:val="21"/>
                <w:szCs w:val="21"/>
                <w:highlight w:val="none"/>
                <w:lang w:val="en-US" w:bidi="ar-SA"/>
              </w:rPr>
              <w:t>4、基于社区三维模型、VR全景、室内模型，分子板块在空间落位治理各类应用。</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31</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数据驾驶舱-未来交通版块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1、智慧停车数据分析；</w:t>
            </w:r>
            <w:r>
              <w:rPr>
                <w:rFonts w:hint="eastAsia"/>
                <w:color w:val="auto"/>
                <w:sz w:val="21"/>
                <w:szCs w:val="21"/>
                <w:highlight w:val="none"/>
                <w:lang w:val="en-US" w:bidi="ar-SA"/>
              </w:rPr>
              <w:br w:type="textWrapping"/>
            </w:r>
            <w:r>
              <w:rPr>
                <w:rFonts w:hint="eastAsia"/>
                <w:color w:val="auto"/>
                <w:sz w:val="21"/>
                <w:szCs w:val="21"/>
                <w:highlight w:val="none"/>
                <w:lang w:val="en-US" w:bidi="ar-SA"/>
              </w:rPr>
              <w:t>2、停车引导数据；</w:t>
            </w:r>
            <w:r>
              <w:rPr>
                <w:rFonts w:hint="eastAsia"/>
                <w:color w:val="auto"/>
                <w:sz w:val="21"/>
                <w:szCs w:val="21"/>
                <w:highlight w:val="none"/>
                <w:lang w:val="en-US" w:bidi="ar-SA"/>
              </w:rPr>
              <w:br w:type="textWrapping"/>
            </w:r>
            <w:r>
              <w:rPr>
                <w:rFonts w:hint="eastAsia"/>
                <w:color w:val="auto"/>
                <w:sz w:val="21"/>
                <w:szCs w:val="21"/>
                <w:highlight w:val="none"/>
                <w:lang w:val="en-US" w:bidi="ar-SA"/>
              </w:rPr>
              <w:t>3、公交、积水等交通数据分析</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32</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数据驾驶舱-未来低碳版块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垃圾分类监控数据分析，充电桩使用情况数据分析，垃圾分类和回收数据分析</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33</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数据驾驶舱-未来创业版块</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1、政策宣传、就业服务；</w:t>
            </w:r>
            <w:r>
              <w:rPr>
                <w:rFonts w:hint="eastAsia"/>
                <w:color w:val="auto"/>
                <w:sz w:val="21"/>
                <w:szCs w:val="21"/>
                <w:highlight w:val="none"/>
                <w:lang w:val="en-US" w:bidi="ar-SA"/>
              </w:rPr>
              <w:br w:type="textWrapping"/>
            </w:r>
            <w:r>
              <w:rPr>
                <w:rFonts w:hint="eastAsia"/>
                <w:color w:val="auto"/>
                <w:sz w:val="21"/>
                <w:szCs w:val="21"/>
                <w:highlight w:val="none"/>
                <w:lang w:val="en-US" w:bidi="ar-SA"/>
              </w:rPr>
              <w:t>2、洪塘工业园区及社区周边、招聘信息、场地出租、场地预约等数据分析</w:t>
            </w:r>
          </w:p>
        </w:tc>
        <w:tc>
          <w:tcPr>
            <w:tcW w:w="188"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六、未来交通场景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停车引导</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1、地图展示小区内及周边停车场位置信息，包括停车场地点、停车收费情况；</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2、点击后可以进入导航。</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1、停车场信息维护，包括停车场经纬度位置，名称等；</w:t>
            </w:r>
            <w:r>
              <w:rPr>
                <w:rFonts w:hint="eastAsia"/>
                <w:color w:val="auto"/>
                <w:sz w:val="21"/>
                <w:szCs w:val="21"/>
                <w:highlight w:val="none"/>
                <w:lang w:val="en-US" w:bidi="ar-SA"/>
              </w:rPr>
              <w:br w:type="textWrapping"/>
            </w:r>
            <w:r>
              <w:rPr>
                <w:rFonts w:hint="eastAsia"/>
                <w:color w:val="auto"/>
                <w:sz w:val="21"/>
                <w:szCs w:val="21"/>
                <w:highlight w:val="none"/>
                <w:lang w:val="en-US" w:bidi="ar-SA"/>
              </w:rPr>
              <w:t>2、对接菜场停车系统数据。</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台风积水</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1、展示积水地图，包括点位当前积水情况；</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2、点击积水点位后，可以看到积水具体情况，积水程度，积水现场图片等信息。</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1、对接积水大数据、水浸传感器；</w:t>
            </w:r>
            <w:r>
              <w:rPr>
                <w:rFonts w:hint="eastAsia"/>
                <w:color w:val="auto"/>
                <w:sz w:val="21"/>
                <w:szCs w:val="21"/>
                <w:highlight w:val="none"/>
                <w:lang w:val="en-US" w:bidi="ar-SA"/>
              </w:rPr>
              <w:br w:type="textWrapping"/>
            </w:r>
            <w:r>
              <w:rPr>
                <w:rFonts w:hint="eastAsia"/>
                <w:color w:val="auto"/>
                <w:sz w:val="21"/>
                <w:szCs w:val="21"/>
                <w:highlight w:val="none"/>
                <w:lang w:val="en-US" w:bidi="ar-SA"/>
              </w:rPr>
              <w:t>2、人工维护积水点位，包括积水程度、现场积水图片等。</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台风路径</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展示台风路径地图</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台风预测数据对接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天气</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1、展示天气预报信息、空气质量信息；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2、根据天气信息生成生活指导。</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天气测数据对接</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七、未来低碳场景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电动车/电瓶车充电桩</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1、充电桩设备列表，设备运行状态查询；</w:t>
            </w:r>
            <w:r>
              <w:rPr>
                <w:rFonts w:hint="eastAsia"/>
                <w:color w:val="auto"/>
                <w:sz w:val="21"/>
                <w:szCs w:val="21"/>
                <w:highlight w:val="none"/>
                <w:lang w:val="en-US" w:bidi="ar-SA"/>
              </w:rPr>
              <w:br w:type="textWrapping"/>
            </w:r>
            <w:r>
              <w:rPr>
                <w:rFonts w:hint="eastAsia"/>
                <w:color w:val="auto"/>
                <w:sz w:val="21"/>
                <w:szCs w:val="21"/>
                <w:highlight w:val="none"/>
                <w:lang w:val="en-US" w:bidi="ar-SA"/>
              </w:rPr>
              <w:t>2、设备故障告警；</w:t>
            </w:r>
            <w:r>
              <w:rPr>
                <w:rFonts w:hint="eastAsia"/>
                <w:color w:val="auto"/>
                <w:sz w:val="21"/>
                <w:szCs w:val="21"/>
                <w:highlight w:val="none"/>
                <w:lang w:val="en-US" w:bidi="ar-SA"/>
              </w:rPr>
              <w:br w:type="textWrapping"/>
            </w:r>
            <w:r>
              <w:rPr>
                <w:rFonts w:hint="eastAsia"/>
                <w:color w:val="auto"/>
                <w:sz w:val="21"/>
                <w:szCs w:val="21"/>
                <w:highlight w:val="none"/>
                <w:lang w:val="en-US" w:bidi="ar-SA"/>
              </w:rPr>
              <w:t>3、充电设备使用及设备运行状态数据分析。</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1、充电设备使用及设备运行状态数据分析、展示。</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垃圾分类</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1、垃圾分类知识查询，链接宁波垃圾分类小程序；</w:t>
            </w:r>
            <w:r>
              <w:rPr>
                <w:rFonts w:hint="eastAsia"/>
                <w:color w:val="auto"/>
                <w:sz w:val="21"/>
                <w:szCs w:val="21"/>
                <w:highlight w:val="none"/>
                <w:lang w:val="en-US" w:bidi="ar-SA"/>
              </w:rPr>
              <w:br w:type="textWrapping"/>
            </w:r>
            <w:r>
              <w:rPr>
                <w:rFonts w:hint="eastAsia"/>
                <w:color w:val="auto"/>
                <w:sz w:val="21"/>
                <w:szCs w:val="21"/>
                <w:highlight w:val="none"/>
                <w:lang w:val="en-US" w:bidi="ar-SA"/>
              </w:rPr>
              <w:t>2、垃圾分类点位、要求宣传、地图展示，方便新居民、流动居民知晓；</w:t>
            </w:r>
            <w:r>
              <w:rPr>
                <w:rFonts w:hint="eastAsia"/>
                <w:color w:val="auto"/>
                <w:sz w:val="21"/>
                <w:szCs w:val="21"/>
                <w:highlight w:val="none"/>
                <w:lang w:val="en-US" w:bidi="ar-SA"/>
              </w:rPr>
              <w:br w:type="textWrapping"/>
            </w:r>
            <w:r>
              <w:rPr>
                <w:rFonts w:hint="eastAsia"/>
                <w:color w:val="auto"/>
                <w:sz w:val="21"/>
                <w:szCs w:val="21"/>
                <w:highlight w:val="none"/>
                <w:lang w:val="en-US" w:bidi="ar-SA"/>
              </w:rPr>
              <w:t>3、资源上门回收，积分奖励。</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八、未来创业场景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助企政策</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1、展示助企政策、补贴内容列表、详情、解读；</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2、点击后查看详情，可以对详情进行评价、点赞等操作。</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1、审核政策荟萃评论内容。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1、管理助企政策荟萃列表；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2、发布助企政策荟萃内容；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人才补贴</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1、展示招才引智、人才补贴、大学生创业、购房补贴等内容列表；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2、点击后查看详情，可以对详情进行评价、点赞等操作。</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1、审核招才引智、人才补贴评论内容。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1、管理招才引智萃、人才补贴列表；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2、发布招才引智内容；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助企招聘</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1、获取招聘信息；</w:t>
            </w:r>
            <w:r>
              <w:rPr>
                <w:rFonts w:hint="eastAsia"/>
                <w:color w:val="auto"/>
                <w:sz w:val="21"/>
                <w:szCs w:val="21"/>
                <w:highlight w:val="none"/>
                <w:lang w:val="en-US" w:bidi="ar-SA"/>
              </w:rPr>
              <w:br w:type="textWrapping"/>
            </w:r>
            <w:r>
              <w:rPr>
                <w:rFonts w:hint="eastAsia"/>
                <w:color w:val="auto"/>
                <w:sz w:val="21"/>
                <w:szCs w:val="21"/>
                <w:highlight w:val="none"/>
                <w:lang w:val="en-US" w:bidi="ar-SA"/>
              </w:rPr>
              <w:t>2、查看招聘详情；</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管理招聘信息</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明星企业</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展示社区周边明星企业宣传内容</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管理明星企业宣传内容</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vMerge w:val="restar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办公场地出租</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1、展示办公出租场地列表；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2、展示场地详情，包括场地位置，租赁信息，场地基础信息。</w:t>
            </w:r>
            <w:r>
              <w:rPr>
                <w:rFonts w:hint="eastAsia"/>
                <w:color w:val="auto"/>
                <w:sz w:val="21"/>
                <w:szCs w:val="21"/>
                <w:highlight w:val="none"/>
                <w:lang w:val="en-US" w:bidi="ar-SA"/>
              </w:rPr>
              <w:br w:type="textWrapping"/>
            </w:r>
            <w:r>
              <w:rPr>
                <w:rFonts w:hint="eastAsia"/>
                <w:color w:val="auto"/>
                <w:sz w:val="21"/>
                <w:szCs w:val="21"/>
                <w:highlight w:val="none"/>
                <w:lang w:val="en-US" w:bidi="ar-SA"/>
              </w:rPr>
              <w:t>3、我要出租：居民可通过小程序填写、提交自有可对外出租的办公场地。</w:t>
            </w:r>
            <w:r>
              <w:rPr>
                <w:rFonts w:hint="eastAsia"/>
                <w:color w:val="auto"/>
                <w:sz w:val="21"/>
                <w:szCs w:val="21"/>
                <w:highlight w:val="none"/>
                <w:lang w:val="en-US" w:bidi="ar-SA"/>
              </w:rPr>
              <w:br w:type="textWrapping"/>
            </w:r>
            <w:r>
              <w:rPr>
                <w:rFonts w:hint="eastAsia"/>
                <w:color w:val="auto"/>
                <w:sz w:val="21"/>
                <w:szCs w:val="21"/>
                <w:highlight w:val="none"/>
                <w:lang w:val="en-US" w:bidi="ar-SA"/>
              </w:rPr>
              <w:t>4、我要租：居民可通过小程序填写、提交求租信息。</w:t>
            </w:r>
          </w:p>
        </w:tc>
        <w:tc>
          <w:tcPr>
            <w:tcW w:w="188"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vMerge w:val="restar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662" w:type="pct"/>
            <w:vMerge w:val="continue"/>
            <w:shd w:val="clear" w:color="auto" w:fill="FFFFFF"/>
            <w:noWrap w:val="0"/>
            <w:vAlign w:val="center"/>
          </w:tcPr>
          <w:p>
            <w:pPr>
              <w:widowControl/>
              <w:autoSpaceDE/>
              <w:autoSpaceDN/>
              <w:spacing w:line="240" w:lineRule="auto"/>
              <w:jc w:val="center"/>
              <w:rPr>
                <w:color w:val="auto"/>
                <w:sz w:val="21"/>
                <w:szCs w:val="21"/>
                <w:highlight w:val="none"/>
                <w:lang w:val="en-US" w:bidi="ar-SA"/>
              </w:rPr>
            </w:pP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1、管理办公场地列表；</w:t>
            </w:r>
            <w:r>
              <w:rPr>
                <w:rFonts w:hint="eastAsia"/>
                <w:color w:val="auto"/>
                <w:sz w:val="21"/>
                <w:szCs w:val="21"/>
                <w:highlight w:val="none"/>
                <w:lang w:val="en-US" w:bidi="ar-SA"/>
              </w:rPr>
              <w:br w:type="textWrapping"/>
            </w:r>
            <w:r>
              <w:rPr>
                <w:rFonts w:hint="eastAsia"/>
                <w:color w:val="auto"/>
                <w:sz w:val="21"/>
                <w:szCs w:val="21"/>
                <w:highlight w:val="none"/>
                <w:lang w:val="en-US" w:bidi="ar-SA"/>
              </w:rPr>
              <w:t>2、管理场地租赁订单。</w:t>
            </w:r>
          </w:p>
        </w:tc>
        <w:tc>
          <w:tcPr>
            <w:tcW w:w="188"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c>
          <w:tcPr>
            <w:tcW w:w="191" w:type="pct"/>
            <w:vMerge w:val="continue"/>
            <w:shd w:val="clear" w:color="auto" w:fill="FFFFFF"/>
            <w:noWrap w:val="0"/>
            <w:vAlign w:val="center"/>
          </w:tcPr>
          <w:p>
            <w:pPr>
              <w:widowControl/>
              <w:autoSpaceDE/>
              <w:autoSpaceDN/>
              <w:spacing w:line="240" w:lineRule="auto"/>
              <w:rPr>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八、未来建筑场景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CIM管理平台</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G端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1、复用街道已有无人机倾斜摄影数据、三维模型；</w:t>
            </w:r>
            <w:r>
              <w:rPr>
                <w:rFonts w:hint="eastAsia"/>
                <w:color w:val="auto"/>
                <w:sz w:val="21"/>
                <w:szCs w:val="21"/>
                <w:highlight w:val="none"/>
                <w:lang w:val="en-US" w:bidi="ar-SA"/>
              </w:rPr>
              <w:br w:type="textWrapping"/>
            </w:r>
            <w:r>
              <w:rPr>
                <w:rFonts w:hint="eastAsia"/>
                <w:color w:val="auto"/>
                <w:sz w:val="21"/>
                <w:szCs w:val="21"/>
                <w:highlight w:val="none"/>
                <w:lang w:val="en-US" w:bidi="ar-SA"/>
              </w:rPr>
              <w:t>2、倾斜摄影、建筑地图数据处理</w:t>
            </w:r>
            <w:r>
              <w:rPr>
                <w:rFonts w:hint="eastAsia"/>
                <w:color w:val="auto"/>
                <w:sz w:val="21"/>
                <w:szCs w:val="21"/>
                <w:highlight w:val="none"/>
                <w:lang w:val="en-US" w:bidi="ar-SA"/>
              </w:rPr>
              <w:br w:type="textWrapping"/>
            </w:r>
            <w:r>
              <w:rPr>
                <w:rFonts w:hint="eastAsia"/>
                <w:color w:val="auto"/>
                <w:sz w:val="21"/>
                <w:szCs w:val="21"/>
                <w:highlight w:val="none"/>
                <w:lang w:val="en-US" w:bidi="ar-SA"/>
              </w:rPr>
              <w:t>3、图层数据优化，提供模型处理及引擎驱动</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shd w:val="clear" w:color="auto" w:fill="FFFFFF"/>
            <w:noWrap/>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九、其他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序号</w:t>
            </w:r>
          </w:p>
        </w:tc>
        <w:tc>
          <w:tcPr>
            <w:tcW w:w="662"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模块/应用名称</w:t>
            </w:r>
          </w:p>
        </w:tc>
        <w:tc>
          <w:tcPr>
            <w:tcW w:w="427" w:type="pct"/>
            <w:shd w:val="clear" w:color="auto" w:fill="FFFFFF"/>
            <w:noWrap w:val="0"/>
            <w:vAlign w:val="center"/>
          </w:tcPr>
          <w:p>
            <w:pPr>
              <w:widowControl/>
              <w:autoSpaceDE/>
              <w:autoSpaceDN/>
              <w:spacing w:line="240" w:lineRule="auto"/>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功能入口</w:t>
            </w:r>
          </w:p>
        </w:tc>
        <w:tc>
          <w:tcPr>
            <w:tcW w:w="3265"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基本参数</w:t>
            </w:r>
          </w:p>
        </w:tc>
        <w:tc>
          <w:tcPr>
            <w:tcW w:w="188"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191" w:type="pct"/>
            <w:shd w:val="clear" w:color="auto" w:fill="FFFFFF"/>
            <w:noWrap w:val="0"/>
            <w:vAlign w:val="center"/>
          </w:tcPr>
          <w:p>
            <w:pPr>
              <w:widowControl/>
              <w:autoSpaceDE/>
              <w:autoSpaceDN/>
              <w:spacing w:line="240" w:lineRule="auto"/>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系统分析与设计</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功能需求分析、软件功能设计、数据库设计</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UI设计及实现</w:t>
            </w:r>
          </w:p>
        </w:tc>
        <w:tc>
          <w:tcPr>
            <w:tcW w:w="427"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居民端、运营端、治理端、数据驾驶舱UI界面设计</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662"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组织系统建设</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建立姚江社区下各小区的组织框架并通过树形的形式展现</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用户系统建设</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建立移动端的用户登录及认证体系，与各系统打通，实现单点登录，并通过后台对系统用户进行统一管理</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角色权限系统</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实现对治端、运营端等各系统使用人员的角色控制，以便分配不同的权限</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用户个人中心</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C端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个人信息，身份认证，个人积分，参加活动、课程、预约、互动等相关记录</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安全审计日志</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　</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区数字底座对接</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1、根据区相关要求，物联、社区数据仓、空间数据通过接口对接到区平台。</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数据接口</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B端</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1、数字社会12有在社区落位、对接、功能透出小程序（4个以上）。</w:t>
            </w:r>
            <w:r>
              <w:rPr>
                <w:rFonts w:hint="eastAsia"/>
                <w:color w:val="auto"/>
                <w:sz w:val="21"/>
                <w:szCs w:val="21"/>
                <w:highlight w:val="none"/>
                <w:lang w:val="en-US" w:bidi="ar-SA"/>
              </w:rPr>
              <w:br w:type="textWrapping"/>
            </w:r>
            <w:r>
              <w:rPr>
                <w:rFonts w:hint="eastAsia"/>
                <w:color w:val="auto"/>
                <w:sz w:val="21"/>
                <w:szCs w:val="21"/>
                <w:highlight w:val="none"/>
                <w:lang w:val="en-US" w:bidi="ar-SA"/>
              </w:rPr>
              <w:t>2、其他社区数字化系统对接。</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信息安全</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信息安全等级保护（二级）</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64"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662" w:type="pct"/>
            <w:shd w:val="clear" w:color="auto" w:fill="FFFFFF"/>
            <w:noWrap/>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系统集成</w:t>
            </w:r>
          </w:p>
        </w:tc>
        <w:tc>
          <w:tcPr>
            <w:tcW w:w="427" w:type="pct"/>
            <w:shd w:val="clear" w:color="auto" w:fill="FFFFFF"/>
            <w:noWrap w:val="0"/>
            <w:vAlign w:val="center"/>
          </w:tcPr>
          <w:p>
            <w:pPr>
              <w:widowControl/>
              <w:autoSpaceDE/>
              <w:autoSpaceDN/>
              <w:spacing w:line="240" w:lineRule="auto"/>
              <w:jc w:val="center"/>
              <w:rPr>
                <w:rFonts w:hint="eastAsia"/>
                <w:color w:val="auto"/>
                <w:sz w:val="21"/>
                <w:szCs w:val="21"/>
                <w:highlight w:val="none"/>
                <w:lang w:val="en-US" w:bidi="ar-SA"/>
              </w:rPr>
            </w:pPr>
            <w:r>
              <w:rPr>
                <w:rFonts w:hint="eastAsia"/>
                <w:color w:val="auto"/>
                <w:sz w:val="21"/>
                <w:szCs w:val="21"/>
                <w:highlight w:val="none"/>
                <w:lang w:val="en-US" w:bidi="ar-SA"/>
              </w:rPr>
              <w:t>/</w:t>
            </w:r>
          </w:p>
        </w:tc>
        <w:tc>
          <w:tcPr>
            <w:tcW w:w="3265"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系统集成费（按照硬件的6%~8%计算）</w:t>
            </w:r>
          </w:p>
        </w:tc>
        <w:tc>
          <w:tcPr>
            <w:tcW w:w="188"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项</w:t>
            </w:r>
          </w:p>
        </w:tc>
        <w:tc>
          <w:tcPr>
            <w:tcW w:w="191" w:type="pct"/>
            <w:shd w:val="clear" w:color="auto" w:fill="FFFFFF"/>
            <w:noWrap w:val="0"/>
            <w:vAlign w:val="center"/>
          </w:tcPr>
          <w:p>
            <w:pPr>
              <w:widowControl/>
              <w:autoSpaceDE/>
              <w:autoSpaceDN/>
              <w:spacing w:line="240" w:lineRule="auto"/>
              <w:rPr>
                <w:rFonts w:hint="eastAsia"/>
                <w:color w:val="auto"/>
                <w:sz w:val="21"/>
                <w:szCs w:val="21"/>
                <w:highlight w:val="none"/>
                <w:lang w:val="en-US" w:bidi="ar-SA"/>
              </w:rPr>
            </w:pPr>
            <w:r>
              <w:rPr>
                <w:rFonts w:hint="eastAsia"/>
                <w:color w:val="auto"/>
                <w:sz w:val="21"/>
                <w:szCs w:val="21"/>
                <w:highlight w:val="none"/>
                <w:lang w:val="en-US" w:bidi="ar-SA"/>
              </w:rPr>
              <w:t>1</w:t>
            </w:r>
          </w:p>
        </w:tc>
      </w:tr>
    </w:tbl>
    <w:p>
      <w:pPr>
        <w:keepNext/>
        <w:keepLines/>
        <w:pageBreakBefore w:val="0"/>
        <w:widowControl w:val="0"/>
        <w:shd w:val="clear" w:color="auto" w:fill="auto"/>
        <w:kinsoku/>
        <w:wordWrap/>
        <w:overflowPunct/>
        <w:topLinePunct w:val="0"/>
        <w:autoSpaceDE w:val="0"/>
        <w:autoSpaceDN w:val="0"/>
        <w:bidi w:val="0"/>
        <w:adjustRightInd/>
        <w:snapToGrid/>
        <w:spacing w:before="0" w:after="0" w:line="360" w:lineRule="auto"/>
        <w:jc w:val="both"/>
        <w:textAlignment w:val="auto"/>
        <w:outlineLvl w:val="9"/>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▲以上功能需求，需按照招标人要求定制开发或集成，投标人需具备自主开发能力。</w:t>
      </w:r>
    </w:p>
    <w:p>
      <w:pPr>
        <w:pStyle w:val="7"/>
        <w:shd w:val="clear" w:color="auto" w:fill="auto"/>
        <w:spacing w:before="0" w:after="0" w:line="360" w:lineRule="auto"/>
        <w:jc w:val="left"/>
        <w:rPr>
          <w:rFonts w:hint="eastAsia" w:ascii="宋体" w:hAnsi="宋体" w:eastAsia="宋体" w:cs="宋体"/>
          <w:b/>
          <w:bCs/>
          <w:color w:val="auto"/>
          <w:sz w:val="28"/>
          <w:szCs w:val="28"/>
          <w:highlight w:val="none"/>
          <w:lang w:val="en-US" w:eastAsia="zh-CN" w:bidi="zh-CN"/>
        </w:rPr>
      </w:pPr>
      <w:r>
        <w:rPr>
          <w:rFonts w:hint="eastAsia" w:ascii="宋体" w:hAnsi="宋体" w:eastAsia="宋体" w:cs="宋体"/>
          <w:b/>
          <w:bCs/>
          <w:color w:val="auto"/>
          <w:sz w:val="28"/>
          <w:szCs w:val="28"/>
          <w:highlight w:val="none"/>
          <w:lang w:val="en-US" w:eastAsia="zh-CN" w:bidi="zh-CN"/>
        </w:rPr>
        <w:br w:type="page"/>
      </w:r>
      <w:r>
        <w:rPr>
          <w:rFonts w:hint="eastAsia" w:ascii="宋体" w:hAnsi="宋体" w:eastAsia="宋体" w:cs="宋体"/>
          <w:b/>
          <w:bCs/>
          <w:color w:val="auto"/>
          <w:sz w:val="28"/>
          <w:szCs w:val="28"/>
          <w:highlight w:val="none"/>
          <w:lang w:val="en-US" w:eastAsia="zh-CN" w:bidi="zh-CN"/>
        </w:rPr>
        <w:t>2、主要设备参数清单</w:t>
      </w:r>
    </w:p>
    <w:tbl>
      <w:tblPr>
        <w:tblStyle w:val="50"/>
        <w:tblW w:w="51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48"/>
        <w:gridCol w:w="1532"/>
        <w:gridCol w:w="1556"/>
        <w:gridCol w:w="9250"/>
        <w:gridCol w:w="734"/>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b/>
                <w:bCs/>
                <w:color w:val="auto"/>
                <w:sz w:val="21"/>
                <w:szCs w:val="21"/>
                <w:highlight w:val="none"/>
                <w:lang w:val="en-US" w:bidi="ar-SA"/>
              </w:rPr>
            </w:pPr>
            <w:r>
              <w:rPr>
                <w:rFonts w:hint="eastAsia"/>
                <w:b/>
                <w:bCs/>
                <w:color w:val="auto"/>
                <w:sz w:val="21"/>
                <w:szCs w:val="21"/>
                <w:highlight w:val="none"/>
                <w:lang w:val="en-US" w:bidi="ar-SA"/>
              </w:rPr>
              <w:t>序号</w:t>
            </w:r>
          </w:p>
        </w:tc>
        <w:tc>
          <w:tcPr>
            <w:tcW w:w="526"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功能</w:t>
            </w:r>
          </w:p>
        </w:tc>
        <w:tc>
          <w:tcPr>
            <w:tcW w:w="534"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设备名称</w:t>
            </w:r>
          </w:p>
        </w:tc>
        <w:tc>
          <w:tcPr>
            <w:tcW w:w="3177"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技术参数</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单位</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一、治理场景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社区噪音监测</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噪声传感器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量程高达30dB~130dB，10~30VDC，功率0.4W分辨率0.1dB</w:t>
            </w:r>
            <w:r>
              <w:rPr>
                <w:rFonts w:hint="eastAsia"/>
                <w:color w:val="auto"/>
                <w:sz w:val="21"/>
                <w:szCs w:val="21"/>
                <w:highlight w:val="none"/>
                <w:lang w:val="en-US" w:bidi="ar-SA"/>
              </w:rPr>
              <w:br w:type="textWrapping"/>
            </w:r>
            <w:r>
              <w:rPr>
                <w:rFonts w:hint="eastAsia"/>
                <w:color w:val="auto"/>
                <w:sz w:val="21"/>
                <w:szCs w:val="21"/>
                <w:highlight w:val="none"/>
                <w:lang w:val="en-US" w:bidi="ar-SA"/>
              </w:rPr>
              <w:t>测量范围30dB~130dB</w:t>
            </w:r>
            <w:r>
              <w:rPr>
                <w:rFonts w:hint="eastAsia"/>
                <w:color w:val="auto"/>
                <w:sz w:val="21"/>
                <w:szCs w:val="21"/>
                <w:highlight w:val="none"/>
                <w:lang w:val="en-US" w:bidi="ar-SA"/>
              </w:rPr>
              <w:br w:type="textWrapping"/>
            </w:r>
            <w:r>
              <w:rPr>
                <w:rFonts w:hint="eastAsia"/>
                <w:color w:val="auto"/>
                <w:sz w:val="21"/>
                <w:szCs w:val="21"/>
                <w:highlight w:val="none"/>
                <w:lang w:val="en-US" w:bidi="ar-SA"/>
              </w:rPr>
              <w:t>频率范围20Hz~12.5kHz</w:t>
            </w:r>
            <w:r>
              <w:rPr>
                <w:rFonts w:hint="eastAsia"/>
                <w:color w:val="auto"/>
                <w:sz w:val="21"/>
                <w:szCs w:val="21"/>
                <w:highlight w:val="none"/>
                <w:lang w:val="en-US" w:bidi="ar-SA"/>
              </w:rPr>
              <w:br w:type="textWrapping"/>
            </w:r>
            <w:r>
              <w:rPr>
                <w:rFonts w:hint="eastAsia"/>
                <w:color w:val="auto"/>
                <w:sz w:val="21"/>
                <w:szCs w:val="21"/>
                <w:highlight w:val="none"/>
                <w:lang w:val="en-US" w:bidi="ar-SA"/>
              </w:rPr>
              <w:t>响应时间≤3s</w:t>
            </w:r>
            <w:r>
              <w:rPr>
                <w:rFonts w:hint="eastAsia"/>
                <w:color w:val="auto"/>
                <w:sz w:val="21"/>
                <w:szCs w:val="21"/>
                <w:highlight w:val="none"/>
                <w:lang w:val="en-US" w:bidi="ar-SA"/>
              </w:rPr>
              <w:br w:type="textWrapping"/>
            </w:r>
            <w:r>
              <w:rPr>
                <w:rFonts w:hint="eastAsia"/>
                <w:color w:val="auto"/>
                <w:sz w:val="21"/>
                <w:szCs w:val="21"/>
                <w:highlight w:val="none"/>
                <w:lang w:val="en-US" w:bidi="ar-SA"/>
              </w:rPr>
              <w:t>稳定性使用周期内小于2%</w:t>
            </w:r>
            <w:r>
              <w:rPr>
                <w:rFonts w:hint="eastAsia"/>
                <w:color w:val="auto"/>
                <w:sz w:val="21"/>
                <w:szCs w:val="21"/>
                <w:highlight w:val="none"/>
                <w:lang w:val="en-US" w:bidi="ar-SA"/>
              </w:rPr>
              <w:br w:type="textWrapping"/>
            </w:r>
            <w:r>
              <w:rPr>
                <w:rFonts w:hint="eastAsia"/>
                <w:color w:val="auto"/>
                <w:sz w:val="21"/>
                <w:szCs w:val="21"/>
                <w:highlight w:val="none"/>
                <w:lang w:val="en-US" w:bidi="ar-SA"/>
              </w:rPr>
              <w:t>噪声精度±0.5dB（在参考音准，94dB@1kHz）</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监测主机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4G传输带2路继电器输出，可以外扩语音播报音响</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支持噪音、温湿度、空气质量等多种环境指标监测</w:t>
            </w:r>
            <w:r>
              <w:rPr>
                <w:rFonts w:hint="eastAsia"/>
                <w:color w:val="auto"/>
                <w:sz w:val="21"/>
                <w:szCs w:val="21"/>
                <w:highlight w:val="none"/>
                <w:lang w:val="en-US" w:bidi="ar-SA"/>
              </w:rPr>
              <w:br w:type="textWrapping"/>
            </w:r>
            <w:r>
              <w:rPr>
                <w:rFonts w:hint="eastAsia"/>
                <w:color w:val="auto"/>
                <w:sz w:val="21"/>
                <w:szCs w:val="21"/>
                <w:highlight w:val="none"/>
                <w:lang w:val="en-US" w:bidi="ar-SA"/>
              </w:rPr>
              <w:t>含立杆</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扩声系统设备</w:t>
            </w:r>
            <w:r>
              <w:rPr>
                <w:rFonts w:hint="eastAsia"/>
                <w:color w:val="auto"/>
                <w:sz w:val="21"/>
                <w:szCs w:val="21"/>
                <w:highlight w:val="none"/>
                <w:lang w:val="en-US" w:eastAsia="zh-CN" w:bidi="ar-SA"/>
              </w:rPr>
              <w:t>（</w:t>
            </w:r>
            <w:r>
              <w:rPr>
                <w:rFonts w:hint="eastAsia"/>
                <w:color w:val="auto"/>
                <w:sz w:val="21"/>
                <w:szCs w:val="21"/>
                <w:highlight w:val="none"/>
                <w:lang w:val="en-US" w:bidi="ar-SA"/>
              </w:rPr>
              <w:t>音柱</w:t>
            </w:r>
            <w:r>
              <w:rPr>
                <w:rFonts w:hint="eastAsia"/>
                <w:color w:val="auto"/>
                <w:sz w:val="21"/>
                <w:szCs w:val="21"/>
                <w:highlight w:val="none"/>
                <w:lang w:val="en-US" w:eastAsia="zh-CN" w:bidi="ar-SA"/>
              </w:rPr>
              <w:t>）</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额定功率：30W，输入电源：24V，音频输入灵敏度:0.775V</w:t>
            </w:r>
            <w:r>
              <w:rPr>
                <w:rFonts w:hint="eastAsia"/>
                <w:color w:val="auto"/>
                <w:sz w:val="21"/>
                <w:szCs w:val="21"/>
                <w:highlight w:val="none"/>
                <w:lang w:val="en-US" w:bidi="ar-SA"/>
              </w:rPr>
              <w:br w:type="textWrapping"/>
            </w:r>
            <w:r>
              <w:rPr>
                <w:rFonts w:hint="eastAsia"/>
                <w:color w:val="auto"/>
                <w:sz w:val="21"/>
                <w:szCs w:val="21"/>
                <w:highlight w:val="none"/>
                <w:lang w:val="en-US" w:bidi="ar-SA"/>
              </w:rPr>
              <w:t>频率响应：50HZ-15KHZ（±3dB），尺寸：450*88.1*83.2</w:t>
            </w:r>
          </w:p>
        </w:tc>
        <w:tc>
          <w:tcPr>
            <w:tcW w:w="252" w:type="pct"/>
            <w:shd w:val="clear" w:color="auto" w:fill="FFFFFF"/>
            <w:noWrap w:val="0"/>
            <w:vAlign w:val="center"/>
          </w:tcPr>
          <w:p>
            <w:pPr>
              <w:widowControl/>
              <w:autoSpaceDE/>
              <w:autoSpaceDN/>
              <w:jc w:val="center"/>
              <w:rPr>
                <w:rFonts w:hint="default"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监控摄像头（球机）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200万像素4寸23倍星光轻智能网络高清球机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支持区域入侵侦测，越界侦测，进入区域侦测和离开区域侦测等智能侦测</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支持切换为人脸抓拍模式，最大同时抓拍5张人脸</w:t>
            </w:r>
            <w:r>
              <w:rPr>
                <w:rFonts w:hint="eastAsia"/>
                <w:color w:val="auto"/>
                <w:sz w:val="21"/>
                <w:szCs w:val="21"/>
                <w:highlight w:val="none"/>
                <w:lang w:val="en-US" w:bidi="ar-SA"/>
              </w:rPr>
              <w:br w:type="textWrapping"/>
            </w:r>
            <w:r>
              <w:rPr>
                <w:rFonts w:hint="eastAsia"/>
                <w:color w:val="auto"/>
                <w:sz w:val="21"/>
                <w:szCs w:val="21"/>
                <w:highlight w:val="none"/>
                <w:lang w:val="en-US" w:bidi="ar-SA"/>
              </w:rPr>
              <w:t>采用高效补光阵列，低功耗，红外补光100 m</w:t>
            </w:r>
            <w:r>
              <w:rPr>
                <w:rFonts w:hint="eastAsia"/>
                <w:color w:val="auto"/>
                <w:sz w:val="21"/>
                <w:szCs w:val="21"/>
                <w:highlight w:val="none"/>
                <w:lang w:val="en-US" w:bidi="ar-SA"/>
              </w:rPr>
              <w:br w:type="textWrapping"/>
            </w:r>
            <w:r>
              <w:rPr>
                <w:rFonts w:hint="eastAsia"/>
                <w:color w:val="auto"/>
                <w:sz w:val="21"/>
                <w:szCs w:val="21"/>
                <w:highlight w:val="none"/>
                <w:lang w:val="en-US" w:bidi="ar-SA"/>
              </w:rPr>
              <w:t>传感器类型: 1/2.8＂progressive scan CMOS</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彩色：0.005Lux @（F1.6，AGC ON）；黑白：0.001Lux @（F1.6，AGC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dB超宽动态</w:t>
            </w:r>
            <w:r>
              <w:rPr>
                <w:rFonts w:hint="eastAsia"/>
                <w:color w:val="auto"/>
                <w:sz w:val="21"/>
                <w:szCs w:val="21"/>
                <w:highlight w:val="none"/>
                <w:lang w:val="en-US" w:bidi="ar-SA"/>
              </w:rPr>
              <w:br w:type="textWrapping"/>
            </w:r>
            <w:r>
              <w:rPr>
                <w:rFonts w:hint="eastAsia"/>
                <w:color w:val="auto"/>
                <w:sz w:val="21"/>
                <w:szCs w:val="21"/>
                <w:highlight w:val="none"/>
                <w:lang w:val="en-US" w:bidi="ar-SA"/>
              </w:rPr>
              <w:t>焦距: 4.8 mm~110 mm，23倍光学变倍</w:t>
            </w:r>
            <w:r>
              <w:rPr>
                <w:rFonts w:hint="eastAsia"/>
                <w:color w:val="auto"/>
                <w:sz w:val="21"/>
                <w:szCs w:val="21"/>
                <w:highlight w:val="none"/>
                <w:lang w:val="en-US" w:bidi="ar-SA"/>
              </w:rPr>
              <w:br w:type="textWrapping"/>
            </w:r>
            <w:r>
              <w:rPr>
                <w:rFonts w:hint="eastAsia"/>
                <w:color w:val="auto"/>
                <w:sz w:val="21"/>
                <w:szCs w:val="21"/>
                <w:highlight w:val="none"/>
                <w:lang w:val="en-US" w:bidi="ar-SA"/>
              </w:rPr>
              <w:t>视场角: 57.6°~2.7°（广角~望远）</w:t>
            </w:r>
            <w:r>
              <w:rPr>
                <w:rFonts w:hint="eastAsia"/>
                <w:color w:val="auto"/>
                <w:sz w:val="21"/>
                <w:szCs w:val="21"/>
                <w:highlight w:val="none"/>
                <w:lang w:val="en-US" w:bidi="ar-SA"/>
              </w:rPr>
              <w:br w:type="textWrapping"/>
            </w:r>
            <w:r>
              <w:rPr>
                <w:rFonts w:hint="eastAsia"/>
                <w:color w:val="auto"/>
                <w:sz w:val="21"/>
                <w:szCs w:val="21"/>
                <w:highlight w:val="none"/>
                <w:lang w:val="en-US" w:bidi="ar-SA"/>
              </w:rPr>
              <w:t>水平范围: 360°</w:t>
            </w:r>
            <w:r>
              <w:rPr>
                <w:rFonts w:hint="eastAsia"/>
                <w:color w:val="auto"/>
                <w:sz w:val="21"/>
                <w:szCs w:val="21"/>
                <w:highlight w:val="none"/>
                <w:lang w:val="en-US" w:bidi="ar-SA"/>
              </w:rPr>
              <w:br w:type="textWrapping"/>
            </w:r>
            <w:r>
              <w:rPr>
                <w:rFonts w:hint="eastAsia"/>
                <w:color w:val="auto"/>
                <w:sz w:val="21"/>
                <w:szCs w:val="21"/>
                <w:highlight w:val="none"/>
                <w:lang w:val="en-US" w:bidi="ar-SA"/>
              </w:rPr>
              <w:t>垂直范围: -15°~90°（自动翻转）</w:t>
            </w:r>
            <w:r>
              <w:rPr>
                <w:rFonts w:hint="eastAsia"/>
                <w:color w:val="auto"/>
                <w:sz w:val="21"/>
                <w:szCs w:val="21"/>
                <w:highlight w:val="none"/>
                <w:lang w:val="en-US" w:bidi="ar-SA"/>
              </w:rPr>
              <w:br w:type="textWrapping"/>
            </w:r>
            <w:r>
              <w:rPr>
                <w:rFonts w:hint="eastAsia"/>
                <w:color w:val="auto"/>
                <w:sz w:val="21"/>
                <w:szCs w:val="21"/>
                <w:highlight w:val="none"/>
                <w:lang w:val="en-US" w:bidi="ar-SA"/>
              </w:rPr>
              <w:t>水平速度: 水平键控速度：0.1°~80°/s，速度可设；水平预置点速度：80°/s</w:t>
            </w:r>
            <w:r>
              <w:rPr>
                <w:rFonts w:hint="eastAsia"/>
                <w:color w:val="auto"/>
                <w:sz w:val="21"/>
                <w:szCs w:val="21"/>
                <w:highlight w:val="none"/>
                <w:lang w:val="en-US" w:bidi="ar-SA"/>
              </w:rPr>
              <w:br w:type="textWrapping"/>
            </w:r>
            <w:r>
              <w:rPr>
                <w:rFonts w:hint="eastAsia"/>
                <w:color w:val="auto"/>
                <w:sz w:val="21"/>
                <w:szCs w:val="21"/>
                <w:highlight w:val="none"/>
                <w:lang w:val="en-US" w:bidi="ar-SA"/>
              </w:rPr>
              <w:t>垂直速度: 垂直键控速度：0.1°~80°/s，速度可设；垂直预置点速度：80°/s</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主码流帧率分辨率: 50 Hz：25 fps（1920 × 1080）；60 Hz：30 fps（1920 × 1080） </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H.265，H.264，MJPEG</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NAS（NFS，SMB/CIFS），ANR</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支持萤石接入                                                      </w:t>
            </w:r>
          </w:p>
          <w:p>
            <w:pPr>
              <w:widowControl/>
              <w:autoSpaceDE/>
              <w:autoSpaceDN/>
              <w:rPr>
                <w:color w:val="auto"/>
                <w:sz w:val="21"/>
                <w:szCs w:val="21"/>
                <w:highlight w:val="none"/>
                <w:lang w:val="en-US" w:bidi="ar-SA"/>
              </w:rPr>
            </w:pPr>
            <w:r>
              <w:rPr>
                <w:rFonts w:hint="eastAsia"/>
                <w:color w:val="auto"/>
                <w:sz w:val="21"/>
                <w:szCs w:val="21"/>
                <w:highlight w:val="none"/>
                <w:lang w:val="en-US" w:bidi="ar-SA"/>
              </w:rPr>
              <w:t>★设备支持人脸抓拍功能，可对经过设定区域的行人进行人脸检测和人脸跟踪，当检测到人脸后，可抓拍人脸图片。（</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p>
            <w:pPr>
              <w:widowControl/>
              <w:autoSpaceDE/>
              <w:autoSpaceDN/>
              <w:rPr>
                <w:color w:val="auto"/>
                <w:sz w:val="21"/>
                <w:szCs w:val="21"/>
                <w:highlight w:val="none"/>
                <w:lang w:val="en-US" w:bidi="ar-SA"/>
              </w:rPr>
            </w:pPr>
            <w:r>
              <w:rPr>
                <w:rFonts w:hint="eastAsia"/>
                <w:color w:val="auto"/>
                <w:sz w:val="21"/>
                <w:szCs w:val="21"/>
                <w:highlight w:val="none"/>
                <w:lang w:val="en-US" w:bidi="ar-SA"/>
              </w:rPr>
              <w:t>★当通过IE浏览器手动点击或框选预览画面中的人脸时，设备能通过PTZ转动将人脸置于画面中心，并对人脸进行抓拍。（</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★可通过IE浏览器设置4个场景进行人脸抓拍，可设置每个场景的布防时间。（</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网络接口: RJ45网口，自适应10 M/100 M网络数据，支持PoE（802.3at）供电</w:t>
            </w:r>
            <w:r>
              <w:rPr>
                <w:rFonts w:hint="eastAsia"/>
                <w:color w:val="auto"/>
                <w:sz w:val="21"/>
                <w:szCs w:val="21"/>
                <w:highlight w:val="none"/>
                <w:lang w:val="en-US" w:bidi="ar-SA"/>
              </w:rPr>
              <w:br w:type="textWrapping"/>
            </w:r>
            <w:r>
              <w:rPr>
                <w:rFonts w:hint="eastAsia"/>
                <w:color w:val="auto"/>
                <w:sz w:val="21"/>
                <w:szCs w:val="21"/>
                <w:highlight w:val="none"/>
                <w:lang w:val="en-US" w:bidi="ar-SA"/>
              </w:rPr>
              <w:t>SD卡扩展: 支持Micro SD(即TF卡)/Micro SDHC/Micro SDXC卡，最大支持256GB</w:t>
            </w:r>
            <w:r>
              <w:rPr>
                <w:rFonts w:hint="eastAsia"/>
                <w:color w:val="auto"/>
                <w:sz w:val="21"/>
                <w:szCs w:val="21"/>
                <w:highlight w:val="none"/>
                <w:lang w:val="en-US" w:bidi="ar-SA"/>
              </w:rPr>
              <w:br w:type="textWrapping"/>
            </w:r>
            <w:r>
              <w:rPr>
                <w:rFonts w:hint="eastAsia"/>
                <w:color w:val="auto"/>
                <w:sz w:val="21"/>
                <w:szCs w:val="21"/>
                <w:highlight w:val="none"/>
                <w:lang w:val="en-US" w:bidi="ar-SA"/>
              </w:rPr>
              <w:t>报警输入: 1路报警输入</w:t>
            </w:r>
            <w:r>
              <w:rPr>
                <w:rFonts w:hint="eastAsia"/>
                <w:color w:val="auto"/>
                <w:sz w:val="21"/>
                <w:szCs w:val="21"/>
                <w:highlight w:val="none"/>
                <w:lang w:val="en-US" w:bidi="ar-SA"/>
              </w:rPr>
              <w:br w:type="textWrapping"/>
            </w:r>
            <w:r>
              <w:rPr>
                <w:rFonts w:hint="eastAsia"/>
                <w:color w:val="auto"/>
                <w:sz w:val="21"/>
                <w:szCs w:val="21"/>
                <w:highlight w:val="none"/>
                <w:lang w:val="en-US" w:bidi="ar-SA"/>
              </w:rPr>
              <w:t>报警输出: 1路报警输出</w:t>
            </w:r>
            <w:r>
              <w:rPr>
                <w:rFonts w:hint="eastAsia"/>
                <w:color w:val="auto"/>
                <w:sz w:val="21"/>
                <w:szCs w:val="21"/>
                <w:highlight w:val="none"/>
                <w:lang w:val="en-US" w:bidi="ar-SA"/>
              </w:rPr>
              <w:br w:type="textWrapping"/>
            </w:r>
            <w:r>
              <w:rPr>
                <w:rFonts w:hint="eastAsia"/>
                <w:color w:val="auto"/>
                <w:sz w:val="21"/>
                <w:szCs w:val="21"/>
                <w:highlight w:val="none"/>
                <w:lang w:val="en-US" w:bidi="ar-SA"/>
              </w:rPr>
              <w:t>音频输入: 1路音频输入</w:t>
            </w:r>
            <w:r>
              <w:rPr>
                <w:rFonts w:hint="eastAsia"/>
                <w:color w:val="auto"/>
                <w:sz w:val="21"/>
                <w:szCs w:val="21"/>
                <w:highlight w:val="none"/>
                <w:lang w:val="en-US" w:bidi="ar-SA"/>
              </w:rPr>
              <w:br w:type="textWrapping"/>
            </w:r>
            <w:r>
              <w:rPr>
                <w:rFonts w:hint="eastAsia"/>
                <w:color w:val="auto"/>
                <w:sz w:val="21"/>
                <w:szCs w:val="21"/>
                <w:highlight w:val="none"/>
                <w:lang w:val="en-US" w:bidi="ar-SA"/>
              </w:rPr>
              <w:t>音频输出: 1路音频输出</w:t>
            </w:r>
            <w:r>
              <w:rPr>
                <w:rFonts w:hint="eastAsia"/>
                <w:color w:val="auto"/>
                <w:sz w:val="21"/>
                <w:szCs w:val="21"/>
                <w:highlight w:val="none"/>
                <w:lang w:val="en-US" w:bidi="ar-SA"/>
              </w:rPr>
              <w:br w:type="textWrapping"/>
            </w:r>
            <w:r>
              <w:rPr>
                <w:rFonts w:hint="eastAsia"/>
                <w:color w:val="auto"/>
                <w:sz w:val="21"/>
                <w:szCs w:val="21"/>
                <w:highlight w:val="none"/>
                <w:lang w:val="en-US" w:bidi="ar-SA"/>
              </w:rPr>
              <w:t>红外照射距离: 100 m</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V，PoE+</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甩线</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最大功耗：24 W（其中补光灯9 W）</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工作温湿度: -30 ℃~65 ℃，湿度小于90%</w:t>
            </w:r>
            <w:r>
              <w:rPr>
                <w:rFonts w:hint="eastAsia"/>
                <w:color w:val="auto"/>
                <w:sz w:val="21"/>
                <w:szCs w:val="21"/>
                <w:highlight w:val="none"/>
                <w:lang w:val="en-US" w:bidi="ar-SA"/>
              </w:rPr>
              <w:br w:type="textWrapping"/>
            </w:r>
            <w:r>
              <w:rPr>
                <w:rFonts w:hint="eastAsia"/>
                <w:color w:val="auto"/>
                <w:sz w:val="21"/>
                <w:szCs w:val="21"/>
                <w:highlight w:val="none"/>
                <w:lang w:val="en-US" w:bidi="ar-SA"/>
              </w:rPr>
              <w:t>恢复出厂设置: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吊装支架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适合枪型、筒型、一体型摄像机吊装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DC12V/2A</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特殊人员关怀</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智能手表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主芯片：MT2625</w:t>
            </w:r>
            <w:r>
              <w:rPr>
                <w:rFonts w:hint="eastAsia"/>
                <w:color w:val="auto"/>
                <w:sz w:val="21"/>
                <w:szCs w:val="21"/>
                <w:highlight w:val="none"/>
                <w:lang w:val="en-US" w:bidi="ar-SA"/>
              </w:rPr>
              <w:br w:type="textWrapping"/>
            </w:r>
            <w:r>
              <w:rPr>
                <w:rFonts w:hint="eastAsia"/>
                <w:color w:val="auto"/>
                <w:sz w:val="21"/>
                <w:szCs w:val="21"/>
                <w:highlight w:val="none"/>
                <w:lang w:val="en-US" w:bidi="ar-SA"/>
              </w:rPr>
              <w:t>分辨率：240X240</w:t>
            </w:r>
            <w:r>
              <w:rPr>
                <w:rFonts w:hint="eastAsia"/>
                <w:color w:val="auto"/>
                <w:sz w:val="21"/>
                <w:szCs w:val="21"/>
                <w:highlight w:val="none"/>
                <w:lang w:val="en-US" w:bidi="ar-SA"/>
              </w:rPr>
              <w:br w:type="textWrapping"/>
            </w:r>
            <w:r>
              <w:rPr>
                <w:rFonts w:hint="eastAsia"/>
                <w:color w:val="auto"/>
                <w:sz w:val="21"/>
                <w:szCs w:val="21"/>
                <w:highlight w:val="none"/>
                <w:lang w:val="en-US" w:bidi="ar-SA"/>
              </w:rPr>
              <w:t>网络类型：NB-IoT</w:t>
            </w:r>
            <w:r>
              <w:rPr>
                <w:rFonts w:hint="eastAsia"/>
                <w:color w:val="auto"/>
                <w:sz w:val="21"/>
                <w:szCs w:val="21"/>
                <w:highlight w:val="none"/>
                <w:lang w:val="en-US" w:bidi="ar-SA"/>
              </w:rPr>
              <w:br w:type="textWrapping"/>
            </w:r>
            <w:r>
              <w:rPr>
                <w:rFonts w:hint="eastAsia"/>
                <w:color w:val="auto"/>
                <w:sz w:val="21"/>
                <w:szCs w:val="21"/>
                <w:highlight w:val="none"/>
                <w:lang w:val="en-US" w:bidi="ar-SA"/>
              </w:rPr>
              <w:t>定位：GPS+北斗+Wifi</w:t>
            </w:r>
            <w:r>
              <w:rPr>
                <w:rFonts w:hint="eastAsia"/>
                <w:color w:val="auto"/>
                <w:sz w:val="21"/>
                <w:szCs w:val="21"/>
                <w:highlight w:val="none"/>
                <w:lang w:val="en-US" w:bidi="ar-SA"/>
              </w:rPr>
              <w:br w:type="textWrapping"/>
            </w:r>
            <w:r>
              <w:rPr>
                <w:rFonts w:hint="eastAsia"/>
                <w:color w:val="auto"/>
                <w:sz w:val="21"/>
                <w:szCs w:val="21"/>
                <w:highlight w:val="none"/>
                <w:lang w:val="en-US" w:bidi="ar-SA"/>
              </w:rPr>
              <w:t>充电池：180mAh聚合物电：USB数据传输+底座顶针充电</w:t>
            </w:r>
            <w:r>
              <w:rPr>
                <w:rFonts w:hint="eastAsia"/>
                <w:color w:val="auto"/>
                <w:sz w:val="21"/>
                <w:szCs w:val="21"/>
                <w:highlight w:val="none"/>
                <w:lang w:val="en-US" w:bidi="ar-SA"/>
              </w:rPr>
              <w:br w:type="textWrapping"/>
            </w:r>
            <w:r>
              <w:rPr>
                <w:rFonts w:hint="eastAsia"/>
                <w:color w:val="auto"/>
                <w:sz w:val="21"/>
                <w:szCs w:val="21"/>
                <w:highlight w:val="none"/>
                <w:lang w:val="en-US" w:bidi="ar-SA"/>
              </w:rPr>
              <w:t>芯片主频：78MHz</w:t>
            </w:r>
            <w:r>
              <w:rPr>
                <w:rFonts w:hint="eastAsia"/>
                <w:color w:val="auto"/>
                <w:sz w:val="21"/>
                <w:szCs w:val="21"/>
                <w:highlight w:val="none"/>
                <w:lang w:val="en-US" w:bidi="ar-SA"/>
              </w:rPr>
              <w:br w:type="textWrapping"/>
            </w:r>
            <w:r>
              <w:rPr>
                <w:rFonts w:hint="eastAsia"/>
                <w:color w:val="auto"/>
                <w:sz w:val="21"/>
                <w:szCs w:val="21"/>
                <w:highlight w:val="none"/>
                <w:lang w:val="en-US" w:bidi="ar-SA"/>
              </w:rPr>
              <w:t>显示尺寸：1.2英寸操作系统：QJK（深度定制）</w:t>
            </w:r>
            <w:r>
              <w:rPr>
                <w:rFonts w:hint="eastAsia"/>
                <w:color w:val="auto"/>
                <w:sz w:val="21"/>
                <w:szCs w:val="21"/>
                <w:highlight w:val="none"/>
                <w:lang w:val="en-US" w:bidi="ar-SA"/>
              </w:rPr>
              <w:br w:type="textWrapping"/>
            </w:r>
            <w:r>
              <w:rPr>
                <w:rFonts w:hint="eastAsia"/>
                <w:color w:val="auto"/>
                <w:sz w:val="21"/>
                <w:szCs w:val="21"/>
                <w:highlight w:val="none"/>
                <w:lang w:val="en-US" w:bidi="ar-SA"/>
              </w:rPr>
              <w:t>振动：马达</w:t>
            </w:r>
            <w:r>
              <w:rPr>
                <w:rFonts w:hint="eastAsia"/>
                <w:color w:val="auto"/>
                <w:sz w:val="21"/>
                <w:szCs w:val="21"/>
                <w:highlight w:val="none"/>
                <w:lang w:val="en-US" w:bidi="ar-SA"/>
              </w:rPr>
              <w:br w:type="textWrapping"/>
            </w:r>
            <w:r>
              <w:rPr>
                <w:rFonts w:hint="eastAsia"/>
                <w:color w:val="auto"/>
                <w:sz w:val="21"/>
                <w:szCs w:val="21"/>
                <w:highlight w:val="none"/>
                <w:lang w:val="en-US" w:bidi="ar-SA"/>
              </w:rPr>
              <w:t>传感器：重力加速器、心率感应</w:t>
            </w:r>
            <w:r>
              <w:rPr>
                <w:rFonts w:hint="eastAsia"/>
                <w:color w:val="auto"/>
                <w:sz w:val="21"/>
                <w:szCs w:val="21"/>
                <w:highlight w:val="none"/>
                <w:lang w:val="en-US" w:bidi="ar-SA"/>
              </w:rPr>
              <w:br w:type="textWrapping"/>
            </w:r>
            <w:r>
              <w:rPr>
                <w:rFonts w:hint="eastAsia"/>
                <w:color w:val="auto"/>
                <w:sz w:val="21"/>
                <w:szCs w:val="21"/>
                <w:highlight w:val="none"/>
                <w:lang w:val="en-US" w:bidi="ar-SA"/>
              </w:rPr>
              <w:t>待机时长：最少2~3天</w:t>
            </w:r>
            <w:r>
              <w:rPr>
                <w:rFonts w:hint="eastAsia"/>
                <w:color w:val="auto"/>
                <w:sz w:val="21"/>
                <w:szCs w:val="21"/>
                <w:highlight w:val="none"/>
                <w:lang w:val="en-US" w:bidi="ar-SA"/>
              </w:rPr>
              <w:br w:type="textWrapping"/>
            </w:r>
            <w:r>
              <w:rPr>
                <w:rFonts w:hint="eastAsia"/>
                <w:color w:val="auto"/>
                <w:sz w:val="21"/>
                <w:szCs w:val="21"/>
                <w:highlight w:val="none"/>
                <w:lang w:val="en-US" w:bidi="ar-SA"/>
              </w:rPr>
              <w:t>物理按键：开关机键、SOS紧急求救键</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SOS紧急报警</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探测类型：NB-IoT智能紧急求救报警器</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工作电流：静态＜10µA，报警电流：＜200mA</w:t>
            </w:r>
            <w:r>
              <w:rPr>
                <w:rFonts w:hint="eastAsia"/>
                <w:color w:val="auto"/>
                <w:sz w:val="21"/>
                <w:szCs w:val="21"/>
                <w:highlight w:val="none"/>
                <w:lang w:val="en-US" w:bidi="ar-SA"/>
              </w:rPr>
              <w:br w:type="textWrapping"/>
            </w:r>
            <w:r>
              <w:rPr>
                <w:rFonts w:hint="eastAsia"/>
                <w:color w:val="auto"/>
                <w:sz w:val="21"/>
                <w:szCs w:val="21"/>
                <w:highlight w:val="none"/>
                <w:lang w:val="en-US" w:bidi="ar-SA"/>
              </w:rPr>
              <w:t>报警方式：按钮或者拉绳</w:t>
            </w:r>
            <w:r>
              <w:rPr>
                <w:rFonts w:hint="eastAsia"/>
                <w:color w:val="auto"/>
                <w:sz w:val="21"/>
                <w:szCs w:val="21"/>
                <w:highlight w:val="none"/>
                <w:lang w:val="en-US" w:bidi="ar-SA"/>
              </w:rPr>
              <w:br w:type="textWrapping"/>
            </w:r>
            <w:r>
              <w:rPr>
                <w:rFonts w:hint="eastAsia"/>
                <w:color w:val="auto"/>
                <w:sz w:val="21"/>
                <w:szCs w:val="21"/>
                <w:highlight w:val="none"/>
                <w:lang w:val="en-US" w:bidi="ar-SA"/>
              </w:rPr>
              <w:t>无线传输方式：NB-IoT（全网通）</w:t>
            </w:r>
            <w:r>
              <w:rPr>
                <w:rFonts w:hint="eastAsia"/>
                <w:color w:val="auto"/>
                <w:sz w:val="21"/>
                <w:szCs w:val="21"/>
                <w:highlight w:val="none"/>
                <w:lang w:val="en-US" w:bidi="ar-SA"/>
              </w:rPr>
              <w:br w:type="textWrapping"/>
            </w:r>
            <w:r>
              <w:rPr>
                <w:rFonts w:hint="eastAsia"/>
                <w:color w:val="auto"/>
                <w:sz w:val="21"/>
                <w:szCs w:val="21"/>
                <w:highlight w:val="none"/>
                <w:lang w:val="en-US" w:bidi="ar-SA"/>
              </w:rPr>
              <w:t>信号灵敏度：-128dBm</w:t>
            </w:r>
            <w:r>
              <w:rPr>
                <w:rFonts w:hint="eastAsia"/>
                <w:color w:val="auto"/>
                <w:sz w:val="21"/>
                <w:szCs w:val="21"/>
                <w:highlight w:val="none"/>
                <w:lang w:val="en-US" w:bidi="ar-SA"/>
              </w:rPr>
              <w:br w:type="textWrapping"/>
            </w:r>
            <w:r>
              <w:rPr>
                <w:rFonts w:hint="eastAsia"/>
                <w:color w:val="auto"/>
                <w:sz w:val="21"/>
                <w:szCs w:val="21"/>
                <w:highlight w:val="none"/>
                <w:lang w:val="en-US" w:bidi="ar-SA"/>
              </w:rPr>
              <w:t>发射功率：23dBm±2dB</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支持周期上报，间隔小于24小时</w:t>
            </w:r>
            <w:r>
              <w:rPr>
                <w:rFonts w:hint="eastAsia"/>
                <w:color w:val="auto"/>
                <w:sz w:val="21"/>
                <w:szCs w:val="21"/>
                <w:highlight w:val="none"/>
                <w:lang w:val="en-US" w:bidi="ar-SA"/>
              </w:rPr>
              <w:br w:type="textWrapping"/>
            </w:r>
            <w:r>
              <w:rPr>
                <w:rFonts w:hint="eastAsia"/>
                <w:color w:val="auto"/>
                <w:sz w:val="21"/>
                <w:szCs w:val="21"/>
                <w:highlight w:val="none"/>
                <w:lang w:val="en-US" w:bidi="ar-SA"/>
              </w:rPr>
              <w:t>支持低电压/故障数据上报</w:t>
            </w:r>
            <w:r>
              <w:rPr>
                <w:rFonts w:hint="eastAsia"/>
                <w:color w:val="auto"/>
                <w:sz w:val="21"/>
                <w:szCs w:val="21"/>
                <w:highlight w:val="none"/>
                <w:lang w:val="en-US" w:bidi="ar-SA"/>
              </w:rPr>
              <w:br w:type="textWrapping"/>
            </w:r>
            <w:r>
              <w:rPr>
                <w:rFonts w:hint="eastAsia"/>
                <w:color w:val="auto"/>
                <w:sz w:val="21"/>
                <w:szCs w:val="21"/>
                <w:highlight w:val="none"/>
                <w:lang w:val="en-US" w:bidi="ar-SA"/>
              </w:rPr>
              <w:t>TCP/COAP协议</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支持直连对接/电信IoT平台/电信AEP平台/移动OneNet平台</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支持电池低电量告警</w:t>
            </w:r>
            <w:r>
              <w:rPr>
                <w:rFonts w:hint="eastAsia"/>
                <w:color w:val="auto"/>
                <w:sz w:val="21"/>
                <w:szCs w:val="21"/>
                <w:highlight w:val="none"/>
                <w:lang w:val="en-US" w:bidi="ar-SA"/>
              </w:rPr>
              <w:br w:type="textWrapping"/>
            </w:r>
            <w:r>
              <w:rPr>
                <w:rFonts w:hint="eastAsia"/>
                <w:color w:val="auto"/>
                <w:sz w:val="21"/>
                <w:szCs w:val="21"/>
                <w:highlight w:val="none"/>
                <w:lang w:val="en-US" w:bidi="ar-SA"/>
              </w:rPr>
              <w:t>电池容量：3.0V锂锰电池1400mAh</w:t>
            </w:r>
            <w:r>
              <w:rPr>
                <w:rFonts w:hint="eastAsia"/>
                <w:color w:val="auto"/>
                <w:sz w:val="21"/>
                <w:szCs w:val="21"/>
                <w:highlight w:val="none"/>
                <w:lang w:val="en-US" w:bidi="ar-SA"/>
              </w:rPr>
              <w:br w:type="textWrapping"/>
            </w:r>
            <w:r>
              <w:rPr>
                <w:rFonts w:hint="eastAsia"/>
                <w:color w:val="auto"/>
                <w:sz w:val="21"/>
                <w:szCs w:val="21"/>
                <w:highlight w:val="none"/>
                <w:lang w:val="en-US" w:bidi="ar-SA"/>
              </w:rPr>
              <w:t>使用时间：3年</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使用环境:温度：-10℃-50℃；相对湿度：≤95%</w:t>
            </w:r>
            <w:r>
              <w:rPr>
                <w:rFonts w:hint="eastAsia"/>
                <w:color w:val="auto"/>
                <w:sz w:val="21"/>
                <w:szCs w:val="21"/>
                <w:highlight w:val="none"/>
                <w:lang w:val="en-US" w:bidi="ar-SA"/>
              </w:rPr>
              <w:br w:type="textWrapping"/>
            </w:r>
            <w:r>
              <w:rPr>
                <w:rFonts w:hint="eastAsia"/>
                <w:color w:val="auto"/>
                <w:sz w:val="21"/>
                <w:szCs w:val="21"/>
                <w:highlight w:val="none"/>
                <w:lang w:val="en-US" w:bidi="ar-SA"/>
              </w:rPr>
              <w:t>微信小程序推送通知。</w:t>
            </w:r>
            <w:r>
              <w:rPr>
                <w:rFonts w:hint="eastAsia"/>
                <w:color w:val="auto"/>
                <w:sz w:val="21"/>
                <w:szCs w:val="21"/>
                <w:highlight w:val="none"/>
                <w:lang w:val="en-US" w:bidi="ar-SA"/>
              </w:rPr>
              <w:br w:type="textWrapping"/>
            </w:r>
            <w:r>
              <w:rPr>
                <w:rFonts w:hint="eastAsia"/>
                <w:color w:val="auto"/>
                <w:sz w:val="21"/>
                <w:szCs w:val="21"/>
                <w:highlight w:val="none"/>
                <w:lang w:val="en-US" w:bidi="ar-SA"/>
              </w:rPr>
              <w:t>语音电话通知</w:t>
            </w:r>
            <w:r>
              <w:rPr>
                <w:rFonts w:hint="eastAsia"/>
                <w:color w:val="auto"/>
                <w:sz w:val="21"/>
                <w:szCs w:val="21"/>
                <w:highlight w:val="none"/>
                <w:lang w:val="en-US" w:bidi="ar-SA"/>
              </w:rPr>
              <w:br w:type="textWrapping"/>
            </w:r>
            <w:r>
              <w:rPr>
                <w:rFonts w:hint="eastAsia"/>
                <w:color w:val="auto"/>
                <w:sz w:val="21"/>
                <w:szCs w:val="21"/>
                <w:highlight w:val="none"/>
                <w:lang w:val="en-US" w:bidi="ar-SA"/>
              </w:rPr>
              <w:t>短信通知</w:t>
            </w:r>
            <w:r>
              <w:rPr>
                <w:rFonts w:hint="eastAsia"/>
                <w:color w:val="auto"/>
                <w:sz w:val="21"/>
                <w:szCs w:val="21"/>
                <w:highlight w:val="none"/>
                <w:lang w:val="en-US" w:bidi="ar-SA"/>
              </w:rPr>
              <w:br w:type="textWrapping"/>
            </w:r>
            <w:r>
              <w:rPr>
                <w:rFonts w:hint="eastAsia"/>
                <w:color w:val="auto"/>
                <w:sz w:val="21"/>
                <w:szCs w:val="21"/>
                <w:highlight w:val="none"/>
                <w:lang w:val="en-US" w:bidi="ar-SA"/>
              </w:rPr>
              <w:t>管理平台通知</w:t>
            </w:r>
            <w:r>
              <w:rPr>
                <w:rFonts w:hint="eastAsia"/>
                <w:color w:val="auto"/>
                <w:sz w:val="21"/>
                <w:szCs w:val="21"/>
                <w:highlight w:val="none"/>
                <w:lang w:val="en-US" w:bidi="ar-SA"/>
              </w:rPr>
              <w:br w:type="textWrapping"/>
            </w:r>
            <w:r>
              <w:rPr>
                <w:rFonts w:hint="eastAsia"/>
                <w:color w:val="auto"/>
                <w:sz w:val="21"/>
                <w:szCs w:val="21"/>
                <w:highlight w:val="none"/>
                <w:lang w:val="en-US" w:bidi="ar-SA"/>
              </w:rPr>
              <w:t>发生报警时间</w:t>
            </w:r>
            <w:r>
              <w:rPr>
                <w:rFonts w:hint="eastAsia"/>
                <w:color w:val="auto"/>
                <w:sz w:val="21"/>
                <w:szCs w:val="21"/>
                <w:highlight w:val="none"/>
                <w:lang w:val="en-US" w:bidi="ar-SA"/>
              </w:rPr>
              <w:br w:type="textWrapping"/>
            </w:r>
            <w:r>
              <w:rPr>
                <w:rFonts w:hint="eastAsia"/>
                <w:color w:val="auto"/>
                <w:sz w:val="21"/>
                <w:szCs w:val="21"/>
                <w:highlight w:val="none"/>
                <w:lang w:val="en-US" w:bidi="ar-SA"/>
              </w:rPr>
              <w:t>发生报警地址</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报警地图定位</w:t>
            </w:r>
            <w:r>
              <w:rPr>
                <w:rFonts w:hint="eastAsia"/>
                <w:color w:val="auto"/>
                <w:sz w:val="21"/>
                <w:szCs w:val="21"/>
                <w:highlight w:val="none"/>
                <w:lang w:val="en-US" w:bidi="ar-SA"/>
              </w:rPr>
              <w:br w:type="textWrapping"/>
            </w:r>
            <w:r>
              <w:rPr>
                <w:rFonts w:hint="eastAsia"/>
                <w:color w:val="auto"/>
                <w:sz w:val="21"/>
                <w:szCs w:val="21"/>
                <w:highlight w:val="none"/>
                <w:lang w:val="en-US" w:bidi="ar-SA"/>
              </w:rPr>
              <w:t>离线报警</w:t>
            </w:r>
            <w:r>
              <w:rPr>
                <w:rFonts w:hint="eastAsia"/>
                <w:color w:val="auto"/>
                <w:sz w:val="21"/>
                <w:szCs w:val="21"/>
                <w:highlight w:val="none"/>
                <w:lang w:val="en-US" w:bidi="ar-SA"/>
              </w:rPr>
              <w:br w:type="textWrapping"/>
            </w:r>
            <w:r>
              <w:rPr>
                <w:rFonts w:hint="eastAsia"/>
                <w:color w:val="auto"/>
                <w:sz w:val="21"/>
                <w:szCs w:val="21"/>
                <w:highlight w:val="none"/>
                <w:lang w:val="en-US" w:bidi="ar-SA"/>
              </w:rPr>
              <w:t>电池低压报警</w:t>
            </w:r>
            <w:r>
              <w:rPr>
                <w:rFonts w:hint="eastAsia"/>
                <w:color w:val="auto"/>
                <w:sz w:val="21"/>
                <w:szCs w:val="21"/>
                <w:highlight w:val="none"/>
                <w:lang w:val="en-US" w:bidi="ar-SA"/>
              </w:rPr>
              <w:br w:type="textWrapping"/>
            </w:r>
            <w:r>
              <w:rPr>
                <w:rFonts w:hint="eastAsia"/>
                <w:color w:val="auto"/>
                <w:sz w:val="21"/>
                <w:szCs w:val="21"/>
                <w:highlight w:val="none"/>
                <w:lang w:val="en-US" w:bidi="ar-SA"/>
              </w:rPr>
              <w:t>紧急求救报警</w:t>
            </w:r>
            <w:r>
              <w:rPr>
                <w:rFonts w:hint="eastAsia"/>
                <w:color w:val="auto"/>
                <w:sz w:val="21"/>
                <w:szCs w:val="21"/>
                <w:highlight w:val="none"/>
                <w:lang w:val="en-US" w:bidi="ar-SA"/>
              </w:rPr>
              <w:br w:type="textWrapping"/>
            </w:r>
            <w:r>
              <w:rPr>
                <w:rFonts w:hint="eastAsia"/>
                <w:color w:val="auto"/>
                <w:sz w:val="21"/>
                <w:szCs w:val="21"/>
                <w:highlight w:val="none"/>
                <w:lang w:val="en-US" w:bidi="ar-SA"/>
              </w:rPr>
              <w:t>网络信号低预警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安全监测装置</w:t>
            </w:r>
            <w:r>
              <w:rPr>
                <w:rFonts w:hint="eastAsia"/>
                <w:color w:val="auto"/>
                <w:sz w:val="21"/>
                <w:szCs w:val="21"/>
                <w:highlight w:val="none"/>
                <w:lang w:val="en-US" w:eastAsia="zh-CN" w:bidi="ar-SA"/>
              </w:rPr>
              <w:t>（</w:t>
            </w:r>
            <w:r>
              <w:rPr>
                <w:rFonts w:hint="eastAsia"/>
                <w:color w:val="auto"/>
                <w:sz w:val="21"/>
                <w:szCs w:val="21"/>
                <w:highlight w:val="none"/>
                <w:lang w:val="en-US" w:bidi="ar-SA"/>
              </w:rPr>
              <w:t>燃气报警器</w:t>
            </w:r>
            <w:r>
              <w:rPr>
                <w:rFonts w:hint="eastAsia"/>
                <w:color w:val="auto"/>
                <w:sz w:val="21"/>
                <w:szCs w:val="21"/>
                <w:highlight w:val="none"/>
                <w:lang w:val="en-US" w:eastAsia="zh-CN" w:bidi="ar-SA"/>
              </w:rPr>
              <w:t>）</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传感器类型 催化燃烧型</w:t>
            </w:r>
            <w:r>
              <w:rPr>
                <w:rFonts w:hint="eastAsia"/>
                <w:color w:val="auto"/>
                <w:sz w:val="21"/>
                <w:szCs w:val="21"/>
                <w:highlight w:val="none"/>
                <w:lang w:val="en-US" w:bidi="ar-SA"/>
              </w:rPr>
              <w:br w:type="textWrapping"/>
            </w:r>
            <w:r>
              <w:rPr>
                <w:rFonts w:hint="eastAsia"/>
                <w:color w:val="auto"/>
                <w:sz w:val="21"/>
                <w:szCs w:val="21"/>
                <w:highlight w:val="none"/>
                <w:lang w:val="en-US" w:bidi="ar-SA"/>
              </w:rPr>
              <w:t>执行标准 GB15322.2-2019，CCCF-CPRZ-14:2018</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 AC220V 市电</w:t>
            </w:r>
            <w:r>
              <w:rPr>
                <w:rFonts w:hint="eastAsia"/>
                <w:color w:val="auto"/>
                <w:sz w:val="21"/>
                <w:szCs w:val="21"/>
                <w:highlight w:val="none"/>
                <w:lang w:val="en-US" w:bidi="ar-SA"/>
              </w:rPr>
              <w:br w:type="textWrapping"/>
            </w:r>
            <w:r>
              <w:rPr>
                <w:rFonts w:hint="eastAsia"/>
                <w:color w:val="auto"/>
                <w:sz w:val="21"/>
                <w:szCs w:val="21"/>
                <w:highlight w:val="none"/>
                <w:lang w:val="en-US" w:bidi="ar-SA"/>
              </w:rPr>
              <w:t>蜂鸣器 压电式</w:t>
            </w:r>
            <w:r>
              <w:rPr>
                <w:rFonts w:hint="eastAsia"/>
                <w:color w:val="auto"/>
                <w:sz w:val="21"/>
                <w:szCs w:val="21"/>
                <w:highlight w:val="none"/>
                <w:lang w:val="en-US" w:bidi="ar-SA"/>
              </w:rPr>
              <w:br w:type="textWrapping"/>
            </w:r>
            <w:r>
              <w:rPr>
                <w:rFonts w:hint="eastAsia"/>
                <w:color w:val="auto"/>
                <w:sz w:val="21"/>
                <w:szCs w:val="21"/>
                <w:highlight w:val="none"/>
                <w:lang w:val="en-US" w:bidi="ar-SA"/>
              </w:rPr>
              <w:t>传感器寿命 5 年</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报警动作值 10%LEL</w:t>
            </w:r>
            <w:r>
              <w:rPr>
                <w:rFonts w:hint="eastAsia"/>
                <w:color w:val="auto"/>
                <w:sz w:val="21"/>
                <w:szCs w:val="21"/>
                <w:highlight w:val="none"/>
                <w:lang w:val="en-US" w:bidi="ar-SA"/>
              </w:rPr>
              <w:br w:type="textWrapping"/>
            </w:r>
            <w:r>
              <w:rPr>
                <w:rFonts w:hint="eastAsia"/>
                <w:color w:val="auto"/>
                <w:sz w:val="21"/>
                <w:szCs w:val="21"/>
                <w:highlight w:val="none"/>
                <w:lang w:val="en-US" w:bidi="ar-SA"/>
              </w:rPr>
              <w:t>平均功耗 ≤2W</w:t>
            </w:r>
            <w:r>
              <w:rPr>
                <w:rFonts w:hint="eastAsia"/>
                <w:color w:val="auto"/>
                <w:sz w:val="21"/>
                <w:szCs w:val="21"/>
                <w:highlight w:val="none"/>
                <w:lang w:val="en-US" w:bidi="ar-SA"/>
              </w:rPr>
              <w:br w:type="textWrapping"/>
            </w:r>
            <w:r>
              <w:rPr>
                <w:rFonts w:hint="eastAsia"/>
                <w:color w:val="auto"/>
                <w:sz w:val="21"/>
                <w:szCs w:val="21"/>
                <w:highlight w:val="none"/>
                <w:lang w:val="en-US" w:bidi="ar-SA"/>
              </w:rPr>
              <w:t>采样方式 自由扩散</w:t>
            </w:r>
            <w:r>
              <w:rPr>
                <w:rFonts w:hint="eastAsia"/>
                <w:color w:val="auto"/>
                <w:sz w:val="21"/>
                <w:szCs w:val="21"/>
                <w:highlight w:val="none"/>
                <w:lang w:val="en-US" w:bidi="ar-SA"/>
              </w:rPr>
              <w:br w:type="textWrapping"/>
            </w:r>
            <w:r>
              <w:rPr>
                <w:rFonts w:hint="eastAsia"/>
                <w:color w:val="auto"/>
                <w:sz w:val="21"/>
                <w:szCs w:val="21"/>
                <w:highlight w:val="none"/>
                <w:lang w:val="en-US" w:bidi="ar-SA"/>
              </w:rPr>
              <w:t>响应时间 ≤30s 自动/手动恢复</w:t>
            </w:r>
            <w:r>
              <w:rPr>
                <w:rFonts w:hint="eastAsia"/>
                <w:color w:val="auto"/>
                <w:sz w:val="21"/>
                <w:szCs w:val="21"/>
                <w:highlight w:val="none"/>
                <w:lang w:val="en-US" w:bidi="ar-SA"/>
              </w:rPr>
              <w:br w:type="textWrapping"/>
            </w:r>
            <w:r>
              <w:rPr>
                <w:rFonts w:hint="eastAsia"/>
                <w:color w:val="auto"/>
                <w:sz w:val="21"/>
                <w:szCs w:val="21"/>
                <w:highlight w:val="none"/>
                <w:lang w:val="en-US" w:bidi="ar-SA"/>
              </w:rPr>
              <w:t>静音时间 10 分钟</w:t>
            </w:r>
            <w:r>
              <w:rPr>
                <w:rFonts w:hint="eastAsia"/>
                <w:color w:val="auto"/>
                <w:sz w:val="21"/>
                <w:szCs w:val="21"/>
                <w:highlight w:val="none"/>
                <w:lang w:val="en-US" w:bidi="ar-SA"/>
              </w:rPr>
              <w:br w:type="textWrapping"/>
            </w:r>
            <w:r>
              <w:rPr>
                <w:rFonts w:hint="eastAsia"/>
                <w:color w:val="auto"/>
                <w:sz w:val="21"/>
                <w:szCs w:val="21"/>
                <w:highlight w:val="none"/>
                <w:lang w:val="en-US" w:bidi="ar-SA"/>
              </w:rPr>
              <w:t>预热时间 180 秒</w:t>
            </w:r>
            <w:r>
              <w:rPr>
                <w:rFonts w:hint="eastAsia"/>
                <w:color w:val="auto"/>
                <w:sz w:val="21"/>
                <w:szCs w:val="21"/>
                <w:highlight w:val="none"/>
                <w:lang w:val="en-US" w:bidi="ar-SA"/>
              </w:rPr>
              <w:br w:type="textWrapping"/>
            </w:r>
            <w:r>
              <w:rPr>
                <w:rFonts w:hint="eastAsia"/>
                <w:color w:val="auto"/>
                <w:sz w:val="21"/>
                <w:szCs w:val="21"/>
                <w:highlight w:val="none"/>
                <w:lang w:val="en-US" w:bidi="ar-SA"/>
              </w:rPr>
              <w:t>报警方式 本地声、光报警，控制信号输出，无线数据推送</w:t>
            </w:r>
            <w:r>
              <w:rPr>
                <w:rFonts w:hint="eastAsia"/>
                <w:color w:val="auto"/>
                <w:sz w:val="21"/>
                <w:szCs w:val="21"/>
                <w:highlight w:val="none"/>
                <w:lang w:val="en-US" w:bidi="ar-SA"/>
              </w:rPr>
              <w:br w:type="textWrapping"/>
            </w:r>
            <w:r>
              <w:rPr>
                <w:rFonts w:hint="eastAsia"/>
                <w:color w:val="auto"/>
                <w:sz w:val="21"/>
                <w:szCs w:val="21"/>
                <w:highlight w:val="none"/>
                <w:lang w:val="en-US" w:bidi="ar-SA"/>
              </w:rPr>
              <w:t>报警音量 ≥80dB，1 米</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 温度：-10℃～55℃，相对湿度：≤95%</w:t>
            </w:r>
            <w:r>
              <w:rPr>
                <w:rFonts w:hint="eastAsia"/>
                <w:color w:val="auto"/>
                <w:sz w:val="21"/>
                <w:szCs w:val="21"/>
                <w:highlight w:val="none"/>
                <w:lang w:val="en-US" w:bidi="ar-SA"/>
              </w:rPr>
              <w:br w:type="textWrapping"/>
            </w:r>
            <w:r>
              <w:rPr>
                <w:rFonts w:hint="eastAsia"/>
                <w:color w:val="auto"/>
                <w:sz w:val="21"/>
                <w:szCs w:val="21"/>
                <w:highlight w:val="none"/>
                <w:lang w:val="en-US" w:bidi="ar-SA"/>
              </w:rPr>
              <w:t>防护等级 IP30</w:t>
            </w:r>
            <w:r>
              <w:rPr>
                <w:rFonts w:hint="eastAsia"/>
                <w:color w:val="auto"/>
                <w:sz w:val="21"/>
                <w:szCs w:val="21"/>
                <w:highlight w:val="none"/>
                <w:lang w:val="en-US" w:bidi="ar-SA"/>
              </w:rPr>
              <w:br w:type="textWrapping"/>
            </w:r>
            <w:r>
              <w:rPr>
                <w:rFonts w:hint="eastAsia"/>
                <w:color w:val="auto"/>
                <w:sz w:val="21"/>
                <w:szCs w:val="21"/>
                <w:highlight w:val="none"/>
                <w:lang w:val="en-US" w:bidi="ar-SA"/>
              </w:rPr>
              <w:t>外壳材质 阻燃 ABS</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 挂壁式</w:t>
            </w:r>
            <w:r>
              <w:rPr>
                <w:rFonts w:hint="eastAsia"/>
                <w:color w:val="auto"/>
                <w:sz w:val="21"/>
                <w:szCs w:val="21"/>
                <w:highlight w:val="none"/>
                <w:lang w:val="en-US" w:bidi="ar-SA"/>
              </w:rPr>
              <w:br w:type="textWrapping"/>
            </w:r>
            <w:r>
              <w:rPr>
                <w:rFonts w:hint="eastAsia"/>
                <w:color w:val="auto"/>
                <w:sz w:val="21"/>
                <w:szCs w:val="21"/>
                <w:highlight w:val="none"/>
                <w:lang w:val="en-US" w:bidi="ar-SA"/>
              </w:rPr>
              <w:t>提供消防产品认证证书复印件；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提供电信设备进网许可证复印件；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设备接口</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老年人手环数据接口：接口返回字段：设备编号、使用人姓名、身份证号、手机号、居住地址、数据时间、数据类型、数据内容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社区室内门禁</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家居控制设备安装</w:t>
            </w:r>
            <w:r>
              <w:rPr>
                <w:rFonts w:hint="eastAsia"/>
                <w:color w:val="auto"/>
                <w:sz w:val="21"/>
                <w:szCs w:val="21"/>
                <w:highlight w:val="none"/>
                <w:lang w:val="en-US" w:eastAsia="zh-CN" w:bidi="ar-SA"/>
              </w:rPr>
              <w:t>（</w:t>
            </w:r>
            <w:r>
              <w:rPr>
                <w:rFonts w:hint="eastAsia"/>
                <w:color w:val="auto"/>
                <w:sz w:val="21"/>
                <w:szCs w:val="21"/>
                <w:highlight w:val="none"/>
                <w:lang w:val="en-US" w:bidi="ar-SA"/>
              </w:rPr>
              <w:t>双目人脸识别门禁一体机</w:t>
            </w:r>
            <w:r>
              <w:rPr>
                <w:rFonts w:hint="eastAsia"/>
                <w:color w:val="auto"/>
                <w:sz w:val="21"/>
                <w:szCs w:val="21"/>
                <w:highlight w:val="none"/>
                <w:lang w:val="en-US" w:eastAsia="zh-CN" w:bidi="ar-SA"/>
              </w:rPr>
              <w:t>）</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操作系统：嵌入式Linux操作系统；</w:t>
            </w:r>
            <w:r>
              <w:rPr>
                <w:rFonts w:hint="eastAsia"/>
                <w:color w:val="auto"/>
                <w:sz w:val="21"/>
                <w:szCs w:val="21"/>
                <w:highlight w:val="none"/>
                <w:lang w:val="en-US" w:bidi="ar-SA"/>
              </w:rPr>
              <w:br w:type="textWrapping"/>
            </w:r>
            <w:r>
              <w:rPr>
                <w:rFonts w:hint="eastAsia"/>
                <w:color w:val="auto"/>
                <w:sz w:val="21"/>
                <w:szCs w:val="21"/>
                <w:highlight w:val="none"/>
                <w:lang w:val="en-US" w:bidi="ar-SA"/>
              </w:rPr>
              <w:t>屏幕参数： 7英寸触摸显示屏，屏幕比例9:16，屏幕分辨率600*1024；</w:t>
            </w:r>
            <w:r>
              <w:rPr>
                <w:rFonts w:hint="eastAsia"/>
                <w:color w:val="auto"/>
                <w:sz w:val="21"/>
                <w:szCs w:val="21"/>
                <w:highlight w:val="none"/>
                <w:lang w:val="en-US" w:bidi="ar-SA"/>
              </w:rPr>
              <w:br w:type="textWrapping"/>
            </w:r>
            <w:r>
              <w:rPr>
                <w:rFonts w:hint="eastAsia"/>
                <w:color w:val="auto"/>
                <w:sz w:val="21"/>
                <w:szCs w:val="21"/>
                <w:highlight w:val="none"/>
                <w:lang w:val="en-US" w:bidi="ar-SA"/>
              </w:rPr>
              <w:t>摄像头参数：采用宽动态200万双目摄像头；</w:t>
            </w:r>
            <w:r>
              <w:rPr>
                <w:rFonts w:hint="eastAsia"/>
                <w:color w:val="auto"/>
                <w:sz w:val="21"/>
                <w:szCs w:val="21"/>
                <w:highlight w:val="none"/>
                <w:lang w:val="en-US" w:bidi="ar-SA"/>
              </w:rPr>
              <w:br w:type="textWrapping"/>
            </w:r>
            <w:r>
              <w:rPr>
                <w:rFonts w:hint="eastAsia"/>
                <w:color w:val="auto"/>
                <w:sz w:val="21"/>
                <w:szCs w:val="21"/>
                <w:highlight w:val="none"/>
                <w:lang w:val="en-US" w:bidi="ar-SA"/>
              </w:rPr>
              <w:t>认证方式：支持人脸、刷卡（Mifare卡/IC卡、手机NFC卡、CPU卡序列号/内容、身份证卡序列号）、密码认证方式，可外接身份证、指纹、蓝牙、二维码功能模块；</w:t>
            </w:r>
            <w:r>
              <w:rPr>
                <w:rFonts w:hint="eastAsia"/>
                <w:color w:val="auto"/>
                <w:sz w:val="21"/>
                <w:szCs w:val="21"/>
                <w:highlight w:val="none"/>
                <w:lang w:val="en-US" w:bidi="ar-SA"/>
              </w:rPr>
              <w:br w:type="textWrapping"/>
            </w:r>
            <w:r>
              <w:rPr>
                <w:rFonts w:hint="eastAsia"/>
                <w:color w:val="auto"/>
                <w:sz w:val="21"/>
                <w:szCs w:val="21"/>
                <w:highlight w:val="none"/>
                <w:lang w:val="en-US" w:bidi="ar-SA"/>
              </w:rPr>
              <w:t>人脸识别：采用深度学习算法，支持单人或多人识别（最多5人同时认证）功能；支持照片、视频防假；1:N人脸识别速度≤0.2s，人脸验证准确率≥99%；</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存储容量：本地支持10000人脸库、50000张卡，15万条事件记录；</w:t>
            </w:r>
            <w:r>
              <w:rPr>
                <w:rFonts w:hint="eastAsia"/>
                <w:color w:val="auto"/>
                <w:sz w:val="21"/>
                <w:szCs w:val="21"/>
                <w:highlight w:val="none"/>
                <w:lang w:val="en-US" w:bidi="ar-SA"/>
              </w:rPr>
              <w:br w:type="textWrapping"/>
            </w:r>
            <w:r>
              <w:rPr>
                <w:rFonts w:hint="eastAsia"/>
                <w:color w:val="auto"/>
                <w:sz w:val="21"/>
                <w:szCs w:val="21"/>
                <w:highlight w:val="none"/>
                <w:lang w:val="en-US" w:bidi="ar-SA"/>
              </w:rPr>
              <w:t>硬件接口：LAN*1、RS485*1、Wiegand * 1(支持双向)、typeC类型USB接口*1、电锁*1、门磁*1、报警输入*2、报警输出*1、开门按钮*1、SD卡槽*1（最大支持512GB）、3.5mm音频输出接口*1；</w:t>
            </w:r>
            <w:r>
              <w:rPr>
                <w:rFonts w:hint="eastAsia"/>
                <w:color w:val="auto"/>
                <w:sz w:val="21"/>
                <w:szCs w:val="21"/>
                <w:highlight w:val="none"/>
                <w:lang w:val="en-US" w:bidi="ar-SA"/>
              </w:rPr>
              <w:br w:type="textWrapping"/>
            </w:r>
            <w:r>
              <w:rPr>
                <w:rFonts w:hint="eastAsia"/>
                <w:color w:val="auto"/>
                <w:sz w:val="21"/>
                <w:szCs w:val="21"/>
                <w:highlight w:val="none"/>
                <w:lang w:val="en-US" w:bidi="ar-SA"/>
              </w:rPr>
              <w:t>通信方式及网络协议：有线网络；萤石协议/ISAPI/ISUP5.0；</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使用环境：IP65，室内外环境（室外使用必须搭配遮阳罩）；</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安装方式：壁挂安装（标配挂板，适配86底盒）；</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 DC12V~24V/2A（电源需另配）；</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产品尺寸：209.2*110.5*24mm；</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功能介绍：</w:t>
            </w:r>
            <w:r>
              <w:rPr>
                <w:rFonts w:hint="eastAsia"/>
                <w:color w:val="auto"/>
                <w:sz w:val="21"/>
                <w:szCs w:val="21"/>
                <w:highlight w:val="none"/>
                <w:lang w:val="en-US" w:bidi="ar-SA"/>
              </w:rPr>
              <w:br w:type="textWrapping"/>
            </w:r>
            <w:r>
              <w:rPr>
                <w:rFonts w:hint="eastAsia"/>
                <w:color w:val="auto"/>
                <w:sz w:val="21"/>
                <w:szCs w:val="21"/>
                <w:highlight w:val="none"/>
                <w:lang w:val="en-US" w:bidi="ar-SA"/>
              </w:rPr>
              <w:t>视频预览：支持管理中心远程视频预览，支持接入NVR设备，实现视频监控录像，编码格式H.264；</w:t>
            </w:r>
            <w:r>
              <w:rPr>
                <w:rFonts w:hint="eastAsia"/>
                <w:color w:val="auto"/>
                <w:sz w:val="21"/>
                <w:szCs w:val="21"/>
                <w:highlight w:val="none"/>
                <w:lang w:val="en-US" w:bidi="ar-SA"/>
              </w:rPr>
              <w:br w:type="textWrapping"/>
            </w:r>
            <w:r>
              <w:rPr>
                <w:rFonts w:hint="eastAsia"/>
                <w:color w:val="auto"/>
                <w:sz w:val="21"/>
                <w:szCs w:val="21"/>
                <w:highlight w:val="none"/>
                <w:lang w:val="en-US" w:bidi="ar-SA"/>
              </w:rPr>
              <w:t>口罩检测：支持口罩检测模式，可配置提醒戴口罩模式、强制戴口罩模式，关联门禁控制；</w:t>
            </w:r>
            <w:r>
              <w:rPr>
                <w:rFonts w:hint="eastAsia"/>
                <w:color w:val="auto"/>
                <w:sz w:val="21"/>
                <w:szCs w:val="21"/>
                <w:highlight w:val="none"/>
                <w:lang w:val="en-US" w:bidi="ar-SA"/>
              </w:rPr>
              <w:br w:type="textWrapping"/>
            </w:r>
            <w:r>
              <w:rPr>
                <w:rFonts w:hint="eastAsia"/>
                <w:color w:val="auto"/>
                <w:sz w:val="21"/>
                <w:szCs w:val="21"/>
                <w:highlight w:val="none"/>
                <w:lang w:val="en-US" w:bidi="ar-SA"/>
              </w:rPr>
              <w:t>识别界面可配：识别主界面的“呼叫”、“二维码”、“密码”的按键图标可分别配置是否显示；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认证结果显示可配：支持认证成功界面的“照片”、“姓名”、“工号”信息可配置是否显示；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认证结果语音自定义：集成文字转语音（TTS）和语音合成技术，认证成功和认证失败的语音可以分别配置4个时间段进行自定义播报，同时认证成功的语音可叠加播报姓名；</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工作模式：支持广告模式、简洁模式主题模式</w:t>
            </w:r>
            <w:r>
              <w:rPr>
                <w:rFonts w:hint="eastAsia"/>
                <w:color w:val="auto"/>
                <w:sz w:val="21"/>
                <w:szCs w:val="21"/>
                <w:highlight w:val="none"/>
                <w:lang w:val="en-US" w:bidi="ar-SA"/>
              </w:rPr>
              <w:br w:type="textWrapping"/>
            </w:r>
            <w:r>
              <w:rPr>
                <w:rFonts w:hint="eastAsia"/>
                <w:color w:val="auto"/>
                <w:sz w:val="21"/>
                <w:szCs w:val="21"/>
                <w:highlight w:val="none"/>
                <w:lang w:val="en-US" w:bidi="ar-SA"/>
              </w:rPr>
              <w:t>外接安全模块：支持通过RS485接入门控安全模块，防止主机被恶意破坏的情况下，门锁不被打开；</w:t>
            </w:r>
            <w:r>
              <w:rPr>
                <w:rFonts w:hint="eastAsia"/>
                <w:color w:val="auto"/>
                <w:sz w:val="21"/>
                <w:szCs w:val="21"/>
                <w:highlight w:val="none"/>
                <w:lang w:val="en-US" w:bidi="ar-SA"/>
              </w:rPr>
              <w:br w:type="textWrapping"/>
            </w:r>
            <w:r>
              <w:rPr>
                <w:rFonts w:hint="eastAsia"/>
                <w:color w:val="auto"/>
                <w:sz w:val="21"/>
                <w:szCs w:val="21"/>
                <w:highlight w:val="none"/>
                <w:lang w:val="en-US" w:bidi="ar-SA"/>
              </w:rPr>
              <w:t>外接读卡器：支持通过RS485或韦根（W26/W34）接口外接1个读卡器，同时可实现单门反潜回功能；</w:t>
            </w:r>
            <w:r>
              <w:rPr>
                <w:rFonts w:hint="eastAsia"/>
                <w:color w:val="auto"/>
                <w:sz w:val="21"/>
                <w:szCs w:val="21"/>
                <w:highlight w:val="none"/>
                <w:lang w:val="en-US" w:bidi="ar-SA"/>
              </w:rPr>
              <w:br w:type="textWrapping"/>
            </w:r>
            <w:r>
              <w:rPr>
                <w:rFonts w:hint="eastAsia"/>
                <w:color w:val="auto"/>
                <w:sz w:val="21"/>
                <w:szCs w:val="21"/>
                <w:highlight w:val="none"/>
                <w:lang w:val="en-US" w:bidi="ar-SA"/>
              </w:rPr>
              <w:t>读卡器模式：支持通过RS485或韦根（W26/W34）接入门禁控制器，作为读卡器模式使用；</w:t>
            </w:r>
            <w:r>
              <w:rPr>
                <w:rFonts w:hint="eastAsia"/>
                <w:color w:val="auto"/>
                <w:sz w:val="21"/>
                <w:szCs w:val="21"/>
                <w:highlight w:val="none"/>
                <w:lang w:val="en-US" w:bidi="ar-SA"/>
              </w:rPr>
              <w:br w:type="textWrapping"/>
            </w:r>
            <w:r>
              <w:rPr>
                <w:rFonts w:hint="eastAsia"/>
                <w:color w:val="auto"/>
                <w:sz w:val="21"/>
                <w:szCs w:val="21"/>
                <w:highlight w:val="none"/>
                <w:lang w:val="en-US" w:bidi="ar-SA"/>
              </w:rPr>
              <w:t>门禁计划模板：支持255组计划模板管理，128个周计划，1024个假日计划；支持常开、常闭时段管理；</w:t>
            </w:r>
            <w:r>
              <w:rPr>
                <w:rFonts w:hint="eastAsia"/>
                <w:color w:val="auto"/>
                <w:sz w:val="21"/>
                <w:szCs w:val="21"/>
                <w:highlight w:val="none"/>
                <w:lang w:val="en-US" w:bidi="ar-SA"/>
              </w:rPr>
              <w:br w:type="textWrapping"/>
            </w:r>
            <w:r>
              <w:rPr>
                <w:rFonts w:hint="eastAsia"/>
                <w:color w:val="auto"/>
                <w:sz w:val="21"/>
                <w:szCs w:val="21"/>
                <w:highlight w:val="none"/>
                <w:lang w:val="en-US" w:bidi="ar-SA"/>
              </w:rPr>
              <w:t>组合认证：刷卡+密码、刷卡+人脸、人脸+密码等组合认证方式</w:t>
            </w:r>
            <w:r>
              <w:rPr>
                <w:rFonts w:hint="eastAsia"/>
                <w:color w:val="auto"/>
                <w:sz w:val="21"/>
                <w:szCs w:val="21"/>
                <w:highlight w:val="none"/>
                <w:lang w:val="en-US" w:bidi="ar-SA"/>
              </w:rPr>
              <w:br w:type="textWrapping"/>
            </w:r>
            <w:r>
              <w:rPr>
                <w:rFonts w:hint="eastAsia"/>
                <w:color w:val="auto"/>
                <w:sz w:val="21"/>
                <w:szCs w:val="21"/>
                <w:highlight w:val="none"/>
                <w:lang w:val="en-US" w:bidi="ar-SA"/>
              </w:rPr>
              <w:t>多重认证：支持多个人员认证（人脸、刷卡等）通过后才开门；</w:t>
            </w:r>
            <w:r>
              <w:rPr>
                <w:rFonts w:hint="eastAsia"/>
                <w:color w:val="auto"/>
                <w:sz w:val="21"/>
                <w:szCs w:val="21"/>
                <w:highlight w:val="none"/>
                <w:lang w:val="en-US" w:bidi="ar-SA"/>
              </w:rPr>
              <w:br w:type="textWrapping"/>
            </w:r>
            <w:r>
              <w:rPr>
                <w:rFonts w:hint="eastAsia"/>
                <w:color w:val="auto"/>
                <w:sz w:val="21"/>
                <w:szCs w:val="21"/>
                <w:highlight w:val="none"/>
                <w:lang w:val="en-US" w:bidi="ar-SA"/>
              </w:rPr>
              <w:t>黑名单核验：支持中心下发黑名单人员信息，实现本地黑名单核验；</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报警功能：设备支持防拆报警、门被外力开起报警、胁迫卡和胁迫密码报警、黑名单报警等；</w:t>
            </w:r>
            <w:r>
              <w:rPr>
                <w:rFonts w:hint="eastAsia"/>
                <w:color w:val="auto"/>
                <w:sz w:val="21"/>
                <w:szCs w:val="21"/>
                <w:highlight w:val="none"/>
                <w:lang w:val="en-US" w:bidi="ar-SA"/>
              </w:rPr>
              <w:br w:type="textWrapping"/>
            </w:r>
            <w:r>
              <w:rPr>
                <w:rFonts w:hint="eastAsia"/>
                <w:color w:val="auto"/>
                <w:sz w:val="21"/>
                <w:szCs w:val="21"/>
                <w:highlight w:val="none"/>
                <w:lang w:val="en-US" w:bidi="ar-SA"/>
              </w:rPr>
              <w:t>事件上传：在线状态下将设备认证结果信息及联动抓拍照片实时上传给平台，支持断网续传功能，设备离线状态下产生事件在与平台连接后会重新上传；</w:t>
            </w:r>
            <w:r>
              <w:rPr>
                <w:rFonts w:hint="eastAsia"/>
                <w:color w:val="auto"/>
                <w:sz w:val="21"/>
                <w:szCs w:val="21"/>
                <w:highlight w:val="none"/>
                <w:lang w:val="en-US" w:bidi="ar-SA"/>
              </w:rPr>
              <w:br w:type="textWrapping"/>
            </w:r>
            <w:r>
              <w:rPr>
                <w:rFonts w:hint="eastAsia"/>
                <w:color w:val="auto"/>
                <w:sz w:val="21"/>
                <w:szCs w:val="21"/>
                <w:highlight w:val="none"/>
                <w:lang w:val="en-US" w:bidi="ar-SA"/>
              </w:rPr>
              <w:t>单机使用：设备可进行本地管理，支持本地注册人脸、查询、设置、管理设备参数等；</w:t>
            </w:r>
            <w:r>
              <w:rPr>
                <w:rFonts w:hint="eastAsia"/>
                <w:color w:val="auto"/>
                <w:sz w:val="21"/>
                <w:szCs w:val="21"/>
                <w:highlight w:val="none"/>
                <w:lang w:val="en-US" w:bidi="ar-SA"/>
              </w:rPr>
              <w:br w:type="textWrapping"/>
            </w:r>
            <w:r>
              <w:rPr>
                <w:rFonts w:hint="eastAsia"/>
                <w:color w:val="auto"/>
                <w:sz w:val="21"/>
                <w:szCs w:val="21"/>
                <w:highlight w:val="none"/>
                <w:lang w:val="en-US" w:bidi="ar-SA"/>
              </w:rPr>
              <w:t>WEB管理：支持Web端管理，可进行人员管理、参数配置、事件查询、系统维护等操作。</w:t>
            </w:r>
            <w:r>
              <w:rPr>
                <w:rFonts w:hint="eastAsia"/>
                <w:color w:val="auto"/>
                <w:sz w:val="21"/>
                <w:szCs w:val="21"/>
                <w:highlight w:val="none"/>
                <w:lang w:val="en-US" w:bidi="ar-SA"/>
              </w:rPr>
              <w:br w:type="textWrapping"/>
            </w:r>
            <w:r>
              <w:rPr>
                <w:rFonts w:hint="eastAsia"/>
                <w:color w:val="auto"/>
                <w:sz w:val="21"/>
                <w:szCs w:val="21"/>
                <w:highlight w:val="none"/>
                <w:lang w:val="en-US" w:bidi="ar-SA"/>
              </w:rPr>
              <w:t>★应支持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★应支持在管理中心远程视频预览功能；应支持与管理平台或客户端中心、室内机、管理机、手机 APP 可视对讲功能；应支持配置一键呼叫管理机或室内机的可视对讲功能；应支持与广播主机呼叫对讲功能，实现与广播系统可视对讲功能；应支持中心广播主机向设备广播喊话；（</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门禁专用电源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5A（12V）</w:t>
            </w:r>
            <w:r>
              <w:rPr>
                <w:rFonts w:hint="eastAsia"/>
                <w:color w:val="auto"/>
                <w:sz w:val="21"/>
                <w:szCs w:val="21"/>
                <w:highlight w:val="none"/>
                <w:lang w:val="en-US" w:bidi="ar-SA"/>
              </w:rPr>
              <w:br w:type="textWrapping"/>
            </w:r>
            <w:r>
              <w:rPr>
                <w:rFonts w:hint="eastAsia"/>
                <w:color w:val="auto"/>
                <w:sz w:val="21"/>
                <w:szCs w:val="21"/>
                <w:highlight w:val="none"/>
                <w:lang w:val="en-US" w:bidi="ar-SA"/>
              </w:rPr>
              <w:t>输入市电：AC110-240V50-60Hz</w:t>
            </w:r>
            <w:r>
              <w:rPr>
                <w:rFonts w:hint="eastAsia"/>
                <w:color w:val="auto"/>
                <w:sz w:val="21"/>
                <w:szCs w:val="21"/>
                <w:highlight w:val="none"/>
                <w:lang w:val="en-US" w:bidi="ar-SA"/>
              </w:rPr>
              <w:br w:type="textWrapping"/>
            </w:r>
            <w:r>
              <w:rPr>
                <w:rFonts w:hint="eastAsia"/>
                <w:color w:val="auto"/>
                <w:sz w:val="21"/>
                <w:szCs w:val="21"/>
                <w:highlight w:val="none"/>
                <w:lang w:val="en-US" w:bidi="ar-SA"/>
              </w:rPr>
              <w:t>DC12V电压：12V±10%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出入口执行机构设备</w:t>
            </w:r>
          </w:p>
        </w:tc>
        <w:tc>
          <w:tcPr>
            <w:tcW w:w="3177" w:type="pct"/>
            <w:shd w:val="clear" w:color="auto" w:fill="FFFFFF"/>
            <w:noWrap w:val="0"/>
            <w:vAlign w:val="center"/>
          </w:tcPr>
          <w:p>
            <w:pPr>
              <w:keepNext w:val="0"/>
              <w:keepLines w:val="0"/>
              <w:widowControl/>
              <w:suppressLineNumbers w:val="0"/>
              <w:jc w:val="left"/>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1.名称：双门磁力锁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2.参数：磁力锁280kg、磁力锁LZ支架，高强铝合金/90度内开式门。</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台</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出入口执行机构设备</w:t>
            </w:r>
          </w:p>
        </w:tc>
        <w:tc>
          <w:tcPr>
            <w:tcW w:w="3177" w:type="pct"/>
            <w:shd w:val="clear" w:color="auto" w:fill="FFFFFF"/>
            <w:noWrap w:val="0"/>
            <w:vAlign w:val="center"/>
          </w:tcPr>
          <w:p>
            <w:pPr>
              <w:keepNext w:val="0"/>
              <w:keepLines w:val="0"/>
              <w:widowControl/>
              <w:suppressLineNumbers w:val="0"/>
              <w:jc w:val="left"/>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1.名称：单门磁力锁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2.参数：磁力锁280kg、磁力锁LZ支架，高强铝合金/90度内开式门。</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台</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闭门器</w:t>
            </w:r>
          </w:p>
        </w:tc>
        <w:tc>
          <w:tcPr>
            <w:tcW w:w="3177" w:type="pct"/>
            <w:shd w:val="clear" w:color="auto" w:fill="FFFFFF"/>
            <w:noWrap w:val="0"/>
            <w:vAlign w:val="center"/>
          </w:tcPr>
          <w:p>
            <w:pPr>
              <w:keepNext w:val="0"/>
              <w:keepLines w:val="0"/>
              <w:widowControl/>
              <w:suppressLineNumbers w:val="0"/>
              <w:jc w:val="left"/>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1.名称：闭门器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2.参数：材质：铝合金 配套，带定位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闭门速度:在100度-180度范围内可调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闭锁速度:在0度-15度范围内可调</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台</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出门按钮</w:t>
            </w:r>
          </w:p>
        </w:tc>
        <w:tc>
          <w:tcPr>
            <w:tcW w:w="3177" w:type="pct"/>
            <w:shd w:val="clear" w:color="auto" w:fill="FFFFFF"/>
            <w:noWrap w:val="0"/>
            <w:vAlign w:val="center"/>
          </w:tcPr>
          <w:p>
            <w:pPr>
              <w:keepNext w:val="0"/>
              <w:keepLines w:val="0"/>
              <w:widowControl/>
              <w:suppressLineNumbers w:val="0"/>
              <w:jc w:val="left"/>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1.名称：出门按钮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2.参数：门禁出门按钮，尺寸86mm*86mm</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台</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社区室内监控</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半球摄像机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 ICR日夜型半球型网络摄像机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ON），黑白：0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调节角度: 水平：0°~360°，垂直：0°~75°，旋转：0°~360°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2.8 mm，水平视场角：107.1°，垂直视场角：57°，对角视场角：127.6°</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存储温湿度: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 ~0.11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高清数字监控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CMOS红外筒型网络摄像机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12 mm，水平视场角：25.4°，垂直视场角：14.4°，对角视场角：29.1°</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红外波长范围: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★内置两个图像传感器，分别输出黑白及彩色图像，可对视频图像进行融合输出。（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★支持快捷配置功能，可在预览画面开启/关闭“快捷配置”页面，对曝光参数、OSD等参数进行配置，并可恢复为默认设置。 （</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电梯摄像机（半球型电梯专用监控）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 防遮挡型电瓶车识别网络摄像机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智能侦测：采用深度学习硬件及算法，提供准确的电瓶车侦测</w:t>
            </w:r>
            <w:r>
              <w:rPr>
                <w:rFonts w:hint="eastAsia"/>
                <w:color w:val="auto"/>
                <w:sz w:val="21"/>
                <w:szCs w:val="21"/>
                <w:highlight w:val="none"/>
                <w:lang w:val="en-US" w:bidi="ar-SA"/>
              </w:rPr>
              <w:br w:type="textWrapping"/>
            </w:r>
            <w:r>
              <w:rPr>
                <w:rFonts w:hint="eastAsia"/>
                <w:color w:val="auto"/>
                <w:sz w:val="21"/>
                <w:szCs w:val="21"/>
                <w:highlight w:val="none"/>
                <w:lang w:val="en-US" w:bidi="ar-SA"/>
              </w:rPr>
              <w:t>遮挡检测：内置ToF传感器，可有效检测遮挡摄像机的行为；检测角度最大25°，检测距离默认70 cm</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调节角度: 水平：-15°~15°，垂直：0°~75°</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2 mm，水平视场角：132.8°，垂直视场角：77.6°，对角视场角：152.5°</w:t>
            </w:r>
            <w:r>
              <w:rPr>
                <w:rFonts w:hint="eastAsia"/>
                <w:color w:val="auto"/>
                <w:sz w:val="21"/>
                <w:szCs w:val="21"/>
                <w:highlight w:val="none"/>
                <w:lang w:val="en-US" w:bidi="ar-SA"/>
              </w:rPr>
              <w:br w:type="textWrapping"/>
            </w:r>
            <w:r>
              <w:rPr>
                <w:rFonts w:hint="eastAsia"/>
                <w:color w:val="auto"/>
                <w:sz w:val="21"/>
                <w:szCs w:val="21"/>
                <w:highlight w:val="none"/>
                <w:lang w:val="en-US" w:bidi="ar-SA"/>
              </w:rPr>
              <w:t>2.8 mm，水平视场角：107.8°，垂直视场角：59°，对角视场角：126.7°</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最远可达10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红外波长范围: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支持NAS（NFS，SMB/CIFS均支持），支持MicroSD(即TF卡)/MicroSDHC/MicroSDXC卡（最大256 GB），断网本地录像存储及断网续传，配合黑卡支持SD卡加密及SD卡状态检测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1个内置麦克风，1个内置扬声器</w:t>
            </w:r>
            <w:r>
              <w:rPr>
                <w:rFonts w:hint="eastAsia"/>
                <w:color w:val="auto"/>
                <w:sz w:val="21"/>
                <w:szCs w:val="21"/>
                <w:highlight w:val="none"/>
                <w:lang w:val="en-US" w:bidi="ar-SA"/>
              </w:rPr>
              <w:br w:type="textWrapping"/>
            </w:r>
            <w:r>
              <w:rPr>
                <w:rFonts w:hint="eastAsia"/>
                <w:color w:val="auto"/>
                <w:sz w:val="21"/>
                <w:szCs w:val="21"/>
                <w:highlight w:val="none"/>
                <w:lang w:val="en-US" w:bidi="ar-SA"/>
              </w:rPr>
              <w:t>报警: 1路输入，1路输出；报警输出：继电器，最大支持DC60 V，2 A，输出支持常开（COM-NO）/常闭（COM-NC）接线</w:t>
            </w:r>
            <w:r>
              <w:rPr>
                <w:rFonts w:hint="eastAsia"/>
                <w:color w:val="auto"/>
                <w:sz w:val="21"/>
                <w:szCs w:val="21"/>
                <w:highlight w:val="none"/>
                <w:lang w:val="en-US" w:bidi="ar-SA"/>
              </w:rPr>
              <w:br w:type="textWrapping"/>
            </w:r>
            <w:r>
              <w:rPr>
                <w:rFonts w:hint="eastAsia"/>
                <w:color w:val="auto"/>
                <w:sz w:val="21"/>
                <w:szCs w:val="21"/>
                <w:highlight w:val="none"/>
                <w:lang w:val="en-US" w:bidi="ar-SA"/>
              </w:rPr>
              <w:t>复位: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-10 °C~40 °C，湿度小于95%（无凝结）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电流及功耗: DC：12 V，0.54 A，最大功耗：6.5 W；PoE：802.3af，36 V~57 V，0.20 A~0.13 A，最大功耗：7.5 W </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IK08</w:t>
            </w:r>
            <w:r>
              <w:rPr>
                <w:rFonts w:hint="eastAsia"/>
                <w:color w:val="auto"/>
                <w:sz w:val="21"/>
                <w:szCs w:val="21"/>
                <w:highlight w:val="none"/>
                <w:lang w:val="en-US" w:bidi="ar-SA"/>
              </w:rPr>
              <w:br w:type="textWrapping"/>
            </w:r>
            <w:r>
              <w:rPr>
                <w:rFonts w:hint="eastAsia"/>
                <w:color w:val="auto"/>
                <w:sz w:val="21"/>
                <w:szCs w:val="21"/>
                <w:highlight w:val="none"/>
                <w:lang w:val="en-US" w:bidi="ar-SA"/>
              </w:rPr>
              <w:t>★支持TOF遮挡报警功能，可通过IE浏览器或客户端软件开启/关闭TOF遮挡报警功能，对视频画面中的人为遮挡行为进行检测报警，可联动录像、抓图、声音报警，可设置过滤时间间隔。（</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★支持声音报警功能，当TOF遮挡报警、电瓶车遗留侦测报警产生报警时，可在报警布防时间内触发联动声音警报，报警声音模式可设置为警戒音和提示音两种。（</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★支持TOF遮挡防干扰功能，当视频画面中光线发生明暗变化时，不触发TOF遮挡报警。（</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DC12V/2A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无线网桥</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电梯网桥:</w:t>
            </w:r>
            <w:r>
              <w:rPr>
                <w:rFonts w:hint="eastAsia"/>
                <w:color w:val="auto"/>
                <w:sz w:val="21"/>
                <w:szCs w:val="21"/>
                <w:highlight w:val="none"/>
                <w:lang w:val="en-US" w:bidi="ar-SA"/>
              </w:rPr>
              <w:br w:type="textWrapping"/>
            </w:r>
            <w:r>
              <w:rPr>
                <w:rFonts w:hint="eastAsia"/>
                <w:color w:val="auto"/>
                <w:sz w:val="21"/>
                <w:szCs w:val="21"/>
                <w:highlight w:val="none"/>
                <w:lang w:val="en-US" w:bidi="ar-SA"/>
              </w:rPr>
              <w:t>发射功率：20dBm</w:t>
            </w:r>
            <w:r>
              <w:rPr>
                <w:rFonts w:hint="eastAsia"/>
                <w:color w:val="auto"/>
                <w:sz w:val="21"/>
                <w:szCs w:val="21"/>
                <w:highlight w:val="none"/>
                <w:lang w:val="en-US" w:bidi="ar-SA"/>
              </w:rPr>
              <w:br w:type="textWrapping"/>
            </w:r>
            <w:r>
              <w:rPr>
                <w:rFonts w:hint="eastAsia"/>
                <w:color w:val="auto"/>
                <w:sz w:val="21"/>
                <w:szCs w:val="21"/>
                <w:highlight w:val="none"/>
                <w:lang w:val="en-US" w:bidi="ar-SA"/>
              </w:rPr>
              <w:t>天线增益：8dBi，水平60°，垂直35°，定向天线</w:t>
            </w:r>
            <w:r>
              <w:rPr>
                <w:rFonts w:hint="eastAsia"/>
                <w:color w:val="auto"/>
                <w:sz w:val="21"/>
                <w:szCs w:val="21"/>
                <w:highlight w:val="none"/>
                <w:lang w:val="en-US" w:bidi="ar-SA"/>
              </w:rPr>
              <w:br w:type="textWrapping"/>
            </w:r>
            <w:r>
              <w:rPr>
                <w:rFonts w:hint="eastAsia"/>
                <w:color w:val="auto"/>
                <w:sz w:val="21"/>
                <w:szCs w:val="21"/>
                <w:highlight w:val="none"/>
                <w:lang w:val="en-US" w:bidi="ar-SA"/>
              </w:rPr>
              <w:t>距离200米</w:t>
            </w:r>
            <w:r>
              <w:rPr>
                <w:rFonts w:hint="eastAsia"/>
                <w:color w:val="auto"/>
                <w:sz w:val="21"/>
                <w:szCs w:val="21"/>
                <w:highlight w:val="none"/>
                <w:lang w:val="en-US" w:bidi="ar-SA"/>
              </w:rPr>
              <w:br w:type="textWrapping"/>
            </w:r>
            <w:r>
              <w:rPr>
                <w:rFonts w:hint="eastAsia"/>
                <w:color w:val="auto"/>
                <w:sz w:val="21"/>
                <w:szCs w:val="21"/>
                <w:highlight w:val="none"/>
                <w:lang w:val="en-US" w:bidi="ar-SA"/>
              </w:rPr>
              <w:t>单网口设计，含电源</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双目智能客流统计网络摄像机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室外1/2.7"双目智能垂直客流统计摄像机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采用双目立体视觉技术，基于双镜头的立体摄像，获取目标的立体信息，结合智能算法分析行人的行为轨迹，从而计算出客流人数及行走方向</w:t>
            </w:r>
            <w:r>
              <w:rPr>
                <w:rFonts w:hint="eastAsia"/>
                <w:color w:val="auto"/>
                <w:sz w:val="21"/>
                <w:szCs w:val="21"/>
                <w:highlight w:val="none"/>
                <w:lang w:val="en-US" w:bidi="ar-SA"/>
              </w:rPr>
              <w:br w:type="textWrapping"/>
            </w:r>
            <w:r>
              <w:rPr>
                <w:rFonts w:hint="eastAsia"/>
                <w:color w:val="auto"/>
                <w:sz w:val="21"/>
                <w:szCs w:val="21"/>
                <w:highlight w:val="none"/>
                <w:lang w:val="en-US" w:bidi="ar-SA"/>
              </w:rPr>
              <w:t>设备算法结合RGB图像信息，基于深度学习算法对目标进行复核，对非人体目标进行过滤，大幅度提升客流计数的准确率</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支持分类统计人员进入、离开情况</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支持实时数据上传和周期上传，邮件报表支持日报表、周报表、月报表和年报表</w:t>
            </w:r>
            <w:r>
              <w:rPr>
                <w:rFonts w:hint="eastAsia"/>
                <w:color w:val="auto"/>
                <w:sz w:val="21"/>
                <w:szCs w:val="21"/>
                <w:highlight w:val="none"/>
                <w:lang w:val="en-US" w:bidi="ar-SA"/>
              </w:rPr>
              <w:br w:type="textWrapping"/>
            </w:r>
            <w:r>
              <w:rPr>
                <w:rFonts w:hint="eastAsia"/>
                <w:color w:val="auto"/>
                <w:sz w:val="21"/>
                <w:szCs w:val="21"/>
                <w:highlight w:val="none"/>
                <w:lang w:val="en-US" w:bidi="ar-SA"/>
              </w:rPr>
              <w:t>支持高度过滤</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电流及功耗：DC：12 V，0.58 A，最大功耗：7.0 W</w:t>
            </w:r>
            <w:r>
              <w:rPr>
                <w:rFonts w:hint="eastAsia"/>
                <w:color w:val="auto"/>
                <w:sz w:val="21"/>
                <w:szCs w:val="21"/>
                <w:highlight w:val="none"/>
                <w:lang w:val="en-US" w:bidi="ar-SA"/>
              </w:rPr>
              <w:br w:type="textWrapping"/>
            </w:r>
            <w:r>
              <w:rPr>
                <w:rFonts w:hint="eastAsia"/>
                <w:color w:val="auto"/>
                <w:sz w:val="21"/>
                <w:szCs w:val="21"/>
                <w:highlight w:val="none"/>
                <w:lang w:val="en-US" w:bidi="ar-SA"/>
              </w:rPr>
              <w:t>PoE：802.3af，36 V~57 V，0.24 A~0.15 A，最大功耗：8.5 W</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供电方式：DC：12 V ± 20%；支持防反接保护</w:t>
            </w:r>
            <w:r>
              <w:rPr>
                <w:rFonts w:hint="eastAsia"/>
                <w:color w:val="auto"/>
                <w:sz w:val="21"/>
                <w:szCs w:val="21"/>
                <w:highlight w:val="none"/>
                <w:lang w:val="en-US" w:bidi="ar-SA"/>
              </w:rPr>
              <w:br w:type="textWrapping"/>
            </w:r>
            <w:r>
              <w:rPr>
                <w:rFonts w:hint="eastAsia"/>
                <w:color w:val="auto"/>
                <w:sz w:val="21"/>
                <w:szCs w:val="21"/>
                <w:highlight w:val="none"/>
                <w:lang w:val="en-US" w:bidi="ar-SA"/>
              </w:rPr>
              <w:t>PoE：36 V~57 V，802.3af，Class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启动及工作温湿度：-30 °C~60 °C，湿度小于95%（无凝结）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电源接口类型：Ø5.5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★可开启/关闭反向进入报警功能，并可以按周为周期，设置每天的反向客流检测布防时间段，当功能开启后，检测到反向客流时，可触发报警并关联上传中心。（</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★支持徘徊排除功能，当试验人员在检测区域内徘徊并未离开检测区域时，不重复统计客流数量。（</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★支持高度过滤功能，可通过IE浏览器设置人员高度上限和高度下限，开启高度过滤功能后，仅统计人员高度介于设定高度范围的数量。（</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客流统计网络摄像机专用支架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专用背板支架</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POE交换机（16口）</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1、标准19英寸1U高机架设备，固化千兆电接口数≥16个，千兆光口≥2个，最大可用端口≥18个 ，且实配支持POE+的端口≥16个，整机POE功率不得小于247W；</w:t>
            </w:r>
            <w:r>
              <w:rPr>
                <w:rFonts w:hint="eastAsia"/>
                <w:color w:val="auto"/>
                <w:sz w:val="21"/>
                <w:szCs w:val="21"/>
                <w:highlight w:val="none"/>
                <w:lang w:val="en-US" w:bidi="ar-SA"/>
              </w:rPr>
              <w:br w:type="textWrapping"/>
            </w:r>
            <w:r>
              <w:rPr>
                <w:rFonts w:hint="eastAsia"/>
                <w:color w:val="auto"/>
                <w:sz w:val="21"/>
                <w:szCs w:val="21"/>
                <w:highlight w:val="none"/>
                <w:lang w:val="en-US" w:bidi="ar-SA"/>
              </w:rPr>
              <w:t>2、交换容量≥36Gbps,包转发率≥26.78Mpps；</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3、为了保证交换机使用寿命，要求所投产品的防雷等级≥6KV； </w:t>
            </w:r>
            <w:r>
              <w:rPr>
                <w:rFonts w:hint="eastAsia"/>
                <w:color w:val="auto"/>
                <w:sz w:val="21"/>
                <w:szCs w:val="21"/>
                <w:highlight w:val="none"/>
                <w:lang w:val="en-US" w:bidi="ar-SA"/>
              </w:rPr>
              <w:br w:type="textWrapping"/>
            </w:r>
            <w:r>
              <w:rPr>
                <w:rFonts w:hint="eastAsia"/>
                <w:color w:val="auto"/>
                <w:sz w:val="21"/>
                <w:szCs w:val="21"/>
                <w:highlight w:val="none"/>
                <w:lang w:val="en-US" w:bidi="ar-SA"/>
              </w:rPr>
              <w:t>4、为了保证设备在流量突发时不卡顿，要求所投设备至少支持4M（含4M）以上的端口缓存；</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bidi="ar-SA"/>
              </w:rPr>
              <w:t>无线AP</w:t>
            </w:r>
            <w:r>
              <w:rPr>
                <w:rFonts w:hint="eastAsia"/>
                <w:color w:val="auto"/>
                <w:sz w:val="21"/>
                <w:szCs w:val="21"/>
                <w:highlight w:val="none"/>
                <w:lang w:val="en-US" w:eastAsia="zh-CN" w:bidi="ar-SA"/>
              </w:rPr>
              <w:t>（含调试）</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1775M双频千兆吸顶AP，1个千兆LAN口上联，内置天线，支持2.4GHz/5GHz双频通信，支持802.11a/b/g/n/acWave1/Wave2/ax协议。支持AP与路由两种工作模式，支持二层漫游。支持PoE供电和本地供电</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磁盘录像机（64路）</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硬件规格：</w:t>
            </w:r>
            <w:r>
              <w:rPr>
                <w:rFonts w:hint="eastAsia"/>
                <w:color w:val="auto"/>
                <w:sz w:val="21"/>
                <w:szCs w:val="21"/>
                <w:highlight w:val="none"/>
                <w:lang w:val="en-US" w:bidi="ar-SA"/>
              </w:rPr>
              <w:br w:type="textWrapping"/>
            </w:r>
            <w:r>
              <w:rPr>
                <w:rFonts w:hint="eastAsia"/>
                <w:color w:val="auto"/>
                <w:sz w:val="21"/>
                <w:szCs w:val="21"/>
                <w:highlight w:val="none"/>
                <w:lang w:val="en-US" w:bidi="ar-SA"/>
              </w:rPr>
              <w:t>2U标准机架式</w:t>
            </w:r>
            <w:r>
              <w:rPr>
                <w:rFonts w:hint="eastAsia"/>
                <w:color w:val="auto"/>
                <w:sz w:val="21"/>
                <w:szCs w:val="21"/>
                <w:highlight w:val="none"/>
                <w:lang w:val="en-US" w:bidi="ar-SA"/>
              </w:rPr>
              <w:br w:type="textWrapping"/>
            </w:r>
            <w:r>
              <w:rPr>
                <w:rFonts w:hint="eastAsia"/>
                <w:color w:val="auto"/>
                <w:sz w:val="21"/>
                <w:szCs w:val="21"/>
                <w:highlight w:val="none"/>
                <w:lang w:val="en-US" w:bidi="ar-SA"/>
              </w:rPr>
              <w:t>2个HDMI，2个VGA，HDMI+VGA组内同源</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8盘位，可满配10T硬盘 </w:t>
            </w:r>
            <w:r>
              <w:rPr>
                <w:rFonts w:hint="eastAsia"/>
                <w:color w:val="auto"/>
                <w:sz w:val="21"/>
                <w:szCs w:val="21"/>
                <w:highlight w:val="none"/>
                <w:lang w:val="en-US" w:bidi="ar-SA"/>
              </w:rPr>
              <w:br w:type="textWrapping"/>
            </w:r>
            <w:r>
              <w:rPr>
                <w:rFonts w:hint="eastAsia"/>
                <w:color w:val="auto"/>
                <w:sz w:val="21"/>
                <w:szCs w:val="21"/>
                <w:highlight w:val="none"/>
                <w:lang w:val="en-US" w:bidi="ar-SA"/>
              </w:rPr>
              <w:t>2个千兆网口</w:t>
            </w:r>
            <w:r>
              <w:rPr>
                <w:rFonts w:hint="eastAsia"/>
                <w:color w:val="auto"/>
                <w:sz w:val="21"/>
                <w:szCs w:val="21"/>
                <w:highlight w:val="none"/>
                <w:lang w:val="en-US" w:bidi="ar-SA"/>
              </w:rPr>
              <w:br w:type="textWrapping"/>
            </w:r>
            <w:r>
              <w:rPr>
                <w:rFonts w:hint="eastAsia"/>
                <w:color w:val="auto"/>
                <w:sz w:val="21"/>
                <w:szCs w:val="21"/>
                <w:highlight w:val="none"/>
                <w:lang w:val="en-US" w:bidi="ar-SA"/>
              </w:rPr>
              <w:t>2个USB2.0接口、1个USB3.0接口</w:t>
            </w:r>
            <w:r>
              <w:rPr>
                <w:rFonts w:hint="eastAsia"/>
                <w:color w:val="auto"/>
                <w:sz w:val="21"/>
                <w:szCs w:val="21"/>
                <w:highlight w:val="none"/>
                <w:lang w:val="en-US" w:bidi="ar-SA"/>
              </w:rPr>
              <w:br w:type="textWrapping"/>
            </w:r>
            <w:r>
              <w:rPr>
                <w:rFonts w:hint="eastAsia"/>
                <w:color w:val="auto"/>
                <w:sz w:val="21"/>
                <w:szCs w:val="21"/>
                <w:highlight w:val="none"/>
                <w:lang w:val="en-US" w:bidi="ar-SA"/>
              </w:rPr>
              <w:t>1个eSATA接口</w:t>
            </w:r>
            <w:r>
              <w:rPr>
                <w:rFonts w:hint="eastAsia"/>
                <w:color w:val="auto"/>
                <w:sz w:val="21"/>
                <w:szCs w:val="21"/>
                <w:highlight w:val="none"/>
                <w:lang w:val="en-US" w:bidi="ar-SA"/>
              </w:rPr>
              <w:br w:type="textWrapping"/>
            </w:r>
            <w:r>
              <w:rPr>
                <w:rFonts w:hint="eastAsia"/>
                <w:color w:val="auto"/>
                <w:sz w:val="21"/>
                <w:szCs w:val="21"/>
                <w:highlight w:val="none"/>
                <w:lang w:val="en-US" w:bidi="ar-SA"/>
              </w:rPr>
              <w:t>支持RAID0、1、5、6、10，支持全局热备盘</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软件性能：</w:t>
            </w:r>
            <w:r>
              <w:rPr>
                <w:rFonts w:hint="eastAsia"/>
                <w:color w:val="auto"/>
                <w:sz w:val="21"/>
                <w:szCs w:val="21"/>
                <w:highlight w:val="none"/>
                <w:lang w:val="en-US" w:bidi="ar-SA"/>
              </w:rPr>
              <w:br w:type="textWrapping"/>
            </w:r>
            <w:r>
              <w:rPr>
                <w:rFonts w:hint="eastAsia"/>
                <w:color w:val="auto"/>
                <w:sz w:val="21"/>
                <w:szCs w:val="21"/>
                <w:highlight w:val="none"/>
                <w:lang w:val="en-US" w:bidi="ar-SA"/>
              </w:rPr>
              <w:t>输入带宽：320M</w:t>
            </w:r>
            <w:r>
              <w:rPr>
                <w:rFonts w:hint="eastAsia"/>
                <w:color w:val="auto"/>
                <w:sz w:val="21"/>
                <w:szCs w:val="21"/>
                <w:highlight w:val="none"/>
                <w:lang w:val="en-US" w:bidi="ar-SA"/>
              </w:rPr>
              <w:br w:type="textWrapping"/>
            </w:r>
            <w:r>
              <w:rPr>
                <w:rFonts w:hint="eastAsia"/>
                <w:color w:val="auto"/>
                <w:sz w:val="21"/>
                <w:szCs w:val="21"/>
                <w:highlight w:val="none"/>
                <w:lang w:val="en-US" w:bidi="ar-SA"/>
              </w:rPr>
              <w:t>64路H.264、H.265混合接入</w:t>
            </w:r>
            <w:r>
              <w:rPr>
                <w:rFonts w:hint="eastAsia"/>
                <w:color w:val="auto"/>
                <w:sz w:val="21"/>
                <w:szCs w:val="21"/>
                <w:highlight w:val="none"/>
                <w:lang w:val="en-US" w:bidi="ar-SA"/>
              </w:rPr>
              <w:br w:type="textWrapping"/>
            </w:r>
            <w:r>
              <w:rPr>
                <w:rFonts w:hint="eastAsia"/>
                <w:color w:val="auto"/>
                <w:sz w:val="21"/>
                <w:szCs w:val="21"/>
                <w:highlight w:val="none"/>
                <w:lang w:val="en-US" w:bidi="ar-SA"/>
              </w:rPr>
              <w:t>最大支持16×1080P解码</w:t>
            </w:r>
            <w:r>
              <w:rPr>
                <w:rFonts w:hint="eastAsia"/>
                <w:color w:val="auto"/>
                <w:sz w:val="21"/>
                <w:szCs w:val="21"/>
                <w:highlight w:val="none"/>
                <w:lang w:val="en-US" w:bidi="ar-SA"/>
              </w:rPr>
              <w:br w:type="textWrapping"/>
            </w:r>
            <w:r>
              <w:rPr>
                <w:rFonts w:hint="eastAsia"/>
                <w:color w:val="auto"/>
                <w:sz w:val="21"/>
                <w:szCs w:val="21"/>
                <w:highlight w:val="none"/>
                <w:lang w:val="en-US" w:bidi="ar-SA"/>
              </w:rPr>
              <w:t>支持H.265、H.264解码</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本地预览权限的配置，设置权限后的通道只有登录后才会出现预览画面；支持远程预览加密，只有输入密钥才能解开视频。并支持码流加密；WEB界面远程登录设备，30分钟无操作，设备自动退出登录；可设置远程访问IP地址和MAC地址黑白名单；WEB端可设置开启HTTPS安全链接、SSH（</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配合具有区域关注度检测功能的IPC，可实时显示关注区域的人数；支持配置人数阀值和停留时长，当人数过多或停留超时触发报警时，样机可联动录像、抓拍并保存图片、弹出报警画面、声音警告、上传中心、发送邮件、触发报警输出，联动云台轮巡、联动云台预置点、记录日志（</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监控专用硬盘（30天）</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WD81EJRX,8T,3.5",SATA</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块</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核心路由器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1、标准1U设备，非X86多核硬件体系架构，固化千兆电口≥8个，千兆光口 ≥2个， 2个USB口，提供官网参数截图；</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2、内存≥2G，并可配置1TB硬盘，为防止虚假应标，提供官网参数截图； </w:t>
            </w:r>
            <w:r>
              <w:rPr>
                <w:rFonts w:hint="eastAsia"/>
                <w:color w:val="auto"/>
                <w:sz w:val="21"/>
                <w:szCs w:val="21"/>
                <w:highlight w:val="none"/>
                <w:lang w:val="en-US" w:bidi="ar-SA"/>
              </w:rPr>
              <w:br w:type="textWrapping"/>
            </w:r>
            <w:r>
              <w:rPr>
                <w:rFonts w:hint="eastAsia"/>
                <w:color w:val="auto"/>
                <w:sz w:val="21"/>
                <w:szCs w:val="21"/>
                <w:highlight w:val="none"/>
                <w:lang w:val="en-US" w:bidi="ar-SA"/>
              </w:rPr>
              <w:t>3、典型配置吞吐量≥1.5GB，用户规模≥500终端；</w:t>
            </w:r>
            <w:r>
              <w:rPr>
                <w:rFonts w:hint="eastAsia"/>
                <w:color w:val="auto"/>
                <w:sz w:val="21"/>
                <w:szCs w:val="21"/>
                <w:highlight w:val="none"/>
                <w:lang w:val="en-US" w:bidi="ar-SA"/>
              </w:rPr>
              <w:br w:type="textWrapping"/>
            </w:r>
            <w:r>
              <w:rPr>
                <w:rFonts w:hint="eastAsia"/>
                <w:color w:val="auto"/>
                <w:sz w:val="21"/>
                <w:szCs w:val="21"/>
                <w:highlight w:val="none"/>
                <w:lang w:val="en-US" w:bidi="ar-SA"/>
              </w:rPr>
              <w:t>4、为保证在多条外网线路情况下带宽的合理分配使用，设备必须支持多链路负载均衡，为防止虚假应标；</w:t>
            </w:r>
            <w:r>
              <w:rPr>
                <w:rFonts w:hint="eastAsia"/>
                <w:color w:val="auto"/>
                <w:sz w:val="21"/>
                <w:szCs w:val="21"/>
                <w:highlight w:val="none"/>
                <w:lang w:val="en-US" w:bidi="ar-SA"/>
              </w:rPr>
              <w:br w:type="textWrapping"/>
            </w:r>
            <w:r>
              <w:rPr>
                <w:rFonts w:hint="eastAsia"/>
                <w:color w:val="auto"/>
                <w:sz w:val="21"/>
                <w:szCs w:val="21"/>
                <w:highlight w:val="none"/>
                <w:lang w:val="en-US" w:bidi="ar-SA"/>
              </w:rPr>
              <w:t>5、为满足数据包按照用户指定的策略进行转发，必须支持策略路由，如：一个策略可以指定从某个网络发出的数据包只能转发到某个特定的接口；</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6、为满足增量（补盲）网络下实现，行为/流控/认证/VPN 等等需求 </w:t>
            </w:r>
            <w:r>
              <w:rPr>
                <w:rFonts w:hint="eastAsia"/>
                <w:color w:val="auto"/>
                <w:sz w:val="21"/>
                <w:szCs w:val="21"/>
                <w:highlight w:val="none"/>
                <w:lang w:val="en-US" w:bidi="ar-SA"/>
              </w:rPr>
              <w:br w:type="textWrapping"/>
            </w:r>
            <w:r>
              <w:rPr>
                <w:rFonts w:hint="eastAsia"/>
                <w:color w:val="auto"/>
                <w:sz w:val="21"/>
                <w:szCs w:val="21"/>
                <w:highlight w:val="none"/>
                <w:lang w:val="en-US" w:bidi="ar-SA"/>
              </w:rPr>
              <w:t>7、内置无线控制器功能，直接管理AP，最大支持管理64个AP，对接入点支持配置工作模式、射频参数、负载均衡。</w:t>
            </w:r>
            <w:r>
              <w:rPr>
                <w:rFonts w:hint="eastAsia"/>
                <w:color w:val="auto"/>
                <w:sz w:val="21"/>
                <w:szCs w:val="21"/>
                <w:highlight w:val="none"/>
                <w:lang w:val="en-US" w:bidi="ar-SA"/>
              </w:rPr>
              <w:br w:type="textWrapping"/>
            </w:r>
            <w:r>
              <w:rPr>
                <w:rFonts w:hint="eastAsia"/>
                <w:color w:val="auto"/>
                <w:sz w:val="21"/>
                <w:szCs w:val="21"/>
                <w:highlight w:val="none"/>
                <w:lang w:val="en-US" w:bidi="ar-SA"/>
              </w:rPr>
              <w:t>8、支持基于应用优化、TCP优化、数据压缩、消除冗余数据的双边加速技术，提高用户的上网体验。</w:t>
            </w:r>
            <w:r>
              <w:rPr>
                <w:rFonts w:hint="eastAsia"/>
                <w:color w:val="auto"/>
                <w:sz w:val="21"/>
                <w:szCs w:val="21"/>
                <w:highlight w:val="none"/>
                <w:lang w:val="en-US" w:bidi="ar-SA"/>
              </w:rPr>
              <w:br w:type="textWrapping"/>
            </w:r>
            <w:r>
              <w:rPr>
                <w:rFonts w:hint="eastAsia"/>
                <w:color w:val="auto"/>
                <w:sz w:val="21"/>
                <w:szCs w:val="21"/>
                <w:highlight w:val="none"/>
                <w:lang w:val="en-US" w:bidi="ar-SA"/>
              </w:rPr>
              <w:t>9、支持特定外部网络资源和内部特定用户的免认证功能。</w:t>
            </w:r>
            <w:r>
              <w:rPr>
                <w:rFonts w:hint="eastAsia"/>
                <w:color w:val="auto"/>
                <w:sz w:val="21"/>
                <w:szCs w:val="21"/>
                <w:highlight w:val="none"/>
                <w:lang w:val="en-US" w:bidi="ar-SA"/>
              </w:rPr>
              <w:br w:type="textWrapping"/>
            </w:r>
            <w:r>
              <w:rPr>
                <w:rFonts w:hint="eastAsia"/>
                <w:color w:val="auto"/>
                <w:sz w:val="21"/>
                <w:szCs w:val="21"/>
                <w:highlight w:val="none"/>
                <w:lang w:val="en-US" w:bidi="ar-SA"/>
              </w:rPr>
              <w:t>10、设备能够发现私接路由（或者共享软件等）共享网络的行为</w:t>
            </w:r>
            <w:r>
              <w:rPr>
                <w:rFonts w:hint="eastAsia"/>
                <w:color w:val="auto"/>
                <w:sz w:val="21"/>
                <w:szCs w:val="21"/>
                <w:highlight w:val="none"/>
                <w:lang w:val="en-US" w:bidi="ar-SA"/>
              </w:rPr>
              <w:br w:type="textWrapping"/>
            </w:r>
            <w:r>
              <w:rPr>
                <w:rFonts w:hint="eastAsia"/>
                <w:color w:val="auto"/>
                <w:sz w:val="21"/>
                <w:szCs w:val="21"/>
                <w:highlight w:val="none"/>
                <w:lang w:val="en-US" w:bidi="ar-SA"/>
              </w:rPr>
              <w:t>11、能够实时看到各级流控策略的状态：包括所属线路、瞬时速率、通道占用比例、用户数、保证带宽、最大带宽、启用状态等。</w:t>
            </w:r>
            <w:r>
              <w:rPr>
                <w:rFonts w:hint="eastAsia"/>
                <w:color w:val="auto"/>
                <w:sz w:val="21"/>
                <w:szCs w:val="21"/>
                <w:highlight w:val="none"/>
                <w:lang w:val="en-US" w:bidi="ar-SA"/>
              </w:rPr>
              <w:br w:type="textWrapping"/>
            </w:r>
            <w:r>
              <w:rPr>
                <w:rFonts w:hint="eastAsia"/>
                <w:color w:val="auto"/>
                <w:sz w:val="21"/>
                <w:szCs w:val="21"/>
                <w:highlight w:val="none"/>
                <w:lang w:val="en-US" w:bidi="ar-SA"/>
              </w:rPr>
              <w:t>12、支持通过抑制P2P流量，能够有对P2P软件进行限速从而避免流量浪费，提升外网带宽利用率。</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13、为方便用户远程接入，设备需支持SSL VPN，并提供200路免费SSL VPN接入授权； </w:t>
            </w:r>
            <w:r>
              <w:rPr>
                <w:rFonts w:hint="eastAsia"/>
                <w:color w:val="auto"/>
                <w:sz w:val="21"/>
                <w:szCs w:val="21"/>
                <w:highlight w:val="none"/>
                <w:lang w:val="en-US" w:bidi="ar-SA"/>
              </w:rPr>
              <w:br w:type="textWrapping"/>
            </w:r>
            <w:r>
              <w:rPr>
                <w:rFonts w:hint="eastAsia"/>
                <w:color w:val="auto"/>
                <w:sz w:val="21"/>
                <w:szCs w:val="21"/>
                <w:highlight w:val="none"/>
                <w:lang w:val="en-US" w:bidi="ar-SA"/>
              </w:rPr>
              <w:t>14、为了可以对全网设备进行统一的可视化集中管理，要求所投路由设备支持管理平台的集中管理，能够实现拓扑呈现，实时反馈CPU内存情况，远程配置等，要求实配网管平台。</w:t>
            </w:r>
            <w:r>
              <w:rPr>
                <w:rFonts w:hint="eastAsia"/>
                <w:color w:val="auto"/>
                <w:sz w:val="21"/>
                <w:szCs w:val="21"/>
                <w:highlight w:val="none"/>
                <w:lang w:val="en-US" w:bidi="ar-SA"/>
              </w:rPr>
              <w:br w:type="textWrapping"/>
            </w:r>
            <w:r>
              <w:rPr>
                <w:rFonts w:hint="eastAsia"/>
                <w:color w:val="auto"/>
                <w:sz w:val="21"/>
                <w:szCs w:val="21"/>
                <w:highlight w:val="none"/>
                <w:lang w:val="en-US" w:bidi="ar-SA"/>
              </w:rPr>
              <w:t>15、为方便新建项目开局，要求设备支持对全网同品牌设备进行统一的发现，并通过网关对交换、AP、AC进行集中化的调试，避免各区域分别调试的麻烦。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通信链路</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1.名称:通信链路（宽带）</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2.规格:质保期（≥2年）内运营商互联网通信链路，带宽≥200Mbps</w:t>
            </w:r>
          </w:p>
        </w:tc>
        <w:tc>
          <w:tcPr>
            <w:tcW w:w="252" w:type="pct"/>
            <w:shd w:val="clear" w:color="auto" w:fill="FFFFFF"/>
            <w:noWrap w:val="0"/>
            <w:vAlign w:val="center"/>
          </w:tcPr>
          <w:p>
            <w:pPr>
              <w:keepNext w:val="0"/>
              <w:keepLines w:val="0"/>
              <w:widowControl/>
              <w:suppressLineNumbers w:val="0"/>
              <w:jc w:val="center"/>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条/2年</w:t>
            </w:r>
          </w:p>
        </w:tc>
        <w:tc>
          <w:tcPr>
            <w:tcW w:w="252" w:type="pct"/>
            <w:shd w:val="clear" w:color="auto" w:fill="FFFFFF"/>
            <w:noWrap w:val="0"/>
            <w:vAlign w:val="center"/>
          </w:tcPr>
          <w:p>
            <w:pPr>
              <w:keepNext w:val="0"/>
              <w:keepLines w:val="0"/>
              <w:widowControl/>
              <w:suppressLineNumbers w:val="0"/>
              <w:jc w:val="right"/>
              <w:textAlignment w:val="center"/>
              <w:rPr>
                <w:rFonts w:hint="eastAsia"/>
                <w:color w:val="auto"/>
                <w:sz w:val="21"/>
                <w:szCs w:val="21"/>
                <w:highlight w:val="none"/>
                <w:lang w:val="en-US" w:bidi="ar-SA"/>
              </w:rPr>
            </w:pPr>
            <w:r>
              <w:rPr>
                <w:rFonts w:hint="eastAsia" w:ascii="宋体" w:hAnsi="宋体" w:eastAsia="宋体" w:cs="宋体"/>
                <w:i w:val="0"/>
                <w:iCs w:val="0"/>
                <w:color w:val="auto"/>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24口核心交换机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1、固化端口：≥24个10/100/1000Mbps光口，≥4个SFP+光口，8个复用千兆电口标准1U设备，提供官网截图证明；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2、交换容量≥336Gbps，包转发率≥108Mpps，提供官网截图证明；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3、为避免网络被异常流量和突发流量波及导致网络瘫痪，要求设备支持QOS，支持端口流量限速；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4、支持专门针对CPU的保护机制，能够针对发往CPU处理的各种报文进行流量控制和优先级处理，保护交换机在各种环境下稳定工作； </w:t>
            </w:r>
            <w:r>
              <w:rPr>
                <w:rFonts w:hint="eastAsia"/>
                <w:color w:val="auto"/>
                <w:sz w:val="21"/>
                <w:szCs w:val="21"/>
                <w:highlight w:val="none"/>
                <w:lang w:val="en-US" w:bidi="ar-SA"/>
              </w:rPr>
              <w:br w:type="textWrapping"/>
            </w:r>
            <w:r>
              <w:rPr>
                <w:rFonts w:hint="eastAsia"/>
                <w:color w:val="auto"/>
                <w:sz w:val="21"/>
                <w:szCs w:val="21"/>
                <w:highlight w:val="none"/>
                <w:lang w:val="en-US" w:bidi="ar-SA"/>
              </w:rPr>
              <w:t>5、支持标准的ACL、支持基于IP/MAC扩展的AC；</w:t>
            </w:r>
            <w:r>
              <w:rPr>
                <w:rFonts w:hint="eastAsia"/>
                <w:color w:val="auto"/>
                <w:sz w:val="21"/>
                <w:szCs w:val="21"/>
                <w:highlight w:val="none"/>
                <w:lang w:val="en-US" w:bidi="ar-SA"/>
              </w:rPr>
              <w:br w:type="textWrapping"/>
            </w:r>
            <w:r>
              <w:rPr>
                <w:rFonts w:hint="eastAsia"/>
                <w:color w:val="auto"/>
                <w:sz w:val="21"/>
                <w:szCs w:val="21"/>
                <w:highlight w:val="none"/>
                <w:lang w:val="en-US" w:bidi="ar-SA"/>
              </w:rPr>
              <w:t>6、符合国家低碳环保等政策要求，支持IEEE 802.3az标准的EEE节能技术；</w:t>
            </w:r>
            <w:r>
              <w:rPr>
                <w:rFonts w:hint="eastAsia"/>
                <w:color w:val="auto"/>
                <w:sz w:val="21"/>
                <w:szCs w:val="21"/>
                <w:highlight w:val="none"/>
                <w:lang w:val="en-US" w:bidi="ar-SA"/>
              </w:rPr>
              <w:br w:type="textWrapping"/>
            </w:r>
            <w:r>
              <w:rPr>
                <w:rFonts w:hint="eastAsia"/>
                <w:color w:val="auto"/>
                <w:sz w:val="21"/>
                <w:szCs w:val="21"/>
                <w:highlight w:val="none"/>
                <w:lang w:val="en-US" w:bidi="ar-SA"/>
              </w:rPr>
              <w:t>7、支持网管平台管理，通过可上网的PC或者手机，即可完成部署，即插即用，支持可视化整网拓扑、前面板端口通断状态呈现、CPU、内存利用率、设备配置等功能；</w:t>
            </w:r>
            <w:r>
              <w:rPr>
                <w:rFonts w:hint="eastAsia"/>
                <w:color w:val="auto"/>
                <w:sz w:val="21"/>
                <w:szCs w:val="21"/>
                <w:highlight w:val="none"/>
                <w:lang w:val="en-US" w:bidi="ar-SA"/>
              </w:rPr>
              <w:br w:type="textWrapping"/>
            </w:r>
            <w:r>
              <w:rPr>
                <w:rFonts w:hint="eastAsia"/>
                <w:color w:val="auto"/>
                <w:sz w:val="21"/>
                <w:szCs w:val="21"/>
                <w:highlight w:val="none"/>
                <w:lang w:val="en-US" w:bidi="ar-SA"/>
              </w:rPr>
              <w:t>8、为方便新建项目开局，要求设备支持对全网同品牌设备进行统一的发现，并通过网关对交换、AP、AC进行集中化的调试，避免各区域分别调试的麻烦。如需要依赖于外部软件实现，需免费提供软件；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48口接入交换机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1、固化端口：≥48个10/100/1000Mbps电口，≥4个SFP光口，标准1U设备，提供官网截图证明；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2、交换容量≥336Gbps，包转发率≥87Mpps，提供官网截图证明；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3、支持 MAC地址容量≥16K，三层SVI接口≥16个；</w:t>
            </w:r>
            <w:r>
              <w:rPr>
                <w:rFonts w:hint="eastAsia"/>
                <w:color w:val="auto"/>
                <w:sz w:val="21"/>
                <w:szCs w:val="21"/>
                <w:highlight w:val="none"/>
                <w:lang w:val="en-US" w:bidi="ar-SA"/>
              </w:rPr>
              <w:br w:type="textWrapping"/>
            </w:r>
            <w:r>
              <w:rPr>
                <w:rFonts w:hint="eastAsia"/>
                <w:color w:val="auto"/>
                <w:sz w:val="21"/>
                <w:szCs w:val="21"/>
                <w:highlight w:val="none"/>
                <w:lang w:val="en-US" w:bidi="ar-SA"/>
              </w:rPr>
              <w:t>4、为避免网络被异常流量和突发流量波及导致网络瘫痪，要求设备支持QOS，支持端口流量限速；</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5、支持专门针对CPU的保护机制，能够针对发往CPU处理的各种报文进行流量控制和优先级处理，保护交换机在各种环境下稳定工作； </w:t>
            </w:r>
            <w:r>
              <w:rPr>
                <w:rFonts w:hint="eastAsia"/>
                <w:color w:val="auto"/>
                <w:sz w:val="21"/>
                <w:szCs w:val="21"/>
                <w:highlight w:val="none"/>
                <w:lang w:val="en-US" w:bidi="ar-SA"/>
              </w:rPr>
              <w:br w:type="textWrapping"/>
            </w:r>
            <w:r>
              <w:rPr>
                <w:rFonts w:hint="eastAsia"/>
                <w:color w:val="auto"/>
                <w:sz w:val="21"/>
                <w:szCs w:val="21"/>
                <w:highlight w:val="none"/>
                <w:lang w:val="en-US" w:bidi="ar-SA"/>
              </w:rPr>
              <w:t>6、支持标准的ACL、支持基于IP/MAC扩展的ACL；</w:t>
            </w:r>
            <w:r>
              <w:rPr>
                <w:rFonts w:hint="eastAsia"/>
                <w:color w:val="auto"/>
                <w:sz w:val="21"/>
                <w:szCs w:val="21"/>
                <w:highlight w:val="none"/>
                <w:lang w:val="en-US" w:bidi="ar-SA"/>
              </w:rPr>
              <w:br w:type="textWrapping"/>
            </w:r>
            <w:r>
              <w:rPr>
                <w:rFonts w:hint="eastAsia"/>
                <w:color w:val="auto"/>
                <w:sz w:val="21"/>
                <w:szCs w:val="21"/>
                <w:highlight w:val="none"/>
                <w:lang w:val="en-US" w:bidi="ar-SA"/>
              </w:rPr>
              <w:t>7、符合国家低碳环保等政策要求，支持IEEE 802.3az标准的EEE节能技术；</w:t>
            </w:r>
            <w:r>
              <w:rPr>
                <w:rFonts w:hint="eastAsia"/>
                <w:color w:val="auto"/>
                <w:sz w:val="21"/>
                <w:szCs w:val="21"/>
                <w:highlight w:val="none"/>
                <w:lang w:val="en-US" w:bidi="ar-SA"/>
              </w:rPr>
              <w:br w:type="textWrapping"/>
            </w:r>
            <w:r>
              <w:rPr>
                <w:rFonts w:hint="eastAsia"/>
                <w:color w:val="auto"/>
                <w:sz w:val="21"/>
                <w:szCs w:val="21"/>
                <w:highlight w:val="none"/>
                <w:lang w:val="en-US" w:bidi="ar-SA"/>
              </w:rPr>
              <w:t>8、支持网管平台管理，通过可上网的PC或者手机，即可完成部署，即插即用，支持可视化整网拓扑、前面板端口通断状态呈现、CPU、内存利用率、设备配置等功能；</w:t>
            </w:r>
            <w:r>
              <w:rPr>
                <w:rFonts w:hint="eastAsia"/>
                <w:color w:val="auto"/>
                <w:sz w:val="21"/>
                <w:szCs w:val="21"/>
                <w:highlight w:val="none"/>
                <w:lang w:val="en-US" w:bidi="ar-SA"/>
              </w:rPr>
              <w:br w:type="textWrapping"/>
            </w:r>
            <w:r>
              <w:rPr>
                <w:rFonts w:hint="eastAsia"/>
                <w:color w:val="auto"/>
                <w:sz w:val="21"/>
                <w:szCs w:val="21"/>
                <w:highlight w:val="none"/>
                <w:lang w:val="en-US" w:bidi="ar-SA"/>
              </w:rPr>
              <w:t>9、为方便新建项目开局，要求设备支持对全网同品牌设备进行统一的发现，并通过网关对交换、AP、AC进行集中化的调试，避免各区域分别调试的麻烦。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社区机房配套空调</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名称：社区机房配套空调（含室内外机、铜管、排水管、线材、支架等相关配件）</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立式三匹空调</w:t>
            </w:r>
            <w:r>
              <w:rPr>
                <w:rFonts w:hint="eastAsia"/>
                <w:color w:val="auto"/>
                <w:sz w:val="21"/>
                <w:szCs w:val="21"/>
                <w:highlight w:val="none"/>
                <w:lang w:val="en-US" w:bidi="ar-SA"/>
              </w:rPr>
              <w:br w:type="textWrapping"/>
            </w:r>
            <w:r>
              <w:rPr>
                <w:rFonts w:hint="eastAsia"/>
                <w:color w:val="auto"/>
                <w:sz w:val="21"/>
                <w:szCs w:val="21"/>
                <w:highlight w:val="none"/>
                <w:lang w:val="en-US" w:bidi="ar-SA"/>
              </w:rPr>
              <w:t>制冷剂：R32</w:t>
            </w:r>
            <w:r>
              <w:rPr>
                <w:rFonts w:hint="eastAsia"/>
                <w:color w:val="auto"/>
                <w:sz w:val="21"/>
                <w:szCs w:val="21"/>
                <w:highlight w:val="none"/>
                <w:lang w:val="en-US" w:bidi="ar-SA"/>
              </w:rPr>
              <w:br w:type="textWrapping"/>
            </w:r>
            <w:r>
              <w:rPr>
                <w:rFonts w:hint="eastAsia"/>
                <w:color w:val="auto"/>
                <w:sz w:val="21"/>
                <w:szCs w:val="21"/>
                <w:highlight w:val="none"/>
                <w:lang w:val="en-US" w:bidi="ar-SA"/>
              </w:rPr>
              <w:t>电压/频率：220V/50Hz</w:t>
            </w:r>
            <w:r>
              <w:rPr>
                <w:rFonts w:hint="eastAsia"/>
                <w:color w:val="auto"/>
                <w:sz w:val="21"/>
                <w:szCs w:val="21"/>
                <w:highlight w:val="none"/>
                <w:lang w:val="en-US" w:bidi="ar-SA"/>
              </w:rPr>
              <w:br w:type="textWrapping"/>
            </w:r>
            <w:r>
              <w:rPr>
                <w:rFonts w:hint="eastAsia"/>
                <w:color w:val="auto"/>
                <w:sz w:val="21"/>
                <w:szCs w:val="21"/>
                <w:highlight w:val="none"/>
                <w:lang w:val="en-US" w:bidi="ar-SA"/>
              </w:rPr>
              <w:t>制热功率：3110W</w:t>
            </w:r>
            <w:r>
              <w:rPr>
                <w:rFonts w:hint="eastAsia"/>
                <w:color w:val="auto"/>
                <w:sz w:val="21"/>
                <w:szCs w:val="21"/>
                <w:highlight w:val="none"/>
                <w:lang w:val="en-US" w:bidi="ar-SA"/>
              </w:rPr>
              <w:br w:type="textWrapping"/>
            </w:r>
            <w:r>
              <w:rPr>
                <w:rFonts w:hint="eastAsia"/>
                <w:color w:val="auto"/>
                <w:sz w:val="21"/>
                <w:szCs w:val="21"/>
                <w:highlight w:val="none"/>
                <w:lang w:val="en-US" w:bidi="ar-SA"/>
              </w:rPr>
              <w:t>循环风量：1310m3/h</w:t>
            </w:r>
            <w:r>
              <w:rPr>
                <w:rFonts w:hint="eastAsia"/>
                <w:color w:val="auto"/>
                <w:sz w:val="21"/>
                <w:szCs w:val="21"/>
                <w:highlight w:val="none"/>
                <w:lang w:val="en-US" w:bidi="ar-SA"/>
              </w:rPr>
              <w:br w:type="textWrapping"/>
            </w:r>
            <w:r>
              <w:rPr>
                <w:rFonts w:hint="eastAsia"/>
                <w:color w:val="auto"/>
                <w:sz w:val="21"/>
                <w:szCs w:val="21"/>
                <w:highlight w:val="none"/>
                <w:lang w:val="en-US" w:bidi="ar-SA"/>
              </w:rPr>
              <w:t>制热量：9420W</w:t>
            </w:r>
            <w:r>
              <w:rPr>
                <w:rFonts w:hint="eastAsia"/>
                <w:color w:val="auto"/>
                <w:sz w:val="21"/>
                <w:szCs w:val="21"/>
                <w:highlight w:val="none"/>
                <w:lang w:val="en-US" w:bidi="ar-SA"/>
              </w:rPr>
              <w:br w:type="textWrapping"/>
            </w:r>
            <w:r>
              <w:rPr>
                <w:rFonts w:hint="eastAsia"/>
                <w:color w:val="auto"/>
                <w:sz w:val="21"/>
                <w:szCs w:val="21"/>
                <w:highlight w:val="none"/>
                <w:lang w:val="en-US" w:bidi="ar-SA"/>
              </w:rPr>
              <w:t>扫风方式：上下/左右扫风</w:t>
            </w:r>
            <w:r>
              <w:rPr>
                <w:rFonts w:hint="eastAsia"/>
                <w:color w:val="auto"/>
                <w:sz w:val="21"/>
                <w:szCs w:val="21"/>
                <w:highlight w:val="none"/>
                <w:lang w:val="en-US" w:bidi="ar-SA"/>
              </w:rPr>
              <w:br w:type="textWrapping"/>
            </w:r>
            <w:r>
              <w:rPr>
                <w:rFonts w:hint="eastAsia"/>
                <w:color w:val="auto"/>
                <w:sz w:val="21"/>
                <w:szCs w:val="21"/>
                <w:highlight w:val="none"/>
                <w:lang w:val="en-US" w:bidi="ar-SA"/>
              </w:rPr>
              <w:t>制冷功率：2350W</w:t>
            </w:r>
            <w:r>
              <w:rPr>
                <w:rFonts w:hint="eastAsia"/>
                <w:color w:val="auto"/>
                <w:sz w:val="21"/>
                <w:szCs w:val="21"/>
                <w:highlight w:val="none"/>
                <w:lang w:val="en-US" w:bidi="ar-SA"/>
              </w:rPr>
              <w:br w:type="textWrapping"/>
            </w:r>
            <w:r>
              <w:rPr>
                <w:rFonts w:hint="eastAsia"/>
                <w:color w:val="auto"/>
                <w:sz w:val="21"/>
                <w:szCs w:val="21"/>
                <w:highlight w:val="none"/>
                <w:lang w:val="en-US" w:bidi="ar-SA"/>
              </w:rPr>
              <w:t>制冷量：7300W</w:t>
            </w:r>
            <w:r>
              <w:rPr>
                <w:rFonts w:hint="eastAsia"/>
                <w:color w:val="auto"/>
                <w:sz w:val="21"/>
                <w:szCs w:val="21"/>
                <w:highlight w:val="none"/>
                <w:lang w:val="en-US" w:bidi="ar-SA"/>
              </w:rPr>
              <w:br w:type="textWrapping"/>
            </w:r>
            <w:r>
              <w:rPr>
                <w:rFonts w:hint="eastAsia"/>
                <w:color w:val="auto"/>
                <w:sz w:val="21"/>
                <w:szCs w:val="21"/>
                <w:highlight w:val="none"/>
                <w:lang w:val="en-US" w:bidi="ar-SA"/>
              </w:rPr>
              <w:t>外机最大噪音：56dB(A)</w:t>
            </w:r>
            <w:r>
              <w:rPr>
                <w:rFonts w:hint="eastAsia"/>
                <w:color w:val="auto"/>
                <w:sz w:val="21"/>
                <w:szCs w:val="21"/>
                <w:highlight w:val="none"/>
                <w:lang w:val="en-US" w:bidi="ar-SA"/>
              </w:rPr>
              <w:br w:type="textWrapping"/>
            </w:r>
            <w:r>
              <w:rPr>
                <w:rFonts w:hint="eastAsia"/>
                <w:color w:val="auto"/>
                <w:sz w:val="21"/>
                <w:szCs w:val="21"/>
                <w:highlight w:val="none"/>
                <w:lang w:val="en-US" w:bidi="ar-SA"/>
              </w:rPr>
              <w:t>内机最大噪音：46dB(A)</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33</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室外重点场所监控</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人脸抓拍功能摄像机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星光级1/1.8" CMOS AI抓拍筒型网络摄像机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采用深度学习算法，以海量图片及视频资源为路基，通过机器自身提取目标特征，形成深层可供学习的人脸图像。极大的提升了目标人脸的检出率</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支持智能资源模式切换：人脸抓拍、道路监控、Smart事件、人数统计</w:t>
            </w:r>
            <w:r>
              <w:rPr>
                <w:rFonts w:hint="eastAsia"/>
                <w:color w:val="auto"/>
                <w:sz w:val="21"/>
                <w:szCs w:val="21"/>
                <w:highlight w:val="none"/>
                <w:lang w:val="en-US" w:bidi="ar-SA"/>
              </w:rPr>
              <w:br w:type="textWrapping"/>
            </w:r>
            <w:r>
              <w:rPr>
                <w:rFonts w:hint="eastAsia"/>
                <w:color w:val="auto"/>
                <w:sz w:val="21"/>
                <w:szCs w:val="21"/>
                <w:highlight w:val="none"/>
                <w:lang w:val="en-US" w:bidi="ar-SA"/>
              </w:rPr>
              <w:t>人脸抓拍模式：a)支持对运动人脸进行检测、跟踪、抓拍、评分、筛选，输出最优的人脸，b)支持人脸去误报、快速抓拍人脸，c)支持快速抓拍和最佳抓拍两种模式，d)最多同时检测30张人脸，e)支持人脸去重</w:t>
            </w:r>
            <w:r>
              <w:rPr>
                <w:rFonts w:hint="eastAsia"/>
                <w:color w:val="auto"/>
                <w:sz w:val="21"/>
                <w:szCs w:val="21"/>
                <w:highlight w:val="none"/>
                <w:lang w:val="en-US" w:bidi="ar-SA"/>
              </w:rPr>
              <w:br w:type="textWrapping"/>
            </w:r>
            <w:r>
              <w:rPr>
                <w:rFonts w:hint="eastAsia"/>
                <w:color w:val="auto"/>
                <w:sz w:val="21"/>
                <w:szCs w:val="21"/>
                <w:highlight w:val="none"/>
                <w:lang w:val="en-US" w:bidi="ar-SA"/>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color w:val="auto"/>
                <w:sz w:val="21"/>
                <w:szCs w:val="21"/>
                <w:highlight w:val="none"/>
                <w:lang w:val="en-US" w:bidi="ar-SA"/>
              </w:rPr>
              <w:br w:type="textWrapping"/>
            </w:r>
            <w:r>
              <w:rPr>
                <w:rFonts w:hint="eastAsia"/>
                <w:color w:val="auto"/>
                <w:sz w:val="21"/>
                <w:szCs w:val="21"/>
                <w:highlight w:val="none"/>
                <w:lang w:val="en-US" w:bidi="ar-SA"/>
              </w:rPr>
              <w:t>Smart事件模式： 支持越界侦测，区域入侵侦测，进入/离开区域侦测，徘徊侦测，人员聚集侦测，快速运动侦测，停车侦测，物品遗留/拿取侦测，场景变更侦测，音频陡升/陡降侦测，音频有无侦测，虚焦侦测</w:t>
            </w:r>
            <w:r>
              <w:rPr>
                <w:rFonts w:hint="eastAsia"/>
                <w:color w:val="auto"/>
                <w:sz w:val="21"/>
                <w:szCs w:val="21"/>
                <w:highlight w:val="none"/>
                <w:lang w:val="en-US" w:bidi="ar-SA"/>
              </w:rPr>
              <w:br w:type="textWrapping"/>
            </w:r>
            <w:r>
              <w:rPr>
                <w:rFonts w:hint="eastAsia"/>
                <w:color w:val="auto"/>
                <w:sz w:val="21"/>
                <w:szCs w:val="21"/>
                <w:highlight w:val="none"/>
                <w:lang w:val="en-US" w:bidi="ar-SA"/>
              </w:rPr>
              <w:t>人数统计模式：a)人员统计：支持实时报警，人数变化报警和拥堵等级变化报警，并支持人数异常和停留时间异常报警，b)行为分析：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color w:val="auto"/>
                <w:sz w:val="21"/>
                <w:szCs w:val="21"/>
                <w:highlight w:val="none"/>
                <w:lang w:val="en-US" w:bidi="ar-SA"/>
              </w:rPr>
              <w:br w:type="textWrapping"/>
            </w:r>
            <w:r>
              <w:rPr>
                <w:rFonts w:hint="eastAsia"/>
                <w:color w:val="auto"/>
                <w:sz w:val="21"/>
                <w:szCs w:val="21"/>
                <w:highlight w:val="none"/>
                <w:lang w:val="en-US" w:bidi="ar-SA"/>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彩色：0.0005 Lux @（F1.2，AGC ON），0 Lux with Light；黑白：0.0001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120dB</w:t>
            </w:r>
            <w:r>
              <w:rPr>
                <w:rFonts w:hint="eastAsia"/>
                <w:color w:val="auto"/>
                <w:sz w:val="21"/>
                <w:szCs w:val="21"/>
                <w:highlight w:val="none"/>
                <w:lang w:val="en-US" w:bidi="ar-SA"/>
              </w:rPr>
              <w:br w:type="textWrapping"/>
            </w:r>
            <w:r>
              <w:rPr>
                <w:rFonts w:hint="eastAsia"/>
                <w:color w:val="auto"/>
                <w:sz w:val="21"/>
                <w:szCs w:val="21"/>
                <w:highlight w:val="none"/>
                <w:lang w:val="en-US" w:bidi="ar-SA"/>
              </w:rPr>
              <w:t>焦距&amp;视场角: 2.8~12 mm：水平视场角：107°~39.8°，垂直视场角：56°~22.4°，对角线视场角：130.1°~45.7°</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红外，850nm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2.8~12 mm：普通监控：50 m，人脸抓拍/识别：7 m</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H.265/H.264/MJPEG</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支持Micro SD(即TF卡)/Micro SDHC/Micro SDXC卡（最大256 GB）断网本地存储及断网续传，NAS（NFS，SMB/CIFS均支持），配合黑卡支持SD卡加密及SD卡状态检测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2 路输入（Line in），1路输出（Line out）</w:t>
            </w:r>
            <w:r>
              <w:rPr>
                <w:rFonts w:hint="eastAsia"/>
                <w:color w:val="auto"/>
                <w:sz w:val="21"/>
                <w:szCs w:val="21"/>
                <w:highlight w:val="none"/>
                <w:lang w:val="en-US" w:bidi="ar-SA"/>
              </w:rPr>
              <w:br w:type="textWrapping"/>
            </w:r>
            <w:r>
              <w:rPr>
                <w:rFonts w:hint="eastAsia"/>
                <w:color w:val="auto"/>
                <w:sz w:val="21"/>
                <w:szCs w:val="21"/>
                <w:highlight w:val="none"/>
                <w:lang w:val="en-US" w:bidi="ar-SA"/>
              </w:rPr>
              <w:t>接口类型: 外甩线</w:t>
            </w:r>
            <w:r>
              <w:rPr>
                <w:rFonts w:hint="eastAsia"/>
                <w:color w:val="auto"/>
                <w:sz w:val="21"/>
                <w:szCs w:val="21"/>
                <w:highlight w:val="none"/>
                <w:lang w:val="en-US" w:bidi="ar-SA"/>
              </w:rPr>
              <w:br w:type="textWrapping"/>
            </w:r>
            <w:r>
              <w:rPr>
                <w:rFonts w:hint="eastAsia"/>
                <w:color w:val="auto"/>
                <w:sz w:val="21"/>
                <w:szCs w:val="21"/>
                <w:highlight w:val="none"/>
                <w:lang w:val="en-US" w:bidi="ar-SA"/>
              </w:rPr>
              <w:t>报警: 3路输入，2路输出（报警输入支持开关量，报警输出最大支持DC12 V，30 mA）</w:t>
            </w:r>
            <w:r>
              <w:rPr>
                <w:rFonts w:hint="eastAsia"/>
                <w:color w:val="auto"/>
                <w:sz w:val="21"/>
                <w:szCs w:val="21"/>
                <w:highlight w:val="none"/>
                <w:lang w:val="en-US" w:bidi="ar-SA"/>
              </w:rPr>
              <w:br w:type="textWrapping"/>
            </w:r>
            <w:r>
              <w:rPr>
                <w:rFonts w:hint="eastAsia"/>
                <w:color w:val="auto"/>
                <w:sz w:val="21"/>
                <w:szCs w:val="21"/>
                <w:highlight w:val="none"/>
                <w:lang w:val="en-US" w:bidi="ar-SA"/>
              </w:rPr>
              <w:t>支持RS-485</w:t>
            </w:r>
            <w:r>
              <w:rPr>
                <w:rFonts w:hint="eastAsia"/>
                <w:color w:val="auto"/>
                <w:sz w:val="21"/>
                <w:szCs w:val="21"/>
                <w:highlight w:val="none"/>
                <w:lang w:val="en-US" w:bidi="ar-SA"/>
              </w:rPr>
              <w:br w:type="textWrapping"/>
            </w:r>
            <w:r>
              <w:rPr>
                <w:rFonts w:hint="eastAsia"/>
                <w:color w:val="auto"/>
                <w:sz w:val="21"/>
                <w:szCs w:val="21"/>
                <w:highlight w:val="none"/>
                <w:lang w:val="en-US" w:bidi="ar-SA"/>
              </w:rPr>
              <w:t>复位: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电源输出: DC12 V，100 mA</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电流及功耗: DC：12 V，1.33 A，最大功耗：15.9 W；PoE：802.3at，42.5 V~57 V，0.35 A~0.26 A，最大功耗：14.8 W </w:t>
            </w:r>
            <w:r>
              <w:rPr>
                <w:rFonts w:hint="eastAsia"/>
                <w:color w:val="auto"/>
                <w:sz w:val="21"/>
                <w:szCs w:val="21"/>
                <w:highlight w:val="none"/>
                <w:lang w:val="en-US" w:bidi="ar-SA"/>
              </w:rPr>
              <w:br w:type="textWrapping"/>
            </w:r>
            <w:r>
              <w:rPr>
                <w:rFonts w:hint="eastAsia"/>
                <w:color w:val="auto"/>
                <w:sz w:val="21"/>
                <w:szCs w:val="21"/>
                <w:highlight w:val="none"/>
                <w:lang w:val="en-US" w:bidi="ar-SA"/>
              </w:rPr>
              <w:t>线缆长度: 35cm</w:t>
            </w:r>
            <w:r>
              <w:rPr>
                <w:rFonts w:hint="eastAsia"/>
                <w:color w:val="auto"/>
                <w:sz w:val="21"/>
                <w:szCs w:val="21"/>
                <w:highlight w:val="none"/>
                <w:lang w:val="en-US" w:bidi="ar-SA"/>
              </w:rPr>
              <w:br w:type="textWrapping"/>
            </w:r>
            <w:r>
              <w:rPr>
                <w:rFonts w:hint="eastAsia"/>
                <w:color w:val="auto"/>
                <w:sz w:val="21"/>
                <w:szCs w:val="21"/>
                <w:highlight w:val="none"/>
                <w:lang w:val="en-US" w:bidi="ar-SA"/>
              </w:rPr>
              <w:t>包装尺寸: 385×158×155mm</w:t>
            </w:r>
            <w:r>
              <w:rPr>
                <w:rFonts w:hint="eastAsia"/>
                <w:color w:val="auto"/>
                <w:sz w:val="21"/>
                <w:szCs w:val="21"/>
                <w:highlight w:val="none"/>
                <w:lang w:val="en-US" w:bidi="ar-SA"/>
              </w:rPr>
              <w:br w:type="textWrapping"/>
            </w:r>
            <w:r>
              <w:rPr>
                <w:rFonts w:hint="eastAsia"/>
                <w:color w:val="auto"/>
                <w:sz w:val="21"/>
                <w:szCs w:val="21"/>
                <w:highlight w:val="none"/>
                <w:lang w:val="en-US" w:bidi="ar-SA"/>
              </w:rPr>
              <w:t>存储温湿度: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DC：12V±20% ，支持防反接保护；PoE：802.3at,Type 2 Class 4</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3芯接口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IP67</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★支持硬件微引导程序、uboot、OS、应用软件逐级校验功能，非法篡改的uboot、OS、应用软件固件包，不能通过命令行、浏览器、客户端方式进行升级。（</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在IE浏览器下，具有设备重启和布防动态报警数据感知与记录功能，布防动态报警数据包括异常掉线、历史布防、实时布防3种类型；可记录报警的开始时间、结束时间、布防类型、报警链路地址、端口、链路续传。（</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★支持通过IE浏览器设置登录超时时间，当登录后无操作时长达到设置阈值后，设备自动退出并重新进入登录界面。（</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highlight w:val="none"/>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12V/10A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监控摄像设备</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室外监控立杆（普通）:3.5m，含立杆防雷箱，基础接地等附件，表面热镀锌处理，镀锌扁钢40mm*4mm,L:500mm，镀锌角钢50mm*5mm,L:2500mm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37</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社区治理智能物联感知</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感烟火灾探测报警器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名称：感烟火灾探测报警器（三合一版、含调试）</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主要技术参数:额定电压:DC3V</w:t>
            </w:r>
            <w:r>
              <w:rPr>
                <w:rFonts w:hint="eastAsia"/>
                <w:color w:val="auto"/>
                <w:sz w:val="21"/>
                <w:szCs w:val="21"/>
                <w:highlight w:val="none"/>
                <w:lang w:val="en-US" w:bidi="ar-SA"/>
              </w:rPr>
              <w:br w:type="textWrapping"/>
            </w:r>
            <w:r>
              <w:rPr>
                <w:rFonts w:hint="eastAsia"/>
                <w:color w:val="auto"/>
                <w:sz w:val="21"/>
                <w:szCs w:val="21"/>
                <w:highlight w:val="none"/>
                <w:lang w:val="en-US" w:bidi="ar-SA"/>
              </w:rPr>
              <w:t>产品特性描述:</w:t>
            </w:r>
            <w:r>
              <w:rPr>
                <w:rFonts w:hint="eastAsia"/>
                <w:color w:val="auto"/>
                <w:sz w:val="21"/>
                <w:szCs w:val="21"/>
                <w:highlight w:val="none"/>
                <w:lang w:val="en-US" w:bidi="ar-SA"/>
              </w:rPr>
              <w:br w:type="textWrapping"/>
            </w:r>
            <w:r>
              <w:rPr>
                <w:rFonts w:hint="eastAsia"/>
                <w:color w:val="auto"/>
                <w:sz w:val="21"/>
                <w:szCs w:val="21"/>
                <w:highlight w:val="none"/>
                <w:lang w:val="en-US" w:bidi="ar-SA"/>
              </w:rPr>
              <w:t>1）外壳材质为塑料;</w:t>
            </w:r>
            <w:r>
              <w:rPr>
                <w:rFonts w:hint="eastAsia"/>
                <w:color w:val="auto"/>
                <w:sz w:val="21"/>
                <w:szCs w:val="21"/>
                <w:highlight w:val="none"/>
                <w:lang w:val="en-US" w:bidi="ar-SA"/>
              </w:rPr>
              <w:br w:type="textWrapping"/>
            </w:r>
            <w:r>
              <w:rPr>
                <w:rFonts w:hint="eastAsia"/>
                <w:color w:val="auto"/>
                <w:sz w:val="21"/>
                <w:szCs w:val="21"/>
                <w:highlight w:val="none"/>
                <w:lang w:val="en-US" w:bidi="ar-SA"/>
              </w:rPr>
              <w:t>2）由报警器和底座组成;</w:t>
            </w:r>
            <w:r>
              <w:rPr>
                <w:rFonts w:hint="eastAsia"/>
                <w:color w:val="auto"/>
                <w:sz w:val="21"/>
                <w:szCs w:val="21"/>
                <w:highlight w:val="none"/>
                <w:lang w:val="en-US" w:bidi="ar-SA"/>
              </w:rPr>
              <w:br w:type="textWrapping"/>
            </w:r>
            <w:r>
              <w:rPr>
                <w:rFonts w:hint="eastAsia"/>
                <w:color w:val="auto"/>
                <w:sz w:val="21"/>
                <w:szCs w:val="21"/>
                <w:highlight w:val="none"/>
                <w:lang w:val="en-US" w:bidi="ar-SA"/>
              </w:rPr>
              <w:t>3）为单点报警器;</w:t>
            </w:r>
            <w:r>
              <w:rPr>
                <w:rFonts w:hint="eastAsia"/>
                <w:color w:val="auto"/>
                <w:sz w:val="21"/>
                <w:szCs w:val="21"/>
                <w:highlight w:val="none"/>
                <w:lang w:val="en-US" w:bidi="ar-SA"/>
              </w:rPr>
              <w:br w:type="textWrapping"/>
            </w:r>
            <w:r>
              <w:rPr>
                <w:rFonts w:hint="eastAsia"/>
                <w:color w:val="auto"/>
                <w:sz w:val="21"/>
                <w:szCs w:val="21"/>
                <w:highlight w:val="none"/>
                <w:lang w:val="en-US" w:bidi="ar-SA"/>
              </w:rPr>
              <w:t>4)具有蜂鸣器,火灾报警状态时能发出声火灾报警信号;</w:t>
            </w:r>
            <w:r>
              <w:rPr>
                <w:rFonts w:hint="eastAsia"/>
                <w:color w:val="auto"/>
                <w:sz w:val="21"/>
                <w:szCs w:val="21"/>
                <w:highlight w:val="none"/>
                <w:lang w:val="en-US" w:bidi="ar-SA"/>
              </w:rPr>
              <w:br w:type="textWrapping"/>
            </w:r>
            <w:r>
              <w:rPr>
                <w:rFonts w:hint="eastAsia"/>
                <w:color w:val="auto"/>
                <w:sz w:val="21"/>
                <w:szCs w:val="21"/>
                <w:highlight w:val="none"/>
                <w:lang w:val="en-US" w:bidi="ar-SA"/>
              </w:rPr>
              <w:t>5）具有一个火灾报警确认灯，正常监视状态时不点亮，火灾报警状态时红色闪亮;</w:t>
            </w:r>
            <w:r>
              <w:rPr>
                <w:rFonts w:hint="eastAsia"/>
                <w:color w:val="auto"/>
                <w:sz w:val="21"/>
                <w:szCs w:val="21"/>
                <w:highlight w:val="none"/>
                <w:lang w:val="en-US" w:bidi="ar-SA"/>
              </w:rPr>
              <w:br w:type="textWrapping"/>
            </w:r>
            <w:r>
              <w:rPr>
                <w:rFonts w:hint="eastAsia"/>
                <w:color w:val="auto"/>
                <w:sz w:val="21"/>
                <w:szCs w:val="21"/>
                <w:highlight w:val="none"/>
                <w:lang w:val="en-US" w:bidi="ar-SA"/>
              </w:rPr>
              <w:t>6)采用内部3V电池供电，单节容量:3V 2400mAh、电池节数:1节。</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室外一键紧急报警盒（含3年4G卡）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摄像头 200W红外高清彩色摄像头，红外补光不小于5米（可视版支持）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镜头 水平视场角:86°</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H.264、H.265</w:t>
            </w:r>
            <w:r>
              <w:rPr>
                <w:rFonts w:hint="eastAsia"/>
                <w:color w:val="auto"/>
                <w:sz w:val="21"/>
                <w:szCs w:val="21"/>
                <w:highlight w:val="none"/>
                <w:lang w:val="en-US" w:bidi="ar-SA"/>
              </w:rPr>
              <w:br w:type="textWrapping"/>
            </w:r>
            <w:r>
              <w:rPr>
                <w:rFonts w:hint="eastAsia"/>
                <w:color w:val="auto"/>
                <w:sz w:val="21"/>
                <w:szCs w:val="21"/>
                <w:highlight w:val="none"/>
                <w:lang w:val="en-US" w:bidi="ar-SA"/>
              </w:rPr>
              <w:t>分辨率 1920*1080  帧率25fps</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音频参数 </w:t>
            </w:r>
            <w:r>
              <w:rPr>
                <w:rFonts w:hint="eastAsia"/>
                <w:color w:val="auto"/>
                <w:sz w:val="21"/>
                <w:szCs w:val="21"/>
                <w:highlight w:val="none"/>
                <w:lang w:val="en-US" w:bidi="ar-SA"/>
              </w:rPr>
              <w:br w:type="textWrapping"/>
            </w:r>
            <w:r>
              <w:rPr>
                <w:rFonts w:hint="eastAsia"/>
                <w:color w:val="auto"/>
                <w:sz w:val="21"/>
                <w:szCs w:val="21"/>
                <w:highlight w:val="none"/>
                <w:lang w:val="en-US" w:bidi="ar-SA"/>
              </w:rPr>
              <w:t>音频输入 内置1路高灵敏度全指向麦克风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音频输出 内置1路3W扬声器</w:t>
            </w:r>
            <w:r>
              <w:rPr>
                <w:rFonts w:hint="eastAsia"/>
                <w:color w:val="auto"/>
                <w:sz w:val="21"/>
                <w:szCs w:val="21"/>
                <w:highlight w:val="none"/>
                <w:lang w:val="en-US" w:bidi="ar-SA"/>
              </w:rPr>
              <w:br w:type="textWrapping"/>
            </w:r>
            <w:r>
              <w:rPr>
                <w:rFonts w:hint="eastAsia"/>
                <w:color w:val="auto"/>
                <w:sz w:val="21"/>
                <w:szCs w:val="21"/>
                <w:highlight w:val="none"/>
                <w:lang w:val="en-US" w:bidi="ar-SA"/>
              </w:rPr>
              <w:t>音频标准 G.711U/G.726/AAC</w:t>
            </w:r>
            <w:r>
              <w:rPr>
                <w:rFonts w:hint="eastAsia"/>
                <w:color w:val="auto"/>
                <w:sz w:val="21"/>
                <w:szCs w:val="21"/>
                <w:highlight w:val="none"/>
                <w:lang w:val="en-US" w:bidi="ar-SA"/>
              </w:rPr>
              <w:br w:type="textWrapping"/>
            </w:r>
            <w:r>
              <w:rPr>
                <w:rFonts w:hint="eastAsia"/>
                <w:color w:val="auto"/>
                <w:sz w:val="21"/>
                <w:szCs w:val="21"/>
                <w:highlight w:val="none"/>
                <w:lang w:val="en-US" w:bidi="ar-SA"/>
              </w:rPr>
              <w:t>音频码率 16Kbps、64Kbps</w:t>
            </w:r>
            <w:r>
              <w:rPr>
                <w:rFonts w:hint="eastAsia"/>
                <w:color w:val="auto"/>
                <w:sz w:val="21"/>
                <w:szCs w:val="21"/>
                <w:highlight w:val="none"/>
                <w:lang w:val="en-US" w:bidi="ar-SA"/>
              </w:rPr>
              <w:br w:type="textWrapping"/>
            </w:r>
            <w:r>
              <w:rPr>
                <w:rFonts w:hint="eastAsia"/>
                <w:color w:val="auto"/>
                <w:sz w:val="21"/>
                <w:szCs w:val="21"/>
                <w:highlight w:val="none"/>
                <w:lang w:val="en-US" w:bidi="ar-SA"/>
              </w:rPr>
              <w:t>音频采样率 8KHz、16KHz</w:t>
            </w:r>
            <w:r>
              <w:rPr>
                <w:rFonts w:hint="eastAsia"/>
                <w:color w:val="auto"/>
                <w:sz w:val="21"/>
                <w:szCs w:val="21"/>
                <w:highlight w:val="none"/>
                <w:lang w:val="en-US" w:bidi="ar-SA"/>
              </w:rPr>
              <w:br w:type="textWrapping"/>
            </w:r>
            <w:r>
              <w:rPr>
                <w:rFonts w:hint="eastAsia"/>
                <w:color w:val="auto"/>
                <w:sz w:val="21"/>
                <w:szCs w:val="21"/>
                <w:highlight w:val="none"/>
                <w:lang w:val="en-US" w:bidi="ar-SA"/>
              </w:rPr>
              <w:t>音质 支持智能噪声抑制和回声消除处理</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网络参数 　</w:t>
            </w:r>
            <w:r>
              <w:rPr>
                <w:rFonts w:hint="eastAsia"/>
                <w:color w:val="auto"/>
                <w:sz w:val="21"/>
                <w:szCs w:val="21"/>
                <w:highlight w:val="none"/>
                <w:lang w:val="en-US" w:bidi="ar-SA"/>
              </w:rPr>
              <w:br w:type="textWrapping"/>
            </w:r>
            <w:r>
              <w:rPr>
                <w:rFonts w:hint="eastAsia"/>
                <w:color w:val="auto"/>
                <w:sz w:val="21"/>
                <w:szCs w:val="21"/>
                <w:highlight w:val="none"/>
                <w:lang w:val="en-US" w:bidi="ar-SA"/>
              </w:rPr>
              <w:t>以太网 1个RJ45 10M/100M自适应网口</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网络协议 TCP/IP、RTSP</w:t>
            </w:r>
            <w:r>
              <w:rPr>
                <w:rFonts w:hint="eastAsia"/>
                <w:color w:val="auto"/>
                <w:sz w:val="21"/>
                <w:szCs w:val="21"/>
                <w:highlight w:val="none"/>
                <w:lang w:val="en-US" w:bidi="ar-SA"/>
              </w:rPr>
              <w:br w:type="textWrapping"/>
            </w:r>
            <w:r>
              <w:rPr>
                <w:rFonts w:hint="eastAsia"/>
                <w:color w:val="auto"/>
                <w:sz w:val="21"/>
                <w:szCs w:val="21"/>
                <w:highlight w:val="none"/>
                <w:lang w:val="en-US" w:bidi="ar-SA"/>
              </w:rPr>
              <w:t>公网传输 支持ISUP协议、HIK_SIP、GB28181</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网络加密 支持用户登录锁定机制，及密码复杂度提示</w:t>
            </w:r>
            <w:r>
              <w:rPr>
                <w:rFonts w:hint="eastAsia"/>
                <w:color w:val="auto"/>
                <w:sz w:val="21"/>
                <w:szCs w:val="21"/>
                <w:highlight w:val="none"/>
                <w:lang w:val="en-US" w:bidi="ar-SA"/>
              </w:rPr>
              <w:br w:type="textWrapping"/>
            </w:r>
            <w:r>
              <w:rPr>
                <w:rFonts w:hint="eastAsia"/>
                <w:color w:val="auto"/>
                <w:sz w:val="21"/>
                <w:szCs w:val="21"/>
                <w:highlight w:val="none"/>
                <w:lang w:val="en-US" w:bidi="ar-SA"/>
              </w:rPr>
              <w:t>报警接口 　</w:t>
            </w:r>
            <w:r>
              <w:rPr>
                <w:rFonts w:hint="eastAsia"/>
                <w:color w:val="auto"/>
                <w:sz w:val="21"/>
                <w:szCs w:val="21"/>
                <w:highlight w:val="none"/>
                <w:lang w:val="en-US" w:bidi="ar-SA"/>
              </w:rPr>
              <w:br w:type="textWrapping"/>
            </w:r>
            <w:r>
              <w:rPr>
                <w:rFonts w:hint="eastAsia"/>
                <w:color w:val="auto"/>
                <w:sz w:val="21"/>
                <w:szCs w:val="21"/>
                <w:highlight w:val="none"/>
                <w:lang w:val="en-US" w:bidi="ar-SA"/>
              </w:rPr>
              <w:t>按键 1个或者2个</w:t>
            </w:r>
            <w:r>
              <w:rPr>
                <w:rFonts w:hint="eastAsia"/>
                <w:color w:val="auto"/>
                <w:sz w:val="21"/>
                <w:szCs w:val="21"/>
                <w:highlight w:val="none"/>
                <w:lang w:val="en-US" w:bidi="ar-SA"/>
              </w:rPr>
              <w:br w:type="textWrapping"/>
            </w:r>
            <w:r>
              <w:rPr>
                <w:rFonts w:hint="eastAsia"/>
                <w:color w:val="auto"/>
                <w:sz w:val="21"/>
                <w:szCs w:val="21"/>
                <w:highlight w:val="none"/>
                <w:lang w:val="en-US" w:bidi="ar-SA"/>
              </w:rPr>
              <w:t>报警输入 防拆报警、喧哗报警</w:t>
            </w:r>
            <w:r>
              <w:rPr>
                <w:rFonts w:hint="eastAsia"/>
                <w:color w:val="auto"/>
                <w:sz w:val="21"/>
                <w:szCs w:val="21"/>
                <w:highlight w:val="none"/>
                <w:lang w:val="en-US" w:bidi="ar-SA"/>
              </w:rPr>
              <w:br w:type="textWrapping"/>
            </w:r>
            <w:r>
              <w:rPr>
                <w:rFonts w:hint="eastAsia"/>
                <w:color w:val="auto"/>
                <w:sz w:val="21"/>
                <w:szCs w:val="21"/>
                <w:highlight w:val="none"/>
                <w:lang w:val="en-US" w:bidi="ar-SA"/>
              </w:rPr>
              <w:t>电话报警 支持设置一键拨打电话（4G版支持）</w:t>
            </w:r>
            <w:r>
              <w:rPr>
                <w:rFonts w:hint="eastAsia"/>
                <w:color w:val="auto"/>
                <w:sz w:val="21"/>
                <w:szCs w:val="21"/>
                <w:highlight w:val="none"/>
                <w:lang w:val="en-US" w:bidi="ar-SA"/>
              </w:rPr>
              <w:br w:type="textWrapping"/>
            </w:r>
            <w:r>
              <w:rPr>
                <w:rFonts w:hint="eastAsia"/>
                <w:color w:val="auto"/>
                <w:sz w:val="21"/>
                <w:szCs w:val="21"/>
                <w:highlight w:val="none"/>
                <w:lang w:val="en-US" w:bidi="ar-SA"/>
              </w:rPr>
              <w:t>设备接口 　</w:t>
            </w:r>
            <w:r>
              <w:rPr>
                <w:rFonts w:hint="eastAsia"/>
                <w:color w:val="auto"/>
                <w:sz w:val="21"/>
                <w:szCs w:val="21"/>
                <w:highlight w:val="none"/>
                <w:lang w:val="en-US" w:bidi="ar-SA"/>
              </w:rPr>
              <w:br w:type="textWrapping"/>
            </w:r>
            <w:r>
              <w:rPr>
                <w:rFonts w:hint="eastAsia"/>
                <w:color w:val="auto"/>
                <w:sz w:val="21"/>
                <w:szCs w:val="21"/>
                <w:highlight w:val="none"/>
                <w:lang w:val="en-US" w:bidi="ar-SA"/>
              </w:rPr>
              <w:t>网口 1个RJ45 10M/100M自适应以太网口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无线参数 4G（4G版支持）</w:t>
            </w:r>
            <w:r>
              <w:rPr>
                <w:rFonts w:hint="eastAsia"/>
                <w:color w:val="auto"/>
                <w:sz w:val="21"/>
                <w:szCs w:val="21"/>
                <w:highlight w:val="none"/>
                <w:lang w:val="en-US" w:bidi="ar-SA"/>
              </w:rPr>
              <w:br w:type="textWrapping"/>
            </w:r>
            <w:r>
              <w:rPr>
                <w:rFonts w:hint="eastAsia"/>
                <w:color w:val="auto"/>
                <w:sz w:val="21"/>
                <w:szCs w:val="21"/>
                <w:highlight w:val="none"/>
                <w:lang w:val="en-US" w:bidi="ar-SA"/>
              </w:rPr>
              <w:t>IO输入 2个</w:t>
            </w:r>
            <w:r>
              <w:rPr>
                <w:rFonts w:hint="eastAsia"/>
                <w:color w:val="auto"/>
                <w:sz w:val="21"/>
                <w:szCs w:val="21"/>
                <w:highlight w:val="none"/>
                <w:lang w:val="en-US" w:bidi="ar-SA"/>
              </w:rPr>
              <w:br w:type="textWrapping"/>
            </w:r>
            <w:r>
              <w:rPr>
                <w:rFonts w:hint="eastAsia"/>
                <w:color w:val="auto"/>
                <w:sz w:val="21"/>
                <w:szCs w:val="21"/>
                <w:highlight w:val="none"/>
                <w:lang w:val="en-US" w:bidi="ar-SA"/>
              </w:rPr>
              <w:t>IO输出 2个</w:t>
            </w:r>
            <w:r>
              <w:rPr>
                <w:rFonts w:hint="eastAsia"/>
                <w:color w:val="auto"/>
                <w:sz w:val="21"/>
                <w:szCs w:val="21"/>
                <w:highlight w:val="none"/>
                <w:lang w:val="en-US" w:bidi="ar-SA"/>
              </w:rPr>
              <w:br w:type="textWrapping"/>
            </w:r>
            <w:r>
              <w:rPr>
                <w:rFonts w:hint="eastAsia"/>
                <w:color w:val="auto"/>
                <w:sz w:val="21"/>
                <w:szCs w:val="21"/>
                <w:highlight w:val="none"/>
                <w:lang w:val="en-US" w:bidi="ar-SA"/>
              </w:rPr>
              <w:t>音频接口 1路3.5mm音频输入接口、1路3.5mm音频输出接口</w:t>
            </w:r>
            <w:r>
              <w:rPr>
                <w:rFonts w:hint="eastAsia"/>
                <w:color w:val="auto"/>
                <w:sz w:val="21"/>
                <w:szCs w:val="21"/>
                <w:highlight w:val="none"/>
                <w:lang w:val="en-US" w:bidi="ar-SA"/>
              </w:rPr>
              <w:br w:type="textWrapping"/>
            </w:r>
            <w:r>
              <w:rPr>
                <w:rFonts w:hint="eastAsia"/>
                <w:color w:val="auto"/>
                <w:sz w:val="21"/>
                <w:szCs w:val="21"/>
                <w:highlight w:val="none"/>
                <w:lang w:val="en-US" w:bidi="ar-SA"/>
              </w:rPr>
              <w:t>RS485 1个</w:t>
            </w:r>
            <w:r>
              <w:rPr>
                <w:rFonts w:hint="eastAsia"/>
                <w:color w:val="auto"/>
                <w:sz w:val="21"/>
                <w:szCs w:val="21"/>
                <w:highlight w:val="none"/>
                <w:lang w:val="en-US" w:bidi="ar-SA"/>
              </w:rPr>
              <w:br w:type="textWrapping"/>
            </w:r>
            <w:r>
              <w:rPr>
                <w:rFonts w:hint="eastAsia"/>
                <w:color w:val="auto"/>
                <w:sz w:val="21"/>
                <w:szCs w:val="21"/>
                <w:highlight w:val="none"/>
                <w:lang w:val="en-US" w:bidi="ar-SA"/>
              </w:rPr>
              <w:t>SD卡 标准Micro SD卡插槽、≤256G</w:t>
            </w:r>
            <w:r>
              <w:rPr>
                <w:rFonts w:hint="eastAsia"/>
                <w:color w:val="auto"/>
                <w:sz w:val="21"/>
                <w:szCs w:val="21"/>
                <w:highlight w:val="none"/>
                <w:lang w:val="en-US" w:bidi="ar-SA"/>
              </w:rPr>
              <w:br w:type="textWrapping"/>
            </w:r>
            <w:r>
              <w:rPr>
                <w:rFonts w:hint="eastAsia"/>
                <w:color w:val="auto"/>
                <w:sz w:val="21"/>
                <w:szCs w:val="21"/>
                <w:highlight w:val="none"/>
                <w:lang w:val="en-US" w:bidi="ar-SA"/>
              </w:rPr>
              <w:t>SIM卡 支持Micro SIM卡</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辅电输出 1个（12V、0.5A） </w:t>
            </w:r>
            <w:r>
              <w:rPr>
                <w:rFonts w:hint="eastAsia"/>
                <w:color w:val="auto"/>
                <w:sz w:val="21"/>
                <w:szCs w:val="21"/>
                <w:highlight w:val="none"/>
                <w:lang w:val="en-US" w:bidi="ar-SA"/>
              </w:rPr>
              <w:br w:type="textWrapping"/>
            </w:r>
            <w:r>
              <w:rPr>
                <w:rFonts w:hint="eastAsia"/>
                <w:color w:val="auto"/>
                <w:sz w:val="21"/>
                <w:szCs w:val="21"/>
                <w:highlight w:val="none"/>
                <w:lang w:val="en-US" w:bidi="ar-SA"/>
              </w:rPr>
              <w:t>其它参数 　</w:t>
            </w:r>
            <w:r>
              <w:rPr>
                <w:rFonts w:hint="eastAsia"/>
                <w:color w:val="auto"/>
                <w:sz w:val="21"/>
                <w:szCs w:val="21"/>
                <w:highlight w:val="none"/>
                <w:lang w:val="en-US" w:bidi="ar-SA"/>
              </w:rPr>
              <w:br w:type="textWrapping"/>
            </w:r>
            <w:r>
              <w:rPr>
                <w:rFonts w:hint="eastAsia"/>
                <w:color w:val="auto"/>
                <w:sz w:val="21"/>
                <w:szCs w:val="21"/>
                <w:highlight w:val="none"/>
                <w:lang w:val="en-US" w:bidi="ar-SA"/>
              </w:rPr>
              <w:t>电源 DC12V（标配电源适配器）、POE（802.3at）</w:t>
            </w:r>
            <w:r>
              <w:rPr>
                <w:rFonts w:hint="eastAsia"/>
                <w:color w:val="auto"/>
                <w:sz w:val="21"/>
                <w:szCs w:val="21"/>
                <w:highlight w:val="none"/>
                <w:lang w:val="en-US" w:bidi="ar-SA"/>
              </w:rPr>
              <w:br w:type="textWrapping"/>
            </w:r>
            <w:r>
              <w:rPr>
                <w:rFonts w:hint="eastAsia"/>
                <w:color w:val="auto"/>
                <w:sz w:val="21"/>
                <w:szCs w:val="21"/>
                <w:highlight w:val="none"/>
                <w:lang w:val="en-US" w:bidi="ar-SA"/>
              </w:rPr>
              <w:t>功率 ≤8W（辅电输出除外）</w:t>
            </w:r>
            <w:r>
              <w:rPr>
                <w:rFonts w:hint="eastAsia"/>
                <w:color w:val="auto"/>
                <w:sz w:val="21"/>
                <w:szCs w:val="21"/>
                <w:highlight w:val="none"/>
                <w:lang w:val="en-US" w:bidi="ar-SA"/>
              </w:rPr>
              <w:br w:type="textWrapping"/>
            </w:r>
            <w:r>
              <w:rPr>
                <w:rFonts w:hint="eastAsia"/>
                <w:color w:val="auto"/>
                <w:sz w:val="21"/>
                <w:szCs w:val="21"/>
                <w:highlight w:val="none"/>
                <w:lang w:val="en-US" w:bidi="ar-SA"/>
              </w:rPr>
              <w:t>防护等级 IP54</w:t>
            </w:r>
            <w:r>
              <w:rPr>
                <w:rFonts w:hint="eastAsia"/>
                <w:color w:val="auto"/>
                <w:sz w:val="21"/>
                <w:szCs w:val="21"/>
                <w:highlight w:val="none"/>
                <w:lang w:val="en-US" w:bidi="ar-SA"/>
              </w:rPr>
              <w:br w:type="textWrapping"/>
            </w:r>
            <w:r>
              <w:rPr>
                <w:rFonts w:hint="eastAsia"/>
                <w:color w:val="auto"/>
                <w:sz w:val="21"/>
                <w:szCs w:val="21"/>
                <w:highlight w:val="none"/>
                <w:lang w:val="en-US" w:bidi="ar-SA"/>
              </w:rPr>
              <w:t>防暴等级 IK08</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安装模式 壁挂安装</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工作温度 -25℃-＋55℃</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工作湿度 10％-90％</w:t>
            </w:r>
            <w:r>
              <w:rPr>
                <w:rFonts w:hint="eastAsia"/>
                <w:color w:val="auto"/>
                <w:sz w:val="21"/>
                <w:szCs w:val="21"/>
                <w:highlight w:val="none"/>
                <w:lang w:val="en-US" w:bidi="ar-SA"/>
              </w:rPr>
              <w:br w:type="textWrapping"/>
            </w:r>
            <w:r>
              <w:rPr>
                <w:rFonts w:hint="eastAsia"/>
                <w:color w:val="auto"/>
                <w:sz w:val="21"/>
                <w:szCs w:val="21"/>
                <w:highlight w:val="none"/>
                <w:lang w:val="en-US" w:bidi="ar-SA"/>
              </w:rPr>
              <w:t>尺寸大小（mm） 179X114X43.5mm</w:t>
            </w:r>
            <w:r>
              <w:rPr>
                <w:rFonts w:hint="eastAsia"/>
                <w:color w:val="auto"/>
                <w:sz w:val="21"/>
                <w:szCs w:val="21"/>
                <w:highlight w:val="none"/>
                <w:lang w:val="en-US" w:bidi="ar-SA"/>
              </w:rPr>
              <w:br w:type="textWrapping"/>
            </w:r>
            <w:r>
              <w:rPr>
                <w:rFonts w:hint="eastAsia"/>
                <w:color w:val="auto"/>
                <w:sz w:val="21"/>
                <w:szCs w:val="21"/>
                <w:highlight w:val="none"/>
                <w:lang w:val="en-US" w:bidi="ar-SA"/>
              </w:rPr>
              <w:t>重量 ≤0.8KG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紧急报警对讲管理软件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紧急报警对讲管理软件（含调试）</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一键报警中心管理机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集成视频查看、双向对讲、呼叫前端等功能，用于管理前端一键求助报警产品。</w:t>
            </w:r>
            <w:r>
              <w:rPr>
                <w:rFonts w:hint="eastAsia"/>
                <w:color w:val="auto"/>
                <w:sz w:val="21"/>
                <w:szCs w:val="21"/>
                <w:highlight w:val="none"/>
                <w:lang w:val="en-US" w:bidi="ar-SA"/>
              </w:rPr>
              <w:br w:type="textWrapping"/>
            </w:r>
            <w:r>
              <w:rPr>
                <w:rFonts w:hint="eastAsia"/>
                <w:color w:val="auto"/>
                <w:sz w:val="21"/>
                <w:szCs w:val="21"/>
                <w:highlight w:val="none"/>
                <w:lang w:val="en-US" w:bidi="ar-SA"/>
              </w:rPr>
              <w:t>支持1080P视频显示，支持H.264/H.265解码，支持最大256G Micro SD卡存储；</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支持4路开关量输入，4路继电器输出；支持VGA、HDMI同源输出；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支持1路3.5mm音频输入，1路3.5mm音频输出；</w:t>
            </w:r>
            <w:r>
              <w:rPr>
                <w:rFonts w:hint="eastAsia"/>
                <w:color w:val="auto"/>
                <w:sz w:val="21"/>
                <w:szCs w:val="21"/>
                <w:highlight w:val="none"/>
                <w:lang w:val="en-US" w:bidi="ar-SA"/>
              </w:rPr>
              <w:br w:type="textWrapping"/>
            </w:r>
            <w:r>
              <w:rPr>
                <w:rFonts w:hint="eastAsia"/>
                <w:color w:val="auto"/>
                <w:sz w:val="21"/>
                <w:szCs w:val="21"/>
                <w:highlight w:val="none"/>
                <w:lang w:val="en-US" w:bidi="ar-SA"/>
              </w:rPr>
              <w:t>话柄、鹅颈话筒杆可拆卸，支持DC12V、PoE(IEEE 802.3 at/af)供电。</w:t>
            </w:r>
            <w:r>
              <w:rPr>
                <w:rFonts w:hint="eastAsia"/>
                <w:color w:val="auto"/>
                <w:sz w:val="21"/>
                <w:szCs w:val="21"/>
                <w:highlight w:val="none"/>
                <w:lang w:val="en-US" w:bidi="ar-SA"/>
              </w:rPr>
              <w:br w:type="textWrapping"/>
            </w:r>
            <w:r>
              <w:rPr>
                <w:rFonts w:hint="eastAsia"/>
                <w:color w:val="auto"/>
                <w:sz w:val="21"/>
                <w:szCs w:val="21"/>
                <w:highlight w:val="none"/>
                <w:lang w:val="en-US" w:bidi="ar-SA"/>
              </w:rPr>
              <w:t>当管理前端紧急报警设备数量超过128路，或者需多中心分级管理，</w:t>
            </w:r>
            <w:r>
              <w:rPr>
                <w:rFonts w:hint="eastAsia"/>
                <w:color w:val="auto"/>
                <w:sz w:val="21"/>
                <w:szCs w:val="21"/>
                <w:highlight w:val="none"/>
                <w:lang w:val="en-US" w:bidi="ar-SA"/>
              </w:rPr>
              <w:br w:type="textWrapping"/>
            </w:r>
            <w:r>
              <w:rPr>
                <w:rFonts w:hint="eastAsia"/>
                <w:color w:val="auto"/>
                <w:sz w:val="21"/>
                <w:szCs w:val="21"/>
                <w:highlight w:val="none"/>
                <w:lang w:val="en-US" w:bidi="ar-SA"/>
              </w:rPr>
              <w:t>★支持H264/H265视频编码（</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★对接显示器功能：设备支持通过HDMI和VGA接口扩展显示关联视频通道（</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★支持外接IPC，并在中心管理机上显示（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重点餐饮店铺4G在线式油烟传感器（含物联网卡 3年）</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供电 100~240V AC</w:t>
            </w:r>
            <w:r>
              <w:rPr>
                <w:rFonts w:hint="eastAsia"/>
                <w:color w:val="auto"/>
                <w:sz w:val="21"/>
                <w:szCs w:val="21"/>
                <w:highlight w:val="none"/>
                <w:lang w:val="en-US" w:bidi="ar-SA"/>
              </w:rPr>
              <w:br w:type="textWrapping"/>
            </w:r>
            <w:r>
              <w:rPr>
                <w:rFonts w:hint="eastAsia"/>
                <w:color w:val="auto"/>
                <w:sz w:val="21"/>
                <w:szCs w:val="21"/>
                <w:highlight w:val="none"/>
                <w:lang w:val="en-US" w:bidi="ar-SA"/>
              </w:rPr>
              <w:t>通讯方式 GPRS无线/1路RS232</w:t>
            </w:r>
            <w:r>
              <w:rPr>
                <w:rFonts w:hint="eastAsia"/>
                <w:color w:val="auto"/>
                <w:sz w:val="21"/>
                <w:szCs w:val="21"/>
                <w:highlight w:val="none"/>
                <w:lang w:val="en-US" w:bidi="ar-SA"/>
              </w:rPr>
              <w:br w:type="textWrapping"/>
            </w:r>
            <w:r>
              <w:rPr>
                <w:rFonts w:hint="eastAsia"/>
                <w:color w:val="auto"/>
                <w:sz w:val="21"/>
                <w:szCs w:val="21"/>
                <w:highlight w:val="none"/>
                <w:lang w:val="en-US" w:bidi="ar-SA"/>
              </w:rPr>
              <w:t>响应时间 ≤5s</w:t>
            </w:r>
            <w:r>
              <w:rPr>
                <w:rFonts w:hint="eastAsia"/>
                <w:color w:val="auto"/>
                <w:sz w:val="21"/>
                <w:szCs w:val="21"/>
                <w:highlight w:val="none"/>
                <w:lang w:val="en-US" w:bidi="ar-SA"/>
              </w:rPr>
              <w:br w:type="textWrapping"/>
            </w:r>
            <w:r>
              <w:rPr>
                <w:rFonts w:hint="eastAsia"/>
                <w:color w:val="auto"/>
                <w:sz w:val="21"/>
                <w:szCs w:val="21"/>
                <w:highlight w:val="none"/>
                <w:lang w:val="en-US" w:bidi="ar-SA"/>
              </w:rPr>
              <w:t>测量方式 嵌入管道检测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检测原理 激光检测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线性误差 ≤10%</w:t>
            </w:r>
            <w:r>
              <w:rPr>
                <w:rFonts w:hint="eastAsia"/>
                <w:color w:val="auto"/>
                <w:sz w:val="21"/>
                <w:szCs w:val="21"/>
                <w:highlight w:val="none"/>
                <w:lang w:val="en-US" w:bidi="ar-SA"/>
              </w:rPr>
              <w:br w:type="textWrapping"/>
            </w:r>
            <w:r>
              <w:rPr>
                <w:rFonts w:hint="eastAsia"/>
                <w:color w:val="auto"/>
                <w:sz w:val="21"/>
                <w:szCs w:val="21"/>
                <w:highlight w:val="none"/>
                <w:lang w:val="en-US" w:bidi="ar-SA"/>
              </w:rPr>
              <w:t>绝缘电阻 &gt;500MΩ</w:t>
            </w:r>
            <w:r>
              <w:rPr>
                <w:rFonts w:hint="eastAsia"/>
                <w:color w:val="auto"/>
                <w:sz w:val="21"/>
                <w:szCs w:val="21"/>
                <w:highlight w:val="none"/>
                <w:lang w:val="en-US" w:bidi="ar-SA"/>
              </w:rPr>
              <w:br w:type="textWrapping"/>
            </w:r>
            <w:r>
              <w:rPr>
                <w:rFonts w:hint="eastAsia"/>
                <w:color w:val="auto"/>
                <w:sz w:val="21"/>
                <w:szCs w:val="21"/>
                <w:highlight w:val="none"/>
                <w:lang w:val="en-US" w:bidi="ar-SA"/>
              </w:rPr>
              <w:t>油烟值 0-20mg/m3</w:t>
            </w:r>
            <w:r>
              <w:rPr>
                <w:rFonts w:hint="eastAsia"/>
                <w:color w:val="auto"/>
                <w:sz w:val="21"/>
                <w:szCs w:val="21"/>
                <w:highlight w:val="none"/>
                <w:lang w:val="en-US" w:bidi="ar-SA"/>
              </w:rPr>
              <w:br w:type="textWrapping"/>
            </w:r>
            <w:r>
              <w:rPr>
                <w:rFonts w:hint="eastAsia"/>
                <w:color w:val="auto"/>
                <w:sz w:val="21"/>
                <w:szCs w:val="21"/>
                <w:highlight w:val="none"/>
                <w:lang w:val="en-US" w:bidi="ar-SA"/>
              </w:rPr>
              <w:t>风机电流检测 0~30A</w:t>
            </w:r>
            <w:r>
              <w:rPr>
                <w:rFonts w:hint="eastAsia"/>
                <w:color w:val="auto"/>
                <w:sz w:val="21"/>
                <w:szCs w:val="21"/>
                <w:highlight w:val="none"/>
                <w:lang w:val="en-US" w:bidi="ar-SA"/>
              </w:rPr>
              <w:br w:type="textWrapping"/>
            </w:r>
            <w:r>
              <w:rPr>
                <w:rFonts w:hint="eastAsia"/>
                <w:color w:val="auto"/>
                <w:sz w:val="21"/>
                <w:szCs w:val="21"/>
                <w:highlight w:val="none"/>
                <w:lang w:val="en-US" w:bidi="ar-SA"/>
              </w:rPr>
              <w:t>净化器电流检测出 0~30A</w:t>
            </w:r>
            <w:r>
              <w:rPr>
                <w:rFonts w:hint="eastAsia"/>
                <w:color w:val="auto"/>
                <w:sz w:val="21"/>
                <w:szCs w:val="21"/>
                <w:highlight w:val="none"/>
                <w:lang w:val="en-US" w:bidi="ar-SA"/>
              </w:rPr>
              <w:br w:type="textWrapping"/>
            </w:r>
            <w:r>
              <w:rPr>
                <w:rFonts w:hint="eastAsia"/>
                <w:color w:val="auto"/>
                <w:sz w:val="21"/>
                <w:szCs w:val="21"/>
                <w:highlight w:val="none"/>
                <w:lang w:val="en-US" w:bidi="ar-SA"/>
              </w:rPr>
              <w:t>探头安装方式 法兰盘安装</w:t>
            </w:r>
            <w:r>
              <w:rPr>
                <w:rFonts w:hint="eastAsia"/>
                <w:color w:val="auto"/>
                <w:sz w:val="21"/>
                <w:szCs w:val="21"/>
                <w:highlight w:val="none"/>
                <w:lang w:val="en-US" w:bidi="ar-SA"/>
              </w:rPr>
              <w:br w:type="textWrapping"/>
            </w:r>
            <w:r>
              <w:rPr>
                <w:rFonts w:hint="eastAsia"/>
                <w:color w:val="auto"/>
                <w:sz w:val="21"/>
                <w:szCs w:val="21"/>
                <w:highlight w:val="none"/>
                <w:lang w:val="en-US" w:bidi="ar-SA"/>
              </w:rPr>
              <w:t>箱体安装方式 壁挂式安装/抱箍式安装</w:t>
            </w:r>
            <w:r>
              <w:rPr>
                <w:rFonts w:hint="eastAsia"/>
                <w:color w:val="auto"/>
                <w:sz w:val="21"/>
                <w:szCs w:val="21"/>
                <w:highlight w:val="none"/>
                <w:lang w:val="en-US" w:bidi="ar-SA"/>
              </w:rPr>
              <w:br w:type="textWrapping"/>
            </w:r>
            <w:r>
              <w:rPr>
                <w:rFonts w:hint="eastAsia"/>
                <w:color w:val="auto"/>
                <w:sz w:val="21"/>
                <w:szCs w:val="21"/>
                <w:highlight w:val="none"/>
                <w:lang w:val="en-US" w:bidi="ar-SA"/>
              </w:rPr>
              <w:t>功耗 ≤24W</w:t>
            </w:r>
            <w:r>
              <w:rPr>
                <w:rFonts w:hint="eastAsia"/>
                <w:color w:val="auto"/>
                <w:sz w:val="21"/>
                <w:szCs w:val="21"/>
                <w:highlight w:val="none"/>
                <w:lang w:val="en-US" w:bidi="ar-SA"/>
              </w:rPr>
              <w:br w:type="textWrapping"/>
            </w:r>
            <w:r>
              <w:rPr>
                <w:rFonts w:hint="eastAsia"/>
                <w:color w:val="auto"/>
                <w:sz w:val="21"/>
                <w:szCs w:val="21"/>
                <w:highlight w:val="none"/>
                <w:lang w:val="en-US" w:bidi="ar-SA"/>
              </w:rPr>
              <w:t>采样气体温度 -20~80℃</w:t>
            </w:r>
            <w:r>
              <w:rPr>
                <w:rFonts w:hint="eastAsia"/>
                <w:color w:val="auto"/>
                <w:sz w:val="21"/>
                <w:szCs w:val="21"/>
                <w:highlight w:val="none"/>
                <w:lang w:val="en-US" w:bidi="ar-SA"/>
              </w:rPr>
              <w:br w:type="textWrapping"/>
            </w:r>
            <w:r>
              <w:rPr>
                <w:rFonts w:hint="eastAsia"/>
                <w:color w:val="auto"/>
                <w:sz w:val="21"/>
                <w:szCs w:val="21"/>
                <w:highlight w:val="none"/>
                <w:lang w:val="en-US" w:bidi="ar-SA"/>
              </w:rPr>
              <w:t>检测仪工作温度 -25至60℃</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工作湿度 0至95%（相对湿度）、无凝结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检测气体 食物烹饪、加工过程中挥发的油脂、有机质及其加热分解或裂解产物</w:t>
            </w:r>
            <w:r>
              <w:rPr>
                <w:rFonts w:hint="eastAsia"/>
                <w:color w:val="auto"/>
                <w:sz w:val="21"/>
                <w:szCs w:val="21"/>
                <w:highlight w:val="none"/>
                <w:lang w:val="en-US" w:bidi="ar-SA"/>
              </w:rPr>
              <w:br w:type="textWrapping"/>
            </w:r>
            <w:r>
              <w:rPr>
                <w:rFonts w:hint="eastAsia"/>
                <w:color w:val="auto"/>
                <w:sz w:val="21"/>
                <w:szCs w:val="21"/>
                <w:highlight w:val="none"/>
                <w:lang w:val="en-US" w:bidi="ar-SA"/>
              </w:rPr>
              <w:t>可检测油烟，非甲烷总烃，TSP</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双证认证CEP</w:t>
            </w:r>
            <w:r>
              <w:rPr>
                <w:rFonts w:hint="eastAsia"/>
                <w:color w:val="auto"/>
                <w:sz w:val="21"/>
                <w:szCs w:val="21"/>
                <w:highlight w:val="none"/>
                <w:lang w:val="en-US" w:eastAsia="zh-CN" w:bidi="ar-SA"/>
              </w:rPr>
              <w:t>或</w:t>
            </w:r>
            <w:r>
              <w:rPr>
                <w:rFonts w:hint="eastAsia"/>
                <w:color w:val="auto"/>
                <w:sz w:val="21"/>
                <w:szCs w:val="21"/>
                <w:highlight w:val="none"/>
                <w:lang w:val="en-US" w:bidi="ar-SA"/>
              </w:rPr>
              <w:t>CMA证书（提供认证报告复印件）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激光法测量</w:t>
            </w:r>
            <w:r>
              <w:rPr>
                <w:rFonts w:hint="eastAsia"/>
                <w:color w:val="auto"/>
                <w:sz w:val="21"/>
                <w:szCs w:val="21"/>
                <w:highlight w:val="none"/>
                <w:lang w:val="en-US" w:bidi="ar-SA"/>
              </w:rPr>
              <w:br w:type="textWrapping"/>
            </w:r>
            <w:r>
              <w:rPr>
                <w:rFonts w:hint="eastAsia"/>
                <w:color w:val="auto"/>
                <w:sz w:val="21"/>
                <w:szCs w:val="21"/>
                <w:highlight w:val="none"/>
                <w:lang w:val="en-US" w:bidi="ar-SA"/>
              </w:rPr>
              <w:t>探头采用特殊设计，可有效过滤大直径颗粒烟尘，探头有效抵抗油烟污染</w:t>
            </w:r>
            <w:r>
              <w:rPr>
                <w:rFonts w:hint="eastAsia"/>
                <w:color w:val="auto"/>
                <w:sz w:val="21"/>
                <w:szCs w:val="21"/>
                <w:highlight w:val="none"/>
                <w:lang w:val="en-US" w:bidi="ar-SA"/>
              </w:rPr>
              <w:br w:type="textWrapping"/>
            </w:r>
            <w:r>
              <w:rPr>
                <w:rFonts w:hint="eastAsia"/>
                <w:color w:val="auto"/>
                <w:sz w:val="21"/>
                <w:szCs w:val="21"/>
                <w:highlight w:val="none"/>
                <w:lang w:val="en-US" w:bidi="ar-SA"/>
              </w:rPr>
              <w:t>产品设计有防护箱，防止外界电磁干扰，防雨水，防沙尘暴等</w:t>
            </w:r>
            <w:r>
              <w:rPr>
                <w:rFonts w:hint="eastAsia"/>
                <w:color w:val="auto"/>
                <w:sz w:val="21"/>
                <w:szCs w:val="21"/>
                <w:highlight w:val="none"/>
                <w:lang w:val="en-US" w:bidi="ar-SA"/>
              </w:rPr>
              <w:br w:type="textWrapping"/>
            </w:r>
            <w:r>
              <w:rPr>
                <w:rFonts w:hint="eastAsia"/>
                <w:color w:val="auto"/>
                <w:sz w:val="21"/>
                <w:szCs w:val="21"/>
                <w:highlight w:val="none"/>
                <w:lang w:val="en-US" w:bidi="ar-SA"/>
              </w:rPr>
              <w:t>设有内部报警功能，油烟浓度超标后会自动报警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油烟感知设备报监测接口</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接口返回字段：设备编号、店铺名称、安装位置、时间、数据类型、数据内容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水质浑浊度检测器（含物联网卡 3年）</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水质浑浊度检测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物联网卡：3年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44</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调解室兼军人之家</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广角高清摄像头</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4K超高清视频通话(可达4096x 2160像素/30 fps)；</w:t>
            </w:r>
            <w:r>
              <w:rPr>
                <w:rFonts w:hint="eastAsia"/>
                <w:color w:val="auto"/>
                <w:sz w:val="21"/>
                <w:szCs w:val="21"/>
                <w:highlight w:val="none"/>
                <w:lang w:val="en-US" w:bidi="ar-SA"/>
              </w:rPr>
              <w:br w:type="textWrapping"/>
            </w:r>
            <w:r>
              <w:rPr>
                <w:rFonts w:hint="eastAsia"/>
                <w:color w:val="auto"/>
                <w:sz w:val="21"/>
                <w:szCs w:val="21"/>
                <w:highlight w:val="none"/>
                <w:lang w:val="en-US" w:bidi="ar-SA"/>
              </w:rPr>
              <w:t>1080p全高清视频通话(可达1920 x1080像素/30或60 fps)720p高清视频通话(可达1280x720像素/30、60或90 fps)即插即用USB连接视野:对角线:90°水平:82.1°垂直:52.2°全高清5倍数字变焦自动对焦；内置两个全向麦克风，带降噪功能；</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智能触摸显示屏</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55寸4K显示屏，支持有线、无线连接；</w:t>
            </w:r>
            <w:r>
              <w:rPr>
                <w:rFonts w:hint="eastAsia"/>
                <w:color w:val="auto"/>
                <w:sz w:val="21"/>
                <w:szCs w:val="21"/>
                <w:highlight w:val="none"/>
                <w:lang w:val="en-US" w:bidi="ar-SA"/>
              </w:rPr>
              <w:br w:type="textWrapping"/>
            </w:r>
            <w:r>
              <w:rPr>
                <w:rFonts w:hint="eastAsia"/>
                <w:color w:val="auto"/>
                <w:sz w:val="21"/>
                <w:szCs w:val="21"/>
                <w:highlight w:val="none"/>
                <w:lang w:val="en-US" w:bidi="ar-SA"/>
              </w:rPr>
              <w:t>触摸式：电容触摸</w:t>
            </w:r>
            <w:r>
              <w:rPr>
                <w:rFonts w:hint="eastAsia"/>
                <w:color w:val="auto"/>
                <w:sz w:val="21"/>
                <w:szCs w:val="21"/>
                <w:highlight w:val="none"/>
                <w:lang w:val="en-US" w:bidi="ar-SA"/>
              </w:rPr>
              <w:br w:type="textWrapping"/>
            </w:r>
            <w:r>
              <w:rPr>
                <w:rFonts w:hint="eastAsia"/>
                <w:color w:val="auto"/>
                <w:sz w:val="21"/>
                <w:szCs w:val="21"/>
                <w:highlight w:val="none"/>
                <w:lang w:val="en-US" w:bidi="ar-SA"/>
              </w:rPr>
              <w:t>配置式：I5+4代+8G+128G</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安装方式：壁挂</w:t>
            </w:r>
            <w:r>
              <w:rPr>
                <w:rFonts w:hint="eastAsia"/>
                <w:color w:val="auto"/>
                <w:sz w:val="21"/>
                <w:szCs w:val="21"/>
                <w:highlight w:val="none"/>
                <w:lang w:val="en-US" w:bidi="ar-SA"/>
              </w:rPr>
              <w:br w:type="textWrapping"/>
            </w:r>
            <w:r>
              <w:rPr>
                <w:rFonts w:hint="eastAsia"/>
                <w:color w:val="auto"/>
                <w:sz w:val="21"/>
                <w:szCs w:val="21"/>
                <w:highlight w:val="none"/>
                <w:lang w:val="en-US" w:bidi="ar-SA"/>
              </w:rPr>
              <w:t>分辨率：3840*2160</w:t>
            </w:r>
            <w:r>
              <w:rPr>
                <w:rFonts w:hint="eastAsia"/>
                <w:color w:val="auto"/>
                <w:sz w:val="21"/>
                <w:szCs w:val="21"/>
                <w:highlight w:val="none"/>
                <w:lang w:val="en-US" w:bidi="ar-SA"/>
              </w:rPr>
              <w:br w:type="textWrapping"/>
            </w:r>
            <w:r>
              <w:rPr>
                <w:rFonts w:hint="eastAsia"/>
                <w:color w:val="auto"/>
                <w:sz w:val="21"/>
                <w:szCs w:val="21"/>
                <w:highlight w:val="none"/>
                <w:lang w:val="en-US" w:bidi="ar-SA"/>
              </w:rPr>
              <w:t>媒体格式：支持MPEG1、MPEG2、MPEG4、H.264、WMV、RMVB、AVI 等；</w:t>
            </w:r>
            <w:r>
              <w:rPr>
                <w:rFonts w:hint="eastAsia"/>
                <w:color w:val="auto"/>
                <w:sz w:val="21"/>
                <w:szCs w:val="21"/>
                <w:highlight w:val="none"/>
                <w:lang w:val="en-US" w:bidi="ar-SA"/>
              </w:rPr>
              <w:br w:type="textWrapping"/>
            </w:r>
            <w:r>
              <w:rPr>
                <w:rFonts w:hint="eastAsia"/>
                <w:color w:val="auto"/>
                <w:sz w:val="21"/>
                <w:szCs w:val="21"/>
                <w:highlight w:val="none"/>
                <w:lang w:val="en-US" w:bidi="ar-SA"/>
              </w:rPr>
              <w:t>支持JPEG、BMP、PNG图片格式</w:t>
            </w:r>
            <w:r>
              <w:rPr>
                <w:rFonts w:hint="eastAsia"/>
                <w:color w:val="auto"/>
                <w:sz w:val="21"/>
                <w:szCs w:val="21"/>
                <w:highlight w:val="none"/>
                <w:lang w:val="en-US" w:bidi="ar-SA"/>
              </w:rPr>
              <w:br w:type="textWrapping"/>
            </w:r>
            <w:r>
              <w:rPr>
                <w:rFonts w:hint="eastAsia"/>
                <w:color w:val="auto"/>
                <w:sz w:val="21"/>
                <w:szCs w:val="21"/>
                <w:highlight w:val="none"/>
                <w:lang w:val="en-US" w:bidi="ar-SA"/>
              </w:rPr>
              <w:t>外部接口：RJ45×1;USB3.0×2；USB2.0×2; VGA×1；HDMI；</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高清数字监控（含拾音器）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 变焦半球型网络摄像机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彩色：0.01 Lux @（F1.2，AGC ON），黑白：0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数字宽动态</w:t>
            </w:r>
            <w:r>
              <w:rPr>
                <w:rFonts w:hint="eastAsia"/>
                <w:color w:val="auto"/>
                <w:sz w:val="21"/>
                <w:szCs w:val="21"/>
                <w:highlight w:val="none"/>
                <w:lang w:val="en-US" w:bidi="ar-SA"/>
              </w:rPr>
              <w:br w:type="textWrapping"/>
            </w:r>
            <w:r>
              <w:rPr>
                <w:rFonts w:hint="eastAsia"/>
                <w:color w:val="auto"/>
                <w:sz w:val="21"/>
                <w:szCs w:val="21"/>
                <w:highlight w:val="none"/>
                <w:lang w:val="en-US" w:bidi="ar-SA"/>
              </w:rPr>
              <w:t>调节角度: 水平：0°~355°，垂直：0°~75°</w:t>
            </w:r>
            <w:r>
              <w:rPr>
                <w:rFonts w:hint="eastAsia"/>
                <w:color w:val="auto"/>
                <w:sz w:val="21"/>
                <w:szCs w:val="21"/>
                <w:highlight w:val="none"/>
                <w:lang w:val="en-US" w:bidi="ar-SA"/>
              </w:rPr>
              <w:br w:type="textWrapping"/>
            </w:r>
            <w:r>
              <w:rPr>
                <w:rFonts w:hint="eastAsia"/>
                <w:color w:val="auto"/>
                <w:sz w:val="21"/>
                <w:szCs w:val="21"/>
                <w:highlight w:val="none"/>
                <w:lang w:val="en-US" w:bidi="ar-SA"/>
              </w:rPr>
              <w:t>焦距&amp;视场角: 2.7~8 mm @F1.9，水平视场角：106.4°~53°，垂直视场角：56.1°~29.7°，对角视场角：128°~61°</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支持NAS（NFS，SMB/CIFS均支持），支持MicroSD(即TF卡)/MicroSDHC/MicroSDXC卡（最大256 GB），断网本地录像存储及断网续传</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 1路输入（Line in），1路输出（Line out）</w:t>
            </w:r>
            <w:r>
              <w:rPr>
                <w:rFonts w:hint="eastAsia"/>
                <w:color w:val="auto"/>
                <w:sz w:val="21"/>
                <w:szCs w:val="21"/>
                <w:highlight w:val="none"/>
                <w:lang w:val="en-US" w:bidi="ar-SA"/>
              </w:rPr>
              <w:br w:type="textWrapping"/>
            </w:r>
            <w:r>
              <w:rPr>
                <w:rFonts w:hint="eastAsia"/>
                <w:color w:val="auto"/>
                <w:sz w:val="21"/>
                <w:szCs w:val="21"/>
                <w:highlight w:val="none"/>
                <w:lang w:val="en-US" w:bidi="ar-SA"/>
              </w:rPr>
              <w:t>报警: 1路输入，1路输出（报警输出最大支持DC12 V，30 mA）</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产品尺寸: Ø121 × 92 mm</w:t>
            </w:r>
            <w:r>
              <w:rPr>
                <w:rFonts w:hint="eastAsia"/>
                <w:color w:val="auto"/>
                <w:sz w:val="21"/>
                <w:szCs w:val="21"/>
                <w:highlight w:val="none"/>
                <w:lang w:val="en-US" w:bidi="ar-SA"/>
              </w:rPr>
              <w:br w:type="textWrapping"/>
            </w:r>
            <w:r>
              <w:rPr>
                <w:rFonts w:hint="eastAsia"/>
                <w:color w:val="auto"/>
                <w:sz w:val="21"/>
                <w:szCs w:val="21"/>
                <w:highlight w:val="none"/>
                <w:lang w:val="en-US" w:bidi="ar-SA"/>
              </w:rPr>
              <w:t>包装尺寸: 150 × 150 × 141 mm</w:t>
            </w:r>
            <w:r>
              <w:rPr>
                <w:rFonts w:hint="eastAsia"/>
                <w:color w:val="auto"/>
                <w:sz w:val="21"/>
                <w:szCs w:val="21"/>
                <w:highlight w:val="none"/>
                <w:lang w:val="en-US" w:bidi="ar-SA"/>
              </w:rPr>
              <w:br w:type="textWrapping"/>
            </w:r>
            <w:r>
              <w:rPr>
                <w:rFonts w:hint="eastAsia"/>
                <w:color w:val="auto"/>
                <w:sz w:val="21"/>
                <w:szCs w:val="21"/>
                <w:highlight w:val="none"/>
                <w:lang w:val="en-US" w:bidi="ar-SA"/>
              </w:rPr>
              <w:t>设备重量: 515 g</w:t>
            </w:r>
            <w:r>
              <w:rPr>
                <w:rFonts w:hint="eastAsia"/>
                <w:color w:val="auto"/>
                <w:sz w:val="21"/>
                <w:szCs w:val="21"/>
                <w:highlight w:val="none"/>
                <w:lang w:val="en-US" w:bidi="ar-SA"/>
              </w:rPr>
              <w:br w:type="textWrapping"/>
            </w:r>
            <w:r>
              <w:rPr>
                <w:rFonts w:hint="eastAsia"/>
                <w:color w:val="auto"/>
                <w:sz w:val="21"/>
                <w:szCs w:val="21"/>
                <w:highlight w:val="none"/>
                <w:lang w:val="en-US" w:bidi="ar-SA"/>
              </w:rPr>
              <w:t>带包装重量: 716 g</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V，0.7 A，最大功耗：8.4 W; PoE：802.3af，36 V~57 V，0.27 A~0.17 A，最大功耗：10 W</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 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★支持显示查看APP相关信息，包括版本、厂商、占用系统内容、占用智能内存、占用FLASH大小、许可证管理信息、权限配置信息、APP介绍、免责声明等。（</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★支持许可证导入检验，第三方智能APP只有在许可证有效期内才能正常导入使用。（</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★支持智能模块加载，加载过程中不需要重启样机，视频画面不丢失（</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专用硬盘</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WD81EJRX,8T,3.5",SATA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信号控制线缆、附件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专用15米HDMI线缆</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49</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社会治理平台设备</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小间距LED屏(含安装调试费）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1）小间距LED全彩显示屏；</w:t>
            </w:r>
            <w:r>
              <w:rPr>
                <w:rFonts w:hint="eastAsia"/>
                <w:color w:val="auto"/>
                <w:sz w:val="21"/>
                <w:szCs w:val="21"/>
                <w:highlight w:val="none"/>
                <w:lang w:val="en-US" w:bidi="ar-SA"/>
              </w:rPr>
              <w:br w:type="textWrapping"/>
            </w:r>
            <w:r>
              <w:rPr>
                <w:rFonts w:hint="eastAsia"/>
                <w:color w:val="auto"/>
                <w:sz w:val="21"/>
                <w:szCs w:val="21"/>
                <w:highlight w:val="none"/>
                <w:lang w:val="en-US" w:bidi="ar-SA"/>
              </w:rPr>
              <w:t>2）像素间距：1.25mm；</w:t>
            </w:r>
            <w:r>
              <w:rPr>
                <w:rFonts w:hint="eastAsia"/>
                <w:color w:val="auto"/>
                <w:sz w:val="21"/>
                <w:szCs w:val="21"/>
                <w:highlight w:val="none"/>
                <w:lang w:val="en-US" w:bidi="ar-SA"/>
              </w:rPr>
              <w:br w:type="textWrapping"/>
            </w:r>
            <w:r>
              <w:rPr>
                <w:rFonts w:hint="eastAsia"/>
                <w:color w:val="auto"/>
                <w:sz w:val="21"/>
                <w:szCs w:val="21"/>
                <w:highlight w:val="none"/>
                <w:lang w:val="en-US" w:bidi="ar-SA"/>
              </w:rPr>
              <w:t>3）箱体比例：16:9；</w:t>
            </w:r>
            <w:r>
              <w:rPr>
                <w:rFonts w:hint="eastAsia"/>
                <w:color w:val="auto"/>
                <w:sz w:val="21"/>
                <w:szCs w:val="21"/>
                <w:highlight w:val="none"/>
                <w:lang w:val="en-US" w:bidi="ar-SA"/>
              </w:rPr>
              <w:br w:type="textWrapping"/>
            </w:r>
            <w:r>
              <w:rPr>
                <w:rFonts w:hint="eastAsia"/>
                <w:color w:val="auto"/>
                <w:sz w:val="21"/>
                <w:szCs w:val="21"/>
                <w:highlight w:val="none"/>
                <w:lang w:val="en-US" w:bidi="ar-SA"/>
              </w:rPr>
              <w:t>4）全封闭压铸铝材质；</w:t>
            </w:r>
            <w:r>
              <w:rPr>
                <w:rFonts w:hint="eastAsia"/>
                <w:color w:val="auto"/>
                <w:sz w:val="21"/>
                <w:szCs w:val="21"/>
                <w:highlight w:val="none"/>
                <w:lang w:val="en-US" w:bidi="ar-SA"/>
              </w:rPr>
              <w:br w:type="textWrapping"/>
            </w:r>
            <w:r>
              <w:rPr>
                <w:rFonts w:hint="eastAsia"/>
                <w:color w:val="auto"/>
                <w:sz w:val="21"/>
                <w:szCs w:val="21"/>
                <w:highlight w:val="none"/>
                <w:lang w:val="en-US" w:bidi="ar-SA"/>
              </w:rPr>
              <w:t>5）像素结构：LED表贴三合一；</w:t>
            </w:r>
            <w:r>
              <w:rPr>
                <w:rFonts w:hint="eastAsia"/>
                <w:color w:val="auto"/>
                <w:sz w:val="21"/>
                <w:szCs w:val="21"/>
                <w:highlight w:val="none"/>
                <w:lang w:val="en-US" w:bidi="ar-SA"/>
              </w:rPr>
              <w:br w:type="textWrapping"/>
            </w:r>
            <w:r>
              <w:rPr>
                <w:rFonts w:hint="eastAsia"/>
                <w:color w:val="auto"/>
                <w:sz w:val="21"/>
                <w:szCs w:val="21"/>
                <w:highlight w:val="none"/>
                <w:lang w:val="en-US" w:bidi="ar-SA"/>
              </w:rPr>
              <w:t>6）箱体分辨率：480×270，箱体尺寸（mm）：600（W）×337.5（H）×50.9（D）；</w:t>
            </w:r>
            <w:r>
              <w:rPr>
                <w:rFonts w:hint="eastAsia"/>
                <w:color w:val="auto"/>
                <w:sz w:val="21"/>
                <w:szCs w:val="21"/>
                <w:highlight w:val="none"/>
                <w:lang w:val="en-US" w:bidi="ar-SA"/>
              </w:rPr>
              <w:br w:type="textWrapping"/>
            </w:r>
            <w:r>
              <w:rPr>
                <w:rFonts w:hint="eastAsia"/>
                <w:color w:val="auto"/>
                <w:sz w:val="21"/>
                <w:szCs w:val="21"/>
                <w:highlight w:val="none"/>
                <w:lang w:val="en-US" w:bidi="ar-SA"/>
              </w:rPr>
              <w:t>7）像素密度：640000点/㎡ ；</w:t>
            </w:r>
            <w:r>
              <w:rPr>
                <w:rFonts w:hint="eastAsia"/>
                <w:color w:val="auto"/>
                <w:sz w:val="21"/>
                <w:szCs w:val="21"/>
                <w:highlight w:val="none"/>
                <w:lang w:val="en-US" w:bidi="ar-SA"/>
              </w:rPr>
              <w:br w:type="textWrapping"/>
            </w:r>
            <w:r>
              <w:rPr>
                <w:rFonts w:hint="eastAsia"/>
                <w:color w:val="auto"/>
                <w:sz w:val="21"/>
                <w:szCs w:val="21"/>
                <w:highlight w:val="none"/>
                <w:lang w:val="en-US" w:bidi="ar-SA"/>
              </w:rPr>
              <w:t>8）光学参数：显示屏亮度≥600cd/㎡，色温3000K—10000K可调，水平、垂直视角160°，亮度均匀性≥97%，色度均匀性±0.003Cx,Cy之内，最大对比度≥3000:1；刷新率：3840Hz</w:t>
            </w:r>
            <w:r>
              <w:rPr>
                <w:rFonts w:hint="eastAsia"/>
                <w:color w:val="auto"/>
                <w:sz w:val="21"/>
                <w:szCs w:val="21"/>
                <w:highlight w:val="none"/>
                <w:lang w:val="en-US" w:bidi="ar-SA"/>
              </w:rPr>
              <w:br w:type="textWrapping"/>
            </w:r>
            <w:r>
              <w:rPr>
                <w:rFonts w:hint="eastAsia"/>
                <w:color w:val="auto"/>
                <w:sz w:val="21"/>
                <w:szCs w:val="21"/>
                <w:highlight w:val="none"/>
                <w:lang w:val="en-US" w:bidi="ar-SA"/>
              </w:rPr>
              <w:t>9）电气参数：峰值功耗600W/㎡，平均功耗200W/㎡，供电要求110~220VAC±15%；</w:t>
            </w:r>
            <w:r>
              <w:rPr>
                <w:rFonts w:hint="eastAsia"/>
                <w:color w:val="auto"/>
                <w:sz w:val="21"/>
                <w:szCs w:val="21"/>
                <w:highlight w:val="none"/>
                <w:lang w:val="en-US" w:bidi="ar-SA"/>
              </w:rPr>
              <w:br w:type="textWrapping"/>
            </w:r>
            <w:r>
              <w:rPr>
                <w:rFonts w:hint="eastAsia"/>
                <w:color w:val="auto"/>
                <w:sz w:val="21"/>
                <w:szCs w:val="21"/>
                <w:highlight w:val="none"/>
                <w:lang w:val="en-US" w:bidi="ar-SA"/>
              </w:rPr>
              <w:t>10）工作温度范围0—40℃，存储温度范围-10—50℃，工作湿度范围（RH）无结露10-60%，存储湿度范围（RH）无结露10-70%。</w:t>
            </w:r>
            <w:r>
              <w:rPr>
                <w:rFonts w:hint="eastAsia"/>
                <w:color w:val="auto"/>
                <w:sz w:val="21"/>
                <w:szCs w:val="21"/>
                <w:highlight w:val="none"/>
                <w:lang w:val="en-US" w:bidi="ar-SA"/>
              </w:rPr>
              <w:br w:type="textWrapping"/>
            </w:r>
            <w:r>
              <w:rPr>
                <w:rFonts w:hint="eastAsia"/>
                <w:color w:val="auto"/>
                <w:sz w:val="21"/>
                <w:szCs w:val="21"/>
                <w:highlight w:val="none"/>
                <w:lang w:val="en-US" w:bidi="ar-SA"/>
              </w:rPr>
              <w:t>11）功能特性：支持任意方向、任意尺寸、任意造型拼接，画面均匀一致，无黑线，实现真正无缝拼接。</w:t>
            </w:r>
            <w:r>
              <w:rPr>
                <w:rFonts w:hint="eastAsia"/>
                <w:color w:val="auto"/>
                <w:sz w:val="21"/>
                <w:szCs w:val="21"/>
                <w:highlight w:val="none"/>
                <w:lang w:val="en-US" w:bidi="ar-SA"/>
              </w:rPr>
              <w:br w:type="textWrapping"/>
            </w:r>
            <w:r>
              <w:rPr>
                <w:rFonts w:hint="eastAsia"/>
                <w:color w:val="auto"/>
                <w:sz w:val="21"/>
                <w:szCs w:val="21"/>
                <w:highlight w:val="none"/>
                <w:lang w:val="en-US" w:bidi="ar-SA"/>
              </w:rPr>
              <w:t>12）维护方式：完全前维护，灯板电源和接收卡前维护。</w:t>
            </w:r>
            <w:r>
              <w:rPr>
                <w:rFonts w:hint="eastAsia"/>
                <w:color w:val="auto"/>
                <w:sz w:val="21"/>
                <w:szCs w:val="21"/>
                <w:highlight w:val="none"/>
                <w:lang w:val="en-US" w:bidi="ar-SA"/>
              </w:rPr>
              <w:br w:type="textWrapping"/>
            </w:r>
            <w:r>
              <w:rPr>
                <w:rFonts w:hint="eastAsia"/>
                <w:color w:val="auto"/>
                <w:sz w:val="21"/>
                <w:szCs w:val="21"/>
                <w:highlight w:val="none"/>
                <w:lang w:val="en-US" w:bidi="ar-SA"/>
              </w:rPr>
              <w:t>13）冗余备份：标配单电源，可定制双电源，支持信号备份，但需要发送卡翻倍</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★投标产品可通过遥控器的操作，对图像的对比度、清晰度、饱和度、色温以及图像模式进行调节设置。（提供CNAS检测报告复印件证明）</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★投标产品的客户端、遥控器更改设置时，屏幕出现OSD 提示菜单。（提供CNAS检测报告复印件证明）</w:t>
            </w:r>
            <w:r>
              <w:rPr>
                <w:rFonts w:hint="eastAsia"/>
                <w:color w:val="auto"/>
                <w:sz w:val="21"/>
                <w:szCs w:val="21"/>
                <w:highlight w:val="none"/>
                <w:lang w:val="en-US" w:bidi="ar-SA"/>
              </w:rPr>
              <w:br w:type="textWrapping"/>
            </w:r>
            <w:r>
              <w:rPr>
                <w:rFonts w:hint="eastAsia"/>
                <w:color w:val="auto"/>
                <w:sz w:val="21"/>
                <w:szCs w:val="21"/>
                <w:highlight w:val="none"/>
                <w:lang w:val="en-US" w:bidi="ar-SA"/>
              </w:rPr>
              <w:t>★具备智能节能功能，自动检测当前环境是否有人，无人时自动调暗屏幕画面或黑屏（提供CNAS检测报告复印件证明）</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大屏支架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大屏支架（因屏体后空间不足，做可移动支架）</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控制卡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LED全彩显示屏控制器，配合全彩LED显示屏使用，可实现任意尺寸大屏无缝拼接显示，适用于会议室、演播厅、体育场、机场车站、银行、广告、家庭影院等多种场合。</w:t>
            </w:r>
            <w:r>
              <w:rPr>
                <w:rFonts w:hint="eastAsia"/>
                <w:color w:val="auto"/>
                <w:sz w:val="21"/>
                <w:szCs w:val="21"/>
                <w:highlight w:val="none"/>
                <w:lang w:val="en-US" w:bidi="ar-SA"/>
              </w:rPr>
              <w:br w:type="textWrapping"/>
            </w:r>
            <w:r>
              <w:rPr>
                <w:rFonts w:hint="eastAsia"/>
                <w:color w:val="auto"/>
                <w:sz w:val="21"/>
                <w:szCs w:val="21"/>
                <w:highlight w:val="none"/>
                <w:lang w:val="en-US" w:bidi="ar-SA"/>
              </w:rPr>
              <w:t>4个千兆网口输出，单个网口最大带载65万个像素点；</w:t>
            </w:r>
            <w:r>
              <w:rPr>
                <w:rFonts w:hint="eastAsia"/>
                <w:color w:val="auto"/>
                <w:sz w:val="21"/>
                <w:szCs w:val="21"/>
                <w:highlight w:val="none"/>
                <w:lang w:val="en-US" w:bidi="ar-SA"/>
              </w:rPr>
              <w:br w:type="textWrapping"/>
            </w:r>
            <w:r>
              <w:rPr>
                <w:rFonts w:hint="eastAsia"/>
                <w:color w:val="auto"/>
                <w:sz w:val="21"/>
                <w:szCs w:val="21"/>
                <w:highlight w:val="none"/>
                <w:lang w:val="en-US" w:bidi="ar-SA"/>
              </w:rPr>
              <w:t>带载分辨率：2048×1152@60Hz或1920×1200@60Hz；</w:t>
            </w:r>
            <w:r>
              <w:rPr>
                <w:rFonts w:hint="eastAsia"/>
                <w:color w:val="auto"/>
                <w:sz w:val="21"/>
                <w:szCs w:val="21"/>
                <w:highlight w:val="none"/>
                <w:lang w:val="en-US" w:bidi="ar-SA"/>
              </w:rPr>
              <w:br w:type="textWrapping"/>
            </w:r>
            <w:r>
              <w:rPr>
                <w:rFonts w:hint="eastAsia"/>
                <w:color w:val="auto"/>
                <w:sz w:val="21"/>
                <w:szCs w:val="21"/>
                <w:highlight w:val="none"/>
                <w:lang w:val="en-US" w:bidi="ar-SA"/>
              </w:rPr>
              <w:t>DVI、DP、HDMI多信号输入，支持信源自动检测，无需手动切换信源；</w:t>
            </w:r>
            <w:r>
              <w:rPr>
                <w:rFonts w:hint="eastAsia"/>
                <w:color w:val="auto"/>
                <w:sz w:val="21"/>
                <w:szCs w:val="21"/>
                <w:highlight w:val="none"/>
                <w:lang w:val="en-US" w:bidi="ar-SA"/>
              </w:rPr>
              <w:br w:type="textWrapping"/>
            </w:r>
            <w:r>
              <w:rPr>
                <w:rFonts w:hint="eastAsia"/>
                <w:color w:val="auto"/>
                <w:sz w:val="21"/>
                <w:szCs w:val="21"/>
                <w:highlight w:val="none"/>
                <w:lang w:val="en-US" w:bidi="ar-SA"/>
              </w:rPr>
              <w:t>16bit处理深度，低亮高灰，真实还原图像色彩；</w:t>
            </w:r>
            <w:r>
              <w:rPr>
                <w:rFonts w:hint="eastAsia"/>
                <w:color w:val="auto"/>
                <w:sz w:val="21"/>
                <w:szCs w:val="21"/>
                <w:highlight w:val="none"/>
                <w:lang w:val="en-US" w:bidi="ar-SA"/>
              </w:rPr>
              <w:br w:type="textWrapping"/>
            </w:r>
            <w:r>
              <w:rPr>
                <w:rFonts w:hint="eastAsia"/>
                <w:color w:val="auto"/>
                <w:sz w:val="21"/>
                <w:szCs w:val="21"/>
                <w:highlight w:val="none"/>
                <w:lang w:val="en-US" w:bidi="ar-SA"/>
              </w:rPr>
              <w:t>3840Hz高刷新率，纳秒级响应时间，视频画面更细腻流畅；</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支持屏幕亮度自动调整,自适应环境光亮度（配合多功能卡使用）；</w:t>
            </w:r>
            <w:r>
              <w:rPr>
                <w:rFonts w:hint="eastAsia"/>
                <w:color w:val="auto"/>
                <w:sz w:val="21"/>
                <w:szCs w:val="21"/>
                <w:highlight w:val="none"/>
                <w:lang w:val="en-US" w:bidi="ar-SA"/>
              </w:rPr>
              <w:br w:type="textWrapping"/>
            </w:r>
            <w:r>
              <w:rPr>
                <w:rFonts w:hint="eastAsia"/>
                <w:color w:val="auto"/>
                <w:sz w:val="21"/>
                <w:szCs w:val="21"/>
                <w:highlight w:val="none"/>
                <w:lang w:val="en-US" w:bidi="ar-SA"/>
              </w:rPr>
              <w:t>图像色温调节，标准、冷、暖三色可调；</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★投标产品支持屏体各通道逐个延时上电，可通过遥控器进行操作。（提供CNAS检测报告复印件证明）</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★投标产品可通过物理按键、遥控器、客户端方式对屏幕红、绿、蓝、白、条纹逐行扫描进行自检操作。（提供CNAS检测报告复印件证明）</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视频综合平台一体机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3U机箱+4路DVI输入（支持转VGA或HDMI）+8路HDMI输出+单主控板+单电源；整机支持解码4路2400W@25fps、或8路1200W@25fps、或16路800W@25fps、或32路400W@25fps、或 64路200W@30fps，128路720P@30fps，或128路4CIF@30fps以下分辨率</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★投标产品主控板具有4个串口，每个串口挂载8个RS485控制设备，可将IP数据发送给串口。（需提供国家认可的第三方检测机构出具的检测报告复印件）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★投标产品支持虚拟云台控制功能，具备虚拟云台控制按键，可调整球机和云台的运行速度和方向，并且支持多用户云台抢占、云台控制锁定功能（需提供国家认可的第三方检测机构出具的检测报告复印件）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网络键盘</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设备参数</w:t>
            </w:r>
            <w:r>
              <w:rPr>
                <w:rFonts w:hint="eastAsia"/>
                <w:color w:val="auto"/>
                <w:sz w:val="21"/>
                <w:szCs w:val="21"/>
                <w:highlight w:val="none"/>
                <w:lang w:val="en-US" w:bidi="ar-SA"/>
              </w:rPr>
              <w:br w:type="textWrapping"/>
            </w:r>
            <w:r>
              <w:rPr>
                <w:rFonts w:hint="eastAsia"/>
                <w:color w:val="auto"/>
                <w:sz w:val="21"/>
                <w:szCs w:val="21"/>
                <w:highlight w:val="none"/>
                <w:lang w:val="en-US" w:bidi="ar-SA"/>
              </w:rPr>
              <w:t>显示屏：10.1英寸TFT LCD</w:t>
            </w:r>
            <w:r>
              <w:rPr>
                <w:rFonts w:hint="eastAsia"/>
                <w:color w:val="auto"/>
                <w:sz w:val="21"/>
                <w:szCs w:val="21"/>
                <w:highlight w:val="none"/>
                <w:lang w:val="en-US" w:bidi="ar-SA"/>
              </w:rPr>
              <w:br w:type="textWrapping"/>
            </w:r>
            <w:r>
              <w:rPr>
                <w:rFonts w:hint="eastAsia"/>
                <w:color w:val="auto"/>
                <w:sz w:val="21"/>
                <w:szCs w:val="21"/>
                <w:highlight w:val="none"/>
                <w:lang w:val="en-US" w:bidi="ar-SA"/>
              </w:rPr>
              <w:t>控制方式：网络方式</w:t>
            </w:r>
            <w:r>
              <w:rPr>
                <w:rFonts w:hint="eastAsia"/>
                <w:color w:val="auto"/>
                <w:sz w:val="21"/>
                <w:szCs w:val="21"/>
                <w:highlight w:val="none"/>
                <w:lang w:val="en-US" w:bidi="ar-SA"/>
              </w:rPr>
              <w:br w:type="textWrapping"/>
            </w:r>
            <w:r>
              <w:rPr>
                <w:rFonts w:hint="eastAsia"/>
                <w:color w:val="auto"/>
                <w:sz w:val="21"/>
                <w:szCs w:val="21"/>
                <w:highlight w:val="none"/>
                <w:lang w:val="en-US" w:bidi="ar-SA"/>
              </w:rPr>
              <w:t>电源：DC12V/POE</w:t>
            </w:r>
            <w:r>
              <w:rPr>
                <w:rFonts w:hint="eastAsia"/>
                <w:color w:val="auto"/>
                <w:sz w:val="21"/>
                <w:szCs w:val="21"/>
                <w:highlight w:val="none"/>
                <w:lang w:val="en-US" w:bidi="ar-SA"/>
              </w:rPr>
              <w:br w:type="textWrapping"/>
            </w:r>
            <w:r>
              <w:rPr>
                <w:rFonts w:hint="eastAsia"/>
                <w:color w:val="auto"/>
                <w:sz w:val="21"/>
                <w:szCs w:val="21"/>
                <w:highlight w:val="none"/>
                <w:lang w:val="en-US" w:bidi="ar-SA"/>
              </w:rPr>
              <w:t>功耗：≤15W</w:t>
            </w:r>
            <w:r>
              <w:rPr>
                <w:rFonts w:hint="eastAsia"/>
                <w:color w:val="auto"/>
                <w:sz w:val="21"/>
                <w:szCs w:val="21"/>
                <w:highlight w:val="none"/>
                <w:lang w:val="en-US" w:bidi="ar-SA"/>
              </w:rPr>
              <w:br w:type="textWrapping"/>
            </w:r>
            <w:r>
              <w:rPr>
                <w:rFonts w:hint="eastAsia"/>
                <w:color w:val="auto"/>
                <w:sz w:val="21"/>
                <w:szCs w:val="21"/>
                <w:highlight w:val="none"/>
                <w:lang w:val="en-US" w:bidi="ar-SA"/>
              </w:rPr>
              <w:t>尺寸(宽*高*深)：404mm（长）*180mm（宽）*163mm（高）</w:t>
            </w:r>
            <w:r>
              <w:rPr>
                <w:rFonts w:hint="eastAsia"/>
                <w:color w:val="auto"/>
                <w:sz w:val="21"/>
                <w:szCs w:val="21"/>
                <w:highlight w:val="none"/>
                <w:lang w:val="en-US" w:bidi="ar-SA"/>
              </w:rPr>
              <w:br w:type="textWrapping"/>
            </w:r>
            <w:r>
              <w:rPr>
                <w:rFonts w:hint="eastAsia"/>
                <w:color w:val="auto"/>
                <w:sz w:val="21"/>
                <w:szCs w:val="21"/>
                <w:highlight w:val="none"/>
                <w:lang w:val="en-US" w:bidi="ar-SA"/>
              </w:rPr>
              <w:t>重量：≈1.7KG</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解码参数</w:t>
            </w:r>
            <w:r>
              <w:rPr>
                <w:rFonts w:hint="eastAsia"/>
                <w:color w:val="auto"/>
                <w:sz w:val="21"/>
                <w:szCs w:val="21"/>
                <w:highlight w:val="none"/>
                <w:lang w:val="en-US" w:bidi="ar-SA"/>
              </w:rPr>
              <w:br w:type="textWrapping"/>
            </w:r>
            <w:r>
              <w:rPr>
                <w:rFonts w:hint="eastAsia"/>
                <w:color w:val="auto"/>
                <w:sz w:val="21"/>
                <w:szCs w:val="21"/>
                <w:highlight w:val="none"/>
                <w:lang w:val="en-US" w:bidi="ar-SA"/>
              </w:rPr>
              <w:t>最大解码分辨率：4路1080P或1路4K</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环境参数</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工作温度：-10℃--＋55℃</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工作湿度：10％--90％</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外部接口</w:t>
            </w:r>
            <w:r>
              <w:rPr>
                <w:rFonts w:hint="eastAsia"/>
                <w:color w:val="auto"/>
                <w:sz w:val="21"/>
                <w:szCs w:val="21"/>
                <w:highlight w:val="none"/>
                <w:lang w:val="en-US" w:bidi="ar-SA"/>
              </w:rPr>
              <w:br w:type="textWrapping"/>
            </w:r>
            <w:r>
              <w:rPr>
                <w:rFonts w:hint="eastAsia"/>
                <w:color w:val="auto"/>
                <w:sz w:val="21"/>
                <w:szCs w:val="21"/>
                <w:highlight w:val="none"/>
                <w:lang w:val="en-US" w:bidi="ar-SA"/>
              </w:rPr>
              <w:t>网络接口：1个</w:t>
            </w:r>
            <w:r>
              <w:rPr>
                <w:rFonts w:hint="eastAsia"/>
                <w:color w:val="auto"/>
                <w:sz w:val="21"/>
                <w:szCs w:val="21"/>
                <w:highlight w:val="none"/>
                <w:lang w:val="en-US" w:bidi="ar-SA"/>
              </w:rPr>
              <w:br w:type="textWrapping"/>
            </w:r>
            <w:r>
              <w:rPr>
                <w:rFonts w:hint="eastAsia"/>
                <w:color w:val="auto"/>
                <w:sz w:val="21"/>
                <w:szCs w:val="21"/>
                <w:highlight w:val="none"/>
                <w:lang w:val="en-US" w:bidi="ar-SA"/>
              </w:rPr>
              <w:t>WiFi：1个</w:t>
            </w:r>
            <w:r>
              <w:rPr>
                <w:rFonts w:hint="eastAsia"/>
                <w:color w:val="auto"/>
                <w:sz w:val="21"/>
                <w:szCs w:val="21"/>
                <w:highlight w:val="none"/>
                <w:lang w:val="en-US" w:bidi="ar-SA"/>
              </w:rPr>
              <w:br w:type="textWrapping"/>
            </w:r>
            <w:r>
              <w:rPr>
                <w:rFonts w:hint="eastAsia"/>
                <w:color w:val="auto"/>
                <w:sz w:val="21"/>
                <w:szCs w:val="21"/>
                <w:highlight w:val="none"/>
                <w:lang w:val="en-US" w:bidi="ar-SA"/>
              </w:rPr>
              <w:t>串行接口：不支持</w:t>
            </w:r>
            <w:r>
              <w:rPr>
                <w:rFonts w:hint="eastAsia"/>
                <w:color w:val="auto"/>
                <w:sz w:val="21"/>
                <w:szCs w:val="21"/>
                <w:highlight w:val="none"/>
                <w:lang w:val="en-US" w:bidi="ar-SA"/>
              </w:rPr>
              <w:br w:type="textWrapping"/>
            </w:r>
            <w:r>
              <w:rPr>
                <w:rFonts w:hint="eastAsia"/>
                <w:color w:val="auto"/>
                <w:sz w:val="21"/>
                <w:szCs w:val="21"/>
                <w:highlight w:val="none"/>
                <w:lang w:val="en-US" w:bidi="ar-SA"/>
              </w:rPr>
              <w:t>语音对讲输入：1个，3.5mm立体声</w:t>
            </w:r>
            <w:r>
              <w:rPr>
                <w:rFonts w:hint="eastAsia"/>
                <w:color w:val="auto"/>
                <w:sz w:val="21"/>
                <w:szCs w:val="21"/>
                <w:highlight w:val="none"/>
                <w:lang w:val="en-US" w:bidi="ar-SA"/>
              </w:rPr>
              <w:br w:type="textWrapping"/>
            </w:r>
            <w:r>
              <w:rPr>
                <w:rFonts w:hint="eastAsia"/>
                <w:color w:val="auto"/>
                <w:sz w:val="21"/>
                <w:szCs w:val="21"/>
                <w:highlight w:val="none"/>
                <w:lang w:val="en-US" w:bidi="ar-SA"/>
              </w:rPr>
              <w:t>语音对讲输出：1个，3.5mm立体声</w:t>
            </w:r>
            <w:r>
              <w:rPr>
                <w:rFonts w:hint="eastAsia"/>
                <w:color w:val="auto"/>
                <w:sz w:val="21"/>
                <w:szCs w:val="21"/>
                <w:highlight w:val="none"/>
                <w:lang w:val="en-US" w:bidi="ar-SA"/>
              </w:rPr>
              <w:br w:type="textWrapping"/>
            </w:r>
            <w:r>
              <w:rPr>
                <w:rFonts w:hint="eastAsia"/>
                <w:color w:val="auto"/>
                <w:sz w:val="21"/>
                <w:szCs w:val="21"/>
                <w:highlight w:val="none"/>
                <w:lang w:val="en-US" w:bidi="ar-SA"/>
              </w:rPr>
              <w:t>摇杆类型：四维单按键摇杆</w:t>
            </w:r>
            <w:r>
              <w:rPr>
                <w:rFonts w:hint="eastAsia"/>
                <w:color w:val="auto"/>
                <w:sz w:val="21"/>
                <w:szCs w:val="21"/>
                <w:highlight w:val="none"/>
                <w:lang w:val="en-US" w:bidi="ar-SA"/>
              </w:rPr>
              <w:br w:type="textWrapping"/>
            </w:r>
            <w:r>
              <w:rPr>
                <w:rFonts w:hint="eastAsia"/>
                <w:color w:val="auto"/>
                <w:sz w:val="21"/>
                <w:szCs w:val="21"/>
                <w:highlight w:val="none"/>
                <w:lang w:val="en-US" w:bidi="ar-SA"/>
              </w:rPr>
              <w:t>USB接口：USB2.0x2</w:t>
            </w:r>
            <w:r>
              <w:rPr>
                <w:rFonts w:hint="eastAsia"/>
                <w:color w:val="auto"/>
                <w:sz w:val="21"/>
                <w:szCs w:val="21"/>
                <w:highlight w:val="none"/>
                <w:lang w:val="en-US" w:bidi="ar-SA"/>
              </w:rPr>
              <w:br w:type="textWrapping"/>
            </w:r>
            <w:r>
              <w:rPr>
                <w:rFonts w:hint="eastAsia"/>
                <w:color w:val="auto"/>
                <w:sz w:val="21"/>
                <w:szCs w:val="21"/>
                <w:highlight w:val="none"/>
                <w:lang w:val="en-US" w:bidi="ar-SA"/>
              </w:rPr>
              <w:t>视频接口：DVIx1;HDMIx1</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屏幕区和摇杆区采用分体设计</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支持网络方式接入本司全系列DVR、DVS、NVR、网络摄像机、球机等设备</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支持在触控屏上预览图像或通过HDMI/DVI将图像投到外接显示屏上</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支持控制视频综合平台、解码器、多屏控制器或NVR&amp;解码上墙一体机，直观展示电视墙布局</w:t>
            </w:r>
            <w:r>
              <w:rPr>
                <w:rFonts w:hint="eastAsia"/>
                <w:color w:val="auto"/>
                <w:sz w:val="21"/>
                <w:szCs w:val="21"/>
                <w:highlight w:val="none"/>
                <w:lang w:val="en-US" w:bidi="ar-SA"/>
              </w:rPr>
              <w:br w:type="textWrapping"/>
            </w:r>
            <w:r>
              <w:rPr>
                <w:rFonts w:hint="eastAsia"/>
                <w:color w:val="auto"/>
                <w:sz w:val="21"/>
                <w:szCs w:val="21"/>
                <w:highlight w:val="none"/>
                <w:lang w:val="en-US" w:bidi="ar-SA"/>
              </w:rPr>
              <w:t>支持云台控制，支持预置点、巡航和轨迹的设置与调用</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支持回放硬盘录像机上的录像文件，支持控制解码器回放</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支持抓图、录像功能，文件保存至U盘或上传至FTP服务器</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支持最多添加8000台设备，支持以ONVIF协议接入设备</w:t>
            </w:r>
            <w:r>
              <w:rPr>
                <w:rFonts w:hint="eastAsia"/>
                <w:color w:val="auto"/>
                <w:sz w:val="21"/>
                <w:szCs w:val="21"/>
                <w:highlight w:val="none"/>
                <w:lang w:val="en-US" w:bidi="ar-SA"/>
              </w:rPr>
              <w:br w:type="textWrapping"/>
            </w:r>
            <w:r>
              <w:rPr>
                <w:rFonts w:hint="eastAsia"/>
                <w:color w:val="auto"/>
                <w:sz w:val="21"/>
                <w:szCs w:val="21"/>
                <w:highlight w:val="none"/>
                <w:lang w:val="en-US" w:bidi="ar-SA"/>
              </w:rPr>
              <w:t>支持通过excel批量添加监控点位，借助U盘导入</w:t>
            </w:r>
            <w:r>
              <w:rPr>
                <w:rFonts w:hint="eastAsia"/>
                <w:color w:val="auto"/>
                <w:sz w:val="21"/>
                <w:szCs w:val="21"/>
                <w:highlight w:val="none"/>
                <w:lang w:val="en-US" w:bidi="ar-SA"/>
              </w:rPr>
              <w:br w:type="textWrapping"/>
            </w:r>
            <w:r>
              <w:rPr>
                <w:rFonts w:hint="eastAsia"/>
                <w:color w:val="auto"/>
                <w:sz w:val="21"/>
                <w:szCs w:val="21"/>
                <w:highlight w:val="none"/>
                <w:lang w:val="en-US" w:bidi="ar-SA"/>
              </w:rPr>
              <w:t>两级用户权限，支持32个用户 ，1个admin管理员用户和31个操作员用户</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支持接入HikCentral(海外)</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支持接入iSecure（海豚）平台（国内）</w:t>
            </w:r>
            <w:r>
              <w:rPr>
                <w:rFonts w:hint="eastAsia"/>
                <w:color w:val="auto"/>
                <w:sz w:val="21"/>
                <w:szCs w:val="21"/>
                <w:highlight w:val="none"/>
                <w:lang w:val="en-US" w:bidi="ar-SA"/>
              </w:rPr>
              <w:br w:type="textWrapping"/>
            </w:r>
            <w:r>
              <w:rPr>
                <w:rFonts w:hint="eastAsia"/>
                <w:color w:val="auto"/>
                <w:sz w:val="21"/>
                <w:szCs w:val="21"/>
                <w:highlight w:val="none"/>
                <w:lang w:val="en-US" w:bidi="ar-SA"/>
              </w:rPr>
              <w:t>支持U盘升级及导入/导出配置文件</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支持接入综合安防平台</w:t>
            </w:r>
            <w:r>
              <w:rPr>
                <w:rFonts w:hint="eastAsia"/>
                <w:color w:val="auto"/>
                <w:sz w:val="21"/>
                <w:szCs w:val="21"/>
                <w:highlight w:val="none"/>
                <w:lang w:val="en-US" w:bidi="ar-SA"/>
              </w:rPr>
              <w:br w:type="textWrapping"/>
            </w:r>
            <w:r>
              <w:rPr>
                <w:rFonts w:hint="eastAsia"/>
                <w:color w:val="auto"/>
                <w:sz w:val="21"/>
                <w:szCs w:val="21"/>
                <w:highlight w:val="none"/>
                <w:lang w:val="en-US" w:bidi="ar-SA"/>
              </w:rPr>
              <w:t>支持语音识别，通过指定的语音指令实现快捷切换操作。(仅限国内)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流媒体服务器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H620-G30  HG7265/32G DDR4*2/600G SAS 2.5 10K*2/8口 SAS卡/双电/导轨</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CPU：配置1颗 x86架构HYGON处理器，核数≥16核，主频≥2.2GHz</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整机支持一颗HG7265系列多核HYGON处理器，TDP最大支持205W；</w:t>
            </w:r>
            <w:r>
              <w:rPr>
                <w:rFonts w:hint="eastAsia"/>
                <w:color w:val="auto"/>
                <w:sz w:val="21"/>
                <w:szCs w:val="21"/>
                <w:highlight w:val="none"/>
                <w:lang w:val="en-US" w:bidi="ar-SA"/>
              </w:rPr>
              <w:br w:type="textWrapping"/>
            </w:r>
            <w:r>
              <w:rPr>
                <w:rFonts w:hint="eastAsia"/>
                <w:color w:val="auto"/>
                <w:sz w:val="21"/>
                <w:szCs w:val="21"/>
                <w:highlight w:val="none"/>
                <w:lang w:val="en-US" w:bidi="ar-SA"/>
              </w:rPr>
              <w:t>内存：配置64G DDR4，16根内存插槽，最大支持扩展至2TB内存；</w:t>
            </w:r>
            <w:r>
              <w:rPr>
                <w:rFonts w:hint="eastAsia"/>
                <w:color w:val="auto"/>
                <w:sz w:val="21"/>
                <w:szCs w:val="21"/>
                <w:highlight w:val="none"/>
                <w:lang w:val="en-US" w:bidi="ar-SA"/>
              </w:rPr>
              <w:br w:type="textWrapping"/>
            </w:r>
            <w:r>
              <w:rPr>
                <w:rFonts w:hint="eastAsia"/>
                <w:color w:val="auto"/>
                <w:sz w:val="21"/>
                <w:szCs w:val="21"/>
                <w:highlight w:val="none"/>
                <w:lang w:val="en-US" w:bidi="ar-SA"/>
              </w:rPr>
              <w:t>硬盘：配置2块600G SAS硬盘；</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最高支持12块3.5寸(兼容2.5寸)热插拔SATA/SAS硬盘</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可选支持2块后置2.5寸热插拔SATA/SAS硬盘</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可选支持8块NVME U.2热插拔硬盘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支持1个M.2插槽；</w:t>
            </w:r>
            <w:r>
              <w:rPr>
                <w:rFonts w:hint="eastAsia"/>
                <w:color w:val="auto"/>
                <w:sz w:val="21"/>
                <w:szCs w:val="21"/>
                <w:highlight w:val="none"/>
                <w:lang w:val="en-US" w:bidi="ar-SA"/>
              </w:rPr>
              <w:br w:type="textWrapping"/>
            </w:r>
            <w:r>
              <w:rPr>
                <w:rFonts w:hint="eastAsia"/>
                <w:color w:val="auto"/>
                <w:sz w:val="21"/>
                <w:szCs w:val="21"/>
                <w:highlight w:val="none"/>
                <w:lang w:val="en-US" w:bidi="ar-SA"/>
              </w:rPr>
              <w:t>阵列卡：配置SAS_HBA 卡，支持RAID 0/1/10；可选RAID卡, 支持RAID 0/1/5/6/10/50/60 ，可选支持断电保护；</w:t>
            </w:r>
            <w:r>
              <w:rPr>
                <w:rFonts w:hint="eastAsia"/>
                <w:color w:val="auto"/>
                <w:sz w:val="21"/>
                <w:szCs w:val="21"/>
                <w:highlight w:val="none"/>
                <w:lang w:val="en-US" w:bidi="ar-SA"/>
              </w:rPr>
              <w:br w:type="textWrapping"/>
            </w:r>
            <w:r>
              <w:rPr>
                <w:rFonts w:hint="eastAsia"/>
                <w:color w:val="auto"/>
                <w:sz w:val="21"/>
                <w:szCs w:val="21"/>
                <w:highlight w:val="none"/>
                <w:lang w:val="en-US" w:bidi="ar-SA"/>
              </w:rPr>
              <w:t>PCIE扩展：最大可支持6个PCIe扩展插槽（最大支持2个半高半长GPU卡）；</w:t>
            </w:r>
            <w:r>
              <w:rPr>
                <w:rFonts w:hint="eastAsia"/>
                <w:color w:val="auto"/>
                <w:sz w:val="21"/>
                <w:szCs w:val="21"/>
                <w:highlight w:val="none"/>
                <w:lang w:val="en-US" w:bidi="ar-SA"/>
              </w:rPr>
              <w:br w:type="textWrapping"/>
            </w:r>
            <w:r>
              <w:rPr>
                <w:rFonts w:hint="eastAsia"/>
                <w:color w:val="auto"/>
                <w:sz w:val="21"/>
                <w:szCs w:val="21"/>
                <w:highlight w:val="none"/>
                <w:lang w:val="en-US" w:bidi="ar-SA"/>
              </w:rPr>
              <w:t>网口：配置4个千兆电口；</w:t>
            </w:r>
            <w:r>
              <w:rPr>
                <w:rFonts w:hint="eastAsia"/>
                <w:color w:val="auto"/>
                <w:sz w:val="21"/>
                <w:szCs w:val="21"/>
                <w:highlight w:val="none"/>
                <w:lang w:val="en-US" w:bidi="ar-SA"/>
              </w:rPr>
              <w:br w:type="textWrapping"/>
            </w:r>
            <w:r>
              <w:rPr>
                <w:rFonts w:hint="eastAsia"/>
                <w:color w:val="auto"/>
                <w:sz w:val="21"/>
                <w:szCs w:val="21"/>
                <w:highlight w:val="none"/>
                <w:lang w:val="en-US" w:bidi="ar-SA"/>
              </w:rPr>
              <w:t>其他接口：配置1个千兆RJ-45管理接口，4个USB 3.0接口，2个位于机箱后部，2个位于机箱前部；1个VGA口，位于机箱后部；可选1个COM口位于机箱后部；</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电源：标配550W（1+1）白金冗余电源</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支持200-240V 50/60Hz AC/HVDC</w:t>
            </w:r>
            <w:r>
              <w:rPr>
                <w:rFonts w:hint="eastAsia"/>
                <w:color w:val="auto"/>
                <w:sz w:val="21"/>
                <w:szCs w:val="21"/>
                <w:highlight w:val="none"/>
                <w:lang w:val="en-US" w:bidi="ar-SA"/>
              </w:rPr>
              <w:br w:type="textWrapping"/>
            </w:r>
            <w:r>
              <w:rPr>
                <w:rFonts w:hint="eastAsia"/>
                <w:color w:val="auto"/>
                <w:sz w:val="21"/>
                <w:szCs w:val="21"/>
                <w:highlight w:val="none"/>
                <w:lang w:val="en-US" w:bidi="ar-SA"/>
              </w:rPr>
              <w:t>机箱规格：87.8mm(高)x 448mm(宽)x730mm(深)</w:t>
            </w:r>
            <w:r>
              <w:rPr>
                <w:rFonts w:hint="eastAsia"/>
                <w:color w:val="auto"/>
                <w:sz w:val="21"/>
                <w:szCs w:val="21"/>
                <w:highlight w:val="none"/>
                <w:lang w:val="en-US" w:bidi="ar-SA"/>
              </w:rPr>
              <w:br w:type="textWrapping"/>
            </w:r>
            <w:r>
              <w:rPr>
                <w:rFonts w:hint="eastAsia"/>
                <w:color w:val="auto"/>
                <w:sz w:val="21"/>
                <w:szCs w:val="21"/>
                <w:highlight w:val="none"/>
                <w:lang w:val="en-US" w:bidi="ar-SA"/>
              </w:rPr>
              <w:t>设备重量：最大30千克（不含导轨）</w:t>
            </w:r>
            <w:r>
              <w:rPr>
                <w:rFonts w:hint="eastAsia"/>
                <w:color w:val="auto"/>
                <w:sz w:val="21"/>
                <w:szCs w:val="21"/>
                <w:highlight w:val="none"/>
                <w:lang w:val="en-US" w:bidi="ar-SA"/>
              </w:rPr>
              <w:br w:type="textWrapping"/>
            </w:r>
            <w:r>
              <w:rPr>
                <w:rFonts w:hint="eastAsia"/>
                <w:color w:val="auto"/>
                <w:sz w:val="21"/>
                <w:szCs w:val="21"/>
                <w:highlight w:val="none"/>
                <w:lang w:val="en-US" w:bidi="ar-SA"/>
              </w:rPr>
              <w:t>操作系统：Windows server 2019</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HIK OS R4及以上</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CentOS 7.4及以上</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Ubuntu</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国产麒麟</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UOS</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播控主机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品牌台式电脑：</w:t>
            </w:r>
            <w:r>
              <w:rPr>
                <w:rFonts w:hint="eastAsia"/>
                <w:color w:val="auto"/>
                <w:sz w:val="21"/>
                <w:szCs w:val="21"/>
                <w:highlight w:val="none"/>
                <w:lang w:val="en-US" w:bidi="ar-SA"/>
              </w:rPr>
              <w:br w:type="textWrapping"/>
            </w:r>
            <w:r>
              <w:rPr>
                <w:rFonts w:hint="eastAsia"/>
                <w:color w:val="auto"/>
                <w:sz w:val="21"/>
                <w:szCs w:val="21"/>
                <w:highlight w:val="none"/>
                <w:lang w:val="en-US" w:bidi="ar-SA"/>
              </w:rPr>
              <w:t>高速固态硬盘</w:t>
            </w:r>
            <w:r>
              <w:rPr>
                <w:rFonts w:hint="eastAsia"/>
                <w:color w:val="auto"/>
                <w:sz w:val="21"/>
                <w:szCs w:val="21"/>
                <w:highlight w:val="none"/>
                <w:lang w:val="en-US" w:bidi="ar-SA"/>
              </w:rPr>
              <w:br w:type="textWrapping"/>
            </w:r>
            <w:r>
              <w:rPr>
                <w:rFonts w:hint="eastAsia"/>
                <w:color w:val="auto"/>
                <w:sz w:val="21"/>
                <w:szCs w:val="21"/>
                <w:highlight w:val="none"/>
                <w:lang w:val="en-US" w:bidi="ar-SA"/>
              </w:rPr>
              <w:t>含键盘鼠标</w:t>
            </w:r>
            <w:r>
              <w:rPr>
                <w:rFonts w:hint="eastAsia"/>
                <w:color w:val="auto"/>
                <w:sz w:val="21"/>
                <w:szCs w:val="21"/>
                <w:highlight w:val="none"/>
                <w:lang w:val="en-US" w:bidi="ar-SA"/>
              </w:rPr>
              <w:br w:type="textWrapping"/>
            </w:r>
            <w:r>
              <w:rPr>
                <w:rFonts w:hint="eastAsia"/>
                <w:color w:val="auto"/>
                <w:sz w:val="21"/>
                <w:szCs w:val="21"/>
                <w:highlight w:val="none"/>
                <w:lang w:val="en-US" w:bidi="ar-SA"/>
              </w:rPr>
              <w:t>配置：</w:t>
            </w:r>
            <w:r>
              <w:rPr>
                <w:rFonts w:hint="eastAsia"/>
                <w:color w:val="auto"/>
                <w:sz w:val="21"/>
                <w:szCs w:val="21"/>
                <w:highlight w:val="none"/>
                <w:lang w:val="en-US" w:bidi="ar-SA"/>
              </w:rPr>
              <w:br w:type="textWrapping"/>
            </w:r>
            <w:r>
              <w:rPr>
                <w:rFonts w:hint="eastAsia"/>
                <w:color w:val="auto"/>
                <w:sz w:val="21"/>
                <w:szCs w:val="21"/>
                <w:highlight w:val="none"/>
                <w:lang w:val="en-US" w:bidi="ar-SA"/>
              </w:rPr>
              <w:t>CPU:英特尔I9</w:t>
            </w:r>
            <w:r>
              <w:rPr>
                <w:rFonts w:hint="eastAsia"/>
                <w:color w:val="auto"/>
                <w:sz w:val="21"/>
                <w:szCs w:val="21"/>
                <w:highlight w:val="none"/>
                <w:lang w:val="en-US" w:bidi="ar-SA"/>
              </w:rPr>
              <w:br w:type="textWrapping"/>
            </w:r>
            <w:r>
              <w:rPr>
                <w:rFonts w:hint="eastAsia"/>
                <w:color w:val="auto"/>
                <w:sz w:val="21"/>
                <w:szCs w:val="21"/>
                <w:highlight w:val="none"/>
                <w:lang w:val="en-US" w:bidi="ar-SA"/>
              </w:rPr>
              <w:t>内存：32GDDR5</w:t>
            </w:r>
            <w:r>
              <w:rPr>
                <w:rFonts w:hint="eastAsia"/>
                <w:color w:val="auto"/>
                <w:sz w:val="21"/>
                <w:szCs w:val="21"/>
                <w:highlight w:val="none"/>
                <w:lang w:val="en-US" w:bidi="ar-SA"/>
              </w:rPr>
              <w:br w:type="textWrapping"/>
            </w:r>
            <w:r>
              <w:rPr>
                <w:rFonts w:hint="eastAsia"/>
                <w:color w:val="auto"/>
                <w:sz w:val="21"/>
                <w:szCs w:val="21"/>
                <w:highlight w:val="none"/>
                <w:lang w:val="en-US" w:bidi="ar-SA"/>
              </w:rPr>
              <w:t>独立显卡：3080ti,</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存储：固态硬盘512G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控制软件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显示屏专用控制软件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钢结构、装饰及基础</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大屏定制钢结构框架及相关装饰，含控制箱</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大屏安装调试费用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含设备安装、调试、测试及操作培训</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24口交换机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1、固化端口：≥24个10/100/1000Mbps光口，≥4个SFP+光口，8个复用千兆电口标准1U设备，提供官网截图证明；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2、交换容量≥336Gbps，包转发率≥108Mpps，提供官网截图证明；</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3、为避免网络被异常流量和突发流量波及导致网络瘫痪，要求设备支持QOS，支持端口流量限速；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4、支持专门针对CPU的保护机制，能够针对发往CPU处理的各种报文进行流量控制和优先级处理，保护交换机在各种环境下稳定工作； </w:t>
            </w:r>
            <w:r>
              <w:rPr>
                <w:rFonts w:hint="eastAsia"/>
                <w:color w:val="auto"/>
                <w:sz w:val="21"/>
                <w:szCs w:val="21"/>
                <w:highlight w:val="none"/>
                <w:lang w:val="en-US" w:bidi="ar-SA"/>
              </w:rPr>
              <w:br w:type="textWrapping"/>
            </w:r>
            <w:r>
              <w:rPr>
                <w:rFonts w:hint="eastAsia"/>
                <w:color w:val="auto"/>
                <w:sz w:val="21"/>
                <w:szCs w:val="21"/>
                <w:highlight w:val="none"/>
                <w:lang w:val="en-US" w:bidi="ar-SA"/>
              </w:rPr>
              <w:t>5、支持标准的ACL、支持基于IP/MAC扩展的AC；</w:t>
            </w:r>
            <w:r>
              <w:rPr>
                <w:rFonts w:hint="eastAsia"/>
                <w:color w:val="auto"/>
                <w:sz w:val="21"/>
                <w:szCs w:val="21"/>
                <w:highlight w:val="none"/>
                <w:lang w:val="en-US" w:bidi="ar-SA"/>
              </w:rPr>
              <w:br w:type="textWrapping"/>
            </w:r>
            <w:r>
              <w:rPr>
                <w:rFonts w:hint="eastAsia"/>
                <w:color w:val="auto"/>
                <w:sz w:val="21"/>
                <w:szCs w:val="21"/>
                <w:highlight w:val="none"/>
                <w:lang w:val="en-US" w:bidi="ar-SA"/>
              </w:rPr>
              <w:t>6、符合国家低碳环保等政策要求，支持IEEE 802.3az标准的EEE节能技术；</w:t>
            </w:r>
            <w:r>
              <w:rPr>
                <w:rFonts w:hint="eastAsia"/>
                <w:color w:val="auto"/>
                <w:sz w:val="21"/>
                <w:szCs w:val="21"/>
                <w:highlight w:val="none"/>
                <w:lang w:val="en-US" w:bidi="ar-SA"/>
              </w:rPr>
              <w:br w:type="textWrapping"/>
            </w:r>
            <w:r>
              <w:rPr>
                <w:rFonts w:hint="eastAsia"/>
                <w:color w:val="auto"/>
                <w:sz w:val="21"/>
                <w:szCs w:val="21"/>
                <w:highlight w:val="none"/>
                <w:lang w:val="en-US" w:bidi="ar-SA"/>
              </w:rPr>
              <w:t>7、支持网管平台管理，通过可上网的PC或者手机，即可完成部署，即插即用，支持可视化整网拓扑、前面板端口通断状态呈现、CPU、内存利用率、设备配置等功能；</w:t>
            </w:r>
            <w:r>
              <w:rPr>
                <w:rFonts w:hint="eastAsia"/>
                <w:color w:val="auto"/>
                <w:sz w:val="21"/>
                <w:szCs w:val="21"/>
                <w:highlight w:val="none"/>
                <w:lang w:val="en-US" w:bidi="ar-SA"/>
              </w:rPr>
              <w:br w:type="textWrapping"/>
            </w:r>
            <w:r>
              <w:rPr>
                <w:rFonts w:hint="eastAsia"/>
                <w:color w:val="auto"/>
                <w:sz w:val="21"/>
                <w:szCs w:val="21"/>
                <w:highlight w:val="none"/>
                <w:lang w:val="en-US" w:bidi="ar-SA"/>
              </w:rPr>
              <w:t>8、为方便新建项目开局，要求设备支持对全网同品牌设备进行统一的发现，并通过网关对交换、AP、AC进行集中化的调试，避免各区域分别调试的麻烦。如需要依赖于外部软件实现，需免费提供软件；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定制操作台（三工位）</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三联操作台：1.每工位宽1200mm，深950mm,台面高度750mm，.2.框架结构采用模块化组合，内部主框架为钢架有强弱电分离走线槽，可在不同的位置以使布线方便有序，满足主机、强弱电插内置.框架结构中各部件使用一级冷轧钢板冲压折弯成型，主体框架使用不低于1.5mm厚的一级冷轧钢板加工，承重梁部件使用不低于2.0mm厚的一级冷轧钢板加工，外表面静电塑粉喷涂。3.侧板和台面表面覆盖层使用国际知名品牌高压耐磨防火板，具有绝缘、耐火、防潮、耐磨、耐热、耐烟灼、耐撞击、耐刻划、耐腐蚀、防水、防静电、易清洁、高强度特性的耐磨HPL板，整体厚度不低于25mm，两块大面板之间开箭头槽，使用不低于100mm长、不低于6mm粗的拉杆两端连接，整体连接后平整光滑。板材甲醛释放量均需达到E0级国际标准。4.台面的边缘采用耐冲击的聚氨脂材料制成，边缘可以承受半径大于等于25mm的弯曲。5.质保三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显示器支架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双屏显示器可移动旋转支架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适用vesa孔距</w:t>
            </w:r>
            <w:r>
              <w:rPr>
                <w:rFonts w:hint="eastAsia"/>
                <w:color w:val="auto"/>
                <w:sz w:val="21"/>
                <w:szCs w:val="21"/>
                <w:highlight w:val="none"/>
                <w:lang w:val="en-US" w:bidi="ar-SA"/>
              </w:rPr>
              <w:br w:type="textWrapping"/>
            </w:r>
            <w:r>
              <w:rPr>
                <w:rFonts w:hint="eastAsia"/>
                <w:color w:val="auto"/>
                <w:sz w:val="21"/>
                <w:szCs w:val="21"/>
                <w:highlight w:val="none"/>
                <w:lang w:val="en-US" w:bidi="ar-SA"/>
              </w:rPr>
              <w:t>75x75mm；100x100mm</w:t>
            </w:r>
            <w:r>
              <w:rPr>
                <w:rFonts w:hint="eastAsia"/>
                <w:color w:val="auto"/>
                <w:sz w:val="21"/>
                <w:szCs w:val="21"/>
                <w:highlight w:val="none"/>
                <w:lang w:val="en-US" w:bidi="ar-SA"/>
              </w:rPr>
              <w:br w:type="textWrapping"/>
            </w:r>
            <w:r>
              <w:rPr>
                <w:rFonts w:hint="eastAsia"/>
                <w:color w:val="auto"/>
                <w:sz w:val="21"/>
                <w:szCs w:val="21"/>
                <w:highlight w:val="none"/>
                <w:lang w:val="en-US" w:bidi="ar-SA"/>
              </w:rPr>
              <w:t>升降范围</w:t>
            </w:r>
            <w:r>
              <w:rPr>
                <w:rFonts w:hint="eastAsia"/>
                <w:color w:val="auto"/>
                <w:sz w:val="21"/>
                <w:szCs w:val="21"/>
                <w:highlight w:val="none"/>
                <w:lang w:val="en-US" w:bidi="ar-SA"/>
              </w:rPr>
              <w:br w:type="textWrapping"/>
            </w:r>
            <w:r>
              <w:rPr>
                <w:rFonts w:hint="eastAsia"/>
                <w:color w:val="auto"/>
                <w:sz w:val="21"/>
                <w:szCs w:val="21"/>
                <w:highlight w:val="none"/>
                <w:lang w:val="en-US" w:bidi="ar-SA"/>
              </w:rPr>
              <w:t>260mm</w:t>
            </w:r>
            <w:r>
              <w:rPr>
                <w:rFonts w:hint="eastAsia"/>
                <w:color w:val="auto"/>
                <w:sz w:val="21"/>
                <w:szCs w:val="21"/>
                <w:highlight w:val="none"/>
                <w:lang w:val="en-US" w:bidi="ar-SA"/>
              </w:rPr>
              <w:br w:type="textWrapping"/>
            </w:r>
            <w:r>
              <w:rPr>
                <w:rFonts w:hint="eastAsia"/>
                <w:color w:val="auto"/>
                <w:sz w:val="21"/>
                <w:szCs w:val="21"/>
                <w:highlight w:val="none"/>
                <w:lang w:val="en-US" w:bidi="ar-SA"/>
              </w:rPr>
              <w:t>最大承重</w:t>
            </w:r>
            <w:r>
              <w:rPr>
                <w:rFonts w:hint="eastAsia"/>
                <w:color w:val="auto"/>
                <w:sz w:val="21"/>
                <w:szCs w:val="21"/>
                <w:highlight w:val="none"/>
                <w:lang w:val="en-US" w:bidi="ar-SA"/>
              </w:rPr>
              <w:br w:type="textWrapping"/>
            </w:r>
            <w:r>
              <w:rPr>
                <w:rFonts w:hint="eastAsia"/>
                <w:color w:val="auto"/>
                <w:sz w:val="21"/>
                <w:szCs w:val="21"/>
                <w:highlight w:val="none"/>
                <w:lang w:val="en-US" w:bidi="ar-SA"/>
              </w:rPr>
              <w:t>9kg</w:t>
            </w:r>
            <w:r>
              <w:rPr>
                <w:rFonts w:hint="eastAsia"/>
                <w:color w:val="auto"/>
                <w:sz w:val="21"/>
                <w:szCs w:val="21"/>
                <w:highlight w:val="none"/>
                <w:lang w:val="en-US" w:bidi="ar-SA"/>
              </w:rPr>
              <w:br w:type="textWrapping"/>
            </w:r>
            <w:r>
              <w:rPr>
                <w:rFonts w:hint="eastAsia"/>
                <w:color w:val="auto"/>
                <w:sz w:val="21"/>
                <w:szCs w:val="21"/>
                <w:highlight w:val="none"/>
                <w:lang w:val="en-US" w:bidi="ar-SA"/>
              </w:rPr>
              <w:t>适用桌面厚度</w:t>
            </w:r>
            <w:r>
              <w:rPr>
                <w:rFonts w:hint="eastAsia"/>
                <w:color w:val="auto"/>
                <w:sz w:val="21"/>
                <w:szCs w:val="21"/>
                <w:highlight w:val="none"/>
                <w:lang w:val="en-US" w:bidi="ar-SA"/>
              </w:rPr>
              <w:br w:type="textWrapping"/>
            </w:r>
            <w:r>
              <w:rPr>
                <w:rFonts w:hint="eastAsia"/>
                <w:color w:val="auto"/>
                <w:sz w:val="21"/>
                <w:szCs w:val="21"/>
                <w:highlight w:val="none"/>
                <w:lang w:val="en-US" w:bidi="ar-SA"/>
              </w:rPr>
              <w:t>90mm</w:t>
            </w:r>
            <w:r>
              <w:rPr>
                <w:rFonts w:hint="eastAsia"/>
                <w:color w:val="auto"/>
                <w:sz w:val="21"/>
                <w:szCs w:val="21"/>
                <w:highlight w:val="none"/>
                <w:lang w:val="en-US" w:bidi="ar-SA"/>
              </w:rPr>
              <w:br w:type="textWrapping"/>
            </w:r>
            <w:r>
              <w:rPr>
                <w:rFonts w:hint="eastAsia"/>
                <w:color w:val="auto"/>
                <w:sz w:val="21"/>
                <w:szCs w:val="21"/>
                <w:highlight w:val="none"/>
                <w:lang w:val="en-US" w:bidi="ar-SA"/>
              </w:rPr>
              <w:t>适配尺寸</w:t>
            </w:r>
            <w:r>
              <w:rPr>
                <w:rFonts w:hint="eastAsia"/>
                <w:color w:val="auto"/>
                <w:sz w:val="21"/>
                <w:szCs w:val="21"/>
                <w:highlight w:val="none"/>
                <w:lang w:val="en-US" w:bidi="ar-SA"/>
              </w:rPr>
              <w:br w:type="textWrapping"/>
            </w:r>
            <w:r>
              <w:rPr>
                <w:rFonts w:hint="eastAsia"/>
                <w:color w:val="auto"/>
                <w:sz w:val="21"/>
                <w:szCs w:val="21"/>
                <w:highlight w:val="none"/>
                <w:lang w:val="en-US" w:bidi="ar-SA"/>
              </w:rPr>
              <w:t>21.5英寸及以下；22英寸-27英寸</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PDU插座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插孔数量：8孔</w:t>
            </w:r>
            <w:r>
              <w:rPr>
                <w:rFonts w:hint="eastAsia"/>
                <w:color w:val="auto"/>
                <w:sz w:val="21"/>
                <w:szCs w:val="21"/>
                <w:highlight w:val="none"/>
                <w:lang w:val="en-US" w:bidi="ar-SA"/>
              </w:rPr>
              <w:br w:type="textWrapping"/>
            </w:r>
            <w:r>
              <w:rPr>
                <w:rFonts w:hint="eastAsia"/>
                <w:color w:val="auto"/>
                <w:sz w:val="21"/>
                <w:szCs w:val="21"/>
                <w:highlight w:val="none"/>
                <w:lang w:val="en-US" w:bidi="ar-SA"/>
              </w:rPr>
              <w:t>适用标准：国标</w:t>
            </w:r>
            <w:r>
              <w:rPr>
                <w:rFonts w:hint="eastAsia"/>
                <w:color w:val="auto"/>
                <w:sz w:val="21"/>
                <w:szCs w:val="21"/>
                <w:highlight w:val="none"/>
                <w:lang w:val="en-US" w:bidi="ar-SA"/>
              </w:rPr>
              <w:br w:type="textWrapping"/>
            </w:r>
            <w:r>
              <w:rPr>
                <w:rFonts w:hint="eastAsia"/>
                <w:color w:val="auto"/>
                <w:sz w:val="21"/>
                <w:szCs w:val="21"/>
                <w:highlight w:val="none"/>
                <w:lang w:val="en-US" w:bidi="ar-SA"/>
              </w:rPr>
              <w:t>全长：1.6米-2米</w:t>
            </w:r>
            <w:r>
              <w:rPr>
                <w:rFonts w:hint="eastAsia"/>
                <w:color w:val="auto"/>
                <w:sz w:val="21"/>
                <w:szCs w:val="21"/>
                <w:highlight w:val="none"/>
                <w:lang w:val="en-US" w:bidi="ar-SA"/>
              </w:rPr>
              <w:br w:type="textWrapping"/>
            </w:r>
            <w:r>
              <w:rPr>
                <w:rFonts w:hint="eastAsia"/>
                <w:color w:val="auto"/>
                <w:sz w:val="21"/>
                <w:szCs w:val="21"/>
                <w:highlight w:val="none"/>
                <w:lang w:val="en-US" w:bidi="ar-SA"/>
              </w:rPr>
              <w:t>插孔电流：10A</w:t>
            </w:r>
            <w:r>
              <w:rPr>
                <w:rFonts w:hint="eastAsia"/>
                <w:color w:val="auto"/>
                <w:sz w:val="21"/>
                <w:szCs w:val="21"/>
                <w:highlight w:val="none"/>
                <w:lang w:val="en-US" w:bidi="ar-SA"/>
              </w:rPr>
              <w:br w:type="textWrapping"/>
            </w:r>
            <w:r>
              <w:rPr>
                <w:rFonts w:hint="eastAsia"/>
                <w:color w:val="auto"/>
                <w:sz w:val="21"/>
                <w:szCs w:val="21"/>
                <w:highlight w:val="none"/>
                <w:lang w:val="en-US" w:bidi="ar-SA"/>
              </w:rPr>
              <w:t>接口额定功率：2500W</w:t>
            </w:r>
            <w:r>
              <w:rPr>
                <w:rFonts w:hint="eastAsia"/>
                <w:color w:val="auto"/>
                <w:sz w:val="21"/>
                <w:szCs w:val="21"/>
                <w:highlight w:val="none"/>
                <w:lang w:val="en-US" w:bidi="ar-SA"/>
              </w:rPr>
              <w:br w:type="textWrapping"/>
            </w:r>
            <w:r>
              <w:rPr>
                <w:rFonts w:hint="eastAsia"/>
                <w:color w:val="auto"/>
                <w:sz w:val="21"/>
                <w:szCs w:val="21"/>
                <w:highlight w:val="none"/>
                <w:lang w:val="en-US" w:bidi="ar-SA"/>
              </w:rPr>
              <w:t>额定电压：250V~</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default" w:eastAsia="宋体"/>
                <w:color w:val="auto"/>
                <w:sz w:val="21"/>
                <w:szCs w:val="21"/>
                <w:highlight w:val="none"/>
                <w:lang w:val="en-US" w:eastAsia="zh-CN" w:bidi="ar-SA"/>
              </w:rPr>
            </w:pPr>
            <w:r>
              <w:rPr>
                <w:rFonts w:hint="eastAsia"/>
                <w:color w:val="auto"/>
                <w:sz w:val="21"/>
                <w:szCs w:val="21"/>
                <w:highlight w:val="none"/>
                <w:lang w:val="en-US" w:eastAsia="zh-CN" w:bidi="ar-SA"/>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人体工学电脑椅</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面料材质：网布类别：转椅靠背;最大角度：120-155度(含);扶手类型：可旋转可升降扶手;升降方式：气压升降五星脚;材质：铝合金;最大承重:150kg;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主机1KVA</w:t>
            </w:r>
          </w:p>
        </w:tc>
        <w:tc>
          <w:tcPr>
            <w:tcW w:w="3177" w:type="pct"/>
            <w:shd w:val="clear" w:color="auto" w:fill="FFFFFF"/>
            <w:noWrap w:val="0"/>
            <w:vAlign w:val="center"/>
          </w:tcPr>
          <w:p>
            <w:pPr>
              <w:widowControl/>
              <w:autoSpaceDE/>
              <w:autoSpaceDN/>
              <w:spacing w:after="240"/>
              <w:rPr>
                <w:rFonts w:hint="eastAsia"/>
                <w:color w:val="auto"/>
                <w:sz w:val="21"/>
                <w:szCs w:val="21"/>
                <w:highlight w:val="none"/>
                <w:lang w:val="en-US" w:bidi="ar-SA"/>
              </w:rPr>
            </w:pPr>
            <w:r>
              <w:rPr>
                <w:rFonts w:hint="eastAsia"/>
                <w:color w:val="auto"/>
                <w:sz w:val="21"/>
                <w:szCs w:val="21"/>
                <w:highlight w:val="none"/>
                <w:lang w:val="en-US" w:bidi="ar-SA"/>
              </w:rPr>
              <w:t>1.1KVA单进单出  纯在线式主机，</w:t>
            </w:r>
            <w:r>
              <w:rPr>
                <w:rFonts w:hint="eastAsia"/>
                <w:color w:val="auto"/>
                <w:sz w:val="21"/>
                <w:szCs w:val="21"/>
                <w:highlight w:val="none"/>
                <w:lang w:val="en-US" w:bidi="ar-SA"/>
              </w:rPr>
              <w:br w:type="textWrapping"/>
            </w:r>
            <w:r>
              <w:rPr>
                <w:rFonts w:hint="eastAsia"/>
                <w:color w:val="auto"/>
                <w:sz w:val="21"/>
                <w:szCs w:val="21"/>
                <w:highlight w:val="none"/>
                <w:lang w:val="en-US" w:bidi="ar-SA"/>
              </w:rPr>
              <w:t>2.输入电压范围：220VAC，输入频率范围：46-54Hz，输入功率因素：≥0.98；</w:t>
            </w:r>
            <w:r>
              <w:rPr>
                <w:rFonts w:hint="eastAsia"/>
                <w:color w:val="auto"/>
                <w:sz w:val="21"/>
                <w:szCs w:val="21"/>
                <w:highlight w:val="none"/>
                <w:lang w:val="en-US" w:bidi="ar-SA"/>
              </w:rPr>
              <w:br w:type="textWrapping"/>
            </w:r>
            <w:r>
              <w:rPr>
                <w:rFonts w:hint="eastAsia"/>
                <w:color w:val="auto"/>
                <w:sz w:val="21"/>
                <w:szCs w:val="21"/>
                <w:highlight w:val="none"/>
                <w:lang w:val="en-US" w:bidi="ar-SA"/>
              </w:rPr>
              <w:t>3.输出电压稳定度：220VAC均可，输出频率精度：50/60Hz±0.5，输出功率因素：≥0.8；</w:t>
            </w:r>
            <w:r>
              <w:rPr>
                <w:rFonts w:hint="eastAsia"/>
                <w:color w:val="auto"/>
                <w:sz w:val="21"/>
                <w:szCs w:val="21"/>
                <w:highlight w:val="none"/>
                <w:lang w:val="en-US" w:bidi="ar-SA"/>
              </w:rPr>
              <w:br w:type="textWrapping"/>
            </w:r>
            <w:r>
              <w:rPr>
                <w:rFonts w:hint="eastAsia"/>
                <w:color w:val="auto"/>
                <w:sz w:val="21"/>
                <w:szCs w:val="21"/>
                <w:highlight w:val="none"/>
                <w:lang w:val="en-US" w:bidi="ar-SA"/>
              </w:rPr>
              <w:t>4.过载能力：＜125%时可运行15min，＜135%时可运行60S，＞150%时可运行3s；具备手机APP远程实时在线监控、控制功能，具备浏览器网页实时在线监控功能，具备微信接收实时报警信息功能，网页端最多可存储</w:t>
            </w:r>
            <w:r>
              <w:rPr>
                <w:rFonts w:hint="eastAsia"/>
                <w:color w:val="auto"/>
                <w:sz w:val="21"/>
                <w:szCs w:val="21"/>
                <w:highlight w:val="none"/>
                <w:lang w:val="en-US" w:eastAsia="zh-CN" w:bidi="ar-SA"/>
              </w:rPr>
              <w:t>不少于</w:t>
            </w:r>
            <w:r>
              <w:rPr>
                <w:rFonts w:hint="eastAsia"/>
                <w:color w:val="auto"/>
                <w:sz w:val="21"/>
                <w:szCs w:val="21"/>
                <w:highlight w:val="none"/>
                <w:lang w:val="en-US" w:bidi="ar-SA"/>
              </w:rPr>
              <w:t>1000条报警信息以及最近7天内的运行数据；</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电池</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 阀控式12V/100AH密封铅酸蓄电池，质保期≥3年。</w:t>
            </w:r>
            <w:r>
              <w:rPr>
                <w:rFonts w:hint="eastAsia"/>
                <w:color w:val="auto"/>
                <w:sz w:val="21"/>
                <w:szCs w:val="21"/>
                <w:highlight w:val="none"/>
                <w:lang w:val="en-US" w:bidi="ar-SA"/>
              </w:rPr>
              <w:br w:type="textWrapping"/>
            </w:r>
            <w:r>
              <w:rPr>
                <w:rFonts w:hint="eastAsia"/>
                <w:color w:val="auto"/>
                <w:sz w:val="21"/>
                <w:szCs w:val="21"/>
                <w:highlight w:val="none"/>
                <w:lang w:val="en-US" w:bidi="ar-SA"/>
              </w:rPr>
              <w:t>2. 投标产品在温度为25℃时，电池的设计寿命≥10年</w:t>
            </w:r>
            <w:r>
              <w:rPr>
                <w:rFonts w:hint="eastAsia"/>
                <w:color w:val="auto"/>
                <w:sz w:val="21"/>
                <w:szCs w:val="21"/>
                <w:highlight w:val="none"/>
                <w:lang w:val="en-US" w:bidi="ar-SA"/>
              </w:rPr>
              <w:br w:type="textWrapping"/>
            </w:r>
            <w:r>
              <w:rPr>
                <w:rFonts w:hint="eastAsia"/>
                <w:color w:val="auto"/>
                <w:sz w:val="21"/>
                <w:szCs w:val="21"/>
                <w:highlight w:val="none"/>
                <w:lang w:val="en-US" w:bidi="ar-SA"/>
              </w:rPr>
              <w:t>3. 为保证蓄电池产品能与UPS主机安全稳定的配合运行，投标蓄电池产品必须与UPS主机为同一制造厂商生产的原装电池，不接受OEM</w:t>
            </w:r>
            <w:r>
              <w:rPr>
                <w:rFonts w:hint="eastAsia"/>
                <w:color w:val="auto"/>
                <w:sz w:val="21"/>
                <w:szCs w:val="21"/>
                <w:highlight w:val="none"/>
                <w:lang w:val="en-US" w:eastAsia="zh-CN" w:bidi="ar-SA"/>
              </w:rPr>
              <w:t>（代工）</w:t>
            </w:r>
            <w:r>
              <w:rPr>
                <w:rFonts w:hint="eastAsia"/>
                <w:color w:val="auto"/>
                <w:sz w:val="21"/>
                <w:szCs w:val="21"/>
                <w:highlight w:val="none"/>
                <w:lang w:val="en-US" w:bidi="ar-SA"/>
              </w:rPr>
              <w:t>产品</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电池箱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A8节</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UPS电源箱（含浪涌保护器、空气开关模块、漏电保护器）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400*600*200mm；含空开、漏保、接线排等，尺寸现场进行复核</w:t>
            </w:r>
          </w:p>
        </w:tc>
        <w:tc>
          <w:tcPr>
            <w:tcW w:w="252" w:type="pct"/>
            <w:shd w:val="clear" w:color="auto" w:fill="FFFFFF"/>
            <w:noWrap w:val="0"/>
            <w:vAlign w:val="center"/>
          </w:tcPr>
          <w:p>
            <w:pPr>
              <w:widowControl/>
              <w:autoSpaceDE/>
              <w:autoSpaceDN/>
              <w:jc w:val="center"/>
              <w:rPr>
                <w:rFonts w:hint="default"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42U机柜（带上锁功能）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42U机柜，宽度：600mm，深度1000mm；前门网孔前门带锁,网孔后门带锁,全钢侧门可快速装卸带电源风扇符合ANSI/EIARS-310-D、IEC297-2、DIN41491;PART1、DIN41494;PART7、GB/T3047.2-92标准;</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全钢防静电地板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600*600*35mm，全钢陶瓷面</w:t>
            </w:r>
            <w:r>
              <w:rPr>
                <w:rFonts w:hint="eastAsia"/>
                <w:color w:val="auto"/>
                <w:sz w:val="21"/>
                <w:szCs w:val="21"/>
                <w:highlight w:val="none"/>
                <w:lang w:val="en-US" w:bidi="ar-SA"/>
              </w:rPr>
              <w:br w:type="textWrapping"/>
            </w:r>
            <w:r>
              <w:rPr>
                <w:rFonts w:hint="eastAsia"/>
                <w:color w:val="auto"/>
                <w:sz w:val="21"/>
                <w:szCs w:val="21"/>
                <w:highlight w:val="none"/>
                <w:lang w:val="en-US" w:bidi="ar-SA"/>
              </w:rPr>
              <w:t>（根据实际需求定做）</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m2</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入口台阶制作安装</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现场制作安装含施工材料；</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入口不锈钢收口条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30*30mm，不锈钢收口条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机房逻辑接地铜排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30*3mm，紫铜排</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接地铜带</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50*0.3mm  紫铜带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等电位连接</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BVR4mm2，机房各金属体之间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等电位箱（含接地汇流排）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接地线引线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BVR35mm2</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设备拆除</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设备拆除恢复（包含洪塘***内原防静电地板拆除；家具、办公桌椅、电器移位恢复；面板插座管线等的拆除检修等）</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项</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单口网络面板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单口网络面板（含底盒和超五类非屏蔽模块）</w:t>
            </w:r>
            <w:r>
              <w:rPr>
                <w:rFonts w:hint="eastAsia"/>
                <w:color w:val="auto"/>
                <w:sz w:val="21"/>
                <w:szCs w:val="21"/>
                <w:highlight w:val="none"/>
                <w:lang w:val="en-US" w:eastAsia="zh-CN" w:bidi="ar-SA"/>
              </w:rPr>
              <w:t>，</w:t>
            </w:r>
            <w:r>
              <w:rPr>
                <w:rFonts w:hint="eastAsia"/>
                <w:color w:val="auto"/>
                <w:sz w:val="21"/>
                <w:szCs w:val="21"/>
                <w:highlight w:val="none"/>
                <w:lang w:val="en-US" w:bidi="ar-SA"/>
              </w:rPr>
              <w:t>网络面板（墙面），尺寸86mm*86mm</w:t>
            </w:r>
            <w:r>
              <w:rPr>
                <w:rFonts w:hint="eastAsia"/>
                <w:color w:val="auto"/>
                <w:sz w:val="21"/>
                <w:szCs w:val="21"/>
                <w:highlight w:val="none"/>
                <w:lang w:val="en-US" w:eastAsia="zh-CN" w:bidi="ar-SA"/>
              </w:rPr>
              <w:t>，</w:t>
            </w:r>
            <w:r>
              <w:rPr>
                <w:rFonts w:hint="eastAsia"/>
                <w:color w:val="auto"/>
                <w:sz w:val="21"/>
                <w:szCs w:val="21"/>
                <w:highlight w:val="none"/>
                <w:lang w:val="en-US" w:bidi="ar-SA"/>
              </w:rPr>
              <w:t>（部分办公桌家居内安装）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多功能网络信息盒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多功能插座嵌入式多媒体电脑桌面隐藏式电源网络信息盒:五孔电源+网络+电话+双USB充电接口</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双绞线管内敷设</w:t>
            </w:r>
            <w:r>
              <w:rPr>
                <w:rFonts w:hint="eastAsia"/>
                <w:color w:val="auto"/>
                <w:sz w:val="21"/>
                <w:szCs w:val="21"/>
                <w:highlight w:val="none"/>
                <w:lang w:val="en-US" w:eastAsia="zh-CN" w:bidi="ar-SA"/>
              </w:rPr>
              <w:t>，</w:t>
            </w:r>
            <w:r>
              <w:rPr>
                <w:rFonts w:hint="eastAsia"/>
                <w:color w:val="auto"/>
                <w:sz w:val="21"/>
                <w:szCs w:val="21"/>
                <w:highlight w:val="none"/>
                <w:lang w:val="en-US" w:bidi="ar-SA"/>
              </w:rPr>
              <w:t>规格:CAT5e</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电力电缆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1.名称:铜芯电力电缆敷设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2.型号:YJV3*4</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1.名称:塑料管敷设 刚性阻燃管敷设 砖、混凝土结构明配</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2.规格:PVC20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1.名称:塑料管敷设 刚性阻燃管敷设 砖、混凝土结构明配</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2.规格:PVC32</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调谐器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1.微电脑控制，数字调谐系统。</w:t>
            </w:r>
            <w:r>
              <w:rPr>
                <w:rFonts w:hint="eastAsia"/>
                <w:color w:val="auto"/>
                <w:sz w:val="21"/>
                <w:szCs w:val="21"/>
                <w:highlight w:val="none"/>
                <w:lang w:val="en-US" w:bidi="ar-SA"/>
              </w:rPr>
              <w:br w:type="textWrapping"/>
            </w:r>
            <w:r>
              <w:rPr>
                <w:rFonts w:hint="eastAsia"/>
                <w:color w:val="auto"/>
                <w:sz w:val="21"/>
                <w:szCs w:val="21"/>
                <w:highlight w:val="none"/>
                <w:lang w:val="en-US" w:bidi="ar-SA"/>
              </w:rPr>
              <w:t>2.收音头以模块形式设计，可与主机分离，放置在接收信号更好的位置。</w:t>
            </w:r>
            <w:r>
              <w:rPr>
                <w:rFonts w:hint="eastAsia"/>
                <w:color w:val="auto"/>
                <w:sz w:val="21"/>
                <w:szCs w:val="21"/>
                <w:highlight w:val="none"/>
                <w:lang w:val="en-US" w:bidi="ar-SA"/>
              </w:rPr>
              <w:br w:type="textWrapping"/>
            </w:r>
            <w:r>
              <w:rPr>
                <w:rFonts w:hint="eastAsia"/>
                <w:color w:val="auto"/>
                <w:sz w:val="21"/>
                <w:szCs w:val="21"/>
                <w:highlight w:val="none"/>
                <w:lang w:val="en-US" w:bidi="ar-SA"/>
              </w:rPr>
              <w:t>3.全轻触按键控制，VFD显示。</w:t>
            </w:r>
            <w:r>
              <w:rPr>
                <w:rFonts w:hint="eastAsia"/>
                <w:color w:val="auto"/>
                <w:sz w:val="21"/>
                <w:szCs w:val="21"/>
                <w:highlight w:val="none"/>
                <w:lang w:val="en-US" w:bidi="ar-SA"/>
              </w:rPr>
              <w:br w:type="textWrapping"/>
            </w:r>
            <w:r>
              <w:rPr>
                <w:rFonts w:hint="eastAsia"/>
                <w:color w:val="auto"/>
                <w:sz w:val="21"/>
                <w:szCs w:val="21"/>
                <w:highlight w:val="none"/>
                <w:lang w:val="en-US" w:bidi="ar-SA"/>
              </w:rPr>
              <w:t>4.AM/FM 各40个电台存储功能。</w:t>
            </w:r>
            <w:r>
              <w:rPr>
                <w:rFonts w:hint="eastAsia"/>
                <w:color w:val="auto"/>
                <w:sz w:val="21"/>
                <w:szCs w:val="21"/>
                <w:highlight w:val="none"/>
                <w:lang w:val="en-US" w:bidi="ar-SA"/>
              </w:rPr>
              <w:br w:type="textWrapping"/>
            </w:r>
            <w:r>
              <w:rPr>
                <w:rFonts w:hint="eastAsia"/>
                <w:color w:val="auto"/>
                <w:sz w:val="21"/>
                <w:szCs w:val="21"/>
                <w:highlight w:val="none"/>
                <w:lang w:val="en-US" w:bidi="ar-SA"/>
              </w:rPr>
              <w:t>5.具有自动搜索电台并自动存储功能。</w:t>
            </w:r>
            <w:r>
              <w:rPr>
                <w:rFonts w:hint="eastAsia"/>
                <w:color w:val="auto"/>
                <w:sz w:val="21"/>
                <w:szCs w:val="21"/>
                <w:highlight w:val="none"/>
                <w:lang w:val="en-US" w:bidi="ar-SA"/>
              </w:rPr>
              <w:br w:type="textWrapping"/>
            </w:r>
            <w:r>
              <w:rPr>
                <w:rFonts w:hint="eastAsia"/>
                <w:color w:val="auto"/>
                <w:sz w:val="21"/>
                <w:szCs w:val="21"/>
                <w:highlight w:val="none"/>
                <w:lang w:val="en-US" w:bidi="ar-SA"/>
              </w:rPr>
              <w:t>6.具有音频信号电平指示。</w:t>
            </w:r>
            <w:r>
              <w:rPr>
                <w:rFonts w:hint="eastAsia"/>
                <w:color w:val="auto"/>
                <w:sz w:val="21"/>
                <w:szCs w:val="21"/>
                <w:highlight w:val="none"/>
                <w:lang w:val="en-US" w:bidi="ar-SA"/>
              </w:rPr>
              <w:br w:type="textWrapping"/>
            </w:r>
            <w:r>
              <w:rPr>
                <w:rFonts w:hint="eastAsia"/>
                <w:color w:val="auto"/>
                <w:sz w:val="21"/>
                <w:szCs w:val="21"/>
                <w:highlight w:val="none"/>
                <w:lang w:val="en-US" w:bidi="ar-SA"/>
              </w:rPr>
              <w:t>7.具有断电记忆功能。</w:t>
            </w:r>
            <w:r>
              <w:rPr>
                <w:rFonts w:hint="eastAsia"/>
                <w:color w:val="auto"/>
                <w:sz w:val="21"/>
                <w:szCs w:val="21"/>
                <w:highlight w:val="none"/>
                <w:lang w:val="en-US" w:bidi="ar-SA"/>
              </w:rPr>
              <w:br w:type="textWrapping"/>
            </w:r>
            <w:r>
              <w:rPr>
                <w:rFonts w:hint="eastAsia"/>
                <w:color w:val="auto"/>
                <w:sz w:val="21"/>
                <w:szCs w:val="21"/>
                <w:highlight w:val="none"/>
                <w:lang w:val="en-US" w:bidi="ar-SA"/>
              </w:rPr>
              <w:t>性能规格：</w:t>
            </w:r>
            <w:r>
              <w:rPr>
                <w:rFonts w:hint="eastAsia"/>
                <w:color w:val="auto"/>
                <w:sz w:val="21"/>
                <w:szCs w:val="21"/>
                <w:highlight w:val="none"/>
                <w:lang w:val="en-US" w:bidi="ar-SA"/>
              </w:rPr>
              <w:br w:type="textWrapping"/>
            </w:r>
            <w:r>
              <w:rPr>
                <w:rFonts w:hint="eastAsia"/>
                <w:color w:val="auto"/>
                <w:sz w:val="21"/>
                <w:szCs w:val="21"/>
                <w:highlight w:val="none"/>
                <w:lang w:val="en-US" w:bidi="ar-SA"/>
              </w:rPr>
              <w:t>1.接收范围 FM 87.0MHz-108.0MHz/AM 522kHz-1620kHz</w:t>
            </w:r>
            <w:r>
              <w:rPr>
                <w:rFonts w:hint="eastAsia"/>
                <w:color w:val="auto"/>
                <w:sz w:val="21"/>
                <w:szCs w:val="21"/>
                <w:highlight w:val="none"/>
                <w:lang w:val="en-US" w:bidi="ar-SA"/>
              </w:rPr>
              <w:br w:type="textWrapping"/>
            </w:r>
            <w:r>
              <w:rPr>
                <w:rFonts w:hint="eastAsia"/>
                <w:color w:val="auto"/>
                <w:sz w:val="21"/>
                <w:szCs w:val="21"/>
                <w:highlight w:val="none"/>
                <w:lang w:val="en-US" w:bidi="ar-SA"/>
              </w:rPr>
              <w:t>2.灵敏度 FM 26dBμ/AM 52dBμ</w:t>
            </w:r>
            <w:r>
              <w:rPr>
                <w:rFonts w:hint="eastAsia"/>
                <w:color w:val="auto"/>
                <w:sz w:val="21"/>
                <w:szCs w:val="21"/>
                <w:highlight w:val="none"/>
                <w:lang w:val="en-US" w:bidi="ar-SA"/>
              </w:rPr>
              <w:br w:type="textWrapping"/>
            </w:r>
            <w:r>
              <w:rPr>
                <w:rFonts w:hint="eastAsia"/>
                <w:color w:val="auto"/>
                <w:sz w:val="21"/>
                <w:szCs w:val="21"/>
                <w:highlight w:val="none"/>
                <w:lang w:val="en-US" w:bidi="ar-SA"/>
              </w:rPr>
              <w:t>3.信噪比 FM 单声道76dB，立体声70dB/AM 40dB</w:t>
            </w:r>
            <w:r>
              <w:rPr>
                <w:rFonts w:hint="eastAsia"/>
                <w:color w:val="auto"/>
                <w:sz w:val="21"/>
                <w:szCs w:val="21"/>
                <w:highlight w:val="none"/>
                <w:lang w:val="en-US" w:bidi="ar-SA"/>
              </w:rPr>
              <w:br w:type="textWrapping"/>
            </w:r>
            <w:r>
              <w:rPr>
                <w:rFonts w:hint="eastAsia"/>
                <w:color w:val="auto"/>
                <w:sz w:val="21"/>
                <w:szCs w:val="21"/>
                <w:highlight w:val="none"/>
                <w:lang w:val="en-US" w:bidi="ar-SA"/>
              </w:rPr>
              <w:t>4.调谐频率步距 FM 50kHz/AM 9kHz</w:t>
            </w:r>
            <w:r>
              <w:rPr>
                <w:rFonts w:hint="eastAsia"/>
                <w:color w:val="auto"/>
                <w:sz w:val="21"/>
                <w:szCs w:val="21"/>
                <w:highlight w:val="none"/>
                <w:lang w:val="en-US" w:bidi="ar-SA"/>
              </w:rPr>
              <w:br w:type="textWrapping"/>
            </w:r>
            <w:r>
              <w:rPr>
                <w:rFonts w:hint="eastAsia"/>
                <w:color w:val="auto"/>
                <w:sz w:val="21"/>
                <w:szCs w:val="21"/>
                <w:highlight w:val="none"/>
                <w:lang w:val="en-US" w:bidi="ar-SA"/>
              </w:rPr>
              <w:t>5.中频频率 FM 10.7MHz/AM 450kHz</w:t>
            </w:r>
            <w:r>
              <w:rPr>
                <w:rFonts w:hint="eastAsia"/>
                <w:color w:val="auto"/>
                <w:sz w:val="21"/>
                <w:szCs w:val="21"/>
                <w:highlight w:val="none"/>
                <w:lang w:val="en-US" w:bidi="ar-SA"/>
              </w:rPr>
              <w:br w:type="textWrapping"/>
            </w:r>
            <w:r>
              <w:rPr>
                <w:rFonts w:hint="eastAsia"/>
                <w:color w:val="auto"/>
                <w:sz w:val="21"/>
                <w:szCs w:val="21"/>
                <w:highlight w:val="none"/>
                <w:lang w:val="en-US" w:bidi="ar-SA"/>
              </w:rPr>
              <w:t>6.输出电平 0dBV</w:t>
            </w:r>
            <w:r>
              <w:rPr>
                <w:rFonts w:hint="eastAsia"/>
                <w:color w:val="auto"/>
                <w:sz w:val="21"/>
                <w:szCs w:val="21"/>
                <w:highlight w:val="none"/>
                <w:lang w:val="en-US" w:bidi="ar-SA"/>
              </w:rPr>
              <w:br w:type="textWrapping"/>
            </w:r>
            <w:r>
              <w:rPr>
                <w:rFonts w:hint="eastAsia"/>
                <w:color w:val="auto"/>
                <w:sz w:val="21"/>
                <w:szCs w:val="21"/>
                <w:highlight w:val="none"/>
                <w:lang w:val="en-US" w:bidi="ar-SA"/>
              </w:rPr>
              <w:t>7.保护 AC保险丝</w:t>
            </w:r>
            <w:r>
              <w:rPr>
                <w:rFonts w:hint="eastAsia"/>
                <w:color w:val="auto"/>
                <w:sz w:val="21"/>
                <w:szCs w:val="21"/>
                <w:highlight w:val="none"/>
                <w:lang w:val="en-US" w:bidi="ar-SA"/>
              </w:rPr>
              <w:br w:type="textWrapping"/>
            </w:r>
            <w:r>
              <w:rPr>
                <w:rFonts w:hint="eastAsia"/>
                <w:color w:val="auto"/>
                <w:sz w:val="21"/>
                <w:szCs w:val="21"/>
                <w:highlight w:val="none"/>
                <w:lang w:val="en-US" w:bidi="ar-SA"/>
              </w:rPr>
              <w:t>8.电源 AC220V/50Hz</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时序电源控制器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1.按顺序开启或关闭16路受控设备的电源。</w:t>
            </w:r>
            <w:r>
              <w:rPr>
                <w:rFonts w:hint="eastAsia"/>
                <w:color w:val="auto"/>
                <w:sz w:val="21"/>
                <w:szCs w:val="21"/>
                <w:highlight w:val="none"/>
                <w:lang w:val="en-US" w:bidi="ar-SA"/>
              </w:rPr>
              <w:br w:type="textWrapping"/>
            </w:r>
            <w:r>
              <w:rPr>
                <w:rFonts w:hint="eastAsia"/>
                <w:color w:val="auto"/>
                <w:sz w:val="21"/>
                <w:szCs w:val="21"/>
                <w:highlight w:val="none"/>
                <w:lang w:val="en-US" w:bidi="ar-SA"/>
              </w:rPr>
              <w:t>2.可以通过定时器自动控制或人工控制。</w:t>
            </w:r>
            <w:r>
              <w:rPr>
                <w:rFonts w:hint="eastAsia"/>
                <w:color w:val="auto"/>
                <w:sz w:val="21"/>
                <w:szCs w:val="21"/>
                <w:highlight w:val="none"/>
                <w:lang w:val="en-US" w:bidi="ar-SA"/>
              </w:rPr>
              <w:br w:type="textWrapping"/>
            </w:r>
            <w:r>
              <w:rPr>
                <w:rFonts w:hint="eastAsia"/>
                <w:color w:val="auto"/>
                <w:sz w:val="21"/>
                <w:szCs w:val="21"/>
                <w:highlight w:val="none"/>
                <w:lang w:val="en-US" w:bidi="ar-SA"/>
              </w:rPr>
              <w:t>3.插座总容量达 3.5kVA。</w:t>
            </w:r>
            <w:r>
              <w:rPr>
                <w:rFonts w:hint="eastAsia"/>
                <w:color w:val="auto"/>
                <w:sz w:val="21"/>
                <w:szCs w:val="21"/>
                <w:highlight w:val="none"/>
                <w:lang w:val="en-US" w:bidi="ar-SA"/>
              </w:rPr>
              <w:br w:type="textWrapping"/>
            </w:r>
            <w:r>
              <w:rPr>
                <w:rFonts w:hint="eastAsia"/>
                <w:color w:val="auto"/>
                <w:sz w:val="21"/>
                <w:szCs w:val="21"/>
                <w:highlight w:val="none"/>
                <w:lang w:val="en-US" w:bidi="ar-SA"/>
              </w:rPr>
              <w:t>性能规格：</w:t>
            </w:r>
            <w:r>
              <w:rPr>
                <w:rFonts w:hint="eastAsia"/>
                <w:color w:val="auto"/>
                <w:sz w:val="21"/>
                <w:szCs w:val="21"/>
                <w:highlight w:val="none"/>
                <w:lang w:val="en-US" w:bidi="ar-SA"/>
              </w:rPr>
              <w:br w:type="textWrapping"/>
            </w:r>
            <w:r>
              <w:rPr>
                <w:rFonts w:hint="eastAsia"/>
                <w:color w:val="auto"/>
                <w:sz w:val="21"/>
                <w:szCs w:val="21"/>
                <w:highlight w:val="none"/>
                <w:lang w:val="en-US" w:bidi="ar-SA"/>
              </w:rPr>
              <w:t>1.电源插座输出总容量3.5kVA，16A，16通道；每个插座最大输出为220V，10A；</w:t>
            </w:r>
            <w:r>
              <w:rPr>
                <w:rFonts w:hint="eastAsia"/>
                <w:color w:val="auto"/>
                <w:sz w:val="21"/>
                <w:szCs w:val="21"/>
                <w:highlight w:val="none"/>
                <w:lang w:val="en-US" w:bidi="ar-SA"/>
              </w:rPr>
              <w:br w:type="textWrapping"/>
            </w:r>
            <w:r>
              <w:rPr>
                <w:rFonts w:hint="eastAsia"/>
                <w:color w:val="auto"/>
                <w:sz w:val="21"/>
                <w:szCs w:val="21"/>
                <w:highlight w:val="none"/>
                <w:lang w:val="en-US" w:bidi="ar-SA"/>
              </w:rPr>
              <w:t>2.定时器控制信号 交流220伏，0.01A</w:t>
            </w:r>
            <w:r>
              <w:rPr>
                <w:rFonts w:hint="eastAsia"/>
                <w:color w:val="auto"/>
                <w:sz w:val="21"/>
                <w:szCs w:val="21"/>
                <w:highlight w:val="none"/>
                <w:lang w:val="en-US" w:bidi="ar-SA"/>
              </w:rPr>
              <w:br w:type="textWrapping"/>
            </w:r>
            <w:r>
              <w:rPr>
                <w:rFonts w:hint="eastAsia"/>
                <w:color w:val="auto"/>
                <w:sz w:val="21"/>
                <w:szCs w:val="21"/>
                <w:highlight w:val="none"/>
                <w:lang w:val="en-US" w:bidi="ar-SA"/>
              </w:rPr>
              <w:t>3.动作间隔时间 0.4秒-0.5秒</w:t>
            </w:r>
            <w:r>
              <w:rPr>
                <w:rFonts w:hint="eastAsia"/>
                <w:color w:val="auto"/>
                <w:sz w:val="21"/>
                <w:szCs w:val="21"/>
                <w:highlight w:val="none"/>
                <w:lang w:val="en-US" w:bidi="ar-SA"/>
              </w:rPr>
              <w:br w:type="textWrapping"/>
            </w:r>
            <w:r>
              <w:rPr>
                <w:rFonts w:hint="eastAsia"/>
                <w:color w:val="auto"/>
                <w:sz w:val="21"/>
                <w:szCs w:val="21"/>
                <w:highlight w:val="none"/>
                <w:lang w:val="en-US" w:bidi="ar-SA"/>
              </w:rPr>
              <w:t>4.保护 AC保险丝</w:t>
            </w:r>
            <w:r>
              <w:rPr>
                <w:rFonts w:hint="eastAsia"/>
                <w:color w:val="auto"/>
                <w:sz w:val="21"/>
                <w:szCs w:val="21"/>
                <w:highlight w:val="none"/>
                <w:lang w:val="en-US" w:bidi="ar-SA"/>
              </w:rPr>
              <w:br w:type="textWrapping"/>
            </w:r>
            <w:r>
              <w:rPr>
                <w:rFonts w:hint="eastAsia"/>
                <w:color w:val="auto"/>
                <w:sz w:val="21"/>
                <w:szCs w:val="21"/>
                <w:highlight w:val="none"/>
                <w:lang w:val="en-US" w:bidi="ar-SA"/>
              </w:rPr>
              <w:t>5.耗电 AC220V/50Hz/16A</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室外音柱（白）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1.此款扬声器采用铝合金外壳，表面UV抗紫外线烤漆处理，拥有极强质感的外观，并且能</w:t>
            </w:r>
            <w:r>
              <w:rPr>
                <w:rFonts w:hint="eastAsia"/>
                <w:color w:val="auto"/>
                <w:sz w:val="21"/>
                <w:szCs w:val="21"/>
                <w:highlight w:val="none"/>
                <w:lang w:val="en-US" w:bidi="ar-SA"/>
              </w:rPr>
              <w:br w:type="textWrapping"/>
            </w:r>
            <w:r>
              <w:rPr>
                <w:rFonts w:hint="eastAsia"/>
                <w:color w:val="auto"/>
                <w:sz w:val="21"/>
                <w:szCs w:val="21"/>
                <w:highlight w:val="none"/>
                <w:lang w:val="en-US" w:bidi="ar-SA"/>
              </w:rPr>
              <w:t>2.够提供专业级别的声音表现，能够满足苛刻要求的场所需求。</w:t>
            </w:r>
            <w:r>
              <w:rPr>
                <w:rFonts w:hint="eastAsia"/>
                <w:color w:val="auto"/>
                <w:sz w:val="21"/>
                <w:szCs w:val="21"/>
                <w:highlight w:val="none"/>
                <w:lang w:val="en-US" w:bidi="ar-SA"/>
              </w:rPr>
              <w:br w:type="textWrapping"/>
            </w:r>
            <w:r>
              <w:rPr>
                <w:rFonts w:hint="eastAsia"/>
                <w:color w:val="auto"/>
                <w:sz w:val="21"/>
                <w:szCs w:val="21"/>
                <w:highlight w:val="none"/>
                <w:lang w:val="en-US" w:bidi="ar-SA"/>
              </w:rPr>
              <w:t>3.全天候设计，选用防水单元，室内外均宜。</w:t>
            </w:r>
            <w:r>
              <w:rPr>
                <w:rFonts w:hint="eastAsia"/>
                <w:color w:val="auto"/>
                <w:sz w:val="21"/>
                <w:szCs w:val="21"/>
                <w:highlight w:val="none"/>
                <w:lang w:val="en-US" w:bidi="ar-SA"/>
              </w:rPr>
              <w:br w:type="textWrapping"/>
            </w:r>
            <w:r>
              <w:rPr>
                <w:rFonts w:hint="eastAsia"/>
                <w:color w:val="auto"/>
                <w:sz w:val="21"/>
                <w:szCs w:val="21"/>
                <w:highlight w:val="none"/>
                <w:lang w:val="en-US" w:bidi="ar-SA"/>
              </w:rPr>
              <w:t>4.外观小巧美观，适合各种场所装饰。</w:t>
            </w:r>
            <w:r>
              <w:rPr>
                <w:rFonts w:hint="eastAsia"/>
                <w:color w:val="auto"/>
                <w:sz w:val="21"/>
                <w:szCs w:val="21"/>
                <w:highlight w:val="none"/>
                <w:lang w:val="en-US" w:bidi="ar-SA"/>
              </w:rPr>
              <w:br w:type="textWrapping"/>
            </w:r>
            <w:r>
              <w:rPr>
                <w:rFonts w:hint="eastAsia"/>
                <w:color w:val="auto"/>
                <w:sz w:val="21"/>
                <w:szCs w:val="21"/>
                <w:highlight w:val="none"/>
                <w:lang w:val="en-US" w:bidi="ar-SA"/>
              </w:rPr>
              <w:t>5.采用3"灰色聚丙烯鼓纸的全频锥型低音单元和2"高音单元组合，频响宽，低音层次清晰、高音清澈明亮。</w:t>
            </w:r>
            <w:r>
              <w:rPr>
                <w:rFonts w:hint="eastAsia"/>
                <w:color w:val="auto"/>
                <w:sz w:val="21"/>
                <w:szCs w:val="21"/>
                <w:highlight w:val="none"/>
                <w:lang w:val="en-US" w:bidi="ar-SA"/>
              </w:rPr>
              <w:br w:type="textWrapping"/>
            </w:r>
            <w:r>
              <w:rPr>
                <w:rFonts w:hint="eastAsia"/>
                <w:color w:val="auto"/>
                <w:sz w:val="21"/>
                <w:szCs w:val="21"/>
                <w:highlight w:val="none"/>
                <w:lang w:val="en-US" w:bidi="ar-SA"/>
              </w:rPr>
              <w:t>6.功率多档可调，配有独立调节旋钮，能适应不同场所的需求。</w:t>
            </w:r>
            <w:r>
              <w:rPr>
                <w:rFonts w:hint="eastAsia"/>
                <w:color w:val="auto"/>
                <w:sz w:val="21"/>
                <w:szCs w:val="21"/>
                <w:highlight w:val="none"/>
                <w:lang w:val="en-US" w:bidi="ar-SA"/>
              </w:rPr>
              <w:br w:type="textWrapping"/>
            </w:r>
            <w:r>
              <w:rPr>
                <w:rFonts w:hint="eastAsia"/>
                <w:color w:val="auto"/>
                <w:sz w:val="21"/>
                <w:szCs w:val="21"/>
                <w:highlight w:val="none"/>
                <w:lang w:val="en-US" w:bidi="ar-SA"/>
              </w:rPr>
              <w:t>7.坚固的铝合金箱体，不易变形，不生锈。</w:t>
            </w:r>
            <w:r>
              <w:rPr>
                <w:rFonts w:hint="eastAsia"/>
                <w:color w:val="auto"/>
                <w:sz w:val="21"/>
                <w:szCs w:val="21"/>
                <w:highlight w:val="none"/>
                <w:lang w:val="en-US" w:bidi="ar-SA"/>
              </w:rPr>
              <w:br w:type="textWrapping"/>
            </w:r>
            <w:r>
              <w:rPr>
                <w:rFonts w:hint="eastAsia"/>
                <w:color w:val="auto"/>
                <w:sz w:val="21"/>
                <w:szCs w:val="21"/>
                <w:highlight w:val="none"/>
                <w:lang w:val="en-US" w:bidi="ar-SA"/>
              </w:rPr>
              <w:t>8.E型纯铜线匝音频变压器，确保音频输出保真度。</w:t>
            </w:r>
            <w:r>
              <w:rPr>
                <w:rFonts w:hint="eastAsia"/>
                <w:color w:val="auto"/>
                <w:sz w:val="21"/>
                <w:szCs w:val="21"/>
                <w:highlight w:val="none"/>
                <w:lang w:val="en-US" w:bidi="ar-SA"/>
              </w:rPr>
              <w:br w:type="textWrapping"/>
            </w:r>
            <w:r>
              <w:rPr>
                <w:rFonts w:hint="eastAsia"/>
                <w:color w:val="auto"/>
                <w:sz w:val="21"/>
                <w:szCs w:val="21"/>
                <w:highlight w:val="none"/>
                <w:lang w:val="en-US" w:bidi="ar-SA"/>
              </w:rPr>
              <w:t>9.配有多功能安装支架，便捷安装。</w:t>
            </w:r>
            <w:r>
              <w:rPr>
                <w:rFonts w:hint="eastAsia"/>
                <w:color w:val="auto"/>
                <w:sz w:val="21"/>
                <w:szCs w:val="21"/>
                <w:highlight w:val="none"/>
                <w:lang w:val="en-US" w:bidi="ar-SA"/>
              </w:rPr>
              <w:br w:type="textWrapping"/>
            </w:r>
            <w:r>
              <w:rPr>
                <w:rFonts w:hint="eastAsia"/>
                <w:color w:val="auto"/>
                <w:sz w:val="21"/>
                <w:szCs w:val="21"/>
                <w:highlight w:val="none"/>
                <w:lang w:val="en-US" w:bidi="ar-SA"/>
              </w:rPr>
              <w:t>10.喇叭单元          3"×2， 2”×1</w:t>
            </w:r>
            <w:r>
              <w:rPr>
                <w:rFonts w:hint="eastAsia"/>
                <w:color w:val="auto"/>
                <w:sz w:val="21"/>
                <w:szCs w:val="21"/>
                <w:highlight w:val="none"/>
                <w:lang w:val="en-US" w:bidi="ar-SA"/>
              </w:rPr>
              <w:br w:type="textWrapping"/>
            </w:r>
            <w:r>
              <w:rPr>
                <w:rFonts w:hint="eastAsia"/>
                <w:color w:val="auto"/>
                <w:sz w:val="21"/>
                <w:szCs w:val="21"/>
                <w:highlight w:val="none"/>
                <w:lang w:val="en-US" w:bidi="ar-SA"/>
              </w:rPr>
              <w:t>11.额定功率（RMS）    30W</w:t>
            </w:r>
            <w:r>
              <w:rPr>
                <w:rFonts w:hint="eastAsia"/>
                <w:color w:val="auto"/>
                <w:sz w:val="21"/>
                <w:szCs w:val="21"/>
                <w:highlight w:val="none"/>
                <w:lang w:val="en-US" w:bidi="ar-SA"/>
              </w:rPr>
              <w:br w:type="textWrapping"/>
            </w:r>
            <w:r>
              <w:rPr>
                <w:rFonts w:hint="eastAsia"/>
                <w:color w:val="auto"/>
                <w:sz w:val="21"/>
                <w:szCs w:val="21"/>
                <w:highlight w:val="none"/>
                <w:lang w:val="en-US" w:bidi="ar-SA"/>
              </w:rPr>
              <w:t>12.频响范围          140Hz-20kHz</w:t>
            </w:r>
            <w:r>
              <w:rPr>
                <w:rFonts w:hint="eastAsia"/>
                <w:color w:val="auto"/>
                <w:sz w:val="21"/>
                <w:szCs w:val="21"/>
                <w:highlight w:val="none"/>
                <w:lang w:val="en-US" w:bidi="ar-SA"/>
              </w:rPr>
              <w:br w:type="textWrapping"/>
            </w:r>
            <w:r>
              <w:rPr>
                <w:rFonts w:hint="eastAsia"/>
                <w:color w:val="auto"/>
                <w:sz w:val="21"/>
                <w:szCs w:val="21"/>
                <w:highlight w:val="none"/>
                <w:lang w:val="en-US" w:bidi="ar-SA"/>
              </w:rPr>
              <w:t>13.灵敏度（1m，1W）    87±3dB</w:t>
            </w:r>
            <w:r>
              <w:rPr>
                <w:rFonts w:hint="eastAsia"/>
                <w:color w:val="auto"/>
                <w:sz w:val="21"/>
                <w:szCs w:val="21"/>
                <w:highlight w:val="none"/>
                <w:lang w:val="en-US" w:bidi="ar-SA"/>
              </w:rPr>
              <w:br w:type="textWrapping"/>
            </w:r>
            <w:r>
              <w:rPr>
                <w:rFonts w:hint="eastAsia"/>
                <w:color w:val="auto"/>
                <w:sz w:val="21"/>
                <w:szCs w:val="21"/>
                <w:highlight w:val="none"/>
                <w:lang w:val="en-US" w:bidi="ar-SA"/>
              </w:rPr>
              <w:t>14.最大声压级（1m）    102±3dB</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带前置广播功放</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1.三个话筒输入口，两个辅助输入口，一个辅助输出口。</w:t>
            </w:r>
            <w:r>
              <w:rPr>
                <w:rFonts w:hint="eastAsia"/>
                <w:color w:val="auto"/>
                <w:sz w:val="21"/>
                <w:szCs w:val="21"/>
                <w:highlight w:val="none"/>
                <w:lang w:val="en-US" w:bidi="ar-SA"/>
              </w:rPr>
              <w:br w:type="textWrapping"/>
            </w:r>
            <w:r>
              <w:rPr>
                <w:rFonts w:hint="eastAsia"/>
                <w:color w:val="auto"/>
                <w:sz w:val="21"/>
                <w:szCs w:val="21"/>
                <w:highlight w:val="none"/>
                <w:lang w:val="en-US" w:bidi="ar-SA"/>
              </w:rPr>
              <w:t>2.100V，70V120W定压输出和4Ω定阻（平衡，不接地）输出。</w:t>
            </w:r>
            <w:r>
              <w:rPr>
                <w:rFonts w:hint="eastAsia"/>
                <w:color w:val="auto"/>
                <w:sz w:val="21"/>
                <w:szCs w:val="21"/>
                <w:highlight w:val="none"/>
                <w:lang w:val="en-US" w:bidi="ar-SA"/>
              </w:rPr>
              <w:br w:type="textWrapping"/>
            </w:r>
            <w:r>
              <w:rPr>
                <w:rFonts w:hint="eastAsia"/>
                <w:color w:val="auto"/>
                <w:sz w:val="21"/>
                <w:szCs w:val="21"/>
                <w:highlight w:val="none"/>
                <w:lang w:val="en-US" w:bidi="ar-SA"/>
              </w:rPr>
              <w:t>3.有默音功能，便于插入优先广播。</w:t>
            </w:r>
            <w:r>
              <w:rPr>
                <w:rFonts w:hint="eastAsia"/>
                <w:color w:val="auto"/>
                <w:sz w:val="21"/>
                <w:szCs w:val="21"/>
                <w:highlight w:val="none"/>
                <w:lang w:val="en-US" w:bidi="ar-SA"/>
              </w:rPr>
              <w:br w:type="textWrapping"/>
            </w:r>
            <w:r>
              <w:rPr>
                <w:rFonts w:hint="eastAsia"/>
                <w:color w:val="auto"/>
                <w:sz w:val="21"/>
                <w:szCs w:val="21"/>
                <w:highlight w:val="none"/>
                <w:lang w:val="en-US" w:bidi="ar-SA"/>
              </w:rPr>
              <w:t>4.各通道独立音量控制，高音和低音音调控制。</w:t>
            </w:r>
            <w:r>
              <w:rPr>
                <w:rFonts w:hint="eastAsia"/>
                <w:color w:val="auto"/>
                <w:sz w:val="21"/>
                <w:szCs w:val="21"/>
                <w:highlight w:val="none"/>
                <w:lang w:val="en-US" w:bidi="ar-SA"/>
              </w:rPr>
              <w:br w:type="textWrapping"/>
            </w:r>
            <w:r>
              <w:rPr>
                <w:rFonts w:hint="eastAsia"/>
                <w:color w:val="auto"/>
                <w:sz w:val="21"/>
                <w:szCs w:val="21"/>
                <w:highlight w:val="none"/>
                <w:lang w:val="en-US" w:bidi="ar-SA"/>
              </w:rPr>
              <w:t>5.5单位LED电平表，甚易监察工作状态，输出短路保护并告警。</w:t>
            </w:r>
            <w:r>
              <w:rPr>
                <w:rFonts w:hint="eastAsia"/>
                <w:color w:val="auto"/>
                <w:sz w:val="21"/>
                <w:szCs w:val="21"/>
                <w:highlight w:val="none"/>
                <w:lang w:val="en-US" w:bidi="ar-SA"/>
              </w:rPr>
              <w:br w:type="textWrapping"/>
            </w:r>
            <w:r>
              <w:rPr>
                <w:rFonts w:hint="eastAsia"/>
                <w:color w:val="auto"/>
                <w:sz w:val="21"/>
                <w:szCs w:val="21"/>
                <w:highlight w:val="none"/>
                <w:lang w:val="en-US" w:bidi="ar-SA"/>
              </w:rPr>
              <w:t>6.输出调整率由满载到空载，小于3dB</w:t>
            </w:r>
            <w:r>
              <w:rPr>
                <w:rFonts w:hint="eastAsia"/>
                <w:color w:val="auto"/>
                <w:sz w:val="21"/>
                <w:szCs w:val="21"/>
                <w:highlight w:val="none"/>
                <w:lang w:val="en-US" w:bidi="ar-SA"/>
              </w:rPr>
              <w:br w:type="textWrapping"/>
            </w:r>
            <w:r>
              <w:rPr>
                <w:rFonts w:hint="eastAsia"/>
                <w:color w:val="auto"/>
                <w:sz w:val="21"/>
                <w:szCs w:val="21"/>
                <w:highlight w:val="none"/>
                <w:lang w:val="en-US" w:bidi="ar-SA"/>
              </w:rPr>
              <w:t>7.输出方式P1，70V、100V定压输出</w:t>
            </w:r>
            <w:r>
              <w:rPr>
                <w:rFonts w:hint="eastAsia"/>
                <w:color w:val="auto"/>
                <w:sz w:val="21"/>
                <w:szCs w:val="21"/>
                <w:highlight w:val="none"/>
                <w:lang w:val="en-US" w:bidi="ar-SA"/>
              </w:rPr>
              <w:br w:type="textWrapping"/>
            </w:r>
            <w:r>
              <w:rPr>
                <w:rFonts w:hint="eastAsia"/>
                <w:color w:val="auto"/>
                <w:sz w:val="21"/>
                <w:szCs w:val="21"/>
                <w:highlight w:val="none"/>
                <w:lang w:val="en-US" w:bidi="ar-SA"/>
              </w:rPr>
              <w:t>8.辅助输出≥1V</w:t>
            </w:r>
            <w:r>
              <w:rPr>
                <w:rFonts w:hint="eastAsia"/>
                <w:color w:val="auto"/>
                <w:sz w:val="21"/>
                <w:szCs w:val="21"/>
                <w:highlight w:val="none"/>
                <w:lang w:val="en-US" w:bidi="ar-SA"/>
              </w:rPr>
              <w:br w:type="textWrapping"/>
            </w:r>
            <w:r>
              <w:rPr>
                <w:rFonts w:hint="eastAsia"/>
                <w:color w:val="auto"/>
                <w:sz w:val="21"/>
                <w:szCs w:val="21"/>
                <w:highlight w:val="none"/>
                <w:lang w:val="en-US" w:bidi="ar-SA"/>
              </w:rPr>
              <w:t>9.输入Mic1，2，3：600Ω，≤3mV，不平衡</w:t>
            </w:r>
            <w:r>
              <w:rPr>
                <w:rFonts w:hint="eastAsia"/>
                <w:color w:val="auto"/>
                <w:sz w:val="21"/>
                <w:szCs w:val="21"/>
                <w:highlight w:val="none"/>
                <w:lang w:val="en-US" w:bidi="ar-SA"/>
              </w:rPr>
              <w:br w:type="textWrapping"/>
            </w:r>
            <w:r>
              <w:rPr>
                <w:rFonts w:hint="eastAsia"/>
                <w:color w:val="auto"/>
                <w:sz w:val="21"/>
                <w:szCs w:val="21"/>
                <w:highlight w:val="none"/>
                <w:lang w:val="en-US" w:bidi="ar-SA"/>
              </w:rPr>
              <w:t>AUX1，2：10kΩ，≤300mV，不平衡</w:t>
            </w:r>
            <w:r>
              <w:rPr>
                <w:rFonts w:hint="eastAsia"/>
                <w:color w:val="auto"/>
                <w:sz w:val="21"/>
                <w:szCs w:val="21"/>
                <w:highlight w:val="none"/>
                <w:lang w:val="en-US" w:bidi="ar-SA"/>
              </w:rPr>
              <w:br w:type="textWrapping"/>
            </w:r>
            <w:r>
              <w:rPr>
                <w:rFonts w:hint="eastAsia"/>
                <w:color w:val="auto"/>
                <w:sz w:val="21"/>
                <w:szCs w:val="21"/>
                <w:highlight w:val="none"/>
                <w:lang w:val="en-US" w:bidi="ar-SA"/>
              </w:rPr>
              <w:t>10.频响50Hz-16kHz（±3dB）</w:t>
            </w:r>
            <w:r>
              <w:rPr>
                <w:rFonts w:hint="eastAsia"/>
                <w:color w:val="auto"/>
                <w:sz w:val="21"/>
                <w:szCs w:val="21"/>
                <w:highlight w:val="none"/>
                <w:lang w:val="en-US" w:bidi="ar-SA"/>
              </w:rPr>
              <w:br w:type="textWrapping"/>
            </w:r>
            <w:r>
              <w:rPr>
                <w:rFonts w:hint="eastAsia"/>
                <w:color w:val="auto"/>
                <w:sz w:val="21"/>
                <w:szCs w:val="21"/>
                <w:highlight w:val="none"/>
                <w:lang w:val="en-US" w:bidi="ar-SA"/>
              </w:rPr>
              <w:t>11.谐波失真&lt;1%at1kHz，1/3额定输出电压</w:t>
            </w:r>
            <w:r>
              <w:rPr>
                <w:rFonts w:hint="eastAsia"/>
                <w:color w:val="auto"/>
                <w:sz w:val="21"/>
                <w:szCs w:val="21"/>
                <w:highlight w:val="none"/>
                <w:lang w:val="en-US" w:bidi="ar-SA"/>
              </w:rPr>
              <w:br w:type="textWrapping"/>
            </w:r>
            <w:r>
              <w:rPr>
                <w:rFonts w:hint="eastAsia"/>
                <w:color w:val="auto"/>
                <w:sz w:val="21"/>
                <w:szCs w:val="21"/>
                <w:highlight w:val="none"/>
                <w:lang w:val="en-US" w:bidi="ar-SA"/>
              </w:rPr>
              <w:t>12.信噪比Mic1，2，3：&gt;75dB</w:t>
            </w:r>
            <w:r>
              <w:rPr>
                <w:rFonts w:hint="eastAsia"/>
                <w:color w:val="auto"/>
                <w:sz w:val="21"/>
                <w:szCs w:val="21"/>
                <w:highlight w:val="none"/>
                <w:lang w:val="en-US" w:bidi="ar-SA"/>
              </w:rPr>
              <w:br w:type="textWrapping"/>
            </w:r>
            <w:r>
              <w:rPr>
                <w:rFonts w:hint="eastAsia"/>
                <w:color w:val="auto"/>
                <w:sz w:val="21"/>
                <w:szCs w:val="21"/>
                <w:highlight w:val="none"/>
                <w:lang w:val="en-US" w:bidi="ar-SA"/>
              </w:rPr>
              <w:t>AUX1，2：&gt;80dB</w:t>
            </w:r>
            <w:r>
              <w:rPr>
                <w:rFonts w:hint="eastAsia"/>
                <w:color w:val="auto"/>
                <w:sz w:val="21"/>
                <w:szCs w:val="21"/>
                <w:highlight w:val="none"/>
                <w:lang w:val="en-US" w:bidi="ar-SA"/>
              </w:rPr>
              <w:br w:type="textWrapping"/>
            </w:r>
            <w:r>
              <w:rPr>
                <w:rFonts w:hint="eastAsia"/>
                <w:color w:val="auto"/>
                <w:sz w:val="21"/>
                <w:szCs w:val="21"/>
                <w:highlight w:val="none"/>
                <w:lang w:val="en-US" w:bidi="ar-SA"/>
              </w:rPr>
              <w:t>13.音调调节低音：±10dB（100Hz）</w:t>
            </w:r>
            <w:r>
              <w:rPr>
                <w:rFonts w:hint="eastAsia"/>
                <w:color w:val="auto"/>
                <w:sz w:val="21"/>
                <w:szCs w:val="21"/>
                <w:highlight w:val="none"/>
                <w:lang w:val="en-US" w:bidi="ar-SA"/>
              </w:rPr>
              <w:br w:type="textWrapping"/>
            </w:r>
            <w:r>
              <w:rPr>
                <w:rFonts w:hint="eastAsia"/>
                <w:color w:val="auto"/>
                <w:sz w:val="21"/>
                <w:szCs w:val="21"/>
                <w:highlight w:val="none"/>
                <w:lang w:val="en-US" w:bidi="ar-SA"/>
              </w:rPr>
              <w:t>14.高音：±10dB（10kHz）</w:t>
            </w:r>
            <w:r>
              <w:rPr>
                <w:rFonts w:hint="eastAsia"/>
                <w:color w:val="auto"/>
                <w:sz w:val="21"/>
                <w:szCs w:val="21"/>
                <w:highlight w:val="none"/>
                <w:lang w:val="en-US" w:bidi="ar-SA"/>
              </w:rPr>
              <w:br w:type="textWrapping"/>
            </w:r>
            <w:r>
              <w:rPr>
                <w:rFonts w:hint="eastAsia"/>
                <w:color w:val="auto"/>
                <w:sz w:val="21"/>
                <w:szCs w:val="21"/>
                <w:highlight w:val="none"/>
                <w:lang w:val="en-US" w:bidi="ar-SA"/>
              </w:rPr>
              <w:t>15.保护交流保险丝，直流输出，过载，短路。</w:t>
            </w:r>
            <w:r>
              <w:rPr>
                <w:rFonts w:hint="eastAsia"/>
                <w:color w:val="auto"/>
                <w:sz w:val="21"/>
                <w:szCs w:val="21"/>
                <w:highlight w:val="none"/>
                <w:lang w:val="en-US" w:bidi="ar-SA"/>
              </w:rPr>
              <w:br w:type="textWrapping"/>
            </w:r>
            <w:r>
              <w:rPr>
                <w:rFonts w:hint="eastAsia"/>
                <w:color w:val="auto"/>
                <w:sz w:val="21"/>
                <w:szCs w:val="21"/>
                <w:highlight w:val="none"/>
                <w:lang w:val="en-US" w:bidi="ar-SA"/>
              </w:rPr>
              <w:t>16.默音功能Mic1输入覆盖其它输入（衰减0到-30dB）</w:t>
            </w:r>
            <w:r>
              <w:rPr>
                <w:rFonts w:hint="eastAsia"/>
                <w:color w:val="auto"/>
                <w:sz w:val="21"/>
                <w:szCs w:val="21"/>
                <w:highlight w:val="none"/>
                <w:lang w:val="en-US" w:bidi="ar-SA"/>
              </w:rPr>
              <w:br w:type="textWrapping"/>
            </w:r>
            <w:r>
              <w:rPr>
                <w:rFonts w:hint="eastAsia"/>
                <w:color w:val="auto"/>
                <w:sz w:val="21"/>
                <w:szCs w:val="21"/>
                <w:highlight w:val="none"/>
                <w:lang w:val="en-US" w:bidi="ar-SA"/>
              </w:rPr>
              <w:t>17.电源AC220V-240V/50Hz-60Hz</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真分集无线话筒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含1台一拖二接收机及2只台式话筒</w:t>
            </w:r>
            <w:r>
              <w:rPr>
                <w:rFonts w:hint="eastAsia"/>
                <w:color w:val="auto"/>
                <w:sz w:val="21"/>
                <w:szCs w:val="21"/>
                <w:highlight w:val="none"/>
                <w:lang w:val="en-US" w:bidi="ar-SA"/>
              </w:rPr>
              <w:br w:type="textWrapping"/>
            </w:r>
            <w:r>
              <w:rPr>
                <w:rFonts w:hint="eastAsia"/>
                <w:color w:val="auto"/>
                <w:sz w:val="21"/>
                <w:szCs w:val="21"/>
                <w:highlight w:val="none"/>
                <w:lang w:val="en-US" w:bidi="ar-SA"/>
              </w:rPr>
              <w:t>1.波段范围（UHF）：632MHz～695MHz；</w:t>
            </w:r>
            <w:r>
              <w:rPr>
                <w:rFonts w:hint="eastAsia"/>
                <w:color w:val="auto"/>
                <w:sz w:val="21"/>
                <w:szCs w:val="21"/>
                <w:highlight w:val="none"/>
                <w:lang w:val="en-US" w:bidi="ar-SA"/>
              </w:rPr>
              <w:br w:type="textWrapping"/>
            </w:r>
            <w:r>
              <w:rPr>
                <w:rFonts w:hint="eastAsia"/>
                <w:color w:val="auto"/>
                <w:sz w:val="21"/>
                <w:szCs w:val="21"/>
                <w:highlight w:val="none"/>
                <w:lang w:val="en-US" w:bidi="ar-SA"/>
              </w:rPr>
              <w:t>2.PLL双频道锁相环回路设计；</w:t>
            </w:r>
            <w:r>
              <w:rPr>
                <w:rFonts w:hint="eastAsia"/>
                <w:color w:val="auto"/>
                <w:sz w:val="21"/>
                <w:szCs w:val="21"/>
                <w:highlight w:val="none"/>
                <w:lang w:val="en-US" w:bidi="ar-SA"/>
              </w:rPr>
              <w:br w:type="textWrapping"/>
            </w:r>
            <w:r>
              <w:rPr>
                <w:rFonts w:hint="eastAsia"/>
                <w:color w:val="auto"/>
                <w:sz w:val="21"/>
                <w:szCs w:val="21"/>
                <w:highlight w:val="none"/>
                <w:lang w:val="en-US" w:bidi="ar-SA"/>
              </w:rPr>
              <w:t>3.UHF200频道PLL数字锁定自动通讯功能；</w:t>
            </w:r>
            <w:r>
              <w:rPr>
                <w:rFonts w:hint="eastAsia"/>
                <w:color w:val="auto"/>
                <w:sz w:val="21"/>
                <w:szCs w:val="21"/>
                <w:highlight w:val="none"/>
                <w:lang w:val="en-US" w:bidi="ar-SA"/>
              </w:rPr>
              <w:br w:type="textWrapping"/>
            </w:r>
            <w:r>
              <w:rPr>
                <w:rFonts w:hint="eastAsia"/>
                <w:color w:val="auto"/>
                <w:sz w:val="21"/>
                <w:szCs w:val="21"/>
                <w:highlight w:val="none"/>
                <w:lang w:val="en-US" w:bidi="ar-SA"/>
              </w:rPr>
              <w:t>4.显示屏显示功能(显示频率、频道、静噪、电平等)；</w:t>
            </w:r>
            <w:r>
              <w:rPr>
                <w:rFonts w:hint="eastAsia"/>
                <w:color w:val="auto"/>
                <w:sz w:val="21"/>
                <w:szCs w:val="21"/>
                <w:highlight w:val="none"/>
                <w:lang w:val="en-US" w:bidi="ar-SA"/>
              </w:rPr>
              <w:br w:type="textWrapping"/>
            </w:r>
            <w:r>
              <w:rPr>
                <w:rFonts w:hint="eastAsia"/>
                <w:color w:val="auto"/>
                <w:sz w:val="21"/>
                <w:szCs w:val="21"/>
                <w:highlight w:val="none"/>
                <w:lang w:val="en-US" w:bidi="ar-SA"/>
              </w:rPr>
              <w:t>5.每通道有音量调节功能；</w:t>
            </w:r>
            <w:r>
              <w:rPr>
                <w:rFonts w:hint="eastAsia"/>
                <w:color w:val="auto"/>
                <w:sz w:val="21"/>
                <w:szCs w:val="21"/>
                <w:highlight w:val="none"/>
                <w:lang w:val="en-US" w:bidi="ar-SA"/>
              </w:rPr>
              <w:br w:type="textWrapping"/>
            </w:r>
            <w:r>
              <w:rPr>
                <w:rFonts w:hint="eastAsia"/>
                <w:color w:val="auto"/>
                <w:sz w:val="21"/>
                <w:szCs w:val="21"/>
                <w:highlight w:val="none"/>
                <w:lang w:val="en-US" w:bidi="ar-SA"/>
              </w:rPr>
              <w:t>6.AF输出（采用“XLR”型插座分别输出，混合输出）；</w:t>
            </w:r>
            <w:r>
              <w:rPr>
                <w:rFonts w:hint="eastAsia"/>
                <w:color w:val="auto"/>
                <w:sz w:val="21"/>
                <w:szCs w:val="21"/>
                <w:highlight w:val="none"/>
                <w:lang w:val="en-US" w:bidi="ar-SA"/>
              </w:rPr>
              <w:br w:type="textWrapping"/>
            </w:r>
            <w:r>
              <w:rPr>
                <w:rFonts w:hint="eastAsia"/>
                <w:color w:val="auto"/>
                <w:sz w:val="21"/>
                <w:szCs w:val="21"/>
                <w:highlight w:val="none"/>
                <w:lang w:val="en-US" w:bidi="ar-SA"/>
              </w:rPr>
              <w:t>7.发射功率调节，高功率14dBm; 低功率6dBm；</w:t>
            </w:r>
            <w:r>
              <w:rPr>
                <w:rFonts w:hint="eastAsia"/>
                <w:color w:val="auto"/>
                <w:sz w:val="21"/>
                <w:szCs w:val="21"/>
                <w:highlight w:val="none"/>
                <w:lang w:val="en-US" w:bidi="ar-SA"/>
              </w:rPr>
              <w:br w:type="textWrapping"/>
            </w:r>
            <w:r>
              <w:rPr>
                <w:rFonts w:hint="eastAsia"/>
                <w:color w:val="auto"/>
                <w:sz w:val="21"/>
                <w:szCs w:val="21"/>
                <w:highlight w:val="none"/>
                <w:lang w:val="en-US" w:bidi="ar-SA"/>
              </w:rPr>
              <w:t>8.发射机采用4节5号1.5V碱性电池；</w:t>
            </w:r>
            <w:r>
              <w:rPr>
                <w:rFonts w:hint="eastAsia"/>
                <w:color w:val="auto"/>
                <w:sz w:val="21"/>
                <w:szCs w:val="21"/>
                <w:highlight w:val="none"/>
                <w:lang w:val="en-US" w:bidi="ar-SA"/>
              </w:rPr>
              <w:br w:type="textWrapping"/>
            </w:r>
            <w:r>
              <w:rPr>
                <w:rFonts w:hint="eastAsia"/>
                <w:color w:val="auto"/>
                <w:sz w:val="21"/>
                <w:szCs w:val="21"/>
                <w:highlight w:val="none"/>
                <w:lang w:val="en-US" w:bidi="ar-SA"/>
              </w:rPr>
              <w:t>9.动态范围：88dB;</w:t>
            </w:r>
            <w:r>
              <w:rPr>
                <w:rFonts w:hint="eastAsia"/>
                <w:color w:val="auto"/>
                <w:sz w:val="21"/>
                <w:szCs w:val="21"/>
                <w:highlight w:val="none"/>
                <w:lang w:val="en-US" w:bidi="ar-SA"/>
              </w:rPr>
              <w:br w:type="textWrapping"/>
            </w:r>
            <w:r>
              <w:rPr>
                <w:rFonts w:hint="eastAsia"/>
                <w:color w:val="auto"/>
                <w:sz w:val="21"/>
                <w:szCs w:val="21"/>
                <w:highlight w:val="none"/>
                <w:lang w:val="en-US" w:bidi="ar-SA"/>
              </w:rPr>
              <w:t>10.最大频偏：±45KHz；</w:t>
            </w:r>
            <w:r>
              <w:rPr>
                <w:rFonts w:hint="eastAsia"/>
                <w:color w:val="auto"/>
                <w:sz w:val="21"/>
                <w:szCs w:val="21"/>
                <w:highlight w:val="none"/>
                <w:lang w:val="en-US" w:bidi="ar-SA"/>
              </w:rPr>
              <w:br w:type="textWrapping"/>
            </w:r>
            <w:r>
              <w:rPr>
                <w:rFonts w:hint="eastAsia"/>
                <w:color w:val="auto"/>
                <w:sz w:val="21"/>
                <w:szCs w:val="21"/>
                <w:highlight w:val="none"/>
                <w:lang w:val="en-US" w:bidi="ar-SA"/>
              </w:rPr>
              <w:t>11.频率响应：120Hz-16KHz(±3dB)；</w:t>
            </w:r>
            <w:r>
              <w:rPr>
                <w:rFonts w:hint="eastAsia"/>
                <w:color w:val="auto"/>
                <w:sz w:val="21"/>
                <w:szCs w:val="21"/>
                <w:highlight w:val="none"/>
                <w:lang w:val="en-US" w:bidi="ar-SA"/>
              </w:rPr>
              <w:br w:type="textWrapping"/>
            </w:r>
            <w:r>
              <w:rPr>
                <w:rFonts w:hint="eastAsia"/>
                <w:color w:val="auto"/>
                <w:sz w:val="21"/>
                <w:szCs w:val="21"/>
                <w:highlight w:val="none"/>
                <w:lang w:val="en-US" w:bidi="ar-SA"/>
              </w:rPr>
              <w:t>12.综合信噪比：&gt;73dB；</w:t>
            </w:r>
            <w:r>
              <w:rPr>
                <w:rFonts w:hint="eastAsia"/>
                <w:color w:val="auto"/>
                <w:sz w:val="21"/>
                <w:szCs w:val="21"/>
                <w:highlight w:val="none"/>
                <w:lang w:val="en-US" w:bidi="ar-SA"/>
              </w:rPr>
              <w:br w:type="textWrapping"/>
            </w:r>
            <w:r>
              <w:rPr>
                <w:rFonts w:hint="eastAsia"/>
                <w:color w:val="auto"/>
                <w:sz w:val="21"/>
                <w:szCs w:val="21"/>
                <w:highlight w:val="none"/>
                <w:lang w:val="en-US" w:bidi="ar-SA"/>
              </w:rPr>
              <w:t>13.综合失真度：≤1%；</w:t>
            </w:r>
            <w:r>
              <w:rPr>
                <w:rFonts w:hint="eastAsia"/>
                <w:color w:val="auto"/>
                <w:sz w:val="21"/>
                <w:szCs w:val="21"/>
                <w:highlight w:val="none"/>
                <w:lang w:val="en-US" w:bidi="ar-SA"/>
              </w:rPr>
              <w:br w:type="textWrapping"/>
            </w:r>
            <w:r>
              <w:rPr>
                <w:rFonts w:hint="eastAsia"/>
                <w:color w:val="auto"/>
                <w:sz w:val="21"/>
                <w:szCs w:val="21"/>
                <w:highlight w:val="none"/>
                <w:lang w:val="en-US" w:bidi="ar-SA"/>
              </w:rPr>
              <w:t>14.发射机工作时间10小时以上；</w:t>
            </w:r>
            <w:r>
              <w:rPr>
                <w:rFonts w:hint="eastAsia"/>
                <w:color w:val="auto"/>
                <w:sz w:val="21"/>
                <w:szCs w:val="21"/>
                <w:highlight w:val="none"/>
                <w:lang w:val="en-US" w:bidi="ar-SA"/>
              </w:rPr>
              <w:br w:type="textWrapping"/>
            </w:r>
            <w:r>
              <w:rPr>
                <w:rFonts w:hint="eastAsia"/>
                <w:color w:val="auto"/>
                <w:sz w:val="21"/>
                <w:szCs w:val="21"/>
                <w:highlight w:val="none"/>
                <w:lang w:val="en-US" w:bidi="ar-SA"/>
              </w:rPr>
              <w:t>15.支持12V/1A适配器供电；</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音频线材及调试费用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莲花线、莲花转6.35头、广播音箱线、安装调试费用等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双目人脸识别门禁一体机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操作系统：嵌入式Linux操作系统；</w:t>
            </w:r>
            <w:r>
              <w:rPr>
                <w:rFonts w:hint="eastAsia"/>
                <w:color w:val="auto"/>
                <w:sz w:val="21"/>
                <w:szCs w:val="21"/>
                <w:highlight w:val="none"/>
                <w:lang w:val="en-US" w:bidi="ar-SA"/>
              </w:rPr>
              <w:br w:type="textWrapping"/>
            </w:r>
            <w:r>
              <w:rPr>
                <w:rFonts w:hint="eastAsia"/>
                <w:color w:val="auto"/>
                <w:sz w:val="21"/>
                <w:szCs w:val="21"/>
                <w:highlight w:val="none"/>
                <w:lang w:val="en-US" w:bidi="ar-SA"/>
              </w:rPr>
              <w:t>屏幕参数： 7英寸触摸显示屏，屏幕比例9:16，屏幕分辨率600*1024；</w:t>
            </w:r>
            <w:r>
              <w:rPr>
                <w:rFonts w:hint="eastAsia"/>
                <w:color w:val="auto"/>
                <w:sz w:val="21"/>
                <w:szCs w:val="21"/>
                <w:highlight w:val="none"/>
                <w:lang w:val="en-US" w:bidi="ar-SA"/>
              </w:rPr>
              <w:br w:type="textWrapping"/>
            </w:r>
            <w:r>
              <w:rPr>
                <w:rFonts w:hint="eastAsia"/>
                <w:color w:val="auto"/>
                <w:sz w:val="21"/>
                <w:szCs w:val="21"/>
                <w:highlight w:val="none"/>
                <w:lang w:val="en-US" w:bidi="ar-SA"/>
              </w:rPr>
              <w:t>摄像头参数：采用宽动态200万双目摄像头；</w:t>
            </w:r>
            <w:r>
              <w:rPr>
                <w:rFonts w:hint="eastAsia"/>
                <w:color w:val="auto"/>
                <w:sz w:val="21"/>
                <w:szCs w:val="21"/>
                <w:highlight w:val="none"/>
                <w:lang w:val="en-US" w:bidi="ar-SA"/>
              </w:rPr>
              <w:br w:type="textWrapping"/>
            </w:r>
            <w:r>
              <w:rPr>
                <w:rFonts w:hint="eastAsia"/>
                <w:color w:val="auto"/>
                <w:sz w:val="21"/>
                <w:szCs w:val="21"/>
                <w:highlight w:val="none"/>
                <w:lang w:val="en-US" w:bidi="ar-SA"/>
              </w:rPr>
              <w:t>认证方式：支持人脸、刷卡（Mifare卡/IC卡、手机NFC卡、CPU卡序列号/内容、身份证卡序列号）、密码认证方式，可外接身份证、指纹、蓝牙、二维码功能模块；</w:t>
            </w:r>
            <w:r>
              <w:rPr>
                <w:rFonts w:hint="eastAsia"/>
                <w:color w:val="auto"/>
                <w:sz w:val="21"/>
                <w:szCs w:val="21"/>
                <w:highlight w:val="none"/>
                <w:lang w:val="en-US" w:bidi="ar-SA"/>
              </w:rPr>
              <w:br w:type="textWrapping"/>
            </w:r>
            <w:r>
              <w:rPr>
                <w:rFonts w:hint="eastAsia"/>
                <w:color w:val="auto"/>
                <w:sz w:val="21"/>
                <w:szCs w:val="21"/>
                <w:highlight w:val="none"/>
                <w:lang w:val="en-US" w:bidi="ar-SA"/>
              </w:rPr>
              <w:t>人脸识别：采用深度学习算法，支持单人或多人识别（最多5人同时认证）功能；支持照片、视频防假；1:N人脸识别速度≤0.2s，人脸验证准确率≥99%；</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存储容量：本地支持10000人脸库、50000张卡，15万条事件记录；</w:t>
            </w:r>
            <w:r>
              <w:rPr>
                <w:rFonts w:hint="eastAsia"/>
                <w:color w:val="auto"/>
                <w:sz w:val="21"/>
                <w:szCs w:val="21"/>
                <w:highlight w:val="none"/>
                <w:lang w:val="en-US" w:bidi="ar-SA"/>
              </w:rPr>
              <w:br w:type="textWrapping"/>
            </w:r>
            <w:r>
              <w:rPr>
                <w:rFonts w:hint="eastAsia"/>
                <w:color w:val="auto"/>
                <w:sz w:val="21"/>
                <w:szCs w:val="21"/>
                <w:highlight w:val="none"/>
                <w:lang w:val="en-US" w:bidi="ar-SA"/>
              </w:rPr>
              <w:t>硬件接口：LAN*1、RS485*1、Wiegand * 1(支持双向)、typeC类型USB接口*1、电锁*1、门磁*1、报警输入*2、报警输出*1、开门按钮*1、SD卡槽*1（最大支持512GB）、3.5mm音频输出接口*1；</w:t>
            </w:r>
            <w:r>
              <w:rPr>
                <w:rFonts w:hint="eastAsia"/>
                <w:color w:val="auto"/>
                <w:sz w:val="21"/>
                <w:szCs w:val="21"/>
                <w:highlight w:val="none"/>
                <w:lang w:val="en-US" w:bidi="ar-SA"/>
              </w:rPr>
              <w:br w:type="textWrapping"/>
            </w:r>
            <w:r>
              <w:rPr>
                <w:rFonts w:hint="eastAsia"/>
                <w:color w:val="auto"/>
                <w:sz w:val="21"/>
                <w:szCs w:val="21"/>
                <w:highlight w:val="none"/>
                <w:lang w:val="en-US" w:bidi="ar-SA"/>
              </w:rPr>
              <w:t>通信方式及网络协议：有线网络；萤石协议/ISAPI/ISUP5.0；</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使用环境：IP65，室内外环境（室外使用必须搭配遮阳罩）；</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安装方式：壁挂安装（标配挂板，适配86底盒）；</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 DC12V~24V/2A（电源需另配）；</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功能介绍：</w:t>
            </w:r>
            <w:r>
              <w:rPr>
                <w:rFonts w:hint="eastAsia"/>
                <w:color w:val="auto"/>
                <w:sz w:val="21"/>
                <w:szCs w:val="21"/>
                <w:highlight w:val="none"/>
                <w:lang w:val="en-US" w:bidi="ar-SA"/>
              </w:rPr>
              <w:br w:type="textWrapping"/>
            </w:r>
            <w:r>
              <w:rPr>
                <w:rFonts w:hint="eastAsia"/>
                <w:color w:val="auto"/>
                <w:sz w:val="21"/>
                <w:szCs w:val="21"/>
                <w:highlight w:val="none"/>
                <w:lang w:val="en-US" w:bidi="ar-SA"/>
              </w:rPr>
              <w:t>可视对讲：支持和云眸、4200客户端、室内机、管理机进行可视对讲；支持配置一键呼叫室内机或管理机；支持副门口机或围墙机模式；</w:t>
            </w:r>
            <w:r>
              <w:rPr>
                <w:rFonts w:hint="eastAsia"/>
                <w:color w:val="auto"/>
                <w:sz w:val="21"/>
                <w:szCs w:val="21"/>
                <w:highlight w:val="none"/>
                <w:lang w:val="en-US" w:bidi="ar-SA"/>
              </w:rPr>
              <w:br w:type="textWrapping"/>
            </w:r>
            <w:r>
              <w:rPr>
                <w:rFonts w:hint="eastAsia"/>
                <w:color w:val="auto"/>
                <w:sz w:val="21"/>
                <w:szCs w:val="21"/>
                <w:highlight w:val="none"/>
                <w:lang w:val="en-US" w:bidi="ar-SA"/>
              </w:rPr>
              <w:t>视频预览：支持管理中心远程视频预览，支持接入NVR设备，实现视频监控录像，编码格式H.264；</w:t>
            </w:r>
            <w:r>
              <w:rPr>
                <w:rFonts w:hint="eastAsia"/>
                <w:color w:val="auto"/>
                <w:sz w:val="21"/>
                <w:szCs w:val="21"/>
                <w:highlight w:val="none"/>
                <w:lang w:val="en-US" w:bidi="ar-SA"/>
              </w:rPr>
              <w:br w:type="textWrapping"/>
            </w:r>
            <w:r>
              <w:rPr>
                <w:rFonts w:hint="eastAsia"/>
                <w:color w:val="auto"/>
                <w:sz w:val="21"/>
                <w:szCs w:val="21"/>
                <w:highlight w:val="none"/>
                <w:lang w:val="en-US" w:bidi="ar-SA"/>
              </w:rPr>
              <w:t>口罩检测：支持口罩检测模式，可配置提醒戴口罩模式、强制戴口罩模式，关联门禁控制；</w:t>
            </w:r>
            <w:r>
              <w:rPr>
                <w:rFonts w:hint="eastAsia"/>
                <w:color w:val="auto"/>
                <w:sz w:val="21"/>
                <w:szCs w:val="21"/>
                <w:highlight w:val="none"/>
                <w:lang w:val="en-US" w:bidi="ar-SA"/>
              </w:rPr>
              <w:br w:type="textWrapping"/>
            </w:r>
            <w:r>
              <w:rPr>
                <w:rFonts w:hint="eastAsia"/>
                <w:color w:val="auto"/>
                <w:sz w:val="21"/>
                <w:szCs w:val="21"/>
                <w:highlight w:val="none"/>
                <w:lang w:val="en-US" w:bidi="ar-SA"/>
              </w:rPr>
              <w:t>识别界面可配：识别主界面的“呼叫”、“二维码”、“密码”的按键图标可分别配置是否显示；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认证结果显示可配：支持认证成功界面的“照片”、“姓名”、“工号”信息可配置是否显示；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认证结果语音自定义：集成文字转语音（TTS）和语音合成技术，认证成功和认证失败的语音可以分别配置4个时间段进行自定义播报，同时认证成功的语音可叠加播报姓名；</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工作模式：支持广告模式、简洁模式主题模式</w:t>
            </w:r>
            <w:r>
              <w:rPr>
                <w:rFonts w:hint="eastAsia"/>
                <w:color w:val="auto"/>
                <w:sz w:val="21"/>
                <w:szCs w:val="21"/>
                <w:highlight w:val="none"/>
                <w:lang w:val="en-US" w:bidi="ar-SA"/>
              </w:rPr>
              <w:br w:type="textWrapping"/>
            </w:r>
            <w:r>
              <w:rPr>
                <w:rFonts w:hint="eastAsia"/>
                <w:color w:val="auto"/>
                <w:sz w:val="21"/>
                <w:szCs w:val="21"/>
                <w:highlight w:val="none"/>
                <w:lang w:val="en-US" w:bidi="ar-SA"/>
              </w:rPr>
              <w:t>外接安全模块：支持通过RS485接入门控安全模块，防止主机被恶意破坏的情况下，门锁不被打开；</w:t>
            </w:r>
            <w:r>
              <w:rPr>
                <w:rFonts w:hint="eastAsia"/>
                <w:color w:val="auto"/>
                <w:sz w:val="21"/>
                <w:szCs w:val="21"/>
                <w:highlight w:val="none"/>
                <w:lang w:val="en-US" w:bidi="ar-SA"/>
              </w:rPr>
              <w:br w:type="textWrapping"/>
            </w:r>
            <w:r>
              <w:rPr>
                <w:rFonts w:hint="eastAsia"/>
                <w:color w:val="auto"/>
                <w:sz w:val="21"/>
                <w:szCs w:val="21"/>
                <w:highlight w:val="none"/>
                <w:lang w:val="en-US" w:bidi="ar-SA"/>
              </w:rPr>
              <w:t>外接读卡器：支持通过RS485或韦根（W26/W34）接口外接1个读卡器，同时可实现单门反潜回功能；</w:t>
            </w:r>
            <w:r>
              <w:rPr>
                <w:rFonts w:hint="eastAsia"/>
                <w:color w:val="auto"/>
                <w:sz w:val="21"/>
                <w:szCs w:val="21"/>
                <w:highlight w:val="none"/>
                <w:lang w:val="en-US" w:bidi="ar-SA"/>
              </w:rPr>
              <w:br w:type="textWrapping"/>
            </w:r>
            <w:r>
              <w:rPr>
                <w:rFonts w:hint="eastAsia"/>
                <w:color w:val="auto"/>
                <w:sz w:val="21"/>
                <w:szCs w:val="21"/>
                <w:highlight w:val="none"/>
                <w:lang w:val="en-US" w:bidi="ar-SA"/>
              </w:rPr>
              <w:t>读卡器模式：支持通过RS485或韦根（W26/W34）接入门禁控制器，作为读卡器模式使用；</w:t>
            </w:r>
            <w:r>
              <w:rPr>
                <w:rFonts w:hint="eastAsia"/>
                <w:color w:val="auto"/>
                <w:sz w:val="21"/>
                <w:szCs w:val="21"/>
                <w:highlight w:val="none"/>
                <w:lang w:val="en-US" w:bidi="ar-SA"/>
              </w:rPr>
              <w:br w:type="textWrapping"/>
            </w:r>
            <w:r>
              <w:rPr>
                <w:rFonts w:hint="eastAsia"/>
                <w:color w:val="auto"/>
                <w:sz w:val="21"/>
                <w:szCs w:val="21"/>
                <w:highlight w:val="none"/>
                <w:lang w:val="en-US" w:bidi="ar-SA"/>
              </w:rPr>
              <w:t>门禁计划模板：支持255组计划模板管理，128个周计划，1024个假日计划；支持常开、常闭时段管理；</w:t>
            </w:r>
            <w:r>
              <w:rPr>
                <w:rFonts w:hint="eastAsia"/>
                <w:color w:val="auto"/>
                <w:sz w:val="21"/>
                <w:szCs w:val="21"/>
                <w:highlight w:val="none"/>
                <w:lang w:val="en-US" w:bidi="ar-SA"/>
              </w:rPr>
              <w:br w:type="textWrapping"/>
            </w:r>
            <w:r>
              <w:rPr>
                <w:rFonts w:hint="eastAsia"/>
                <w:color w:val="auto"/>
                <w:sz w:val="21"/>
                <w:szCs w:val="21"/>
                <w:highlight w:val="none"/>
                <w:lang w:val="en-US" w:bidi="ar-SA"/>
              </w:rPr>
              <w:t>组合认证：刷卡+密码、刷卡+人脸、人脸+密码等组合认证方式</w:t>
            </w:r>
            <w:r>
              <w:rPr>
                <w:rFonts w:hint="eastAsia"/>
                <w:color w:val="auto"/>
                <w:sz w:val="21"/>
                <w:szCs w:val="21"/>
                <w:highlight w:val="none"/>
                <w:lang w:val="en-US" w:bidi="ar-SA"/>
              </w:rPr>
              <w:br w:type="textWrapping"/>
            </w:r>
            <w:r>
              <w:rPr>
                <w:rFonts w:hint="eastAsia"/>
                <w:color w:val="auto"/>
                <w:sz w:val="21"/>
                <w:szCs w:val="21"/>
                <w:highlight w:val="none"/>
                <w:lang w:val="en-US" w:bidi="ar-SA"/>
              </w:rPr>
              <w:t>多重认证：支持多个人员认证（人脸、刷卡等）通过后才开门；</w:t>
            </w:r>
            <w:r>
              <w:rPr>
                <w:rFonts w:hint="eastAsia"/>
                <w:color w:val="auto"/>
                <w:sz w:val="21"/>
                <w:szCs w:val="21"/>
                <w:highlight w:val="none"/>
                <w:lang w:val="en-US" w:bidi="ar-SA"/>
              </w:rPr>
              <w:br w:type="textWrapping"/>
            </w:r>
            <w:r>
              <w:rPr>
                <w:rFonts w:hint="eastAsia"/>
                <w:color w:val="auto"/>
                <w:sz w:val="21"/>
                <w:szCs w:val="21"/>
                <w:highlight w:val="none"/>
                <w:lang w:val="en-US" w:bidi="ar-SA"/>
              </w:rPr>
              <w:t>黑名单核验：支持中心下发黑名单人员信息，实现本地黑名单核验；</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报警功能：设备支持防拆报警、门被外力开起报警、胁迫卡和胁迫密码报警、黑名单报警等；</w:t>
            </w:r>
            <w:r>
              <w:rPr>
                <w:rFonts w:hint="eastAsia"/>
                <w:color w:val="auto"/>
                <w:sz w:val="21"/>
                <w:szCs w:val="21"/>
                <w:highlight w:val="none"/>
                <w:lang w:val="en-US" w:bidi="ar-SA"/>
              </w:rPr>
              <w:br w:type="textWrapping"/>
            </w:r>
            <w:r>
              <w:rPr>
                <w:rFonts w:hint="eastAsia"/>
                <w:color w:val="auto"/>
                <w:sz w:val="21"/>
                <w:szCs w:val="21"/>
                <w:highlight w:val="none"/>
                <w:lang w:val="en-US" w:bidi="ar-SA"/>
              </w:rPr>
              <w:t>事件上传：在线状态下将设备认证结果信息及联动抓拍照片实时上传给平台，支持断网续传功能，设备离线状态下产生事件在与平台连接后会重新上传；</w:t>
            </w:r>
            <w:r>
              <w:rPr>
                <w:rFonts w:hint="eastAsia"/>
                <w:color w:val="auto"/>
                <w:sz w:val="21"/>
                <w:szCs w:val="21"/>
                <w:highlight w:val="none"/>
                <w:lang w:val="en-US" w:bidi="ar-SA"/>
              </w:rPr>
              <w:br w:type="textWrapping"/>
            </w:r>
            <w:r>
              <w:rPr>
                <w:rFonts w:hint="eastAsia"/>
                <w:color w:val="auto"/>
                <w:sz w:val="21"/>
                <w:szCs w:val="21"/>
                <w:highlight w:val="none"/>
                <w:lang w:val="en-US" w:bidi="ar-SA"/>
              </w:rPr>
              <w:t>单机使用：设备可进行本地管理，支持本地注册人脸、查询、设置、管理设备参数等；</w:t>
            </w:r>
            <w:r>
              <w:rPr>
                <w:rFonts w:hint="eastAsia"/>
                <w:color w:val="auto"/>
                <w:sz w:val="21"/>
                <w:szCs w:val="21"/>
                <w:highlight w:val="none"/>
                <w:lang w:val="en-US" w:bidi="ar-SA"/>
              </w:rPr>
              <w:br w:type="textWrapping"/>
            </w:r>
            <w:r>
              <w:rPr>
                <w:rFonts w:hint="eastAsia"/>
                <w:color w:val="auto"/>
                <w:sz w:val="21"/>
                <w:szCs w:val="21"/>
                <w:highlight w:val="none"/>
                <w:lang w:val="en-US" w:bidi="ar-SA"/>
              </w:rPr>
              <w:t>WEB管理：支持Web端管理，可进行人员管理、参数配置、事件查询、系统维护等操作。</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出门按钮</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门禁出门按钮，尺寸86mm*86mm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门禁专用电源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5A（12V）</w:t>
            </w:r>
            <w:r>
              <w:rPr>
                <w:rFonts w:hint="eastAsia"/>
                <w:color w:val="auto"/>
                <w:sz w:val="21"/>
                <w:szCs w:val="21"/>
                <w:highlight w:val="none"/>
                <w:lang w:val="en-US" w:bidi="ar-SA"/>
              </w:rPr>
              <w:br w:type="textWrapping"/>
            </w:r>
            <w:r>
              <w:rPr>
                <w:rFonts w:hint="eastAsia"/>
                <w:color w:val="auto"/>
                <w:sz w:val="21"/>
                <w:szCs w:val="21"/>
                <w:highlight w:val="none"/>
                <w:lang w:val="en-US" w:bidi="ar-SA"/>
              </w:rPr>
              <w:t>输入市电：AC110-240V50-60Hz</w:t>
            </w:r>
            <w:r>
              <w:rPr>
                <w:rFonts w:hint="eastAsia"/>
                <w:color w:val="auto"/>
                <w:sz w:val="21"/>
                <w:szCs w:val="21"/>
                <w:highlight w:val="none"/>
                <w:lang w:val="en-US" w:bidi="ar-SA"/>
              </w:rPr>
              <w:br w:type="textWrapping"/>
            </w:r>
            <w:r>
              <w:rPr>
                <w:rFonts w:hint="eastAsia"/>
                <w:color w:val="auto"/>
                <w:sz w:val="21"/>
                <w:szCs w:val="21"/>
                <w:highlight w:val="none"/>
                <w:lang w:val="en-US" w:bidi="ar-SA"/>
              </w:rPr>
              <w:t>DC12V电压：12V±10%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通讯链路</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裸光纤，使用期限2年，洪塘矛调中心至社会治理平台；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条/年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97</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社会治理宣传大屏</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户外全彩 LED 屏</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1、结构说明：像素点采用1红1蓝1绿三合一；</w:t>
            </w:r>
            <w:r>
              <w:rPr>
                <w:rFonts w:hint="eastAsia"/>
                <w:color w:val="auto"/>
                <w:sz w:val="21"/>
                <w:szCs w:val="21"/>
                <w:highlight w:val="none"/>
                <w:lang w:val="en-US" w:bidi="ar-SA"/>
              </w:rPr>
              <w:br w:type="textWrapping"/>
            </w:r>
            <w:r>
              <w:rPr>
                <w:rFonts w:hint="eastAsia"/>
                <w:color w:val="auto"/>
                <w:sz w:val="21"/>
                <w:szCs w:val="21"/>
                <w:highlight w:val="none"/>
                <w:lang w:val="en-US" w:bidi="ar-SA"/>
              </w:rPr>
              <w:t>2、P4户外全彩屏-1R1G1B-SMD2525，基色为SMD全彩</w:t>
            </w:r>
            <w:r>
              <w:rPr>
                <w:rFonts w:hint="eastAsia"/>
                <w:color w:val="auto"/>
                <w:sz w:val="21"/>
                <w:szCs w:val="21"/>
                <w:highlight w:val="none"/>
                <w:lang w:val="en-US" w:bidi="ar-SA"/>
              </w:rPr>
              <w:br w:type="textWrapping"/>
            </w:r>
            <w:r>
              <w:rPr>
                <w:rFonts w:hint="eastAsia"/>
                <w:color w:val="auto"/>
                <w:sz w:val="21"/>
                <w:szCs w:val="21"/>
                <w:highlight w:val="none"/>
                <w:lang w:val="en-US" w:bidi="ar-SA"/>
              </w:rPr>
              <w:t>3、模组尺寸：320mm*160mm ，模组分辨率80点×40点；</w:t>
            </w:r>
            <w:r>
              <w:rPr>
                <w:rFonts w:hint="eastAsia"/>
                <w:color w:val="auto"/>
                <w:sz w:val="21"/>
                <w:szCs w:val="21"/>
                <w:highlight w:val="none"/>
                <w:lang w:val="en-US" w:bidi="ar-SA"/>
              </w:rPr>
              <w:br w:type="textWrapping"/>
            </w:r>
            <w:r>
              <w:rPr>
                <w:rFonts w:hint="eastAsia"/>
                <w:color w:val="auto"/>
                <w:sz w:val="21"/>
                <w:szCs w:val="21"/>
                <w:highlight w:val="none"/>
                <w:lang w:val="en-US" w:bidi="ar-SA"/>
              </w:rPr>
              <w:t>4、驱动器件：采用动态行驱动芯片 ，具有支持亮度调节功能</w:t>
            </w:r>
            <w:r>
              <w:rPr>
                <w:rFonts w:hint="eastAsia"/>
                <w:color w:val="auto"/>
                <w:sz w:val="21"/>
                <w:szCs w:val="21"/>
                <w:highlight w:val="none"/>
                <w:lang w:val="en-US" w:bidi="ar-SA"/>
              </w:rPr>
              <w:br w:type="textWrapping"/>
            </w:r>
            <w:r>
              <w:rPr>
                <w:rFonts w:hint="eastAsia"/>
                <w:color w:val="auto"/>
                <w:sz w:val="21"/>
                <w:szCs w:val="21"/>
                <w:highlight w:val="none"/>
                <w:lang w:val="en-US" w:bidi="ar-SA"/>
              </w:rPr>
              <w:t>5、工作电压：在4.5VDC能正常工作</w:t>
            </w:r>
            <w:r>
              <w:rPr>
                <w:rFonts w:hint="eastAsia"/>
                <w:color w:val="auto"/>
                <w:sz w:val="21"/>
                <w:szCs w:val="21"/>
                <w:highlight w:val="none"/>
                <w:lang w:val="en-US" w:bidi="ar-SA"/>
              </w:rPr>
              <w:br w:type="textWrapping"/>
            </w:r>
            <w:r>
              <w:rPr>
                <w:rFonts w:hint="eastAsia"/>
                <w:color w:val="auto"/>
                <w:sz w:val="21"/>
                <w:szCs w:val="21"/>
                <w:highlight w:val="none"/>
                <w:lang w:val="en-US" w:bidi="ar-SA"/>
              </w:rPr>
              <w:t>6、工作环境：能满足—20℃ ~ 50℃ 正常工作</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7、像素点间距：4mm ；最佳视角：水平≥160°，垂直≥130°                                                      </w:t>
            </w:r>
            <w:r>
              <w:rPr>
                <w:rFonts w:hint="eastAsia"/>
                <w:color w:val="auto"/>
                <w:sz w:val="21"/>
                <w:szCs w:val="21"/>
                <w:highlight w:val="none"/>
                <w:lang w:val="en-US" w:bidi="ar-SA"/>
              </w:rPr>
              <w:br w:type="textWrapping"/>
            </w:r>
            <w:r>
              <w:rPr>
                <w:rFonts w:hint="eastAsia"/>
                <w:color w:val="auto"/>
                <w:sz w:val="21"/>
                <w:szCs w:val="21"/>
                <w:highlight w:val="none"/>
                <w:lang w:val="en-US" w:bidi="ar-SA"/>
              </w:rPr>
              <w:t>8、物理密度： 62500点/㎡</w:t>
            </w:r>
            <w:r>
              <w:rPr>
                <w:rFonts w:hint="eastAsia"/>
                <w:color w:val="auto"/>
                <w:sz w:val="21"/>
                <w:szCs w:val="21"/>
                <w:highlight w:val="none"/>
                <w:lang w:val="en-US" w:bidi="ar-SA"/>
              </w:rPr>
              <w:br w:type="textWrapping"/>
            </w:r>
            <w:r>
              <w:rPr>
                <w:rFonts w:hint="eastAsia"/>
                <w:color w:val="auto"/>
                <w:sz w:val="21"/>
                <w:szCs w:val="21"/>
                <w:highlight w:val="none"/>
                <w:lang w:val="en-US" w:bidi="ar-SA"/>
              </w:rPr>
              <w:t>9、刷新频率：≥1920Hz；</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10、灰度/颜色：大于或等于16bit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11、校正后白平衡亮度：≥5400cd/m2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12、色度均匀性：≤0.005，亮度均匀性   ：≤97% ；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13、最大对比度：≥5500：1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14、色温：30000K-18000K具有可调整性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15、平均无故障时间：≥10000小时 </w:t>
            </w:r>
            <w:r>
              <w:rPr>
                <w:rFonts w:hint="eastAsia"/>
                <w:color w:val="auto"/>
                <w:sz w:val="21"/>
                <w:szCs w:val="21"/>
                <w:highlight w:val="none"/>
                <w:lang w:val="en-US" w:bidi="ar-SA"/>
              </w:rPr>
              <w:br w:type="textWrapping"/>
            </w:r>
            <w:r>
              <w:rPr>
                <w:rFonts w:hint="eastAsia"/>
                <w:color w:val="auto"/>
                <w:sz w:val="21"/>
                <w:szCs w:val="21"/>
                <w:highlight w:val="none"/>
                <w:lang w:val="en-US" w:bidi="ar-SA"/>
              </w:rPr>
              <w:t>16、平整度：≤0.3mm；</w:t>
            </w:r>
            <w:r>
              <w:rPr>
                <w:rFonts w:hint="eastAsia"/>
                <w:color w:val="auto"/>
                <w:sz w:val="21"/>
                <w:szCs w:val="21"/>
                <w:highlight w:val="none"/>
                <w:lang w:val="en-US" w:bidi="ar-SA"/>
              </w:rPr>
              <w:br w:type="textWrapping"/>
            </w:r>
            <w:r>
              <w:rPr>
                <w:rFonts w:hint="eastAsia"/>
                <w:color w:val="auto"/>
                <w:sz w:val="21"/>
                <w:szCs w:val="21"/>
                <w:highlight w:val="none"/>
                <w:lang w:val="en-US" w:bidi="ar-SA"/>
              </w:rPr>
              <w:t>17、工作电压：AC380V(三相五线制)或220v±10％,50HZ，包含配套电源。</w:t>
            </w:r>
            <w:r>
              <w:rPr>
                <w:rFonts w:hint="eastAsia"/>
                <w:color w:val="auto"/>
                <w:sz w:val="21"/>
                <w:szCs w:val="21"/>
                <w:highlight w:val="none"/>
                <w:lang w:val="en-US" w:bidi="ar-SA"/>
              </w:rPr>
              <w:br w:type="textWrapping"/>
            </w:r>
            <w:r>
              <w:rPr>
                <w:rFonts w:hint="eastAsia"/>
                <w:color w:val="auto"/>
                <w:sz w:val="21"/>
                <w:szCs w:val="21"/>
                <w:highlight w:val="none"/>
                <w:lang w:val="en-US" w:bidi="ar-SA"/>
              </w:rPr>
              <w:t>18、最大功耗：≤880W /㎡，平均功耗≤300W/㎡</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m2</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控制软件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显示屏专用控制软件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接收卡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支持高精度色度、亮度一体化逐点矫正，支持所有常规芯片、PWM芯片，</w:t>
            </w:r>
            <w:r>
              <w:rPr>
                <w:rFonts w:hint="eastAsia"/>
                <w:color w:val="auto"/>
                <w:sz w:val="21"/>
                <w:szCs w:val="21"/>
                <w:highlight w:val="none"/>
                <w:lang w:val="en-US" w:bidi="ar-SA"/>
              </w:rPr>
              <w:br w:type="textWrapping"/>
            </w:r>
            <w:r>
              <w:rPr>
                <w:rFonts w:hint="eastAsia"/>
                <w:color w:val="auto"/>
                <w:sz w:val="21"/>
                <w:szCs w:val="21"/>
                <w:highlight w:val="none"/>
                <w:lang w:val="en-US" w:bidi="ar-SA"/>
              </w:rPr>
              <w:t>自带8个HUB75接口。支持所有75口1~64扫任意模组，最大带载：长度128点，高度512点，打折带载：长度256点，高度256点。</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视频处理器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 无需电脑带大屏，同步异步无缝切换，自带播放系统，超强高清解码播放，效果出众，支持WiFi、3G/4G、局域网等多种方式接入网络， 支持网络化集群管理，远程维护设备和更新节目，支持U盘即插即播；支持智能终端无线控制，强力巨彩LED大屏幕播放系统QLplayer，进行节目和设备管理</w:t>
            </w:r>
            <w:r>
              <w:rPr>
                <w:rFonts w:hint="eastAsia"/>
                <w:color w:val="auto"/>
                <w:sz w:val="21"/>
                <w:szCs w:val="21"/>
                <w:highlight w:val="none"/>
                <w:lang w:val="en-US" w:bidi="ar-SA"/>
              </w:rPr>
              <w:br w:type="textWrapping"/>
            </w:r>
            <w:r>
              <w:rPr>
                <w:rFonts w:hint="eastAsia"/>
                <w:color w:val="auto"/>
                <w:sz w:val="21"/>
                <w:szCs w:val="21"/>
                <w:highlight w:val="none"/>
                <w:lang w:val="en-US" w:bidi="ar-SA"/>
              </w:rPr>
              <w:t>总点数：131万，最宽：4096，最高：1536</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屏体结构</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定制屏幕边框结构</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m2</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防水一体箱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国产不锈钢防水箱</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m2</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立柱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国产配套立柱</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配电系统</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10KW，可加装PLC远程控制，三相五线制输入，AC220输出</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管理电脑</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品牌台式电脑：</w:t>
            </w:r>
            <w:r>
              <w:rPr>
                <w:rFonts w:hint="eastAsia"/>
                <w:color w:val="auto"/>
                <w:sz w:val="21"/>
                <w:szCs w:val="21"/>
                <w:highlight w:val="none"/>
                <w:lang w:val="en-US" w:bidi="ar-SA"/>
              </w:rPr>
              <w:br w:type="textWrapping"/>
            </w:r>
            <w:r>
              <w:rPr>
                <w:rFonts w:hint="eastAsia"/>
                <w:color w:val="auto"/>
                <w:sz w:val="21"/>
                <w:szCs w:val="21"/>
                <w:highlight w:val="none"/>
                <w:lang w:val="en-US" w:bidi="ar-SA"/>
              </w:rPr>
              <w:t>英特尔处理器</w:t>
            </w:r>
            <w:r>
              <w:rPr>
                <w:rFonts w:hint="eastAsia"/>
                <w:color w:val="auto"/>
                <w:sz w:val="21"/>
                <w:szCs w:val="21"/>
                <w:highlight w:val="none"/>
                <w:lang w:val="en-US" w:bidi="ar-SA"/>
              </w:rPr>
              <w:br w:type="textWrapping"/>
            </w:r>
            <w:r>
              <w:rPr>
                <w:rFonts w:hint="eastAsia"/>
                <w:color w:val="auto"/>
                <w:sz w:val="21"/>
                <w:szCs w:val="21"/>
                <w:highlight w:val="none"/>
                <w:lang w:val="en-US" w:bidi="ar-SA"/>
              </w:rPr>
              <w:t>高速固态硬盘</w:t>
            </w:r>
            <w:r>
              <w:rPr>
                <w:rFonts w:hint="eastAsia"/>
                <w:color w:val="auto"/>
                <w:sz w:val="21"/>
                <w:szCs w:val="21"/>
                <w:highlight w:val="none"/>
                <w:lang w:val="en-US" w:bidi="ar-SA"/>
              </w:rPr>
              <w:br w:type="textWrapping"/>
            </w:r>
            <w:r>
              <w:rPr>
                <w:rFonts w:hint="eastAsia"/>
                <w:color w:val="auto"/>
                <w:sz w:val="21"/>
                <w:szCs w:val="21"/>
                <w:highlight w:val="none"/>
                <w:lang w:val="en-US" w:bidi="ar-SA"/>
              </w:rPr>
              <w:t>22寸液晶显示器</w:t>
            </w:r>
            <w:r>
              <w:rPr>
                <w:rFonts w:hint="eastAsia"/>
                <w:color w:val="auto"/>
                <w:sz w:val="21"/>
                <w:szCs w:val="21"/>
                <w:highlight w:val="none"/>
                <w:lang w:val="en-US" w:bidi="ar-SA"/>
              </w:rPr>
              <w:br w:type="textWrapping"/>
            </w:r>
            <w:r>
              <w:rPr>
                <w:rFonts w:hint="eastAsia"/>
                <w:color w:val="auto"/>
                <w:sz w:val="21"/>
                <w:szCs w:val="21"/>
                <w:highlight w:val="none"/>
                <w:lang w:val="en-US" w:bidi="ar-SA"/>
              </w:rPr>
              <w:t>含键盘鼠标</w:t>
            </w:r>
            <w:r>
              <w:rPr>
                <w:rFonts w:hint="eastAsia"/>
                <w:color w:val="auto"/>
                <w:sz w:val="21"/>
                <w:szCs w:val="21"/>
                <w:highlight w:val="none"/>
                <w:lang w:val="en-US" w:bidi="ar-SA"/>
              </w:rPr>
              <w:br w:type="textWrapping"/>
            </w:r>
            <w:r>
              <w:rPr>
                <w:rFonts w:hint="eastAsia"/>
                <w:color w:val="auto"/>
                <w:sz w:val="21"/>
                <w:szCs w:val="21"/>
                <w:highlight w:val="none"/>
                <w:lang w:val="en-US" w:bidi="ar-SA"/>
              </w:rPr>
              <w:t>配置：</w:t>
            </w:r>
            <w:r>
              <w:rPr>
                <w:rFonts w:hint="eastAsia"/>
                <w:color w:val="auto"/>
                <w:sz w:val="21"/>
                <w:szCs w:val="21"/>
                <w:highlight w:val="none"/>
                <w:lang w:val="en-US" w:bidi="ar-SA"/>
              </w:rPr>
              <w:br w:type="textWrapping"/>
            </w:r>
            <w:r>
              <w:rPr>
                <w:rFonts w:hint="eastAsia"/>
                <w:color w:val="auto"/>
                <w:sz w:val="21"/>
                <w:szCs w:val="21"/>
                <w:highlight w:val="none"/>
                <w:lang w:val="en-US" w:bidi="ar-SA"/>
              </w:rPr>
              <w:t>CPU：酷睿i3以上</w:t>
            </w:r>
            <w:r>
              <w:rPr>
                <w:rFonts w:hint="eastAsia"/>
                <w:color w:val="auto"/>
                <w:sz w:val="21"/>
                <w:szCs w:val="21"/>
                <w:highlight w:val="none"/>
                <w:lang w:val="en-US" w:bidi="ar-SA"/>
              </w:rPr>
              <w:br w:type="textWrapping"/>
            </w:r>
            <w:r>
              <w:rPr>
                <w:rFonts w:hint="eastAsia"/>
                <w:color w:val="auto"/>
                <w:sz w:val="21"/>
                <w:szCs w:val="21"/>
                <w:highlight w:val="none"/>
                <w:lang w:val="en-US" w:bidi="ar-SA"/>
              </w:rPr>
              <w:t>内存：8GB内存</w:t>
            </w:r>
            <w:r>
              <w:rPr>
                <w:rFonts w:hint="eastAsia"/>
                <w:color w:val="auto"/>
                <w:sz w:val="21"/>
                <w:szCs w:val="21"/>
                <w:highlight w:val="none"/>
                <w:lang w:val="en-US" w:bidi="ar-SA"/>
              </w:rPr>
              <w:br w:type="textWrapping"/>
            </w:r>
            <w:r>
              <w:rPr>
                <w:rFonts w:hint="eastAsia"/>
                <w:color w:val="auto"/>
                <w:sz w:val="21"/>
                <w:szCs w:val="21"/>
                <w:highlight w:val="none"/>
                <w:lang w:val="en-US" w:bidi="ar-SA"/>
              </w:rPr>
              <w:t>硬盘：240G固态硬盘</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辅助材料</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网线, HDMI 线、电缆,电源线等</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二、邻里、服务场景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信息发布屏/文化宣传屏/投影</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未来展厅智慧屏</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显示尺寸：98寸LED背光源，分辨率：3840×2160@60Hz，显示比例：16:9，亮度：400cd/m²，对比度：1200：1，响应时间：8ms，可视角度：水平178°，垂直178°，接口：HDMIIN*2路（最大支持4K@30Hz），HDMIOUT*1路（最大支持4K@60Hz），VGAIN*1路（最大支持1080P@60Hz），AUDIOIN*2路，AUDIOOUT*2路，USB接口*2个前置接口，USB*2个板载接口，RJ45(百兆网口)*2个，内置系统：Android8.0，内存3G，存储32G接口,CPU：4核A73*2+A53*2主频1.5GHZ，内置百兆网卡，支持路由功能，2个内置16W音箱，解码能力：支持H.265/H.264，支持一路4K@60，操作系统：安卓+Windows（含OPS模块）双系统电源：AC100V～240V，50/60Hz，功耗：满载＜800W。</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阵列音箱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01.单元组成：LF2x4.5"；HF1x3"</w:t>
            </w:r>
            <w:r>
              <w:rPr>
                <w:rFonts w:hint="eastAsia"/>
                <w:color w:val="auto"/>
                <w:sz w:val="21"/>
                <w:szCs w:val="21"/>
                <w:highlight w:val="none"/>
                <w:lang w:val="en-US" w:bidi="ar-SA"/>
              </w:rPr>
              <w:br w:type="textWrapping"/>
            </w:r>
            <w:r>
              <w:rPr>
                <w:rFonts w:hint="eastAsia"/>
                <w:color w:val="auto"/>
                <w:sz w:val="21"/>
                <w:szCs w:val="21"/>
                <w:highlight w:val="none"/>
                <w:lang w:val="en-US" w:bidi="ar-SA"/>
              </w:rPr>
              <w:t>02.额定功率：100W</w:t>
            </w:r>
            <w:r>
              <w:rPr>
                <w:rFonts w:hint="eastAsia"/>
                <w:color w:val="auto"/>
                <w:sz w:val="21"/>
                <w:szCs w:val="21"/>
                <w:highlight w:val="none"/>
                <w:lang w:val="en-US" w:bidi="ar-SA"/>
              </w:rPr>
              <w:br w:type="textWrapping"/>
            </w:r>
            <w:r>
              <w:rPr>
                <w:rFonts w:hint="eastAsia"/>
                <w:color w:val="auto"/>
                <w:sz w:val="21"/>
                <w:szCs w:val="21"/>
                <w:highlight w:val="none"/>
                <w:lang w:val="en-US" w:bidi="ar-SA"/>
              </w:rPr>
              <w:t>03.峰值功率：400W</w:t>
            </w:r>
            <w:r>
              <w:rPr>
                <w:rFonts w:hint="eastAsia"/>
                <w:color w:val="auto"/>
                <w:sz w:val="21"/>
                <w:szCs w:val="21"/>
                <w:highlight w:val="none"/>
                <w:lang w:val="en-US" w:bidi="ar-SA"/>
              </w:rPr>
              <w:br w:type="textWrapping"/>
            </w:r>
            <w:r>
              <w:rPr>
                <w:rFonts w:hint="eastAsia"/>
                <w:color w:val="auto"/>
                <w:sz w:val="21"/>
                <w:szCs w:val="21"/>
                <w:highlight w:val="none"/>
                <w:lang w:val="en-US" w:bidi="ar-SA"/>
              </w:rPr>
              <w:t>04.最大声压级：113dB（额定）</w:t>
            </w:r>
            <w:r>
              <w:rPr>
                <w:rFonts w:hint="eastAsia"/>
                <w:color w:val="auto"/>
                <w:sz w:val="21"/>
                <w:szCs w:val="21"/>
                <w:highlight w:val="none"/>
                <w:lang w:val="en-US" w:bidi="ar-SA"/>
              </w:rPr>
              <w:br w:type="textWrapping"/>
            </w:r>
            <w:r>
              <w:rPr>
                <w:rFonts w:hint="eastAsia"/>
                <w:color w:val="auto"/>
                <w:sz w:val="21"/>
                <w:szCs w:val="21"/>
                <w:highlight w:val="none"/>
                <w:lang w:val="en-US" w:bidi="ar-SA"/>
              </w:rPr>
              <w:t>05.标准阻抗：4Ω</w:t>
            </w:r>
            <w:r>
              <w:rPr>
                <w:rFonts w:hint="eastAsia"/>
                <w:color w:val="auto"/>
                <w:sz w:val="21"/>
                <w:szCs w:val="21"/>
                <w:highlight w:val="none"/>
                <w:lang w:val="en-US" w:bidi="ar-SA"/>
              </w:rPr>
              <w:br w:type="textWrapping"/>
            </w:r>
            <w:r>
              <w:rPr>
                <w:rFonts w:hint="eastAsia"/>
                <w:color w:val="auto"/>
                <w:sz w:val="21"/>
                <w:szCs w:val="21"/>
                <w:highlight w:val="none"/>
                <w:lang w:val="en-US" w:bidi="ar-SA"/>
              </w:rPr>
              <w:t>06.频率响应：82Hz-18KHz(±3dB)</w:t>
            </w:r>
            <w:r>
              <w:rPr>
                <w:rFonts w:hint="eastAsia"/>
                <w:color w:val="auto"/>
                <w:sz w:val="21"/>
                <w:szCs w:val="21"/>
                <w:highlight w:val="none"/>
                <w:lang w:val="en-US" w:bidi="ar-SA"/>
              </w:rPr>
              <w:br w:type="textWrapping"/>
            </w:r>
            <w:r>
              <w:rPr>
                <w:rFonts w:hint="eastAsia"/>
                <w:color w:val="auto"/>
                <w:sz w:val="21"/>
                <w:szCs w:val="21"/>
                <w:highlight w:val="none"/>
                <w:lang w:val="en-US" w:bidi="ar-SA"/>
              </w:rPr>
              <w:t>07.分频点：4000Hz</w:t>
            </w:r>
            <w:r>
              <w:rPr>
                <w:rFonts w:hint="eastAsia"/>
                <w:color w:val="auto"/>
                <w:sz w:val="21"/>
                <w:szCs w:val="21"/>
                <w:highlight w:val="none"/>
                <w:lang w:val="en-US" w:bidi="ar-SA"/>
              </w:rPr>
              <w:br w:type="textWrapping"/>
            </w:r>
            <w:r>
              <w:rPr>
                <w:rFonts w:hint="eastAsia"/>
                <w:color w:val="auto"/>
                <w:sz w:val="21"/>
                <w:szCs w:val="21"/>
                <w:highlight w:val="none"/>
                <w:lang w:val="en-US" w:bidi="ar-SA"/>
              </w:rPr>
              <w:t>08.覆盖角度：120°（h水平）×90°（v垂直）</w:t>
            </w:r>
            <w:r>
              <w:rPr>
                <w:rFonts w:hint="eastAsia"/>
                <w:color w:val="auto"/>
                <w:sz w:val="21"/>
                <w:szCs w:val="21"/>
                <w:highlight w:val="none"/>
                <w:lang w:val="en-US" w:bidi="ar-SA"/>
              </w:rPr>
              <w:br w:type="textWrapping"/>
            </w:r>
            <w:r>
              <w:rPr>
                <w:rFonts w:hint="eastAsia"/>
                <w:color w:val="auto"/>
                <w:sz w:val="21"/>
                <w:szCs w:val="21"/>
                <w:highlight w:val="none"/>
                <w:lang w:val="en-US" w:bidi="ar-SA"/>
              </w:rPr>
              <w:t>09.表面处理：12mm桦木实木板黑色环保水性耐磨油漆涂装</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功率放大器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01.具备4路话筒输入（卡侬接口），支持48V幻象供电；</w:t>
            </w:r>
            <w:r>
              <w:rPr>
                <w:rFonts w:hint="eastAsia"/>
                <w:color w:val="auto"/>
                <w:sz w:val="21"/>
                <w:szCs w:val="21"/>
                <w:highlight w:val="none"/>
                <w:lang w:val="en-US" w:bidi="ar-SA"/>
              </w:rPr>
              <w:br w:type="textWrapping"/>
            </w:r>
            <w:r>
              <w:rPr>
                <w:rFonts w:hint="eastAsia"/>
                <w:color w:val="auto"/>
                <w:sz w:val="21"/>
                <w:szCs w:val="21"/>
                <w:highlight w:val="none"/>
                <w:lang w:val="en-US" w:bidi="ar-SA"/>
              </w:rPr>
              <w:t>02.具备4路话筒幻象供电独立切换开关选择；</w:t>
            </w:r>
            <w:r>
              <w:rPr>
                <w:rFonts w:hint="eastAsia"/>
                <w:color w:val="auto"/>
                <w:sz w:val="21"/>
                <w:szCs w:val="21"/>
                <w:highlight w:val="none"/>
                <w:lang w:val="en-US" w:bidi="ar-SA"/>
              </w:rPr>
              <w:br w:type="textWrapping"/>
            </w:r>
            <w:r>
              <w:rPr>
                <w:rFonts w:hint="eastAsia"/>
                <w:color w:val="auto"/>
                <w:sz w:val="21"/>
                <w:szCs w:val="21"/>
                <w:highlight w:val="none"/>
                <w:lang w:val="en-US" w:bidi="ar-SA"/>
              </w:rPr>
              <w:t>03.具备4路话筒移频效果独立切换开关选择；</w:t>
            </w:r>
            <w:r>
              <w:rPr>
                <w:rFonts w:hint="eastAsia"/>
                <w:color w:val="auto"/>
                <w:sz w:val="21"/>
                <w:szCs w:val="21"/>
                <w:highlight w:val="none"/>
                <w:lang w:val="en-US" w:bidi="ar-SA"/>
              </w:rPr>
              <w:br w:type="textWrapping"/>
            </w:r>
            <w:r>
              <w:rPr>
                <w:rFonts w:hint="eastAsia"/>
                <w:color w:val="auto"/>
                <w:sz w:val="21"/>
                <w:szCs w:val="21"/>
                <w:highlight w:val="none"/>
                <w:lang w:val="en-US" w:bidi="ar-SA"/>
              </w:rPr>
              <w:t>04.具备4路话筒音量独立调节；</w:t>
            </w:r>
            <w:r>
              <w:rPr>
                <w:rFonts w:hint="eastAsia"/>
                <w:color w:val="auto"/>
                <w:sz w:val="21"/>
                <w:szCs w:val="21"/>
                <w:highlight w:val="none"/>
                <w:lang w:val="en-US" w:bidi="ar-SA"/>
              </w:rPr>
              <w:br w:type="textWrapping"/>
            </w:r>
            <w:r>
              <w:rPr>
                <w:rFonts w:hint="eastAsia"/>
                <w:color w:val="auto"/>
                <w:sz w:val="21"/>
                <w:szCs w:val="21"/>
                <w:highlight w:val="none"/>
                <w:lang w:val="en-US" w:bidi="ar-SA"/>
              </w:rPr>
              <w:t>05.具备1路外接立体声输入和输出（RCA接口）；</w:t>
            </w:r>
            <w:r>
              <w:rPr>
                <w:rFonts w:hint="eastAsia"/>
                <w:color w:val="auto"/>
                <w:sz w:val="21"/>
                <w:szCs w:val="21"/>
                <w:highlight w:val="none"/>
                <w:lang w:val="en-US" w:bidi="ar-SA"/>
              </w:rPr>
              <w:br w:type="textWrapping"/>
            </w:r>
            <w:r>
              <w:rPr>
                <w:rFonts w:hint="eastAsia"/>
                <w:color w:val="auto"/>
                <w:sz w:val="21"/>
                <w:szCs w:val="21"/>
                <w:highlight w:val="none"/>
                <w:lang w:val="en-US" w:bidi="ar-SA"/>
              </w:rPr>
              <w:t>06.具备2路放大输出（纯铜接线柱）；</w:t>
            </w:r>
            <w:r>
              <w:rPr>
                <w:rFonts w:hint="eastAsia"/>
                <w:color w:val="auto"/>
                <w:sz w:val="21"/>
                <w:szCs w:val="21"/>
                <w:highlight w:val="none"/>
                <w:lang w:val="en-US" w:bidi="ar-SA"/>
              </w:rPr>
              <w:br w:type="textWrapping"/>
            </w:r>
            <w:r>
              <w:rPr>
                <w:rFonts w:hint="eastAsia"/>
                <w:color w:val="auto"/>
                <w:sz w:val="21"/>
                <w:szCs w:val="21"/>
                <w:highlight w:val="none"/>
                <w:lang w:val="en-US" w:bidi="ar-SA"/>
              </w:rPr>
              <w:t>07.支持外接立体声音量独立调节和平衡调节；</w:t>
            </w:r>
            <w:r>
              <w:rPr>
                <w:rFonts w:hint="eastAsia"/>
                <w:color w:val="auto"/>
                <w:sz w:val="21"/>
                <w:szCs w:val="21"/>
                <w:highlight w:val="none"/>
                <w:lang w:val="en-US" w:bidi="ar-SA"/>
              </w:rPr>
              <w:br w:type="textWrapping"/>
            </w:r>
            <w:r>
              <w:rPr>
                <w:rFonts w:hint="eastAsia"/>
                <w:color w:val="auto"/>
                <w:sz w:val="21"/>
                <w:szCs w:val="21"/>
                <w:highlight w:val="none"/>
                <w:lang w:val="en-US" w:bidi="ar-SA"/>
              </w:rPr>
              <w:t>08.支持话筒输出左右声道独立调节；</w:t>
            </w:r>
            <w:r>
              <w:rPr>
                <w:rFonts w:hint="eastAsia"/>
                <w:color w:val="auto"/>
                <w:sz w:val="21"/>
                <w:szCs w:val="21"/>
                <w:highlight w:val="none"/>
                <w:lang w:val="en-US" w:bidi="ar-SA"/>
              </w:rPr>
              <w:br w:type="textWrapping"/>
            </w:r>
            <w:r>
              <w:rPr>
                <w:rFonts w:hint="eastAsia"/>
                <w:color w:val="auto"/>
                <w:sz w:val="21"/>
                <w:szCs w:val="21"/>
                <w:highlight w:val="none"/>
                <w:lang w:val="en-US" w:bidi="ar-SA"/>
              </w:rPr>
              <w:t>09.支持高低音均衡调节；</w:t>
            </w:r>
            <w:r>
              <w:rPr>
                <w:rFonts w:hint="eastAsia"/>
                <w:color w:val="auto"/>
                <w:sz w:val="21"/>
                <w:szCs w:val="21"/>
                <w:highlight w:val="none"/>
                <w:lang w:val="en-US" w:bidi="ar-SA"/>
              </w:rPr>
              <w:br w:type="textWrapping"/>
            </w:r>
            <w:r>
              <w:rPr>
                <w:rFonts w:hint="eastAsia"/>
                <w:color w:val="auto"/>
                <w:sz w:val="21"/>
                <w:szCs w:val="21"/>
                <w:highlight w:val="none"/>
                <w:lang w:val="en-US" w:bidi="ar-SA"/>
              </w:rPr>
              <w:t>10.移频量：5Hz±1Hz；</w:t>
            </w:r>
            <w:r>
              <w:rPr>
                <w:rFonts w:hint="eastAsia"/>
                <w:color w:val="auto"/>
                <w:sz w:val="21"/>
                <w:szCs w:val="21"/>
                <w:highlight w:val="none"/>
                <w:lang w:val="en-US" w:bidi="ar-SA"/>
              </w:rPr>
              <w:br w:type="textWrapping"/>
            </w:r>
            <w:r>
              <w:rPr>
                <w:rFonts w:hint="eastAsia"/>
                <w:color w:val="auto"/>
                <w:sz w:val="21"/>
                <w:szCs w:val="21"/>
                <w:highlight w:val="none"/>
                <w:lang w:val="en-US" w:bidi="ar-SA"/>
              </w:rPr>
              <w:t>11.输出功率：200W×2（8Ω）；</w:t>
            </w:r>
            <w:r>
              <w:rPr>
                <w:rFonts w:hint="eastAsia"/>
                <w:color w:val="auto"/>
                <w:sz w:val="21"/>
                <w:szCs w:val="21"/>
                <w:highlight w:val="none"/>
                <w:lang w:val="en-US" w:bidi="ar-SA"/>
              </w:rPr>
              <w:br w:type="textWrapping"/>
            </w:r>
            <w:r>
              <w:rPr>
                <w:rFonts w:hint="eastAsia"/>
                <w:color w:val="auto"/>
                <w:sz w:val="21"/>
                <w:szCs w:val="21"/>
                <w:highlight w:val="none"/>
                <w:lang w:val="en-US" w:bidi="ar-SA"/>
              </w:rPr>
              <w:t>12.输入灵敏度：0.775V；</w:t>
            </w:r>
            <w:r>
              <w:rPr>
                <w:rFonts w:hint="eastAsia"/>
                <w:color w:val="auto"/>
                <w:sz w:val="21"/>
                <w:szCs w:val="21"/>
                <w:highlight w:val="none"/>
                <w:lang w:val="en-US" w:bidi="ar-SA"/>
              </w:rPr>
              <w:br w:type="textWrapping"/>
            </w:r>
            <w:r>
              <w:rPr>
                <w:rFonts w:hint="eastAsia"/>
                <w:color w:val="auto"/>
                <w:sz w:val="21"/>
                <w:szCs w:val="21"/>
                <w:highlight w:val="none"/>
                <w:lang w:val="en-US" w:bidi="ar-SA"/>
              </w:rPr>
              <w:t>13.信噪比：≥100dB；</w:t>
            </w:r>
            <w:r>
              <w:rPr>
                <w:rFonts w:hint="eastAsia"/>
                <w:color w:val="auto"/>
                <w:sz w:val="21"/>
                <w:szCs w:val="21"/>
                <w:highlight w:val="none"/>
                <w:lang w:val="en-US" w:bidi="ar-SA"/>
              </w:rPr>
              <w:br w:type="textWrapping"/>
            </w:r>
            <w:r>
              <w:rPr>
                <w:rFonts w:hint="eastAsia"/>
                <w:color w:val="auto"/>
                <w:sz w:val="21"/>
                <w:szCs w:val="21"/>
                <w:highlight w:val="none"/>
                <w:lang w:val="en-US" w:bidi="ar-SA"/>
              </w:rPr>
              <w:t>14.总谐波失真：≤0.01%@4Ω1KHz；</w:t>
            </w:r>
            <w:r>
              <w:rPr>
                <w:rFonts w:hint="eastAsia"/>
                <w:color w:val="auto"/>
                <w:sz w:val="21"/>
                <w:szCs w:val="21"/>
                <w:highlight w:val="none"/>
                <w:lang w:val="en-US" w:bidi="ar-SA"/>
              </w:rPr>
              <w:br w:type="textWrapping"/>
            </w:r>
            <w:r>
              <w:rPr>
                <w:rFonts w:hint="eastAsia"/>
                <w:color w:val="auto"/>
                <w:sz w:val="21"/>
                <w:szCs w:val="21"/>
                <w:highlight w:val="none"/>
                <w:lang w:val="en-US" w:bidi="ar-SA"/>
              </w:rPr>
              <w:t>15.频率响应：20Hz-20KHz（非移频状态）；150Hz-15KHz（移频状态）；</w:t>
            </w:r>
            <w:r>
              <w:rPr>
                <w:rFonts w:hint="eastAsia"/>
                <w:color w:val="auto"/>
                <w:sz w:val="21"/>
                <w:szCs w:val="21"/>
                <w:highlight w:val="none"/>
                <w:lang w:val="en-US" w:bidi="ar-SA"/>
              </w:rPr>
              <w:br w:type="textWrapping"/>
            </w:r>
            <w:r>
              <w:rPr>
                <w:rFonts w:hint="eastAsia"/>
                <w:color w:val="auto"/>
                <w:sz w:val="21"/>
                <w:szCs w:val="21"/>
                <w:highlight w:val="none"/>
                <w:lang w:val="en-US" w:bidi="ar-SA"/>
              </w:rPr>
              <w:t>16.线路输入阻抗：≥5KΩ；</w:t>
            </w:r>
            <w:r>
              <w:rPr>
                <w:rFonts w:hint="eastAsia"/>
                <w:color w:val="auto"/>
                <w:sz w:val="21"/>
                <w:szCs w:val="21"/>
                <w:highlight w:val="none"/>
                <w:lang w:val="en-US" w:bidi="ar-SA"/>
              </w:rPr>
              <w:br w:type="textWrapping"/>
            </w:r>
            <w:r>
              <w:rPr>
                <w:rFonts w:hint="eastAsia"/>
                <w:color w:val="auto"/>
                <w:sz w:val="21"/>
                <w:szCs w:val="21"/>
                <w:highlight w:val="none"/>
                <w:lang w:val="en-US" w:bidi="ar-SA"/>
              </w:rPr>
              <w:t>17.线路输出阻抗：≤600Ω；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电源时序器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01.≥8通道电源输出，额定功率≥3200W，单路最大输出电流≥30A；</w:t>
            </w:r>
            <w:r>
              <w:rPr>
                <w:rFonts w:hint="eastAsia"/>
                <w:color w:val="auto"/>
                <w:sz w:val="21"/>
                <w:szCs w:val="21"/>
                <w:highlight w:val="none"/>
                <w:lang w:val="en-US" w:bidi="ar-SA"/>
              </w:rPr>
              <w:br w:type="textWrapping"/>
            </w:r>
            <w:r>
              <w:rPr>
                <w:rFonts w:hint="eastAsia"/>
                <w:color w:val="auto"/>
                <w:sz w:val="21"/>
                <w:szCs w:val="21"/>
                <w:highlight w:val="none"/>
                <w:lang w:val="en-US" w:bidi="ar-SA"/>
              </w:rPr>
              <w:t>02.前面板具有输入电压实时显示功能，并内置直通电源输出接口；</w:t>
            </w:r>
            <w:r>
              <w:rPr>
                <w:rFonts w:hint="eastAsia"/>
                <w:color w:val="auto"/>
                <w:sz w:val="21"/>
                <w:szCs w:val="21"/>
                <w:highlight w:val="none"/>
                <w:lang w:val="en-US" w:bidi="ar-SA"/>
              </w:rPr>
              <w:br w:type="textWrapping"/>
            </w:r>
            <w:r>
              <w:rPr>
                <w:rFonts w:hint="eastAsia"/>
                <w:color w:val="auto"/>
                <w:sz w:val="21"/>
                <w:szCs w:val="21"/>
                <w:highlight w:val="none"/>
                <w:lang w:val="en-US" w:bidi="ar-SA"/>
              </w:rPr>
              <w:t>03.前面板具备各通道开关状态指示灯；</w:t>
            </w:r>
            <w:r>
              <w:rPr>
                <w:rFonts w:hint="eastAsia"/>
                <w:color w:val="auto"/>
                <w:sz w:val="21"/>
                <w:szCs w:val="21"/>
                <w:highlight w:val="none"/>
                <w:lang w:val="en-US" w:bidi="ar-SA"/>
              </w:rPr>
              <w:br w:type="textWrapping"/>
            </w:r>
            <w:r>
              <w:rPr>
                <w:rFonts w:hint="eastAsia"/>
                <w:color w:val="auto"/>
                <w:sz w:val="21"/>
                <w:szCs w:val="21"/>
                <w:highlight w:val="none"/>
                <w:lang w:val="en-US" w:bidi="ar-SA"/>
              </w:rPr>
              <w:t>04.前面板具备控制按键，可依次开启和反序关闭各通道电源，实现时序电源开关功能；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05.具备直通开关和时序控制切换按钮；</w:t>
            </w:r>
            <w:r>
              <w:rPr>
                <w:rFonts w:hint="eastAsia"/>
                <w:color w:val="auto"/>
                <w:sz w:val="21"/>
                <w:szCs w:val="21"/>
                <w:highlight w:val="none"/>
                <w:lang w:val="en-US" w:bidi="ar-SA"/>
              </w:rPr>
              <w:br w:type="textWrapping"/>
            </w:r>
            <w:r>
              <w:rPr>
                <w:rFonts w:hint="eastAsia"/>
                <w:color w:val="auto"/>
                <w:sz w:val="21"/>
                <w:szCs w:val="21"/>
                <w:highlight w:val="none"/>
                <w:lang w:val="en-US" w:bidi="ar-SA"/>
              </w:rPr>
              <w:t>06.具备I/O(凤凰插)端口，可外接按键或驳接中控系统等，对各通道开关进行时序全开和全关等操作；</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一拖二无线话筒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基本参数：</w:t>
            </w:r>
            <w:r>
              <w:rPr>
                <w:rFonts w:hint="eastAsia"/>
                <w:color w:val="auto"/>
                <w:sz w:val="21"/>
                <w:szCs w:val="21"/>
                <w:highlight w:val="none"/>
                <w:lang w:val="en-US" w:bidi="ar-SA"/>
              </w:rPr>
              <w:br w:type="textWrapping"/>
            </w:r>
            <w:r>
              <w:rPr>
                <w:rFonts w:hint="eastAsia"/>
                <w:color w:val="auto"/>
                <w:sz w:val="21"/>
                <w:szCs w:val="21"/>
                <w:highlight w:val="none"/>
                <w:lang w:val="en-US" w:bidi="ar-SA"/>
              </w:rPr>
              <w:t>1、真分集四天线一拖二设计（2支话筒），采用UHF频段；</w:t>
            </w:r>
            <w:r>
              <w:rPr>
                <w:rFonts w:hint="eastAsia"/>
                <w:color w:val="auto"/>
                <w:sz w:val="21"/>
                <w:szCs w:val="21"/>
                <w:highlight w:val="none"/>
                <w:lang w:val="en-US" w:bidi="ar-SA"/>
              </w:rPr>
              <w:br w:type="textWrapping"/>
            </w:r>
            <w:r>
              <w:rPr>
                <w:rFonts w:hint="eastAsia"/>
                <w:color w:val="auto"/>
                <w:sz w:val="21"/>
                <w:szCs w:val="21"/>
                <w:highlight w:val="none"/>
                <w:lang w:val="en-US" w:bidi="ar-SA"/>
              </w:rPr>
              <w:t>2、4根外置全向高增益天线，自动切换信号通道，确保信号稳定，；</w:t>
            </w:r>
            <w:r>
              <w:rPr>
                <w:rFonts w:hint="eastAsia"/>
                <w:color w:val="auto"/>
                <w:sz w:val="21"/>
                <w:szCs w:val="21"/>
                <w:highlight w:val="none"/>
                <w:lang w:val="en-US" w:bidi="ar-SA"/>
              </w:rPr>
              <w:br w:type="textWrapping"/>
            </w:r>
            <w:r>
              <w:rPr>
                <w:rFonts w:hint="eastAsia"/>
                <w:color w:val="auto"/>
                <w:sz w:val="21"/>
                <w:szCs w:val="21"/>
                <w:highlight w:val="none"/>
                <w:lang w:val="en-US" w:bidi="ar-SA"/>
              </w:rPr>
              <w:t>3、每个独立通道均配有个1块显示屏、4个操控按键、RF和AF电平指示灯；</w:t>
            </w:r>
            <w:r>
              <w:rPr>
                <w:rFonts w:hint="eastAsia"/>
                <w:color w:val="auto"/>
                <w:sz w:val="21"/>
                <w:szCs w:val="21"/>
                <w:highlight w:val="none"/>
                <w:lang w:val="en-US" w:bidi="ar-SA"/>
              </w:rPr>
              <w:br w:type="textWrapping"/>
            </w:r>
            <w:r>
              <w:rPr>
                <w:rFonts w:hint="eastAsia"/>
                <w:color w:val="auto"/>
                <w:sz w:val="21"/>
                <w:szCs w:val="21"/>
                <w:highlight w:val="none"/>
                <w:lang w:val="en-US" w:bidi="ar-SA"/>
              </w:rPr>
              <w:t>4、带有独立/混音、平衡/非平衡输出端口；</w:t>
            </w:r>
            <w:r>
              <w:rPr>
                <w:rFonts w:hint="eastAsia"/>
                <w:color w:val="auto"/>
                <w:sz w:val="21"/>
                <w:szCs w:val="21"/>
                <w:highlight w:val="none"/>
                <w:lang w:val="en-US" w:bidi="ar-SA"/>
              </w:rPr>
              <w:br w:type="textWrapping"/>
            </w:r>
            <w:r>
              <w:rPr>
                <w:rFonts w:hint="eastAsia"/>
                <w:color w:val="auto"/>
                <w:sz w:val="21"/>
                <w:szCs w:val="21"/>
                <w:highlight w:val="none"/>
                <w:lang w:val="en-US" w:bidi="ar-SA"/>
              </w:rPr>
              <w:t>5、发射机采用高品质动圈咪芯，防摔网头，可拔插式独立电池仓；</w:t>
            </w:r>
            <w:r>
              <w:rPr>
                <w:rFonts w:hint="eastAsia"/>
                <w:color w:val="auto"/>
                <w:sz w:val="21"/>
                <w:szCs w:val="21"/>
                <w:highlight w:val="none"/>
                <w:lang w:val="en-US" w:bidi="ar-SA"/>
              </w:rPr>
              <w:br w:type="textWrapping"/>
            </w:r>
            <w:r>
              <w:rPr>
                <w:rFonts w:hint="eastAsia"/>
                <w:color w:val="auto"/>
                <w:sz w:val="21"/>
                <w:szCs w:val="21"/>
                <w:highlight w:val="none"/>
                <w:lang w:val="en-US" w:bidi="ar-SA"/>
              </w:rPr>
              <w:t>6、支持200个频点可用；</w:t>
            </w:r>
            <w:r>
              <w:rPr>
                <w:rFonts w:hint="eastAsia"/>
                <w:color w:val="auto"/>
                <w:sz w:val="21"/>
                <w:szCs w:val="21"/>
                <w:highlight w:val="none"/>
                <w:lang w:val="en-US" w:bidi="ar-SA"/>
              </w:rPr>
              <w:br w:type="textWrapping"/>
            </w:r>
            <w:r>
              <w:rPr>
                <w:rFonts w:hint="eastAsia"/>
                <w:color w:val="auto"/>
                <w:sz w:val="21"/>
                <w:szCs w:val="21"/>
                <w:highlight w:val="none"/>
                <w:lang w:val="en-US" w:bidi="ar-SA"/>
              </w:rPr>
              <w:t>7、支持手动和自动两种频率选择方式；</w:t>
            </w:r>
            <w:r>
              <w:rPr>
                <w:rFonts w:hint="eastAsia"/>
                <w:color w:val="auto"/>
                <w:sz w:val="21"/>
                <w:szCs w:val="21"/>
                <w:highlight w:val="none"/>
                <w:lang w:val="en-US" w:bidi="ar-SA"/>
              </w:rPr>
              <w:br w:type="textWrapping"/>
            </w:r>
            <w:r>
              <w:rPr>
                <w:rFonts w:hint="eastAsia"/>
                <w:color w:val="auto"/>
                <w:sz w:val="21"/>
                <w:szCs w:val="21"/>
                <w:highlight w:val="none"/>
                <w:lang w:val="en-US" w:bidi="ar-SA"/>
              </w:rPr>
              <w:t>8、支持发射功率调节功能，3档可调；</w:t>
            </w:r>
            <w:r>
              <w:rPr>
                <w:rFonts w:hint="eastAsia"/>
                <w:color w:val="auto"/>
                <w:sz w:val="21"/>
                <w:szCs w:val="21"/>
                <w:highlight w:val="none"/>
                <w:lang w:val="en-US" w:bidi="ar-SA"/>
              </w:rPr>
              <w:br w:type="textWrapping"/>
            </w:r>
            <w:r>
              <w:rPr>
                <w:rFonts w:hint="eastAsia"/>
                <w:color w:val="auto"/>
                <w:sz w:val="21"/>
                <w:szCs w:val="21"/>
                <w:highlight w:val="none"/>
                <w:lang w:val="en-US" w:bidi="ar-SA"/>
              </w:rPr>
              <w:t>9、支持一键扫频功能，搜索当前区域较干净频段使用；</w:t>
            </w:r>
            <w:r>
              <w:rPr>
                <w:rFonts w:hint="eastAsia"/>
                <w:color w:val="auto"/>
                <w:sz w:val="21"/>
                <w:szCs w:val="21"/>
                <w:highlight w:val="none"/>
                <w:lang w:val="en-US" w:bidi="ar-SA"/>
              </w:rPr>
              <w:br w:type="textWrapping"/>
            </w:r>
            <w:r>
              <w:rPr>
                <w:rFonts w:hint="eastAsia"/>
                <w:color w:val="auto"/>
                <w:sz w:val="21"/>
                <w:szCs w:val="21"/>
                <w:highlight w:val="none"/>
                <w:lang w:val="en-US" w:bidi="ar-SA"/>
              </w:rPr>
              <w:t>10、支持红外自动对频技术，发射机自动追锁频率并调整一致；</w:t>
            </w:r>
            <w:r>
              <w:rPr>
                <w:rFonts w:hint="eastAsia"/>
                <w:color w:val="auto"/>
                <w:sz w:val="21"/>
                <w:szCs w:val="21"/>
                <w:highlight w:val="none"/>
                <w:lang w:val="en-US" w:bidi="ar-SA"/>
              </w:rPr>
              <w:br w:type="textWrapping"/>
            </w:r>
            <w:r>
              <w:rPr>
                <w:rFonts w:hint="eastAsia"/>
                <w:color w:val="auto"/>
                <w:sz w:val="21"/>
                <w:szCs w:val="21"/>
                <w:highlight w:val="none"/>
                <w:lang w:val="en-US" w:bidi="ar-SA"/>
              </w:rPr>
              <w:t>11、支持音量调节功能；</w:t>
            </w:r>
            <w:r>
              <w:rPr>
                <w:rFonts w:hint="eastAsia"/>
                <w:color w:val="auto"/>
                <w:sz w:val="21"/>
                <w:szCs w:val="21"/>
                <w:highlight w:val="none"/>
                <w:lang w:val="en-US" w:bidi="ar-SA"/>
              </w:rPr>
              <w:br w:type="textWrapping"/>
            </w:r>
            <w:r>
              <w:rPr>
                <w:rFonts w:hint="eastAsia"/>
                <w:color w:val="auto"/>
                <w:sz w:val="21"/>
                <w:szCs w:val="21"/>
                <w:highlight w:val="none"/>
                <w:lang w:val="en-US" w:bidi="ar-SA"/>
              </w:rPr>
              <w:t>12、支持锁定防止误操作功能；</w:t>
            </w:r>
            <w:r>
              <w:rPr>
                <w:rFonts w:hint="eastAsia"/>
                <w:color w:val="auto"/>
                <w:sz w:val="21"/>
                <w:szCs w:val="21"/>
                <w:highlight w:val="none"/>
                <w:lang w:val="en-US" w:bidi="ar-SA"/>
              </w:rPr>
              <w:br w:type="textWrapping"/>
            </w:r>
            <w:r>
              <w:rPr>
                <w:rFonts w:hint="eastAsia"/>
                <w:color w:val="auto"/>
                <w:sz w:val="21"/>
                <w:szCs w:val="21"/>
                <w:highlight w:val="none"/>
                <w:lang w:val="en-US" w:bidi="ar-SA"/>
              </w:rPr>
              <w:t>13、采用外置适配器供电方式，独立电源开关。</w:t>
            </w:r>
            <w:r>
              <w:rPr>
                <w:rFonts w:hint="eastAsia"/>
                <w:color w:val="auto"/>
                <w:sz w:val="21"/>
                <w:szCs w:val="21"/>
                <w:highlight w:val="none"/>
                <w:lang w:val="en-US" w:bidi="ar-SA"/>
              </w:rPr>
              <w:br w:type="textWrapping"/>
            </w:r>
            <w:r>
              <w:rPr>
                <w:rFonts w:hint="eastAsia"/>
                <w:color w:val="auto"/>
                <w:sz w:val="21"/>
                <w:szCs w:val="21"/>
                <w:highlight w:val="none"/>
                <w:lang w:val="en-US" w:bidi="ar-SA"/>
              </w:rPr>
              <w:t>系统指标：</w:t>
            </w:r>
            <w:r>
              <w:rPr>
                <w:rFonts w:hint="eastAsia"/>
                <w:color w:val="auto"/>
                <w:sz w:val="21"/>
                <w:szCs w:val="21"/>
                <w:highlight w:val="none"/>
                <w:lang w:val="en-US" w:bidi="ar-SA"/>
              </w:rPr>
              <w:br w:type="textWrapping"/>
            </w:r>
            <w:r>
              <w:rPr>
                <w:rFonts w:hint="eastAsia"/>
                <w:color w:val="auto"/>
                <w:sz w:val="21"/>
                <w:szCs w:val="21"/>
                <w:highlight w:val="none"/>
                <w:lang w:val="en-US" w:bidi="ar-SA"/>
              </w:rPr>
              <w:t>1、射频范围：615.250MHz至665.000MHz；</w:t>
            </w:r>
            <w:r>
              <w:rPr>
                <w:rFonts w:hint="eastAsia"/>
                <w:color w:val="auto"/>
                <w:sz w:val="21"/>
                <w:szCs w:val="21"/>
                <w:highlight w:val="none"/>
                <w:lang w:val="en-US" w:bidi="ar-SA"/>
              </w:rPr>
              <w:br w:type="textWrapping"/>
            </w:r>
            <w:r>
              <w:rPr>
                <w:rFonts w:hint="eastAsia"/>
                <w:color w:val="auto"/>
                <w:sz w:val="21"/>
                <w:szCs w:val="21"/>
                <w:highlight w:val="none"/>
                <w:lang w:val="en-US" w:bidi="ar-SA"/>
              </w:rPr>
              <w:t>2、调制方式：FM调频；</w:t>
            </w:r>
            <w:r>
              <w:rPr>
                <w:rFonts w:hint="eastAsia"/>
                <w:color w:val="auto"/>
                <w:sz w:val="21"/>
                <w:szCs w:val="21"/>
                <w:highlight w:val="none"/>
                <w:lang w:val="en-US" w:bidi="ar-SA"/>
              </w:rPr>
              <w:br w:type="textWrapping"/>
            </w:r>
            <w:r>
              <w:rPr>
                <w:rFonts w:hint="eastAsia"/>
                <w:color w:val="auto"/>
                <w:sz w:val="21"/>
                <w:szCs w:val="21"/>
                <w:highlight w:val="none"/>
                <w:lang w:val="en-US" w:bidi="ar-SA"/>
              </w:rPr>
              <w:t>3、可用带宽：60MHz；</w:t>
            </w:r>
            <w:r>
              <w:rPr>
                <w:rFonts w:hint="eastAsia"/>
                <w:color w:val="auto"/>
                <w:sz w:val="21"/>
                <w:szCs w:val="21"/>
                <w:highlight w:val="none"/>
                <w:lang w:val="en-US" w:bidi="ar-SA"/>
              </w:rPr>
              <w:br w:type="textWrapping"/>
            </w:r>
            <w:r>
              <w:rPr>
                <w:rFonts w:hint="eastAsia"/>
                <w:color w:val="auto"/>
                <w:sz w:val="21"/>
                <w:szCs w:val="21"/>
                <w:highlight w:val="none"/>
                <w:lang w:val="en-US" w:bidi="ar-SA"/>
              </w:rPr>
              <w:t>4、信道数量：红外线自动对频200信道；</w:t>
            </w:r>
            <w:r>
              <w:rPr>
                <w:rFonts w:hint="eastAsia"/>
                <w:color w:val="auto"/>
                <w:sz w:val="21"/>
                <w:szCs w:val="21"/>
                <w:highlight w:val="none"/>
                <w:lang w:val="en-US" w:bidi="ar-SA"/>
              </w:rPr>
              <w:br w:type="textWrapping"/>
            </w:r>
            <w:r>
              <w:rPr>
                <w:rFonts w:hint="eastAsia"/>
                <w:color w:val="auto"/>
                <w:sz w:val="21"/>
                <w:szCs w:val="21"/>
                <w:highlight w:val="none"/>
                <w:lang w:val="en-US" w:bidi="ar-SA"/>
              </w:rPr>
              <w:t>5、信道间隔：250KHz；</w:t>
            </w:r>
            <w:r>
              <w:rPr>
                <w:rFonts w:hint="eastAsia"/>
                <w:color w:val="auto"/>
                <w:sz w:val="21"/>
                <w:szCs w:val="21"/>
                <w:highlight w:val="none"/>
                <w:lang w:val="en-US" w:bidi="ar-SA"/>
              </w:rPr>
              <w:br w:type="textWrapping"/>
            </w:r>
            <w:r>
              <w:rPr>
                <w:rFonts w:hint="eastAsia"/>
                <w:color w:val="auto"/>
                <w:sz w:val="21"/>
                <w:szCs w:val="21"/>
                <w:highlight w:val="none"/>
                <w:lang w:val="en-US" w:bidi="ar-SA"/>
              </w:rPr>
              <w:t>6、频率稳定度：±0.005%；</w:t>
            </w:r>
            <w:r>
              <w:rPr>
                <w:rFonts w:hint="eastAsia"/>
                <w:color w:val="auto"/>
                <w:sz w:val="21"/>
                <w:szCs w:val="21"/>
                <w:highlight w:val="none"/>
                <w:lang w:val="en-US" w:bidi="ar-SA"/>
              </w:rPr>
              <w:br w:type="textWrapping"/>
            </w:r>
            <w:r>
              <w:rPr>
                <w:rFonts w:hint="eastAsia"/>
                <w:color w:val="auto"/>
                <w:sz w:val="21"/>
                <w:szCs w:val="21"/>
                <w:highlight w:val="none"/>
                <w:lang w:val="en-US" w:bidi="ar-SA"/>
              </w:rPr>
              <w:t>7、动态范围：&gt;105dB；</w:t>
            </w:r>
            <w:r>
              <w:rPr>
                <w:rFonts w:hint="eastAsia"/>
                <w:color w:val="auto"/>
                <w:sz w:val="21"/>
                <w:szCs w:val="21"/>
                <w:highlight w:val="none"/>
                <w:lang w:val="en-US" w:bidi="ar-SA"/>
              </w:rPr>
              <w:br w:type="textWrapping"/>
            </w:r>
            <w:r>
              <w:rPr>
                <w:rFonts w:hint="eastAsia"/>
                <w:color w:val="auto"/>
                <w:sz w:val="21"/>
                <w:szCs w:val="21"/>
                <w:highlight w:val="none"/>
                <w:lang w:val="en-US" w:bidi="ar-SA"/>
              </w:rPr>
              <w:t>8、峰值频偏：±45KHz；</w:t>
            </w:r>
            <w:r>
              <w:rPr>
                <w:rFonts w:hint="eastAsia"/>
                <w:color w:val="auto"/>
                <w:sz w:val="21"/>
                <w:szCs w:val="21"/>
                <w:highlight w:val="none"/>
                <w:lang w:val="en-US" w:bidi="ar-SA"/>
              </w:rPr>
              <w:br w:type="textWrapping"/>
            </w:r>
            <w:r>
              <w:rPr>
                <w:rFonts w:hint="eastAsia"/>
                <w:color w:val="auto"/>
                <w:sz w:val="21"/>
                <w:szCs w:val="21"/>
                <w:highlight w:val="none"/>
                <w:lang w:val="en-US" w:bidi="ar-SA"/>
              </w:rPr>
              <w:t>9、音频响应：40HZ-18KHz（±3dB）；</w:t>
            </w:r>
            <w:r>
              <w:rPr>
                <w:rFonts w:hint="eastAsia"/>
                <w:color w:val="auto"/>
                <w:sz w:val="21"/>
                <w:szCs w:val="21"/>
                <w:highlight w:val="none"/>
                <w:lang w:val="en-US" w:bidi="ar-SA"/>
              </w:rPr>
              <w:br w:type="textWrapping"/>
            </w:r>
            <w:r>
              <w:rPr>
                <w:rFonts w:hint="eastAsia"/>
                <w:color w:val="auto"/>
                <w:sz w:val="21"/>
                <w:szCs w:val="21"/>
                <w:highlight w:val="none"/>
                <w:lang w:val="en-US" w:bidi="ar-SA"/>
              </w:rPr>
              <w:t>10、综合信噪比：&gt;115dB；</w:t>
            </w:r>
            <w:r>
              <w:rPr>
                <w:rFonts w:hint="eastAsia"/>
                <w:color w:val="auto"/>
                <w:sz w:val="21"/>
                <w:szCs w:val="21"/>
                <w:highlight w:val="none"/>
                <w:lang w:val="en-US" w:bidi="ar-SA"/>
              </w:rPr>
              <w:br w:type="textWrapping"/>
            </w:r>
            <w:r>
              <w:rPr>
                <w:rFonts w:hint="eastAsia"/>
                <w:color w:val="auto"/>
                <w:sz w:val="21"/>
                <w:szCs w:val="21"/>
                <w:highlight w:val="none"/>
                <w:lang w:val="en-US" w:bidi="ar-SA"/>
              </w:rPr>
              <w:t>11、综合失真：≤0.2%；</w:t>
            </w:r>
            <w:r>
              <w:rPr>
                <w:rFonts w:hint="eastAsia"/>
                <w:color w:val="auto"/>
                <w:sz w:val="21"/>
                <w:szCs w:val="21"/>
                <w:highlight w:val="none"/>
                <w:lang w:val="en-US" w:bidi="ar-SA"/>
              </w:rPr>
              <w:br w:type="textWrapping"/>
            </w:r>
            <w:r>
              <w:rPr>
                <w:rFonts w:hint="eastAsia"/>
                <w:color w:val="auto"/>
                <w:sz w:val="21"/>
                <w:szCs w:val="21"/>
                <w:highlight w:val="none"/>
                <w:lang w:val="en-US" w:bidi="ar-SA"/>
              </w:rPr>
              <w:t>接收主机指标：</w:t>
            </w:r>
            <w:r>
              <w:rPr>
                <w:rFonts w:hint="eastAsia"/>
                <w:color w:val="auto"/>
                <w:sz w:val="21"/>
                <w:szCs w:val="21"/>
                <w:highlight w:val="none"/>
                <w:lang w:val="en-US" w:bidi="ar-SA"/>
              </w:rPr>
              <w:br w:type="textWrapping"/>
            </w:r>
            <w:r>
              <w:rPr>
                <w:rFonts w:hint="eastAsia"/>
                <w:color w:val="auto"/>
                <w:sz w:val="21"/>
                <w:szCs w:val="21"/>
                <w:highlight w:val="none"/>
                <w:lang w:val="en-US" w:bidi="ar-SA"/>
              </w:rPr>
              <w:t>1、接收机方式：分集式/二次变频超外差</w:t>
            </w:r>
            <w:r>
              <w:rPr>
                <w:rFonts w:hint="eastAsia"/>
                <w:color w:val="auto"/>
                <w:sz w:val="21"/>
                <w:szCs w:val="21"/>
                <w:highlight w:val="none"/>
                <w:lang w:val="en-US" w:bidi="ar-SA"/>
              </w:rPr>
              <w:br w:type="textWrapping"/>
            </w:r>
            <w:r>
              <w:rPr>
                <w:rFonts w:hint="eastAsia"/>
                <w:color w:val="auto"/>
                <w:sz w:val="21"/>
                <w:szCs w:val="21"/>
                <w:highlight w:val="none"/>
                <w:lang w:val="en-US" w:bidi="ar-SA"/>
              </w:rPr>
              <w:t>2、天线接口：BNC座/50</w:t>
            </w:r>
            <w:r>
              <w:rPr>
                <w:rFonts w:ascii="Calibri" w:hAnsi="Calibri" w:cs="Calibri"/>
                <w:color w:val="auto"/>
                <w:sz w:val="21"/>
                <w:szCs w:val="21"/>
                <w:highlight w:val="none"/>
                <w:lang w:val="en-US" w:bidi="ar-SA"/>
              </w:rPr>
              <w:t>Ω</w:t>
            </w:r>
            <w:r>
              <w:rPr>
                <w:rFonts w:hint="eastAsia"/>
                <w:color w:val="auto"/>
                <w:sz w:val="21"/>
                <w:szCs w:val="21"/>
                <w:highlight w:val="none"/>
                <w:lang w:val="en-US" w:bidi="ar-SA"/>
              </w:rPr>
              <w:br w:type="textWrapping"/>
            </w:r>
            <w:r>
              <w:rPr>
                <w:rFonts w:hint="eastAsia"/>
                <w:color w:val="auto"/>
                <w:sz w:val="21"/>
                <w:szCs w:val="21"/>
                <w:highlight w:val="none"/>
                <w:lang w:val="en-US" w:bidi="ar-SA"/>
              </w:rPr>
              <w:t>3、灵敏度：12dB（80dBS/N）</w:t>
            </w:r>
            <w:r>
              <w:rPr>
                <w:rFonts w:hint="eastAsia"/>
                <w:color w:val="auto"/>
                <w:sz w:val="21"/>
                <w:szCs w:val="21"/>
                <w:highlight w:val="none"/>
                <w:lang w:val="en-US" w:bidi="ar-SA"/>
              </w:rPr>
              <w:br w:type="textWrapping"/>
            </w:r>
            <w:r>
              <w:rPr>
                <w:rFonts w:hint="eastAsia"/>
                <w:color w:val="auto"/>
                <w:sz w:val="21"/>
                <w:szCs w:val="21"/>
                <w:highlight w:val="none"/>
                <w:lang w:val="en-US" w:bidi="ar-SA"/>
              </w:rPr>
              <w:t>4、静噪门限：0-40dB</w:t>
            </w:r>
            <w:r>
              <w:rPr>
                <w:rFonts w:hint="eastAsia"/>
                <w:color w:val="auto"/>
                <w:sz w:val="21"/>
                <w:szCs w:val="21"/>
                <w:highlight w:val="none"/>
                <w:lang w:val="en-US" w:bidi="ar-SA"/>
              </w:rPr>
              <w:br w:type="textWrapping"/>
            </w:r>
            <w:r>
              <w:rPr>
                <w:rFonts w:hint="eastAsia"/>
                <w:color w:val="auto"/>
                <w:sz w:val="21"/>
                <w:szCs w:val="21"/>
                <w:highlight w:val="none"/>
                <w:lang w:val="en-US" w:bidi="ar-SA"/>
              </w:rPr>
              <w:t>5、杂散抑制：&gt;95dB</w:t>
            </w:r>
            <w:r>
              <w:rPr>
                <w:rFonts w:hint="eastAsia"/>
                <w:color w:val="auto"/>
                <w:sz w:val="21"/>
                <w:szCs w:val="21"/>
                <w:highlight w:val="none"/>
                <w:lang w:val="en-US" w:bidi="ar-SA"/>
              </w:rPr>
              <w:br w:type="textWrapping"/>
            </w:r>
            <w:r>
              <w:rPr>
                <w:rFonts w:hint="eastAsia"/>
                <w:color w:val="auto"/>
                <w:sz w:val="21"/>
                <w:szCs w:val="21"/>
                <w:highlight w:val="none"/>
                <w:lang w:val="en-US" w:bidi="ar-SA"/>
              </w:rPr>
              <w:t>6、音频输出：平衡/非平衡</w:t>
            </w:r>
            <w:r>
              <w:rPr>
                <w:rFonts w:hint="eastAsia"/>
                <w:color w:val="auto"/>
                <w:sz w:val="21"/>
                <w:szCs w:val="21"/>
                <w:highlight w:val="none"/>
                <w:lang w:val="en-US" w:bidi="ar-SA"/>
              </w:rPr>
              <w:br w:type="textWrapping"/>
            </w:r>
            <w:r>
              <w:rPr>
                <w:rFonts w:hint="eastAsia"/>
                <w:color w:val="auto"/>
                <w:sz w:val="21"/>
                <w:szCs w:val="21"/>
                <w:highlight w:val="none"/>
                <w:lang w:val="en-US" w:bidi="ar-SA"/>
              </w:rPr>
              <w:t>7、平衡：+10dB（2.5V）/600</w:t>
            </w:r>
            <w:r>
              <w:rPr>
                <w:rFonts w:ascii="Calibri" w:hAnsi="Calibri" w:cs="Calibri"/>
                <w:color w:val="auto"/>
                <w:sz w:val="21"/>
                <w:szCs w:val="21"/>
                <w:highlight w:val="none"/>
                <w:lang w:val="en-US" w:bidi="ar-SA"/>
              </w:rPr>
              <w:t>Ω</w:t>
            </w:r>
            <w:r>
              <w:rPr>
                <w:rFonts w:hint="eastAsia"/>
                <w:color w:val="auto"/>
                <w:sz w:val="21"/>
                <w:szCs w:val="21"/>
                <w:highlight w:val="none"/>
                <w:lang w:val="en-US" w:bidi="ar-SA"/>
              </w:rPr>
              <w:br w:type="textWrapping"/>
            </w:r>
            <w:r>
              <w:rPr>
                <w:rFonts w:hint="eastAsia"/>
                <w:color w:val="auto"/>
                <w:sz w:val="21"/>
                <w:szCs w:val="21"/>
                <w:highlight w:val="none"/>
                <w:lang w:val="en-US" w:bidi="ar-SA"/>
              </w:rPr>
              <w:t>8、供电电压：DC11-16V（rated12V）</w:t>
            </w:r>
            <w:r>
              <w:rPr>
                <w:rFonts w:hint="eastAsia"/>
                <w:color w:val="auto"/>
                <w:sz w:val="21"/>
                <w:szCs w:val="21"/>
                <w:highlight w:val="none"/>
                <w:lang w:val="en-US" w:bidi="ar-SA"/>
              </w:rPr>
              <w:br w:type="textWrapping"/>
            </w:r>
            <w:r>
              <w:rPr>
                <w:rFonts w:hint="eastAsia"/>
                <w:color w:val="auto"/>
                <w:sz w:val="21"/>
                <w:szCs w:val="21"/>
                <w:highlight w:val="none"/>
                <w:lang w:val="en-US" w:bidi="ar-SA"/>
              </w:rPr>
              <w:t>9、电流：单接收，小于200mA双接收，小于350mA</w:t>
            </w:r>
            <w:r>
              <w:rPr>
                <w:rFonts w:hint="eastAsia"/>
                <w:color w:val="auto"/>
                <w:sz w:val="21"/>
                <w:szCs w:val="21"/>
                <w:highlight w:val="none"/>
                <w:lang w:val="en-US" w:bidi="ar-SA"/>
              </w:rPr>
              <w:br w:type="textWrapping"/>
            </w:r>
            <w:r>
              <w:rPr>
                <w:rFonts w:hint="eastAsia"/>
                <w:color w:val="auto"/>
                <w:sz w:val="21"/>
                <w:szCs w:val="21"/>
                <w:highlight w:val="none"/>
                <w:lang w:val="en-US" w:bidi="ar-SA"/>
              </w:rPr>
              <w:t>发射机指标：</w:t>
            </w:r>
            <w:r>
              <w:rPr>
                <w:rFonts w:hint="eastAsia"/>
                <w:color w:val="auto"/>
                <w:sz w:val="21"/>
                <w:szCs w:val="21"/>
                <w:highlight w:val="none"/>
                <w:lang w:val="en-US" w:bidi="ar-SA"/>
              </w:rPr>
              <w:br w:type="textWrapping"/>
            </w:r>
            <w:r>
              <w:rPr>
                <w:rFonts w:hint="eastAsia"/>
                <w:color w:val="auto"/>
                <w:sz w:val="21"/>
                <w:szCs w:val="21"/>
                <w:highlight w:val="none"/>
                <w:lang w:val="en-US" w:bidi="ar-SA"/>
              </w:rPr>
              <w:t>1、天线：内置式</w:t>
            </w:r>
            <w:r>
              <w:rPr>
                <w:rFonts w:hint="eastAsia"/>
                <w:color w:val="auto"/>
                <w:sz w:val="21"/>
                <w:szCs w:val="21"/>
                <w:highlight w:val="none"/>
                <w:lang w:val="en-US" w:bidi="ar-SA"/>
              </w:rPr>
              <w:br w:type="textWrapping"/>
            </w:r>
            <w:r>
              <w:rPr>
                <w:rFonts w:hint="eastAsia"/>
                <w:color w:val="auto"/>
                <w:sz w:val="21"/>
                <w:szCs w:val="21"/>
                <w:highlight w:val="none"/>
                <w:lang w:val="en-US" w:bidi="ar-SA"/>
              </w:rPr>
              <w:t>2、输出功率：20mW</w:t>
            </w:r>
            <w:r>
              <w:rPr>
                <w:rFonts w:hint="eastAsia"/>
                <w:color w:val="auto"/>
                <w:sz w:val="21"/>
                <w:szCs w:val="21"/>
                <w:highlight w:val="none"/>
                <w:lang w:val="en-US" w:bidi="ar-SA"/>
              </w:rPr>
              <w:br w:type="textWrapping"/>
            </w:r>
            <w:r>
              <w:rPr>
                <w:rFonts w:hint="eastAsia"/>
                <w:color w:val="auto"/>
                <w:sz w:val="21"/>
                <w:szCs w:val="21"/>
                <w:highlight w:val="none"/>
                <w:lang w:val="en-US" w:bidi="ar-SA"/>
              </w:rPr>
              <w:t>3、杂散抑制：-60dB</w:t>
            </w:r>
            <w:r>
              <w:rPr>
                <w:rFonts w:hint="eastAsia"/>
                <w:color w:val="auto"/>
                <w:sz w:val="21"/>
                <w:szCs w:val="21"/>
                <w:highlight w:val="none"/>
                <w:lang w:val="en-US" w:bidi="ar-SA"/>
              </w:rPr>
              <w:br w:type="textWrapping"/>
            </w:r>
            <w:r>
              <w:rPr>
                <w:rFonts w:hint="eastAsia"/>
                <w:color w:val="auto"/>
                <w:sz w:val="21"/>
                <w:szCs w:val="21"/>
                <w:highlight w:val="none"/>
                <w:lang w:val="en-US" w:bidi="ar-SA"/>
              </w:rPr>
              <w:t>4、供电：1.5V*2</w:t>
            </w:r>
            <w:r>
              <w:rPr>
                <w:rFonts w:hint="eastAsia"/>
                <w:color w:val="auto"/>
                <w:sz w:val="21"/>
                <w:szCs w:val="21"/>
                <w:highlight w:val="none"/>
                <w:lang w:val="en-US" w:bidi="ar-SA"/>
              </w:rPr>
              <w:br w:type="textWrapping"/>
            </w:r>
            <w:r>
              <w:rPr>
                <w:rFonts w:hint="eastAsia"/>
                <w:color w:val="auto"/>
                <w:sz w:val="21"/>
                <w:szCs w:val="21"/>
                <w:highlight w:val="none"/>
                <w:lang w:val="en-US" w:bidi="ar-SA"/>
              </w:rPr>
              <w:t>5、电流：&lt;110mA（HF）&lt;80mA（LF）</w:t>
            </w:r>
            <w:r>
              <w:rPr>
                <w:rFonts w:hint="eastAsia"/>
                <w:color w:val="auto"/>
                <w:sz w:val="21"/>
                <w:szCs w:val="21"/>
                <w:highlight w:val="none"/>
                <w:lang w:val="en-US" w:bidi="ar-SA"/>
              </w:rPr>
              <w:br w:type="textWrapping"/>
            </w:r>
            <w:r>
              <w:rPr>
                <w:rFonts w:hint="eastAsia"/>
                <w:color w:val="auto"/>
                <w:sz w:val="21"/>
                <w:szCs w:val="21"/>
                <w:highlight w:val="none"/>
                <w:lang w:val="en-US" w:bidi="ar-SA"/>
              </w:rPr>
              <w:t>6、信噪比/S/NRatio-81dB</w:t>
            </w:r>
            <w:r>
              <w:rPr>
                <w:rFonts w:hint="eastAsia"/>
                <w:color w:val="auto"/>
                <w:sz w:val="21"/>
                <w:szCs w:val="21"/>
                <w:highlight w:val="none"/>
                <w:lang w:val="en-US" w:bidi="ar-SA"/>
              </w:rPr>
              <w:br w:type="textWrapping"/>
            </w:r>
            <w:r>
              <w:rPr>
                <w:rFonts w:hint="eastAsia"/>
                <w:color w:val="auto"/>
                <w:sz w:val="21"/>
                <w:szCs w:val="21"/>
                <w:highlight w:val="none"/>
                <w:lang w:val="en-US" w:bidi="ar-SA"/>
              </w:rPr>
              <w:t>7、使用时间（碱性电池）：不小于8小时</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音箱支架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用于会议音箱的壁装</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3.5立体声对双莲花线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3.5立体声对双莲花连接线黑色L=1.5m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音箱线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300支金银线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米</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无线会议主机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01.无线会议系统，全数字控制，具多种发言模式，可与视像跟踪主机连接实现视像跟踪功能；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02.系统最大支持不低于128支单元使用，支持多支主席单元或代表单元使用；</w:t>
            </w:r>
            <w:r>
              <w:rPr>
                <w:rFonts w:hint="eastAsia"/>
                <w:color w:val="auto"/>
                <w:sz w:val="21"/>
                <w:szCs w:val="21"/>
                <w:highlight w:val="none"/>
                <w:lang w:val="en-US" w:bidi="ar-SA"/>
              </w:rPr>
              <w:br w:type="textWrapping"/>
            </w:r>
            <w:r>
              <w:rPr>
                <w:rFonts w:hint="eastAsia"/>
                <w:color w:val="auto"/>
                <w:sz w:val="21"/>
                <w:szCs w:val="21"/>
                <w:highlight w:val="none"/>
                <w:lang w:val="en-US" w:bidi="ar-SA"/>
              </w:rPr>
              <w:t>03.支持两种发言模式：主席模式、先进先出模式，发言人数可调1-4人同时发言；</w:t>
            </w:r>
            <w:r>
              <w:rPr>
                <w:rFonts w:hint="eastAsia"/>
                <w:color w:val="auto"/>
                <w:sz w:val="21"/>
                <w:szCs w:val="21"/>
                <w:highlight w:val="none"/>
                <w:lang w:val="en-US" w:bidi="ar-SA"/>
              </w:rPr>
              <w:br w:type="textWrapping"/>
            </w:r>
            <w:r>
              <w:rPr>
                <w:rFonts w:hint="eastAsia"/>
                <w:color w:val="auto"/>
                <w:sz w:val="21"/>
                <w:szCs w:val="21"/>
                <w:highlight w:val="none"/>
                <w:lang w:val="en-US" w:bidi="ar-SA"/>
              </w:rPr>
              <w:t>04.主机内置显示屏，支持显示系统通道连接状态和系统设置，可选中英文显示；</w:t>
            </w:r>
            <w:r>
              <w:rPr>
                <w:rFonts w:hint="eastAsia"/>
                <w:color w:val="auto"/>
                <w:sz w:val="21"/>
                <w:szCs w:val="21"/>
                <w:highlight w:val="none"/>
                <w:lang w:val="en-US" w:bidi="ar-SA"/>
              </w:rPr>
              <w:br w:type="textWrapping"/>
            </w:r>
            <w:r>
              <w:rPr>
                <w:rFonts w:hint="eastAsia"/>
                <w:color w:val="auto"/>
                <w:sz w:val="21"/>
                <w:szCs w:val="21"/>
                <w:highlight w:val="none"/>
                <w:lang w:val="en-US" w:bidi="ar-SA"/>
              </w:rPr>
              <w:t>05.面板需支持参数设置按键，便于调试及后期模式更换；</w:t>
            </w:r>
            <w:r>
              <w:rPr>
                <w:rFonts w:hint="eastAsia"/>
                <w:color w:val="auto"/>
                <w:sz w:val="21"/>
                <w:szCs w:val="21"/>
                <w:highlight w:val="none"/>
                <w:lang w:val="en-US" w:bidi="ar-SA"/>
              </w:rPr>
              <w:br w:type="textWrapping"/>
            </w:r>
            <w:r>
              <w:rPr>
                <w:rFonts w:hint="eastAsia"/>
                <w:color w:val="auto"/>
                <w:sz w:val="21"/>
                <w:szCs w:val="21"/>
                <w:highlight w:val="none"/>
                <w:lang w:val="en-US" w:bidi="ar-SA"/>
              </w:rPr>
              <w:t>06.主机需内置啸叫抑制功能，可有效控制啸叫；</w:t>
            </w:r>
            <w:r>
              <w:rPr>
                <w:rFonts w:hint="eastAsia"/>
                <w:color w:val="auto"/>
                <w:sz w:val="21"/>
                <w:szCs w:val="21"/>
                <w:highlight w:val="none"/>
                <w:lang w:val="en-US" w:bidi="ar-SA"/>
              </w:rPr>
              <w:br w:type="textWrapping"/>
            </w:r>
            <w:r>
              <w:rPr>
                <w:rFonts w:hint="eastAsia"/>
                <w:color w:val="auto"/>
                <w:sz w:val="21"/>
                <w:szCs w:val="21"/>
                <w:highlight w:val="none"/>
                <w:lang w:val="en-US" w:bidi="ar-SA"/>
              </w:rPr>
              <w:t>07.系统支持UHF频率自动跟踪锁定功能，单元可自动跟随主机切换信道，内置不低于20个通道可选；</w:t>
            </w:r>
            <w:r>
              <w:rPr>
                <w:rFonts w:hint="eastAsia"/>
                <w:color w:val="auto"/>
                <w:sz w:val="21"/>
                <w:szCs w:val="21"/>
                <w:highlight w:val="none"/>
                <w:lang w:val="en-US" w:bidi="ar-SA"/>
              </w:rPr>
              <w:br w:type="textWrapping"/>
            </w:r>
            <w:r>
              <w:rPr>
                <w:rFonts w:hint="eastAsia"/>
                <w:color w:val="auto"/>
                <w:sz w:val="21"/>
                <w:szCs w:val="21"/>
                <w:highlight w:val="none"/>
                <w:lang w:val="en-US" w:bidi="ar-SA"/>
              </w:rPr>
              <w:t>08.主机具备实时监测功能，主机断电后会议单元可自动关闭，环保节能；</w:t>
            </w:r>
            <w:r>
              <w:rPr>
                <w:rFonts w:hint="eastAsia"/>
                <w:color w:val="auto"/>
                <w:sz w:val="21"/>
                <w:szCs w:val="21"/>
                <w:highlight w:val="none"/>
                <w:lang w:val="en-US" w:bidi="ar-SA"/>
              </w:rPr>
              <w:br w:type="textWrapping"/>
            </w:r>
            <w:r>
              <w:rPr>
                <w:rFonts w:hint="eastAsia"/>
                <w:color w:val="auto"/>
                <w:sz w:val="21"/>
                <w:szCs w:val="21"/>
                <w:highlight w:val="none"/>
                <w:lang w:val="en-US" w:bidi="ar-SA"/>
              </w:rPr>
              <w:t>09.主机不低于两路的线路输出接口；</w:t>
            </w:r>
            <w:r>
              <w:rPr>
                <w:rFonts w:hint="eastAsia"/>
                <w:color w:val="auto"/>
                <w:sz w:val="21"/>
                <w:szCs w:val="21"/>
                <w:highlight w:val="none"/>
                <w:lang w:val="en-US" w:bidi="ar-SA"/>
              </w:rPr>
              <w:br w:type="textWrapping"/>
            </w:r>
            <w:r>
              <w:rPr>
                <w:rFonts w:hint="eastAsia"/>
                <w:color w:val="auto"/>
                <w:sz w:val="21"/>
                <w:szCs w:val="21"/>
                <w:highlight w:val="none"/>
                <w:lang w:val="en-US" w:bidi="ar-SA"/>
              </w:rPr>
              <w:t>10.主机需同时具备至少1路RS-485和1路RS-232接口控制摄像头，支持PELCO-D和VISCA等协议；</w:t>
            </w:r>
            <w:r>
              <w:rPr>
                <w:rFonts w:hint="eastAsia"/>
                <w:color w:val="auto"/>
                <w:sz w:val="21"/>
                <w:szCs w:val="21"/>
                <w:highlight w:val="none"/>
                <w:lang w:val="en-US" w:bidi="ar-SA"/>
              </w:rPr>
              <w:br w:type="textWrapping"/>
            </w:r>
            <w:r>
              <w:rPr>
                <w:rFonts w:hint="eastAsia"/>
                <w:color w:val="auto"/>
                <w:sz w:val="21"/>
                <w:szCs w:val="21"/>
                <w:highlight w:val="none"/>
                <w:lang w:val="en-US" w:bidi="ar-SA"/>
              </w:rPr>
              <w:t>11.主机可通过自带串口直接对矩阵进行多画面通道自动跟踪切换及拼接功能；</w:t>
            </w:r>
            <w:r>
              <w:rPr>
                <w:rFonts w:hint="eastAsia"/>
                <w:color w:val="auto"/>
                <w:sz w:val="21"/>
                <w:szCs w:val="21"/>
                <w:highlight w:val="none"/>
                <w:lang w:val="en-US" w:bidi="ar-SA"/>
              </w:rPr>
              <w:br w:type="textWrapping"/>
            </w:r>
            <w:r>
              <w:rPr>
                <w:rFonts w:hint="eastAsia"/>
                <w:color w:val="auto"/>
                <w:sz w:val="21"/>
                <w:szCs w:val="21"/>
                <w:highlight w:val="none"/>
                <w:lang w:val="en-US" w:bidi="ar-SA"/>
              </w:rPr>
              <w:t>12.具有1路USB接口，可连接电脑软件调试摄像跟踪；</w:t>
            </w:r>
            <w:r>
              <w:rPr>
                <w:rFonts w:hint="eastAsia"/>
                <w:color w:val="auto"/>
                <w:sz w:val="21"/>
                <w:szCs w:val="21"/>
                <w:highlight w:val="none"/>
                <w:lang w:val="en-US" w:bidi="ar-SA"/>
              </w:rPr>
              <w:br w:type="textWrapping"/>
            </w:r>
            <w:r>
              <w:rPr>
                <w:rFonts w:hint="eastAsia"/>
                <w:color w:val="auto"/>
                <w:sz w:val="21"/>
                <w:szCs w:val="21"/>
                <w:highlight w:val="none"/>
                <w:lang w:val="en-US" w:bidi="ar-SA"/>
              </w:rPr>
              <w:t>13.主机需具备USB接口和录音控制按钮，支持录音MP3会议音频，支持不低于32GU盘接入；</w:t>
            </w:r>
            <w:r>
              <w:rPr>
                <w:rFonts w:hint="eastAsia"/>
                <w:color w:val="auto"/>
                <w:sz w:val="21"/>
                <w:szCs w:val="21"/>
                <w:highlight w:val="none"/>
                <w:lang w:val="en-US" w:bidi="ar-SA"/>
              </w:rPr>
              <w:br w:type="textWrapping"/>
            </w:r>
            <w:r>
              <w:rPr>
                <w:rFonts w:hint="eastAsia"/>
                <w:color w:val="auto"/>
                <w:sz w:val="21"/>
                <w:szCs w:val="21"/>
                <w:highlight w:val="none"/>
                <w:lang w:val="en-US" w:bidi="ar-SA"/>
              </w:rPr>
              <w:t>14.主机在无扩展信号设备的条件下，信号覆盖范围至少需要达到室内半径60米-80米；</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主席单元</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01.采用可拔插式超短咪杆，美观精致，单元拾音距离不低于20-60cm；</w:t>
            </w:r>
            <w:r>
              <w:rPr>
                <w:rFonts w:hint="eastAsia"/>
                <w:color w:val="auto"/>
                <w:sz w:val="21"/>
                <w:szCs w:val="21"/>
                <w:highlight w:val="none"/>
                <w:lang w:val="en-US" w:bidi="ar-SA"/>
              </w:rPr>
              <w:br w:type="textWrapping"/>
            </w:r>
            <w:r>
              <w:rPr>
                <w:rFonts w:hint="eastAsia"/>
                <w:color w:val="auto"/>
                <w:sz w:val="21"/>
                <w:szCs w:val="21"/>
                <w:highlight w:val="none"/>
                <w:lang w:val="en-US" w:bidi="ar-SA"/>
              </w:rPr>
              <w:t>02.主机需具备彩色显示屏，可显示发言单元电量、ID、当前信道和发言时间计算等信息；</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03.支持摄像跟踪功能；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04.具有超强防手机干扰处理功能；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05.具有发言单键与指示灯，可自由控制发言状态；</w:t>
            </w:r>
            <w:r>
              <w:rPr>
                <w:rFonts w:hint="eastAsia"/>
                <w:color w:val="auto"/>
                <w:sz w:val="21"/>
                <w:szCs w:val="21"/>
                <w:highlight w:val="none"/>
                <w:lang w:val="en-US" w:bidi="ar-SA"/>
              </w:rPr>
              <w:br w:type="textWrapping"/>
            </w:r>
            <w:r>
              <w:rPr>
                <w:rFonts w:hint="eastAsia"/>
                <w:color w:val="auto"/>
                <w:sz w:val="21"/>
                <w:szCs w:val="21"/>
                <w:highlight w:val="none"/>
                <w:lang w:val="en-US" w:bidi="ar-SA"/>
              </w:rPr>
              <w:t>06.主席单元具有强制切断代表单元发言的优先功能；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07.具有自动跟随主机切换信道功能；</w:t>
            </w:r>
            <w:r>
              <w:rPr>
                <w:rFonts w:hint="eastAsia"/>
                <w:color w:val="auto"/>
                <w:sz w:val="21"/>
                <w:szCs w:val="21"/>
                <w:highlight w:val="none"/>
                <w:lang w:val="en-US" w:bidi="ar-SA"/>
              </w:rPr>
              <w:br w:type="textWrapping"/>
            </w:r>
            <w:r>
              <w:rPr>
                <w:rFonts w:hint="eastAsia"/>
                <w:color w:val="auto"/>
                <w:sz w:val="21"/>
                <w:szCs w:val="21"/>
                <w:highlight w:val="none"/>
                <w:lang w:val="en-US" w:bidi="ar-SA"/>
              </w:rPr>
              <w:t>08.内置大容量锂电池，满电支持不小于8小时使用，20小时待机；</w:t>
            </w:r>
            <w:r>
              <w:rPr>
                <w:rFonts w:hint="eastAsia"/>
                <w:color w:val="auto"/>
                <w:sz w:val="21"/>
                <w:szCs w:val="21"/>
                <w:highlight w:val="none"/>
                <w:lang w:val="en-US" w:bidi="ar-SA"/>
              </w:rPr>
              <w:br w:type="textWrapping"/>
            </w:r>
            <w:r>
              <w:rPr>
                <w:rFonts w:hint="eastAsia"/>
                <w:color w:val="auto"/>
                <w:sz w:val="21"/>
                <w:szCs w:val="21"/>
                <w:highlight w:val="none"/>
                <w:lang w:val="en-US" w:bidi="ar-SA"/>
              </w:rPr>
              <w:t>09.话筒需具有至少1路TYPE-C充电接口，可直接使用5V充电器充电；</w:t>
            </w:r>
            <w:r>
              <w:rPr>
                <w:rFonts w:hint="eastAsia"/>
                <w:color w:val="auto"/>
                <w:sz w:val="21"/>
                <w:szCs w:val="21"/>
                <w:highlight w:val="none"/>
                <w:lang w:val="en-US" w:bidi="ar-SA"/>
              </w:rPr>
              <w:br w:type="textWrapping"/>
            </w:r>
            <w:r>
              <w:rPr>
                <w:rFonts w:hint="eastAsia"/>
                <w:color w:val="auto"/>
                <w:sz w:val="21"/>
                <w:szCs w:val="21"/>
                <w:highlight w:val="none"/>
                <w:lang w:val="en-US" w:bidi="ar-SA"/>
              </w:rPr>
              <w:t>10.话筒需具备静音按键，开关话筒时不会发出“嗒嗒”声；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充电箱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01.具有20路USB充电接口，可连接20支单元同时充电；</w:t>
            </w:r>
            <w:r>
              <w:rPr>
                <w:rFonts w:hint="eastAsia"/>
                <w:color w:val="auto"/>
                <w:sz w:val="21"/>
                <w:szCs w:val="21"/>
                <w:highlight w:val="none"/>
                <w:lang w:val="en-US" w:bidi="ar-SA"/>
              </w:rPr>
              <w:br w:type="textWrapping"/>
            </w:r>
            <w:r>
              <w:rPr>
                <w:rFonts w:hint="eastAsia"/>
                <w:color w:val="auto"/>
                <w:sz w:val="21"/>
                <w:szCs w:val="21"/>
                <w:highlight w:val="none"/>
                <w:lang w:val="en-US" w:bidi="ar-SA"/>
              </w:rPr>
              <w:t>02.内置智能保护电路，防止输入输出过流、欠压及短路损坏设备；</w:t>
            </w:r>
            <w:r>
              <w:rPr>
                <w:rFonts w:hint="eastAsia"/>
                <w:color w:val="auto"/>
                <w:sz w:val="21"/>
                <w:szCs w:val="21"/>
                <w:highlight w:val="none"/>
                <w:lang w:val="en-US" w:bidi="ar-SA"/>
              </w:rPr>
              <w:br w:type="textWrapping"/>
            </w:r>
            <w:r>
              <w:rPr>
                <w:rFonts w:hint="eastAsia"/>
                <w:color w:val="auto"/>
                <w:sz w:val="21"/>
                <w:szCs w:val="21"/>
                <w:highlight w:val="none"/>
                <w:lang w:val="en-US" w:bidi="ar-SA"/>
              </w:rPr>
              <w:t>03.支持智能恒流输出，自动识别充电设备，最大输出电流2A；</w:t>
            </w:r>
            <w:r>
              <w:rPr>
                <w:rFonts w:hint="eastAsia"/>
                <w:color w:val="auto"/>
                <w:sz w:val="21"/>
                <w:szCs w:val="21"/>
                <w:highlight w:val="none"/>
                <w:lang w:val="en-US" w:bidi="ar-SA"/>
              </w:rPr>
              <w:br w:type="textWrapping"/>
            </w:r>
            <w:r>
              <w:rPr>
                <w:rFonts w:hint="eastAsia"/>
                <w:color w:val="auto"/>
                <w:sz w:val="21"/>
                <w:szCs w:val="21"/>
                <w:highlight w:val="none"/>
                <w:lang w:val="en-US" w:bidi="ar-SA"/>
              </w:rPr>
              <w:t>04.内置电压显示屏，显示输出电压；</w:t>
            </w:r>
            <w:r>
              <w:rPr>
                <w:rFonts w:hint="eastAsia"/>
                <w:color w:val="auto"/>
                <w:sz w:val="21"/>
                <w:szCs w:val="21"/>
                <w:highlight w:val="none"/>
                <w:lang w:val="en-US" w:bidi="ar-SA"/>
              </w:rPr>
              <w:br w:type="textWrapping"/>
            </w:r>
            <w:r>
              <w:rPr>
                <w:rFonts w:hint="eastAsia"/>
                <w:color w:val="auto"/>
                <w:sz w:val="21"/>
                <w:szCs w:val="21"/>
                <w:highlight w:val="none"/>
                <w:lang w:val="en-US" w:bidi="ar-SA"/>
              </w:rPr>
              <w:t>05.电源输入：AC220V；</w:t>
            </w:r>
            <w:r>
              <w:rPr>
                <w:rFonts w:hint="eastAsia"/>
                <w:color w:val="auto"/>
                <w:sz w:val="21"/>
                <w:szCs w:val="21"/>
                <w:highlight w:val="none"/>
                <w:lang w:val="en-US" w:bidi="ar-SA"/>
              </w:rPr>
              <w:br w:type="textWrapping"/>
            </w:r>
            <w:r>
              <w:rPr>
                <w:rFonts w:hint="eastAsia"/>
                <w:color w:val="auto"/>
                <w:sz w:val="21"/>
                <w:szCs w:val="21"/>
                <w:highlight w:val="none"/>
                <w:lang w:val="en-US" w:bidi="ar-SA"/>
              </w:rPr>
              <w:t>06.电源输出：DC5V2A；</w:t>
            </w:r>
            <w:r>
              <w:rPr>
                <w:rFonts w:hint="eastAsia"/>
                <w:color w:val="auto"/>
                <w:sz w:val="21"/>
                <w:szCs w:val="21"/>
                <w:highlight w:val="none"/>
                <w:lang w:val="en-US" w:bidi="ar-SA"/>
              </w:rPr>
              <w:br w:type="textWrapping"/>
            </w:r>
            <w:r>
              <w:rPr>
                <w:rFonts w:hint="eastAsia"/>
                <w:color w:val="auto"/>
                <w:sz w:val="21"/>
                <w:szCs w:val="21"/>
                <w:highlight w:val="none"/>
                <w:lang w:val="en-US" w:bidi="ar-SA"/>
              </w:rPr>
              <w:t>07.功率：200W</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未来展厅播控主机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品牌台式电脑：</w:t>
            </w:r>
            <w:r>
              <w:rPr>
                <w:rFonts w:hint="eastAsia"/>
                <w:color w:val="auto"/>
                <w:sz w:val="21"/>
                <w:szCs w:val="21"/>
                <w:highlight w:val="none"/>
                <w:lang w:val="en-US" w:bidi="ar-SA"/>
              </w:rPr>
              <w:br w:type="textWrapping"/>
            </w:r>
            <w:r>
              <w:rPr>
                <w:rFonts w:hint="eastAsia"/>
                <w:color w:val="auto"/>
                <w:sz w:val="21"/>
                <w:szCs w:val="21"/>
                <w:highlight w:val="none"/>
                <w:lang w:val="en-US" w:bidi="ar-SA"/>
              </w:rPr>
              <w:t>高速固态硬盘</w:t>
            </w:r>
            <w:r>
              <w:rPr>
                <w:rFonts w:hint="eastAsia"/>
                <w:color w:val="auto"/>
                <w:sz w:val="21"/>
                <w:szCs w:val="21"/>
                <w:highlight w:val="none"/>
                <w:lang w:val="en-US" w:bidi="ar-SA"/>
              </w:rPr>
              <w:br w:type="textWrapping"/>
            </w:r>
            <w:r>
              <w:rPr>
                <w:rFonts w:hint="eastAsia"/>
                <w:color w:val="auto"/>
                <w:sz w:val="21"/>
                <w:szCs w:val="21"/>
                <w:highlight w:val="none"/>
                <w:lang w:val="en-US" w:bidi="ar-SA"/>
              </w:rPr>
              <w:t>含键盘鼠标</w:t>
            </w:r>
            <w:r>
              <w:rPr>
                <w:rFonts w:hint="eastAsia"/>
                <w:color w:val="auto"/>
                <w:sz w:val="21"/>
                <w:szCs w:val="21"/>
                <w:highlight w:val="none"/>
                <w:lang w:val="en-US" w:bidi="ar-SA"/>
              </w:rPr>
              <w:br w:type="textWrapping"/>
            </w:r>
            <w:r>
              <w:rPr>
                <w:rFonts w:hint="eastAsia"/>
                <w:color w:val="auto"/>
                <w:sz w:val="21"/>
                <w:szCs w:val="21"/>
                <w:highlight w:val="none"/>
                <w:lang w:val="en-US" w:bidi="ar-SA"/>
              </w:rPr>
              <w:t>配置：</w:t>
            </w:r>
            <w:r>
              <w:rPr>
                <w:rFonts w:hint="eastAsia"/>
                <w:color w:val="auto"/>
                <w:sz w:val="21"/>
                <w:szCs w:val="21"/>
                <w:highlight w:val="none"/>
                <w:lang w:val="en-US" w:bidi="ar-SA"/>
              </w:rPr>
              <w:br w:type="textWrapping"/>
            </w:r>
            <w:r>
              <w:rPr>
                <w:rFonts w:hint="eastAsia"/>
                <w:color w:val="auto"/>
                <w:sz w:val="21"/>
                <w:szCs w:val="21"/>
                <w:highlight w:val="none"/>
                <w:lang w:val="en-US" w:bidi="ar-SA"/>
              </w:rPr>
              <w:t>CPU:英特尔I9</w:t>
            </w:r>
            <w:r>
              <w:rPr>
                <w:rFonts w:hint="eastAsia"/>
                <w:color w:val="auto"/>
                <w:sz w:val="21"/>
                <w:szCs w:val="21"/>
                <w:highlight w:val="none"/>
                <w:lang w:val="en-US" w:bidi="ar-SA"/>
              </w:rPr>
              <w:br w:type="textWrapping"/>
            </w:r>
            <w:r>
              <w:rPr>
                <w:rFonts w:hint="eastAsia"/>
                <w:color w:val="auto"/>
                <w:sz w:val="21"/>
                <w:szCs w:val="21"/>
                <w:highlight w:val="none"/>
                <w:lang w:val="en-US" w:bidi="ar-SA"/>
              </w:rPr>
              <w:t>内存：32GDDR5</w:t>
            </w:r>
            <w:r>
              <w:rPr>
                <w:rFonts w:hint="eastAsia"/>
                <w:color w:val="auto"/>
                <w:sz w:val="21"/>
                <w:szCs w:val="21"/>
                <w:highlight w:val="none"/>
                <w:lang w:val="en-US" w:bidi="ar-SA"/>
              </w:rPr>
              <w:br w:type="textWrapping"/>
            </w:r>
            <w:r>
              <w:rPr>
                <w:rFonts w:hint="eastAsia"/>
                <w:color w:val="auto"/>
                <w:sz w:val="21"/>
                <w:szCs w:val="21"/>
                <w:highlight w:val="none"/>
                <w:lang w:val="en-US" w:bidi="ar-SA"/>
              </w:rPr>
              <w:t>独立显卡：3080ti,</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存储：固态硬盘512G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信息宣传屏（壁挂）</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55寸4K宣传屏</w:t>
            </w:r>
            <w:r>
              <w:rPr>
                <w:rFonts w:hint="eastAsia"/>
                <w:color w:val="auto"/>
                <w:sz w:val="21"/>
                <w:szCs w:val="21"/>
                <w:highlight w:val="none"/>
                <w:lang w:val="en-US" w:bidi="ar-SA"/>
              </w:rPr>
              <w:br w:type="textWrapping"/>
            </w:r>
            <w:r>
              <w:rPr>
                <w:rFonts w:hint="eastAsia"/>
                <w:color w:val="auto"/>
                <w:sz w:val="21"/>
                <w:szCs w:val="21"/>
                <w:highlight w:val="none"/>
                <w:lang w:val="en-US" w:bidi="ar-SA"/>
              </w:rPr>
              <w:t>触摸式：电容触摸</w:t>
            </w:r>
            <w:r>
              <w:rPr>
                <w:rFonts w:hint="eastAsia"/>
                <w:color w:val="auto"/>
                <w:sz w:val="21"/>
                <w:szCs w:val="21"/>
                <w:highlight w:val="none"/>
                <w:lang w:val="en-US" w:bidi="ar-SA"/>
              </w:rPr>
              <w:br w:type="textWrapping"/>
            </w:r>
            <w:r>
              <w:rPr>
                <w:rFonts w:hint="eastAsia"/>
                <w:color w:val="auto"/>
                <w:sz w:val="21"/>
                <w:szCs w:val="21"/>
                <w:highlight w:val="none"/>
                <w:lang w:val="en-US" w:bidi="ar-SA"/>
              </w:rPr>
              <w:t>配置式：I5+4代+8G+128G</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安装方式：壁挂</w:t>
            </w:r>
            <w:r>
              <w:rPr>
                <w:rFonts w:hint="eastAsia"/>
                <w:color w:val="auto"/>
                <w:sz w:val="21"/>
                <w:szCs w:val="21"/>
                <w:highlight w:val="none"/>
                <w:lang w:val="en-US" w:bidi="ar-SA"/>
              </w:rPr>
              <w:br w:type="textWrapping"/>
            </w:r>
            <w:r>
              <w:rPr>
                <w:rFonts w:hint="eastAsia"/>
                <w:color w:val="auto"/>
                <w:sz w:val="21"/>
                <w:szCs w:val="21"/>
                <w:highlight w:val="none"/>
                <w:lang w:val="en-US" w:bidi="ar-SA"/>
              </w:rPr>
              <w:t>分辨率：3840*2160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信息宣传屏（立式）</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55寸4K宣传屏</w:t>
            </w:r>
            <w:r>
              <w:rPr>
                <w:rFonts w:hint="eastAsia"/>
                <w:color w:val="auto"/>
                <w:sz w:val="21"/>
                <w:szCs w:val="21"/>
                <w:highlight w:val="none"/>
                <w:lang w:val="en-US" w:bidi="ar-SA"/>
              </w:rPr>
              <w:br w:type="textWrapping"/>
            </w:r>
            <w:r>
              <w:rPr>
                <w:rFonts w:hint="eastAsia"/>
                <w:color w:val="auto"/>
                <w:sz w:val="21"/>
                <w:szCs w:val="21"/>
                <w:highlight w:val="none"/>
                <w:lang w:val="en-US" w:bidi="ar-SA"/>
              </w:rPr>
              <w:t>触摸式：电容触摸</w:t>
            </w:r>
            <w:r>
              <w:rPr>
                <w:rFonts w:hint="eastAsia"/>
                <w:color w:val="auto"/>
                <w:sz w:val="21"/>
                <w:szCs w:val="21"/>
                <w:highlight w:val="none"/>
                <w:lang w:val="en-US" w:bidi="ar-SA"/>
              </w:rPr>
              <w:br w:type="textWrapping"/>
            </w:r>
            <w:r>
              <w:rPr>
                <w:rFonts w:hint="eastAsia"/>
                <w:color w:val="auto"/>
                <w:sz w:val="21"/>
                <w:szCs w:val="21"/>
                <w:highlight w:val="none"/>
                <w:lang w:val="en-US" w:bidi="ar-SA"/>
              </w:rPr>
              <w:t>配置式：安卓4G+32G</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安装方式：立式</w:t>
            </w:r>
            <w:r>
              <w:rPr>
                <w:rFonts w:hint="eastAsia"/>
                <w:color w:val="auto"/>
                <w:sz w:val="21"/>
                <w:szCs w:val="21"/>
                <w:highlight w:val="none"/>
                <w:lang w:val="en-US" w:bidi="ar-SA"/>
              </w:rPr>
              <w:br w:type="textWrapping"/>
            </w:r>
            <w:r>
              <w:rPr>
                <w:rFonts w:hint="eastAsia"/>
                <w:color w:val="auto"/>
                <w:sz w:val="21"/>
                <w:szCs w:val="21"/>
                <w:highlight w:val="none"/>
                <w:lang w:val="en-US" w:bidi="ar-SA"/>
              </w:rPr>
              <w:t>分辨率：3840*2160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液晶电视机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65寸液晶电视</w:t>
            </w:r>
            <w:r>
              <w:rPr>
                <w:rFonts w:hint="eastAsia"/>
                <w:color w:val="auto"/>
                <w:sz w:val="21"/>
                <w:szCs w:val="21"/>
                <w:highlight w:val="none"/>
                <w:lang w:val="en-US" w:bidi="ar-SA"/>
              </w:rPr>
              <w:br w:type="textWrapping"/>
            </w:r>
            <w:r>
              <w:rPr>
                <w:rFonts w:hint="eastAsia"/>
                <w:color w:val="auto"/>
                <w:sz w:val="21"/>
                <w:szCs w:val="21"/>
                <w:highlight w:val="none"/>
                <w:lang w:val="en-US" w:bidi="ar-SA"/>
              </w:rPr>
              <w:t>待机功率：0.5W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电源功率：150W</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工作电压：220V</w:t>
            </w:r>
            <w:r>
              <w:rPr>
                <w:rFonts w:hint="eastAsia"/>
                <w:color w:val="auto"/>
                <w:sz w:val="21"/>
                <w:szCs w:val="21"/>
                <w:highlight w:val="none"/>
                <w:lang w:val="en-US" w:bidi="ar-SA"/>
              </w:rPr>
              <w:br w:type="textWrapping"/>
            </w:r>
            <w:r>
              <w:rPr>
                <w:rFonts w:hint="eastAsia"/>
                <w:color w:val="auto"/>
                <w:sz w:val="21"/>
                <w:szCs w:val="21"/>
                <w:highlight w:val="none"/>
                <w:lang w:val="en-US" w:bidi="ar-SA"/>
              </w:rPr>
              <w:t>CPU核心数：四核</w:t>
            </w:r>
            <w:r>
              <w:rPr>
                <w:rFonts w:hint="eastAsia"/>
                <w:color w:val="auto"/>
                <w:sz w:val="21"/>
                <w:szCs w:val="21"/>
                <w:highlight w:val="none"/>
                <w:lang w:val="en-US" w:bidi="ar-SA"/>
              </w:rPr>
              <w:br w:type="textWrapping"/>
            </w:r>
            <w:r>
              <w:rPr>
                <w:rFonts w:hint="eastAsia"/>
                <w:color w:val="auto"/>
                <w:sz w:val="21"/>
                <w:szCs w:val="21"/>
                <w:highlight w:val="none"/>
                <w:lang w:val="en-US" w:bidi="ar-SA"/>
              </w:rPr>
              <w:t>WIFI频段：2.4G&amp;5G</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存储内存：32GB</w:t>
            </w:r>
            <w:r>
              <w:rPr>
                <w:rFonts w:hint="eastAsia"/>
                <w:color w:val="auto"/>
                <w:sz w:val="21"/>
                <w:szCs w:val="21"/>
                <w:highlight w:val="none"/>
                <w:lang w:val="en-US" w:bidi="ar-SA"/>
              </w:rPr>
              <w:br w:type="textWrapping"/>
            </w:r>
            <w:r>
              <w:rPr>
                <w:rFonts w:hint="eastAsia"/>
                <w:color w:val="auto"/>
                <w:sz w:val="21"/>
                <w:szCs w:val="21"/>
                <w:highlight w:val="none"/>
                <w:lang w:val="en-US" w:bidi="ar-SA"/>
              </w:rPr>
              <w:t>CPU架构：四核A55</w:t>
            </w:r>
            <w:r>
              <w:rPr>
                <w:rFonts w:hint="eastAsia"/>
                <w:color w:val="auto"/>
                <w:sz w:val="21"/>
                <w:szCs w:val="21"/>
                <w:highlight w:val="none"/>
                <w:lang w:val="en-US" w:bidi="ar-SA"/>
              </w:rPr>
              <w:br w:type="textWrapping"/>
            </w:r>
            <w:r>
              <w:rPr>
                <w:rFonts w:hint="eastAsia"/>
                <w:color w:val="auto"/>
                <w:sz w:val="21"/>
                <w:szCs w:val="21"/>
                <w:highlight w:val="none"/>
                <w:lang w:val="en-US" w:bidi="ar-SA"/>
              </w:rPr>
              <w:t>运行内存/RAM：2GB</w:t>
            </w:r>
            <w:r>
              <w:rPr>
                <w:rFonts w:hint="eastAsia"/>
                <w:color w:val="auto"/>
                <w:sz w:val="21"/>
                <w:szCs w:val="21"/>
                <w:highlight w:val="none"/>
                <w:lang w:val="en-US" w:bidi="ar-SA"/>
              </w:rPr>
              <w:br w:type="textWrapping"/>
            </w:r>
            <w:r>
              <w:rPr>
                <w:rFonts w:hint="eastAsia"/>
                <w:color w:val="auto"/>
                <w:sz w:val="21"/>
                <w:szCs w:val="21"/>
                <w:highlight w:val="none"/>
                <w:lang w:val="en-US" w:bidi="ar-SA"/>
              </w:rPr>
              <w:t>系统：Android</w:t>
            </w:r>
            <w:r>
              <w:rPr>
                <w:rFonts w:hint="eastAsia"/>
                <w:color w:val="auto"/>
                <w:sz w:val="21"/>
                <w:szCs w:val="21"/>
                <w:highlight w:val="none"/>
                <w:lang w:val="en-US" w:bidi="ar-SA"/>
              </w:rPr>
              <w:br w:type="textWrapping"/>
            </w:r>
            <w:r>
              <w:rPr>
                <w:rFonts w:hint="eastAsia"/>
                <w:color w:val="auto"/>
                <w:sz w:val="21"/>
                <w:szCs w:val="21"/>
                <w:highlight w:val="none"/>
                <w:lang w:val="en-US" w:bidi="ar-SA"/>
              </w:rPr>
              <w:t>显示类型：LCD显示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色域值：72%</w:t>
            </w:r>
            <w:r>
              <w:rPr>
                <w:rFonts w:hint="eastAsia"/>
                <w:color w:val="auto"/>
                <w:sz w:val="21"/>
                <w:szCs w:val="21"/>
                <w:highlight w:val="none"/>
                <w:lang w:val="en-US" w:bidi="ar-SA"/>
              </w:rPr>
              <w:br w:type="textWrapping"/>
            </w:r>
            <w:r>
              <w:rPr>
                <w:rFonts w:hint="eastAsia"/>
                <w:color w:val="auto"/>
                <w:sz w:val="21"/>
                <w:szCs w:val="21"/>
                <w:highlight w:val="none"/>
                <w:lang w:val="en-US" w:bidi="ar-SA"/>
              </w:rPr>
              <w:t>对比度：1300：1</w:t>
            </w:r>
            <w:r>
              <w:rPr>
                <w:rFonts w:hint="eastAsia"/>
                <w:color w:val="auto"/>
                <w:sz w:val="21"/>
                <w:szCs w:val="21"/>
                <w:highlight w:val="none"/>
                <w:lang w:val="en-US" w:bidi="ar-SA"/>
              </w:rPr>
              <w:br w:type="textWrapping"/>
            </w:r>
            <w:r>
              <w:rPr>
                <w:rFonts w:hint="eastAsia"/>
                <w:color w:val="auto"/>
                <w:sz w:val="21"/>
                <w:szCs w:val="21"/>
                <w:highlight w:val="none"/>
                <w:lang w:val="en-US" w:bidi="ar-SA"/>
              </w:rPr>
              <w:t>屏幕分辨率：超高清4K</w:t>
            </w:r>
            <w:r>
              <w:rPr>
                <w:rFonts w:hint="eastAsia"/>
                <w:color w:val="auto"/>
                <w:sz w:val="21"/>
                <w:szCs w:val="21"/>
                <w:highlight w:val="none"/>
                <w:lang w:val="en-US" w:bidi="ar-SA"/>
              </w:rPr>
              <w:br w:type="textWrapping"/>
            </w:r>
            <w:r>
              <w:rPr>
                <w:rFonts w:hint="eastAsia"/>
                <w:color w:val="auto"/>
                <w:sz w:val="21"/>
                <w:szCs w:val="21"/>
                <w:highlight w:val="none"/>
                <w:lang w:val="en-US" w:bidi="ar-SA"/>
              </w:rPr>
              <w:t>亮度：300-500尼特</w:t>
            </w:r>
            <w:r>
              <w:rPr>
                <w:rFonts w:hint="eastAsia"/>
                <w:color w:val="auto"/>
                <w:sz w:val="21"/>
                <w:szCs w:val="21"/>
                <w:highlight w:val="none"/>
                <w:lang w:val="en-US" w:bidi="ar-SA"/>
              </w:rPr>
              <w:br w:type="textWrapping"/>
            </w:r>
            <w:r>
              <w:rPr>
                <w:rFonts w:hint="eastAsia"/>
                <w:color w:val="auto"/>
                <w:sz w:val="21"/>
                <w:szCs w:val="21"/>
                <w:highlight w:val="none"/>
                <w:lang w:val="en-US" w:bidi="ar-SA"/>
              </w:rPr>
              <w:t>响应时间：8ms</w:t>
            </w:r>
            <w:r>
              <w:rPr>
                <w:rFonts w:hint="eastAsia"/>
                <w:color w:val="auto"/>
                <w:sz w:val="21"/>
                <w:szCs w:val="21"/>
                <w:highlight w:val="none"/>
                <w:lang w:val="en-US" w:bidi="ar-SA"/>
              </w:rPr>
              <w:br w:type="textWrapping"/>
            </w:r>
            <w:r>
              <w:rPr>
                <w:rFonts w:hint="eastAsia"/>
                <w:color w:val="auto"/>
                <w:sz w:val="21"/>
                <w:szCs w:val="21"/>
                <w:highlight w:val="none"/>
                <w:lang w:val="en-US" w:bidi="ar-SA"/>
              </w:rPr>
              <w:t>HDR显示：支持HDR</w:t>
            </w:r>
            <w:r>
              <w:rPr>
                <w:rFonts w:hint="eastAsia"/>
                <w:color w:val="auto"/>
                <w:sz w:val="21"/>
                <w:szCs w:val="21"/>
                <w:highlight w:val="none"/>
                <w:lang w:val="en-US" w:bidi="ar-SA"/>
              </w:rPr>
              <w:br w:type="textWrapping"/>
            </w:r>
            <w:r>
              <w:rPr>
                <w:rFonts w:hint="eastAsia"/>
                <w:color w:val="auto"/>
                <w:sz w:val="21"/>
                <w:szCs w:val="21"/>
                <w:highlight w:val="none"/>
                <w:lang w:val="en-US" w:bidi="ar-SA"/>
              </w:rPr>
              <w:t>屏幕比例：16:9</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支持格式（高清）：2160p</w:t>
            </w:r>
            <w:r>
              <w:rPr>
                <w:rFonts w:hint="eastAsia"/>
                <w:color w:val="auto"/>
                <w:sz w:val="21"/>
                <w:szCs w:val="21"/>
                <w:highlight w:val="none"/>
                <w:lang w:val="en-US" w:bidi="ar-SA"/>
              </w:rPr>
              <w:br w:type="textWrapping"/>
            </w:r>
            <w:r>
              <w:rPr>
                <w:rFonts w:hint="eastAsia"/>
                <w:color w:val="auto"/>
                <w:sz w:val="21"/>
                <w:szCs w:val="21"/>
                <w:highlight w:val="none"/>
                <w:lang w:val="en-US" w:bidi="ar-SA"/>
              </w:rPr>
              <w:t>屏幕尺寸：65英寸</w:t>
            </w:r>
            <w:r>
              <w:rPr>
                <w:rFonts w:hint="eastAsia"/>
                <w:color w:val="auto"/>
                <w:sz w:val="21"/>
                <w:szCs w:val="21"/>
                <w:highlight w:val="none"/>
                <w:lang w:val="en-US" w:bidi="ar-SA"/>
              </w:rPr>
              <w:br w:type="textWrapping"/>
            </w:r>
            <w:r>
              <w:rPr>
                <w:rFonts w:hint="eastAsia"/>
                <w:color w:val="auto"/>
                <w:sz w:val="21"/>
                <w:szCs w:val="21"/>
                <w:highlight w:val="none"/>
                <w:lang w:val="en-US" w:bidi="ar-SA"/>
              </w:rPr>
              <w:t>色域标准：DCI-P3</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电视机壁挂支架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屏幕专用支架</w:t>
            </w:r>
            <w:r>
              <w:rPr>
                <w:rFonts w:hint="eastAsia"/>
                <w:color w:val="auto"/>
                <w:sz w:val="21"/>
                <w:szCs w:val="21"/>
                <w:highlight w:val="none"/>
                <w:lang w:val="en-US" w:bidi="ar-SA"/>
              </w:rPr>
              <w:br w:type="textWrapping"/>
            </w:r>
            <w:r>
              <w:rPr>
                <w:rFonts w:hint="eastAsia"/>
                <w:color w:val="auto"/>
                <w:sz w:val="21"/>
                <w:szCs w:val="21"/>
                <w:highlight w:val="none"/>
                <w:lang w:val="en-US" w:bidi="ar-SA"/>
              </w:rPr>
              <w:t>离墙距离：25mm</w:t>
            </w:r>
            <w:r>
              <w:rPr>
                <w:rFonts w:hint="eastAsia"/>
                <w:color w:val="auto"/>
                <w:sz w:val="21"/>
                <w:szCs w:val="21"/>
                <w:highlight w:val="none"/>
                <w:lang w:val="en-US" w:bidi="ar-SA"/>
              </w:rPr>
              <w:br w:type="textWrapping"/>
            </w:r>
            <w:r>
              <w:rPr>
                <w:rFonts w:hint="eastAsia"/>
                <w:color w:val="auto"/>
                <w:sz w:val="21"/>
                <w:szCs w:val="21"/>
                <w:highlight w:val="none"/>
                <w:lang w:val="en-US" w:bidi="ar-SA"/>
              </w:rPr>
              <w:t>挂架材质：冷轧钢板</w:t>
            </w:r>
            <w:r>
              <w:rPr>
                <w:rFonts w:hint="eastAsia"/>
                <w:color w:val="auto"/>
                <w:sz w:val="21"/>
                <w:szCs w:val="21"/>
                <w:highlight w:val="none"/>
                <w:lang w:val="en-US" w:bidi="ar-SA"/>
              </w:rPr>
              <w:br w:type="textWrapping"/>
            </w:r>
            <w:r>
              <w:rPr>
                <w:rFonts w:hint="eastAsia"/>
                <w:color w:val="auto"/>
                <w:sz w:val="21"/>
                <w:szCs w:val="21"/>
                <w:highlight w:val="none"/>
                <w:lang w:val="en-US" w:bidi="ar-SA"/>
              </w:rPr>
              <w:t>水平仪：有水平仪</w:t>
            </w:r>
            <w:r>
              <w:rPr>
                <w:rFonts w:hint="eastAsia"/>
                <w:color w:val="auto"/>
                <w:sz w:val="21"/>
                <w:szCs w:val="21"/>
                <w:highlight w:val="none"/>
                <w:lang w:val="en-US" w:bidi="ar-SA"/>
              </w:rPr>
              <w:br w:type="textWrapping"/>
            </w:r>
            <w:r>
              <w:rPr>
                <w:rFonts w:hint="eastAsia"/>
                <w:color w:val="auto"/>
                <w:sz w:val="21"/>
                <w:szCs w:val="21"/>
                <w:highlight w:val="none"/>
                <w:lang w:val="en-US" w:bidi="ar-SA"/>
              </w:rPr>
              <w:t>适用电视孔距：400x400范围内</w:t>
            </w:r>
            <w:r>
              <w:rPr>
                <w:rFonts w:hint="eastAsia"/>
                <w:color w:val="auto"/>
                <w:sz w:val="21"/>
                <w:szCs w:val="21"/>
                <w:highlight w:val="none"/>
                <w:lang w:val="en-US" w:bidi="ar-SA"/>
              </w:rPr>
              <w:br w:type="textWrapping"/>
            </w:r>
            <w:r>
              <w:rPr>
                <w:rFonts w:hint="eastAsia"/>
                <w:color w:val="auto"/>
                <w:sz w:val="21"/>
                <w:szCs w:val="21"/>
                <w:highlight w:val="none"/>
                <w:lang w:val="en-US" w:bidi="ar-SA"/>
              </w:rPr>
              <w:t>最大承重：60kg</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信号控制线缆、附件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专用15米HDMI线缆</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高清投影仪</w:t>
            </w:r>
          </w:p>
        </w:tc>
        <w:tc>
          <w:tcPr>
            <w:tcW w:w="3177" w:type="pct"/>
            <w:shd w:val="clear" w:color="auto" w:fill="FFFFFF"/>
            <w:noWrap w:val="0"/>
            <w:vAlign w:val="center"/>
          </w:tcPr>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1.名称：高清投影仪</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2.参数：支持画面比例: 16:9</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变焦倍数: 1.2倍</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动态对比度: 10001:1-20000:1</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光源类型: 超高压汞灯</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配件类型: 投影机遥控器</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是否支持WIFI: 支持</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灯泡寿命: 10000(不含)-12000(含)小时</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投射比: 1.2:1</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投影机亮度: 3500ISO流明</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机体尺寸（mm）: 302x252x92mm</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支持投放画面范围: 34-332英寸</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光源功率: 210W</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光学分辨率: 1920x1080dpi</w:t>
            </w:r>
          </w:p>
          <w:p>
            <w:pPr>
              <w:keepNext w:val="0"/>
              <w:keepLines w:val="0"/>
              <w:pageBreakBefore w:val="0"/>
              <w:widowControl/>
              <w:kinsoku/>
              <w:wordWrap/>
              <w:overflowPunct/>
              <w:topLinePunct w:val="0"/>
              <w:autoSpaceDE/>
              <w:autoSpaceDN/>
              <w:bidi w:val="0"/>
              <w:adjustRightInd/>
              <w:snapToGrid/>
              <w:textAlignment w:val="auto"/>
              <w:rPr>
                <w:rFonts w:hint="eastAsia"/>
                <w:color w:val="auto"/>
                <w:sz w:val="21"/>
                <w:szCs w:val="21"/>
                <w:highlight w:val="none"/>
                <w:lang w:val="en-US" w:bidi="ar-SA"/>
              </w:rPr>
            </w:pPr>
            <w:r>
              <w:rPr>
                <w:rFonts w:hint="eastAsia"/>
                <w:color w:val="auto"/>
                <w:sz w:val="21"/>
                <w:szCs w:val="21"/>
                <w:highlight w:val="none"/>
                <w:lang w:val="en-US" w:bidi="ar-SA"/>
              </w:rPr>
              <w:t>投影焦距类型: 长焦</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投影仪专用支架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吊（支）架</w:t>
            </w:r>
            <w:r>
              <w:rPr>
                <w:rFonts w:hint="eastAsia"/>
                <w:color w:val="auto"/>
                <w:sz w:val="21"/>
                <w:szCs w:val="21"/>
                <w:highlight w:val="none"/>
                <w:lang w:val="en-US" w:bidi="ar-SA"/>
              </w:rPr>
              <w:br w:type="textWrapping"/>
            </w:r>
            <w:r>
              <w:rPr>
                <w:rFonts w:hint="eastAsia"/>
                <w:color w:val="auto"/>
                <w:sz w:val="21"/>
                <w:szCs w:val="21"/>
                <w:highlight w:val="none"/>
                <w:lang w:val="en-US" w:bidi="ar-SA"/>
              </w:rPr>
              <w:t>吊(支)架可承重范围：5-10kg</w:t>
            </w:r>
            <w:r>
              <w:rPr>
                <w:rFonts w:hint="eastAsia"/>
                <w:color w:val="auto"/>
                <w:sz w:val="21"/>
                <w:szCs w:val="21"/>
                <w:highlight w:val="none"/>
                <w:lang w:val="en-US" w:bidi="ar-SA"/>
              </w:rPr>
              <w:br w:type="textWrapping"/>
            </w:r>
            <w:r>
              <w:rPr>
                <w:rFonts w:hint="eastAsia"/>
                <w:color w:val="auto"/>
                <w:sz w:val="21"/>
                <w:szCs w:val="21"/>
                <w:highlight w:val="none"/>
                <w:lang w:val="en-US" w:bidi="ar-SA"/>
              </w:rPr>
              <w:t>吊（支）架可调左右转角：-30°～+30°</w:t>
            </w:r>
            <w:r>
              <w:rPr>
                <w:rFonts w:hint="eastAsia"/>
                <w:color w:val="auto"/>
                <w:sz w:val="21"/>
                <w:szCs w:val="21"/>
                <w:highlight w:val="none"/>
                <w:lang w:val="en-US" w:bidi="ar-SA"/>
              </w:rPr>
              <w:br w:type="textWrapping"/>
            </w:r>
            <w:r>
              <w:rPr>
                <w:rFonts w:hint="eastAsia"/>
                <w:color w:val="auto"/>
                <w:sz w:val="21"/>
                <w:szCs w:val="21"/>
                <w:highlight w:val="none"/>
                <w:lang w:val="en-US" w:bidi="ar-SA"/>
              </w:rPr>
              <w:t>吊（支）架可调上下倾仰角：-15°～+15°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投影幕布</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白玻纤100英寸16:9电动幕+遥控</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社区服务智能物联感知</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水浸监测器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水浸接头：不锈钢</w:t>
            </w:r>
            <w:r>
              <w:rPr>
                <w:rFonts w:hint="eastAsia"/>
                <w:color w:val="auto"/>
                <w:sz w:val="21"/>
                <w:szCs w:val="21"/>
                <w:highlight w:val="none"/>
                <w:lang w:val="en-US" w:bidi="ar-SA"/>
              </w:rPr>
              <w:br w:type="textWrapping"/>
            </w:r>
            <w:r>
              <w:rPr>
                <w:rFonts w:hint="eastAsia"/>
                <w:color w:val="auto"/>
                <w:sz w:val="21"/>
                <w:szCs w:val="21"/>
                <w:highlight w:val="none"/>
                <w:lang w:val="en-US" w:bidi="ar-SA"/>
              </w:rPr>
              <w:t>功耗待机：低于0.1mA</w:t>
            </w:r>
            <w:r>
              <w:rPr>
                <w:rFonts w:hint="eastAsia"/>
                <w:color w:val="auto"/>
                <w:sz w:val="21"/>
                <w:szCs w:val="21"/>
                <w:highlight w:val="none"/>
                <w:lang w:val="en-US" w:bidi="ar-SA"/>
              </w:rPr>
              <w:br w:type="textWrapping"/>
            </w:r>
            <w:r>
              <w:rPr>
                <w:rFonts w:hint="eastAsia"/>
                <w:color w:val="auto"/>
                <w:sz w:val="21"/>
                <w:szCs w:val="21"/>
                <w:highlight w:val="none"/>
                <w:lang w:val="en-US" w:bidi="ar-SA"/>
              </w:rPr>
              <w:t>通讯方式：4G、LORa、NB-iot</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供电方式：内置3.6v高能电池，按每天一次计算可以连续</w:t>
            </w:r>
            <w:r>
              <w:rPr>
                <w:rFonts w:hint="eastAsia"/>
                <w:color w:val="auto"/>
                <w:sz w:val="21"/>
                <w:szCs w:val="21"/>
                <w:highlight w:val="none"/>
                <w:lang w:val="en-US" w:bidi="ar-SA"/>
              </w:rPr>
              <w:br w:type="textWrapping"/>
            </w:r>
            <w:r>
              <w:rPr>
                <w:rFonts w:hint="eastAsia"/>
                <w:color w:val="auto"/>
                <w:sz w:val="21"/>
                <w:szCs w:val="21"/>
                <w:highlight w:val="none"/>
                <w:lang w:val="en-US" w:bidi="ar-SA"/>
              </w:rPr>
              <w:t>传输方式：3年峰值、10年较低、5年较高</w:t>
            </w:r>
            <w:r>
              <w:rPr>
                <w:rFonts w:hint="eastAsia"/>
                <w:color w:val="auto"/>
                <w:sz w:val="21"/>
                <w:szCs w:val="21"/>
                <w:highlight w:val="none"/>
                <w:lang w:val="en-US" w:bidi="ar-SA"/>
              </w:rPr>
              <w:br w:type="textWrapping"/>
            </w:r>
            <w:r>
              <w:rPr>
                <w:rFonts w:hint="eastAsia"/>
                <w:color w:val="auto"/>
                <w:sz w:val="21"/>
                <w:szCs w:val="21"/>
                <w:highlight w:val="none"/>
                <w:lang w:val="en-US" w:bidi="ar-SA"/>
              </w:rPr>
              <w:t>传输距离：取决于现有运营商基站优于3km取决于NB基站</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产品功能：IP地址及端口可设、高低报警点可设、传感器采集频率可设、上发频率可设、</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工作状态查询：报文格式可定制、报文格式透传协议定制</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定时充电插座（五孔）</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定时器开关插座转换器预约时间控制器多功能计时插头;10A,2500W;定时充电防止过充。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窨井盖监测器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技术参数</w:t>
            </w:r>
            <w:r>
              <w:rPr>
                <w:rFonts w:hint="eastAsia"/>
                <w:color w:val="auto"/>
                <w:sz w:val="21"/>
                <w:szCs w:val="21"/>
                <w:highlight w:val="none"/>
                <w:lang w:val="en-US" w:bidi="ar-SA"/>
              </w:rPr>
              <w:br w:type="textWrapping"/>
            </w:r>
            <w:r>
              <w:rPr>
                <w:rFonts w:hint="eastAsia"/>
                <w:color w:val="auto"/>
                <w:sz w:val="21"/>
                <w:szCs w:val="21"/>
                <w:highlight w:val="none"/>
                <w:lang w:val="en-US" w:bidi="ar-SA"/>
              </w:rPr>
              <w:t>数据传输方式：NB-IoT</w:t>
            </w:r>
            <w:r>
              <w:rPr>
                <w:rFonts w:hint="eastAsia"/>
                <w:color w:val="auto"/>
                <w:sz w:val="21"/>
                <w:szCs w:val="21"/>
                <w:highlight w:val="none"/>
                <w:lang w:val="en-US" w:bidi="ar-SA"/>
              </w:rPr>
              <w:br w:type="textWrapping"/>
            </w:r>
            <w:r>
              <w:rPr>
                <w:rFonts w:hint="eastAsia"/>
                <w:color w:val="auto"/>
                <w:sz w:val="21"/>
                <w:szCs w:val="21"/>
                <w:highlight w:val="none"/>
                <w:lang w:val="en-US" w:bidi="ar-SA"/>
              </w:rPr>
              <w:t>静态电流：10~20uA</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工作温度：-15~+60℃</w:t>
            </w:r>
            <w:r>
              <w:rPr>
                <w:rFonts w:hint="eastAsia"/>
                <w:color w:val="auto"/>
                <w:sz w:val="21"/>
                <w:szCs w:val="21"/>
                <w:highlight w:val="none"/>
                <w:lang w:val="en-US" w:bidi="ar-SA"/>
              </w:rPr>
              <w:br w:type="textWrapping"/>
            </w:r>
            <w:r>
              <w:rPr>
                <w:rFonts w:hint="eastAsia"/>
                <w:color w:val="auto"/>
                <w:sz w:val="21"/>
                <w:szCs w:val="21"/>
                <w:highlight w:val="none"/>
                <w:lang w:val="en-US" w:bidi="ar-SA"/>
              </w:rPr>
              <w:t>角度侦测：翻转(默认20°)变化，主动上报基站</w:t>
            </w:r>
            <w:r>
              <w:rPr>
                <w:rFonts w:hint="eastAsia"/>
                <w:color w:val="auto"/>
                <w:sz w:val="21"/>
                <w:szCs w:val="21"/>
                <w:highlight w:val="none"/>
                <w:lang w:val="en-US" w:bidi="ar-SA"/>
              </w:rPr>
              <w:br w:type="textWrapping"/>
            </w:r>
            <w:r>
              <w:rPr>
                <w:rFonts w:hint="eastAsia"/>
                <w:color w:val="auto"/>
                <w:sz w:val="21"/>
                <w:szCs w:val="21"/>
                <w:highlight w:val="none"/>
                <w:lang w:val="en-US" w:bidi="ar-SA"/>
              </w:rPr>
              <w:t>外形尺寸：93*93*30mm</w:t>
            </w:r>
            <w:r>
              <w:rPr>
                <w:rFonts w:hint="eastAsia"/>
                <w:color w:val="auto"/>
                <w:sz w:val="21"/>
                <w:szCs w:val="21"/>
                <w:highlight w:val="none"/>
                <w:lang w:val="en-US" w:bidi="ar-SA"/>
              </w:rPr>
              <w:br w:type="textWrapping"/>
            </w:r>
            <w:r>
              <w:rPr>
                <w:rFonts w:hint="eastAsia"/>
                <w:color w:val="auto"/>
                <w:sz w:val="21"/>
                <w:szCs w:val="21"/>
                <w:highlight w:val="none"/>
                <w:lang w:val="en-US" w:bidi="ar-SA"/>
              </w:rPr>
              <w:t>频段范围：NB-IOT(800/900/1800MHZ)</w:t>
            </w:r>
            <w:r>
              <w:rPr>
                <w:rFonts w:hint="eastAsia"/>
                <w:color w:val="auto"/>
                <w:sz w:val="21"/>
                <w:szCs w:val="21"/>
                <w:highlight w:val="none"/>
                <w:lang w:val="en-US" w:bidi="ar-SA"/>
              </w:rPr>
              <w:br w:type="textWrapping"/>
            </w:r>
            <w:r>
              <w:rPr>
                <w:rFonts w:hint="eastAsia"/>
                <w:color w:val="auto"/>
                <w:sz w:val="21"/>
                <w:szCs w:val="21"/>
                <w:highlight w:val="none"/>
                <w:lang w:val="en-US" w:bidi="ar-SA"/>
              </w:rPr>
              <w:t>电压范围：3.0~3.6V</w:t>
            </w:r>
            <w:r>
              <w:rPr>
                <w:rFonts w:hint="eastAsia"/>
                <w:color w:val="auto"/>
                <w:sz w:val="21"/>
                <w:szCs w:val="21"/>
                <w:highlight w:val="none"/>
                <w:lang w:val="en-US" w:bidi="ar-SA"/>
              </w:rPr>
              <w:br w:type="textWrapping"/>
            </w:r>
            <w:r>
              <w:rPr>
                <w:rFonts w:hint="eastAsia"/>
                <w:color w:val="auto"/>
                <w:sz w:val="21"/>
                <w:szCs w:val="21"/>
                <w:highlight w:val="none"/>
                <w:lang w:val="en-US" w:bidi="ar-SA"/>
              </w:rPr>
              <w:t>电池寿命：大于3年(视数据通讯频次)</w:t>
            </w:r>
            <w:r>
              <w:rPr>
                <w:rFonts w:hint="eastAsia"/>
                <w:color w:val="auto"/>
                <w:sz w:val="21"/>
                <w:szCs w:val="21"/>
                <w:highlight w:val="none"/>
                <w:lang w:val="en-US" w:bidi="ar-SA"/>
              </w:rPr>
              <w:br w:type="textWrapping"/>
            </w:r>
            <w:r>
              <w:rPr>
                <w:rFonts w:hint="eastAsia"/>
                <w:color w:val="auto"/>
                <w:sz w:val="21"/>
                <w:szCs w:val="21"/>
                <w:highlight w:val="none"/>
                <w:lang w:val="en-US" w:bidi="ar-SA"/>
              </w:rPr>
              <w:t>发射功率：0-20dBm可设置</w:t>
            </w:r>
            <w:r>
              <w:rPr>
                <w:rFonts w:hint="eastAsia"/>
                <w:color w:val="auto"/>
                <w:sz w:val="21"/>
                <w:szCs w:val="21"/>
                <w:highlight w:val="none"/>
                <w:lang w:val="en-US" w:bidi="ar-SA"/>
              </w:rPr>
              <w:br w:type="textWrapping"/>
            </w:r>
            <w:r>
              <w:rPr>
                <w:rFonts w:hint="eastAsia"/>
                <w:color w:val="auto"/>
                <w:sz w:val="21"/>
                <w:szCs w:val="21"/>
                <w:highlight w:val="none"/>
                <w:lang w:val="en-US" w:bidi="ar-SA"/>
              </w:rPr>
              <w:t>防腐蚀：盐雾试验</w:t>
            </w:r>
            <w:r>
              <w:rPr>
                <w:rFonts w:hint="eastAsia"/>
                <w:color w:val="auto"/>
                <w:sz w:val="21"/>
                <w:szCs w:val="21"/>
                <w:highlight w:val="none"/>
                <w:lang w:val="en-US" w:bidi="ar-SA"/>
              </w:rPr>
              <w:br w:type="textWrapping"/>
            </w:r>
            <w:r>
              <w:rPr>
                <w:rFonts w:hint="eastAsia"/>
                <w:color w:val="auto"/>
                <w:sz w:val="21"/>
                <w:szCs w:val="21"/>
                <w:highlight w:val="none"/>
                <w:lang w:val="en-US" w:bidi="ar-SA"/>
              </w:rPr>
              <w:t>IP等级：IP68</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宣讲设备</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随身扩音器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支持无线及有线扩音、蓝牙5.0、具有降噪功能、续航时长≥5小时；抗干扰，通讯稳定，高清晰无损降噪；（含1个发射+20个耳机及对应充电箱）</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VR阅读设备</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连接方式：USB</w:t>
            </w:r>
            <w:r>
              <w:rPr>
                <w:rFonts w:hint="eastAsia"/>
                <w:color w:val="auto"/>
                <w:sz w:val="21"/>
                <w:szCs w:val="21"/>
                <w:highlight w:val="none"/>
                <w:lang w:val="en-US" w:bidi="ar-SA"/>
              </w:rPr>
              <w:br w:type="textWrapping"/>
            </w:r>
            <w:r>
              <w:rPr>
                <w:rFonts w:hint="eastAsia"/>
                <w:color w:val="auto"/>
                <w:sz w:val="21"/>
                <w:szCs w:val="21"/>
                <w:highlight w:val="none"/>
                <w:lang w:val="en-US" w:bidi="ar-SA"/>
              </w:rPr>
              <w:t>双眼分辨率：4320x2160</w:t>
            </w:r>
            <w:r>
              <w:rPr>
                <w:rFonts w:hint="eastAsia"/>
                <w:color w:val="auto"/>
                <w:sz w:val="21"/>
                <w:szCs w:val="21"/>
                <w:highlight w:val="none"/>
                <w:lang w:val="en-US" w:bidi="ar-SA"/>
              </w:rPr>
              <w:br w:type="textWrapping"/>
            </w:r>
            <w:r>
              <w:rPr>
                <w:rFonts w:hint="eastAsia"/>
                <w:color w:val="auto"/>
                <w:sz w:val="21"/>
                <w:szCs w:val="21"/>
                <w:highlight w:val="none"/>
                <w:lang w:val="en-US" w:bidi="ar-SA"/>
              </w:rPr>
              <w:t>屏幕材质：LCD</w:t>
            </w:r>
            <w:r>
              <w:rPr>
                <w:rFonts w:hint="eastAsia"/>
                <w:color w:val="auto"/>
                <w:sz w:val="21"/>
                <w:szCs w:val="21"/>
                <w:highlight w:val="none"/>
                <w:lang w:val="en-US" w:bidi="ar-SA"/>
              </w:rPr>
              <w:br w:type="textWrapping"/>
            </w:r>
            <w:r>
              <w:rPr>
                <w:rFonts w:hint="eastAsia"/>
                <w:color w:val="auto"/>
                <w:sz w:val="21"/>
                <w:szCs w:val="21"/>
                <w:highlight w:val="none"/>
                <w:lang w:val="en-US" w:bidi="ar-SA"/>
              </w:rPr>
              <w:t>内置电池</w:t>
            </w:r>
            <w:r>
              <w:rPr>
                <w:rFonts w:hint="eastAsia"/>
                <w:color w:val="auto"/>
                <w:sz w:val="21"/>
                <w:szCs w:val="21"/>
                <w:highlight w:val="none"/>
                <w:lang w:val="en-US" w:bidi="ar-SA"/>
              </w:rPr>
              <w:br w:type="textWrapping"/>
            </w:r>
            <w:r>
              <w:rPr>
                <w:rFonts w:hint="eastAsia"/>
                <w:color w:val="auto"/>
                <w:sz w:val="21"/>
                <w:szCs w:val="21"/>
                <w:highlight w:val="none"/>
                <w:lang w:val="en-US" w:bidi="ar-SA"/>
              </w:rPr>
              <w:t>视场角：100度</w:t>
            </w:r>
            <w:r>
              <w:rPr>
                <w:rFonts w:hint="eastAsia"/>
                <w:color w:val="auto"/>
                <w:sz w:val="21"/>
                <w:szCs w:val="21"/>
                <w:highlight w:val="none"/>
                <w:lang w:val="en-US" w:bidi="ar-SA"/>
              </w:rPr>
              <w:br w:type="textWrapping"/>
            </w:r>
            <w:r>
              <w:rPr>
                <w:rFonts w:hint="eastAsia"/>
                <w:color w:val="auto"/>
                <w:sz w:val="21"/>
                <w:szCs w:val="21"/>
                <w:highlight w:val="none"/>
                <w:lang w:val="en-US" w:bidi="ar-SA"/>
              </w:rPr>
              <w:t>系统：Win10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视听魔镜</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1、视听魔镜</w:t>
            </w:r>
            <w:r>
              <w:rPr>
                <w:rFonts w:hint="eastAsia"/>
                <w:color w:val="auto"/>
                <w:sz w:val="21"/>
                <w:szCs w:val="21"/>
                <w:highlight w:val="none"/>
                <w:lang w:val="en-US" w:bidi="ar-SA"/>
              </w:rPr>
              <w:br w:type="textWrapping"/>
            </w:r>
            <w:r>
              <w:rPr>
                <w:rFonts w:hint="eastAsia"/>
                <w:color w:val="auto"/>
                <w:sz w:val="21"/>
                <w:szCs w:val="21"/>
                <w:highlight w:val="none"/>
                <w:lang w:val="en-US" w:bidi="ar-SA"/>
              </w:rPr>
              <w:t>2、定制魔镜，镜面宽1200*高800mm，32寸高亮高清屏幕，安卓系统，电容触摸屏，壁挂安装。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27</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背景音乐</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天花扬声器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1.同轴扬声器单元，高音可向四周旋转15°左右；</w:t>
            </w:r>
            <w:r>
              <w:rPr>
                <w:rFonts w:hint="eastAsia"/>
                <w:color w:val="auto"/>
                <w:sz w:val="21"/>
                <w:szCs w:val="21"/>
                <w:highlight w:val="none"/>
                <w:lang w:val="en-US" w:bidi="ar-SA"/>
              </w:rPr>
              <w:br w:type="textWrapping"/>
            </w:r>
            <w:r>
              <w:rPr>
                <w:rFonts w:hint="eastAsia"/>
                <w:color w:val="auto"/>
                <w:sz w:val="21"/>
                <w:szCs w:val="21"/>
                <w:highlight w:val="none"/>
                <w:lang w:val="en-US" w:bidi="ar-SA"/>
              </w:rPr>
              <w:t>2.工作电压70/100V，额定功率20W；</w:t>
            </w:r>
            <w:r>
              <w:rPr>
                <w:rFonts w:hint="eastAsia"/>
                <w:color w:val="auto"/>
                <w:sz w:val="21"/>
                <w:szCs w:val="21"/>
                <w:highlight w:val="none"/>
                <w:lang w:val="en-US" w:bidi="ar-SA"/>
              </w:rPr>
              <w:br w:type="textWrapping"/>
            </w:r>
            <w:r>
              <w:rPr>
                <w:rFonts w:hint="eastAsia"/>
                <w:color w:val="auto"/>
                <w:sz w:val="21"/>
                <w:szCs w:val="21"/>
                <w:highlight w:val="none"/>
                <w:lang w:val="en-US" w:bidi="ar-SA"/>
              </w:rPr>
              <w:t>3.最大声压级101±2dB，</w:t>
            </w:r>
            <w:r>
              <w:rPr>
                <w:rFonts w:hint="eastAsia"/>
                <w:color w:val="auto"/>
                <w:sz w:val="21"/>
                <w:szCs w:val="21"/>
                <w:highlight w:val="none"/>
                <w:lang w:val="en-US" w:bidi="ar-SA"/>
              </w:rPr>
              <w:br w:type="textWrapping"/>
            </w:r>
            <w:r>
              <w:rPr>
                <w:rFonts w:hint="eastAsia"/>
                <w:color w:val="auto"/>
                <w:sz w:val="21"/>
                <w:szCs w:val="21"/>
                <w:highlight w:val="none"/>
                <w:lang w:val="en-US" w:bidi="ar-SA"/>
              </w:rPr>
              <w:t>4.有效频率范围60Hz-18kHz；</w:t>
            </w:r>
            <w:r>
              <w:rPr>
                <w:rFonts w:hint="eastAsia"/>
                <w:color w:val="auto"/>
                <w:sz w:val="21"/>
                <w:szCs w:val="21"/>
                <w:highlight w:val="none"/>
                <w:lang w:val="en-US" w:bidi="ar-SA"/>
              </w:rPr>
              <w:br w:type="textWrapping"/>
            </w:r>
            <w:r>
              <w:rPr>
                <w:rFonts w:hint="eastAsia"/>
                <w:color w:val="auto"/>
                <w:sz w:val="21"/>
                <w:szCs w:val="21"/>
                <w:highlight w:val="none"/>
                <w:lang w:val="en-US" w:bidi="ar-SA"/>
              </w:rPr>
              <w:t>5.铝合金材质网罩，永不生锈；优质工程塑料注塑成型，经久耐用，不变形、不褪色；</w:t>
            </w:r>
            <w:r>
              <w:rPr>
                <w:rFonts w:hint="eastAsia"/>
                <w:color w:val="auto"/>
                <w:sz w:val="21"/>
                <w:szCs w:val="21"/>
                <w:highlight w:val="none"/>
                <w:lang w:val="en-US" w:bidi="ar-SA"/>
              </w:rPr>
              <w:br w:type="textWrapping"/>
            </w:r>
            <w:r>
              <w:rPr>
                <w:rFonts w:hint="eastAsia"/>
                <w:color w:val="auto"/>
                <w:sz w:val="21"/>
                <w:szCs w:val="21"/>
                <w:highlight w:val="none"/>
                <w:lang w:val="en-US" w:bidi="ar-SA"/>
              </w:rPr>
              <w:t>6.灵敏度为88±2dB，声音清晰、明亮。重1.8Kg；单元尺寸6.5"x11"x1</w:t>
            </w:r>
            <w:r>
              <w:rPr>
                <w:rFonts w:hint="eastAsia"/>
                <w:color w:val="auto"/>
                <w:sz w:val="21"/>
                <w:szCs w:val="21"/>
                <w:highlight w:val="none"/>
                <w:lang w:val="en-US" w:bidi="ar-SA"/>
              </w:rPr>
              <w:br w:type="textWrapping"/>
            </w:r>
            <w:r>
              <w:rPr>
                <w:rFonts w:hint="eastAsia"/>
                <w:color w:val="auto"/>
                <w:sz w:val="21"/>
                <w:szCs w:val="21"/>
                <w:highlight w:val="none"/>
                <w:lang w:val="en-US" w:bidi="ar-SA"/>
              </w:rPr>
              <w:t>7.开孔尺寸Ø194-Ø200mm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播放器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1.4.3寸TFT彩色液晶触摸式显示屏显示机器所有状态，并实现触摸屏操控。</w:t>
            </w:r>
            <w:r>
              <w:rPr>
                <w:rFonts w:hint="eastAsia"/>
                <w:color w:val="auto"/>
                <w:sz w:val="21"/>
                <w:szCs w:val="21"/>
                <w:highlight w:val="none"/>
                <w:lang w:val="en-US" w:bidi="ar-SA"/>
              </w:rPr>
              <w:br w:type="textWrapping"/>
            </w:r>
            <w:r>
              <w:rPr>
                <w:rFonts w:hint="eastAsia"/>
                <w:color w:val="auto"/>
                <w:sz w:val="21"/>
                <w:szCs w:val="21"/>
                <w:highlight w:val="none"/>
                <w:lang w:val="en-US" w:bidi="ar-SA"/>
              </w:rPr>
              <w:t>2.中/英文字幕两种语言显示可选择。</w:t>
            </w:r>
            <w:r>
              <w:rPr>
                <w:rFonts w:hint="eastAsia"/>
                <w:color w:val="auto"/>
                <w:sz w:val="21"/>
                <w:szCs w:val="21"/>
                <w:highlight w:val="none"/>
                <w:lang w:val="en-US" w:bidi="ar-SA"/>
              </w:rPr>
              <w:br w:type="textWrapping"/>
            </w:r>
            <w:r>
              <w:rPr>
                <w:rFonts w:hint="eastAsia"/>
                <w:color w:val="auto"/>
                <w:sz w:val="21"/>
                <w:szCs w:val="21"/>
                <w:highlight w:val="none"/>
                <w:lang w:val="en-US" w:bidi="ar-SA"/>
              </w:rPr>
              <w:t>3.可播放U盘、SD卡上的MP3音乐节目。</w:t>
            </w:r>
            <w:r>
              <w:rPr>
                <w:rFonts w:hint="eastAsia"/>
                <w:color w:val="auto"/>
                <w:sz w:val="21"/>
                <w:szCs w:val="21"/>
                <w:highlight w:val="none"/>
                <w:lang w:val="en-US" w:bidi="ar-SA"/>
              </w:rPr>
              <w:br w:type="textWrapping"/>
            </w:r>
            <w:r>
              <w:rPr>
                <w:rFonts w:hint="eastAsia"/>
                <w:color w:val="auto"/>
                <w:sz w:val="21"/>
                <w:szCs w:val="21"/>
                <w:highlight w:val="none"/>
                <w:lang w:val="en-US" w:bidi="ar-SA"/>
              </w:rPr>
              <w:t>4.可定时播放SD卡上的MP3音乐节目。</w:t>
            </w:r>
            <w:r>
              <w:rPr>
                <w:rFonts w:hint="eastAsia"/>
                <w:color w:val="auto"/>
                <w:sz w:val="21"/>
                <w:szCs w:val="21"/>
                <w:highlight w:val="none"/>
                <w:lang w:val="en-US" w:bidi="ar-SA"/>
              </w:rPr>
              <w:br w:type="textWrapping"/>
            </w:r>
            <w:r>
              <w:rPr>
                <w:rFonts w:hint="eastAsia"/>
                <w:color w:val="auto"/>
                <w:sz w:val="21"/>
                <w:szCs w:val="21"/>
                <w:highlight w:val="none"/>
                <w:lang w:val="en-US" w:bidi="ar-SA"/>
              </w:rPr>
              <w:t>5.可编辑8个定时方案按周循环，一个日方案最多可编辑100个定时点，具有定时点信息掉电记忆功能。</w:t>
            </w:r>
            <w:r>
              <w:rPr>
                <w:rFonts w:hint="eastAsia"/>
                <w:color w:val="auto"/>
                <w:sz w:val="21"/>
                <w:szCs w:val="21"/>
                <w:highlight w:val="none"/>
                <w:lang w:val="en-US" w:bidi="ar-SA"/>
              </w:rPr>
              <w:br w:type="textWrapping"/>
            </w:r>
            <w:r>
              <w:rPr>
                <w:rFonts w:hint="eastAsia"/>
                <w:color w:val="auto"/>
                <w:sz w:val="21"/>
                <w:szCs w:val="21"/>
                <w:highlight w:val="none"/>
                <w:lang w:val="en-US" w:bidi="ar-SA"/>
              </w:rPr>
              <w:t>6.可在电脑上编辑定时点，通过SD卡复制到本机执行。也可将本机上的定时点信息通过SD卡复制到电脑上进行备份储存。</w:t>
            </w:r>
            <w:r>
              <w:rPr>
                <w:rFonts w:hint="eastAsia"/>
                <w:color w:val="auto"/>
                <w:sz w:val="21"/>
                <w:szCs w:val="21"/>
                <w:highlight w:val="none"/>
                <w:lang w:val="en-US" w:bidi="ar-SA"/>
              </w:rPr>
              <w:br w:type="textWrapping"/>
            </w:r>
            <w:r>
              <w:rPr>
                <w:rFonts w:hint="eastAsia"/>
                <w:color w:val="auto"/>
                <w:sz w:val="21"/>
                <w:szCs w:val="21"/>
                <w:highlight w:val="none"/>
                <w:lang w:val="en-US" w:bidi="ar-SA"/>
              </w:rPr>
              <w:t>7.有一路AC220V 2000W电源输出插座，具有接受定时点定时控制其开关的功能。</w:t>
            </w:r>
            <w:r>
              <w:rPr>
                <w:rFonts w:hint="eastAsia"/>
                <w:color w:val="auto"/>
                <w:sz w:val="21"/>
                <w:szCs w:val="21"/>
                <w:highlight w:val="none"/>
                <w:lang w:val="en-US" w:bidi="ar-SA"/>
              </w:rPr>
              <w:br w:type="textWrapping"/>
            </w:r>
            <w:r>
              <w:rPr>
                <w:rFonts w:hint="eastAsia"/>
                <w:color w:val="auto"/>
                <w:sz w:val="21"/>
                <w:szCs w:val="21"/>
                <w:highlight w:val="none"/>
                <w:lang w:val="en-US" w:bidi="ar-SA"/>
              </w:rPr>
              <w:t>8.具有定时点到来前1-60秒（时间可以设置）内自动提前打开定时电源的功能。</w:t>
            </w:r>
            <w:r>
              <w:rPr>
                <w:rFonts w:hint="eastAsia"/>
                <w:color w:val="auto"/>
                <w:sz w:val="21"/>
                <w:szCs w:val="21"/>
                <w:highlight w:val="none"/>
                <w:lang w:val="en-US" w:bidi="ar-SA"/>
              </w:rPr>
              <w:br w:type="textWrapping"/>
            </w:r>
            <w:r>
              <w:rPr>
                <w:rFonts w:hint="eastAsia"/>
                <w:color w:val="auto"/>
                <w:sz w:val="21"/>
                <w:szCs w:val="21"/>
                <w:highlight w:val="none"/>
                <w:lang w:val="en-US" w:bidi="ar-SA"/>
              </w:rPr>
              <w:t>9.有一路短路信号输出接口与定时电源输出联动，一路音频信号输出接口（4个插座并联输出）。</w:t>
            </w:r>
            <w:r>
              <w:rPr>
                <w:rFonts w:hint="eastAsia"/>
                <w:color w:val="auto"/>
                <w:sz w:val="21"/>
                <w:szCs w:val="21"/>
                <w:highlight w:val="none"/>
                <w:lang w:val="en-US" w:bidi="ar-SA"/>
              </w:rPr>
              <w:br w:type="textWrapping"/>
            </w:r>
            <w:r>
              <w:rPr>
                <w:rFonts w:hint="eastAsia"/>
                <w:color w:val="auto"/>
                <w:sz w:val="21"/>
                <w:szCs w:val="21"/>
                <w:highlight w:val="none"/>
                <w:lang w:val="en-US" w:bidi="ar-SA"/>
              </w:rPr>
              <w:t>10.可连接耳机监听播放状态。</w:t>
            </w:r>
            <w:r>
              <w:rPr>
                <w:rFonts w:hint="eastAsia"/>
                <w:color w:val="auto"/>
                <w:sz w:val="21"/>
                <w:szCs w:val="21"/>
                <w:highlight w:val="none"/>
                <w:lang w:val="en-US" w:bidi="ar-SA"/>
              </w:rPr>
              <w:br w:type="textWrapping"/>
            </w:r>
            <w:r>
              <w:rPr>
                <w:rFonts w:hint="eastAsia"/>
                <w:color w:val="auto"/>
                <w:sz w:val="21"/>
                <w:szCs w:val="21"/>
                <w:highlight w:val="none"/>
                <w:lang w:val="en-US" w:bidi="ar-SA"/>
              </w:rPr>
              <w:t>11.输出LED电平指示。</w:t>
            </w:r>
            <w:r>
              <w:rPr>
                <w:rFonts w:hint="eastAsia"/>
                <w:color w:val="auto"/>
                <w:sz w:val="21"/>
                <w:szCs w:val="21"/>
                <w:highlight w:val="none"/>
                <w:lang w:val="en-US" w:bidi="ar-SA"/>
              </w:rPr>
              <w:br w:type="textWrapping"/>
            </w:r>
            <w:r>
              <w:rPr>
                <w:rFonts w:hint="eastAsia"/>
                <w:color w:val="auto"/>
                <w:sz w:val="21"/>
                <w:szCs w:val="21"/>
                <w:highlight w:val="none"/>
                <w:lang w:val="en-US" w:bidi="ar-SA"/>
              </w:rPr>
              <w:t>指标参数：</w:t>
            </w:r>
            <w:r>
              <w:rPr>
                <w:rFonts w:hint="eastAsia"/>
                <w:color w:val="auto"/>
                <w:sz w:val="21"/>
                <w:szCs w:val="21"/>
                <w:highlight w:val="none"/>
                <w:lang w:val="en-US" w:bidi="ar-SA"/>
              </w:rPr>
              <w:br w:type="textWrapping"/>
            </w:r>
            <w:r>
              <w:rPr>
                <w:rFonts w:hint="eastAsia"/>
                <w:color w:val="auto"/>
                <w:sz w:val="21"/>
                <w:szCs w:val="21"/>
                <w:highlight w:val="none"/>
                <w:lang w:val="en-US" w:bidi="ar-SA"/>
              </w:rPr>
              <w:t>1.显示屏 4.3寸</w:t>
            </w:r>
            <w:r>
              <w:rPr>
                <w:rFonts w:hint="eastAsia"/>
                <w:color w:val="auto"/>
                <w:sz w:val="21"/>
                <w:szCs w:val="21"/>
                <w:highlight w:val="none"/>
                <w:lang w:val="en-US" w:bidi="ar-SA"/>
              </w:rPr>
              <w:br w:type="textWrapping"/>
            </w:r>
            <w:r>
              <w:rPr>
                <w:rFonts w:hint="eastAsia"/>
                <w:color w:val="auto"/>
                <w:sz w:val="21"/>
                <w:szCs w:val="21"/>
                <w:highlight w:val="none"/>
                <w:lang w:val="en-US" w:bidi="ar-SA"/>
              </w:rPr>
              <w:t>2.MP3输入灵敏度 230-280mV</w:t>
            </w:r>
            <w:r>
              <w:rPr>
                <w:rFonts w:hint="eastAsia"/>
                <w:color w:val="auto"/>
                <w:sz w:val="21"/>
                <w:szCs w:val="21"/>
                <w:highlight w:val="none"/>
                <w:lang w:val="en-US" w:bidi="ar-SA"/>
              </w:rPr>
              <w:br w:type="textWrapping"/>
            </w:r>
            <w:r>
              <w:rPr>
                <w:rFonts w:hint="eastAsia"/>
                <w:color w:val="auto"/>
                <w:sz w:val="21"/>
                <w:szCs w:val="21"/>
                <w:highlight w:val="none"/>
                <w:lang w:val="en-US" w:bidi="ar-SA"/>
              </w:rPr>
              <w:t>3.线路输出 1000mV（±50mV）</w:t>
            </w:r>
            <w:r>
              <w:rPr>
                <w:rFonts w:hint="eastAsia"/>
                <w:color w:val="auto"/>
                <w:sz w:val="21"/>
                <w:szCs w:val="21"/>
                <w:highlight w:val="none"/>
                <w:lang w:val="en-US" w:bidi="ar-SA"/>
              </w:rPr>
              <w:br w:type="textWrapping"/>
            </w:r>
            <w:r>
              <w:rPr>
                <w:rFonts w:hint="eastAsia"/>
                <w:color w:val="auto"/>
                <w:sz w:val="21"/>
                <w:szCs w:val="21"/>
                <w:highlight w:val="none"/>
                <w:lang w:val="en-US" w:bidi="ar-SA"/>
              </w:rPr>
              <w:t>4.耳机监听电平 1000mV（±50mV）</w:t>
            </w:r>
            <w:r>
              <w:rPr>
                <w:rFonts w:hint="eastAsia"/>
                <w:color w:val="auto"/>
                <w:sz w:val="21"/>
                <w:szCs w:val="21"/>
                <w:highlight w:val="none"/>
                <w:lang w:val="en-US" w:bidi="ar-SA"/>
              </w:rPr>
              <w:br w:type="textWrapping"/>
            </w:r>
            <w:r>
              <w:rPr>
                <w:rFonts w:hint="eastAsia"/>
                <w:color w:val="auto"/>
                <w:sz w:val="21"/>
                <w:szCs w:val="21"/>
                <w:highlight w:val="none"/>
                <w:lang w:val="en-US" w:bidi="ar-SA"/>
              </w:rPr>
              <w:t>5.最大输出噪声电压 ≤0.5mV</w:t>
            </w:r>
            <w:r>
              <w:rPr>
                <w:rFonts w:hint="eastAsia"/>
                <w:color w:val="auto"/>
                <w:sz w:val="21"/>
                <w:szCs w:val="21"/>
                <w:highlight w:val="none"/>
                <w:lang w:val="en-US" w:bidi="ar-SA"/>
              </w:rPr>
              <w:br w:type="textWrapping"/>
            </w:r>
            <w:r>
              <w:rPr>
                <w:rFonts w:hint="eastAsia"/>
                <w:color w:val="auto"/>
                <w:sz w:val="21"/>
                <w:szCs w:val="21"/>
                <w:highlight w:val="none"/>
                <w:lang w:val="en-US" w:bidi="ar-SA"/>
              </w:rPr>
              <w:t>6.定时电源插座 1只（220V/50HZ适时电网电压）</w:t>
            </w:r>
            <w:r>
              <w:rPr>
                <w:rFonts w:hint="eastAsia"/>
                <w:color w:val="auto"/>
                <w:sz w:val="21"/>
                <w:szCs w:val="21"/>
                <w:highlight w:val="none"/>
                <w:lang w:val="en-US" w:bidi="ar-SA"/>
              </w:rPr>
              <w:br w:type="textWrapping"/>
            </w:r>
            <w:r>
              <w:rPr>
                <w:rFonts w:hint="eastAsia"/>
                <w:color w:val="auto"/>
                <w:sz w:val="21"/>
                <w:szCs w:val="21"/>
                <w:highlight w:val="none"/>
                <w:lang w:val="en-US" w:bidi="ar-SA"/>
              </w:rPr>
              <w:t>7.插座容量 220V，2000W</w:t>
            </w:r>
            <w:r>
              <w:rPr>
                <w:rFonts w:hint="eastAsia"/>
                <w:color w:val="auto"/>
                <w:sz w:val="21"/>
                <w:szCs w:val="21"/>
                <w:highlight w:val="none"/>
                <w:lang w:val="en-US" w:bidi="ar-SA"/>
              </w:rPr>
              <w:br w:type="textWrapping"/>
            </w:r>
            <w:r>
              <w:rPr>
                <w:rFonts w:hint="eastAsia"/>
                <w:color w:val="auto"/>
                <w:sz w:val="21"/>
                <w:szCs w:val="21"/>
                <w:highlight w:val="none"/>
                <w:lang w:val="en-US" w:bidi="ar-SA"/>
              </w:rPr>
              <w:t>8.定时次数 周方案8个，日方案1个</w:t>
            </w:r>
            <w:r>
              <w:rPr>
                <w:rFonts w:hint="eastAsia"/>
                <w:color w:val="auto"/>
                <w:sz w:val="21"/>
                <w:szCs w:val="21"/>
                <w:highlight w:val="none"/>
                <w:lang w:val="en-US" w:bidi="ar-SA"/>
              </w:rPr>
              <w:br w:type="textWrapping"/>
            </w:r>
            <w:r>
              <w:rPr>
                <w:rFonts w:hint="eastAsia"/>
                <w:color w:val="auto"/>
                <w:sz w:val="21"/>
                <w:szCs w:val="21"/>
                <w:highlight w:val="none"/>
                <w:lang w:val="en-US" w:bidi="ar-SA"/>
              </w:rPr>
              <w:t>9.时间制式 24小时制</w:t>
            </w:r>
            <w:r>
              <w:rPr>
                <w:rFonts w:hint="eastAsia"/>
                <w:color w:val="auto"/>
                <w:sz w:val="21"/>
                <w:szCs w:val="21"/>
                <w:highlight w:val="none"/>
                <w:lang w:val="en-US" w:bidi="ar-SA"/>
              </w:rPr>
              <w:br w:type="textWrapping"/>
            </w:r>
            <w:r>
              <w:rPr>
                <w:rFonts w:hint="eastAsia"/>
                <w:color w:val="auto"/>
                <w:sz w:val="21"/>
                <w:szCs w:val="21"/>
                <w:highlight w:val="none"/>
                <w:lang w:val="en-US" w:bidi="ar-SA"/>
              </w:rPr>
              <w:t>10.保护 一只F1A交流保险管</w:t>
            </w:r>
            <w:r>
              <w:rPr>
                <w:rFonts w:hint="eastAsia"/>
                <w:color w:val="auto"/>
                <w:sz w:val="21"/>
                <w:szCs w:val="21"/>
                <w:highlight w:val="none"/>
                <w:lang w:val="en-US" w:bidi="ar-SA"/>
              </w:rPr>
              <w:br w:type="textWrapping"/>
            </w:r>
            <w:r>
              <w:rPr>
                <w:rFonts w:hint="eastAsia"/>
                <w:color w:val="auto"/>
                <w:sz w:val="21"/>
                <w:szCs w:val="21"/>
                <w:highlight w:val="none"/>
                <w:lang w:val="en-US" w:bidi="ar-SA"/>
              </w:rPr>
              <w:t>11.工作电源 AC 220-240V/50-60Hz</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带前置广播功放</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1.三个话筒输入口，两个辅助输入口，一个辅助输出口。</w:t>
            </w:r>
            <w:r>
              <w:rPr>
                <w:rFonts w:hint="eastAsia"/>
                <w:color w:val="auto"/>
                <w:sz w:val="21"/>
                <w:szCs w:val="21"/>
                <w:highlight w:val="none"/>
                <w:lang w:val="en-US" w:bidi="ar-SA"/>
              </w:rPr>
              <w:br w:type="textWrapping"/>
            </w:r>
            <w:r>
              <w:rPr>
                <w:rFonts w:hint="eastAsia"/>
                <w:color w:val="auto"/>
                <w:sz w:val="21"/>
                <w:szCs w:val="21"/>
                <w:highlight w:val="none"/>
                <w:lang w:val="en-US" w:bidi="ar-SA"/>
              </w:rPr>
              <w:t>2.100V，70V350W定压输出和4Ω定阻（平衡，不接地）输出。</w:t>
            </w:r>
            <w:r>
              <w:rPr>
                <w:rFonts w:hint="eastAsia"/>
                <w:color w:val="auto"/>
                <w:sz w:val="21"/>
                <w:szCs w:val="21"/>
                <w:highlight w:val="none"/>
                <w:lang w:val="en-US" w:bidi="ar-SA"/>
              </w:rPr>
              <w:br w:type="textWrapping"/>
            </w:r>
            <w:r>
              <w:rPr>
                <w:rFonts w:hint="eastAsia"/>
                <w:color w:val="auto"/>
                <w:sz w:val="21"/>
                <w:szCs w:val="21"/>
                <w:highlight w:val="none"/>
                <w:lang w:val="en-US" w:bidi="ar-SA"/>
              </w:rPr>
              <w:t>3.有默音功能，便于插入优先广播。</w:t>
            </w:r>
            <w:r>
              <w:rPr>
                <w:rFonts w:hint="eastAsia"/>
                <w:color w:val="auto"/>
                <w:sz w:val="21"/>
                <w:szCs w:val="21"/>
                <w:highlight w:val="none"/>
                <w:lang w:val="en-US" w:bidi="ar-SA"/>
              </w:rPr>
              <w:br w:type="textWrapping"/>
            </w:r>
            <w:r>
              <w:rPr>
                <w:rFonts w:hint="eastAsia"/>
                <w:color w:val="auto"/>
                <w:sz w:val="21"/>
                <w:szCs w:val="21"/>
                <w:highlight w:val="none"/>
                <w:lang w:val="en-US" w:bidi="ar-SA"/>
              </w:rPr>
              <w:t>4.各通道独立音量控制，高音和低音音调控制。</w:t>
            </w:r>
            <w:r>
              <w:rPr>
                <w:rFonts w:hint="eastAsia"/>
                <w:color w:val="auto"/>
                <w:sz w:val="21"/>
                <w:szCs w:val="21"/>
                <w:highlight w:val="none"/>
                <w:lang w:val="en-US" w:bidi="ar-SA"/>
              </w:rPr>
              <w:br w:type="textWrapping"/>
            </w:r>
            <w:r>
              <w:rPr>
                <w:rFonts w:hint="eastAsia"/>
                <w:color w:val="auto"/>
                <w:sz w:val="21"/>
                <w:szCs w:val="21"/>
                <w:highlight w:val="none"/>
                <w:lang w:val="en-US" w:bidi="ar-SA"/>
              </w:rPr>
              <w:t>5.5单位LED电平表，甚易监察工作状态，输出短路保护并告警。</w:t>
            </w:r>
            <w:r>
              <w:rPr>
                <w:rFonts w:hint="eastAsia"/>
                <w:color w:val="auto"/>
                <w:sz w:val="21"/>
                <w:szCs w:val="21"/>
                <w:highlight w:val="none"/>
                <w:lang w:val="en-US" w:bidi="ar-SA"/>
              </w:rPr>
              <w:br w:type="textWrapping"/>
            </w:r>
            <w:r>
              <w:rPr>
                <w:rFonts w:hint="eastAsia"/>
                <w:color w:val="auto"/>
                <w:sz w:val="21"/>
                <w:szCs w:val="21"/>
                <w:highlight w:val="none"/>
                <w:lang w:val="en-US" w:bidi="ar-SA"/>
              </w:rPr>
              <w:t>6.输出调整率由满载到空载，小于3dB</w:t>
            </w:r>
            <w:r>
              <w:rPr>
                <w:rFonts w:hint="eastAsia"/>
                <w:color w:val="auto"/>
                <w:sz w:val="21"/>
                <w:szCs w:val="21"/>
                <w:highlight w:val="none"/>
                <w:lang w:val="en-US" w:bidi="ar-SA"/>
              </w:rPr>
              <w:br w:type="textWrapping"/>
            </w:r>
            <w:r>
              <w:rPr>
                <w:rFonts w:hint="eastAsia"/>
                <w:color w:val="auto"/>
                <w:sz w:val="21"/>
                <w:szCs w:val="21"/>
                <w:highlight w:val="none"/>
                <w:lang w:val="en-US" w:bidi="ar-SA"/>
              </w:rPr>
              <w:t>7.输出方式P1，70V、100V定压输出</w:t>
            </w:r>
            <w:r>
              <w:rPr>
                <w:rFonts w:hint="eastAsia"/>
                <w:color w:val="auto"/>
                <w:sz w:val="21"/>
                <w:szCs w:val="21"/>
                <w:highlight w:val="none"/>
                <w:lang w:val="en-US" w:bidi="ar-SA"/>
              </w:rPr>
              <w:br w:type="textWrapping"/>
            </w:r>
            <w:r>
              <w:rPr>
                <w:rFonts w:hint="eastAsia"/>
                <w:color w:val="auto"/>
                <w:sz w:val="21"/>
                <w:szCs w:val="21"/>
                <w:highlight w:val="none"/>
                <w:lang w:val="en-US" w:bidi="ar-SA"/>
              </w:rPr>
              <w:t>8.辅助输出≥1V</w:t>
            </w:r>
            <w:r>
              <w:rPr>
                <w:rFonts w:hint="eastAsia"/>
                <w:color w:val="auto"/>
                <w:sz w:val="21"/>
                <w:szCs w:val="21"/>
                <w:highlight w:val="none"/>
                <w:lang w:val="en-US" w:bidi="ar-SA"/>
              </w:rPr>
              <w:br w:type="textWrapping"/>
            </w:r>
            <w:r>
              <w:rPr>
                <w:rFonts w:hint="eastAsia"/>
                <w:color w:val="auto"/>
                <w:sz w:val="21"/>
                <w:szCs w:val="21"/>
                <w:highlight w:val="none"/>
                <w:lang w:val="en-US" w:bidi="ar-SA"/>
              </w:rPr>
              <w:t>9.输入Mic1，2，3：600Ω，≤3mV，不平衡</w:t>
            </w:r>
            <w:r>
              <w:rPr>
                <w:rFonts w:hint="eastAsia"/>
                <w:color w:val="auto"/>
                <w:sz w:val="21"/>
                <w:szCs w:val="21"/>
                <w:highlight w:val="none"/>
                <w:lang w:val="en-US" w:bidi="ar-SA"/>
              </w:rPr>
              <w:br w:type="textWrapping"/>
            </w:r>
            <w:r>
              <w:rPr>
                <w:rFonts w:hint="eastAsia"/>
                <w:color w:val="auto"/>
                <w:sz w:val="21"/>
                <w:szCs w:val="21"/>
                <w:highlight w:val="none"/>
                <w:lang w:val="en-US" w:bidi="ar-SA"/>
              </w:rPr>
              <w:t>AUX1，2：10kΩ，≤300mV，不平衡</w:t>
            </w:r>
            <w:r>
              <w:rPr>
                <w:rFonts w:hint="eastAsia"/>
                <w:color w:val="auto"/>
                <w:sz w:val="21"/>
                <w:szCs w:val="21"/>
                <w:highlight w:val="none"/>
                <w:lang w:val="en-US" w:bidi="ar-SA"/>
              </w:rPr>
              <w:br w:type="textWrapping"/>
            </w:r>
            <w:r>
              <w:rPr>
                <w:rFonts w:hint="eastAsia"/>
                <w:color w:val="auto"/>
                <w:sz w:val="21"/>
                <w:szCs w:val="21"/>
                <w:highlight w:val="none"/>
                <w:lang w:val="en-US" w:bidi="ar-SA"/>
              </w:rPr>
              <w:t>10.频响50Hz-16kHz（±3dB）</w:t>
            </w:r>
            <w:r>
              <w:rPr>
                <w:rFonts w:hint="eastAsia"/>
                <w:color w:val="auto"/>
                <w:sz w:val="21"/>
                <w:szCs w:val="21"/>
                <w:highlight w:val="none"/>
                <w:lang w:val="en-US" w:bidi="ar-SA"/>
              </w:rPr>
              <w:br w:type="textWrapping"/>
            </w:r>
            <w:r>
              <w:rPr>
                <w:rFonts w:hint="eastAsia"/>
                <w:color w:val="auto"/>
                <w:sz w:val="21"/>
                <w:szCs w:val="21"/>
                <w:highlight w:val="none"/>
                <w:lang w:val="en-US" w:bidi="ar-SA"/>
              </w:rPr>
              <w:t>11.谐波失真&lt;1%at1kHz，1/3额定输出电压</w:t>
            </w:r>
            <w:r>
              <w:rPr>
                <w:rFonts w:hint="eastAsia"/>
                <w:color w:val="auto"/>
                <w:sz w:val="21"/>
                <w:szCs w:val="21"/>
                <w:highlight w:val="none"/>
                <w:lang w:val="en-US" w:bidi="ar-SA"/>
              </w:rPr>
              <w:br w:type="textWrapping"/>
            </w:r>
            <w:r>
              <w:rPr>
                <w:rFonts w:hint="eastAsia"/>
                <w:color w:val="auto"/>
                <w:sz w:val="21"/>
                <w:szCs w:val="21"/>
                <w:highlight w:val="none"/>
                <w:lang w:val="en-US" w:bidi="ar-SA"/>
              </w:rPr>
              <w:t>12.信噪比Mic1，2，3：&gt;75dB</w:t>
            </w:r>
            <w:r>
              <w:rPr>
                <w:rFonts w:hint="eastAsia"/>
                <w:color w:val="auto"/>
                <w:sz w:val="21"/>
                <w:szCs w:val="21"/>
                <w:highlight w:val="none"/>
                <w:lang w:val="en-US" w:bidi="ar-SA"/>
              </w:rPr>
              <w:br w:type="textWrapping"/>
            </w:r>
            <w:r>
              <w:rPr>
                <w:rFonts w:hint="eastAsia"/>
                <w:color w:val="auto"/>
                <w:sz w:val="21"/>
                <w:szCs w:val="21"/>
                <w:highlight w:val="none"/>
                <w:lang w:val="en-US" w:bidi="ar-SA"/>
              </w:rPr>
              <w:t>AUX1，2：&gt;80dB</w:t>
            </w:r>
            <w:r>
              <w:rPr>
                <w:rFonts w:hint="eastAsia"/>
                <w:color w:val="auto"/>
                <w:sz w:val="21"/>
                <w:szCs w:val="21"/>
                <w:highlight w:val="none"/>
                <w:lang w:val="en-US" w:bidi="ar-SA"/>
              </w:rPr>
              <w:br w:type="textWrapping"/>
            </w:r>
            <w:r>
              <w:rPr>
                <w:rFonts w:hint="eastAsia"/>
                <w:color w:val="auto"/>
                <w:sz w:val="21"/>
                <w:szCs w:val="21"/>
                <w:highlight w:val="none"/>
                <w:lang w:val="en-US" w:bidi="ar-SA"/>
              </w:rPr>
              <w:t>13.音调调节低音：±10dB（100Hz）</w:t>
            </w:r>
            <w:r>
              <w:rPr>
                <w:rFonts w:hint="eastAsia"/>
                <w:color w:val="auto"/>
                <w:sz w:val="21"/>
                <w:szCs w:val="21"/>
                <w:highlight w:val="none"/>
                <w:lang w:val="en-US" w:bidi="ar-SA"/>
              </w:rPr>
              <w:br w:type="textWrapping"/>
            </w:r>
            <w:r>
              <w:rPr>
                <w:rFonts w:hint="eastAsia"/>
                <w:color w:val="auto"/>
                <w:sz w:val="21"/>
                <w:szCs w:val="21"/>
                <w:highlight w:val="none"/>
                <w:lang w:val="en-US" w:bidi="ar-SA"/>
              </w:rPr>
              <w:t>14.高音：±10dB（10kHz）</w:t>
            </w:r>
            <w:r>
              <w:rPr>
                <w:rFonts w:hint="eastAsia"/>
                <w:color w:val="auto"/>
                <w:sz w:val="21"/>
                <w:szCs w:val="21"/>
                <w:highlight w:val="none"/>
                <w:lang w:val="en-US" w:bidi="ar-SA"/>
              </w:rPr>
              <w:br w:type="textWrapping"/>
            </w:r>
            <w:r>
              <w:rPr>
                <w:rFonts w:hint="eastAsia"/>
                <w:color w:val="auto"/>
                <w:sz w:val="21"/>
                <w:szCs w:val="21"/>
                <w:highlight w:val="none"/>
                <w:lang w:val="en-US" w:bidi="ar-SA"/>
              </w:rPr>
              <w:t>15.保护交流保险丝，直流输出，过载，短路。</w:t>
            </w:r>
            <w:r>
              <w:rPr>
                <w:rFonts w:hint="eastAsia"/>
                <w:color w:val="auto"/>
                <w:sz w:val="21"/>
                <w:szCs w:val="21"/>
                <w:highlight w:val="none"/>
                <w:lang w:val="en-US" w:bidi="ar-SA"/>
              </w:rPr>
              <w:br w:type="textWrapping"/>
            </w:r>
            <w:r>
              <w:rPr>
                <w:rFonts w:hint="eastAsia"/>
                <w:color w:val="auto"/>
                <w:sz w:val="21"/>
                <w:szCs w:val="21"/>
                <w:highlight w:val="none"/>
                <w:lang w:val="en-US" w:bidi="ar-SA"/>
              </w:rPr>
              <w:t>16.默音功能Mic1输入覆盖其它输入（衰减0到-30dB）</w:t>
            </w:r>
            <w:r>
              <w:rPr>
                <w:rFonts w:hint="eastAsia"/>
                <w:color w:val="auto"/>
                <w:sz w:val="21"/>
                <w:szCs w:val="21"/>
                <w:highlight w:val="none"/>
                <w:lang w:val="en-US" w:bidi="ar-SA"/>
              </w:rPr>
              <w:br w:type="textWrapping"/>
            </w:r>
            <w:r>
              <w:rPr>
                <w:rFonts w:hint="eastAsia"/>
                <w:color w:val="auto"/>
                <w:sz w:val="21"/>
                <w:szCs w:val="21"/>
                <w:highlight w:val="none"/>
                <w:lang w:val="en-US" w:bidi="ar-SA"/>
              </w:rPr>
              <w:t>17.电源AC220V-240V/50Hz-60Hz</w:t>
            </w:r>
            <w:r>
              <w:rPr>
                <w:rFonts w:hint="eastAsia"/>
                <w:color w:val="auto"/>
                <w:sz w:val="21"/>
                <w:szCs w:val="21"/>
                <w:highlight w:val="none"/>
                <w:lang w:val="en-US" w:bidi="ar-SA"/>
              </w:rPr>
              <w:br w:type="textWrapping"/>
            </w:r>
            <w:r>
              <w:rPr>
                <w:rFonts w:hint="eastAsia"/>
                <w:color w:val="auto"/>
                <w:sz w:val="21"/>
                <w:szCs w:val="21"/>
                <w:highlight w:val="none"/>
                <w:lang w:val="en-US" w:bidi="ar-SA"/>
              </w:rPr>
              <w:t>18.外包装尺寸（mm）（L×W×H）520×430×195</w:t>
            </w:r>
            <w:r>
              <w:rPr>
                <w:rFonts w:hint="eastAsia"/>
                <w:color w:val="auto"/>
                <w:sz w:val="21"/>
                <w:szCs w:val="21"/>
                <w:highlight w:val="none"/>
                <w:lang w:val="en-US" w:bidi="ar-SA"/>
              </w:rPr>
              <w:br w:type="textWrapping"/>
            </w:r>
            <w:r>
              <w:rPr>
                <w:rFonts w:hint="eastAsia"/>
                <w:color w:val="auto"/>
                <w:sz w:val="21"/>
                <w:szCs w:val="21"/>
                <w:highlight w:val="none"/>
                <w:lang w:val="en-US" w:bidi="ar-SA"/>
              </w:rPr>
              <w:t>19.机器尺寸（mm）（L×W×H）420×338×88</w:t>
            </w:r>
            <w:r>
              <w:rPr>
                <w:rFonts w:hint="eastAsia"/>
                <w:color w:val="auto"/>
                <w:sz w:val="21"/>
                <w:szCs w:val="21"/>
                <w:highlight w:val="none"/>
                <w:lang w:val="en-US" w:bidi="ar-SA"/>
              </w:rPr>
              <w:br w:type="textWrapping"/>
            </w:r>
            <w:r>
              <w:rPr>
                <w:rFonts w:hint="eastAsia"/>
                <w:color w:val="auto"/>
                <w:sz w:val="21"/>
                <w:szCs w:val="21"/>
                <w:highlight w:val="none"/>
                <w:lang w:val="en-US" w:bidi="ar-SA"/>
              </w:rPr>
              <w:t>20.毛重15.2kg</w:t>
            </w:r>
            <w:r>
              <w:rPr>
                <w:rFonts w:hint="eastAsia"/>
                <w:color w:val="auto"/>
                <w:sz w:val="21"/>
                <w:szCs w:val="21"/>
                <w:highlight w:val="none"/>
                <w:lang w:val="en-US" w:bidi="ar-SA"/>
              </w:rPr>
              <w:br w:type="textWrapping"/>
            </w:r>
            <w:r>
              <w:rPr>
                <w:rFonts w:hint="eastAsia"/>
                <w:color w:val="auto"/>
                <w:sz w:val="21"/>
                <w:szCs w:val="21"/>
                <w:highlight w:val="none"/>
                <w:lang w:val="en-US" w:bidi="ar-SA"/>
              </w:rPr>
              <w:t>21.净重13.4kg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音频线材及调试费用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莲花线、莲花转6.35头、广播音箱线、安装调试费用等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其他配套项</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移动式服务平台</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1.名称：14寸笔记本</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2.参数：笔记本工作台：</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16G以上内存，512GB固态硬盘，I5 11代及以上处理器</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三维模型管理服务器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IU机架式服务器：</w:t>
            </w:r>
            <w:r>
              <w:rPr>
                <w:rFonts w:hint="eastAsia"/>
                <w:color w:val="auto"/>
                <w:sz w:val="21"/>
                <w:szCs w:val="21"/>
                <w:highlight w:val="none"/>
                <w:lang w:val="en-US" w:bidi="ar-SA"/>
              </w:rPr>
              <w:br w:type="textWrapping"/>
            </w:r>
            <w:r>
              <w:rPr>
                <w:rFonts w:hint="eastAsia"/>
                <w:color w:val="auto"/>
                <w:sz w:val="21"/>
                <w:szCs w:val="21"/>
                <w:highlight w:val="none"/>
                <w:lang w:val="en-US" w:bidi="ar-SA"/>
              </w:rPr>
              <w:t>E2224 4核心 /内存16G ECC *1/硬盘1T SATA *1+250G固态 /电源：250W*1/1U</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三、交通场景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菜场地下停车场地监控设备</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热成像报警摄像机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热成像筒型网络摄像机（含调试）</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最大图像尺寸：384×288</w:t>
            </w:r>
            <w:r>
              <w:rPr>
                <w:rFonts w:hint="eastAsia"/>
                <w:color w:val="auto"/>
                <w:sz w:val="21"/>
                <w:szCs w:val="21"/>
                <w:highlight w:val="none"/>
                <w:lang w:val="en-US" w:bidi="ar-SA"/>
              </w:rPr>
              <w:br w:type="textWrapping"/>
            </w:r>
            <w:r>
              <w:rPr>
                <w:rFonts w:hint="eastAsia"/>
                <w:color w:val="auto"/>
                <w:sz w:val="21"/>
                <w:szCs w:val="21"/>
                <w:highlight w:val="none"/>
                <w:lang w:val="en-US" w:bidi="ar-SA"/>
              </w:rPr>
              <w:t>焦距（镜头）：15mm</w:t>
            </w:r>
            <w:r>
              <w:rPr>
                <w:rFonts w:hint="eastAsia"/>
                <w:color w:val="auto"/>
                <w:sz w:val="21"/>
                <w:szCs w:val="21"/>
                <w:highlight w:val="none"/>
                <w:lang w:val="en-US" w:bidi="ar-SA"/>
              </w:rPr>
              <w:br w:type="textWrapping"/>
            </w:r>
            <w:r>
              <w:rPr>
                <w:rFonts w:hint="eastAsia"/>
                <w:color w:val="auto"/>
                <w:sz w:val="21"/>
                <w:szCs w:val="21"/>
                <w:highlight w:val="none"/>
                <w:lang w:val="en-US" w:bidi="ar-SA"/>
              </w:rPr>
              <w:t>视场角：24.5°x18.5°</w:t>
            </w:r>
            <w:r>
              <w:rPr>
                <w:rFonts w:hint="eastAsia"/>
                <w:color w:val="auto"/>
                <w:sz w:val="21"/>
                <w:szCs w:val="21"/>
                <w:highlight w:val="none"/>
                <w:lang w:val="en-US" w:bidi="ar-SA"/>
              </w:rPr>
              <w:br w:type="textWrapping"/>
            </w:r>
            <w:r>
              <w:rPr>
                <w:rFonts w:hint="eastAsia"/>
                <w:color w:val="auto"/>
                <w:sz w:val="21"/>
                <w:szCs w:val="21"/>
                <w:highlight w:val="none"/>
                <w:lang w:val="en-US" w:bidi="ar-SA"/>
              </w:rPr>
              <w:t>测温精度：±8℃或者读数的±8%（取最大值）</w:t>
            </w:r>
            <w:r>
              <w:rPr>
                <w:rFonts w:hint="eastAsia"/>
                <w:color w:val="auto"/>
                <w:sz w:val="21"/>
                <w:szCs w:val="21"/>
                <w:highlight w:val="none"/>
                <w:lang w:val="en-US" w:bidi="ar-SA"/>
              </w:rPr>
              <w:br w:type="textWrapping"/>
            </w:r>
            <w:r>
              <w:rPr>
                <w:rFonts w:hint="eastAsia"/>
                <w:color w:val="auto"/>
                <w:sz w:val="21"/>
                <w:szCs w:val="21"/>
                <w:highlight w:val="none"/>
                <w:lang w:val="en-US" w:bidi="ar-SA"/>
              </w:rPr>
              <w:t>测温范围：-20℃~150℃</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帧率：50Hz：50fps(384×288)(热成像) </w:t>
            </w:r>
            <w:r>
              <w:rPr>
                <w:rFonts w:hint="eastAsia"/>
                <w:color w:val="auto"/>
                <w:sz w:val="21"/>
                <w:szCs w:val="21"/>
                <w:highlight w:val="none"/>
                <w:lang w:val="en-US" w:bidi="ar-SA"/>
              </w:rPr>
              <w:br w:type="textWrapping"/>
            </w:r>
            <w:r>
              <w:rPr>
                <w:rFonts w:hint="eastAsia"/>
                <w:color w:val="auto"/>
                <w:sz w:val="21"/>
                <w:szCs w:val="21"/>
                <w:highlight w:val="none"/>
                <w:lang w:val="en-US" w:bidi="ar-SA"/>
              </w:rPr>
              <w:t>人员最远报警距离（以1.8米*0.5米为准）:150m</w:t>
            </w:r>
            <w:r>
              <w:rPr>
                <w:rFonts w:hint="eastAsia"/>
                <w:color w:val="auto"/>
                <w:sz w:val="21"/>
                <w:szCs w:val="21"/>
                <w:highlight w:val="none"/>
                <w:lang w:val="en-US" w:bidi="ar-SA"/>
              </w:rPr>
              <w:br w:type="textWrapping"/>
            </w:r>
            <w:r>
              <w:rPr>
                <w:rFonts w:hint="eastAsia"/>
                <w:color w:val="auto"/>
                <w:sz w:val="21"/>
                <w:szCs w:val="21"/>
                <w:highlight w:val="none"/>
                <w:lang w:val="en-US" w:bidi="ar-SA"/>
              </w:rPr>
              <w:t>车辆最远报警距离（以4米*1.4米为准）:450m</w:t>
            </w:r>
            <w:r>
              <w:rPr>
                <w:rFonts w:hint="eastAsia"/>
                <w:color w:val="auto"/>
                <w:sz w:val="21"/>
                <w:szCs w:val="21"/>
                <w:highlight w:val="none"/>
                <w:lang w:val="en-US" w:bidi="ar-SA"/>
              </w:rPr>
              <w:br w:type="textWrapping"/>
            </w:r>
            <w:r>
              <w:rPr>
                <w:rFonts w:hint="eastAsia"/>
                <w:color w:val="auto"/>
                <w:sz w:val="21"/>
                <w:szCs w:val="21"/>
                <w:highlight w:val="none"/>
                <w:lang w:val="en-US" w:bidi="ar-SA"/>
              </w:rPr>
              <w:t>火点最远报警距离（以0.1米*0.1米为准）:75m</w:t>
            </w:r>
            <w:r>
              <w:rPr>
                <w:rFonts w:hint="eastAsia"/>
                <w:color w:val="auto"/>
                <w:sz w:val="21"/>
                <w:szCs w:val="21"/>
                <w:highlight w:val="none"/>
                <w:lang w:val="en-US" w:bidi="ar-SA"/>
              </w:rPr>
              <w:br w:type="textWrapping"/>
            </w:r>
            <w:r>
              <w:rPr>
                <w:rFonts w:hint="eastAsia"/>
                <w:color w:val="auto"/>
                <w:sz w:val="21"/>
                <w:szCs w:val="21"/>
                <w:highlight w:val="none"/>
                <w:lang w:val="en-US" w:bidi="ar-SA"/>
              </w:rPr>
              <w:t>目标物最远测温距离（以0.1米*0.1米为准）:16.5m</w:t>
            </w:r>
            <w:r>
              <w:rPr>
                <w:rFonts w:hint="eastAsia"/>
                <w:color w:val="auto"/>
                <w:sz w:val="21"/>
                <w:szCs w:val="21"/>
                <w:highlight w:val="none"/>
                <w:lang w:val="en-US" w:bidi="ar-SA"/>
              </w:rPr>
              <w:br w:type="textWrapping"/>
            </w:r>
            <w:r>
              <w:rPr>
                <w:rFonts w:hint="eastAsia"/>
                <w:color w:val="auto"/>
                <w:sz w:val="21"/>
                <w:szCs w:val="21"/>
                <w:highlight w:val="none"/>
                <w:lang w:val="en-US" w:bidi="ar-SA"/>
              </w:rPr>
              <w:t>吸烟检测最远报警距离：18m</w:t>
            </w:r>
            <w:r>
              <w:rPr>
                <w:rFonts w:hint="eastAsia"/>
                <w:color w:val="auto"/>
                <w:sz w:val="21"/>
                <w:szCs w:val="21"/>
                <w:highlight w:val="none"/>
                <w:lang w:val="en-US" w:bidi="ar-SA"/>
              </w:rPr>
              <w:br w:type="textWrapping"/>
            </w:r>
            <w:r>
              <w:rPr>
                <w:rFonts w:hint="eastAsia"/>
                <w:color w:val="auto"/>
                <w:sz w:val="21"/>
                <w:szCs w:val="21"/>
                <w:highlight w:val="none"/>
                <w:lang w:val="en-US" w:bidi="ar-SA"/>
              </w:rPr>
              <w:t>支持三码流技术</w:t>
            </w:r>
            <w:r>
              <w:rPr>
                <w:rFonts w:hint="eastAsia"/>
                <w:color w:val="auto"/>
                <w:sz w:val="21"/>
                <w:szCs w:val="21"/>
                <w:highlight w:val="none"/>
                <w:lang w:val="en-US" w:bidi="ar-SA"/>
              </w:rPr>
              <w:br w:type="textWrapping"/>
            </w:r>
            <w:r>
              <w:rPr>
                <w:rFonts w:hint="eastAsia"/>
                <w:color w:val="auto"/>
                <w:sz w:val="21"/>
                <w:szCs w:val="21"/>
                <w:highlight w:val="none"/>
                <w:lang w:val="en-US" w:bidi="ar-SA"/>
              </w:rPr>
              <w:t>电源：DC 12 V（±20%）或PoE (802.3af, class 3)或AC24V</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工作温度和湿度：-40℃-70℃，湿度小于95%</w:t>
            </w:r>
            <w:r>
              <w:rPr>
                <w:rFonts w:hint="eastAsia"/>
                <w:color w:val="auto"/>
                <w:sz w:val="21"/>
                <w:szCs w:val="21"/>
                <w:highlight w:val="none"/>
                <w:lang w:val="en-US" w:bidi="ar-SA"/>
              </w:rPr>
              <w:br w:type="textWrapping"/>
            </w:r>
            <w:r>
              <w:rPr>
                <w:rFonts w:hint="eastAsia"/>
                <w:color w:val="auto"/>
                <w:sz w:val="21"/>
                <w:szCs w:val="21"/>
                <w:highlight w:val="none"/>
                <w:lang w:val="en-US" w:bidi="ar-SA"/>
              </w:rPr>
              <w:t>防护等级：IP67</w:t>
            </w:r>
            <w:r>
              <w:rPr>
                <w:rFonts w:hint="eastAsia"/>
                <w:color w:val="auto"/>
                <w:sz w:val="21"/>
                <w:szCs w:val="21"/>
                <w:highlight w:val="none"/>
                <w:lang w:val="en-US" w:bidi="ar-SA"/>
              </w:rPr>
              <w:br w:type="textWrapping"/>
            </w:r>
            <w:r>
              <w:rPr>
                <w:rFonts w:hint="eastAsia"/>
                <w:color w:val="auto"/>
                <w:sz w:val="21"/>
                <w:szCs w:val="21"/>
                <w:highlight w:val="none"/>
                <w:lang w:val="en-US" w:bidi="ar-SA"/>
              </w:rPr>
              <w:t>★电源电压在DC12V±20%范围内变化时，能正常工作（需提供国家认可的第三方检测机构出具的检测报告复印件）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★设备支持在-50℃-80℃范围内正常工作（需提供国家认可的第三方检测机构出具的检测报告复印件）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★CPU、GPU占用超过预设值或内存可用容量低于预设值时,可通过客户端软件或IE浏览器给出报警信息（需提供国家认可的第三方检测机构出具的检测报告复印件）</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吊装支架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适合枪型、筒型、一体型摄像机吊装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12V/10A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24口接入交换机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交换容量336Gbps，包转发率42Mpps，24口10/100/1000Mbps自适应电口交换机，固化4个SFP千兆光口，支持VLAN、ACL、端口聚合等功能，支持APP和MACC云平台统一管理。</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光纤收发器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光纤收发器，千兆单模单纤；</w:t>
            </w:r>
            <w:r>
              <w:rPr>
                <w:rFonts w:hint="eastAsia"/>
                <w:color w:val="auto"/>
                <w:sz w:val="21"/>
                <w:szCs w:val="21"/>
                <w:highlight w:val="none"/>
                <w:lang w:val="en-US" w:bidi="ar-SA"/>
              </w:rPr>
              <w:br w:type="textWrapping"/>
            </w:r>
            <w:r>
              <w:rPr>
                <w:rFonts w:hint="eastAsia"/>
                <w:color w:val="auto"/>
                <w:sz w:val="21"/>
                <w:szCs w:val="21"/>
                <w:highlight w:val="none"/>
                <w:lang w:val="en-US" w:bidi="ar-SA"/>
              </w:rPr>
              <w:t>光纤接口：SC接口；</w:t>
            </w:r>
            <w:r>
              <w:rPr>
                <w:rFonts w:hint="eastAsia"/>
                <w:color w:val="auto"/>
                <w:sz w:val="21"/>
                <w:szCs w:val="21"/>
                <w:highlight w:val="none"/>
                <w:lang w:val="en-US" w:bidi="ar-SA"/>
              </w:rPr>
              <w:br w:type="textWrapping"/>
            </w:r>
            <w:r>
              <w:rPr>
                <w:rFonts w:hint="eastAsia"/>
                <w:color w:val="auto"/>
                <w:sz w:val="21"/>
                <w:szCs w:val="21"/>
                <w:highlight w:val="none"/>
                <w:lang w:val="en-US" w:bidi="ar-SA"/>
              </w:rPr>
              <w:t>外壳金属材质，有散热通风口、带电源支持宽电源电压DC5V/2A；</w:t>
            </w:r>
            <w:r>
              <w:rPr>
                <w:rFonts w:hint="eastAsia"/>
                <w:color w:val="auto"/>
                <w:sz w:val="21"/>
                <w:szCs w:val="21"/>
                <w:highlight w:val="none"/>
                <w:lang w:val="en-US" w:bidi="ar-SA"/>
              </w:rPr>
              <w:br w:type="textWrapping"/>
            </w:r>
            <w:r>
              <w:rPr>
                <w:rFonts w:hint="eastAsia"/>
                <w:color w:val="auto"/>
                <w:sz w:val="21"/>
                <w:szCs w:val="21"/>
                <w:highlight w:val="none"/>
                <w:lang w:val="en-US" w:bidi="ar-SA"/>
              </w:rPr>
              <w:t>LED状态指示，可快速排查故障所在；</w:t>
            </w:r>
            <w:r>
              <w:rPr>
                <w:rFonts w:hint="eastAsia"/>
                <w:color w:val="auto"/>
                <w:sz w:val="21"/>
                <w:szCs w:val="21"/>
                <w:highlight w:val="none"/>
                <w:lang w:val="en-US" w:bidi="ar-SA"/>
              </w:rPr>
              <w:br w:type="textWrapping"/>
            </w:r>
            <w:r>
              <w:rPr>
                <w:rFonts w:hint="eastAsia"/>
                <w:color w:val="auto"/>
                <w:sz w:val="21"/>
                <w:szCs w:val="21"/>
                <w:highlight w:val="none"/>
                <w:lang w:val="en-US" w:bidi="ar-SA"/>
              </w:rPr>
              <w:t>传输距离：3KM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室内安防管理箱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1.名称：室内安防管理箱</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2.参数：不锈钢配电箱（含开关等相关配件）</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尺寸不小于300mm*400mm*170mm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菜场地下停车场地道闸系统</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车牌识别一体机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识别摄像机采用300万高清网络识别摄像机，有效防假车牌、防抖、防雾。</w:t>
            </w:r>
            <w:r>
              <w:rPr>
                <w:rFonts w:hint="eastAsia"/>
                <w:color w:val="auto"/>
                <w:sz w:val="21"/>
                <w:szCs w:val="21"/>
                <w:highlight w:val="none"/>
                <w:lang w:val="en-US" w:bidi="ar-SA"/>
              </w:rPr>
              <w:br w:type="textWrapping"/>
            </w:r>
            <w:r>
              <w:rPr>
                <w:rFonts w:hint="eastAsia"/>
                <w:color w:val="auto"/>
                <w:sz w:val="21"/>
                <w:szCs w:val="21"/>
                <w:highlight w:val="none"/>
                <w:lang w:val="en-US" w:bidi="ar-SA"/>
              </w:rPr>
              <w:t>车牌识别准确率：白天≥99.9%；夜间≥99.9%。</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工作电压：AC220V ± 10%/50Hz</w:t>
            </w:r>
            <w:r>
              <w:rPr>
                <w:rFonts w:hint="eastAsia"/>
                <w:color w:val="auto"/>
                <w:sz w:val="21"/>
                <w:szCs w:val="21"/>
                <w:highlight w:val="none"/>
                <w:lang w:val="en-US" w:bidi="ar-SA"/>
              </w:rPr>
              <w:br w:type="textWrapping"/>
            </w:r>
            <w:r>
              <w:rPr>
                <w:rFonts w:hint="eastAsia"/>
                <w:color w:val="auto"/>
                <w:sz w:val="21"/>
                <w:szCs w:val="21"/>
                <w:highlight w:val="none"/>
                <w:lang w:val="en-US" w:bidi="ar-SA"/>
              </w:rPr>
              <w:t>环境温度：-25℃~65℃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车道信息屏立柱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可装信息屏、摄像机、补光灯</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车道信息显示屏</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LED显示屏多功能红绿双色四行显示屏，支持实时播报车辆信息，含LED补光</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车辆探测器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技术参数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1、 输入电源：DC 8～12V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2、 工作电流：约30 mA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3、 工作频率: 约 100 KHz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4、 线圈参数：1米×(1.5～8)mm 。（4～6）圈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5、 检测时间：约30ms </w:t>
            </w:r>
            <w:r>
              <w:rPr>
                <w:rFonts w:hint="eastAsia"/>
                <w:color w:val="auto"/>
                <w:sz w:val="21"/>
                <w:szCs w:val="21"/>
                <w:highlight w:val="none"/>
                <w:lang w:val="en-US" w:bidi="ar-SA"/>
              </w:rPr>
              <w:br w:type="textWrapping"/>
            </w:r>
            <w:r>
              <w:rPr>
                <w:rFonts w:hint="eastAsia"/>
                <w:color w:val="auto"/>
                <w:sz w:val="21"/>
                <w:szCs w:val="21"/>
                <w:highlight w:val="none"/>
                <w:lang w:val="en-US" w:bidi="ar-SA"/>
              </w:rPr>
              <w:t>6、 输出方式：TTL电平，高电平为无车，低电平为有车。</w:t>
            </w:r>
            <w:r>
              <w:rPr>
                <w:rFonts w:hint="eastAsia"/>
                <w:color w:val="auto"/>
                <w:sz w:val="21"/>
                <w:szCs w:val="21"/>
                <w:highlight w:val="none"/>
                <w:lang w:val="en-US" w:bidi="ar-SA"/>
              </w:rPr>
              <w:br w:type="textWrapping"/>
            </w:r>
            <w:r>
              <w:rPr>
                <w:rFonts w:hint="eastAsia"/>
                <w:color w:val="auto"/>
                <w:sz w:val="21"/>
                <w:szCs w:val="21"/>
                <w:highlight w:val="none"/>
                <w:lang w:val="en-US" w:bidi="ar-SA"/>
              </w:rPr>
              <w:t>7、 灵敏度 : 4级灵敏度可调</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地感线圈</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防腐，耐磨，耐高温</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车辆道闸</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闸杆运行时间：2秒</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使用环境：室内外全天候条件</w:t>
            </w:r>
            <w:r>
              <w:rPr>
                <w:rFonts w:hint="eastAsia"/>
                <w:color w:val="auto"/>
                <w:sz w:val="21"/>
                <w:szCs w:val="21"/>
                <w:highlight w:val="none"/>
                <w:lang w:val="en-US" w:bidi="ar-SA"/>
              </w:rPr>
              <w:br w:type="textWrapping"/>
            </w:r>
            <w:r>
              <w:rPr>
                <w:rFonts w:hint="eastAsia"/>
                <w:color w:val="auto"/>
                <w:sz w:val="21"/>
                <w:szCs w:val="21"/>
                <w:highlight w:val="none"/>
                <w:lang w:val="en-US" w:bidi="ar-SA"/>
              </w:rPr>
              <w:t>紧急手动装置，以防止意外事件的发生</w:t>
            </w:r>
            <w:r>
              <w:rPr>
                <w:rFonts w:hint="eastAsia"/>
                <w:color w:val="auto"/>
                <w:sz w:val="21"/>
                <w:szCs w:val="21"/>
                <w:highlight w:val="none"/>
                <w:lang w:val="en-US" w:bidi="ar-SA"/>
              </w:rPr>
              <w:br w:type="textWrapping"/>
            </w:r>
            <w:r>
              <w:rPr>
                <w:rFonts w:hint="eastAsia"/>
                <w:color w:val="auto"/>
                <w:sz w:val="21"/>
                <w:szCs w:val="21"/>
                <w:highlight w:val="none"/>
                <w:lang w:val="en-US" w:bidi="ar-SA"/>
              </w:rPr>
              <w:t>防砸车控制系统，确保车辆安全</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停车场管理软件（含安装调试）</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可脱机计费，性能稳定，系统可脱机运行、计费、脱机时显示屏、语音正常工作。</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 图像设置：走廊模式,饱和度,亮度,对比度,锐度通过客户端或者浏览器可调。</w:t>
            </w:r>
            <w:r>
              <w:rPr>
                <w:rFonts w:hint="eastAsia"/>
                <w:color w:val="auto"/>
                <w:sz w:val="21"/>
                <w:szCs w:val="21"/>
                <w:highlight w:val="none"/>
                <w:lang w:val="en-US" w:bidi="ar-SA"/>
              </w:rPr>
              <w:br w:type="textWrapping"/>
            </w:r>
            <w:r>
              <w:rPr>
                <w:rFonts w:hint="eastAsia"/>
                <w:color w:val="auto"/>
                <w:sz w:val="21"/>
                <w:szCs w:val="21"/>
                <w:highlight w:val="none"/>
                <w:lang w:val="en-US" w:bidi="ar-SA"/>
              </w:rPr>
              <w:t>车牌识别准确率：白天≥99.9%；夜间≥99.9%。</w:t>
            </w:r>
            <w:r>
              <w:rPr>
                <w:rFonts w:hint="eastAsia"/>
                <w:color w:val="auto"/>
                <w:sz w:val="21"/>
                <w:szCs w:val="21"/>
                <w:highlight w:val="none"/>
                <w:lang w:val="en-US" w:bidi="ar-SA"/>
              </w:rPr>
              <w:br w:type="textWrapping"/>
            </w:r>
            <w:r>
              <w:rPr>
                <w:rFonts w:hint="eastAsia"/>
                <w:color w:val="auto"/>
                <w:sz w:val="21"/>
                <w:szCs w:val="21"/>
                <w:highlight w:val="none"/>
                <w:lang w:val="en-US" w:bidi="ar-SA"/>
              </w:rPr>
              <w:t>保存时间：系统管理软件事件信息保存时间≥1年，出入口和场区内的图像保存时间≥30天。</w:t>
            </w:r>
            <w:r>
              <w:rPr>
                <w:rFonts w:hint="eastAsia"/>
                <w:color w:val="auto"/>
                <w:sz w:val="21"/>
                <w:szCs w:val="21"/>
                <w:highlight w:val="none"/>
                <w:lang w:val="en-US" w:bidi="ar-SA"/>
              </w:rPr>
              <w:br w:type="textWrapping"/>
            </w:r>
            <w:r>
              <w:rPr>
                <w:rFonts w:hint="eastAsia"/>
                <w:color w:val="auto"/>
                <w:sz w:val="21"/>
                <w:szCs w:val="21"/>
                <w:highlight w:val="none"/>
                <w:lang w:val="en-US" w:bidi="ar-SA"/>
              </w:rPr>
              <w:t>多车位多车功能，管理一个车主，多辆车对应多个月租车位的情况。</w:t>
            </w:r>
            <w:r>
              <w:rPr>
                <w:rFonts w:hint="eastAsia"/>
                <w:color w:val="auto"/>
                <w:sz w:val="21"/>
                <w:szCs w:val="21"/>
                <w:highlight w:val="none"/>
                <w:lang w:val="en-US" w:bidi="ar-SA"/>
              </w:rPr>
              <w:br w:type="textWrapping"/>
            </w:r>
            <w:r>
              <w:rPr>
                <w:rFonts w:hint="eastAsia"/>
                <w:color w:val="auto"/>
                <w:sz w:val="21"/>
                <w:szCs w:val="21"/>
                <w:highlight w:val="none"/>
                <w:lang w:val="en-US" w:bidi="ar-SA"/>
              </w:rPr>
              <w:t>数据安全性试验：当电源不正常、掉电时，系统设备的授权信息、设备配置信息及事件记录不得丢失。</w:t>
            </w:r>
            <w:r>
              <w:rPr>
                <w:rFonts w:hint="eastAsia"/>
                <w:color w:val="auto"/>
                <w:sz w:val="21"/>
                <w:szCs w:val="21"/>
                <w:highlight w:val="none"/>
                <w:lang w:val="en-US" w:bidi="ar-SA"/>
              </w:rPr>
              <w:br w:type="textWrapping"/>
            </w:r>
            <w:r>
              <w:rPr>
                <w:rFonts w:hint="eastAsia"/>
                <w:color w:val="auto"/>
                <w:sz w:val="21"/>
                <w:szCs w:val="21"/>
                <w:highlight w:val="none"/>
                <w:lang w:val="en-US" w:bidi="ar-SA"/>
              </w:rPr>
              <w:t>车辆无牌无法识别时，可通过人工输入车牌，或系统自动生成ID码入场。</w:t>
            </w:r>
            <w:r>
              <w:rPr>
                <w:rFonts w:hint="eastAsia"/>
                <w:color w:val="auto"/>
                <w:sz w:val="21"/>
                <w:szCs w:val="21"/>
                <w:highlight w:val="none"/>
                <w:lang w:val="en-US" w:bidi="ar-SA"/>
              </w:rPr>
              <w:br w:type="textWrapping"/>
            </w:r>
            <w:r>
              <w:rPr>
                <w:rFonts w:hint="eastAsia"/>
                <w:color w:val="auto"/>
                <w:sz w:val="21"/>
                <w:szCs w:val="21"/>
                <w:highlight w:val="none"/>
                <w:lang w:val="en-US" w:bidi="ar-SA"/>
              </w:rPr>
              <w:t>从车辆身份信息确认放行到挡车器开启的响应时间≤1s。</w:t>
            </w:r>
            <w:r>
              <w:rPr>
                <w:rFonts w:hint="eastAsia"/>
                <w:color w:val="auto"/>
                <w:sz w:val="21"/>
                <w:szCs w:val="21"/>
                <w:highlight w:val="none"/>
                <w:lang w:val="en-US" w:bidi="ar-SA"/>
              </w:rPr>
              <w:br w:type="textWrapping"/>
            </w:r>
            <w:r>
              <w:rPr>
                <w:rFonts w:hint="eastAsia"/>
                <w:color w:val="auto"/>
                <w:sz w:val="21"/>
                <w:szCs w:val="21"/>
                <w:highlight w:val="none"/>
                <w:lang w:val="en-US" w:bidi="ar-SA"/>
              </w:rPr>
              <w:t>设备符合安全、卫生、环保和消费者保护等要求。</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支持手机微信公众号缴费开闸、互联网云停车、自主缴费终端。</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支持多种收费打折（如优惠券打折，酒店收费打折等）。</w:t>
            </w:r>
            <w:r>
              <w:rPr>
                <w:rFonts w:hint="eastAsia"/>
                <w:color w:val="auto"/>
                <w:sz w:val="21"/>
                <w:szCs w:val="21"/>
                <w:highlight w:val="none"/>
                <w:lang w:val="en-US" w:bidi="ar-SA"/>
              </w:rPr>
              <w:br w:type="textWrapping"/>
            </w:r>
            <w:r>
              <w:rPr>
                <w:rFonts w:hint="eastAsia"/>
                <w:color w:val="auto"/>
                <w:sz w:val="21"/>
                <w:szCs w:val="21"/>
                <w:highlight w:val="none"/>
                <w:lang w:val="en-US" w:bidi="ar-SA"/>
              </w:rPr>
              <w:t>视频流和地感触发可自由选择。</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停车管理收费电脑</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停车管理收费电脑</w:t>
            </w:r>
            <w:r>
              <w:rPr>
                <w:rFonts w:hint="eastAsia"/>
                <w:color w:val="auto"/>
                <w:sz w:val="21"/>
                <w:szCs w:val="21"/>
                <w:highlight w:val="none"/>
                <w:lang w:val="en-US" w:bidi="ar-SA"/>
              </w:rPr>
              <w:br w:type="textWrapping"/>
            </w:r>
            <w:r>
              <w:rPr>
                <w:rFonts w:hint="eastAsia"/>
                <w:color w:val="auto"/>
                <w:sz w:val="21"/>
                <w:szCs w:val="21"/>
                <w:highlight w:val="none"/>
                <w:lang w:val="en-US" w:bidi="ar-SA"/>
              </w:rPr>
              <w:t>CPU：英特尔酷睿i3及以上</w:t>
            </w:r>
            <w:r>
              <w:rPr>
                <w:rFonts w:hint="eastAsia"/>
                <w:color w:val="auto"/>
                <w:sz w:val="21"/>
                <w:szCs w:val="21"/>
                <w:highlight w:val="none"/>
                <w:lang w:val="en-US" w:bidi="ar-SA"/>
              </w:rPr>
              <w:br w:type="textWrapping"/>
            </w:r>
            <w:r>
              <w:rPr>
                <w:rFonts w:hint="eastAsia"/>
                <w:color w:val="auto"/>
                <w:sz w:val="21"/>
                <w:szCs w:val="21"/>
                <w:highlight w:val="none"/>
                <w:lang w:val="en-US" w:bidi="ar-SA"/>
              </w:rPr>
              <w:t>内存：8G及以上</w:t>
            </w:r>
            <w:r>
              <w:rPr>
                <w:rFonts w:hint="eastAsia"/>
                <w:color w:val="auto"/>
                <w:sz w:val="21"/>
                <w:szCs w:val="21"/>
                <w:highlight w:val="none"/>
                <w:lang w:val="en-US" w:bidi="ar-SA"/>
              </w:rPr>
              <w:br w:type="textWrapping"/>
            </w:r>
            <w:r>
              <w:rPr>
                <w:rFonts w:hint="eastAsia"/>
                <w:color w:val="auto"/>
                <w:sz w:val="21"/>
                <w:szCs w:val="21"/>
                <w:highlight w:val="none"/>
                <w:lang w:val="en-US" w:bidi="ar-SA"/>
              </w:rPr>
              <w:t>硬盘：250GB SSD或以上</w:t>
            </w:r>
            <w:r>
              <w:rPr>
                <w:rFonts w:hint="eastAsia"/>
                <w:color w:val="auto"/>
                <w:sz w:val="21"/>
                <w:szCs w:val="21"/>
                <w:highlight w:val="none"/>
                <w:lang w:val="en-US" w:bidi="ar-SA"/>
              </w:rPr>
              <w:br w:type="textWrapping"/>
            </w:r>
            <w:r>
              <w:rPr>
                <w:rFonts w:hint="eastAsia"/>
                <w:color w:val="auto"/>
                <w:sz w:val="21"/>
                <w:szCs w:val="21"/>
                <w:highlight w:val="none"/>
                <w:lang w:val="en-US" w:bidi="ar-SA"/>
              </w:rPr>
              <w:t>显示器：21寸及以上</w:t>
            </w:r>
            <w:r>
              <w:rPr>
                <w:rFonts w:hint="eastAsia"/>
                <w:color w:val="auto"/>
                <w:sz w:val="21"/>
                <w:szCs w:val="21"/>
                <w:highlight w:val="none"/>
                <w:lang w:val="en-US" w:bidi="ar-SA"/>
              </w:rPr>
              <w:br w:type="textWrapping"/>
            </w:r>
            <w:r>
              <w:rPr>
                <w:rFonts w:hint="eastAsia"/>
                <w:color w:val="auto"/>
                <w:sz w:val="21"/>
                <w:szCs w:val="21"/>
                <w:highlight w:val="none"/>
                <w:lang w:val="en-US" w:bidi="ar-SA"/>
              </w:rPr>
              <w:t>带键盘、鼠标</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8口交换机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8口交换机，传输速度：10/100/1000Mbps</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漏电保护器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2P 10A</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安装方式：导轨安装</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产品功能：过载/短路保护/漏电保护</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室外安防箱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不锈钢配电箱</w:t>
            </w:r>
            <w:r>
              <w:rPr>
                <w:rFonts w:hint="eastAsia"/>
                <w:color w:val="auto"/>
                <w:sz w:val="21"/>
                <w:szCs w:val="21"/>
                <w:highlight w:val="none"/>
                <w:lang w:val="en-US" w:bidi="ar-SA"/>
              </w:rPr>
              <w:br w:type="textWrapping"/>
            </w:r>
            <w:r>
              <w:rPr>
                <w:rFonts w:hint="eastAsia"/>
                <w:color w:val="auto"/>
                <w:sz w:val="21"/>
                <w:szCs w:val="21"/>
                <w:highlight w:val="none"/>
                <w:lang w:val="en-US" w:bidi="ar-SA"/>
              </w:rPr>
              <w:t>户外防雨</w:t>
            </w:r>
            <w:r>
              <w:rPr>
                <w:rFonts w:hint="eastAsia"/>
                <w:color w:val="auto"/>
                <w:sz w:val="21"/>
                <w:szCs w:val="21"/>
                <w:highlight w:val="none"/>
                <w:lang w:val="en-US" w:bidi="ar-SA"/>
              </w:rPr>
              <w:br w:type="textWrapping"/>
            </w:r>
            <w:r>
              <w:rPr>
                <w:rFonts w:hint="eastAsia"/>
                <w:color w:val="auto"/>
                <w:sz w:val="21"/>
                <w:szCs w:val="21"/>
                <w:highlight w:val="none"/>
                <w:lang w:val="en-US" w:bidi="ar-SA"/>
              </w:rPr>
              <w:t>尺寸不小于300mm*400mm*170mm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安全岛</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配套国产</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管线等辅材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电线：国标2芯线4芯线</w:t>
            </w:r>
            <w:r>
              <w:rPr>
                <w:rFonts w:hint="eastAsia"/>
                <w:color w:val="auto"/>
                <w:sz w:val="21"/>
                <w:szCs w:val="21"/>
                <w:highlight w:val="none"/>
                <w:lang w:val="en-US" w:bidi="ar-SA"/>
              </w:rPr>
              <w:br w:type="textWrapping"/>
            </w:r>
            <w:r>
              <w:rPr>
                <w:rFonts w:hint="eastAsia"/>
                <w:color w:val="auto"/>
                <w:sz w:val="21"/>
                <w:szCs w:val="21"/>
                <w:highlight w:val="none"/>
                <w:lang w:val="en-US" w:bidi="ar-SA"/>
              </w:rPr>
              <w:t>户外网线:国标8芯线</w:t>
            </w:r>
            <w:r>
              <w:rPr>
                <w:rFonts w:hint="eastAsia"/>
                <w:color w:val="auto"/>
                <w:sz w:val="21"/>
                <w:szCs w:val="21"/>
                <w:highlight w:val="none"/>
                <w:lang w:val="en-US" w:bidi="ar-SA"/>
              </w:rPr>
              <w:br w:type="textWrapping"/>
            </w:r>
            <w:r>
              <w:rPr>
                <w:rFonts w:hint="eastAsia"/>
                <w:color w:val="auto"/>
                <w:sz w:val="21"/>
                <w:szCs w:val="21"/>
                <w:highlight w:val="none"/>
                <w:lang w:val="en-US" w:bidi="ar-SA"/>
              </w:rPr>
              <w:t>室内网线:国标8芯线</w:t>
            </w:r>
            <w:r>
              <w:rPr>
                <w:rFonts w:hint="eastAsia"/>
                <w:color w:val="auto"/>
                <w:sz w:val="21"/>
                <w:szCs w:val="21"/>
                <w:highlight w:val="none"/>
                <w:lang w:val="en-US" w:bidi="ar-SA"/>
              </w:rPr>
              <w:br w:type="textWrapping"/>
            </w:r>
            <w:r>
              <w:rPr>
                <w:rFonts w:hint="eastAsia"/>
                <w:color w:val="auto"/>
                <w:sz w:val="21"/>
                <w:szCs w:val="21"/>
                <w:highlight w:val="none"/>
                <w:lang w:val="en-US" w:bidi="ar-SA"/>
              </w:rPr>
              <w:t>水晶头、铆钉、膨胀螺丝、胶带、PVC管、沙子、水泥等。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22寸液晶显示器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22寸无边框液晶监视器</w:t>
            </w:r>
            <w:r>
              <w:rPr>
                <w:rFonts w:hint="eastAsia"/>
                <w:color w:val="auto"/>
                <w:sz w:val="21"/>
                <w:szCs w:val="21"/>
                <w:highlight w:val="none"/>
                <w:lang w:val="en-US" w:bidi="ar-SA"/>
              </w:rPr>
              <w:br w:type="textWrapping"/>
            </w:r>
            <w:r>
              <w:rPr>
                <w:rFonts w:hint="eastAsia"/>
                <w:color w:val="auto"/>
                <w:sz w:val="21"/>
                <w:szCs w:val="21"/>
                <w:highlight w:val="none"/>
                <w:lang w:val="en-US" w:bidi="ar-SA"/>
              </w:rPr>
              <w:t>显示：LED背光；分辨率1920*1080；亮度250cd/㎡，对比度：3000:1，功耗≤24W</w:t>
            </w:r>
            <w:r>
              <w:rPr>
                <w:rFonts w:hint="eastAsia"/>
                <w:color w:val="auto"/>
                <w:sz w:val="21"/>
                <w:szCs w:val="21"/>
                <w:highlight w:val="none"/>
                <w:lang w:val="en-US" w:bidi="ar-SA"/>
              </w:rPr>
              <w:br w:type="textWrapping"/>
            </w:r>
            <w:r>
              <w:rPr>
                <w:rFonts w:hint="eastAsia"/>
                <w:color w:val="auto"/>
                <w:sz w:val="21"/>
                <w:szCs w:val="21"/>
                <w:highlight w:val="none"/>
                <w:lang w:val="en-US" w:bidi="ar-SA"/>
              </w:rPr>
              <w:t>裸机尺寸(W×L×D)(mm)：492.356 (W) mm × 390.11 (H) mm × 199.79 (D) mm（含底座）                                         492.356 (W) mm × 289.680 (H) mm × 43.88 (D) mm（无底座）</w:t>
            </w:r>
            <w:r>
              <w:rPr>
                <w:rFonts w:hint="eastAsia"/>
                <w:color w:val="auto"/>
                <w:sz w:val="21"/>
                <w:szCs w:val="21"/>
                <w:highlight w:val="none"/>
                <w:lang w:val="en-US" w:bidi="ar-SA"/>
              </w:rPr>
              <w:br w:type="textWrapping"/>
            </w:r>
            <w:r>
              <w:rPr>
                <w:rFonts w:hint="eastAsia"/>
                <w:color w:val="auto"/>
                <w:sz w:val="21"/>
                <w:szCs w:val="21"/>
                <w:highlight w:val="none"/>
                <w:lang w:val="en-US" w:bidi="ar-SA"/>
              </w:rPr>
              <w:t>边框宽度：1.88 mm（上/左/右），19 mm（下）</w:t>
            </w:r>
            <w:r>
              <w:rPr>
                <w:rFonts w:hint="eastAsia"/>
                <w:color w:val="auto"/>
                <w:sz w:val="21"/>
                <w:szCs w:val="21"/>
                <w:highlight w:val="none"/>
                <w:lang w:val="en-US" w:bidi="ar-SA"/>
              </w:rPr>
              <w:br w:type="textWrapping"/>
            </w:r>
            <w:r>
              <w:rPr>
                <w:rFonts w:hint="eastAsia"/>
                <w:color w:val="auto"/>
                <w:sz w:val="21"/>
                <w:szCs w:val="21"/>
                <w:highlight w:val="none"/>
                <w:lang w:val="en-US" w:bidi="ar-SA"/>
              </w:rPr>
              <w:t>接口：HDMI IN × 1, VGA IN × 1, BNC  IN× 1, AUDIO IN × 1 , 2 W 8 Ω  OUT × 1, USB 2.0 × 1</w:t>
            </w:r>
            <w:r>
              <w:rPr>
                <w:rFonts w:hint="eastAsia"/>
                <w:color w:val="auto"/>
                <w:sz w:val="21"/>
                <w:szCs w:val="21"/>
                <w:highlight w:val="none"/>
                <w:lang w:val="en-US" w:bidi="ar-SA"/>
              </w:rPr>
              <w:br w:type="textWrapping"/>
            </w:r>
            <w:r>
              <w:rPr>
                <w:rFonts w:hint="eastAsia"/>
                <w:color w:val="auto"/>
                <w:sz w:val="21"/>
                <w:szCs w:val="21"/>
                <w:highlight w:val="none"/>
                <w:lang w:val="en-US" w:bidi="ar-SA"/>
              </w:rPr>
              <w:t>标准配置：电源线 × 1, RoHS认证标志 × 1,  底座支架 × 1,  用户手册（含合格证、保修卡、限制物质表） × 1, HDMI线 × 1</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四、教育场景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托育场地监控</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半球监控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 ICR日夜型半球型网络摄像机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ON），黑白：0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调节角度: 水平：0°~360°，垂直：0°~75°，旋转：0°~360° </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2.8 mm，水平视场角：107.1°，垂直视场角：57°，对角视场角：127.6°</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存储温湿度: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 ~0.11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产品尺寸: Ø127.3 × 96.8 mm</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包装尺寸: 150 × 150 × 141 mm </w:t>
            </w:r>
            <w:r>
              <w:rPr>
                <w:rFonts w:hint="eastAsia"/>
                <w:color w:val="auto"/>
                <w:sz w:val="21"/>
                <w:szCs w:val="21"/>
                <w:highlight w:val="none"/>
                <w:lang w:val="en-US" w:bidi="ar-SA"/>
              </w:rPr>
              <w:br w:type="textWrapping"/>
            </w:r>
            <w:r>
              <w:rPr>
                <w:rFonts w:hint="eastAsia"/>
                <w:color w:val="auto"/>
                <w:sz w:val="21"/>
                <w:szCs w:val="21"/>
                <w:highlight w:val="none"/>
                <w:lang w:val="en-US" w:bidi="ar-SA"/>
              </w:rPr>
              <w:t>设备重量: 340 g</w:t>
            </w:r>
            <w:r>
              <w:rPr>
                <w:rFonts w:hint="eastAsia"/>
                <w:color w:val="auto"/>
                <w:sz w:val="21"/>
                <w:szCs w:val="21"/>
                <w:highlight w:val="none"/>
                <w:lang w:val="en-US" w:bidi="ar-SA"/>
              </w:rPr>
              <w:br w:type="textWrapping"/>
            </w:r>
            <w:r>
              <w:rPr>
                <w:rFonts w:hint="eastAsia"/>
                <w:color w:val="auto"/>
                <w:sz w:val="21"/>
                <w:szCs w:val="21"/>
                <w:highlight w:val="none"/>
                <w:lang w:val="en-US" w:bidi="ar-SA"/>
              </w:rPr>
              <w:t>带包装重量: 520 g</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高清数字监控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CMOS红外筒型网络摄像机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12 mm，水平视场角：25.4°，垂直视场角：14.4°，对角视场角：29.1°</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红外波长范围: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★内置两个图像传感器，分别输出黑白及彩色图像，可对视频图像进行融合输出。（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★支持快捷配置功能，可在预览画面开启/关闭“快捷配置”页面，对曝光参数、OSD等参数进行配置，并可恢复为默认设置。 （</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人脸抓拍功能摄像机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星光级1/1.8" CMOS AI抓拍筒型网络摄像机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采用深度学习算法，以海量图片及视频资源为路基，通过机器自身提取目标特征，形成深层可供学习的人脸图像。极大的提升了目标人脸的检出率</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支持智能资源模式切换：人脸抓拍、道路监控、Smart事件、人数统计</w:t>
            </w:r>
            <w:r>
              <w:rPr>
                <w:rFonts w:hint="eastAsia"/>
                <w:color w:val="auto"/>
                <w:sz w:val="21"/>
                <w:szCs w:val="21"/>
                <w:highlight w:val="none"/>
                <w:lang w:val="en-US" w:bidi="ar-SA"/>
              </w:rPr>
              <w:br w:type="textWrapping"/>
            </w:r>
            <w:r>
              <w:rPr>
                <w:rFonts w:hint="eastAsia"/>
                <w:color w:val="auto"/>
                <w:sz w:val="21"/>
                <w:szCs w:val="21"/>
                <w:highlight w:val="none"/>
                <w:lang w:val="en-US" w:bidi="ar-SA"/>
              </w:rPr>
              <w:t>人脸抓拍模式：a)支持对运动人脸进行检测、跟踪、抓拍、评分、筛选，输出最优的人脸，b)支持人脸去误报、快速抓拍人脸，c)支持快速抓拍和最佳抓拍两种模式，d)最多同时检测30张人脸，e)支持人脸去重</w:t>
            </w:r>
            <w:r>
              <w:rPr>
                <w:rFonts w:hint="eastAsia"/>
                <w:color w:val="auto"/>
                <w:sz w:val="21"/>
                <w:szCs w:val="21"/>
                <w:highlight w:val="none"/>
                <w:lang w:val="en-US" w:bidi="ar-SA"/>
              </w:rPr>
              <w:br w:type="textWrapping"/>
            </w:r>
            <w:r>
              <w:rPr>
                <w:rFonts w:hint="eastAsia"/>
                <w:color w:val="auto"/>
                <w:sz w:val="21"/>
                <w:szCs w:val="21"/>
                <w:highlight w:val="none"/>
                <w:lang w:val="en-US" w:bidi="ar-SA"/>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color w:val="auto"/>
                <w:sz w:val="21"/>
                <w:szCs w:val="21"/>
                <w:highlight w:val="none"/>
                <w:lang w:val="en-US" w:bidi="ar-SA"/>
              </w:rPr>
              <w:br w:type="textWrapping"/>
            </w:r>
            <w:r>
              <w:rPr>
                <w:rFonts w:hint="eastAsia"/>
                <w:color w:val="auto"/>
                <w:sz w:val="21"/>
                <w:szCs w:val="21"/>
                <w:highlight w:val="none"/>
                <w:lang w:val="en-US" w:bidi="ar-SA"/>
              </w:rPr>
              <w:t>Smart事件模式： 支持越界侦测，区域入侵侦测，进入/离开区域侦测，徘徊侦测，人员聚集侦测，快速运动侦测，停车侦测，物品遗留/拿取侦测，场景变更侦测，音频陡升/陡降侦测，音频有无侦测，虚焦侦测</w:t>
            </w:r>
            <w:r>
              <w:rPr>
                <w:rFonts w:hint="eastAsia"/>
                <w:color w:val="auto"/>
                <w:sz w:val="21"/>
                <w:szCs w:val="21"/>
                <w:highlight w:val="none"/>
                <w:lang w:val="en-US" w:bidi="ar-SA"/>
              </w:rPr>
              <w:br w:type="textWrapping"/>
            </w:r>
            <w:r>
              <w:rPr>
                <w:rFonts w:hint="eastAsia"/>
                <w:color w:val="auto"/>
                <w:sz w:val="21"/>
                <w:szCs w:val="21"/>
                <w:highlight w:val="none"/>
                <w:lang w:val="en-US" w:bidi="ar-SA"/>
              </w:rPr>
              <w:t>人数统计模式：a)人员统计：支持实时报警，人数变化报警和拥堵等级变化报警，并支持人数异常和停留时间异常报警，b)行为分析：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color w:val="auto"/>
                <w:sz w:val="21"/>
                <w:szCs w:val="21"/>
                <w:highlight w:val="none"/>
                <w:lang w:val="en-US" w:bidi="ar-SA"/>
              </w:rPr>
              <w:br w:type="textWrapping"/>
            </w:r>
            <w:r>
              <w:rPr>
                <w:rFonts w:hint="eastAsia"/>
                <w:color w:val="auto"/>
                <w:sz w:val="21"/>
                <w:szCs w:val="21"/>
                <w:highlight w:val="none"/>
                <w:lang w:val="en-US" w:bidi="ar-SA"/>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彩色：0.0005 Lux @（F1.2，AGC ON），0 Lux with Light；黑白：0.0001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120dB</w:t>
            </w:r>
            <w:r>
              <w:rPr>
                <w:rFonts w:hint="eastAsia"/>
                <w:color w:val="auto"/>
                <w:sz w:val="21"/>
                <w:szCs w:val="21"/>
                <w:highlight w:val="none"/>
                <w:lang w:val="en-US" w:bidi="ar-SA"/>
              </w:rPr>
              <w:br w:type="textWrapping"/>
            </w:r>
            <w:r>
              <w:rPr>
                <w:rFonts w:hint="eastAsia"/>
                <w:color w:val="auto"/>
                <w:sz w:val="21"/>
                <w:szCs w:val="21"/>
                <w:highlight w:val="none"/>
                <w:lang w:val="en-US" w:bidi="ar-SA"/>
              </w:rPr>
              <w:t>焦距&amp;视场角: 2.8~12 mm：水平视场角：107°~39.8°，垂直视场角：56°~22.4°，对角线视场角：130.1°~45.7°</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红外，850nm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2.8~12 mm：普通监控：50 m，人脸抓拍/识别：7 m</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H.265/H.264/MJPEG</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支持Micro SD(即TF卡)/Micro SDHC/Micro SDXC卡（最大256 GB）断网本地存储及断网续传，NAS（NFS，SMB/CIFS均支持），配合黑卡支持SD卡加密及SD卡状态检测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2 路输入（Line in），1路输出（Line out）</w:t>
            </w:r>
            <w:r>
              <w:rPr>
                <w:rFonts w:hint="eastAsia"/>
                <w:color w:val="auto"/>
                <w:sz w:val="21"/>
                <w:szCs w:val="21"/>
                <w:highlight w:val="none"/>
                <w:lang w:val="en-US" w:bidi="ar-SA"/>
              </w:rPr>
              <w:br w:type="textWrapping"/>
            </w:r>
            <w:r>
              <w:rPr>
                <w:rFonts w:hint="eastAsia"/>
                <w:color w:val="auto"/>
                <w:sz w:val="21"/>
                <w:szCs w:val="21"/>
                <w:highlight w:val="none"/>
                <w:lang w:val="en-US" w:bidi="ar-SA"/>
              </w:rPr>
              <w:t>接口类型: 外甩线</w:t>
            </w:r>
            <w:r>
              <w:rPr>
                <w:rFonts w:hint="eastAsia"/>
                <w:color w:val="auto"/>
                <w:sz w:val="21"/>
                <w:szCs w:val="21"/>
                <w:highlight w:val="none"/>
                <w:lang w:val="en-US" w:bidi="ar-SA"/>
              </w:rPr>
              <w:br w:type="textWrapping"/>
            </w:r>
            <w:r>
              <w:rPr>
                <w:rFonts w:hint="eastAsia"/>
                <w:color w:val="auto"/>
                <w:sz w:val="21"/>
                <w:szCs w:val="21"/>
                <w:highlight w:val="none"/>
                <w:lang w:val="en-US" w:bidi="ar-SA"/>
              </w:rPr>
              <w:t>报警: 3路输入，2路输出（报警输入支持开关量，报警输出最大支持DC12 V，30 mA）</w:t>
            </w:r>
            <w:r>
              <w:rPr>
                <w:rFonts w:hint="eastAsia"/>
                <w:color w:val="auto"/>
                <w:sz w:val="21"/>
                <w:szCs w:val="21"/>
                <w:highlight w:val="none"/>
                <w:lang w:val="en-US" w:bidi="ar-SA"/>
              </w:rPr>
              <w:br w:type="textWrapping"/>
            </w:r>
            <w:r>
              <w:rPr>
                <w:rFonts w:hint="eastAsia"/>
                <w:color w:val="auto"/>
                <w:sz w:val="21"/>
                <w:szCs w:val="21"/>
                <w:highlight w:val="none"/>
                <w:lang w:val="en-US" w:bidi="ar-SA"/>
              </w:rPr>
              <w:t>支持RS-485</w:t>
            </w:r>
            <w:r>
              <w:rPr>
                <w:rFonts w:hint="eastAsia"/>
                <w:color w:val="auto"/>
                <w:sz w:val="21"/>
                <w:szCs w:val="21"/>
                <w:highlight w:val="none"/>
                <w:lang w:val="en-US" w:bidi="ar-SA"/>
              </w:rPr>
              <w:br w:type="textWrapping"/>
            </w:r>
            <w:r>
              <w:rPr>
                <w:rFonts w:hint="eastAsia"/>
                <w:color w:val="auto"/>
                <w:sz w:val="21"/>
                <w:szCs w:val="21"/>
                <w:highlight w:val="none"/>
                <w:lang w:val="en-US" w:bidi="ar-SA"/>
              </w:rPr>
              <w:t>复位: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电源输出: DC12 V，100 mA</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电流及功耗: DC：12 V，1.33 A，最大功耗：15.9 W；PoE：802.3at，42.5 V~57 V，0.35 A~0.26 A，最大功耗：14.8 W </w:t>
            </w:r>
            <w:r>
              <w:rPr>
                <w:rFonts w:hint="eastAsia"/>
                <w:color w:val="auto"/>
                <w:sz w:val="21"/>
                <w:szCs w:val="21"/>
                <w:highlight w:val="none"/>
                <w:lang w:val="en-US" w:bidi="ar-SA"/>
              </w:rPr>
              <w:br w:type="textWrapping"/>
            </w:r>
            <w:r>
              <w:rPr>
                <w:rFonts w:hint="eastAsia"/>
                <w:color w:val="auto"/>
                <w:sz w:val="21"/>
                <w:szCs w:val="21"/>
                <w:highlight w:val="none"/>
                <w:lang w:val="en-US" w:bidi="ar-SA"/>
              </w:rPr>
              <w:t>线缆长度: 35cm</w:t>
            </w:r>
            <w:r>
              <w:rPr>
                <w:rFonts w:hint="eastAsia"/>
                <w:color w:val="auto"/>
                <w:sz w:val="21"/>
                <w:szCs w:val="21"/>
                <w:highlight w:val="none"/>
                <w:lang w:val="en-US" w:bidi="ar-SA"/>
              </w:rPr>
              <w:br w:type="textWrapping"/>
            </w:r>
            <w:r>
              <w:rPr>
                <w:rFonts w:hint="eastAsia"/>
                <w:color w:val="auto"/>
                <w:sz w:val="21"/>
                <w:szCs w:val="21"/>
                <w:highlight w:val="none"/>
                <w:lang w:val="en-US" w:bidi="ar-SA"/>
              </w:rPr>
              <w:t>包装尺寸: 385×158×155mm</w:t>
            </w:r>
            <w:r>
              <w:rPr>
                <w:rFonts w:hint="eastAsia"/>
                <w:color w:val="auto"/>
                <w:sz w:val="21"/>
                <w:szCs w:val="21"/>
                <w:highlight w:val="none"/>
                <w:lang w:val="en-US" w:bidi="ar-SA"/>
              </w:rPr>
              <w:br w:type="textWrapping"/>
            </w:r>
            <w:r>
              <w:rPr>
                <w:rFonts w:hint="eastAsia"/>
                <w:color w:val="auto"/>
                <w:sz w:val="21"/>
                <w:szCs w:val="21"/>
                <w:highlight w:val="none"/>
                <w:lang w:val="en-US" w:bidi="ar-SA"/>
              </w:rPr>
              <w:t>存储温湿度: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DC：12V±20% ，支持防反接保护；PoE：802.3at,Type 2 Class 4</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3芯接口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IP67</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★支持硬件微引导程序、uboot、OS、应用软件逐级校验功能，非法篡改的uboot、OS、应用软件固件包，不能通过命令行、浏览器、客户端方式进行升级。（</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在IE浏览器下，具有设备重启和布防动态报警数据感知与记录功能，布防动态报警数据包括异常掉线、历史布防、实时布防3种类型；可记录报警的开始时间、结束时间、布防类型、报警链路地址、端口、链路续传。（</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★支持通过IE浏览器设置登录超时时间，当登录后无操作时长达到设置阈值后，设备自动退出并重新进入登录界面。（</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室外监控立杆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室外监控立杆（普通）:3.5m，含立杆防雷箱，基础接地等附件，表面热镀锌处理，镀锌扁钢40mm*4mm,L:500mm，镀锌角钢50mm*5mm,L:2500mm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磁盘录像机（16路）</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硬件规格：</w:t>
            </w:r>
            <w:r>
              <w:rPr>
                <w:rFonts w:hint="eastAsia"/>
                <w:color w:val="auto"/>
                <w:sz w:val="21"/>
                <w:szCs w:val="21"/>
                <w:highlight w:val="none"/>
                <w:lang w:val="en-US" w:bidi="ar-SA"/>
              </w:rPr>
              <w:br w:type="textWrapping"/>
            </w:r>
            <w:r>
              <w:rPr>
                <w:rFonts w:hint="eastAsia"/>
                <w:color w:val="auto"/>
                <w:sz w:val="21"/>
                <w:szCs w:val="21"/>
                <w:highlight w:val="none"/>
                <w:lang w:val="en-US" w:bidi="ar-SA"/>
              </w:rPr>
              <w:t>2U标准机架式</w:t>
            </w:r>
            <w:r>
              <w:rPr>
                <w:rFonts w:hint="eastAsia"/>
                <w:color w:val="auto"/>
                <w:sz w:val="21"/>
                <w:szCs w:val="21"/>
                <w:highlight w:val="none"/>
                <w:lang w:val="en-US" w:bidi="ar-SA"/>
              </w:rPr>
              <w:br w:type="textWrapping"/>
            </w:r>
            <w:r>
              <w:rPr>
                <w:rFonts w:hint="eastAsia"/>
                <w:color w:val="auto"/>
                <w:sz w:val="21"/>
                <w:szCs w:val="21"/>
                <w:highlight w:val="none"/>
                <w:lang w:val="en-US" w:bidi="ar-SA"/>
              </w:rPr>
              <w:t>2个HDMI，2个VGA，HDMI+VGA组内同源</w:t>
            </w:r>
            <w:r>
              <w:rPr>
                <w:rFonts w:hint="eastAsia"/>
                <w:color w:val="auto"/>
                <w:sz w:val="21"/>
                <w:szCs w:val="21"/>
                <w:highlight w:val="none"/>
                <w:lang w:val="en-US" w:bidi="ar-SA"/>
              </w:rPr>
              <w:br w:type="textWrapping"/>
            </w:r>
            <w:r>
              <w:rPr>
                <w:rFonts w:hint="eastAsia"/>
                <w:color w:val="auto"/>
                <w:sz w:val="21"/>
                <w:szCs w:val="21"/>
                <w:highlight w:val="none"/>
                <w:lang w:val="en-US" w:bidi="ar-SA"/>
              </w:rPr>
              <w:t>8盘位，可满配10T硬盘</w:t>
            </w:r>
            <w:r>
              <w:rPr>
                <w:rFonts w:hint="eastAsia"/>
                <w:color w:val="auto"/>
                <w:sz w:val="21"/>
                <w:szCs w:val="21"/>
                <w:highlight w:val="none"/>
                <w:lang w:val="en-US" w:bidi="ar-SA"/>
              </w:rPr>
              <w:br w:type="textWrapping"/>
            </w:r>
            <w:r>
              <w:rPr>
                <w:rFonts w:hint="eastAsia"/>
                <w:color w:val="auto"/>
                <w:sz w:val="21"/>
                <w:szCs w:val="21"/>
                <w:highlight w:val="none"/>
                <w:lang w:val="en-US" w:bidi="ar-SA"/>
              </w:rPr>
              <w:t>2个千兆网口</w:t>
            </w:r>
            <w:r>
              <w:rPr>
                <w:rFonts w:hint="eastAsia"/>
                <w:color w:val="auto"/>
                <w:sz w:val="21"/>
                <w:szCs w:val="21"/>
                <w:highlight w:val="none"/>
                <w:lang w:val="en-US" w:bidi="ar-SA"/>
              </w:rPr>
              <w:br w:type="textWrapping"/>
            </w:r>
            <w:r>
              <w:rPr>
                <w:rFonts w:hint="eastAsia"/>
                <w:color w:val="auto"/>
                <w:sz w:val="21"/>
                <w:szCs w:val="21"/>
                <w:highlight w:val="none"/>
                <w:lang w:val="en-US" w:bidi="ar-SA"/>
              </w:rPr>
              <w:t>2个USB2.0接口、1个USB3.0接口</w:t>
            </w:r>
            <w:r>
              <w:rPr>
                <w:rFonts w:hint="eastAsia"/>
                <w:color w:val="auto"/>
                <w:sz w:val="21"/>
                <w:szCs w:val="21"/>
                <w:highlight w:val="none"/>
                <w:lang w:val="en-US" w:bidi="ar-SA"/>
              </w:rPr>
              <w:br w:type="textWrapping"/>
            </w:r>
            <w:r>
              <w:rPr>
                <w:rFonts w:hint="eastAsia"/>
                <w:color w:val="auto"/>
                <w:sz w:val="21"/>
                <w:szCs w:val="21"/>
                <w:highlight w:val="none"/>
                <w:lang w:val="en-US" w:bidi="ar-SA"/>
              </w:rPr>
              <w:t>1个eSATA接口</w:t>
            </w:r>
            <w:r>
              <w:rPr>
                <w:rFonts w:hint="eastAsia"/>
                <w:color w:val="auto"/>
                <w:sz w:val="21"/>
                <w:szCs w:val="21"/>
                <w:highlight w:val="none"/>
                <w:lang w:val="en-US" w:bidi="ar-SA"/>
              </w:rPr>
              <w:br w:type="textWrapping"/>
            </w:r>
            <w:r>
              <w:rPr>
                <w:rFonts w:hint="eastAsia"/>
                <w:color w:val="auto"/>
                <w:sz w:val="21"/>
                <w:szCs w:val="21"/>
                <w:highlight w:val="none"/>
                <w:lang w:val="en-US" w:bidi="ar-SA"/>
              </w:rPr>
              <w:t>支持RAID0、1、5、6、10，支持全局热备盘</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软件性能：</w:t>
            </w:r>
            <w:r>
              <w:rPr>
                <w:rFonts w:hint="eastAsia"/>
                <w:color w:val="auto"/>
                <w:sz w:val="21"/>
                <w:szCs w:val="21"/>
                <w:highlight w:val="none"/>
                <w:lang w:val="en-US" w:bidi="ar-SA"/>
              </w:rPr>
              <w:br w:type="textWrapping"/>
            </w:r>
            <w:r>
              <w:rPr>
                <w:rFonts w:hint="eastAsia"/>
                <w:color w:val="auto"/>
                <w:sz w:val="21"/>
                <w:szCs w:val="21"/>
                <w:highlight w:val="none"/>
                <w:lang w:val="en-US" w:bidi="ar-SA"/>
              </w:rPr>
              <w:t>输入带宽：256M</w:t>
            </w:r>
            <w:r>
              <w:rPr>
                <w:rFonts w:hint="eastAsia"/>
                <w:color w:val="auto"/>
                <w:sz w:val="21"/>
                <w:szCs w:val="21"/>
                <w:highlight w:val="none"/>
                <w:lang w:val="en-US" w:bidi="ar-SA"/>
              </w:rPr>
              <w:br w:type="textWrapping"/>
            </w:r>
            <w:r>
              <w:rPr>
                <w:rFonts w:hint="eastAsia"/>
                <w:color w:val="auto"/>
                <w:sz w:val="21"/>
                <w:szCs w:val="21"/>
                <w:highlight w:val="none"/>
                <w:lang w:val="en-US" w:bidi="ar-SA"/>
              </w:rPr>
              <w:t>16路H.264、H.265混合接入</w:t>
            </w:r>
            <w:r>
              <w:rPr>
                <w:rFonts w:hint="eastAsia"/>
                <w:color w:val="auto"/>
                <w:sz w:val="21"/>
                <w:szCs w:val="21"/>
                <w:highlight w:val="none"/>
                <w:lang w:val="en-US" w:bidi="ar-SA"/>
              </w:rPr>
              <w:br w:type="textWrapping"/>
            </w:r>
            <w:r>
              <w:rPr>
                <w:rFonts w:hint="eastAsia"/>
                <w:color w:val="auto"/>
                <w:sz w:val="21"/>
                <w:szCs w:val="21"/>
                <w:highlight w:val="none"/>
                <w:lang w:val="en-US" w:bidi="ar-SA"/>
              </w:rPr>
              <w:t>最大支持16×1080P解码</w:t>
            </w:r>
            <w:r>
              <w:rPr>
                <w:rFonts w:hint="eastAsia"/>
                <w:color w:val="auto"/>
                <w:sz w:val="21"/>
                <w:szCs w:val="21"/>
                <w:highlight w:val="none"/>
                <w:lang w:val="en-US" w:bidi="ar-SA"/>
              </w:rPr>
              <w:br w:type="textWrapping"/>
            </w:r>
            <w:r>
              <w:rPr>
                <w:rFonts w:hint="eastAsia"/>
                <w:color w:val="auto"/>
                <w:sz w:val="21"/>
                <w:szCs w:val="21"/>
                <w:highlight w:val="none"/>
                <w:lang w:val="en-US" w:bidi="ar-SA"/>
              </w:rPr>
              <w:t>支持H.265、H.264解码</w:t>
            </w:r>
            <w:r>
              <w:rPr>
                <w:rFonts w:hint="eastAsia"/>
                <w:color w:val="auto"/>
                <w:sz w:val="21"/>
                <w:szCs w:val="21"/>
                <w:highlight w:val="none"/>
                <w:lang w:val="en-US" w:bidi="ar-SA"/>
              </w:rPr>
              <w:br w:type="textWrapping"/>
            </w:r>
            <w:r>
              <w:rPr>
                <w:rFonts w:hint="eastAsia"/>
                <w:color w:val="auto"/>
                <w:sz w:val="21"/>
                <w:szCs w:val="21"/>
                <w:highlight w:val="none"/>
                <w:lang w:val="en-US" w:bidi="ar-SA"/>
              </w:rPr>
              <w:t>平台对接协议：ISUP/萤石/GB28181/SDK</w:t>
            </w:r>
            <w:r>
              <w:rPr>
                <w:rFonts w:hint="eastAsia"/>
                <w:color w:val="auto"/>
                <w:sz w:val="21"/>
                <w:szCs w:val="21"/>
                <w:highlight w:val="none"/>
                <w:lang w:val="en-US" w:bidi="ar-SA"/>
              </w:rPr>
              <w:br w:type="textWrapping"/>
            </w:r>
            <w:r>
              <w:rPr>
                <w:rFonts w:hint="eastAsia"/>
                <w:color w:val="auto"/>
                <w:sz w:val="21"/>
                <w:szCs w:val="21"/>
                <w:highlight w:val="none"/>
                <w:lang w:val="en-US" w:bidi="ar-SA"/>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★支持设备级联，NVR接入NVR、DVR、XVR设备，选择通道添加（</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本地预览权限的配置，设置权限后的通道只有登录后才会出现预览画面；支持远程预览加密，只有输入密钥才能解开视频。并支持码流加密；WEB界面远程登录设备，30分钟无操作，设备自动退出登录；可设置远程访问IP地址和MAC地址黑白名单；WEB端可设置开启HTTPS安全链接、SSH（</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监控专用硬盘</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WD81EJRX,8T,3.5",SATA</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光纤收发器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光纤收发器，千兆单模单纤；</w:t>
            </w:r>
            <w:r>
              <w:rPr>
                <w:rFonts w:hint="eastAsia"/>
                <w:color w:val="auto"/>
                <w:sz w:val="21"/>
                <w:szCs w:val="21"/>
                <w:highlight w:val="none"/>
                <w:lang w:val="en-US" w:bidi="ar-SA"/>
              </w:rPr>
              <w:br w:type="textWrapping"/>
            </w:r>
            <w:r>
              <w:rPr>
                <w:rFonts w:hint="eastAsia"/>
                <w:color w:val="auto"/>
                <w:sz w:val="21"/>
                <w:szCs w:val="21"/>
                <w:highlight w:val="none"/>
                <w:lang w:val="en-US" w:bidi="ar-SA"/>
              </w:rPr>
              <w:t>光纤接口：SC接口；</w:t>
            </w:r>
            <w:r>
              <w:rPr>
                <w:rFonts w:hint="eastAsia"/>
                <w:color w:val="auto"/>
                <w:sz w:val="21"/>
                <w:szCs w:val="21"/>
                <w:highlight w:val="none"/>
                <w:lang w:val="en-US" w:bidi="ar-SA"/>
              </w:rPr>
              <w:br w:type="textWrapping"/>
            </w:r>
            <w:r>
              <w:rPr>
                <w:rFonts w:hint="eastAsia"/>
                <w:color w:val="auto"/>
                <w:sz w:val="21"/>
                <w:szCs w:val="21"/>
                <w:highlight w:val="none"/>
                <w:lang w:val="en-US" w:bidi="ar-SA"/>
              </w:rPr>
              <w:t>外壳金属材质，有散热通风口、带电源支持宽电源电压DC5V/2A；</w:t>
            </w:r>
            <w:r>
              <w:rPr>
                <w:rFonts w:hint="eastAsia"/>
                <w:color w:val="auto"/>
                <w:sz w:val="21"/>
                <w:szCs w:val="21"/>
                <w:highlight w:val="none"/>
                <w:lang w:val="en-US" w:bidi="ar-SA"/>
              </w:rPr>
              <w:br w:type="textWrapping"/>
            </w:r>
            <w:r>
              <w:rPr>
                <w:rFonts w:hint="eastAsia"/>
                <w:color w:val="auto"/>
                <w:sz w:val="21"/>
                <w:szCs w:val="21"/>
                <w:highlight w:val="none"/>
                <w:lang w:val="en-US" w:bidi="ar-SA"/>
              </w:rPr>
              <w:t>LED状态指示，可快速排查故障所在；</w:t>
            </w:r>
            <w:r>
              <w:rPr>
                <w:rFonts w:hint="eastAsia"/>
                <w:color w:val="auto"/>
                <w:sz w:val="21"/>
                <w:szCs w:val="21"/>
                <w:highlight w:val="none"/>
                <w:lang w:val="en-US" w:bidi="ar-SA"/>
              </w:rPr>
              <w:br w:type="textWrapping"/>
            </w:r>
            <w:r>
              <w:rPr>
                <w:rFonts w:hint="eastAsia"/>
                <w:color w:val="auto"/>
                <w:sz w:val="21"/>
                <w:szCs w:val="21"/>
                <w:highlight w:val="none"/>
                <w:lang w:val="en-US" w:bidi="ar-SA"/>
              </w:rPr>
              <w:t>传输距离：3KM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POE交换机（16口）</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1、标准19英寸1U高机架设备，固化千兆电接口数≥16个，千兆光口≥2个，最大可用端口≥18个 ，且实配支持POE+的端口≥16个，整机POE功率不得小于247W；</w:t>
            </w:r>
            <w:r>
              <w:rPr>
                <w:rFonts w:hint="eastAsia"/>
                <w:color w:val="auto"/>
                <w:sz w:val="21"/>
                <w:szCs w:val="21"/>
                <w:highlight w:val="none"/>
                <w:lang w:val="en-US" w:bidi="ar-SA"/>
              </w:rPr>
              <w:br w:type="textWrapping"/>
            </w:r>
            <w:r>
              <w:rPr>
                <w:rFonts w:hint="eastAsia"/>
                <w:color w:val="auto"/>
                <w:sz w:val="21"/>
                <w:szCs w:val="21"/>
                <w:highlight w:val="none"/>
                <w:lang w:val="en-US" w:bidi="ar-SA"/>
              </w:rPr>
              <w:t>2、交换容量≥36Gbps,包转发率≥26.78Mpps；</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3、为了保证交换机使用寿命，要求所投产品的防雷等级≥6KV； </w:t>
            </w:r>
            <w:r>
              <w:rPr>
                <w:rFonts w:hint="eastAsia"/>
                <w:color w:val="auto"/>
                <w:sz w:val="21"/>
                <w:szCs w:val="21"/>
                <w:highlight w:val="none"/>
                <w:lang w:val="en-US" w:bidi="ar-SA"/>
              </w:rPr>
              <w:br w:type="textWrapping"/>
            </w:r>
            <w:r>
              <w:rPr>
                <w:rFonts w:hint="eastAsia"/>
                <w:color w:val="auto"/>
                <w:sz w:val="21"/>
                <w:szCs w:val="21"/>
                <w:highlight w:val="none"/>
                <w:lang w:val="en-US" w:bidi="ar-SA"/>
              </w:rPr>
              <w:t>4、为了保证设备在流量突发时不卡顿，要求所投设备至少支持4M（含4M）以上的端口缓存；</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20U机柜（带上锁功能）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20U机柜，宽度：600mm，深度600mm；前门 网孔前门带锁, 网孔后门带锁, 全钢侧门可快速装卸 带电源 风扇  符合ANSI/EIA RS-310-D、IEC297-2、DIN41491; PART1、DIN41494; PART7、 GB/T3047.2- 92标准;</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无线AP</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1775M双频千兆吸顶AP，1个千兆LAN口上联，内置天线，支持2.4GHz/5GHz双频通信，支持802.11a/b/g/n/acWave1/Wave2/ax协议。支持AP与路由两种工作模式，支持二层漫游。支持PoE供电和本地供电</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路由器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机架式，5口千兆。最大带机量150台终端</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托育场地智能感知设备</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消防火灾报警器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【独立式光电感烟火灾报警器（NB-IoT）】</w:t>
            </w:r>
            <w:r>
              <w:rPr>
                <w:rFonts w:hint="eastAsia"/>
                <w:color w:val="auto"/>
                <w:sz w:val="21"/>
                <w:szCs w:val="21"/>
                <w:highlight w:val="none"/>
                <w:lang w:val="en-US" w:bidi="ar-SA"/>
              </w:rPr>
              <w:br w:type="textWrapping"/>
            </w:r>
            <w:r>
              <w:rPr>
                <w:rFonts w:hint="eastAsia"/>
                <w:color w:val="auto"/>
                <w:sz w:val="21"/>
                <w:szCs w:val="21"/>
                <w:highlight w:val="none"/>
                <w:lang w:val="en-US" w:bidi="ar-SA"/>
              </w:rPr>
              <w:t>产品认证：CCCF强制认证（提供CCCF报告复印件）</w:t>
            </w:r>
            <w:r>
              <w:rPr>
                <w:rFonts w:hint="eastAsia"/>
                <w:color w:val="auto"/>
                <w:sz w:val="21"/>
                <w:szCs w:val="21"/>
                <w:highlight w:val="none"/>
                <w:lang w:val="en-US" w:bidi="ar-SA"/>
              </w:rPr>
              <w:br w:type="textWrapping"/>
            </w:r>
            <w:r>
              <w:rPr>
                <w:rFonts w:hint="eastAsia"/>
                <w:color w:val="auto"/>
                <w:sz w:val="21"/>
                <w:szCs w:val="21"/>
                <w:highlight w:val="none"/>
                <w:lang w:val="en-US" w:bidi="ar-SA"/>
              </w:rPr>
              <w:t>通讯模块：NB-Iot通讯</w:t>
            </w:r>
            <w:r>
              <w:rPr>
                <w:rFonts w:hint="eastAsia"/>
                <w:color w:val="auto"/>
                <w:sz w:val="21"/>
                <w:szCs w:val="21"/>
                <w:highlight w:val="none"/>
                <w:lang w:val="en-US" w:bidi="ar-SA"/>
              </w:rPr>
              <w:br w:type="textWrapping"/>
            </w:r>
            <w:r>
              <w:rPr>
                <w:rFonts w:hint="eastAsia"/>
                <w:color w:val="auto"/>
                <w:sz w:val="21"/>
                <w:szCs w:val="21"/>
                <w:highlight w:val="none"/>
                <w:lang w:val="en-US" w:bidi="ar-SA"/>
              </w:rPr>
              <w:t>工作原理：光电式</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工作电压：DC3.0V（锂电池）</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工作电流：静态电流≤13μA，报警电流≤150mA</w:t>
            </w:r>
            <w:r>
              <w:rPr>
                <w:rFonts w:hint="eastAsia"/>
                <w:color w:val="auto"/>
                <w:sz w:val="21"/>
                <w:szCs w:val="21"/>
                <w:highlight w:val="none"/>
                <w:lang w:val="en-US" w:bidi="ar-SA"/>
              </w:rPr>
              <w:br w:type="textWrapping"/>
            </w:r>
            <w:r>
              <w:rPr>
                <w:rFonts w:hint="eastAsia"/>
                <w:color w:val="auto"/>
                <w:sz w:val="21"/>
                <w:szCs w:val="21"/>
                <w:highlight w:val="none"/>
                <w:lang w:val="en-US" w:bidi="ar-SA"/>
              </w:rPr>
              <w:t>报警方式：声光报警</w:t>
            </w:r>
            <w:r>
              <w:rPr>
                <w:rFonts w:hint="eastAsia"/>
                <w:color w:val="auto"/>
                <w:sz w:val="21"/>
                <w:szCs w:val="21"/>
                <w:highlight w:val="none"/>
                <w:lang w:val="en-US" w:bidi="ar-SA"/>
              </w:rPr>
              <w:br w:type="textWrapping"/>
            </w:r>
            <w:r>
              <w:rPr>
                <w:rFonts w:hint="eastAsia"/>
                <w:color w:val="auto"/>
                <w:sz w:val="21"/>
                <w:szCs w:val="21"/>
                <w:highlight w:val="none"/>
                <w:lang w:val="en-US" w:bidi="ar-SA"/>
              </w:rPr>
              <w:t>报警音量：≥85dB@3m（A计权）</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报警分类：火灾报警、低压报警、故障报警、防拆报警</w:t>
            </w:r>
            <w:r>
              <w:rPr>
                <w:rFonts w:hint="eastAsia"/>
                <w:color w:val="auto"/>
                <w:sz w:val="21"/>
                <w:szCs w:val="21"/>
                <w:highlight w:val="none"/>
                <w:lang w:val="en-US" w:bidi="ar-SA"/>
              </w:rPr>
              <w:br w:type="textWrapping"/>
            </w:r>
            <w:r>
              <w:rPr>
                <w:rFonts w:hint="eastAsia"/>
                <w:color w:val="auto"/>
                <w:sz w:val="21"/>
                <w:szCs w:val="21"/>
                <w:highlight w:val="none"/>
                <w:lang w:val="en-US" w:bidi="ar-SA"/>
              </w:rPr>
              <w:t>其他功能：自检按键，手动/自动复位，本地/远程消音、信号查询</w:t>
            </w:r>
            <w:r>
              <w:rPr>
                <w:rFonts w:hint="eastAsia"/>
                <w:color w:val="auto"/>
                <w:sz w:val="21"/>
                <w:szCs w:val="21"/>
                <w:highlight w:val="none"/>
                <w:lang w:val="en-US" w:bidi="ar-SA"/>
              </w:rPr>
              <w:br w:type="textWrapping"/>
            </w:r>
            <w:r>
              <w:rPr>
                <w:rFonts w:hint="eastAsia"/>
                <w:color w:val="auto"/>
                <w:sz w:val="21"/>
                <w:szCs w:val="21"/>
                <w:highlight w:val="none"/>
                <w:lang w:val="en-US" w:bidi="ar-SA"/>
              </w:rPr>
              <w:t>保护面积：30~60平方米，符合国标《GB 50116-2013》</w:t>
            </w:r>
            <w:r>
              <w:rPr>
                <w:rFonts w:hint="eastAsia"/>
                <w:color w:val="auto"/>
                <w:sz w:val="21"/>
                <w:szCs w:val="21"/>
                <w:highlight w:val="none"/>
                <w:lang w:val="en-US" w:bidi="ar-SA"/>
              </w:rPr>
              <w:br w:type="textWrapping"/>
            </w:r>
            <w:r>
              <w:rPr>
                <w:rFonts w:hint="eastAsia"/>
                <w:color w:val="auto"/>
                <w:sz w:val="21"/>
                <w:szCs w:val="21"/>
                <w:highlight w:val="none"/>
                <w:lang w:val="en-US" w:bidi="ar-SA"/>
              </w:rPr>
              <w:t>电池寿命：3年（根据实际使用情况而定）</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使用环境：温度：-10℃～55℃， 相对湿度：≤95% （无凝露）</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外形尺寸：φ105×高度45（mm） </w:t>
            </w:r>
            <w:r>
              <w:rPr>
                <w:rFonts w:hint="eastAsia"/>
                <w:color w:val="auto"/>
                <w:sz w:val="21"/>
                <w:szCs w:val="21"/>
                <w:highlight w:val="none"/>
                <w:lang w:val="en-US" w:bidi="ar-SA"/>
              </w:rPr>
              <w:br w:type="textWrapping"/>
            </w:r>
            <w:r>
              <w:rPr>
                <w:rFonts w:hint="eastAsia"/>
                <w:color w:val="auto"/>
                <w:sz w:val="21"/>
                <w:szCs w:val="21"/>
                <w:highlight w:val="none"/>
                <w:lang w:val="en-US" w:bidi="ar-SA"/>
              </w:rPr>
              <w:t>重量：约165g</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安装方式：螺钉固定/背胶固定</w:t>
            </w:r>
            <w:r>
              <w:rPr>
                <w:rFonts w:hint="eastAsia"/>
                <w:color w:val="auto"/>
                <w:sz w:val="21"/>
                <w:szCs w:val="21"/>
                <w:highlight w:val="none"/>
                <w:lang w:val="en-US" w:bidi="ar-SA"/>
              </w:rPr>
              <w:br w:type="textWrapping"/>
            </w:r>
            <w:r>
              <w:rPr>
                <w:rFonts w:hint="eastAsia"/>
                <w:color w:val="auto"/>
                <w:sz w:val="21"/>
                <w:szCs w:val="21"/>
                <w:highlight w:val="none"/>
                <w:lang w:val="en-US" w:bidi="ar-SA"/>
              </w:rPr>
              <w:t>执行标准：GB20517-2006</w:t>
            </w:r>
            <w:r>
              <w:rPr>
                <w:rFonts w:hint="eastAsia"/>
                <w:color w:val="auto"/>
                <w:sz w:val="21"/>
                <w:szCs w:val="21"/>
                <w:highlight w:val="none"/>
                <w:lang w:val="en-US" w:bidi="ar-SA"/>
              </w:rPr>
              <w:br w:type="textWrapping"/>
            </w:r>
            <w:r>
              <w:rPr>
                <w:rFonts w:hint="eastAsia"/>
                <w:color w:val="auto"/>
                <w:sz w:val="21"/>
                <w:szCs w:val="21"/>
                <w:highlight w:val="none"/>
                <w:lang w:val="en-US" w:bidi="ar-SA"/>
              </w:rPr>
              <w:t>含3年物联网卡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五、健康场景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智慧健康站</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健康小区体检设备</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血压、脉率、血氧、血糖、体温、心电等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体检管理系统硬件集成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定制管理主机及配套健康小区体检设备，系统数据采集及集成；协助用户设计标准、适用的检测流程，让体检者完美体验自助体检流程等。</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AED紧急救援服务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AED紧急救援服务，由专业资质医疗机构、人员提供：</w:t>
            </w:r>
            <w:r>
              <w:rPr>
                <w:rFonts w:hint="eastAsia"/>
                <w:color w:val="auto"/>
                <w:sz w:val="21"/>
                <w:szCs w:val="21"/>
                <w:highlight w:val="none"/>
                <w:lang w:val="en-US" w:bidi="ar-SA"/>
              </w:rPr>
              <w:br w:type="textWrapping"/>
            </w:r>
            <w:r>
              <w:rPr>
                <w:rFonts w:hint="eastAsia"/>
                <w:color w:val="auto"/>
                <w:sz w:val="21"/>
                <w:szCs w:val="21"/>
                <w:highlight w:val="none"/>
                <w:lang w:val="en-US" w:bidi="ar-SA"/>
              </w:rPr>
              <w:t>采用自动体外除颤仪（一种用来抢救心脏骤停病人的便携式急救设备。如果病人出现心脏骤停，通过AED电击对心脏进行除颤，从而使心脏恢复到正常节律，脱离危险。）</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智能健身-运动场</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双目人脸识别门禁一体机（含安装调试）</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操作系统：嵌入式Linux操作系统；</w:t>
            </w:r>
            <w:r>
              <w:rPr>
                <w:rFonts w:hint="eastAsia"/>
                <w:color w:val="auto"/>
                <w:sz w:val="21"/>
                <w:szCs w:val="21"/>
                <w:highlight w:val="none"/>
                <w:lang w:val="en-US" w:bidi="ar-SA"/>
              </w:rPr>
              <w:br w:type="textWrapping"/>
            </w:r>
            <w:r>
              <w:rPr>
                <w:rFonts w:hint="eastAsia"/>
                <w:color w:val="auto"/>
                <w:sz w:val="21"/>
                <w:szCs w:val="21"/>
                <w:highlight w:val="none"/>
                <w:lang w:val="en-US" w:bidi="ar-SA"/>
              </w:rPr>
              <w:t>屏幕参数： 7英寸触摸显示屏，屏幕比例9:16，屏幕分辨率600*1024；</w:t>
            </w:r>
            <w:r>
              <w:rPr>
                <w:rFonts w:hint="eastAsia"/>
                <w:color w:val="auto"/>
                <w:sz w:val="21"/>
                <w:szCs w:val="21"/>
                <w:highlight w:val="none"/>
                <w:lang w:val="en-US" w:bidi="ar-SA"/>
              </w:rPr>
              <w:br w:type="textWrapping"/>
            </w:r>
            <w:r>
              <w:rPr>
                <w:rFonts w:hint="eastAsia"/>
                <w:color w:val="auto"/>
                <w:sz w:val="21"/>
                <w:szCs w:val="21"/>
                <w:highlight w:val="none"/>
                <w:lang w:val="en-US" w:bidi="ar-SA"/>
              </w:rPr>
              <w:t>摄像头参数：采用宽动态200万双目摄像头；</w:t>
            </w:r>
            <w:r>
              <w:rPr>
                <w:rFonts w:hint="eastAsia"/>
                <w:color w:val="auto"/>
                <w:sz w:val="21"/>
                <w:szCs w:val="21"/>
                <w:highlight w:val="none"/>
                <w:lang w:val="en-US" w:bidi="ar-SA"/>
              </w:rPr>
              <w:br w:type="textWrapping"/>
            </w:r>
            <w:r>
              <w:rPr>
                <w:rFonts w:hint="eastAsia"/>
                <w:color w:val="auto"/>
                <w:sz w:val="21"/>
                <w:szCs w:val="21"/>
                <w:highlight w:val="none"/>
                <w:lang w:val="en-US" w:bidi="ar-SA"/>
              </w:rPr>
              <w:t>认证方式：支持人脸、刷卡（Mifare卡/IC卡、手机NFC卡、CPU卡序列号/内容、身份证卡序列号）、密码认证方式，可外接身份证、指纹、蓝牙、二维码功能模块；</w:t>
            </w:r>
            <w:r>
              <w:rPr>
                <w:rFonts w:hint="eastAsia"/>
                <w:color w:val="auto"/>
                <w:sz w:val="21"/>
                <w:szCs w:val="21"/>
                <w:highlight w:val="none"/>
                <w:lang w:val="en-US" w:bidi="ar-SA"/>
              </w:rPr>
              <w:br w:type="textWrapping"/>
            </w:r>
            <w:r>
              <w:rPr>
                <w:rFonts w:hint="eastAsia"/>
                <w:color w:val="auto"/>
                <w:sz w:val="21"/>
                <w:szCs w:val="21"/>
                <w:highlight w:val="none"/>
                <w:lang w:val="en-US" w:bidi="ar-SA"/>
              </w:rPr>
              <w:t>人脸识别：采用深度学习算法，支持单人或多人识别（最多5人同时认证）功能；支持照片、视频防假；1:N人脸识别速度≤0.2s，人脸验证准确率≥99%；</w:t>
            </w:r>
            <w:r>
              <w:rPr>
                <w:rFonts w:hint="eastAsia"/>
                <w:color w:val="auto"/>
                <w:sz w:val="21"/>
                <w:szCs w:val="21"/>
                <w:highlight w:val="none"/>
                <w:lang w:val="en-US" w:bidi="ar-SA"/>
              </w:rPr>
              <w:br w:type="textWrapping"/>
            </w:r>
            <w:r>
              <w:rPr>
                <w:rFonts w:hint="eastAsia"/>
                <w:color w:val="auto"/>
                <w:sz w:val="21"/>
                <w:szCs w:val="21"/>
                <w:highlight w:val="none"/>
                <w:lang w:val="en-US" w:bidi="ar-SA"/>
              </w:rPr>
              <w:t>存储容量：本地支持10000人脸库、50000张卡，15万条事件记录；</w:t>
            </w:r>
            <w:r>
              <w:rPr>
                <w:rFonts w:hint="eastAsia"/>
                <w:color w:val="auto"/>
                <w:sz w:val="21"/>
                <w:szCs w:val="21"/>
                <w:highlight w:val="none"/>
                <w:lang w:val="en-US" w:bidi="ar-SA"/>
              </w:rPr>
              <w:br w:type="textWrapping"/>
            </w:r>
            <w:r>
              <w:rPr>
                <w:rFonts w:hint="eastAsia"/>
                <w:color w:val="auto"/>
                <w:sz w:val="21"/>
                <w:szCs w:val="21"/>
                <w:highlight w:val="none"/>
                <w:lang w:val="en-US" w:bidi="ar-SA"/>
              </w:rPr>
              <w:t>硬件接口：LAN*1、RS485*1、Wiegand * 1(支持双向)、typeC类型USB接口*1、电锁*1、门磁*1、报警输入*2、报警输出*1、开门按钮*1、SD卡槽*1（最大支持512GB）、3.5mm音频输出接口*1；</w:t>
            </w:r>
            <w:r>
              <w:rPr>
                <w:rFonts w:hint="eastAsia"/>
                <w:color w:val="auto"/>
                <w:sz w:val="21"/>
                <w:szCs w:val="21"/>
                <w:highlight w:val="none"/>
                <w:lang w:val="en-US" w:bidi="ar-SA"/>
              </w:rPr>
              <w:br w:type="textWrapping"/>
            </w:r>
            <w:r>
              <w:rPr>
                <w:rFonts w:hint="eastAsia"/>
                <w:color w:val="auto"/>
                <w:sz w:val="21"/>
                <w:szCs w:val="21"/>
                <w:highlight w:val="none"/>
                <w:lang w:val="en-US" w:bidi="ar-SA"/>
              </w:rPr>
              <w:t>通信方式及网络协议：有线网络；萤石协议/ISAPI/ISUP5.0；</w:t>
            </w:r>
            <w:r>
              <w:rPr>
                <w:rFonts w:hint="eastAsia"/>
                <w:color w:val="auto"/>
                <w:sz w:val="21"/>
                <w:szCs w:val="21"/>
                <w:highlight w:val="none"/>
                <w:lang w:val="en-US" w:bidi="ar-SA"/>
              </w:rPr>
              <w:br w:type="textWrapping"/>
            </w:r>
            <w:r>
              <w:rPr>
                <w:rFonts w:hint="eastAsia"/>
                <w:color w:val="auto"/>
                <w:sz w:val="21"/>
                <w:szCs w:val="21"/>
                <w:highlight w:val="none"/>
                <w:lang w:val="en-US" w:bidi="ar-SA"/>
              </w:rPr>
              <w:t>使用环境：IP65，室内外环境（室外使用必须搭配遮阳罩）；</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安装方式：壁挂安装（标配挂板，适配86底盒）；</w:t>
            </w:r>
            <w:r>
              <w:rPr>
                <w:rFonts w:hint="eastAsia"/>
                <w:color w:val="auto"/>
                <w:sz w:val="21"/>
                <w:szCs w:val="21"/>
                <w:highlight w:val="none"/>
                <w:lang w:val="en-US" w:bidi="ar-SA"/>
              </w:rPr>
              <w:br w:type="textWrapping"/>
            </w:r>
            <w:r>
              <w:rPr>
                <w:rFonts w:hint="eastAsia"/>
                <w:color w:val="auto"/>
                <w:sz w:val="21"/>
                <w:szCs w:val="21"/>
                <w:highlight w:val="none"/>
                <w:lang w:val="en-US" w:bidi="ar-SA"/>
              </w:rPr>
              <w:t>工作电压： DC12V~24V/2A（电源需另配）；</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功能介绍：</w:t>
            </w:r>
            <w:r>
              <w:rPr>
                <w:rFonts w:hint="eastAsia"/>
                <w:color w:val="auto"/>
                <w:sz w:val="21"/>
                <w:szCs w:val="21"/>
                <w:highlight w:val="none"/>
                <w:lang w:val="en-US" w:bidi="ar-SA"/>
              </w:rPr>
              <w:br w:type="textWrapping"/>
            </w:r>
            <w:r>
              <w:rPr>
                <w:rFonts w:hint="eastAsia"/>
                <w:color w:val="auto"/>
                <w:sz w:val="21"/>
                <w:szCs w:val="21"/>
                <w:highlight w:val="none"/>
                <w:lang w:val="en-US" w:bidi="ar-SA"/>
              </w:rPr>
              <w:t>视频预览：支持管理中心远程视频预览，支持接入NVR设备，实现视频监控录像，编码格式H.264；</w:t>
            </w:r>
            <w:r>
              <w:rPr>
                <w:rFonts w:hint="eastAsia"/>
                <w:color w:val="auto"/>
                <w:sz w:val="21"/>
                <w:szCs w:val="21"/>
                <w:highlight w:val="none"/>
                <w:lang w:val="en-US" w:bidi="ar-SA"/>
              </w:rPr>
              <w:br w:type="textWrapping"/>
            </w:r>
            <w:r>
              <w:rPr>
                <w:rFonts w:hint="eastAsia"/>
                <w:color w:val="auto"/>
                <w:sz w:val="21"/>
                <w:szCs w:val="21"/>
                <w:highlight w:val="none"/>
                <w:lang w:val="en-US" w:bidi="ar-SA"/>
              </w:rPr>
              <w:t>口罩检测：支持口罩检测模式，可配置提醒戴口罩模式、强制戴口罩模式，关联门禁控制；</w:t>
            </w:r>
            <w:r>
              <w:rPr>
                <w:rFonts w:hint="eastAsia"/>
                <w:color w:val="auto"/>
                <w:sz w:val="21"/>
                <w:szCs w:val="21"/>
                <w:highlight w:val="none"/>
                <w:lang w:val="en-US" w:bidi="ar-SA"/>
              </w:rPr>
              <w:br w:type="textWrapping"/>
            </w:r>
            <w:r>
              <w:rPr>
                <w:rFonts w:hint="eastAsia"/>
                <w:color w:val="auto"/>
                <w:sz w:val="21"/>
                <w:szCs w:val="21"/>
                <w:highlight w:val="none"/>
                <w:lang w:val="en-US" w:bidi="ar-SA"/>
              </w:rPr>
              <w:t>识别界面可配：识别主界面的“呼叫”、“二维码”、“密码”的按键图标可分别配置是否显示；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认证结果显示可配：支持认证成功界面的“照片”、“姓名”、“工号”信息可配置是否显示；</w:t>
            </w:r>
            <w:r>
              <w:rPr>
                <w:rFonts w:hint="eastAsia"/>
                <w:color w:val="auto"/>
                <w:sz w:val="21"/>
                <w:szCs w:val="21"/>
                <w:highlight w:val="none"/>
                <w:lang w:val="en-US" w:bidi="ar-SA"/>
              </w:rPr>
              <w:br w:type="textWrapping"/>
            </w:r>
            <w:r>
              <w:rPr>
                <w:rFonts w:hint="eastAsia"/>
                <w:color w:val="auto"/>
                <w:sz w:val="21"/>
                <w:szCs w:val="21"/>
                <w:highlight w:val="none"/>
                <w:lang w:val="en-US" w:bidi="ar-SA"/>
              </w:rPr>
              <w:t>认证结果语音自定义：集成文字转语音（TTS）和语音合成技术，认证成功和认证失败的语音可以分别配置4个时间段进行自定义播报，同时认证成功的语音可叠加播报姓名；</w:t>
            </w:r>
            <w:r>
              <w:rPr>
                <w:rFonts w:hint="eastAsia"/>
                <w:color w:val="auto"/>
                <w:sz w:val="21"/>
                <w:szCs w:val="21"/>
                <w:highlight w:val="none"/>
                <w:lang w:val="en-US" w:bidi="ar-SA"/>
              </w:rPr>
              <w:br w:type="textWrapping"/>
            </w:r>
            <w:r>
              <w:rPr>
                <w:rFonts w:hint="eastAsia"/>
                <w:color w:val="auto"/>
                <w:sz w:val="21"/>
                <w:szCs w:val="21"/>
                <w:highlight w:val="none"/>
                <w:lang w:val="en-US" w:bidi="ar-SA"/>
              </w:rPr>
              <w:t>工作模式：支持广告模式、简洁模式主题模式</w:t>
            </w:r>
            <w:r>
              <w:rPr>
                <w:rFonts w:hint="eastAsia"/>
                <w:color w:val="auto"/>
                <w:sz w:val="21"/>
                <w:szCs w:val="21"/>
                <w:highlight w:val="none"/>
                <w:lang w:val="en-US" w:bidi="ar-SA"/>
              </w:rPr>
              <w:br w:type="textWrapping"/>
            </w:r>
            <w:r>
              <w:rPr>
                <w:rFonts w:hint="eastAsia"/>
                <w:color w:val="auto"/>
                <w:sz w:val="21"/>
                <w:szCs w:val="21"/>
                <w:highlight w:val="none"/>
                <w:lang w:val="en-US" w:bidi="ar-SA"/>
              </w:rPr>
              <w:t>外接安全模块：支持通过RS485接入门控安全模块，防止主机被恶意破坏的情况下，门锁不被打开；</w:t>
            </w:r>
            <w:r>
              <w:rPr>
                <w:rFonts w:hint="eastAsia"/>
                <w:color w:val="auto"/>
                <w:sz w:val="21"/>
                <w:szCs w:val="21"/>
                <w:highlight w:val="none"/>
                <w:lang w:val="en-US" w:bidi="ar-SA"/>
              </w:rPr>
              <w:br w:type="textWrapping"/>
            </w:r>
            <w:r>
              <w:rPr>
                <w:rFonts w:hint="eastAsia"/>
                <w:color w:val="auto"/>
                <w:sz w:val="21"/>
                <w:szCs w:val="21"/>
                <w:highlight w:val="none"/>
                <w:lang w:val="en-US" w:bidi="ar-SA"/>
              </w:rPr>
              <w:t>外接读卡器：支持通过RS485或韦根（W26/W34）接口外接1个读卡器，同时可实现单门反潜回功能；</w:t>
            </w:r>
            <w:r>
              <w:rPr>
                <w:rFonts w:hint="eastAsia"/>
                <w:color w:val="auto"/>
                <w:sz w:val="21"/>
                <w:szCs w:val="21"/>
                <w:highlight w:val="none"/>
                <w:lang w:val="en-US" w:bidi="ar-SA"/>
              </w:rPr>
              <w:br w:type="textWrapping"/>
            </w:r>
            <w:r>
              <w:rPr>
                <w:rFonts w:hint="eastAsia"/>
                <w:color w:val="auto"/>
                <w:sz w:val="21"/>
                <w:szCs w:val="21"/>
                <w:highlight w:val="none"/>
                <w:lang w:val="en-US" w:bidi="ar-SA"/>
              </w:rPr>
              <w:t>读卡器模式：支持通过RS485或韦根（W26/W34）接入门禁控制器，作为读卡器模式使用；</w:t>
            </w:r>
            <w:r>
              <w:rPr>
                <w:rFonts w:hint="eastAsia"/>
                <w:color w:val="auto"/>
                <w:sz w:val="21"/>
                <w:szCs w:val="21"/>
                <w:highlight w:val="none"/>
                <w:lang w:val="en-US" w:bidi="ar-SA"/>
              </w:rPr>
              <w:br w:type="textWrapping"/>
            </w:r>
            <w:r>
              <w:rPr>
                <w:rFonts w:hint="eastAsia"/>
                <w:color w:val="auto"/>
                <w:sz w:val="21"/>
                <w:szCs w:val="21"/>
                <w:highlight w:val="none"/>
                <w:lang w:val="en-US" w:bidi="ar-SA"/>
              </w:rPr>
              <w:t>门禁计划模板：支持255组计划模板管理，128个周计划，1024个假日计划；支持常开、常闭时段管理；</w:t>
            </w:r>
            <w:r>
              <w:rPr>
                <w:rFonts w:hint="eastAsia"/>
                <w:color w:val="auto"/>
                <w:sz w:val="21"/>
                <w:szCs w:val="21"/>
                <w:highlight w:val="none"/>
                <w:lang w:val="en-US" w:bidi="ar-SA"/>
              </w:rPr>
              <w:br w:type="textWrapping"/>
            </w:r>
            <w:r>
              <w:rPr>
                <w:rFonts w:hint="eastAsia"/>
                <w:color w:val="auto"/>
                <w:sz w:val="21"/>
                <w:szCs w:val="21"/>
                <w:highlight w:val="none"/>
                <w:lang w:val="en-US" w:bidi="ar-SA"/>
              </w:rPr>
              <w:t>组合认证：刷卡+密码、刷卡+人脸、人脸+密码等组合认证方式</w:t>
            </w:r>
            <w:r>
              <w:rPr>
                <w:rFonts w:hint="eastAsia"/>
                <w:color w:val="auto"/>
                <w:sz w:val="21"/>
                <w:szCs w:val="21"/>
                <w:highlight w:val="none"/>
                <w:lang w:val="en-US" w:bidi="ar-SA"/>
              </w:rPr>
              <w:br w:type="textWrapping"/>
            </w:r>
            <w:r>
              <w:rPr>
                <w:rFonts w:hint="eastAsia"/>
                <w:color w:val="auto"/>
                <w:sz w:val="21"/>
                <w:szCs w:val="21"/>
                <w:highlight w:val="none"/>
                <w:lang w:val="en-US" w:bidi="ar-SA"/>
              </w:rPr>
              <w:t>多重认证：支持多个人员认证（人脸、刷卡等）通过后才开门；</w:t>
            </w:r>
            <w:r>
              <w:rPr>
                <w:rFonts w:hint="eastAsia"/>
                <w:color w:val="auto"/>
                <w:sz w:val="21"/>
                <w:szCs w:val="21"/>
                <w:highlight w:val="none"/>
                <w:lang w:val="en-US" w:bidi="ar-SA"/>
              </w:rPr>
              <w:br w:type="textWrapping"/>
            </w:r>
            <w:r>
              <w:rPr>
                <w:rFonts w:hint="eastAsia"/>
                <w:color w:val="auto"/>
                <w:sz w:val="21"/>
                <w:szCs w:val="21"/>
                <w:highlight w:val="none"/>
                <w:lang w:val="en-US" w:bidi="ar-SA"/>
              </w:rPr>
              <w:t>黑名单核验：支持中心下发黑名单人员信息，实现本地黑名单核验；</w:t>
            </w:r>
            <w:r>
              <w:rPr>
                <w:rFonts w:hint="eastAsia"/>
                <w:color w:val="auto"/>
                <w:sz w:val="21"/>
                <w:szCs w:val="21"/>
                <w:highlight w:val="none"/>
                <w:lang w:val="en-US" w:bidi="ar-SA"/>
              </w:rPr>
              <w:br w:type="textWrapping"/>
            </w:r>
            <w:r>
              <w:rPr>
                <w:rFonts w:hint="eastAsia"/>
                <w:color w:val="auto"/>
                <w:sz w:val="21"/>
                <w:szCs w:val="21"/>
                <w:highlight w:val="none"/>
                <w:lang w:val="en-US" w:bidi="ar-SA"/>
              </w:rPr>
              <w:t>报警功能：设备支持防拆报警、门被外力开起报警、胁迫卡和胁迫密码报警、黑名单报警等；</w:t>
            </w:r>
            <w:r>
              <w:rPr>
                <w:rFonts w:hint="eastAsia"/>
                <w:color w:val="auto"/>
                <w:sz w:val="21"/>
                <w:szCs w:val="21"/>
                <w:highlight w:val="none"/>
                <w:lang w:val="en-US" w:bidi="ar-SA"/>
              </w:rPr>
              <w:br w:type="textWrapping"/>
            </w:r>
            <w:r>
              <w:rPr>
                <w:rFonts w:hint="eastAsia"/>
                <w:color w:val="auto"/>
                <w:sz w:val="21"/>
                <w:szCs w:val="21"/>
                <w:highlight w:val="none"/>
                <w:lang w:val="en-US" w:bidi="ar-SA"/>
              </w:rPr>
              <w:t>事件上传：在线状态下将设备认证结果信息及联动抓拍照片实时上传给平台，支持断网续传功能，设备离线状态下产生事件在与平台连接后会重新上传；</w:t>
            </w:r>
            <w:r>
              <w:rPr>
                <w:rFonts w:hint="eastAsia"/>
                <w:color w:val="auto"/>
                <w:sz w:val="21"/>
                <w:szCs w:val="21"/>
                <w:highlight w:val="none"/>
                <w:lang w:val="en-US" w:bidi="ar-SA"/>
              </w:rPr>
              <w:br w:type="textWrapping"/>
            </w:r>
            <w:r>
              <w:rPr>
                <w:rFonts w:hint="eastAsia"/>
                <w:color w:val="auto"/>
                <w:sz w:val="21"/>
                <w:szCs w:val="21"/>
                <w:highlight w:val="none"/>
                <w:lang w:val="en-US" w:bidi="ar-SA"/>
              </w:rPr>
              <w:t>单机使用：设备可进行本地管理，支持本地注册人脸、查询、设置、管理设备参数等；</w:t>
            </w:r>
            <w:r>
              <w:rPr>
                <w:rFonts w:hint="eastAsia"/>
                <w:color w:val="auto"/>
                <w:sz w:val="21"/>
                <w:szCs w:val="21"/>
                <w:highlight w:val="none"/>
                <w:lang w:val="en-US" w:bidi="ar-SA"/>
              </w:rPr>
              <w:br w:type="textWrapping"/>
            </w:r>
            <w:r>
              <w:rPr>
                <w:rFonts w:hint="eastAsia"/>
                <w:color w:val="auto"/>
                <w:sz w:val="21"/>
                <w:szCs w:val="21"/>
                <w:highlight w:val="none"/>
                <w:lang w:val="en-US" w:bidi="ar-SA"/>
              </w:rPr>
              <w:t>WEB管理：支持Web端管理，可进行人员管理、参数配置、事件查询、系统维护等操作。</w:t>
            </w:r>
            <w:r>
              <w:rPr>
                <w:rFonts w:hint="eastAsia"/>
                <w:color w:val="auto"/>
                <w:sz w:val="21"/>
                <w:szCs w:val="21"/>
                <w:highlight w:val="none"/>
                <w:lang w:val="en-US" w:bidi="ar-SA"/>
              </w:rPr>
              <w:br w:type="textWrapping"/>
            </w:r>
            <w:r>
              <w:rPr>
                <w:rFonts w:hint="eastAsia"/>
                <w:color w:val="auto"/>
                <w:sz w:val="21"/>
                <w:szCs w:val="21"/>
                <w:highlight w:val="none"/>
                <w:lang w:val="en-US" w:bidi="ar-SA"/>
              </w:rPr>
              <w:t>★应支持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★应支持在管理中心远程视频预览功能；应支持与管理平台或客户端中心、室内机、管理机、手机 APP 可视对讲功能；应支持配置一键呼叫管理机或室内机的可视对讲功能；应支持与广播主机呼叫对讲功能，实现与广播系统可视对讲功能；应支持中心广播主机向设备广播喊话；（</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门禁专用电源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5A（12V）</w:t>
            </w:r>
            <w:r>
              <w:rPr>
                <w:rFonts w:hint="eastAsia"/>
                <w:color w:val="auto"/>
                <w:sz w:val="21"/>
                <w:szCs w:val="21"/>
                <w:highlight w:val="none"/>
                <w:lang w:val="en-US" w:bidi="ar-SA"/>
              </w:rPr>
              <w:br w:type="textWrapping"/>
            </w:r>
            <w:r>
              <w:rPr>
                <w:rFonts w:hint="eastAsia"/>
                <w:color w:val="auto"/>
                <w:sz w:val="21"/>
                <w:szCs w:val="21"/>
                <w:highlight w:val="none"/>
                <w:lang w:val="en-US" w:bidi="ar-SA"/>
              </w:rPr>
              <w:t>输入市电：AC110-240V50-60Hz</w:t>
            </w:r>
            <w:r>
              <w:rPr>
                <w:rFonts w:hint="eastAsia"/>
                <w:color w:val="auto"/>
                <w:sz w:val="21"/>
                <w:szCs w:val="21"/>
                <w:highlight w:val="none"/>
                <w:lang w:val="en-US" w:bidi="ar-SA"/>
              </w:rPr>
              <w:br w:type="textWrapping"/>
            </w:r>
            <w:r>
              <w:rPr>
                <w:rFonts w:hint="eastAsia"/>
                <w:color w:val="auto"/>
                <w:sz w:val="21"/>
                <w:szCs w:val="21"/>
                <w:highlight w:val="none"/>
                <w:lang w:val="en-US" w:bidi="ar-SA"/>
              </w:rPr>
              <w:t>DC12V电压：12V±10%</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防水出门按钮</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86mm*86mm</w:t>
            </w:r>
            <w:r>
              <w:rPr>
                <w:rFonts w:hint="eastAsia"/>
                <w:color w:val="auto"/>
                <w:sz w:val="21"/>
                <w:szCs w:val="21"/>
                <w:highlight w:val="none"/>
                <w:lang w:val="en-US" w:bidi="ar-SA"/>
              </w:rPr>
              <w:br w:type="textWrapping"/>
            </w:r>
            <w:r>
              <w:rPr>
                <w:rFonts w:hint="eastAsia"/>
                <w:color w:val="auto"/>
                <w:sz w:val="21"/>
                <w:szCs w:val="21"/>
                <w:highlight w:val="none"/>
                <w:lang w:val="en-US" w:bidi="ar-SA"/>
              </w:rPr>
              <w:t>不锈钢材质</w:t>
            </w:r>
            <w:r>
              <w:rPr>
                <w:rFonts w:hint="eastAsia"/>
                <w:color w:val="auto"/>
                <w:sz w:val="21"/>
                <w:szCs w:val="21"/>
                <w:highlight w:val="none"/>
                <w:lang w:val="en-US" w:bidi="ar-SA"/>
              </w:rPr>
              <w:br w:type="textWrapping"/>
            </w:r>
            <w:r>
              <w:rPr>
                <w:rFonts w:hint="eastAsia"/>
                <w:color w:val="auto"/>
                <w:sz w:val="21"/>
                <w:szCs w:val="21"/>
                <w:highlight w:val="none"/>
                <w:lang w:val="en-US" w:bidi="ar-SA"/>
              </w:rPr>
              <w:t>户外防水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防水电源锁</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磁力锁280公斤，具备户外防水功能</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户外防水自动开闭门器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执行标准：GA93-2004</w:t>
            </w:r>
            <w:r>
              <w:rPr>
                <w:rFonts w:hint="eastAsia"/>
                <w:color w:val="auto"/>
                <w:sz w:val="21"/>
                <w:szCs w:val="21"/>
                <w:highlight w:val="none"/>
                <w:lang w:val="en-US" w:bidi="ar-SA"/>
              </w:rPr>
              <w:br w:type="textWrapping"/>
            </w:r>
            <w:r>
              <w:rPr>
                <w:rFonts w:hint="eastAsia"/>
                <w:color w:val="auto"/>
                <w:sz w:val="21"/>
                <w:szCs w:val="21"/>
                <w:highlight w:val="none"/>
                <w:lang w:val="en-US" w:bidi="ar-SA"/>
              </w:rPr>
              <w:t>双调速阀，分别调节闭门速度和扣锁速度；</w:t>
            </w:r>
            <w:r>
              <w:rPr>
                <w:rFonts w:hint="eastAsia"/>
                <w:color w:val="auto"/>
                <w:sz w:val="21"/>
                <w:szCs w:val="21"/>
                <w:highlight w:val="none"/>
                <w:lang w:val="en-US" w:bidi="ar-SA"/>
              </w:rPr>
              <w:br w:type="textWrapping"/>
            </w:r>
            <w:r>
              <w:rPr>
                <w:rFonts w:hint="eastAsia"/>
                <w:color w:val="auto"/>
                <w:sz w:val="21"/>
                <w:szCs w:val="21"/>
                <w:highlight w:val="none"/>
                <w:lang w:val="en-US" w:bidi="ar-SA"/>
              </w:rPr>
              <w:t>ADC12环保铝合金压铸壳体；</w:t>
            </w:r>
            <w:r>
              <w:rPr>
                <w:rFonts w:hint="eastAsia"/>
                <w:color w:val="auto"/>
                <w:sz w:val="21"/>
                <w:szCs w:val="21"/>
                <w:highlight w:val="none"/>
                <w:lang w:val="en-US" w:bidi="ar-SA"/>
              </w:rPr>
              <w:br w:type="textWrapping"/>
            </w:r>
            <w:r>
              <w:rPr>
                <w:rFonts w:hint="eastAsia"/>
                <w:color w:val="auto"/>
                <w:sz w:val="21"/>
                <w:szCs w:val="21"/>
                <w:highlight w:val="none"/>
                <w:lang w:val="en-US" w:bidi="ar-SA"/>
              </w:rPr>
              <w:t>固定力度2号力；</w:t>
            </w:r>
            <w:r>
              <w:rPr>
                <w:rFonts w:hint="eastAsia"/>
                <w:color w:val="auto"/>
                <w:sz w:val="21"/>
                <w:szCs w:val="21"/>
                <w:highlight w:val="none"/>
                <w:lang w:val="en-US" w:bidi="ar-SA"/>
              </w:rPr>
              <w:br w:type="textWrapping"/>
            </w:r>
            <w:r>
              <w:rPr>
                <w:rFonts w:hint="eastAsia"/>
                <w:color w:val="auto"/>
                <w:sz w:val="21"/>
                <w:szCs w:val="21"/>
                <w:highlight w:val="none"/>
                <w:lang w:val="en-US" w:bidi="ar-SA"/>
              </w:rPr>
              <w:t>不定位闭门器；</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智慧空开4G通讯模组</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壳架电流：125 A</w:t>
            </w:r>
            <w:r>
              <w:rPr>
                <w:rFonts w:hint="eastAsia"/>
                <w:color w:val="auto"/>
                <w:sz w:val="21"/>
                <w:szCs w:val="21"/>
                <w:highlight w:val="none"/>
                <w:lang w:val="en-US" w:bidi="ar-SA"/>
              </w:rPr>
              <w:br w:type="textWrapping"/>
            </w:r>
            <w:r>
              <w:rPr>
                <w:rFonts w:hint="eastAsia"/>
                <w:color w:val="auto"/>
                <w:sz w:val="21"/>
                <w:szCs w:val="21"/>
                <w:highlight w:val="none"/>
                <w:lang w:val="en-US" w:bidi="ar-SA"/>
              </w:rPr>
              <w:t>分断能力：3000A</w:t>
            </w:r>
            <w:r>
              <w:rPr>
                <w:rFonts w:hint="eastAsia"/>
                <w:color w:val="auto"/>
                <w:sz w:val="21"/>
                <w:szCs w:val="21"/>
                <w:highlight w:val="none"/>
                <w:lang w:val="en-US" w:bidi="ar-SA"/>
              </w:rPr>
              <w:br w:type="textWrapping"/>
            </w:r>
            <w:r>
              <w:rPr>
                <w:rFonts w:hint="eastAsia"/>
                <w:color w:val="auto"/>
                <w:sz w:val="21"/>
                <w:szCs w:val="21"/>
                <w:highlight w:val="none"/>
                <w:lang w:val="en-US" w:bidi="ar-SA"/>
              </w:rPr>
              <w:t>脱扣器附件：微型断路器</w:t>
            </w:r>
            <w:r>
              <w:rPr>
                <w:rFonts w:hint="eastAsia"/>
                <w:color w:val="auto"/>
                <w:sz w:val="21"/>
                <w:szCs w:val="21"/>
                <w:highlight w:val="none"/>
                <w:lang w:val="en-US" w:bidi="ar-SA"/>
              </w:rPr>
              <w:br w:type="textWrapping"/>
            </w:r>
            <w:r>
              <w:rPr>
                <w:rFonts w:hint="eastAsia"/>
                <w:color w:val="auto"/>
                <w:sz w:val="21"/>
                <w:szCs w:val="21"/>
                <w:highlight w:val="none"/>
                <w:lang w:val="en-US" w:bidi="ar-SA"/>
              </w:rPr>
              <w:t>脱扣特性：C3C</w:t>
            </w:r>
            <w:r>
              <w:rPr>
                <w:rFonts w:hint="eastAsia"/>
                <w:color w:val="auto"/>
                <w:sz w:val="21"/>
                <w:szCs w:val="21"/>
                <w:highlight w:val="none"/>
                <w:lang w:val="en-US" w:bidi="ar-SA"/>
              </w:rPr>
              <w:br w:type="textWrapping"/>
            </w:r>
            <w:r>
              <w:rPr>
                <w:rFonts w:hint="eastAsia"/>
                <w:color w:val="auto"/>
                <w:sz w:val="21"/>
                <w:szCs w:val="21"/>
                <w:highlight w:val="none"/>
                <w:lang w:val="en-US" w:bidi="ar-SA"/>
              </w:rPr>
              <w:t>额定电压范围：50V以上440V及以下</w:t>
            </w:r>
            <w:r>
              <w:rPr>
                <w:rFonts w:hint="eastAsia"/>
                <w:color w:val="auto"/>
                <w:sz w:val="21"/>
                <w:szCs w:val="21"/>
                <w:highlight w:val="none"/>
                <w:lang w:val="en-US" w:bidi="ar-SA"/>
              </w:rPr>
              <w:br w:type="textWrapping"/>
            </w:r>
            <w:r>
              <w:rPr>
                <w:rFonts w:hint="eastAsia"/>
                <w:color w:val="auto"/>
                <w:sz w:val="21"/>
                <w:szCs w:val="21"/>
                <w:highlight w:val="none"/>
                <w:lang w:val="en-US" w:bidi="ar-SA"/>
              </w:rPr>
              <w:t>电气寿命：＞6000</w:t>
            </w:r>
            <w:r>
              <w:rPr>
                <w:rFonts w:hint="eastAsia"/>
                <w:color w:val="auto"/>
                <w:sz w:val="21"/>
                <w:szCs w:val="21"/>
                <w:highlight w:val="none"/>
                <w:lang w:val="en-US" w:bidi="ar-SA"/>
              </w:rPr>
              <w:br w:type="textWrapping"/>
            </w:r>
            <w:r>
              <w:rPr>
                <w:rFonts w:hint="eastAsia"/>
                <w:color w:val="auto"/>
                <w:sz w:val="21"/>
                <w:szCs w:val="21"/>
                <w:highlight w:val="none"/>
                <w:lang w:val="en-US" w:bidi="ar-SA"/>
              </w:rPr>
              <w:t>额定电压：AC110V / AC220V / AC380V</w:t>
            </w:r>
            <w:r>
              <w:rPr>
                <w:rFonts w:hint="eastAsia"/>
                <w:color w:val="auto"/>
                <w:sz w:val="21"/>
                <w:szCs w:val="21"/>
                <w:highlight w:val="none"/>
                <w:lang w:val="en-US" w:bidi="ar-SA"/>
              </w:rPr>
              <w:br w:type="textWrapping"/>
            </w:r>
            <w:r>
              <w:rPr>
                <w:rFonts w:hint="eastAsia"/>
                <w:color w:val="auto"/>
                <w:sz w:val="21"/>
                <w:szCs w:val="21"/>
                <w:highlight w:val="none"/>
                <w:lang w:val="en-US" w:bidi="ar-SA"/>
              </w:rPr>
              <w:t>保护类型：过载保护、短路保护</w:t>
            </w:r>
            <w:r>
              <w:rPr>
                <w:rFonts w:hint="eastAsia"/>
                <w:color w:val="auto"/>
                <w:sz w:val="21"/>
                <w:szCs w:val="21"/>
                <w:highlight w:val="none"/>
                <w:lang w:val="en-US" w:bidi="ar-SA"/>
              </w:rPr>
              <w:br w:type="textWrapping"/>
            </w:r>
            <w:r>
              <w:rPr>
                <w:rFonts w:hint="eastAsia"/>
                <w:color w:val="auto"/>
                <w:sz w:val="21"/>
                <w:szCs w:val="21"/>
                <w:highlight w:val="none"/>
                <w:lang w:val="en-US" w:bidi="ar-SA"/>
              </w:rPr>
              <w:t>脱扣器类型：电磁脱扣器</w:t>
            </w:r>
            <w:r>
              <w:rPr>
                <w:rFonts w:hint="eastAsia"/>
                <w:color w:val="auto"/>
                <w:sz w:val="21"/>
                <w:szCs w:val="21"/>
                <w:highlight w:val="none"/>
                <w:lang w:val="en-US" w:bidi="ar-SA"/>
              </w:rPr>
              <w:br w:type="textWrapping"/>
            </w:r>
            <w:r>
              <w:rPr>
                <w:rFonts w:hint="eastAsia"/>
                <w:color w:val="auto"/>
                <w:sz w:val="21"/>
                <w:szCs w:val="21"/>
                <w:highlight w:val="none"/>
                <w:lang w:val="en-US" w:bidi="ar-SA"/>
              </w:rPr>
              <w:t>脱扣方式：过电流脱扣器</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智慧空开三相4P智慧微断（漏保）</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4P带漏保智能微型断路器</w:t>
            </w:r>
            <w:r>
              <w:rPr>
                <w:rFonts w:hint="eastAsia"/>
                <w:color w:val="auto"/>
                <w:sz w:val="21"/>
                <w:szCs w:val="21"/>
                <w:highlight w:val="none"/>
                <w:lang w:val="en-US" w:bidi="ar-SA"/>
              </w:rPr>
              <w:br w:type="textWrapping"/>
            </w:r>
            <w:r>
              <w:rPr>
                <w:rFonts w:hint="eastAsia"/>
                <w:color w:val="auto"/>
                <w:sz w:val="21"/>
                <w:szCs w:val="21"/>
                <w:highlight w:val="none"/>
                <w:lang w:val="en-US" w:bidi="ar-SA"/>
              </w:rPr>
              <w:t>输入电压：AC380额定电流：63A分断能力：≥6KA短路保护：线路短路时，断路器0.04s断电保护功率限定：达到限定功率，10秒内断路保护电流限定：达到限定电流，10秒内断路保护过压（欠压）保护：输入电压超过263V，10S内断电保护。超过250V预警，低于190V预警漏电保护功能自动检测：可设置漏电保护功能每月自动检测自动送电：漏电检测断电5s后自动送电线路打火报警手自一体控制：手机遥控，可以按键自动控制，也可通过手动推杆控制通断定时控制功能：智能断路器内置时钟芯片，脱网状态下可保证时间的精准性，真正实现各线路定时开关变得轻松、准确外壳防火等级：智能断路器外壳采用PA66+玻璃纤维等高规格防火阻燃材料、防火等级达到V0级安装方式：导轨卡口</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智慧空开管理软件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智慧空开管理软件（含安装调试）</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高清数字监控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CMOS红外筒型网络摄像机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12 mm，水平视场角：25.4°，垂直视场角：14.4°，对角视场角：29.1°</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红外波长范围: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★内置两个图像传感器，分别输出黑白及彩色图像，可对视频图像进行融合输出。（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★支持快捷配置功能，可在预览画面开启/关闭“快捷配置”页面，对曝光参数、OSD等参数进行配置，并可恢复为默认设置。 （</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12V/10A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室外监控立杆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室外监控立杆:5m，含立杆防雷箱，基础接地等附件，表面热镀锌处理，镀锌扁钢40mm*4mm,L:500mm，镀锌角钢50mm*5mm,L:2500mm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智能健身-健康步道</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高清数字监控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CMOS红外筒型网络摄像机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支持Smart侦测：10项事件检测，1项异常检测</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mm，水平视场角：87.6°，垂直视场角：44.4°，对角视场角：104.9°</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12 mm，水平视场角：25.4°，垂直视场角：14.4°，对角视场角：29.1°</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红外波长范围: 850 nm</w:t>
            </w:r>
            <w:r>
              <w:rPr>
                <w:rFonts w:hint="eastAsia"/>
                <w:color w:val="auto"/>
                <w:sz w:val="21"/>
                <w:szCs w:val="21"/>
                <w:highlight w:val="none"/>
                <w:lang w:val="en-US" w:bidi="ar-SA"/>
              </w:rPr>
              <w:br w:type="textWrapping"/>
            </w:r>
            <w:r>
              <w:rPr>
                <w:rFonts w:hint="eastAsia"/>
                <w:color w:val="auto"/>
                <w:sz w:val="21"/>
                <w:szCs w:val="21"/>
                <w:highlight w:val="none"/>
                <w:lang w:val="en-US" w:bidi="ar-SA"/>
              </w:rPr>
              <w:t>补光灯类型: 红外灯</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1个内置麦克风</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V，0.41 A，最大功耗：5 W；PoE：802.3af，36 V~57 V，0.18 A~0.11 A，最大功耗：6.5 W</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★内置两个图像传感器，分别输出黑白及彩色图像，可对视频图像进行融合输出。（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★支持快捷配置功能，可在预览画面开启/关闭“快捷配置”页面，对曝光参数、OSD等参数进行配置，并可恢复为默认设置。 （</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DC12V/2A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室外监控立杆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1.名称：室外监控立杆3.5m</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2.参数：室外监控立杆（普通）:3.5m，含立杆防雷箱，基础接地等附件，表面热镀锌处理，镀锌扁钢40mm*4mm,L:500mm，镀锌角钢50mm*5mm,L:2500mm（含防雷接地设备)</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六、低碳场景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2" name="Text Box 1"/>
                  <wp:cNvGraphicFramePr/>
                  <a:graphic xmlns:a="http://schemas.openxmlformats.org/drawingml/2006/main">
                    <a:graphicData uri="http://schemas.openxmlformats.org/drawingml/2006/picture">
                      <pic:pic xmlns:pic="http://schemas.openxmlformats.org/drawingml/2006/picture">
                        <pic:nvPicPr>
                          <pic:cNvPr id="2" name="Text Box 1"/>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3" name="Text Box 2"/>
                  <wp:cNvGraphicFramePr/>
                  <a:graphic xmlns:a="http://schemas.openxmlformats.org/drawingml/2006/main">
                    <a:graphicData uri="http://schemas.openxmlformats.org/drawingml/2006/picture">
                      <pic:pic xmlns:pic="http://schemas.openxmlformats.org/drawingml/2006/picture">
                        <pic:nvPicPr>
                          <pic:cNvPr id="3" name="Text Box 2"/>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4" name="Text Box 3"/>
                  <wp:cNvGraphicFramePr/>
                  <a:graphic xmlns:a="http://schemas.openxmlformats.org/drawingml/2006/main">
                    <a:graphicData uri="http://schemas.openxmlformats.org/drawingml/2006/picture">
                      <pic:pic xmlns:pic="http://schemas.openxmlformats.org/drawingml/2006/picture">
                        <pic:nvPicPr>
                          <pic:cNvPr id="4" name="Text Box 3"/>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5" name="Text Box 4"/>
                  <wp:cNvGraphicFramePr/>
                  <a:graphic xmlns:a="http://schemas.openxmlformats.org/drawingml/2006/main">
                    <a:graphicData uri="http://schemas.openxmlformats.org/drawingml/2006/picture">
                      <pic:pic xmlns:pic="http://schemas.openxmlformats.org/drawingml/2006/picture">
                        <pic:nvPicPr>
                          <pic:cNvPr id="5" name="Text Box 4"/>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6" name="Text Box 9"/>
                  <wp:cNvGraphicFramePr/>
                  <a:graphic xmlns:a="http://schemas.openxmlformats.org/drawingml/2006/main">
                    <a:graphicData uri="http://schemas.openxmlformats.org/drawingml/2006/picture">
                      <pic:pic xmlns:pic="http://schemas.openxmlformats.org/drawingml/2006/picture">
                        <pic:nvPicPr>
                          <pic:cNvPr id="6" name="Text Box 9"/>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7" name="Text Box 10"/>
                  <wp:cNvGraphicFramePr/>
                  <a:graphic xmlns:a="http://schemas.openxmlformats.org/drawingml/2006/main">
                    <a:graphicData uri="http://schemas.openxmlformats.org/drawingml/2006/picture">
                      <pic:pic xmlns:pic="http://schemas.openxmlformats.org/drawingml/2006/picture">
                        <pic:nvPicPr>
                          <pic:cNvPr id="7" name="Text Box 10"/>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8" name="Text Box 11"/>
                  <wp:cNvGraphicFramePr/>
                  <a:graphic xmlns:a="http://schemas.openxmlformats.org/drawingml/2006/main">
                    <a:graphicData uri="http://schemas.openxmlformats.org/drawingml/2006/picture">
                      <pic:pic xmlns:pic="http://schemas.openxmlformats.org/drawingml/2006/picture">
                        <pic:nvPicPr>
                          <pic:cNvPr id="8" name="Text Box 11"/>
                          <pic:cNvPicPr/>
                        </pic:nvPicPr>
                        <pic:blipFill>
                          <a:blip r:embed="rId23"/>
                          <a:stretch>
                            <a:fillRect/>
                          </a:stretch>
                        </pic:blipFill>
                        <pic:spPr>
                          <a:xfrm>
                            <a:off x="0" y="0"/>
                            <a:ext cx="7620" cy="182880"/>
                          </a:xfrm>
                          <a:prstGeom prst="rect">
                            <a:avLst/>
                          </a:prstGeom>
                          <a:noFill/>
                          <a:ln>
                            <a:noFill/>
                          </a:ln>
                        </pic:spPr>
                      </pic:pic>
                    </a:graphicData>
                  </a:graphic>
                </wp:anchor>
              </w:drawing>
            </w:r>
            <w:r>
              <w:rPr>
                <w:rFonts w:hint="eastAsia"/>
                <w:color w:val="auto"/>
                <w:sz w:val="21"/>
                <w:szCs w:val="21"/>
                <w:highlight w:val="none"/>
                <w:lang w:val="en-US" w:bidi="ar-SA"/>
              </w:rPr>
              <w:drawing>
                <wp:anchor distT="0" distB="0" distL="114300" distR="114300" simplePos="0" relativeHeight="251667456" behindDoc="0" locked="0" layoutInCell="1" allowOverlap="1">
                  <wp:simplePos x="0" y="0"/>
                  <wp:positionH relativeFrom="column">
                    <wp:posOffset>0</wp:posOffset>
                  </wp:positionH>
                  <wp:positionV relativeFrom="paragraph">
                    <wp:posOffset>304800</wp:posOffset>
                  </wp:positionV>
                  <wp:extent cx="7620" cy="182880"/>
                  <wp:effectExtent l="0" t="0" r="0" b="0"/>
                  <wp:wrapNone/>
                  <wp:docPr id="9" name="Text Box 12"/>
                  <wp:cNvGraphicFramePr/>
                  <a:graphic xmlns:a="http://schemas.openxmlformats.org/drawingml/2006/main">
                    <a:graphicData uri="http://schemas.openxmlformats.org/drawingml/2006/picture">
                      <pic:pic xmlns:pic="http://schemas.openxmlformats.org/drawingml/2006/picture">
                        <pic:nvPicPr>
                          <pic:cNvPr id="9" name="Text Box 12"/>
                          <pic:cNvPicPr/>
                        </pic:nvPicPr>
                        <pic:blipFill>
                          <a:blip r:embed="rId23"/>
                          <a:stretch>
                            <a:fillRect/>
                          </a:stretch>
                        </pic:blipFill>
                        <pic:spPr>
                          <a:xfrm>
                            <a:off x="0" y="0"/>
                            <a:ext cx="7620" cy="182880"/>
                          </a:xfrm>
                          <a:prstGeom prst="rect">
                            <a:avLst/>
                          </a:prstGeom>
                          <a:noFill/>
                          <a:ln>
                            <a:noFill/>
                          </a:ln>
                        </pic:spPr>
                      </pic:pic>
                    </a:graphicData>
                  </a:graphic>
                </wp:anchor>
              </w:drawing>
            </w:r>
          </w:p>
          <w:p>
            <w:pPr>
              <w:widowControl/>
              <w:autoSpaceDE/>
              <w:autoSpaceDN/>
              <w:jc w:val="center"/>
              <w:rPr>
                <w:b/>
                <w:bCs/>
                <w:color w:val="auto"/>
                <w:sz w:val="21"/>
                <w:szCs w:val="21"/>
                <w:highlight w:val="none"/>
                <w:lang w:val="en-US" w:bidi="ar-SA"/>
              </w:rPr>
            </w:pPr>
            <w:r>
              <w:rPr>
                <w:rFonts w:hint="eastAsia"/>
                <w:b/>
                <w:bCs/>
                <w:color w:val="auto"/>
                <w:sz w:val="21"/>
                <w:szCs w:val="21"/>
                <w:highlight w:val="none"/>
                <w:lang w:val="en-US" w:bidi="ar-SA"/>
              </w:rPr>
              <w:t>智慧</w:t>
            </w:r>
          </w:p>
          <w:p>
            <w:pPr>
              <w:widowControl/>
              <w:autoSpaceDE/>
              <w:autoSpaceDN/>
              <w:jc w:val="center"/>
              <w:rPr>
                <w:rFonts w:hint="eastAsia"/>
                <w:color w:val="auto"/>
                <w:sz w:val="21"/>
                <w:szCs w:val="21"/>
                <w:highlight w:val="none"/>
                <w:lang w:val="en-US" w:bidi="ar-SA"/>
              </w:rPr>
            </w:pPr>
            <w:r>
              <w:rPr>
                <w:rFonts w:hint="eastAsia"/>
                <w:b/>
                <w:bCs/>
                <w:color w:val="auto"/>
                <w:sz w:val="21"/>
                <w:szCs w:val="21"/>
                <w:highlight w:val="none"/>
                <w:lang w:val="en-US" w:bidi="ar-SA"/>
              </w:rPr>
              <w:t>用电</w:t>
            </w:r>
          </w:p>
        </w:tc>
        <w:tc>
          <w:tcPr>
            <w:tcW w:w="534" w:type="pct"/>
            <w:shd w:val="clear" w:color="auto" w:fill="FFFFFF"/>
            <w:noWrap w:val="0"/>
            <w:vAlign w:val="center"/>
          </w:tcPr>
          <w:p>
            <w:pPr>
              <w:widowControl/>
              <w:autoSpaceDE/>
              <w:autoSpaceDN/>
              <w:jc w:val="center"/>
              <w:rPr>
                <w:color w:val="auto"/>
                <w:sz w:val="21"/>
                <w:szCs w:val="21"/>
                <w:highlight w:val="none"/>
                <w:lang w:val="en-US" w:bidi="ar-SA"/>
              </w:rPr>
            </w:pPr>
            <w:r>
              <w:rPr>
                <w:rFonts w:hint="eastAsia"/>
                <w:color w:val="auto"/>
                <w:sz w:val="21"/>
                <w:szCs w:val="21"/>
                <w:highlight w:val="none"/>
                <w:lang w:val="en-US" w:bidi="ar-SA"/>
              </w:rPr>
              <w:t>用电安全智能系统主机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1.支持32路故障电弧，外接分体式故障电弧探测器； 2.支持1路剩余电流和4路温度，外接温漏检测模块； 3.声光报警，液晶显示； 4.导轨式安装，5模； 5.485通讯，可连接电气火灾监控主机或其它上端设备通 讯；6.1路二总线，可连接分体式故障电弧探测器和温漏检测模 块；7.1路继电器输出接口，可提供1个无源开关量； 8.电压监测功能。</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分体式故障电弧探测器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1.与用电安全智慧系统主机配合使用； 2.电弧监测功能，检测回路上故障电弧； 3.电流监测功能，可提供回路电流值，电流范围：0--32A； 4.支持穿过线缆规格为10mm2； 5.闭口式。</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NB网关</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1.通过485通讯联接用电安全智能系统主机； 2.上传数据至物联网平台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温感漏感模块</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1.与用电安全智慧系统主机配合使用； 2.外接1个剩余电流互感器 3.外接4个温度传感器； 4.LED灯光报警； 5.导轨式安装，1模。</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剩余电流互感器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1.与温漏检测模块配合使用； 2.剩余电流监测功能，检测回路剩余电流，报警范围：10-- 1000mA； 3.闭口式。</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温度传感器</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1.与温漏检测模块配合使用； 2.温度监测功能，检测回路温度，报警范围：55--100℃；</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支</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NB网关流量费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定制套餐</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元/台/年</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小型配电箱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定制设备</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垃圾分类及治理</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垃圾分类摄像机</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200万 1/2.7" CMOS 智能筒型网络摄像机</w:t>
            </w:r>
            <w:r>
              <w:rPr>
                <w:rFonts w:hint="eastAsia"/>
                <w:color w:val="auto"/>
                <w:sz w:val="21"/>
                <w:szCs w:val="21"/>
                <w:highlight w:val="none"/>
                <w:lang w:val="en-US" w:bidi="ar-SA"/>
              </w:rPr>
              <w:br w:type="textWrapping"/>
            </w:r>
            <w:r>
              <w:rPr>
                <w:rFonts w:hint="eastAsia"/>
                <w:color w:val="auto"/>
                <w:sz w:val="21"/>
                <w:szCs w:val="21"/>
                <w:highlight w:val="none"/>
                <w:lang w:val="en-US" w:bidi="ar-SA"/>
              </w:rPr>
              <w:t>采用深度学习硬件及算法，支持越界侦测，区域入侵侦测，进入区域侦测和离开区域侦测，支持联动声音报警</w:t>
            </w:r>
            <w:r>
              <w:rPr>
                <w:rFonts w:hint="eastAsia"/>
                <w:color w:val="auto"/>
                <w:sz w:val="21"/>
                <w:szCs w:val="21"/>
                <w:highlight w:val="none"/>
                <w:lang w:val="en-US" w:bidi="ar-SA"/>
              </w:rPr>
              <w:br w:type="textWrapping"/>
            </w:r>
            <w:r>
              <w:rPr>
                <w:rFonts w:hint="eastAsia"/>
                <w:color w:val="auto"/>
                <w:sz w:val="21"/>
                <w:szCs w:val="21"/>
                <w:highlight w:val="none"/>
                <w:lang w:val="en-US" w:bidi="ar-SA"/>
              </w:rPr>
              <w:t>最低照度: 彩色：0.002 Lux @（F1.2，AGC ON），0 Lux with IR</w:t>
            </w:r>
            <w:r>
              <w:rPr>
                <w:rFonts w:hint="eastAsia"/>
                <w:color w:val="auto"/>
                <w:sz w:val="21"/>
                <w:szCs w:val="21"/>
                <w:highlight w:val="none"/>
                <w:lang w:val="en-US" w:bidi="ar-SA"/>
              </w:rPr>
              <w:br w:type="textWrapping"/>
            </w:r>
            <w:r>
              <w:rPr>
                <w:rFonts w:hint="eastAsia"/>
                <w:color w:val="auto"/>
                <w:sz w:val="21"/>
                <w:szCs w:val="21"/>
                <w:highlight w:val="none"/>
                <w:lang w:val="en-US" w:bidi="ar-SA"/>
              </w:rPr>
              <w:t>宽动态: 120 dB</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焦距&amp;视场角: </w:t>
            </w:r>
            <w:r>
              <w:rPr>
                <w:rFonts w:hint="eastAsia"/>
                <w:color w:val="auto"/>
                <w:sz w:val="21"/>
                <w:szCs w:val="21"/>
                <w:highlight w:val="none"/>
                <w:lang w:val="en-US" w:bidi="ar-SA"/>
              </w:rPr>
              <w:br w:type="textWrapping"/>
            </w:r>
            <w:r>
              <w:rPr>
                <w:rFonts w:hint="eastAsia"/>
                <w:color w:val="auto"/>
                <w:sz w:val="21"/>
                <w:szCs w:val="21"/>
                <w:highlight w:val="none"/>
                <w:lang w:val="en-US" w:bidi="ar-SA"/>
              </w:rPr>
              <w:t>4 mm，水平视场角：85.9°，垂直视场角：46.7°，对角视场角：100.4°</w:t>
            </w:r>
            <w:r>
              <w:rPr>
                <w:rFonts w:hint="eastAsia"/>
                <w:color w:val="auto"/>
                <w:sz w:val="21"/>
                <w:szCs w:val="21"/>
                <w:highlight w:val="none"/>
                <w:lang w:val="en-US" w:bidi="ar-SA"/>
              </w:rPr>
              <w:br w:type="textWrapping"/>
            </w:r>
            <w:r>
              <w:rPr>
                <w:rFonts w:hint="eastAsia"/>
                <w:color w:val="auto"/>
                <w:sz w:val="21"/>
                <w:szCs w:val="21"/>
                <w:highlight w:val="none"/>
                <w:lang w:val="en-US" w:bidi="ar-SA"/>
              </w:rPr>
              <w:t>6 mm，水平视场角：53.9°，垂直视场角：28.8°，对角视场角：62.8°</w:t>
            </w:r>
            <w:r>
              <w:rPr>
                <w:rFonts w:hint="eastAsia"/>
                <w:color w:val="auto"/>
                <w:sz w:val="21"/>
                <w:szCs w:val="21"/>
                <w:highlight w:val="none"/>
                <w:lang w:val="en-US" w:bidi="ar-SA"/>
              </w:rPr>
              <w:br w:type="textWrapping"/>
            </w:r>
            <w:r>
              <w:rPr>
                <w:rFonts w:hint="eastAsia"/>
                <w:color w:val="auto"/>
                <w:sz w:val="21"/>
                <w:szCs w:val="21"/>
                <w:highlight w:val="none"/>
                <w:lang w:val="en-US" w:bidi="ar-SA"/>
              </w:rPr>
              <w:t>8 mm，水平视场角：40.9°，垂直视场角：22.5°，对角视场角：47.4°</w:t>
            </w:r>
            <w:r>
              <w:rPr>
                <w:rFonts w:hint="eastAsia"/>
                <w:color w:val="auto"/>
                <w:sz w:val="21"/>
                <w:szCs w:val="21"/>
                <w:highlight w:val="none"/>
                <w:lang w:val="en-US" w:bidi="ar-SA"/>
              </w:rPr>
              <w:br w:type="textWrapping"/>
            </w:r>
            <w:r>
              <w:rPr>
                <w:rFonts w:hint="eastAsia"/>
                <w:color w:val="auto"/>
                <w:sz w:val="21"/>
                <w:szCs w:val="21"/>
                <w:highlight w:val="none"/>
                <w:lang w:val="en-US" w:bidi="ar-SA"/>
              </w:rPr>
              <w:t>12 mm，水平视场角：25.4°，垂直视场角：14.4°，对角视场角：29.1°</w:t>
            </w:r>
            <w:r>
              <w:rPr>
                <w:rFonts w:hint="eastAsia"/>
                <w:color w:val="auto"/>
                <w:sz w:val="21"/>
                <w:szCs w:val="21"/>
                <w:highlight w:val="none"/>
                <w:lang w:val="en-US" w:bidi="ar-SA"/>
              </w:rPr>
              <w:br w:type="textWrapping"/>
            </w:r>
            <w:r>
              <w:rPr>
                <w:rFonts w:hint="eastAsia"/>
                <w:color w:val="auto"/>
                <w:sz w:val="21"/>
                <w:szCs w:val="21"/>
                <w:highlight w:val="none"/>
                <w:lang w:val="en-US" w:bidi="ar-SA"/>
              </w:rPr>
              <w:t xml:space="preserve">补光灯类型: 智能补光，可切换白光灯、红外灯 </w:t>
            </w:r>
            <w:r>
              <w:rPr>
                <w:rFonts w:hint="eastAsia"/>
                <w:color w:val="auto"/>
                <w:sz w:val="21"/>
                <w:szCs w:val="21"/>
                <w:highlight w:val="none"/>
                <w:lang w:val="en-US" w:bidi="ar-SA"/>
              </w:rPr>
              <w:br w:type="textWrapping"/>
            </w:r>
            <w:r>
              <w:rPr>
                <w:rFonts w:hint="eastAsia"/>
                <w:color w:val="auto"/>
                <w:sz w:val="21"/>
                <w:szCs w:val="21"/>
                <w:highlight w:val="none"/>
                <w:lang w:val="en-US" w:bidi="ar-SA"/>
              </w:rPr>
              <w:t>补光距离: 红外光最远可达50 m，白光最远可达30 m</w:t>
            </w:r>
            <w:r>
              <w:rPr>
                <w:rFonts w:hint="eastAsia"/>
                <w:color w:val="auto"/>
                <w:sz w:val="21"/>
                <w:szCs w:val="21"/>
                <w:highlight w:val="none"/>
                <w:lang w:val="en-US" w:bidi="ar-SA"/>
              </w:rPr>
              <w:br w:type="textWrapping"/>
            </w:r>
            <w:r>
              <w:rPr>
                <w:rFonts w:hint="eastAsia"/>
                <w:color w:val="auto"/>
                <w:sz w:val="21"/>
                <w:szCs w:val="21"/>
                <w:highlight w:val="none"/>
                <w:lang w:val="en-US" w:bidi="ar-SA"/>
              </w:rPr>
              <w:t>防补光过曝: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最大图像尺寸: 1920 × 1080</w:t>
            </w:r>
            <w:r>
              <w:rPr>
                <w:rFonts w:hint="eastAsia"/>
                <w:color w:val="auto"/>
                <w:sz w:val="21"/>
                <w:szCs w:val="21"/>
                <w:highlight w:val="none"/>
                <w:lang w:val="en-US" w:bidi="ar-SA"/>
              </w:rPr>
              <w:br w:type="textWrapping"/>
            </w:r>
            <w:r>
              <w:rPr>
                <w:rFonts w:hint="eastAsia"/>
                <w:color w:val="auto"/>
                <w:sz w:val="21"/>
                <w:szCs w:val="21"/>
                <w:highlight w:val="none"/>
                <w:lang w:val="en-US" w:bidi="ar-SA"/>
              </w:rPr>
              <w:t>视频压缩标准: 主码流：H.265/H.264</w:t>
            </w:r>
            <w:r>
              <w:rPr>
                <w:rFonts w:hint="eastAsia"/>
                <w:color w:val="auto"/>
                <w:sz w:val="21"/>
                <w:szCs w:val="21"/>
                <w:highlight w:val="none"/>
                <w:lang w:val="en-US" w:bidi="ar-SA"/>
              </w:rPr>
              <w:br w:type="textWrapping"/>
            </w:r>
            <w:r>
              <w:rPr>
                <w:rFonts w:hint="eastAsia"/>
                <w:color w:val="auto"/>
                <w:sz w:val="21"/>
                <w:szCs w:val="21"/>
                <w:highlight w:val="none"/>
                <w:lang w:val="en-US" w:bidi="ar-SA"/>
              </w:rPr>
              <w:t>网络存储: 支持NAS（NFS，SMB/CIFS均支持），支持MicroSD(即TF卡)/MicroSDHC/MicroSDXC卡（最大256 GB），断网本地录像存储及断网续传，配合黑卡支持SD卡加密及SD卡状态检测</w:t>
            </w:r>
            <w:r>
              <w:rPr>
                <w:rFonts w:hint="eastAsia"/>
                <w:color w:val="auto"/>
                <w:sz w:val="21"/>
                <w:szCs w:val="21"/>
                <w:highlight w:val="none"/>
                <w:lang w:val="en-US" w:bidi="ar-SA"/>
              </w:rPr>
              <w:br w:type="textWrapping"/>
            </w:r>
            <w:r>
              <w:rPr>
                <w:rFonts w:hint="eastAsia"/>
                <w:color w:val="auto"/>
                <w:sz w:val="21"/>
                <w:szCs w:val="21"/>
                <w:highlight w:val="none"/>
                <w:lang w:val="en-US" w:bidi="ar-SA"/>
              </w:rPr>
              <w:t>网络: 1个RJ45 10 M/100 M自适应以太网口</w:t>
            </w:r>
            <w:r>
              <w:rPr>
                <w:rFonts w:hint="eastAsia"/>
                <w:color w:val="auto"/>
                <w:sz w:val="21"/>
                <w:szCs w:val="21"/>
                <w:highlight w:val="none"/>
                <w:lang w:val="en-US" w:bidi="ar-SA"/>
              </w:rPr>
              <w:br w:type="textWrapping"/>
            </w:r>
            <w:r>
              <w:rPr>
                <w:rFonts w:hint="eastAsia"/>
                <w:color w:val="auto"/>
                <w:sz w:val="21"/>
                <w:szCs w:val="21"/>
                <w:highlight w:val="none"/>
                <w:lang w:val="en-US" w:bidi="ar-SA"/>
              </w:rPr>
              <w:t>音频: 1路输入（Line in）；1路输出（Line out）；1个内置麦克风，1个内置扬声器</w:t>
            </w:r>
            <w:r>
              <w:rPr>
                <w:rFonts w:hint="eastAsia"/>
                <w:color w:val="auto"/>
                <w:sz w:val="21"/>
                <w:szCs w:val="21"/>
                <w:highlight w:val="none"/>
                <w:lang w:val="en-US" w:bidi="ar-SA"/>
              </w:rPr>
              <w:br w:type="textWrapping"/>
            </w:r>
            <w:r>
              <w:rPr>
                <w:rFonts w:hint="eastAsia"/>
                <w:color w:val="auto"/>
                <w:sz w:val="21"/>
                <w:szCs w:val="21"/>
                <w:highlight w:val="none"/>
                <w:lang w:val="en-US" w:bidi="ar-SA"/>
              </w:rPr>
              <w:t>报警: 1路输入，1路输出（报警输出最大支持AC24 V/DC24 V，1 A）</w:t>
            </w:r>
            <w:r>
              <w:rPr>
                <w:rFonts w:hint="eastAsia"/>
                <w:color w:val="auto"/>
                <w:sz w:val="21"/>
                <w:szCs w:val="21"/>
                <w:highlight w:val="none"/>
                <w:lang w:val="en-US" w:bidi="ar-SA"/>
              </w:rPr>
              <w:br w:type="textWrapping"/>
            </w:r>
            <w:r>
              <w:rPr>
                <w:rFonts w:hint="eastAsia"/>
                <w:color w:val="auto"/>
                <w:sz w:val="21"/>
                <w:szCs w:val="21"/>
                <w:highlight w:val="none"/>
                <w:lang w:val="en-US" w:bidi="ar-SA"/>
              </w:rPr>
              <w:t>复位: 支持</w:t>
            </w:r>
            <w:r>
              <w:rPr>
                <w:rFonts w:hint="eastAsia"/>
                <w:color w:val="auto"/>
                <w:sz w:val="21"/>
                <w:szCs w:val="21"/>
                <w:highlight w:val="none"/>
                <w:lang w:val="en-US" w:bidi="ar-SA"/>
              </w:rPr>
              <w:br w:type="textWrapping"/>
            </w:r>
            <w:r>
              <w:rPr>
                <w:rFonts w:hint="eastAsia"/>
                <w:color w:val="auto"/>
                <w:sz w:val="21"/>
                <w:szCs w:val="21"/>
                <w:highlight w:val="none"/>
                <w:lang w:val="en-US" w:bidi="ar-SA"/>
              </w:rPr>
              <w:t>电源输出: DC12 V，100 mA，可用于拾音器供电</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启动和工作温湿度: -30 ℃~60 ℃，湿度小于95%（无凝结）</w:t>
            </w:r>
            <w:r>
              <w:rPr>
                <w:rFonts w:hint="eastAsia"/>
                <w:color w:val="auto"/>
                <w:sz w:val="21"/>
                <w:szCs w:val="21"/>
                <w:highlight w:val="none"/>
                <w:lang w:val="en-US" w:bidi="ar-SA"/>
              </w:rPr>
              <w:br w:type="textWrapping"/>
            </w:r>
            <w:r>
              <w:rPr>
                <w:rFonts w:hint="eastAsia"/>
                <w:color w:val="auto"/>
                <w:sz w:val="21"/>
                <w:szCs w:val="21"/>
                <w:highlight w:val="none"/>
                <w:lang w:val="en-US" w:bidi="ar-SA"/>
              </w:rPr>
              <w:t>电流及功耗: DC：12 V，0.84 A，最大功耗：10 W；PoE：802.3af，36 V~57 V，0.35 A~0.22 A，最大功耗：12.5 W</w:t>
            </w:r>
            <w:r>
              <w:rPr>
                <w:rFonts w:hint="eastAsia"/>
                <w:color w:val="auto"/>
                <w:sz w:val="21"/>
                <w:szCs w:val="21"/>
                <w:highlight w:val="none"/>
                <w:lang w:val="en-US" w:bidi="ar-SA"/>
              </w:rPr>
              <w:br w:type="textWrapping"/>
            </w:r>
            <w:r>
              <w:rPr>
                <w:rFonts w:hint="eastAsia"/>
                <w:color w:val="auto"/>
                <w:sz w:val="21"/>
                <w:szCs w:val="21"/>
                <w:highlight w:val="none"/>
                <w:lang w:val="en-US" w:bidi="ar-SA"/>
              </w:rPr>
              <w:t>供电方式: DC：12 V ± 25%，支持防反接保护；PoE：802.3af，Class 3</w:t>
            </w:r>
            <w:r>
              <w:rPr>
                <w:rFonts w:hint="eastAsia"/>
                <w:color w:val="auto"/>
                <w:sz w:val="21"/>
                <w:szCs w:val="21"/>
                <w:highlight w:val="none"/>
                <w:lang w:val="en-US" w:bidi="ar-SA"/>
              </w:rPr>
              <w:br w:type="textWrapping"/>
            </w:r>
            <w:r>
              <w:rPr>
                <w:rFonts w:hint="eastAsia"/>
                <w:color w:val="auto"/>
                <w:sz w:val="21"/>
                <w:szCs w:val="21"/>
                <w:highlight w:val="none"/>
                <w:lang w:val="en-US" w:bidi="ar-SA"/>
              </w:rPr>
              <w:t>电源接口类型: Ø5.5 mm圆口</w:t>
            </w:r>
            <w:r>
              <w:rPr>
                <w:rFonts w:hint="eastAsia"/>
                <w:color w:val="auto"/>
                <w:sz w:val="21"/>
                <w:szCs w:val="21"/>
                <w:highlight w:val="none"/>
                <w:lang w:val="en-US" w:bidi="ar-SA"/>
              </w:rPr>
              <w:br w:type="textWrapping"/>
            </w:r>
            <w:r>
              <w:rPr>
                <w:rFonts w:hint="eastAsia"/>
                <w:color w:val="auto"/>
                <w:sz w:val="21"/>
                <w:szCs w:val="21"/>
                <w:highlight w:val="none"/>
                <w:lang w:val="en-US" w:bidi="ar-SA"/>
              </w:rPr>
              <w:t>防护: IP66</w:t>
            </w:r>
            <w:r>
              <w:rPr>
                <w:rFonts w:hint="eastAsia"/>
                <w:color w:val="auto"/>
                <w:sz w:val="21"/>
                <w:szCs w:val="21"/>
                <w:highlight w:val="none"/>
                <w:lang w:val="en-US" w:bidi="ar-SA"/>
              </w:rPr>
              <w:br w:type="textWrapping"/>
            </w:r>
            <w:r>
              <w:rPr>
                <w:rFonts w:hint="eastAsia"/>
                <w:color w:val="auto"/>
                <w:sz w:val="21"/>
                <w:szCs w:val="21"/>
                <w:highlight w:val="none"/>
                <w:lang w:val="en-US" w:bidi="ar-SA"/>
              </w:rPr>
              <w:t>★内置两个图像传感器，分别输出黑白及彩色图像，可对视频图像进行融合输出。（</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★内置混合补光灯，可对红外灯及白光灯功率进行调节。（</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★支持快捷配置功能，可在预览画面开启/关闭“快捷配置”页面，对曝光参数、OSD等参数进行配置，并可恢复为默认设置。 （</w:t>
            </w:r>
            <w:r>
              <w:rPr>
                <w:rFonts w:hint="eastAsia"/>
                <w:color w:val="auto"/>
                <w:sz w:val="21"/>
                <w:szCs w:val="21"/>
                <w:highlight w:val="none"/>
                <w:lang w:val="en-US" w:eastAsia="zh-CN" w:bidi="ar-SA"/>
              </w:rPr>
              <w:t>需提供国家认可的第三方检测机构出具的检测报告复印件</w:t>
            </w:r>
            <w:r>
              <w:rPr>
                <w:rFonts w:hint="eastAsia"/>
                <w:color w:val="auto"/>
                <w:sz w:val="21"/>
                <w:szCs w:val="21"/>
                <w:highlight w:val="none"/>
                <w:lang w:val="en-US" w:bidi="ar-SA"/>
              </w:rPr>
              <w:t>）</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环保宣传专用音柱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室外音柱</w:t>
            </w:r>
            <w:r>
              <w:rPr>
                <w:rFonts w:hint="eastAsia"/>
                <w:color w:val="auto"/>
                <w:sz w:val="21"/>
                <w:szCs w:val="21"/>
                <w:highlight w:val="none"/>
                <w:lang w:val="en-US" w:bidi="ar-SA"/>
              </w:rPr>
              <w:br w:type="textWrapping"/>
            </w:r>
            <w:r>
              <w:rPr>
                <w:rFonts w:hint="eastAsia"/>
                <w:color w:val="auto"/>
                <w:sz w:val="21"/>
                <w:szCs w:val="21"/>
                <w:highlight w:val="none"/>
                <w:lang w:val="en-US" w:bidi="ar-SA"/>
              </w:rPr>
              <w:t>线性音频输入,可以播放外部音源。</w:t>
            </w:r>
            <w:r>
              <w:rPr>
                <w:rFonts w:hint="eastAsia"/>
                <w:color w:val="auto"/>
                <w:sz w:val="21"/>
                <w:szCs w:val="21"/>
                <w:highlight w:val="none"/>
                <w:lang w:val="en-US" w:bidi="ar-SA"/>
              </w:rPr>
              <w:br w:type="textWrapping"/>
            </w:r>
            <w:r>
              <w:rPr>
                <w:rFonts w:hint="eastAsia"/>
                <w:color w:val="auto"/>
                <w:sz w:val="21"/>
                <w:szCs w:val="21"/>
                <w:highlight w:val="none"/>
                <w:lang w:val="en-US" w:bidi="ar-SA"/>
              </w:rPr>
              <w:t>支持多通道接收处理功能。</w:t>
            </w:r>
            <w:r>
              <w:rPr>
                <w:rFonts w:hint="eastAsia"/>
                <w:color w:val="auto"/>
                <w:sz w:val="21"/>
                <w:szCs w:val="21"/>
                <w:highlight w:val="none"/>
                <w:lang w:val="en-US" w:bidi="ar-SA"/>
              </w:rPr>
              <w:br w:type="textWrapping"/>
            </w:r>
            <w:r>
              <w:rPr>
                <w:rFonts w:hint="eastAsia"/>
                <w:color w:val="auto"/>
                <w:sz w:val="21"/>
                <w:szCs w:val="21"/>
                <w:highlight w:val="none"/>
                <w:lang w:val="en-US" w:bidi="ar-SA"/>
              </w:rPr>
              <w:t>内置3M音频存储空间，可以通过外置USB接口擦除拷贝6首音乐，通过拨码开关选择预设音乐信号，通过触发播放预设语音节目。</w:t>
            </w:r>
            <w:r>
              <w:rPr>
                <w:rFonts w:hint="eastAsia"/>
                <w:color w:val="auto"/>
                <w:sz w:val="21"/>
                <w:szCs w:val="21"/>
                <w:highlight w:val="none"/>
                <w:lang w:val="en-US" w:bidi="ar-SA"/>
              </w:rPr>
              <w:br w:type="textWrapping"/>
            </w:r>
            <w:r>
              <w:rPr>
                <w:rFonts w:hint="eastAsia"/>
                <w:color w:val="auto"/>
                <w:sz w:val="21"/>
                <w:szCs w:val="21"/>
                <w:highlight w:val="none"/>
                <w:lang w:val="en-US" w:bidi="ar-SA"/>
              </w:rPr>
              <w:t>内部功放具备过热、过压、短路等保护功能。</w:t>
            </w:r>
            <w:r>
              <w:rPr>
                <w:rFonts w:hint="eastAsia"/>
                <w:color w:val="auto"/>
                <w:sz w:val="21"/>
                <w:szCs w:val="21"/>
                <w:highlight w:val="none"/>
                <w:lang w:val="en-US" w:bidi="ar-SA"/>
              </w:rPr>
              <w:br w:type="textWrapping"/>
            </w:r>
            <w:r>
              <w:rPr>
                <w:rFonts w:hint="eastAsia"/>
                <w:color w:val="auto"/>
                <w:sz w:val="21"/>
                <w:szCs w:val="21"/>
                <w:highlight w:val="none"/>
                <w:lang w:val="en-US" w:bidi="ar-SA"/>
              </w:rPr>
              <w:t>输出音量可调节。</w:t>
            </w:r>
            <w:r>
              <w:rPr>
                <w:rFonts w:hint="eastAsia"/>
                <w:color w:val="auto"/>
                <w:sz w:val="21"/>
                <w:szCs w:val="21"/>
                <w:highlight w:val="none"/>
                <w:lang w:val="en-US" w:bidi="ar-SA"/>
              </w:rPr>
              <w:br w:type="textWrapping"/>
            </w:r>
            <w:r>
              <w:rPr>
                <w:rFonts w:hint="eastAsia"/>
                <w:color w:val="auto"/>
                <w:sz w:val="21"/>
                <w:szCs w:val="21"/>
                <w:highlight w:val="none"/>
                <w:lang w:val="en-US" w:bidi="ar-SA"/>
              </w:rPr>
              <w:t>高保真度音箱功放，内置D类数字功放，效率高。</w:t>
            </w:r>
            <w:r>
              <w:rPr>
                <w:rFonts w:hint="eastAsia"/>
                <w:color w:val="auto"/>
                <w:sz w:val="21"/>
                <w:szCs w:val="21"/>
                <w:highlight w:val="none"/>
                <w:lang w:val="en-US" w:bidi="ar-SA"/>
              </w:rPr>
              <w:br w:type="textWrapping"/>
            </w:r>
            <w:r>
              <w:rPr>
                <w:rFonts w:hint="eastAsia"/>
                <w:color w:val="auto"/>
                <w:sz w:val="21"/>
                <w:szCs w:val="21"/>
                <w:highlight w:val="none"/>
                <w:lang w:val="en-US" w:bidi="ar-SA"/>
              </w:rPr>
              <w:t>安装方式简便易捷。</w:t>
            </w:r>
            <w:r>
              <w:rPr>
                <w:rFonts w:hint="eastAsia"/>
                <w:color w:val="auto"/>
                <w:sz w:val="21"/>
                <w:szCs w:val="21"/>
                <w:highlight w:val="none"/>
                <w:lang w:val="en-US" w:bidi="ar-SA"/>
              </w:rPr>
              <w:br w:type="textWrapping"/>
            </w:r>
            <w:r>
              <w:rPr>
                <w:rFonts w:hint="eastAsia"/>
                <w:color w:val="auto"/>
                <w:sz w:val="21"/>
                <w:szCs w:val="21"/>
                <w:highlight w:val="none"/>
                <w:lang w:val="en-US" w:bidi="ar-SA"/>
              </w:rPr>
              <w:t>DC12V直流电工作。</w:t>
            </w:r>
            <w:r>
              <w:rPr>
                <w:rFonts w:hint="eastAsia"/>
                <w:color w:val="auto"/>
                <w:sz w:val="21"/>
                <w:szCs w:val="21"/>
                <w:highlight w:val="none"/>
                <w:lang w:val="en-US" w:bidi="ar-SA"/>
              </w:rPr>
              <w:br w:type="textWrapping"/>
            </w:r>
            <w:r>
              <w:rPr>
                <w:rFonts w:hint="eastAsia"/>
                <w:color w:val="auto"/>
                <w:sz w:val="21"/>
                <w:szCs w:val="21"/>
                <w:highlight w:val="none"/>
                <w:lang w:val="en-US" w:bidi="ar-SA"/>
              </w:rPr>
              <w:t>支持三组2芯报警开关量输入，最多可接三组不同报警信号</w:t>
            </w:r>
            <w:r>
              <w:rPr>
                <w:rFonts w:hint="eastAsia"/>
                <w:color w:val="auto"/>
                <w:sz w:val="21"/>
                <w:szCs w:val="21"/>
                <w:highlight w:val="none"/>
                <w:lang w:val="en-US" w:bidi="ar-SA"/>
              </w:rPr>
              <w:br w:type="textWrapping"/>
            </w:r>
            <w:r>
              <w:rPr>
                <w:rFonts w:hint="eastAsia"/>
                <w:color w:val="auto"/>
                <w:sz w:val="21"/>
                <w:szCs w:val="21"/>
                <w:highlight w:val="none"/>
                <w:lang w:val="en-US" w:bidi="ar-SA"/>
              </w:rPr>
              <w:t>额定功率: 20W/4Ω</w:t>
            </w:r>
            <w:r>
              <w:rPr>
                <w:rFonts w:hint="eastAsia"/>
                <w:color w:val="auto"/>
                <w:sz w:val="21"/>
                <w:szCs w:val="21"/>
                <w:highlight w:val="none"/>
                <w:lang w:val="en-US" w:bidi="ar-SA"/>
              </w:rPr>
              <w:br w:type="textWrapping"/>
            </w:r>
            <w:r>
              <w:rPr>
                <w:rFonts w:hint="eastAsia"/>
                <w:color w:val="auto"/>
                <w:sz w:val="21"/>
                <w:szCs w:val="21"/>
                <w:highlight w:val="none"/>
                <w:lang w:val="en-US" w:bidi="ar-SA"/>
              </w:rPr>
              <w:t>最大功率: 32W</w:t>
            </w:r>
            <w:r>
              <w:rPr>
                <w:rFonts w:hint="eastAsia"/>
                <w:color w:val="auto"/>
                <w:sz w:val="21"/>
                <w:szCs w:val="21"/>
                <w:highlight w:val="none"/>
                <w:lang w:val="en-US" w:bidi="ar-SA"/>
              </w:rPr>
              <w:br w:type="textWrapping"/>
            </w:r>
            <w:r>
              <w:rPr>
                <w:rFonts w:hint="eastAsia"/>
                <w:color w:val="auto"/>
                <w:sz w:val="21"/>
                <w:szCs w:val="21"/>
                <w:highlight w:val="none"/>
                <w:lang w:val="en-US" w:bidi="ar-SA"/>
              </w:rPr>
              <w:t>灵敏度: 90dB±2dB</w:t>
            </w:r>
            <w:r>
              <w:rPr>
                <w:rFonts w:hint="eastAsia"/>
                <w:color w:val="auto"/>
                <w:sz w:val="21"/>
                <w:szCs w:val="21"/>
                <w:highlight w:val="none"/>
                <w:lang w:val="en-US" w:bidi="ar-SA"/>
              </w:rPr>
              <w:br w:type="textWrapping"/>
            </w:r>
            <w:r>
              <w:rPr>
                <w:rFonts w:hint="eastAsia"/>
                <w:color w:val="auto"/>
                <w:sz w:val="21"/>
                <w:szCs w:val="21"/>
                <w:highlight w:val="none"/>
                <w:lang w:val="en-US" w:bidi="ar-SA"/>
              </w:rPr>
              <w:t>内置喇叭单元: 高保真喇叭</w:t>
            </w:r>
            <w:r>
              <w:rPr>
                <w:rFonts w:hint="eastAsia"/>
                <w:color w:val="auto"/>
                <w:sz w:val="21"/>
                <w:szCs w:val="21"/>
                <w:highlight w:val="none"/>
                <w:lang w:val="en-US" w:bidi="ar-SA"/>
              </w:rPr>
              <w:br w:type="textWrapping"/>
            </w:r>
            <w:r>
              <w:rPr>
                <w:rFonts w:hint="eastAsia"/>
                <w:color w:val="auto"/>
                <w:sz w:val="21"/>
                <w:szCs w:val="21"/>
                <w:highlight w:val="none"/>
                <w:lang w:val="en-US" w:bidi="ar-SA"/>
              </w:rPr>
              <w:t>频率响应: 100Hz～17KHz</w:t>
            </w:r>
            <w:r>
              <w:rPr>
                <w:rFonts w:hint="eastAsia"/>
                <w:color w:val="auto"/>
                <w:sz w:val="21"/>
                <w:szCs w:val="21"/>
                <w:highlight w:val="none"/>
                <w:lang w:val="en-US" w:bidi="ar-SA"/>
              </w:rPr>
              <w:br w:type="textWrapping"/>
            </w:r>
            <w:r>
              <w:rPr>
                <w:rFonts w:hint="eastAsia"/>
                <w:color w:val="auto"/>
                <w:sz w:val="21"/>
                <w:szCs w:val="21"/>
                <w:highlight w:val="none"/>
                <w:lang w:val="en-US" w:bidi="ar-SA"/>
              </w:rPr>
              <w:t>输入电压: DC10V-15V/2A</w:t>
            </w:r>
            <w:r>
              <w:rPr>
                <w:rFonts w:hint="eastAsia"/>
                <w:color w:val="auto"/>
                <w:sz w:val="21"/>
                <w:szCs w:val="21"/>
                <w:highlight w:val="none"/>
                <w:lang w:val="en-US" w:bidi="ar-SA"/>
              </w:rPr>
              <w:br w:type="textWrapping"/>
            </w:r>
            <w:r>
              <w:rPr>
                <w:rFonts w:hint="eastAsia"/>
                <w:color w:val="auto"/>
                <w:sz w:val="21"/>
                <w:szCs w:val="21"/>
                <w:highlight w:val="none"/>
                <w:lang w:val="en-US" w:bidi="ar-SA"/>
              </w:rPr>
              <w:t>输入阻抗: 10KΩ</w:t>
            </w:r>
            <w:r>
              <w:rPr>
                <w:rFonts w:hint="eastAsia"/>
                <w:color w:val="auto"/>
                <w:sz w:val="21"/>
                <w:szCs w:val="21"/>
                <w:highlight w:val="none"/>
                <w:lang w:val="en-US" w:bidi="ar-SA"/>
              </w:rPr>
              <w:br w:type="textWrapping"/>
            </w:r>
            <w:r>
              <w:rPr>
                <w:rFonts w:hint="eastAsia"/>
                <w:color w:val="auto"/>
                <w:sz w:val="21"/>
                <w:szCs w:val="21"/>
                <w:highlight w:val="none"/>
                <w:lang w:val="en-US" w:bidi="ar-SA"/>
              </w:rPr>
              <w:t>防护等级: IP66</w:t>
            </w:r>
            <w:r>
              <w:rPr>
                <w:rFonts w:hint="eastAsia"/>
                <w:color w:val="auto"/>
                <w:sz w:val="21"/>
                <w:szCs w:val="21"/>
                <w:highlight w:val="none"/>
                <w:lang w:val="en-US" w:bidi="ar-SA"/>
              </w:rPr>
              <w:br w:type="textWrapping"/>
            </w:r>
            <w:r>
              <w:rPr>
                <w:rFonts w:hint="eastAsia"/>
                <w:color w:val="auto"/>
                <w:sz w:val="21"/>
                <w:szCs w:val="21"/>
                <w:highlight w:val="none"/>
                <w:lang w:val="en-US" w:bidi="ar-SA"/>
              </w:rPr>
              <w:t>接口类型: 音频输入</w:t>
            </w:r>
            <w:r>
              <w:rPr>
                <w:rFonts w:hint="eastAsia"/>
                <w:color w:val="auto"/>
                <w:sz w:val="21"/>
                <w:szCs w:val="21"/>
                <w:highlight w:val="none"/>
                <w:lang w:val="en-US" w:bidi="ar-SA"/>
              </w:rPr>
              <w:br w:type="textWrapping"/>
            </w:r>
            <w:r>
              <w:rPr>
                <w:rFonts w:hint="eastAsia"/>
                <w:color w:val="auto"/>
                <w:sz w:val="21"/>
                <w:szCs w:val="21"/>
                <w:highlight w:val="none"/>
                <w:lang w:val="en-US" w:bidi="ar-SA"/>
              </w:rPr>
              <w:t>传输线缆: USB公头；2芯音频输入口；三组2芯报警开关量；圆口电源线</w:t>
            </w:r>
            <w:r>
              <w:rPr>
                <w:rFonts w:hint="eastAsia"/>
                <w:color w:val="auto"/>
                <w:sz w:val="21"/>
                <w:szCs w:val="21"/>
                <w:highlight w:val="none"/>
                <w:lang w:val="en-US" w:bidi="ar-SA"/>
              </w:rPr>
              <w:br w:type="textWrapping"/>
            </w:r>
            <w:r>
              <w:rPr>
                <w:rFonts w:hint="eastAsia"/>
                <w:color w:val="auto"/>
                <w:sz w:val="21"/>
                <w:szCs w:val="21"/>
                <w:highlight w:val="none"/>
                <w:lang w:val="en-US" w:bidi="ar-SA"/>
              </w:rPr>
              <w:t>尺寸: 385mm*180mm*120mm</w:t>
            </w:r>
            <w:r>
              <w:rPr>
                <w:rFonts w:hint="eastAsia"/>
                <w:color w:val="auto"/>
                <w:sz w:val="21"/>
                <w:szCs w:val="21"/>
                <w:highlight w:val="none"/>
                <w:lang w:val="en-US" w:bidi="ar-SA"/>
              </w:rPr>
              <w:br w:type="textWrapping"/>
            </w:r>
            <w:r>
              <w:rPr>
                <w:rFonts w:hint="eastAsia"/>
                <w:color w:val="auto"/>
                <w:sz w:val="21"/>
                <w:szCs w:val="21"/>
                <w:highlight w:val="none"/>
                <w:lang w:val="en-US" w:bidi="ar-SA"/>
              </w:rPr>
              <w:t>使用温度: -15℃~55℃</w:t>
            </w:r>
            <w:r>
              <w:rPr>
                <w:rFonts w:hint="eastAsia"/>
                <w:color w:val="auto"/>
                <w:sz w:val="21"/>
                <w:szCs w:val="21"/>
                <w:highlight w:val="none"/>
                <w:lang w:val="en-US" w:bidi="ar-SA"/>
              </w:rPr>
              <w:br w:type="textWrapping"/>
            </w:r>
            <w:r>
              <w:rPr>
                <w:rFonts w:hint="eastAsia"/>
                <w:color w:val="auto"/>
                <w:sz w:val="21"/>
                <w:szCs w:val="21"/>
                <w:highlight w:val="none"/>
                <w:lang w:val="en-US" w:bidi="ar-SA"/>
              </w:rPr>
              <w:br w:type="textWrapping"/>
            </w:r>
            <w:r>
              <w:rPr>
                <w:rFonts w:hint="eastAsia"/>
                <w:color w:val="auto"/>
                <w:sz w:val="21"/>
                <w:szCs w:val="21"/>
                <w:highlight w:val="none"/>
                <w:lang w:val="en-US" w:bidi="ar-SA"/>
              </w:rPr>
              <w:t>预录语音：</w:t>
            </w:r>
            <w:r>
              <w:rPr>
                <w:rFonts w:hint="eastAsia"/>
                <w:color w:val="auto"/>
                <w:sz w:val="21"/>
                <w:szCs w:val="21"/>
                <w:highlight w:val="none"/>
                <w:lang w:val="en-US" w:bidi="ar-SA"/>
              </w:rPr>
              <w:br w:type="textWrapping"/>
            </w:r>
            <w:r>
              <w:rPr>
                <w:rFonts w:hint="eastAsia"/>
                <w:color w:val="auto"/>
                <w:sz w:val="21"/>
                <w:szCs w:val="21"/>
                <w:highlight w:val="none"/>
                <w:lang w:val="en-US" w:bidi="ar-SA"/>
              </w:rPr>
              <w:t>1、你好，垃圾请分类入桶（女声）</w:t>
            </w:r>
            <w:r>
              <w:rPr>
                <w:rFonts w:hint="eastAsia"/>
                <w:color w:val="auto"/>
                <w:sz w:val="21"/>
                <w:szCs w:val="21"/>
                <w:highlight w:val="none"/>
                <w:lang w:val="en-US" w:bidi="ar-SA"/>
              </w:rPr>
              <w:br w:type="textWrapping"/>
            </w:r>
            <w:r>
              <w:rPr>
                <w:rFonts w:hint="eastAsia"/>
                <w:color w:val="auto"/>
                <w:sz w:val="21"/>
                <w:szCs w:val="21"/>
                <w:highlight w:val="none"/>
                <w:lang w:val="en-US" w:bidi="ar-SA"/>
              </w:rPr>
              <w:t>2、观赏草坪，请勿踩踏（女声）</w:t>
            </w:r>
            <w:r>
              <w:rPr>
                <w:rFonts w:hint="eastAsia"/>
                <w:color w:val="auto"/>
                <w:sz w:val="21"/>
                <w:szCs w:val="21"/>
                <w:highlight w:val="none"/>
                <w:lang w:val="en-US" w:bidi="ar-SA"/>
              </w:rPr>
              <w:br w:type="textWrapping"/>
            </w:r>
            <w:r>
              <w:rPr>
                <w:rFonts w:hint="eastAsia"/>
                <w:color w:val="auto"/>
                <w:sz w:val="21"/>
                <w:szCs w:val="21"/>
                <w:highlight w:val="none"/>
                <w:lang w:val="en-US" w:bidi="ar-SA"/>
              </w:rPr>
              <w:t>3、机动车道，行人请勿进入</w:t>
            </w:r>
            <w:r>
              <w:rPr>
                <w:rFonts w:hint="eastAsia"/>
                <w:color w:val="auto"/>
                <w:sz w:val="21"/>
                <w:szCs w:val="21"/>
                <w:highlight w:val="none"/>
                <w:lang w:val="en-US" w:bidi="ar-SA"/>
              </w:rPr>
              <w:br w:type="textWrapping"/>
            </w:r>
            <w:r>
              <w:rPr>
                <w:rFonts w:hint="eastAsia"/>
                <w:color w:val="auto"/>
                <w:sz w:val="21"/>
                <w:szCs w:val="21"/>
                <w:highlight w:val="none"/>
                <w:lang w:val="en-US" w:bidi="ar-SA"/>
              </w:rPr>
              <w:t>4、进入施工现场，请戴好安全帽，注意安全</w:t>
            </w:r>
            <w:r>
              <w:rPr>
                <w:rFonts w:hint="eastAsia"/>
                <w:color w:val="auto"/>
                <w:sz w:val="21"/>
                <w:szCs w:val="21"/>
                <w:highlight w:val="none"/>
                <w:lang w:val="en-US" w:bidi="ar-SA"/>
              </w:rPr>
              <w:br w:type="textWrapping"/>
            </w:r>
            <w:r>
              <w:rPr>
                <w:rFonts w:hint="eastAsia"/>
                <w:color w:val="auto"/>
                <w:sz w:val="21"/>
                <w:szCs w:val="21"/>
                <w:highlight w:val="none"/>
                <w:lang w:val="en-US" w:bidi="ar-SA"/>
              </w:rPr>
              <w:t>5、警戒区域，请尽快离开</w:t>
            </w:r>
            <w:r>
              <w:rPr>
                <w:rFonts w:hint="eastAsia"/>
                <w:color w:val="auto"/>
                <w:sz w:val="21"/>
                <w:szCs w:val="21"/>
                <w:highlight w:val="none"/>
                <w:lang w:val="en-US" w:bidi="ar-SA"/>
              </w:rPr>
              <w:br w:type="textWrapping"/>
            </w:r>
            <w:r>
              <w:rPr>
                <w:rFonts w:hint="eastAsia"/>
                <w:color w:val="auto"/>
                <w:sz w:val="21"/>
                <w:szCs w:val="21"/>
                <w:highlight w:val="none"/>
                <w:lang w:val="en-US" w:bidi="ar-SA"/>
              </w:rPr>
              <w:t>6、您已进入监控区域，你的行为将被实时记录，请注意言行举止。</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监控专用支架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壁装支架</w:t>
            </w:r>
            <w:r>
              <w:rPr>
                <w:rFonts w:hint="eastAsia"/>
                <w:color w:val="auto"/>
                <w:sz w:val="21"/>
                <w:szCs w:val="21"/>
                <w:highlight w:val="none"/>
                <w:lang w:val="en-US" w:bidi="ar-SA"/>
              </w:rPr>
              <w:br w:type="textWrapping"/>
            </w:r>
            <w:r>
              <w:rPr>
                <w:rFonts w:hint="eastAsia"/>
                <w:color w:val="auto"/>
                <w:sz w:val="21"/>
                <w:szCs w:val="21"/>
                <w:highlight w:val="none"/>
                <w:lang w:val="en-US" w:bidi="ar-SA"/>
              </w:rPr>
              <w:t>适用范围 适合枪型、筒型、一体型摄像机壁装</w:t>
            </w:r>
            <w:r>
              <w:rPr>
                <w:rFonts w:hint="eastAsia"/>
                <w:color w:val="auto"/>
                <w:sz w:val="21"/>
                <w:szCs w:val="21"/>
                <w:highlight w:val="none"/>
                <w:lang w:val="en-US" w:bidi="ar-SA"/>
              </w:rPr>
              <w:br w:type="textWrapping"/>
            </w:r>
            <w:r>
              <w:rPr>
                <w:rFonts w:hint="eastAsia"/>
                <w:color w:val="auto"/>
                <w:sz w:val="21"/>
                <w:szCs w:val="21"/>
                <w:highlight w:val="none"/>
                <w:lang w:val="en-US" w:bidi="ar-SA"/>
              </w:rPr>
              <w:t>材料 铝合金</w:t>
            </w:r>
            <w:r>
              <w:rPr>
                <w:rFonts w:hint="eastAsia"/>
                <w:color w:val="auto"/>
                <w:sz w:val="21"/>
                <w:szCs w:val="21"/>
                <w:highlight w:val="none"/>
                <w:lang w:val="en-US" w:bidi="ar-SA"/>
              </w:rPr>
              <w:br w:type="textWrapping"/>
            </w:r>
            <w:r>
              <w:rPr>
                <w:rFonts w:hint="eastAsia"/>
                <w:color w:val="auto"/>
                <w:sz w:val="21"/>
                <w:szCs w:val="21"/>
                <w:highlight w:val="none"/>
                <w:lang w:val="en-US" w:bidi="ar-SA"/>
              </w:rPr>
              <w:t>调整角度 水平：360°，垂直：-45°~45°</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监控专用电源</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DC12V/2A</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室外监控立杆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室外监控立杆（普通）:3.5m，含立杆防雷箱，基础接地等附件，表面热镀锌处理，镀锌扁钢40mm*4mm,L:500mm，镀锌角钢50mm*5mm,L:2500mm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七、创业场景</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达人工作室</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直播设备全套装（专业版）</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直播设备全套装专业录音棚麦克风主播唱歌声卡；包括：</w:t>
            </w:r>
            <w:r>
              <w:rPr>
                <w:rFonts w:hint="eastAsia"/>
                <w:color w:val="auto"/>
                <w:sz w:val="21"/>
                <w:szCs w:val="21"/>
                <w:highlight w:val="none"/>
                <w:lang w:val="en-US" w:bidi="ar-SA"/>
              </w:rPr>
              <w:br w:type="textWrapping"/>
            </w:r>
            <w:r>
              <w:rPr>
                <w:rFonts w:hint="eastAsia"/>
                <w:color w:val="auto"/>
                <w:sz w:val="21"/>
                <w:szCs w:val="21"/>
                <w:highlight w:val="none"/>
                <w:lang w:val="en-US" w:bidi="ar-SA"/>
              </w:rPr>
              <w:t>直播拓展屏、K10直摄摄像头[支架遮控器+20倍变焦340度云台)、双平台直播主机、无线健鼠、直播软件套装、导摄台、150W柔光灯2个、直连麦克风、150W深抛箱灯、3*3m龙门架、绿幕、发丝灯、声卡、无线一拖二麦克风、支架、线材</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直播设备全套装（户外版）</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直播设备全套装户外麦克风及声卡；包括：直播手机声卡、耳机、麦克风、支架、线材等；</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手持云台</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手持云台手机稳定器 防抖云台灵眸标配+三脚架标配+收纳包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室外一体音箱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信噪比</w:t>
            </w:r>
            <w:r>
              <w:rPr>
                <w:rFonts w:hint="eastAsia"/>
                <w:color w:val="auto"/>
                <w:sz w:val="21"/>
                <w:szCs w:val="21"/>
                <w:highlight w:val="none"/>
                <w:lang w:val="en-US" w:bidi="ar-SA"/>
              </w:rPr>
              <w:br w:type="textWrapping"/>
            </w:r>
            <w:r>
              <w:rPr>
                <w:rFonts w:hint="eastAsia"/>
                <w:color w:val="auto"/>
                <w:sz w:val="21"/>
                <w:szCs w:val="21"/>
                <w:highlight w:val="none"/>
                <w:lang w:val="en-US" w:bidi="ar-SA"/>
              </w:rPr>
              <w:t>85db</w:t>
            </w:r>
            <w:r>
              <w:rPr>
                <w:rFonts w:hint="eastAsia"/>
                <w:color w:val="auto"/>
                <w:sz w:val="21"/>
                <w:szCs w:val="21"/>
                <w:highlight w:val="none"/>
                <w:lang w:val="en-US" w:bidi="ar-SA"/>
              </w:rPr>
              <w:br w:type="textWrapping"/>
            </w:r>
            <w:r>
              <w:rPr>
                <w:rFonts w:hint="eastAsia"/>
                <w:color w:val="auto"/>
                <w:sz w:val="21"/>
                <w:szCs w:val="21"/>
                <w:highlight w:val="none"/>
                <w:lang w:val="en-US" w:bidi="ar-SA"/>
              </w:rPr>
              <w:t>灵敏度</w:t>
            </w:r>
            <w:r>
              <w:rPr>
                <w:rFonts w:hint="eastAsia"/>
                <w:color w:val="auto"/>
                <w:sz w:val="21"/>
                <w:szCs w:val="21"/>
                <w:highlight w:val="none"/>
                <w:lang w:val="en-US" w:bidi="ar-SA"/>
              </w:rPr>
              <w:br w:type="textWrapping"/>
            </w:r>
            <w:r>
              <w:rPr>
                <w:rFonts w:hint="eastAsia"/>
                <w:color w:val="auto"/>
                <w:sz w:val="21"/>
                <w:szCs w:val="21"/>
                <w:highlight w:val="none"/>
                <w:lang w:val="en-US" w:bidi="ar-SA"/>
              </w:rPr>
              <w:t>85db</w:t>
            </w:r>
            <w:r>
              <w:rPr>
                <w:rFonts w:hint="eastAsia"/>
                <w:color w:val="auto"/>
                <w:sz w:val="21"/>
                <w:szCs w:val="21"/>
                <w:highlight w:val="none"/>
                <w:lang w:val="en-US" w:bidi="ar-SA"/>
              </w:rPr>
              <w:br w:type="textWrapping"/>
            </w:r>
            <w:r>
              <w:rPr>
                <w:rFonts w:hint="eastAsia"/>
                <w:color w:val="auto"/>
                <w:sz w:val="21"/>
                <w:szCs w:val="21"/>
                <w:highlight w:val="none"/>
                <w:lang w:val="en-US" w:bidi="ar-SA"/>
              </w:rPr>
              <w:t>电池容量</w:t>
            </w:r>
            <w:r>
              <w:rPr>
                <w:rFonts w:hint="eastAsia"/>
                <w:color w:val="auto"/>
                <w:sz w:val="21"/>
                <w:szCs w:val="21"/>
                <w:highlight w:val="none"/>
                <w:lang w:val="en-US" w:bidi="ar-SA"/>
              </w:rPr>
              <w:br w:type="textWrapping"/>
            </w:r>
            <w:r>
              <w:rPr>
                <w:rFonts w:hint="eastAsia"/>
                <w:color w:val="auto"/>
                <w:sz w:val="21"/>
                <w:szCs w:val="21"/>
                <w:highlight w:val="none"/>
                <w:lang w:val="en-US" w:bidi="ar-SA"/>
              </w:rPr>
              <w:t>9000mAh</w:t>
            </w:r>
            <w:r>
              <w:rPr>
                <w:rFonts w:hint="eastAsia"/>
                <w:color w:val="auto"/>
                <w:sz w:val="21"/>
                <w:szCs w:val="21"/>
                <w:highlight w:val="none"/>
                <w:lang w:val="en-US" w:bidi="ar-SA"/>
              </w:rPr>
              <w:br w:type="textWrapping"/>
            </w:r>
            <w:r>
              <w:rPr>
                <w:rFonts w:hint="eastAsia"/>
                <w:color w:val="auto"/>
                <w:sz w:val="21"/>
                <w:szCs w:val="21"/>
                <w:highlight w:val="none"/>
                <w:lang w:val="en-US" w:bidi="ar-SA"/>
              </w:rPr>
              <w:t>频响范围</w:t>
            </w:r>
            <w:r>
              <w:rPr>
                <w:rFonts w:hint="eastAsia"/>
                <w:color w:val="auto"/>
                <w:sz w:val="21"/>
                <w:szCs w:val="21"/>
                <w:highlight w:val="none"/>
                <w:lang w:val="en-US" w:bidi="ar-SA"/>
              </w:rPr>
              <w:br w:type="textWrapping"/>
            </w:r>
            <w:r>
              <w:rPr>
                <w:rFonts w:hint="eastAsia"/>
                <w:color w:val="auto"/>
                <w:sz w:val="21"/>
                <w:szCs w:val="21"/>
                <w:highlight w:val="none"/>
                <w:lang w:val="en-US" w:bidi="ar-SA"/>
              </w:rPr>
              <w:t>20Hz-20KHz</w:t>
            </w:r>
            <w:r>
              <w:rPr>
                <w:rFonts w:hint="eastAsia"/>
                <w:color w:val="auto"/>
                <w:sz w:val="21"/>
                <w:szCs w:val="21"/>
                <w:highlight w:val="none"/>
                <w:lang w:val="en-US" w:bidi="ar-SA"/>
              </w:rPr>
              <w:br w:type="textWrapping"/>
            </w:r>
            <w:r>
              <w:rPr>
                <w:rFonts w:hint="eastAsia"/>
                <w:color w:val="auto"/>
                <w:sz w:val="21"/>
                <w:szCs w:val="21"/>
                <w:highlight w:val="none"/>
                <w:lang w:val="en-US" w:bidi="ar-SA"/>
              </w:rPr>
              <w:t>类型</w:t>
            </w:r>
            <w:r>
              <w:rPr>
                <w:rFonts w:hint="eastAsia"/>
                <w:color w:val="auto"/>
                <w:sz w:val="21"/>
                <w:szCs w:val="21"/>
                <w:highlight w:val="none"/>
                <w:lang w:val="en-US" w:bidi="ar-SA"/>
              </w:rPr>
              <w:br w:type="textWrapping"/>
            </w:r>
            <w:r>
              <w:rPr>
                <w:rFonts w:hint="eastAsia"/>
                <w:color w:val="auto"/>
                <w:sz w:val="21"/>
                <w:szCs w:val="21"/>
                <w:highlight w:val="none"/>
                <w:lang w:val="en-US" w:bidi="ar-SA"/>
              </w:rPr>
              <w:t>有源音箱</w:t>
            </w:r>
            <w:r>
              <w:rPr>
                <w:rFonts w:hint="eastAsia"/>
                <w:color w:val="auto"/>
                <w:sz w:val="21"/>
                <w:szCs w:val="21"/>
                <w:highlight w:val="none"/>
                <w:lang w:val="en-US" w:bidi="ar-SA"/>
              </w:rPr>
              <w:br w:type="textWrapping"/>
            </w:r>
            <w:r>
              <w:rPr>
                <w:rFonts w:hint="eastAsia"/>
                <w:color w:val="auto"/>
                <w:sz w:val="21"/>
                <w:szCs w:val="21"/>
                <w:highlight w:val="none"/>
                <w:lang w:val="en-US" w:bidi="ar-SA"/>
              </w:rPr>
              <w:t>蓝牙版本</w:t>
            </w:r>
            <w:r>
              <w:rPr>
                <w:rFonts w:hint="eastAsia"/>
                <w:color w:val="auto"/>
                <w:sz w:val="21"/>
                <w:szCs w:val="21"/>
                <w:highlight w:val="none"/>
                <w:lang w:val="en-US" w:bidi="ar-SA"/>
              </w:rPr>
              <w:br w:type="textWrapping"/>
            </w:r>
            <w:r>
              <w:rPr>
                <w:rFonts w:hint="eastAsia"/>
                <w:color w:val="auto"/>
                <w:sz w:val="21"/>
                <w:szCs w:val="21"/>
                <w:highlight w:val="none"/>
                <w:lang w:val="en-US" w:bidi="ar-SA"/>
              </w:rPr>
              <w:t>蓝牙5.0</w:t>
            </w:r>
            <w:r>
              <w:rPr>
                <w:rFonts w:hint="eastAsia"/>
                <w:color w:val="auto"/>
                <w:sz w:val="21"/>
                <w:szCs w:val="21"/>
                <w:highlight w:val="none"/>
                <w:lang w:val="en-US" w:bidi="ar-SA"/>
              </w:rPr>
              <w:br w:type="textWrapping"/>
            </w:r>
            <w:r>
              <w:rPr>
                <w:rFonts w:hint="eastAsia"/>
                <w:color w:val="auto"/>
                <w:sz w:val="21"/>
                <w:szCs w:val="21"/>
                <w:highlight w:val="none"/>
                <w:lang w:val="en-US" w:bidi="ar-SA"/>
              </w:rPr>
              <w:t>续航时间</w:t>
            </w:r>
            <w:r>
              <w:rPr>
                <w:rFonts w:hint="eastAsia"/>
                <w:color w:val="auto"/>
                <w:sz w:val="21"/>
                <w:szCs w:val="21"/>
                <w:highlight w:val="none"/>
                <w:lang w:val="en-US" w:bidi="ar-SA"/>
              </w:rPr>
              <w:br w:type="textWrapping"/>
            </w:r>
            <w:r>
              <w:rPr>
                <w:rFonts w:hint="eastAsia"/>
                <w:color w:val="auto"/>
                <w:sz w:val="21"/>
                <w:szCs w:val="21"/>
                <w:highlight w:val="none"/>
                <w:lang w:val="en-US" w:bidi="ar-SA"/>
              </w:rPr>
              <w:t>8小时</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产品尺寸（mm）</w:t>
            </w:r>
            <w:r>
              <w:rPr>
                <w:rFonts w:hint="eastAsia"/>
                <w:color w:val="auto"/>
                <w:sz w:val="21"/>
                <w:szCs w:val="21"/>
                <w:highlight w:val="none"/>
                <w:lang w:val="en-US" w:bidi="ar-SA"/>
              </w:rPr>
              <w:br w:type="textWrapping"/>
            </w:r>
            <w:r>
              <w:rPr>
                <w:rFonts w:hint="eastAsia"/>
                <w:color w:val="auto"/>
                <w:sz w:val="21"/>
                <w:szCs w:val="21"/>
                <w:highlight w:val="none"/>
                <w:lang w:val="en-US" w:bidi="ar-SA"/>
              </w:rPr>
              <w:t>350*302*572mm</w:t>
            </w:r>
            <w:r>
              <w:rPr>
                <w:rFonts w:hint="eastAsia"/>
                <w:color w:val="auto"/>
                <w:sz w:val="21"/>
                <w:szCs w:val="21"/>
                <w:highlight w:val="none"/>
                <w:lang w:val="en-US" w:bidi="ar-SA"/>
              </w:rPr>
              <w:br w:type="textWrapping"/>
            </w:r>
            <w:r>
              <w:rPr>
                <w:rFonts w:hint="eastAsia"/>
                <w:color w:val="auto"/>
                <w:sz w:val="21"/>
                <w:szCs w:val="21"/>
                <w:highlight w:val="none"/>
                <w:lang w:val="en-US" w:bidi="ar-SA"/>
              </w:rPr>
              <w:t>线长</w:t>
            </w:r>
            <w:r>
              <w:rPr>
                <w:rFonts w:hint="eastAsia"/>
                <w:color w:val="auto"/>
                <w:sz w:val="21"/>
                <w:szCs w:val="21"/>
                <w:highlight w:val="none"/>
                <w:lang w:val="en-US" w:bidi="ar-SA"/>
              </w:rPr>
              <w:br w:type="textWrapping"/>
            </w:r>
            <w:r>
              <w:rPr>
                <w:rFonts w:hint="eastAsia"/>
                <w:color w:val="auto"/>
                <w:sz w:val="21"/>
                <w:szCs w:val="21"/>
                <w:highlight w:val="none"/>
                <w:lang w:val="en-US" w:bidi="ar-SA"/>
              </w:rPr>
              <w:t>1.5-2m</w:t>
            </w:r>
            <w:r>
              <w:rPr>
                <w:rFonts w:hint="eastAsia"/>
                <w:color w:val="auto"/>
                <w:sz w:val="21"/>
                <w:szCs w:val="21"/>
                <w:highlight w:val="none"/>
                <w:lang w:val="en-US" w:bidi="ar-SA"/>
              </w:rPr>
              <w:br w:type="textWrapping"/>
            </w:r>
            <w:r>
              <w:rPr>
                <w:rFonts w:hint="eastAsia"/>
                <w:color w:val="auto"/>
                <w:sz w:val="21"/>
                <w:szCs w:val="21"/>
                <w:highlight w:val="none"/>
                <w:lang w:val="en-US" w:bidi="ar-SA"/>
              </w:rPr>
              <w:t>接口</w:t>
            </w:r>
            <w:r>
              <w:rPr>
                <w:rFonts w:hint="eastAsia"/>
                <w:color w:val="auto"/>
                <w:sz w:val="21"/>
                <w:szCs w:val="21"/>
                <w:highlight w:val="none"/>
                <w:lang w:val="en-US" w:bidi="ar-SA"/>
              </w:rPr>
              <w:br w:type="textWrapping"/>
            </w:r>
            <w:r>
              <w:rPr>
                <w:rFonts w:hint="eastAsia"/>
                <w:color w:val="auto"/>
                <w:sz w:val="21"/>
                <w:szCs w:val="21"/>
                <w:highlight w:val="none"/>
                <w:lang w:val="en-US" w:bidi="ar-SA"/>
              </w:rPr>
              <w:t>USB+3.5毫米音频接口</w:t>
            </w:r>
            <w:r>
              <w:rPr>
                <w:rFonts w:hint="eastAsia"/>
                <w:color w:val="auto"/>
                <w:sz w:val="21"/>
                <w:szCs w:val="21"/>
                <w:highlight w:val="none"/>
                <w:lang w:val="en-US" w:bidi="ar-SA"/>
              </w:rPr>
              <w:br w:type="textWrapping"/>
            </w:r>
            <w:r>
              <w:rPr>
                <w:rFonts w:hint="eastAsia"/>
                <w:color w:val="auto"/>
                <w:sz w:val="21"/>
                <w:szCs w:val="21"/>
                <w:highlight w:val="none"/>
                <w:lang w:val="en-US" w:bidi="ar-SA"/>
              </w:rPr>
              <w:t>扬声器数量</w:t>
            </w:r>
            <w:r>
              <w:rPr>
                <w:rFonts w:hint="eastAsia"/>
                <w:color w:val="auto"/>
                <w:sz w:val="21"/>
                <w:szCs w:val="21"/>
                <w:highlight w:val="none"/>
                <w:lang w:val="en-US" w:bidi="ar-SA"/>
              </w:rPr>
              <w:br w:type="textWrapping"/>
            </w:r>
            <w:r>
              <w:rPr>
                <w:rFonts w:hint="eastAsia"/>
                <w:color w:val="auto"/>
                <w:sz w:val="21"/>
                <w:szCs w:val="21"/>
                <w:highlight w:val="none"/>
                <w:lang w:val="en-US" w:bidi="ar-SA"/>
              </w:rPr>
              <w:t>2个</w:t>
            </w:r>
            <w:r>
              <w:rPr>
                <w:rFonts w:hint="eastAsia"/>
                <w:color w:val="auto"/>
                <w:sz w:val="21"/>
                <w:szCs w:val="21"/>
                <w:highlight w:val="none"/>
                <w:lang w:val="en-US" w:bidi="ar-SA"/>
              </w:rPr>
              <w:br w:type="textWrapping"/>
            </w:r>
            <w:r>
              <w:rPr>
                <w:rFonts w:hint="eastAsia"/>
                <w:color w:val="auto"/>
                <w:sz w:val="21"/>
                <w:szCs w:val="21"/>
                <w:highlight w:val="none"/>
                <w:lang w:val="en-US" w:bidi="ar-SA"/>
              </w:rPr>
              <w:t>电源类型</w:t>
            </w:r>
            <w:r>
              <w:rPr>
                <w:rFonts w:hint="eastAsia"/>
                <w:color w:val="auto"/>
                <w:sz w:val="21"/>
                <w:szCs w:val="21"/>
                <w:highlight w:val="none"/>
                <w:lang w:val="en-US" w:bidi="ar-SA"/>
              </w:rPr>
              <w:br w:type="textWrapping"/>
            </w:r>
            <w:r>
              <w:rPr>
                <w:rFonts w:hint="eastAsia"/>
                <w:color w:val="auto"/>
                <w:sz w:val="21"/>
                <w:szCs w:val="21"/>
                <w:highlight w:val="none"/>
                <w:lang w:val="en-US" w:bidi="ar-SA"/>
              </w:rPr>
              <w:t>电池供电</w:t>
            </w:r>
            <w:r>
              <w:rPr>
                <w:rFonts w:hint="eastAsia"/>
                <w:color w:val="auto"/>
                <w:sz w:val="21"/>
                <w:szCs w:val="21"/>
                <w:highlight w:val="none"/>
                <w:lang w:val="en-US" w:bidi="ar-SA"/>
              </w:rPr>
              <w:br w:type="textWrapping"/>
            </w:r>
            <w:r>
              <w:rPr>
                <w:rFonts w:hint="eastAsia"/>
                <w:color w:val="auto"/>
                <w:sz w:val="21"/>
                <w:szCs w:val="21"/>
                <w:highlight w:val="none"/>
                <w:lang w:val="en-US" w:bidi="ar-SA"/>
              </w:rPr>
              <w:t>无线连接方式</w:t>
            </w:r>
            <w:r>
              <w:rPr>
                <w:rFonts w:hint="eastAsia"/>
                <w:color w:val="auto"/>
                <w:sz w:val="21"/>
                <w:szCs w:val="21"/>
                <w:highlight w:val="none"/>
                <w:lang w:val="en-US" w:bidi="ar-SA"/>
              </w:rPr>
              <w:br w:type="textWrapping"/>
            </w:r>
            <w:r>
              <w:rPr>
                <w:rFonts w:hint="eastAsia"/>
                <w:color w:val="auto"/>
                <w:sz w:val="21"/>
                <w:szCs w:val="21"/>
                <w:highlight w:val="none"/>
                <w:lang w:val="en-US" w:bidi="ar-SA"/>
              </w:rPr>
              <w:t>蓝牙</w:t>
            </w:r>
            <w:r>
              <w:rPr>
                <w:rFonts w:hint="eastAsia"/>
                <w:color w:val="auto"/>
                <w:sz w:val="21"/>
                <w:szCs w:val="21"/>
                <w:highlight w:val="none"/>
                <w:lang w:val="en-US" w:bidi="ar-SA"/>
              </w:rPr>
              <w:br w:type="textWrapping"/>
            </w:r>
            <w:r>
              <w:rPr>
                <w:rFonts w:hint="eastAsia"/>
                <w:color w:val="auto"/>
                <w:sz w:val="21"/>
                <w:szCs w:val="21"/>
                <w:highlight w:val="none"/>
                <w:lang w:val="en-US" w:bidi="ar-SA"/>
              </w:rPr>
              <w:t>产品净重（kg）</w:t>
            </w:r>
            <w:r>
              <w:rPr>
                <w:rFonts w:hint="eastAsia"/>
                <w:color w:val="auto"/>
                <w:sz w:val="21"/>
                <w:szCs w:val="21"/>
                <w:highlight w:val="none"/>
                <w:lang w:val="en-US" w:bidi="ar-SA"/>
              </w:rPr>
              <w:br w:type="textWrapping"/>
            </w:r>
            <w:r>
              <w:rPr>
                <w:rFonts w:hint="eastAsia"/>
                <w:color w:val="auto"/>
                <w:sz w:val="21"/>
                <w:szCs w:val="21"/>
                <w:highlight w:val="none"/>
                <w:lang w:val="en-US" w:bidi="ar-SA"/>
              </w:rPr>
              <w:t>14.3</w:t>
            </w:r>
            <w:r>
              <w:rPr>
                <w:rFonts w:hint="eastAsia"/>
                <w:color w:val="auto"/>
                <w:sz w:val="21"/>
                <w:szCs w:val="21"/>
                <w:highlight w:val="none"/>
                <w:lang w:val="en-US" w:bidi="ar-SA"/>
              </w:rPr>
              <w:br w:type="textWrapping"/>
            </w:r>
            <w:r>
              <w:rPr>
                <w:rFonts w:hint="eastAsia"/>
                <w:color w:val="auto"/>
                <w:sz w:val="21"/>
                <w:szCs w:val="21"/>
                <w:highlight w:val="none"/>
                <w:lang w:val="en-US" w:bidi="ar-SA"/>
              </w:rPr>
              <w:t>喇叭尺寸</w:t>
            </w:r>
            <w:r>
              <w:rPr>
                <w:rFonts w:hint="eastAsia"/>
                <w:color w:val="auto"/>
                <w:sz w:val="21"/>
                <w:szCs w:val="21"/>
                <w:highlight w:val="none"/>
                <w:lang w:val="en-US" w:bidi="ar-SA"/>
              </w:rPr>
              <w:br w:type="textWrapping"/>
            </w:r>
            <w:r>
              <w:rPr>
                <w:rFonts w:hint="eastAsia"/>
                <w:color w:val="auto"/>
                <w:sz w:val="21"/>
                <w:szCs w:val="21"/>
                <w:highlight w:val="none"/>
                <w:lang w:val="en-US" w:bidi="ar-SA"/>
              </w:rPr>
              <w:t>25mm专业压缩式真号角高音+12英寸中低音</w:t>
            </w:r>
            <w:r>
              <w:rPr>
                <w:rFonts w:hint="eastAsia"/>
                <w:color w:val="auto"/>
                <w:sz w:val="21"/>
                <w:szCs w:val="21"/>
                <w:highlight w:val="none"/>
                <w:lang w:val="en-US" w:bidi="ar-SA"/>
              </w:rPr>
              <w:br w:type="textWrapping"/>
            </w:r>
            <w:r>
              <w:rPr>
                <w:rFonts w:hint="eastAsia"/>
                <w:color w:val="auto"/>
                <w:sz w:val="21"/>
                <w:szCs w:val="21"/>
                <w:highlight w:val="none"/>
                <w:lang w:val="en-US" w:bidi="ar-SA"/>
              </w:rPr>
              <w:t>理论功率</w:t>
            </w:r>
            <w:r>
              <w:rPr>
                <w:rFonts w:hint="eastAsia"/>
                <w:color w:val="auto"/>
                <w:sz w:val="21"/>
                <w:szCs w:val="21"/>
                <w:highlight w:val="none"/>
                <w:lang w:val="en-US" w:bidi="ar-SA"/>
              </w:rPr>
              <w:br w:type="textWrapping"/>
            </w:r>
            <w:r>
              <w:rPr>
                <w:rFonts w:hint="eastAsia"/>
                <w:color w:val="auto"/>
                <w:sz w:val="21"/>
                <w:szCs w:val="21"/>
                <w:highlight w:val="none"/>
                <w:lang w:val="en-US" w:bidi="ar-SA"/>
              </w:rPr>
              <w:t>20w-40w</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文创宣传</w:t>
            </w:r>
          </w:p>
        </w:tc>
        <w:tc>
          <w:tcPr>
            <w:tcW w:w="534" w:type="pct"/>
            <w:shd w:val="clear" w:color="auto" w:fill="FFFFFF"/>
            <w:noWrap/>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无人机摄影平台</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相机参数</w:t>
            </w:r>
            <w:r>
              <w:rPr>
                <w:rFonts w:hint="eastAsia"/>
                <w:color w:val="auto"/>
                <w:sz w:val="21"/>
                <w:szCs w:val="21"/>
                <w:highlight w:val="none"/>
                <w:lang w:val="en-US" w:bidi="ar-SA"/>
              </w:rPr>
              <w:br w:type="textWrapping"/>
            </w:r>
            <w:r>
              <w:rPr>
                <w:rFonts w:hint="eastAsia"/>
                <w:color w:val="auto"/>
                <w:sz w:val="21"/>
                <w:szCs w:val="21"/>
                <w:highlight w:val="none"/>
                <w:lang w:val="en-US" w:bidi="ar-SA"/>
              </w:rPr>
              <w:t>主摄像素数：4800万</w:t>
            </w:r>
            <w:r>
              <w:rPr>
                <w:rFonts w:hint="eastAsia"/>
                <w:color w:val="auto"/>
                <w:sz w:val="21"/>
                <w:szCs w:val="21"/>
                <w:highlight w:val="none"/>
                <w:lang w:val="en-US" w:bidi="ar-SA"/>
              </w:rPr>
              <w:br w:type="textWrapping"/>
            </w:r>
            <w:r>
              <w:rPr>
                <w:rFonts w:hint="eastAsia"/>
                <w:color w:val="auto"/>
                <w:sz w:val="21"/>
                <w:szCs w:val="21"/>
                <w:highlight w:val="none"/>
                <w:lang w:val="en-US" w:bidi="ar-SA"/>
              </w:rPr>
              <w:t>感知系统</w:t>
            </w:r>
            <w:r>
              <w:rPr>
                <w:rFonts w:hint="eastAsia"/>
                <w:color w:val="auto"/>
                <w:sz w:val="21"/>
                <w:szCs w:val="21"/>
                <w:highlight w:val="none"/>
                <w:lang w:val="en-US" w:bidi="ar-SA"/>
              </w:rPr>
              <w:br w:type="textWrapping"/>
            </w:r>
            <w:r>
              <w:rPr>
                <w:rFonts w:hint="eastAsia"/>
                <w:color w:val="auto"/>
                <w:sz w:val="21"/>
                <w:szCs w:val="21"/>
                <w:highlight w:val="none"/>
                <w:lang w:val="en-US" w:bidi="ar-SA"/>
              </w:rPr>
              <w:t>实时图传质量：1080p</w:t>
            </w:r>
            <w:r>
              <w:rPr>
                <w:rFonts w:hint="eastAsia"/>
                <w:color w:val="auto"/>
                <w:sz w:val="21"/>
                <w:szCs w:val="21"/>
                <w:highlight w:val="none"/>
                <w:lang w:val="en-US" w:bidi="ar-SA"/>
              </w:rPr>
              <w:br w:type="textWrapping"/>
            </w:r>
            <w:r>
              <w:rPr>
                <w:rFonts w:hint="eastAsia"/>
                <w:color w:val="auto"/>
                <w:sz w:val="21"/>
                <w:szCs w:val="21"/>
                <w:highlight w:val="none"/>
                <w:lang w:val="en-US" w:bidi="ar-SA"/>
              </w:rPr>
              <w:t>飞行器</w:t>
            </w:r>
            <w:r>
              <w:rPr>
                <w:rFonts w:hint="eastAsia"/>
                <w:color w:val="auto"/>
                <w:sz w:val="21"/>
                <w:szCs w:val="21"/>
                <w:highlight w:val="none"/>
                <w:lang w:val="en-US" w:bidi="ar-SA"/>
              </w:rPr>
              <w:br w:type="textWrapping"/>
            </w:r>
            <w:r>
              <w:rPr>
                <w:rFonts w:hint="eastAsia"/>
                <w:color w:val="auto"/>
                <w:sz w:val="21"/>
                <w:szCs w:val="21"/>
                <w:highlight w:val="none"/>
                <w:lang w:val="en-US" w:bidi="ar-SA"/>
              </w:rPr>
              <w:t>数据传输：Wi-Fi传输</w:t>
            </w:r>
            <w:r>
              <w:rPr>
                <w:rFonts w:hint="eastAsia"/>
                <w:color w:val="auto"/>
                <w:sz w:val="21"/>
                <w:szCs w:val="21"/>
                <w:highlight w:val="none"/>
                <w:lang w:val="en-US" w:bidi="ar-SA"/>
              </w:rPr>
              <w:br w:type="textWrapping"/>
            </w:r>
            <w:r>
              <w:rPr>
                <w:rFonts w:hint="eastAsia"/>
                <w:color w:val="auto"/>
                <w:sz w:val="21"/>
                <w:szCs w:val="21"/>
                <w:highlight w:val="none"/>
                <w:lang w:val="en-US" w:bidi="ar-SA"/>
              </w:rPr>
              <w:t>电池容量：18Wh</w:t>
            </w:r>
            <w:r>
              <w:rPr>
                <w:rFonts w:hint="eastAsia"/>
                <w:color w:val="auto"/>
                <w:sz w:val="21"/>
                <w:szCs w:val="21"/>
                <w:highlight w:val="none"/>
                <w:lang w:val="en-US" w:bidi="ar-SA"/>
              </w:rPr>
              <w:br w:type="textWrapping"/>
            </w:r>
            <w:r>
              <w:rPr>
                <w:rFonts w:hint="eastAsia"/>
                <w:color w:val="auto"/>
                <w:sz w:val="21"/>
                <w:szCs w:val="21"/>
                <w:highlight w:val="none"/>
                <w:lang w:val="en-US" w:bidi="ar-SA"/>
              </w:rPr>
              <w:t>最大飞行时间：34分钟</w:t>
            </w:r>
            <w:r>
              <w:rPr>
                <w:rFonts w:hint="eastAsia"/>
                <w:color w:val="auto"/>
                <w:sz w:val="21"/>
                <w:szCs w:val="21"/>
                <w:highlight w:val="none"/>
                <w:lang w:val="en-US" w:bidi="ar-SA"/>
              </w:rPr>
              <w:br w:type="textWrapping"/>
            </w:r>
            <w:r>
              <w:rPr>
                <w:rFonts w:hint="eastAsia"/>
                <w:color w:val="auto"/>
                <w:sz w:val="21"/>
                <w:szCs w:val="21"/>
                <w:highlight w:val="none"/>
                <w:lang w:val="en-US" w:bidi="ar-SA"/>
              </w:rPr>
              <w:t>机身重量约：249g</w:t>
            </w:r>
            <w:r>
              <w:rPr>
                <w:rFonts w:hint="eastAsia"/>
                <w:color w:val="auto"/>
                <w:sz w:val="21"/>
                <w:szCs w:val="21"/>
                <w:highlight w:val="none"/>
                <w:lang w:val="en-US" w:bidi="ar-SA"/>
              </w:rPr>
              <w:br w:type="textWrapping"/>
            </w:r>
            <w:r>
              <w:rPr>
                <w:rFonts w:hint="eastAsia"/>
                <w:color w:val="auto"/>
                <w:sz w:val="21"/>
                <w:szCs w:val="21"/>
                <w:highlight w:val="none"/>
                <w:lang w:val="en-US" w:bidi="ar-SA"/>
              </w:rPr>
              <w:t>认证型号：2022AP1260</w:t>
            </w:r>
            <w:r>
              <w:rPr>
                <w:rFonts w:hint="eastAsia"/>
                <w:color w:val="auto"/>
                <w:sz w:val="21"/>
                <w:szCs w:val="21"/>
                <w:highlight w:val="none"/>
                <w:lang w:val="en-US" w:bidi="ar-SA"/>
              </w:rPr>
              <w:br w:type="textWrapping"/>
            </w:r>
            <w:r>
              <w:rPr>
                <w:rFonts w:hint="eastAsia"/>
                <w:color w:val="auto"/>
                <w:sz w:val="21"/>
                <w:szCs w:val="21"/>
                <w:highlight w:val="none"/>
                <w:lang w:val="en-US" w:bidi="ar-SA"/>
              </w:rPr>
              <w:t>图片格式：JPEG；DNG</w:t>
            </w:r>
            <w:r>
              <w:rPr>
                <w:rFonts w:hint="eastAsia"/>
                <w:color w:val="auto"/>
                <w:sz w:val="21"/>
                <w:szCs w:val="21"/>
                <w:highlight w:val="none"/>
                <w:lang w:val="en-US" w:bidi="ar-SA"/>
              </w:rPr>
              <w:br w:type="textWrapping"/>
            </w:r>
            <w:r>
              <w:rPr>
                <w:rFonts w:hint="eastAsia"/>
                <w:color w:val="auto"/>
                <w:sz w:val="21"/>
                <w:szCs w:val="21"/>
                <w:highlight w:val="none"/>
                <w:lang w:val="en-US" w:bidi="ar-SA"/>
              </w:rPr>
              <w:t>最大抗风速：5级风</w:t>
            </w:r>
            <w:r>
              <w:rPr>
                <w:rFonts w:hint="eastAsia"/>
                <w:color w:val="auto"/>
                <w:sz w:val="21"/>
                <w:szCs w:val="21"/>
                <w:highlight w:val="none"/>
                <w:lang w:val="en-US" w:bidi="ar-SA"/>
              </w:rPr>
              <w:br w:type="textWrapping"/>
            </w:r>
            <w:r>
              <w:rPr>
                <w:rFonts w:hint="eastAsia"/>
                <w:color w:val="auto"/>
                <w:sz w:val="21"/>
                <w:szCs w:val="21"/>
                <w:highlight w:val="none"/>
                <w:lang w:val="en-US" w:bidi="ar-SA"/>
              </w:rPr>
              <w:t>遥控器</w:t>
            </w:r>
            <w:r>
              <w:rPr>
                <w:rFonts w:hint="eastAsia"/>
                <w:color w:val="auto"/>
                <w:sz w:val="21"/>
                <w:szCs w:val="21"/>
                <w:highlight w:val="none"/>
                <w:lang w:val="en-US" w:bidi="ar-SA"/>
              </w:rPr>
              <w:br w:type="textWrapping"/>
            </w:r>
            <w:r>
              <w:rPr>
                <w:rFonts w:hint="eastAsia"/>
                <w:color w:val="auto"/>
                <w:sz w:val="21"/>
                <w:szCs w:val="21"/>
                <w:highlight w:val="none"/>
                <w:lang w:val="en-US" w:bidi="ar-SA"/>
              </w:rPr>
              <w:t>支持接口类型:Lightning；Micro USB；USB-C</w:t>
            </w:r>
            <w:r>
              <w:rPr>
                <w:rFonts w:hint="eastAsia"/>
                <w:color w:val="auto"/>
                <w:sz w:val="21"/>
                <w:szCs w:val="21"/>
                <w:highlight w:val="none"/>
                <w:lang w:val="en-US" w:bidi="ar-SA"/>
              </w:rPr>
              <w:br w:type="textWrapping"/>
            </w:r>
            <w:r>
              <w:rPr>
                <w:rFonts w:hint="eastAsia"/>
                <w:color w:val="auto"/>
                <w:sz w:val="21"/>
                <w:szCs w:val="21"/>
                <w:highlight w:val="none"/>
                <w:lang w:val="en-US" w:bidi="ar-SA"/>
              </w:rPr>
              <w:t>操控方式:手机&amp;专用遥控</w:t>
            </w:r>
            <w:r>
              <w:rPr>
                <w:rFonts w:hint="eastAsia"/>
                <w:color w:val="auto"/>
                <w:sz w:val="21"/>
                <w:szCs w:val="21"/>
                <w:highlight w:val="none"/>
                <w:lang w:val="en-US" w:bidi="ar-SA"/>
              </w:rPr>
              <w:br w:type="textWrapping"/>
            </w:r>
            <w:r>
              <w:rPr>
                <w:rFonts w:hint="eastAsia"/>
                <w:color w:val="auto"/>
                <w:sz w:val="21"/>
                <w:szCs w:val="21"/>
                <w:highlight w:val="none"/>
                <w:lang w:val="en-US" w:bidi="ar-SA"/>
              </w:rPr>
              <w:t>包装清单:</w:t>
            </w:r>
            <w:r>
              <w:rPr>
                <w:rFonts w:hint="eastAsia"/>
                <w:color w:val="auto"/>
                <w:sz w:val="21"/>
                <w:szCs w:val="21"/>
                <w:highlight w:val="none"/>
                <w:lang w:val="en-US" w:bidi="ar-SA"/>
              </w:rPr>
              <w:br w:type="textWrapping"/>
            </w:r>
            <w:r>
              <w:rPr>
                <w:rFonts w:hint="eastAsia"/>
                <w:color w:val="auto"/>
                <w:sz w:val="21"/>
                <w:szCs w:val="21"/>
                <w:highlight w:val="none"/>
                <w:lang w:val="en-US" w:bidi="ar-SA"/>
              </w:rPr>
              <w:t>飞行器×1，遥控器×1，DJI RC-N1 遥控器转接线（USB Type-C 接头）×1,DJI RC-N1 遥控器转接线（Lightning 接头）×1,DJI RC-N1 遥控器转接线（标准 Micro-USB 接头）×1智能飞行电池×1，备用螺旋桨（对）×1，云台保护锁扣×1，Type-C to Type-C PD 快充线 ×1，螺丝刀×1，备用螺丝×6，随心换2年×1</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无人机摄影平台续航包</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电池容量:18Wh;</w:t>
            </w:r>
            <w:r>
              <w:rPr>
                <w:rFonts w:hint="eastAsia"/>
                <w:color w:val="auto"/>
                <w:sz w:val="21"/>
                <w:szCs w:val="21"/>
                <w:highlight w:val="none"/>
                <w:lang w:val="en-US" w:bidi="ar-SA"/>
              </w:rPr>
              <w:br w:type="textWrapping"/>
            </w:r>
            <w:r>
              <w:rPr>
                <w:rFonts w:hint="eastAsia"/>
                <w:color w:val="auto"/>
                <w:sz w:val="21"/>
                <w:szCs w:val="21"/>
                <w:highlight w:val="none"/>
                <w:lang w:val="en-US" w:bidi="ar-SA"/>
              </w:rPr>
              <w:t>认证型号:2022AP1260;</w:t>
            </w:r>
            <w:r>
              <w:rPr>
                <w:rFonts w:hint="eastAsia"/>
                <w:color w:val="auto"/>
                <w:sz w:val="21"/>
                <w:szCs w:val="21"/>
                <w:highlight w:val="none"/>
                <w:lang w:val="en-US" w:bidi="ar-SA"/>
              </w:rPr>
              <w:br w:type="textWrapping"/>
            </w:r>
            <w:r>
              <w:rPr>
                <w:rFonts w:hint="eastAsia"/>
                <w:color w:val="auto"/>
                <w:sz w:val="21"/>
                <w:szCs w:val="21"/>
                <w:highlight w:val="none"/>
                <w:lang w:val="en-US" w:bidi="ar-SA"/>
              </w:rPr>
              <w:t>包装清单:长续航智能飞行电池 × 2，双向充电管家 × 1，</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 w:type="pct"/>
            <w:gridSpan w:val="3"/>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八、综合管线及施工</w:t>
            </w:r>
          </w:p>
        </w:tc>
        <w:tc>
          <w:tcPr>
            <w:tcW w:w="3177" w:type="pct"/>
            <w:shd w:val="clear" w:color="auto" w:fill="FFFFFF"/>
            <w:noWrap w:val="0"/>
            <w:vAlign w:val="center"/>
          </w:tcPr>
          <w:p>
            <w:pPr>
              <w:widowControl/>
              <w:autoSpaceDE/>
              <w:autoSpaceDN/>
              <w:rPr>
                <w:rFonts w:hint="eastAsia"/>
                <w:b/>
                <w:bCs/>
                <w:color w:val="auto"/>
                <w:sz w:val="21"/>
                <w:szCs w:val="21"/>
                <w:highlight w:val="none"/>
                <w:lang w:val="en-US" w:bidi="ar-SA"/>
              </w:rPr>
            </w:pPr>
            <w:r>
              <w:rPr>
                <w:rFonts w:hint="eastAsia"/>
                <w:b/>
                <w:bCs/>
                <w:color w:val="auto"/>
                <w:sz w:val="21"/>
                <w:szCs w:val="21"/>
                <w:highlight w:val="none"/>
                <w:lang w:val="en-US" w:bidi="ar-SA"/>
              </w:rPr>
              <w:t>　</w:t>
            </w: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c>
          <w:tcPr>
            <w:tcW w:w="252" w:type="pct"/>
            <w:shd w:val="clear" w:color="auto" w:fill="FFFFFF"/>
            <w:noWrap w:val="0"/>
            <w:vAlign w:val="center"/>
          </w:tcPr>
          <w:p>
            <w:pPr>
              <w:widowControl/>
              <w:autoSpaceDE/>
              <w:autoSpaceDN/>
              <w:jc w:val="center"/>
              <w:rPr>
                <w:rFonts w:hint="eastAsia"/>
                <w:b/>
                <w:bCs/>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c>
          <w:tcPr>
            <w:tcW w:w="526" w:type="pct"/>
            <w:vMerge w:val="restart"/>
            <w:shd w:val="clear" w:color="auto" w:fill="FFFFFF"/>
            <w:noWrap w:val="0"/>
            <w:vAlign w:val="center"/>
          </w:tcPr>
          <w:p>
            <w:pPr>
              <w:widowControl/>
              <w:autoSpaceDE/>
              <w:autoSpaceDN/>
              <w:jc w:val="center"/>
              <w:rPr>
                <w:rFonts w:hint="eastAsia"/>
                <w:b/>
                <w:bCs/>
                <w:color w:val="auto"/>
                <w:sz w:val="21"/>
                <w:szCs w:val="21"/>
                <w:highlight w:val="none"/>
                <w:lang w:val="en-US" w:bidi="ar-SA"/>
              </w:rPr>
            </w:pPr>
            <w:r>
              <w:rPr>
                <w:rFonts w:hint="eastAsia"/>
                <w:b/>
                <w:bCs/>
                <w:color w:val="auto"/>
                <w:sz w:val="21"/>
                <w:szCs w:val="21"/>
                <w:highlight w:val="none"/>
                <w:lang w:val="en-US" w:bidi="ar-SA"/>
              </w:rPr>
              <w:t>综合管线及施工</w:t>
            </w: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42U机柜（带上锁功能）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42U机柜，宽度：600mm，深度1000mm；前门网孔前门带锁,网孔后门带锁,全钢侧门可快速装卸带电源风扇符合ANSI/EIARS-310-D、IEC297-2、DIN41491;PART1、DIN41494;PART7、GB/T3047.2-92标准;</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24口机架式光纤配线架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规格：24芯光纤接入能力，有足够空间保证光纤的盘绕、固定和接续，带有管理器及固定附件。</w:t>
            </w:r>
            <w:r>
              <w:rPr>
                <w:rFonts w:hint="eastAsia"/>
                <w:color w:val="auto"/>
                <w:sz w:val="21"/>
                <w:szCs w:val="21"/>
                <w:highlight w:val="none"/>
                <w:lang w:val="en-US" w:bidi="ar-SA"/>
              </w:rPr>
              <w:br w:type="textWrapping"/>
            </w:r>
            <w:r>
              <w:rPr>
                <w:rFonts w:hint="eastAsia"/>
                <w:color w:val="auto"/>
                <w:sz w:val="21"/>
                <w:szCs w:val="21"/>
                <w:highlight w:val="none"/>
                <w:lang w:val="en-US" w:bidi="ar-SA"/>
              </w:rPr>
              <w:t>标准：ISO/IEC11801:2002Ed2.0</w:t>
            </w:r>
            <w:r>
              <w:rPr>
                <w:rFonts w:hint="eastAsia"/>
                <w:color w:val="auto"/>
                <w:sz w:val="21"/>
                <w:szCs w:val="21"/>
                <w:highlight w:val="none"/>
                <w:lang w:val="en-US" w:bidi="ar-SA"/>
              </w:rPr>
              <w:br w:type="textWrapping"/>
            </w:r>
            <w:r>
              <w:rPr>
                <w:rFonts w:hint="eastAsia"/>
                <w:color w:val="auto"/>
                <w:sz w:val="21"/>
                <w:szCs w:val="21"/>
                <w:highlight w:val="none"/>
                <w:lang w:val="en-US" w:bidi="ar-SA"/>
              </w:rPr>
              <w:t>设计：19英寸机架式安装。要求能提供抽拉式或简易式结构的光纤箱，使得安装和维护变得更加容易；</w:t>
            </w:r>
            <w:r>
              <w:rPr>
                <w:rFonts w:hint="eastAsia"/>
                <w:color w:val="auto"/>
                <w:sz w:val="21"/>
                <w:szCs w:val="21"/>
                <w:highlight w:val="none"/>
                <w:lang w:val="en-US" w:bidi="ar-SA"/>
              </w:rPr>
              <w:br w:type="textWrapping"/>
            </w:r>
            <w:r>
              <w:rPr>
                <w:rFonts w:hint="eastAsia"/>
                <w:color w:val="auto"/>
                <w:sz w:val="21"/>
                <w:szCs w:val="21"/>
                <w:highlight w:val="none"/>
                <w:lang w:val="en-US" w:bidi="ar-SA"/>
              </w:rPr>
              <w:t>为了灵活地适应未来的应用，要能适应各种形式的光纤耦合器（ST、SC、MTRJ、LC等）。</w:t>
            </w:r>
            <w:r>
              <w:rPr>
                <w:rFonts w:hint="eastAsia"/>
                <w:color w:val="auto"/>
                <w:sz w:val="21"/>
                <w:szCs w:val="21"/>
                <w:highlight w:val="none"/>
                <w:lang w:val="en-US" w:bidi="ar-SA"/>
              </w:rPr>
              <w:br w:type="textWrapping"/>
            </w:r>
            <w:r>
              <w:rPr>
                <w:rFonts w:hint="eastAsia"/>
                <w:color w:val="auto"/>
                <w:sz w:val="21"/>
                <w:szCs w:val="21"/>
                <w:highlight w:val="none"/>
                <w:lang w:val="en-US" w:bidi="ar-SA"/>
              </w:rPr>
              <w:t>随箱提供具有保证光纤弯曲半径的附件。</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PDU插座</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插孔数量：8孔</w:t>
            </w:r>
            <w:r>
              <w:rPr>
                <w:rFonts w:hint="eastAsia"/>
                <w:color w:val="auto"/>
                <w:sz w:val="21"/>
                <w:szCs w:val="21"/>
                <w:highlight w:val="none"/>
                <w:lang w:val="en-US" w:bidi="ar-SA"/>
              </w:rPr>
              <w:br w:type="textWrapping"/>
            </w:r>
            <w:r>
              <w:rPr>
                <w:rFonts w:hint="eastAsia"/>
                <w:color w:val="auto"/>
                <w:sz w:val="21"/>
                <w:szCs w:val="21"/>
                <w:highlight w:val="none"/>
                <w:lang w:val="en-US" w:bidi="ar-SA"/>
              </w:rPr>
              <w:t>适用标准：国标</w:t>
            </w:r>
            <w:r>
              <w:rPr>
                <w:rFonts w:hint="eastAsia"/>
                <w:color w:val="auto"/>
                <w:sz w:val="21"/>
                <w:szCs w:val="21"/>
                <w:highlight w:val="none"/>
                <w:lang w:val="en-US" w:bidi="ar-SA"/>
              </w:rPr>
              <w:br w:type="textWrapping"/>
            </w:r>
            <w:r>
              <w:rPr>
                <w:rFonts w:hint="eastAsia"/>
                <w:color w:val="auto"/>
                <w:sz w:val="21"/>
                <w:szCs w:val="21"/>
                <w:highlight w:val="none"/>
                <w:lang w:val="en-US" w:bidi="ar-SA"/>
              </w:rPr>
              <w:t>全长：1.6米-2米</w:t>
            </w:r>
            <w:r>
              <w:rPr>
                <w:rFonts w:hint="eastAsia"/>
                <w:color w:val="auto"/>
                <w:sz w:val="21"/>
                <w:szCs w:val="21"/>
                <w:highlight w:val="none"/>
                <w:lang w:val="en-US" w:bidi="ar-SA"/>
              </w:rPr>
              <w:br w:type="textWrapping"/>
            </w:r>
            <w:r>
              <w:rPr>
                <w:rFonts w:hint="eastAsia"/>
                <w:color w:val="auto"/>
                <w:sz w:val="21"/>
                <w:szCs w:val="21"/>
                <w:highlight w:val="none"/>
                <w:lang w:val="en-US" w:bidi="ar-SA"/>
              </w:rPr>
              <w:t>插孔电流：10A</w:t>
            </w:r>
            <w:r>
              <w:rPr>
                <w:rFonts w:hint="eastAsia"/>
                <w:color w:val="auto"/>
                <w:sz w:val="21"/>
                <w:szCs w:val="21"/>
                <w:highlight w:val="none"/>
                <w:lang w:val="en-US" w:bidi="ar-SA"/>
              </w:rPr>
              <w:br w:type="textWrapping"/>
            </w:r>
            <w:r>
              <w:rPr>
                <w:rFonts w:hint="eastAsia"/>
                <w:color w:val="auto"/>
                <w:sz w:val="21"/>
                <w:szCs w:val="21"/>
                <w:highlight w:val="none"/>
                <w:lang w:val="en-US" w:bidi="ar-SA"/>
              </w:rPr>
              <w:t>接口额定功率：2500W</w:t>
            </w:r>
            <w:r>
              <w:rPr>
                <w:rFonts w:hint="eastAsia"/>
                <w:color w:val="auto"/>
                <w:sz w:val="21"/>
                <w:szCs w:val="21"/>
                <w:highlight w:val="none"/>
                <w:lang w:val="en-US" w:bidi="ar-SA"/>
              </w:rPr>
              <w:br w:type="textWrapping"/>
            </w:r>
            <w:r>
              <w:rPr>
                <w:rFonts w:hint="eastAsia"/>
                <w:color w:val="auto"/>
                <w:sz w:val="21"/>
                <w:szCs w:val="21"/>
                <w:highlight w:val="none"/>
                <w:lang w:val="en-US" w:bidi="ar-SA"/>
              </w:rPr>
              <w:t>额定电压：250V~</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套</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光模块</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千兆单模SFP光模块，波长1310nm，最大传输距离10km</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单模SC-LC光纤跳线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单模SC-LC光纤跳线，长度2m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室外安防管理箱</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1.名称：室外安防管理箱</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2.参数：不锈钢配电箱</w:t>
            </w:r>
          </w:p>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户外防雨</w:t>
            </w:r>
            <w:r>
              <w:rPr>
                <w:rFonts w:hint="eastAsia"/>
                <w:color w:val="auto"/>
                <w:sz w:val="21"/>
                <w:szCs w:val="21"/>
                <w:highlight w:val="none"/>
                <w:lang w:val="en-US" w:eastAsia="zh-CN" w:bidi="ar-SA"/>
              </w:rPr>
              <w:t>，</w:t>
            </w:r>
            <w:r>
              <w:rPr>
                <w:rFonts w:hint="eastAsia"/>
                <w:color w:val="auto"/>
                <w:sz w:val="21"/>
                <w:szCs w:val="21"/>
                <w:highlight w:val="none"/>
                <w:lang w:val="en-US" w:bidi="ar-SA"/>
              </w:rPr>
              <w:t>尺寸不小于300mm*400mm*170mm（含基础、防雷接地等）</w:t>
            </w:r>
          </w:p>
        </w:tc>
        <w:tc>
          <w:tcPr>
            <w:tcW w:w="252" w:type="pct"/>
            <w:shd w:val="clear" w:color="auto" w:fill="FFFFFF"/>
            <w:noWrap w:val="0"/>
            <w:vAlign w:val="center"/>
          </w:tcPr>
          <w:p>
            <w:pPr>
              <w:widowControl/>
              <w:autoSpaceDE/>
              <w:autoSpaceDN/>
              <w:jc w:val="center"/>
              <w:rPr>
                <w:rFonts w:hint="eastAsia" w:eastAsia="宋体"/>
                <w:color w:val="auto"/>
                <w:sz w:val="21"/>
                <w:szCs w:val="21"/>
                <w:highlight w:val="none"/>
                <w:lang w:val="en-US" w:eastAsia="zh-CN" w:bidi="ar-SA"/>
              </w:rPr>
            </w:pPr>
            <w:r>
              <w:rPr>
                <w:rFonts w:hint="eastAsia"/>
                <w:color w:val="auto"/>
                <w:sz w:val="21"/>
                <w:szCs w:val="21"/>
                <w:highlight w:val="none"/>
                <w:lang w:val="en-US" w:eastAsia="zh-CN" w:bidi="ar-SA"/>
              </w:rPr>
              <w:t>台</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1.名称：套接紧定式镀锌钢导管(JDG)敷设 </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2.规格：JDG25</w:t>
            </w:r>
            <w:r>
              <w:rPr>
                <w:rFonts w:hint="eastAsia"/>
                <w:color w:val="auto"/>
                <w:sz w:val="21"/>
                <w:szCs w:val="21"/>
                <w:highlight w:val="none"/>
                <w:lang w:val="en-US" w:bidi="ar-SA"/>
              </w:rPr>
              <w:br w:type="textWrapping"/>
            </w:r>
            <w:r>
              <w:rPr>
                <w:rFonts w:hint="eastAsia"/>
                <w:color w:val="auto"/>
                <w:sz w:val="21"/>
                <w:szCs w:val="21"/>
                <w:highlight w:val="none"/>
                <w:lang w:val="en-US" w:bidi="ar-SA"/>
              </w:rPr>
              <w:t>3.配置形式：砖、混凝土结构明配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桥架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1.名称：热镀锌钢制槽式桥架</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2.规格：200*100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铁构件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1.名称：吊架支架制作安装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金属结构刷油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1.名称：支架除锈刷油，红丹防锈漆两遍，调和漆两遍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接线盒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1、名称：钢制接线盒明装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1.名称：铜芯多股绝缘电线</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2.规格型号：RVV2*1.0</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3.配线形式：管内穿线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1.名称：铜芯多股绝缘电线</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2.规格型号：RVV2*1.0</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3.配线形式：桥架内配线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1.名称：双绞线缆</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2.规格型号：CAT6</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3.配线形式：管内穿线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1.名称：双绞线缆</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2.规格型号：CAT6</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3.配线形式：桥架内穿线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1.名称：6芯单模光纤</w:t>
            </w:r>
            <w:r>
              <w:rPr>
                <w:rFonts w:hint="eastAsia"/>
                <w:color w:val="auto"/>
                <w:sz w:val="21"/>
                <w:szCs w:val="21"/>
                <w:highlight w:val="none"/>
                <w:lang w:val="en-US" w:bidi="ar-SA"/>
              </w:rPr>
              <w:br w:type="textWrapping"/>
            </w:r>
            <w:r>
              <w:rPr>
                <w:rFonts w:hint="eastAsia"/>
                <w:color w:val="auto"/>
                <w:sz w:val="21"/>
                <w:szCs w:val="21"/>
                <w:highlight w:val="none"/>
                <w:lang w:val="en-US" w:bidi="ar-SA"/>
              </w:rPr>
              <w:t>2.配线形式：桥架内配线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1.名称：套接紧定式镀锌钢导管(JDG)敷设 </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2.规格：JDG25</w:t>
            </w:r>
            <w:r>
              <w:rPr>
                <w:rFonts w:hint="eastAsia"/>
                <w:color w:val="auto"/>
                <w:sz w:val="21"/>
                <w:szCs w:val="21"/>
                <w:highlight w:val="none"/>
                <w:lang w:val="en-US" w:bidi="ar-SA"/>
              </w:rPr>
              <w:br w:type="textWrapping"/>
            </w:r>
            <w:r>
              <w:rPr>
                <w:rFonts w:hint="eastAsia"/>
                <w:color w:val="auto"/>
                <w:sz w:val="21"/>
                <w:szCs w:val="21"/>
                <w:highlight w:val="none"/>
                <w:lang w:val="en-US" w:bidi="ar-SA"/>
              </w:rPr>
              <w:t>3.配置形式：砖、混凝土结构明配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1.名称：套接紧定式镀锌钢导管(JDG)敷设 </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2.规格：JDG25</w:t>
            </w:r>
            <w:r>
              <w:rPr>
                <w:rFonts w:hint="eastAsia"/>
                <w:color w:val="auto"/>
                <w:sz w:val="21"/>
                <w:szCs w:val="21"/>
                <w:highlight w:val="none"/>
                <w:lang w:val="en-US" w:bidi="ar-SA"/>
              </w:rPr>
              <w:br w:type="textWrapping"/>
            </w:r>
            <w:r>
              <w:rPr>
                <w:rFonts w:hint="eastAsia"/>
                <w:color w:val="auto"/>
                <w:sz w:val="21"/>
                <w:szCs w:val="21"/>
                <w:highlight w:val="none"/>
                <w:lang w:val="en-US" w:bidi="ar-SA"/>
              </w:rPr>
              <w:t>3.配置形式：砖、混凝土结构暗配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1.名称：套接紧定式镀锌钢导管(JDG)敷设 </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2.规格：JDG20</w:t>
            </w:r>
            <w:r>
              <w:rPr>
                <w:rFonts w:hint="eastAsia"/>
                <w:color w:val="auto"/>
                <w:sz w:val="21"/>
                <w:szCs w:val="21"/>
                <w:highlight w:val="none"/>
                <w:lang w:val="en-US" w:bidi="ar-SA"/>
              </w:rPr>
              <w:br w:type="textWrapping"/>
            </w:r>
            <w:r>
              <w:rPr>
                <w:rFonts w:hint="eastAsia"/>
                <w:color w:val="auto"/>
                <w:sz w:val="21"/>
                <w:szCs w:val="21"/>
                <w:highlight w:val="none"/>
                <w:lang w:val="en-US" w:bidi="ar-SA"/>
              </w:rPr>
              <w:t>3.配置形式：砖、混凝土结构明配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 xml:space="preserve">1.名称：套接紧定式镀锌钢导管(JDG)敷设 </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2.规格：JDG20</w:t>
            </w:r>
            <w:r>
              <w:rPr>
                <w:rFonts w:hint="eastAsia"/>
                <w:color w:val="auto"/>
                <w:sz w:val="21"/>
                <w:szCs w:val="21"/>
                <w:highlight w:val="none"/>
                <w:lang w:val="en-US" w:bidi="ar-SA"/>
              </w:rPr>
              <w:br w:type="textWrapping"/>
            </w:r>
            <w:r>
              <w:rPr>
                <w:rFonts w:hint="eastAsia"/>
                <w:color w:val="auto"/>
                <w:sz w:val="21"/>
                <w:szCs w:val="21"/>
                <w:highlight w:val="none"/>
                <w:lang w:val="en-US" w:bidi="ar-SA"/>
              </w:rPr>
              <w:t>3.配置形式：砖、混凝土结构暗配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凿（压）槽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1.名称：管径20以内混凝土开槽及恢复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凿（压）槽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1.名称：管径32以内混凝土开槽及恢复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桥架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1.名称：热镀锌钢制槽式桥架</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2.规格：200*100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桥架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1.名称：热镀锌钢制槽式桥架</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2.规格：100*100</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铁构件</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1.名称：吊架支架制作安装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金属结构刷油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1.名称：支架除锈刷油，红丹防锈漆两遍，调和漆两遍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kg</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接线盒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1、名称：钢制接线盒明装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接线盒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1、名称：钢制接线盒暗装</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1.名称：铜芯多股绝缘电线</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2.规格型号：RVV2*1.0</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3.配线形式：管内穿线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1.名称：铜芯多股绝缘电线</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2.规格型号：RVV2*1.0</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3.配线形式：桥架内配线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1.名称：铜芯多股绝缘电线</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2.规格型号：RVV4*1.0</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3.配线形式：管内穿线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1.名称：双绞线缆</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2.规格型号：CAT6</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3.配线形式：管内穿线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1.名称：双绞线缆</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2.规格型号：CAT6</w:t>
            </w:r>
            <w:r>
              <w:rPr>
                <w:rFonts w:hint="eastAsia"/>
                <w:color w:val="auto"/>
                <w:sz w:val="21"/>
                <w:szCs w:val="21"/>
                <w:highlight w:val="none"/>
                <w:lang w:val="en-US" w:bidi="ar-SA"/>
              </w:rPr>
              <w:br w:type="textWrapping"/>
            </w:r>
            <w:r>
              <w:rPr>
                <w:rFonts w:hint="eastAsia"/>
                <w:color w:val="auto"/>
                <w:sz w:val="21"/>
                <w:szCs w:val="21"/>
                <w:highlight w:val="none"/>
                <w:lang w:val="en-US" w:bidi="ar-SA"/>
              </w:rPr>
              <w:t>3.配线形式：桥架内穿线</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1.名称：室外光缆敷设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2.规格：室外6芯光缆</w:t>
            </w:r>
            <w:r>
              <w:rPr>
                <w:rFonts w:hint="eastAsia"/>
                <w:color w:val="auto"/>
                <w:sz w:val="21"/>
                <w:szCs w:val="21"/>
                <w:highlight w:val="none"/>
                <w:lang w:val="en-US" w:bidi="ar-SA"/>
              </w:rPr>
              <w:br w:type="textWrapping"/>
            </w:r>
            <w:r>
              <w:rPr>
                <w:rFonts w:hint="eastAsia"/>
                <w:color w:val="auto"/>
                <w:sz w:val="21"/>
                <w:szCs w:val="21"/>
                <w:highlight w:val="none"/>
                <w:lang w:val="en-US" w:bidi="ar-SA"/>
              </w:rPr>
              <w:t>2.敷设方式：管内敷设</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双绞线缆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1.名称：室外双绞线缆敷设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2.规格：室外防水超五类网线</w:t>
            </w:r>
            <w:r>
              <w:rPr>
                <w:rFonts w:hint="eastAsia"/>
                <w:color w:val="auto"/>
                <w:sz w:val="21"/>
                <w:szCs w:val="21"/>
                <w:highlight w:val="none"/>
                <w:lang w:val="en-US" w:bidi="ar-SA"/>
              </w:rPr>
              <w:br w:type="textWrapping"/>
            </w:r>
            <w:r>
              <w:rPr>
                <w:rFonts w:hint="eastAsia"/>
                <w:color w:val="auto"/>
                <w:sz w:val="21"/>
                <w:szCs w:val="21"/>
                <w:highlight w:val="none"/>
                <w:lang w:val="en-US" w:bidi="ar-SA"/>
              </w:rPr>
              <w:t>2.敷设方式：管内敷设</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控制电缆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1.名称：门禁按钮控制线敷设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2.规格：KVVR4*1.0</w:t>
            </w:r>
            <w:r>
              <w:rPr>
                <w:rFonts w:hint="eastAsia"/>
                <w:color w:val="auto"/>
                <w:sz w:val="21"/>
                <w:szCs w:val="21"/>
                <w:highlight w:val="none"/>
                <w:lang w:val="en-US" w:bidi="ar-SA"/>
              </w:rPr>
              <w:br w:type="textWrapping"/>
            </w:r>
            <w:r>
              <w:rPr>
                <w:rFonts w:hint="eastAsia"/>
                <w:color w:val="auto"/>
                <w:sz w:val="21"/>
                <w:szCs w:val="21"/>
                <w:highlight w:val="none"/>
                <w:lang w:val="en-US" w:bidi="ar-SA"/>
              </w:rPr>
              <w:t>2.敷设方式：管内敷设</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控制电缆</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1.名称：门禁电磁锁控制线敷设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2.规格：KVVR2*1.0</w:t>
            </w:r>
            <w:r>
              <w:rPr>
                <w:rFonts w:hint="eastAsia"/>
                <w:color w:val="auto"/>
                <w:sz w:val="21"/>
                <w:szCs w:val="21"/>
                <w:highlight w:val="none"/>
                <w:lang w:val="en-US" w:bidi="ar-SA"/>
              </w:rPr>
              <w:br w:type="textWrapping"/>
            </w:r>
            <w:r>
              <w:rPr>
                <w:rFonts w:hint="eastAsia"/>
                <w:color w:val="auto"/>
                <w:sz w:val="21"/>
                <w:szCs w:val="21"/>
                <w:highlight w:val="none"/>
                <w:lang w:val="en-US" w:bidi="ar-SA"/>
              </w:rPr>
              <w:t>2.敷设方式：管内敷设</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光纤盒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1.名称：单模SC耦合器</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39</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布放尾纤</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 名称：布放尾纤</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根</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40</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跳线</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1.名称：SC跳线单模单芯跳线1M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41</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光纤连接</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1.名称：光纤连接熔接法单模</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芯</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42</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光缆终端盒</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1.名称：8口SC光纤终端盒</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个</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43</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1.名称：塑料管敷设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2.规格型号：PE25</w:t>
            </w:r>
            <w:r>
              <w:rPr>
                <w:rFonts w:hint="eastAsia"/>
                <w:color w:val="auto"/>
                <w:sz w:val="21"/>
                <w:szCs w:val="21"/>
                <w:highlight w:val="none"/>
                <w:lang w:val="en-US" w:bidi="ar-SA"/>
              </w:rPr>
              <w:br w:type="textWrapping"/>
            </w:r>
            <w:r>
              <w:rPr>
                <w:rFonts w:hint="eastAsia"/>
                <w:color w:val="auto"/>
                <w:sz w:val="21"/>
                <w:szCs w:val="21"/>
                <w:highlight w:val="none"/>
                <w:lang w:val="en-US" w:bidi="ar-SA"/>
              </w:rPr>
              <w:t>3.敷设方式：埋地敷设</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44</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1.名称：塑料管敷设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2.规格型号：PVC20</w:t>
            </w:r>
            <w:r>
              <w:rPr>
                <w:rFonts w:hint="eastAsia"/>
                <w:color w:val="auto"/>
                <w:sz w:val="21"/>
                <w:szCs w:val="21"/>
                <w:highlight w:val="none"/>
                <w:lang w:val="en-US" w:bidi="ar-SA"/>
              </w:rPr>
              <w:br w:type="textWrapping"/>
            </w:r>
            <w:r>
              <w:rPr>
                <w:rFonts w:hint="eastAsia"/>
                <w:color w:val="auto"/>
                <w:sz w:val="21"/>
                <w:szCs w:val="21"/>
                <w:highlight w:val="none"/>
                <w:lang w:val="en-US" w:bidi="ar-SA"/>
              </w:rPr>
              <w:t>3.敷设方式：砖、混凝土结构明配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45</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配管</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1.名称：镀锌钢管敷设</w:t>
            </w:r>
            <w:r>
              <w:rPr>
                <w:rFonts w:hint="eastAsia"/>
                <w:color w:val="auto"/>
                <w:sz w:val="21"/>
                <w:szCs w:val="21"/>
                <w:highlight w:val="none"/>
                <w:lang w:val="en-US" w:bidi="ar-SA"/>
              </w:rPr>
              <w:br w:type="textWrapping"/>
            </w:r>
            <w:r>
              <w:rPr>
                <w:rFonts w:hint="eastAsia"/>
                <w:color w:val="auto"/>
                <w:sz w:val="21"/>
                <w:szCs w:val="21"/>
                <w:highlight w:val="none"/>
                <w:lang w:val="en-US" w:bidi="ar-SA"/>
              </w:rPr>
              <w:t>2.规格型号：SC25</w:t>
            </w:r>
            <w:r>
              <w:rPr>
                <w:rFonts w:hint="eastAsia"/>
                <w:color w:val="auto"/>
                <w:sz w:val="21"/>
                <w:szCs w:val="21"/>
                <w:highlight w:val="none"/>
                <w:lang w:val="en-US" w:bidi="ar-SA"/>
              </w:rPr>
              <w:br w:type="textWrapping"/>
            </w:r>
            <w:r>
              <w:rPr>
                <w:rFonts w:hint="eastAsia"/>
                <w:color w:val="auto"/>
                <w:sz w:val="21"/>
                <w:szCs w:val="21"/>
                <w:highlight w:val="none"/>
                <w:lang w:val="en-US" w:bidi="ar-SA"/>
              </w:rPr>
              <w:t>3.敷设方式：砖、混凝土结构明配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46</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挖沟槽土方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1.名称：人工挖沟槽土方三类土</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m3</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47</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回填方</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1、名称：人工原土回填夯实</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m3</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48</w:t>
            </w:r>
          </w:p>
        </w:tc>
        <w:tc>
          <w:tcPr>
            <w:tcW w:w="526" w:type="pct"/>
            <w:vMerge w:val="continue"/>
            <w:shd w:val="clear" w:color="auto" w:fill="FFFFFF"/>
            <w:noWrap w:val="0"/>
            <w:vAlign w:val="center"/>
          </w:tcPr>
          <w:p>
            <w:pPr>
              <w:widowControl/>
              <w:autoSpaceDE/>
              <w:autoSpaceDN/>
              <w:jc w:val="center"/>
              <w:rPr>
                <w:b/>
                <w:bCs/>
                <w:color w:val="auto"/>
                <w:sz w:val="21"/>
                <w:szCs w:val="21"/>
                <w:highlight w:val="none"/>
                <w:lang w:val="en-US" w:bidi="ar-SA"/>
              </w:rPr>
            </w:pPr>
          </w:p>
        </w:tc>
        <w:tc>
          <w:tcPr>
            <w:tcW w:w="534"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凿（压）槽</w:t>
            </w:r>
          </w:p>
        </w:tc>
        <w:tc>
          <w:tcPr>
            <w:tcW w:w="3177" w:type="pct"/>
            <w:shd w:val="clear" w:color="auto" w:fill="FFFFFF"/>
            <w:noWrap w:val="0"/>
            <w:vAlign w:val="center"/>
          </w:tcPr>
          <w:p>
            <w:pPr>
              <w:widowControl/>
              <w:autoSpaceDE/>
              <w:autoSpaceDN/>
              <w:rPr>
                <w:rFonts w:hint="eastAsia"/>
                <w:color w:val="auto"/>
                <w:sz w:val="21"/>
                <w:szCs w:val="21"/>
                <w:highlight w:val="none"/>
                <w:lang w:val="en-US" w:bidi="ar-SA"/>
              </w:rPr>
            </w:pPr>
            <w:r>
              <w:rPr>
                <w:rFonts w:hint="eastAsia"/>
                <w:color w:val="auto"/>
                <w:sz w:val="21"/>
                <w:szCs w:val="21"/>
                <w:highlight w:val="none"/>
                <w:lang w:val="en-US" w:bidi="ar-SA"/>
              </w:rPr>
              <w:t>1.名称：混凝土路面开挖及恢复</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m</w:t>
            </w:r>
          </w:p>
        </w:tc>
        <w:tc>
          <w:tcPr>
            <w:tcW w:w="252" w:type="pct"/>
            <w:shd w:val="clear" w:color="auto" w:fill="FFFFFF"/>
            <w:noWrap w:val="0"/>
            <w:vAlign w:val="center"/>
          </w:tcPr>
          <w:p>
            <w:pPr>
              <w:widowControl/>
              <w:autoSpaceDE/>
              <w:autoSpaceDN/>
              <w:jc w:val="center"/>
              <w:rPr>
                <w:rFonts w:hint="eastAsia"/>
                <w:color w:val="auto"/>
                <w:sz w:val="21"/>
                <w:szCs w:val="21"/>
                <w:highlight w:val="none"/>
                <w:lang w:val="en-US" w:bidi="ar-SA"/>
              </w:rPr>
            </w:pPr>
            <w:r>
              <w:rPr>
                <w:rFonts w:hint="eastAsia"/>
                <w:color w:val="auto"/>
                <w:sz w:val="21"/>
                <w:szCs w:val="21"/>
                <w:highlight w:val="none"/>
                <w:lang w:val="en-US" w:bidi="ar-SA"/>
              </w:rPr>
              <w:t>100</w:t>
            </w:r>
          </w:p>
        </w:tc>
      </w:tr>
    </w:tbl>
    <w:p>
      <w:pPr>
        <w:pStyle w:val="7"/>
        <w:keepNext/>
        <w:keepLines/>
        <w:pageBreakBefore w:val="0"/>
        <w:widowControl w:val="0"/>
        <w:numPr>
          <w:ilvl w:val="0"/>
          <w:numId w:val="0"/>
        </w:numPr>
        <w:shd w:val="clear" w:color="auto" w:fill="auto"/>
        <w:kinsoku/>
        <w:wordWrap/>
        <w:overflowPunct/>
        <w:topLinePunct w:val="0"/>
        <w:autoSpaceDE w:val="0"/>
        <w:autoSpaceDN w:val="0"/>
        <w:bidi w:val="0"/>
        <w:adjustRightInd/>
        <w:snapToGrid/>
        <w:spacing w:before="0" w:after="0" w:line="360" w:lineRule="auto"/>
        <w:jc w:val="left"/>
        <w:textAlignment w:val="auto"/>
        <w:rPr>
          <w:rFonts w:hint="eastAsia" w:eastAsia="宋体"/>
          <w:color w:val="auto"/>
          <w:sz w:val="28"/>
          <w:szCs w:val="28"/>
          <w:highlight w:val="none"/>
          <w:lang w:val="en-US"/>
        </w:rPr>
      </w:pPr>
      <w:r>
        <w:rPr>
          <w:rFonts w:hint="eastAsia" w:eastAsia="宋体"/>
          <w:color w:val="auto"/>
          <w:sz w:val="28"/>
          <w:szCs w:val="28"/>
          <w:highlight w:val="none"/>
          <w:lang w:val="en-US" w:eastAsia="zh-CN"/>
        </w:rPr>
        <w:br w:type="page"/>
      </w:r>
      <w:r>
        <w:rPr>
          <w:rFonts w:hint="eastAsia" w:eastAsia="宋体"/>
          <w:color w:val="auto"/>
          <w:sz w:val="28"/>
          <w:szCs w:val="28"/>
          <w:highlight w:val="none"/>
          <w:lang w:val="en-US" w:eastAsia="zh-CN"/>
        </w:rPr>
        <w:t>3、</w:t>
      </w:r>
      <w:r>
        <w:rPr>
          <w:rFonts w:hint="eastAsia" w:eastAsia="宋体"/>
          <w:color w:val="auto"/>
          <w:sz w:val="28"/>
          <w:szCs w:val="28"/>
          <w:highlight w:val="none"/>
          <w:lang w:val="en-US"/>
        </w:rPr>
        <w:t>主要材料（设备）品牌参考表</w:t>
      </w:r>
    </w:p>
    <w:tbl>
      <w:tblPr>
        <w:tblStyle w:val="50"/>
        <w:tblW w:w="141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0"/>
        <w:gridCol w:w="6595"/>
        <w:gridCol w:w="5299"/>
        <w:gridCol w:w="1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设备名称</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参考品牌</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监控摄像机</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w:t>
            </w:r>
            <w:r>
              <w:rPr>
                <w:rFonts w:hint="eastAsia" w:ascii="宋体" w:hAnsi="宋体" w:cs="宋体"/>
                <w:i w:val="0"/>
                <w:iCs w:val="0"/>
                <w:color w:val="auto"/>
                <w:kern w:val="0"/>
                <w:sz w:val="24"/>
                <w:szCs w:val="24"/>
                <w:highlight w:val="none"/>
                <w:u w:val="none"/>
                <w:lang w:val="en-US" w:eastAsia="zh-CN" w:bidi="ar"/>
              </w:rPr>
              <w:t>大华</w:t>
            </w:r>
            <w:r>
              <w:rPr>
                <w:rFonts w:hint="eastAsia" w:ascii="宋体" w:hAnsi="宋体" w:eastAsia="宋体" w:cs="宋体"/>
                <w:i w:val="0"/>
                <w:iCs w:val="0"/>
                <w:color w:val="auto"/>
                <w:kern w:val="0"/>
                <w:sz w:val="24"/>
                <w:szCs w:val="24"/>
                <w:highlight w:val="none"/>
                <w:u w:val="none"/>
                <w:lang w:val="en-US" w:eastAsia="zh-CN" w:bidi="ar"/>
              </w:rPr>
              <w:t>、天地伟业</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广角高清摄像头</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海康威视、罗技、联想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高清数字监控（含拾音器）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海康威视、罗技、联想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磁盘录像机</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w:t>
            </w:r>
            <w:r>
              <w:rPr>
                <w:rFonts w:hint="eastAsia" w:ascii="宋体" w:hAnsi="宋体" w:cs="宋体"/>
                <w:i w:val="0"/>
                <w:iCs w:val="0"/>
                <w:color w:val="auto"/>
                <w:kern w:val="0"/>
                <w:sz w:val="24"/>
                <w:szCs w:val="24"/>
                <w:highlight w:val="none"/>
                <w:u w:val="none"/>
                <w:lang w:val="en-US" w:eastAsia="zh-CN" w:bidi="ar"/>
              </w:rPr>
              <w:t>大华</w:t>
            </w:r>
            <w:r>
              <w:rPr>
                <w:rFonts w:hint="eastAsia" w:ascii="宋体" w:hAnsi="宋体" w:eastAsia="宋体" w:cs="宋体"/>
                <w:i w:val="0"/>
                <w:iCs w:val="0"/>
                <w:color w:val="auto"/>
                <w:kern w:val="0"/>
                <w:sz w:val="24"/>
                <w:szCs w:val="24"/>
                <w:highlight w:val="none"/>
                <w:u w:val="none"/>
                <w:lang w:val="en-US" w:eastAsia="zh-CN" w:bidi="ar"/>
              </w:rPr>
              <w:t>、天地伟业</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监控专用硬盘</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希捷、西数、东芝</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交换机、路由器、无线AP、光纤收发器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华为、锐捷、启明星辰</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消防火灾报警器、SOS紧急报警、智能门磁、燃气报警器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赛特威尔、巡鹰、海康威视</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室外一键紧急报警盒</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海康威视、盾安、凌防</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一键报警中心管理机</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海康威视、盾安、凌防</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智能触摸显示屏</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海康威视、创佰讯、强力巨彩</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信息宣传屏</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海康威视、创佰讯、强力巨彩</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未来展厅智慧屏</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海康威视、强力巨彩、华杰光电</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小间距LED屏</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海康威视、强力巨彩、创佰讯</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流媒体服务器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海康威视、曙光、联想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音响系统</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ITC、DSPPA、SVS</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高清投影仪</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EPSON、明基、先科</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随身扩音器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山水间、一智联、得胜</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三维模型管理服务器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联想、浪潮、戴尔</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车牌识别系统</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海康威视、东南创通、</w:t>
            </w:r>
            <w:r>
              <w:rPr>
                <w:rFonts w:hint="eastAsia" w:ascii="宋体" w:hAnsi="宋体" w:cs="宋体"/>
                <w:i w:val="0"/>
                <w:iCs w:val="0"/>
                <w:color w:val="auto"/>
                <w:kern w:val="0"/>
                <w:sz w:val="24"/>
                <w:szCs w:val="24"/>
                <w:highlight w:val="none"/>
                <w:u w:val="none"/>
                <w:lang w:val="en-US" w:eastAsia="zh-CN" w:bidi="ar"/>
              </w:rPr>
              <w:t>科拓</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双目人脸识别门禁一体机</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w:t>
            </w:r>
            <w:r>
              <w:rPr>
                <w:rFonts w:hint="eastAsia" w:ascii="宋体" w:hAnsi="宋体" w:cs="宋体"/>
                <w:i w:val="0"/>
                <w:iCs w:val="0"/>
                <w:color w:val="auto"/>
                <w:kern w:val="0"/>
                <w:sz w:val="24"/>
                <w:szCs w:val="24"/>
                <w:highlight w:val="none"/>
                <w:u w:val="none"/>
                <w:lang w:val="en-US" w:eastAsia="zh-CN" w:bidi="ar"/>
              </w:rPr>
              <w:t>大华</w:t>
            </w:r>
            <w:r>
              <w:rPr>
                <w:rFonts w:hint="eastAsia" w:ascii="宋体" w:hAnsi="宋体" w:eastAsia="宋体" w:cs="宋体"/>
                <w:i w:val="0"/>
                <w:iCs w:val="0"/>
                <w:color w:val="auto"/>
                <w:kern w:val="0"/>
                <w:sz w:val="24"/>
                <w:szCs w:val="24"/>
                <w:highlight w:val="none"/>
                <w:u w:val="none"/>
                <w:lang w:val="en-US" w:eastAsia="zh-CN" w:bidi="ar"/>
              </w:rPr>
              <w:t>、天地伟业</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门禁专用电源</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明纬、工创、中控智慧</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磁力锁</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KOB、工创、中控智慧</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闭门器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KOB、玛丽、中控智慧</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无线网桥</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锐捷、TPLINK、优倍快</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光模块</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华为、锐捷、华三</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0" name="Text_Box_1"/>
                  <wp:cNvGraphicFramePr/>
                  <a:graphic xmlns:a="http://schemas.openxmlformats.org/drawingml/2006/main">
                    <a:graphicData uri="http://schemas.openxmlformats.org/drawingml/2006/picture">
                      <pic:pic xmlns:pic="http://schemas.openxmlformats.org/drawingml/2006/picture">
                        <pic:nvPicPr>
                          <pic:cNvPr id="10" name="Text_Box_1"/>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1" name="Text_Box_3"/>
                  <wp:cNvGraphicFramePr/>
                  <a:graphic xmlns:a="http://schemas.openxmlformats.org/drawingml/2006/main">
                    <a:graphicData uri="http://schemas.openxmlformats.org/drawingml/2006/picture">
                      <pic:pic xmlns:pic="http://schemas.openxmlformats.org/drawingml/2006/picture">
                        <pic:nvPicPr>
                          <pic:cNvPr id="11" name="Text_Box_3"/>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2" name="Text_Box_11"/>
                  <wp:cNvGraphicFramePr/>
                  <a:graphic xmlns:a="http://schemas.openxmlformats.org/drawingml/2006/main">
                    <a:graphicData uri="http://schemas.openxmlformats.org/drawingml/2006/picture">
                      <pic:pic xmlns:pic="http://schemas.openxmlformats.org/drawingml/2006/picture">
                        <pic:nvPicPr>
                          <pic:cNvPr id="12" name="Text_Box_11"/>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3" name="Text_Box_10"/>
                  <wp:cNvGraphicFramePr/>
                  <a:graphic xmlns:a="http://schemas.openxmlformats.org/drawingml/2006/main">
                    <a:graphicData uri="http://schemas.openxmlformats.org/drawingml/2006/picture">
                      <pic:pic xmlns:pic="http://schemas.openxmlformats.org/drawingml/2006/picture">
                        <pic:nvPicPr>
                          <pic:cNvPr id="13" name="Text_Box_10"/>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4" name="Text_Box_12"/>
                  <wp:cNvGraphicFramePr/>
                  <a:graphic xmlns:a="http://schemas.openxmlformats.org/drawingml/2006/main">
                    <a:graphicData uri="http://schemas.openxmlformats.org/drawingml/2006/picture">
                      <pic:pic xmlns:pic="http://schemas.openxmlformats.org/drawingml/2006/picture">
                        <pic:nvPicPr>
                          <pic:cNvPr id="14" name="Text_Box_12"/>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5" name="Text_Box_9"/>
                  <wp:cNvGraphicFramePr/>
                  <a:graphic xmlns:a="http://schemas.openxmlformats.org/drawingml/2006/main">
                    <a:graphicData uri="http://schemas.openxmlformats.org/drawingml/2006/picture">
                      <pic:pic xmlns:pic="http://schemas.openxmlformats.org/drawingml/2006/picture">
                        <pic:nvPicPr>
                          <pic:cNvPr id="15" name="Text_Box_9"/>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6" name="Text_Box_2"/>
                  <wp:cNvGraphicFramePr/>
                  <a:graphic xmlns:a="http://schemas.openxmlformats.org/drawingml/2006/main">
                    <a:graphicData uri="http://schemas.openxmlformats.org/drawingml/2006/picture">
                      <pic:pic xmlns:pic="http://schemas.openxmlformats.org/drawingml/2006/picture">
                        <pic:nvPicPr>
                          <pic:cNvPr id="16" name="Text_Box_2"/>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494665</wp:posOffset>
                  </wp:positionH>
                  <wp:positionV relativeFrom="paragraph">
                    <wp:posOffset>0</wp:posOffset>
                  </wp:positionV>
                  <wp:extent cx="33020" cy="175260"/>
                  <wp:effectExtent l="0" t="0" r="0" b="0"/>
                  <wp:wrapNone/>
                  <wp:docPr id="17" name="Text_Box_4"/>
                  <wp:cNvGraphicFramePr/>
                  <a:graphic xmlns:a="http://schemas.openxmlformats.org/drawingml/2006/main">
                    <a:graphicData uri="http://schemas.openxmlformats.org/drawingml/2006/picture">
                      <pic:pic xmlns:pic="http://schemas.openxmlformats.org/drawingml/2006/picture">
                        <pic:nvPicPr>
                          <pic:cNvPr id="17" name="Text_Box_4"/>
                          <pic:cNvPicPr/>
                        </pic:nvPicPr>
                        <pic:blipFill>
                          <a:blip r:embed="rId24"/>
                          <a:stretch>
                            <a:fillRect/>
                          </a:stretch>
                        </pic:blipFill>
                        <pic:spPr>
                          <a:xfrm>
                            <a:off x="0" y="0"/>
                            <a:ext cx="33020" cy="1752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26</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噪音监测设备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海康威视、朝雨、竞道光电</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流媒体服务器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海康威视、曙光、联想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UPS电源</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力迅.科士达.华为</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社区服务智能物联感知设备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赛特威尔、巡鹰、海康威视</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宣讲设备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山水间、一智联、得胜</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移动式服务平台</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联想、戴尔、小米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三维模型管理服务器</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联想、浪潮、戴尔</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智慧健康站设备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先德、普瑞森、</w:t>
            </w:r>
            <w:r>
              <w:rPr>
                <w:rFonts w:hint="eastAsia" w:ascii="宋体" w:hAnsi="宋体" w:cs="宋体"/>
                <w:i w:val="0"/>
                <w:iCs w:val="0"/>
                <w:color w:val="auto"/>
                <w:kern w:val="0"/>
                <w:sz w:val="24"/>
                <w:szCs w:val="24"/>
                <w:highlight w:val="none"/>
                <w:u w:val="none"/>
                <w:lang w:val="en-US" w:eastAsia="zh-CN" w:bidi="ar"/>
              </w:rPr>
              <w:t>云药房</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智慧用电设备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习羽智能、创合新锐、上海零线</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直播设备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LivePad、莱睿、IXI MEGA</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无人机设备</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大疆、道通智能、斯威普</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塑料管</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浙江中财、宁波波尔、浙江伟星</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综合布线</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一舟、南京普天天纪、宁扬</w:t>
            </w:r>
            <w:r>
              <w:rPr>
                <w:rFonts w:hint="eastAsia" w:ascii="宋体" w:hAnsi="宋体" w:cs="宋体"/>
                <w:i w:val="0"/>
                <w:iCs w:val="0"/>
                <w:color w:val="auto"/>
                <w:kern w:val="0"/>
                <w:sz w:val="24"/>
                <w:szCs w:val="24"/>
                <w:highlight w:val="none"/>
                <w:u w:val="none"/>
                <w:lang w:val="en-US" w:eastAsia="zh-CN" w:bidi="ar"/>
              </w:rPr>
              <w:t>、宁波天栎、海康</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镀锌钢管</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天津利达、天津宇盛、湖州金州</w:t>
            </w:r>
            <w:r>
              <w:rPr>
                <w:rFonts w:hint="eastAsia" w:ascii="宋体" w:hAnsi="宋体" w:cs="宋体"/>
                <w:i w:val="0"/>
                <w:iCs w:val="0"/>
                <w:color w:val="auto"/>
                <w:kern w:val="0"/>
                <w:sz w:val="24"/>
                <w:szCs w:val="24"/>
                <w:highlight w:val="none"/>
                <w:u w:val="none"/>
                <w:lang w:val="en-US" w:eastAsia="zh-CN" w:bidi="ar"/>
              </w:rPr>
              <w:t>、天津君诚</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40</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操作台</w:t>
            </w:r>
          </w:p>
        </w:tc>
        <w:tc>
          <w:tcPr>
            <w:tcW w:w="52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淞扬、嘉利恒兴、科创</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bl>
    <w:p>
      <w:pPr>
        <w:widowControl w:val="0"/>
        <w:numPr>
          <w:ilvl w:val="0"/>
          <w:numId w:val="0"/>
        </w:numPr>
        <w:autoSpaceDE w:val="0"/>
        <w:autoSpaceDN w:val="0"/>
        <w:jc w:val="center"/>
        <w:rPr>
          <w:rFonts w:hint="eastAsia"/>
          <w:color w:val="auto"/>
          <w:highlight w:val="none"/>
          <w:lang w:val="en-US"/>
        </w:rPr>
      </w:pPr>
    </w:p>
    <w:p>
      <w:pPr>
        <w:pStyle w:val="2"/>
        <w:rPr>
          <w:rFonts w:hint="eastAsia"/>
          <w:color w:val="auto"/>
          <w:highlight w:val="none"/>
          <w:lang w:val="en-US"/>
        </w:rPr>
      </w:pPr>
    </w:p>
    <w:p>
      <w:pPr>
        <w:rPr>
          <w:rFonts w:hint="eastAsia"/>
          <w:color w:val="auto"/>
          <w:highlight w:val="none"/>
          <w:lang w:val="en-US"/>
        </w:rPr>
      </w:pPr>
    </w:p>
    <w:p>
      <w:pPr>
        <w:pStyle w:val="296"/>
        <w:shd w:val="clear" w:color="auto" w:fill="auto"/>
        <w:spacing w:line="360" w:lineRule="auto"/>
        <w:ind w:firstLine="422" w:firstLineChars="200"/>
        <w:rPr>
          <w:rFonts w:cs="宋体"/>
          <w:b/>
          <w:bCs/>
          <w:color w:val="auto"/>
          <w:highlight w:val="none"/>
        </w:rPr>
      </w:pPr>
      <w:r>
        <w:rPr>
          <w:rFonts w:cs="宋体"/>
          <w:b/>
          <w:bCs/>
          <w:color w:val="auto"/>
          <w:highlight w:val="none"/>
        </w:rPr>
        <w:t>备注：主要设备参数清单表中提供的三个及以上品牌为采购人推荐品牌，供应商可选用投标产品性能等同于或高于采购人要求的其他品牌。如供应商选用投标产品非采购人推荐品牌，供应商须在投标文件中提供</w:t>
      </w:r>
      <w:r>
        <w:rPr>
          <w:rFonts w:hint="eastAsia" w:cs="宋体"/>
          <w:b/>
          <w:bCs/>
          <w:color w:val="auto"/>
          <w:highlight w:val="none"/>
          <w:lang w:val="en-US" w:eastAsia="zh-CN"/>
        </w:rPr>
        <w:t>相关设备品牌</w:t>
      </w:r>
      <w:r>
        <w:rPr>
          <w:rFonts w:cs="宋体"/>
          <w:b/>
          <w:bCs/>
          <w:color w:val="auto"/>
          <w:highlight w:val="none"/>
        </w:rPr>
        <w:t>偏离情况</w:t>
      </w:r>
      <w:r>
        <w:rPr>
          <w:rFonts w:hint="eastAsia" w:cs="宋体"/>
          <w:b/>
          <w:bCs/>
          <w:color w:val="auto"/>
          <w:highlight w:val="none"/>
          <w:lang w:val="en-US" w:eastAsia="zh-CN"/>
        </w:rPr>
        <w:t>表</w:t>
      </w:r>
      <w:r>
        <w:rPr>
          <w:rFonts w:cs="宋体"/>
          <w:b/>
          <w:bCs/>
          <w:color w:val="auto"/>
          <w:highlight w:val="none"/>
        </w:rPr>
        <w:t>。</w:t>
      </w:r>
    </w:p>
    <w:p>
      <w:pPr>
        <w:shd w:val="clear" w:color="auto" w:fill="auto"/>
        <w:spacing w:line="360" w:lineRule="auto"/>
        <w:rPr>
          <w:b/>
          <w:bCs/>
          <w:color w:val="auto"/>
          <w:sz w:val="24"/>
          <w:szCs w:val="24"/>
          <w:highlight w:val="none"/>
          <w:lang w:val="en-US"/>
        </w:rPr>
      </w:pPr>
    </w:p>
    <w:p>
      <w:pPr>
        <w:shd w:val="clear" w:color="auto" w:fill="auto"/>
        <w:spacing w:line="360" w:lineRule="auto"/>
        <w:rPr>
          <w:color w:val="auto"/>
          <w:highlight w:val="none"/>
          <w:lang w:val="en-US"/>
        </w:rPr>
      </w:pPr>
    </w:p>
    <w:p>
      <w:pPr>
        <w:keepNext/>
        <w:keepLines/>
        <w:shd w:val="clear" w:color="auto" w:fill="auto"/>
        <w:adjustRightInd w:val="0"/>
        <w:snapToGrid w:val="0"/>
        <w:spacing w:line="360" w:lineRule="auto"/>
        <w:jc w:val="center"/>
        <w:outlineLvl w:val="0"/>
        <w:rPr>
          <w:rFonts w:hint="eastAsia"/>
          <w:b/>
          <w:bCs/>
          <w:color w:val="auto"/>
          <w:sz w:val="30"/>
          <w:szCs w:val="30"/>
          <w:highlight w:val="none"/>
        </w:rPr>
        <w:sectPr>
          <w:pgSz w:w="16838" w:h="11906" w:orient="landscape"/>
          <w:pgMar w:top="1701" w:right="1417" w:bottom="1701" w:left="1417" w:header="851" w:footer="850" w:gutter="0"/>
          <w:paperSrc/>
          <w:pgBorders>
            <w:top w:val="none" w:sz="0" w:space="0"/>
            <w:left w:val="none" w:sz="0" w:space="0"/>
            <w:bottom w:val="none" w:sz="0" w:space="0"/>
            <w:right w:val="none" w:sz="0" w:space="0"/>
          </w:pgBorders>
          <w:pgNumType w:fmt="decimal"/>
          <w:cols w:space="720" w:num="1"/>
          <w:rtlGutter w:val="0"/>
          <w:docGrid w:linePitch="312" w:charSpace="0"/>
        </w:sectPr>
      </w:pPr>
    </w:p>
    <w:p>
      <w:pPr>
        <w:keepNext/>
        <w:keepLines/>
        <w:shd w:val="clear" w:color="auto" w:fill="auto"/>
        <w:adjustRightInd w:val="0"/>
        <w:snapToGrid w:val="0"/>
        <w:spacing w:line="360" w:lineRule="auto"/>
        <w:jc w:val="center"/>
        <w:outlineLvl w:val="0"/>
        <w:rPr>
          <w:rFonts w:hint="eastAsia"/>
          <w:color w:val="auto"/>
          <w:sz w:val="30"/>
          <w:szCs w:val="30"/>
          <w:highlight w:val="none"/>
        </w:rPr>
      </w:pPr>
      <w:bookmarkStart w:id="55" w:name="_Toc18561"/>
      <w:r>
        <w:rPr>
          <w:rFonts w:hint="eastAsia"/>
          <w:b/>
          <w:bCs/>
          <w:color w:val="auto"/>
          <w:sz w:val="30"/>
          <w:szCs w:val="30"/>
          <w:highlight w:val="none"/>
        </w:rPr>
        <w:t>第三章  投标人须知</w:t>
      </w:r>
      <w:bookmarkEnd w:id="54"/>
      <w:bookmarkEnd w:id="55"/>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32"/>
          <w:highlight w:val="none"/>
          <w:lang w:val="en-US" w:eastAsia="zh-CN" w:bidi="ar-SA"/>
        </w:rPr>
      </w:pPr>
      <w:r>
        <w:rPr>
          <w:rFonts w:hint="eastAsia" w:ascii="微软雅黑" w:hAnsi="微软雅黑" w:eastAsia="微软雅黑" w:cs="微软雅黑"/>
          <w:b/>
          <w:bCs/>
          <w:color w:val="auto"/>
          <w:kern w:val="2"/>
          <w:sz w:val="21"/>
          <w:szCs w:val="32"/>
          <w:highlight w:val="none"/>
          <w:lang w:val="en-US" w:eastAsia="zh-CN" w:bidi="ar-SA"/>
        </w:rPr>
        <w:t>前附表</w:t>
      </w:r>
    </w:p>
    <w:tbl>
      <w:tblPr>
        <w:tblStyle w:val="51"/>
        <w:tblW w:w="9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106"/>
        <w:gridCol w:w="7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9178" w:type="dxa"/>
            <w:gridSpan w:val="2"/>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条款及内容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采购人</w:t>
            </w:r>
          </w:p>
        </w:tc>
        <w:tc>
          <w:tcPr>
            <w:tcW w:w="7072" w:type="dxa"/>
            <w:noWrap w:val="0"/>
            <w:vAlign w:val="center"/>
          </w:tcPr>
          <w:p>
            <w:pPr>
              <w:shd w:val="clear" w:color="auto" w:fill="auto"/>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采购人：宁波市江北区人民政府洪塘街道办事处 　</w:t>
            </w:r>
          </w:p>
          <w:p>
            <w:pPr>
              <w:shd w:val="clear" w:color="auto" w:fill="auto"/>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地址：宁波市江北区洪塘南路东段1号 　　　　</w:t>
            </w:r>
          </w:p>
          <w:p>
            <w:pPr>
              <w:shd w:val="clear" w:color="auto" w:fill="auto"/>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联系人：鲍老师</w:t>
            </w:r>
          </w:p>
          <w:p>
            <w:pPr>
              <w:shd w:val="clear" w:color="auto" w:fill="auto"/>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联系方式：0574-87562585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rPr>
              <w:t>2</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代理机构</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采购代理机构：宁波市盛达工程管理咨询有限公司</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eastAsia="zh-CN"/>
              </w:rPr>
              <w:t>宁波市江北区唐虞路319号（创富商业中心）</w:t>
            </w:r>
            <w:r>
              <w:rPr>
                <w:rFonts w:hint="eastAsia" w:ascii="宋体" w:hAnsi="宋体" w:eastAsia="宋体" w:cs="宋体"/>
                <w:color w:val="auto"/>
                <w:sz w:val="21"/>
                <w:szCs w:val="21"/>
                <w:highlight w:val="none"/>
                <w:lang w:val="en-US" w:eastAsia="zh-CN"/>
              </w:rPr>
              <w:t>A座</w:t>
            </w:r>
            <w:r>
              <w:rPr>
                <w:rFonts w:hint="eastAsia" w:ascii="宋体" w:hAnsi="宋体" w:eastAsia="宋体" w:cs="宋体"/>
                <w:color w:val="auto"/>
                <w:sz w:val="21"/>
                <w:szCs w:val="21"/>
                <w:highlight w:val="none"/>
                <w:lang w:eastAsia="zh-CN"/>
              </w:rPr>
              <w:t xml:space="preserve"> 5楼</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联系人：张琳玲、</w:t>
            </w:r>
            <w:r>
              <w:rPr>
                <w:rFonts w:hint="eastAsia" w:eastAsia="宋体" w:cs="宋体"/>
                <w:color w:val="auto"/>
                <w:sz w:val="21"/>
                <w:szCs w:val="21"/>
                <w:highlight w:val="none"/>
                <w:lang w:val="en-US" w:eastAsia="zh-CN"/>
              </w:rPr>
              <w:t>王瑶红、</w:t>
            </w:r>
            <w:r>
              <w:rPr>
                <w:rFonts w:hint="eastAsia" w:ascii="宋体" w:hAnsi="宋体" w:eastAsia="宋体" w:cs="宋体"/>
                <w:color w:val="auto"/>
                <w:sz w:val="21"/>
                <w:szCs w:val="21"/>
                <w:highlight w:val="none"/>
              </w:rPr>
              <w:t>方海杰</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574-87636525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rPr>
              <w:t>3</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发布媒体</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kern w:val="0"/>
                <w:sz w:val="21"/>
                <w:szCs w:val="21"/>
                <w:highlight w:val="none"/>
                <w:lang w:val="en"/>
              </w:rPr>
            </w:pPr>
            <w:r>
              <w:rPr>
                <w:rFonts w:hint="eastAsia" w:ascii="宋体" w:hAnsi="宋体" w:eastAsia="宋体" w:cs="宋体"/>
                <w:color w:val="auto"/>
                <w:kern w:val="0"/>
                <w:sz w:val="21"/>
                <w:szCs w:val="21"/>
                <w:highlight w:val="none"/>
                <w:lang w:val="en"/>
              </w:rPr>
              <w:t xml:space="preserve">浙江政府采购网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"http://zfcg.czt.zj.gov.cn/"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http://zfcg.czt.zj.gov.cn/</w:t>
            </w:r>
            <w:r>
              <w:rPr>
                <w:rFonts w:hint="eastAsia" w:ascii="宋体" w:hAnsi="宋体" w:eastAsia="宋体" w:cs="宋体"/>
                <w:color w:val="auto"/>
                <w:sz w:val="21"/>
                <w:szCs w:val="21"/>
                <w:highlight w:val="none"/>
              </w:rPr>
              <w:fldChar w:fldCharType="end"/>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kern w:val="0"/>
                <w:sz w:val="21"/>
                <w:szCs w:val="21"/>
                <w:highlight w:val="none"/>
                <w:lang w:val="en"/>
              </w:rPr>
            </w:pPr>
            <w:r>
              <w:rPr>
                <w:rFonts w:hint="eastAsia" w:ascii="宋体" w:hAnsi="宋体" w:eastAsia="宋体" w:cs="宋体"/>
                <w:color w:val="auto"/>
                <w:kern w:val="0"/>
                <w:sz w:val="21"/>
                <w:szCs w:val="21"/>
                <w:highlight w:val="none"/>
                <w:lang w:val="en"/>
              </w:rPr>
              <w:t>宁波政府采购网                    http://www.nbzfcg.cn/</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
              </w:rPr>
              <w:t>宁波市公共资源交易网（江北分区分网）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"http://jiangbei.nbggzy.cn/"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http://jiangbei.nbggzy.cn/</w:t>
            </w:r>
            <w:r>
              <w:rPr>
                <w:rFonts w:hint="eastAsia" w:ascii="宋体" w:hAnsi="宋体" w:eastAsia="宋体" w:cs="宋体"/>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108" w:leftChars="0" w:right="-113" w:righ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4</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项目名称</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宁波江北姚江未来社区数字化改造项目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108" w:leftChars="0" w:right="-113"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5</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资金来源</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区财政出资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108" w:leftChars="0" w:right="-113"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6</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服务期限</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2"/>
                <w:sz w:val="21"/>
                <w:szCs w:val="21"/>
                <w:highlight w:val="none"/>
                <w:lang w:val="en-US" w:bidi="ar-SA"/>
              </w:rPr>
              <w:t>本项目建设开发周期为</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bidi="ar-SA"/>
              </w:rPr>
              <w:t>个月，自合同签订之日起至</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bidi="ar-SA"/>
              </w:rPr>
              <w:t>个月内完成项目的建设实施、试运行、系统调试、应用培训和竣工验收等工作</w:t>
            </w:r>
            <w:r>
              <w:rPr>
                <w:rFonts w:hint="eastAsia" w:ascii="宋体" w:hAnsi="宋体" w:eastAsia="宋体" w:cs="宋体"/>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7</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售后服务</w:t>
            </w:r>
          </w:p>
        </w:tc>
        <w:tc>
          <w:tcPr>
            <w:tcW w:w="7072" w:type="dxa"/>
            <w:noWrap w:val="0"/>
            <w:vAlign w:val="center"/>
          </w:tcPr>
          <w:p>
            <w:pPr>
              <w:pStyle w:val="22"/>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firstLineChars="0"/>
              <w:jc w:val="both"/>
              <w:textAlignment w:val="auto"/>
              <w:outlineLvl w:val="9"/>
              <w:rPr>
                <w:rFonts w:hint="eastAsia" w:ascii="宋体" w:hAnsi="宋体" w:eastAsia="宋体" w:cs="宋体"/>
                <w:b w:val="0"/>
                <w:bCs w:val="0"/>
                <w:color w:val="auto"/>
                <w:sz w:val="21"/>
                <w:szCs w:val="21"/>
                <w:highlight w:val="none"/>
                <w:lang w:eastAsia="zh-CN"/>
              </w:rPr>
            </w:pPr>
            <w:r>
              <w:rPr>
                <w:rFonts w:hint="eastAsia" w:ascii="宋体" w:cs="宋体"/>
                <w:color w:val="auto"/>
                <w:sz w:val="21"/>
                <w:szCs w:val="21"/>
                <w:highlight w:val="none"/>
                <w:lang w:val="en-US" w:eastAsia="zh-CN"/>
              </w:rPr>
              <w:t>本项目售后期、运营及运维期</w:t>
            </w:r>
            <w:r>
              <w:rPr>
                <w:rFonts w:hint="eastAsia" w:ascii="宋体" w:cs="宋体"/>
                <w:color w:val="auto"/>
                <w:sz w:val="21"/>
                <w:szCs w:val="21"/>
                <w:highlight w:val="none"/>
              </w:rPr>
              <w:t>自项目</w:t>
            </w:r>
            <w:r>
              <w:rPr>
                <w:rFonts w:hint="eastAsia" w:ascii="宋体" w:cs="宋体"/>
                <w:color w:val="auto"/>
                <w:sz w:val="21"/>
                <w:szCs w:val="21"/>
                <w:highlight w:val="none"/>
                <w:lang w:val="en-US" w:eastAsia="zh-CN"/>
              </w:rPr>
              <w:t>交付并</w:t>
            </w:r>
            <w:r>
              <w:rPr>
                <w:rFonts w:hint="eastAsia" w:ascii="宋体" w:cs="宋体"/>
                <w:color w:val="auto"/>
                <w:sz w:val="21"/>
                <w:szCs w:val="21"/>
                <w:highlight w:val="none"/>
              </w:rPr>
              <w:t>验收之日起</w:t>
            </w:r>
            <w:r>
              <w:rPr>
                <w:rFonts w:hint="eastAsia" w:ascii="宋体" w:cs="宋体"/>
                <w:color w:val="auto"/>
                <w:sz w:val="21"/>
                <w:szCs w:val="21"/>
                <w:highlight w:val="none"/>
                <w:lang w:val="en-US" w:eastAsia="zh-CN"/>
              </w:rPr>
              <w:t>2</w:t>
            </w:r>
            <w:r>
              <w:rPr>
                <w:rFonts w:hint="eastAsia" w:ascii="宋体" w:cs="宋体"/>
                <w:color w:val="auto"/>
                <w:sz w:val="21"/>
                <w:szCs w:val="21"/>
                <w:highlight w:val="none"/>
              </w:rPr>
              <w:t>年</w:t>
            </w:r>
            <w:r>
              <w:rPr>
                <w:rFonts w:hint="eastAsia" w:ascii="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8</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采购方式</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公开采购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p>
        </w:tc>
        <w:tc>
          <w:tcPr>
            <w:tcW w:w="2106" w:type="dxa"/>
            <w:noWrap w:val="0"/>
            <w:vAlign w:val="center"/>
          </w:tcPr>
          <w:p>
            <w:pPr>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现场踏勘</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本项目不统一组织现场勘察，</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可自行对本项目现场和周围环境进行勘察。勘察现场所发生的费用由</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自己承担。不论何种原因所造成，在勘察过程中，</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自行对由此次踏勘现场而造成的死亡、人身伤害、财产损失、损害以及任何其它损失、损害和引起的费用和开支承担责任。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▲投标报价及费用</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1、本项目最高限价为：</w:t>
            </w:r>
            <w:r>
              <w:rPr>
                <w:rFonts w:hint="eastAsia" w:ascii="宋体" w:hAnsi="宋体" w:eastAsia="宋体" w:cs="宋体"/>
                <w:b/>
                <w:bCs/>
                <w:color w:val="auto"/>
                <w:sz w:val="21"/>
                <w:szCs w:val="21"/>
                <w:highlight w:val="none"/>
                <w:lang w:val="en-US" w:eastAsia="zh-CN"/>
              </w:rPr>
              <w:t>5710007元。投标总价超</w:t>
            </w:r>
            <w:r>
              <w:rPr>
                <w:rFonts w:hint="eastAsia" w:ascii="宋体" w:hAnsi="宋体" w:eastAsia="宋体" w:cs="宋体"/>
                <w:b/>
                <w:bCs/>
                <w:color w:val="auto"/>
                <w:sz w:val="21"/>
                <w:szCs w:val="21"/>
                <w:highlight w:val="none"/>
                <w:lang w:val="en-US" w:eastAsia="zh-CN"/>
              </w:rPr>
              <w:t>过最高限价的，其投标作无效标处理。</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本投标报价包括但不限于需求调研、系统设计、软件开发、软件测试、区级平台对接、软件部署、系统培训、等保测评、安全加固、供货、包装、运输、装卸、保险、仓储、货到就位以及施工安装、调试、系统集成、互联网通信链路费用、检测验收、提交审计相应技术资料、返工、培训、保修、备品备件、技术培训、售后服务、税费合理利润、中标服务费等等为完成本次项目涉及的一切费用，采购人不再另行支付其他任何形式的费用。</w:t>
            </w:r>
          </w:p>
          <w:p>
            <w:pPr>
              <w:pStyle w:val="39"/>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3、供应商应考虑投标及交货期间的设备及材料等费用的上涨因素，材料价格波动等</w:t>
            </w:r>
            <w:r>
              <w:rPr>
                <w:rFonts w:hint="eastAsia" w:ascii="宋体" w:hAnsi="宋体" w:eastAsia="宋体" w:cs="宋体"/>
                <w:color w:val="auto"/>
                <w:sz w:val="21"/>
                <w:szCs w:val="21"/>
                <w:highlight w:val="none"/>
                <w:lang w:val="en-US" w:eastAsia="zh-CN"/>
              </w:rPr>
              <w:t>项目实施过程中可能遇到的各种风险，事后不得以任何理由要求增加费用。</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4、根据《招标投标法》第三十三条：投标人不得以低于成本的报价竞标，也不得以他人名义投标或者以其他方式弄虚作假，骗取中标。</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5、不论投标结果如何，供应商均应自行承担所有与投标有关的全部费用。</w:t>
            </w:r>
          </w:p>
          <w:p>
            <w:pPr>
              <w:pStyle w:val="124"/>
              <w:keepNext w:val="0"/>
              <w:keepLines w:val="0"/>
              <w:pageBreakBefore w:val="0"/>
              <w:widowControl w:val="0"/>
              <w:shd w:val="clear" w:color="auto" w:fill="auto"/>
              <w:kinsoku/>
              <w:wordWrap/>
              <w:overflowPunct/>
              <w:topLinePunct w:val="0"/>
              <w:bidi w:val="0"/>
              <w:adjustRightInd/>
              <w:snapToGrid/>
              <w:spacing w:before="3" w:line="360" w:lineRule="auto"/>
              <w:ind w:left="0" w:right="83" w:firstLine="0" w:firstLine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6、系统软件、通用软件必须是具有在中国境内的合法使用权或版权的正版软件，涉及到第三方提出侵权或知识产权的起诉及支付版税等费用由投标人承担所有责任及费用。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付款方式</w:t>
            </w:r>
          </w:p>
        </w:tc>
        <w:tc>
          <w:tcPr>
            <w:tcW w:w="7072" w:type="dxa"/>
            <w:noWrap w:val="0"/>
            <w:vAlign w:val="center"/>
          </w:tcPr>
          <w:p>
            <w:pPr>
              <w:adjustRightInd w:val="0"/>
              <w:snapToGrid w:val="0"/>
              <w:spacing w:line="36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rPr>
              <w:t>项目合同签订</w:t>
            </w:r>
            <w:r>
              <w:rPr>
                <w:rFonts w:hint="eastAsia" w:ascii="宋体" w:hAnsi="宋体" w:eastAsia="宋体" w:cs="宋体"/>
                <w:color w:val="auto"/>
                <w:sz w:val="21"/>
                <w:szCs w:val="21"/>
                <w:highlight w:val="none"/>
                <w:lang w:val="en-US"/>
              </w:rPr>
              <w:t>后，采购人于7个工作日内支付至合同价的30%。</w:t>
            </w:r>
          </w:p>
          <w:p>
            <w:pPr>
              <w:adjustRightInd w:val="0"/>
              <w:snapToGrid w:val="0"/>
              <w:spacing w:line="36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2.完成总工程量的70%时，采购人于15个工作日内支付至合同价的70%。</w:t>
            </w:r>
          </w:p>
          <w:p>
            <w:pPr>
              <w:adjustRightInd w:val="0"/>
              <w:snapToGrid w:val="0"/>
              <w:spacing w:line="36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完工且通过初步验收合格后</w:t>
            </w:r>
            <w:r>
              <w:rPr>
                <w:rFonts w:hint="eastAsia" w:ascii="宋体" w:hAnsi="宋体" w:eastAsia="宋体" w:cs="宋体"/>
                <w:color w:val="auto"/>
                <w:sz w:val="21"/>
                <w:szCs w:val="21"/>
                <w:highlight w:val="none"/>
                <w:lang w:val="en-US"/>
              </w:rPr>
              <w:t>，采购人于15个工作日内支付至合同价的90%。</w:t>
            </w:r>
          </w:p>
          <w:p>
            <w:pPr>
              <w:pStyle w:val="22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rPr>
              <w:t>.项目最终验收合格且试运行期满后，采购人于15个工作日内支付至经造价咨询单位审核后结算价的100%。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w:t>
            </w:r>
            <w:r>
              <w:rPr>
                <w:rFonts w:hint="eastAsia" w:ascii="宋体" w:hAnsi="宋体" w:eastAsia="宋体" w:cs="宋体"/>
                <w:bCs/>
                <w:color w:val="auto"/>
                <w:sz w:val="21"/>
                <w:szCs w:val="21"/>
                <w:highlight w:val="none"/>
              </w:rPr>
              <w:t>履约保证金金</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kern w:val="0"/>
                <w:sz w:val="21"/>
                <w:szCs w:val="21"/>
                <w:highlight w:val="none"/>
                <w:lang w:val="en-US" w:eastAsia="zh-CN" w:bidi="ar-SA"/>
              </w:rPr>
              <w:t>履约保证金金额：合同总价的1%。</w:t>
            </w:r>
          </w:p>
          <w:p>
            <w:pPr>
              <w:pStyle w:val="49"/>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履约保证金形式：支票、电汇、汇票、本票、保函等采购人认可的非现金形式。中标人应于合同签订前将履约保证金交至采购人指定账户。合同履行期间，中标人不得将履约保证金取回或作任何抵押。履约保证金于项目通过终验后5个工作日内无息退还（中标人未按合同要求进行履约的情形除外，如出现未按合同要求履约的情形按合同约定执行</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投标截止日起90天</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lang w:val="en-US" w:eastAsia="zh-CN" w:bidi="ar-SA"/>
              </w:rPr>
              <w:t>投标保证金</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不适用（本项目所有涉及保证金内容的条款均不适用）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15</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要求</w:t>
            </w:r>
          </w:p>
        </w:tc>
        <w:tc>
          <w:tcPr>
            <w:tcW w:w="7072" w:type="dxa"/>
            <w:noWrap w:val="0"/>
            <w:vAlign w:val="center"/>
          </w:tcPr>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本项目实行网上投标，供应商应准备以下投标文件：</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▲（1）上传到政府采购云平台的电子投标文件（含资格文件、商务和技术文件、报价文件）1份。</w:t>
            </w:r>
          </w:p>
          <w:p>
            <w:pPr>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（2）以U盘存储的电子备份投标文件（含资格文件、商务和技术文件、报价文件）1份（电子备份投标文件不作实质性要求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是否提交由投标人自行决定，用于异常情况处理）。</w:t>
            </w:r>
          </w:p>
          <w:p>
            <w:pPr>
              <w:pStyle w:val="22"/>
              <w:keepNext w:val="0"/>
              <w:keepLines w:val="0"/>
              <w:pageBreakBefore w:val="0"/>
              <w:widowControl w:val="0"/>
              <w:shd w:val="clear" w:color="auto" w:fill="auto"/>
              <w:kinsoku/>
              <w:wordWrap/>
              <w:overflowPunct/>
              <w:topLinePunct w:val="0"/>
              <w:bidi w:val="0"/>
              <w:adjustRightInd/>
              <w:snapToGrid/>
              <w:spacing w:line="360" w:lineRule="auto"/>
              <w:ind w:left="0" w:firstLine="0" w:firstLine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（3）纸质备份文件：中标人须在中标后3个工作日内提供资格文件、商务和技术文件、报价文件正副本各1份，纸质投标文件需与电子投标文件一致。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投标截止时间及地点</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17</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开标时间及地点</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18</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评标办法及评分标准</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详见</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第四章 评标办法及评分标准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19</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签订合同时间</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left="0" w:firstLine="0" w:firstLineChars="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中标服务费</w:t>
            </w:r>
          </w:p>
        </w:tc>
        <w:tc>
          <w:tcPr>
            <w:tcW w:w="7072" w:type="dxa"/>
            <w:noWrap w:val="0"/>
            <w:vAlign w:val="center"/>
          </w:tcPr>
          <w:p>
            <w:pPr>
              <w:keepNext w:val="0"/>
              <w:keepLines w:val="0"/>
              <w:pageBreakBefore w:val="0"/>
              <w:widowControl w:val="0"/>
              <w:kinsoku/>
              <w:wordWrap/>
              <w:overflowPunct/>
              <w:topLinePunct w:val="0"/>
              <w:bidi w:val="0"/>
              <w:adjustRightInd/>
              <w:snapToGrid/>
              <w:spacing w:line="360" w:lineRule="auto"/>
              <w:ind w:firstLine="0" w:firstLineChars="0"/>
              <w:jc w:val="both"/>
              <w:textAlignment w:val="auto"/>
              <w:rPr>
                <w:rFonts w:hint="eastAsia"/>
                <w:color w:val="auto"/>
                <w:highlight w:val="none"/>
                <w:lang w:val="en-US" w:eastAsia="zh-CN"/>
              </w:rPr>
            </w:pPr>
            <w:r>
              <w:rPr>
                <w:rFonts w:hint="eastAsia"/>
                <w:color w:val="auto"/>
                <w:highlight w:val="none"/>
                <w:lang w:val="en-US" w:eastAsia="zh-CN"/>
              </w:rPr>
              <w:t>招标代理服务费结合本项目在宁波市中介超市网竞报价格：贰万叁仟元整(¥23000元）向中标人收取，此费用在中标通知书发出前由中标人向招标代理机构一次性缴纳。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中小企业划分标准</w:t>
            </w:r>
          </w:p>
        </w:tc>
        <w:tc>
          <w:tcPr>
            <w:tcW w:w="707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firstLine="0" w:firstLineChars="0"/>
              <w:jc w:val="both"/>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本项目对应的中小企业划分标准所属行业：</w:t>
            </w:r>
            <w:r>
              <w:rPr>
                <w:rFonts w:hint="eastAsia" w:ascii="宋体" w:hAnsi="宋体" w:eastAsia="宋体" w:cs="宋体"/>
                <w:b/>
                <w:bCs/>
                <w:color w:val="auto"/>
                <w:kern w:val="2"/>
                <w:sz w:val="21"/>
                <w:szCs w:val="21"/>
                <w:highlight w:val="none"/>
                <w:u w:val="single"/>
                <w:lang w:val="en-US" w:eastAsia="zh-CN" w:bidi="ar-SA"/>
              </w:rPr>
              <w:t>其他未列明行业</w:t>
            </w:r>
            <w:r>
              <w:rPr>
                <w:rFonts w:hint="eastAsia" w:ascii="宋体" w:hAnsi="宋体" w:eastAsia="宋体" w:cs="宋体"/>
                <w:b w:val="0"/>
                <w:bCs w:val="0"/>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▲合同履约期限</w:t>
            </w:r>
          </w:p>
        </w:tc>
        <w:tc>
          <w:tcPr>
            <w:tcW w:w="7072" w:type="dxa"/>
            <w:noWrap w:val="0"/>
            <w:vAlign w:val="center"/>
          </w:tcPr>
          <w:p>
            <w:pPr>
              <w:pStyle w:val="22"/>
              <w:keepNext w:val="0"/>
              <w:keepLines w:val="0"/>
              <w:pageBreakBefore w:val="0"/>
              <w:widowControl w:val="0"/>
              <w:shd w:val="clear" w:color="auto" w:fill="auto"/>
              <w:kinsoku/>
              <w:wordWrap/>
              <w:overflowPunct/>
              <w:topLinePunct w:val="0"/>
              <w:bidi w:val="0"/>
              <w:adjustRightInd/>
              <w:snapToGrid/>
              <w:spacing w:after="0" w:line="240" w:lineRule="auto"/>
              <w:ind w:left="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自合同签订生效之日至双方合同义务完全履行完毕后止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8"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23</w:t>
            </w:r>
          </w:p>
        </w:tc>
        <w:tc>
          <w:tcPr>
            <w:tcW w:w="2106"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解释</w:t>
            </w:r>
          </w:p>
        </w:tc>
        <w:tc>
          <w:tcPr>
            <w:tcW w:w="7072" w:type="dxa"/>
            <w:noWrap w:val="0"/>
            <w:vAlign w:val="center"/>
          </w:tcPr>
          <w:p>
            <w:pPr>
              <w:pStyle w:val="49"/>
              <w:keepNext w:val="0"/>
              <w:keepLines w:val="0"/>
              <w:pageBreakBefore w:val="0"/>
              <w:widowControl w:val="0"/>
              <w:shd w:val="clear" w:color="auto" w:fill="auto"/>
              <w:kinsoku/>
              <w:wordWrap/>
              <w:overflowPunct/>
              <w:topLinePunct w:val="0"/>
              <w:bidi w:val="0"/>
              <w:adjustRightInd/>
              <w:snapToGrid/>
              <w:spacing w:after="0" w:line="240" w:lineRule="auto"/>
              <w:ind w:left="0" w:firstLine="0" w:firstLineChars="0"/>
              <w:jc w:val="both"/>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本招标文件的解释权属于招标采购单位</w:t>
            </w:r>
          </w:p>
        </w:tc>
      </w:tr>
    </w:tbl>
    <w:p>
      <w:pPr>
        <w:pStyle w:val="2"/>
        <w:shd w:val="clear" w:color="auto" w:fill="auto"/>
        <w:rPr>
          <w:rFonts w:hint="eastAsia" w:ascii="微软雅黑" w:hAnsi="微软雅黑" w:eastAsia="微软雅黑" w:cs="微软雅黑"/>
          <w:b/>
          <w:bCs/>
          <w:color w:val="auto"/>
          <w:kern w:val="2"/>
          <w:sz w:val="21"/>
          <w:szCs w:val="21"/>
          <w:highlight w:val="none"/>
          <w:lang w:val="en-US" w:eastAsia="zh-CN" w:bidi="ar-SA"/>
        </w:rPr>
      </w:pPr>
    </w:p>
    <w:p>
      <w:pPr>
        <w:shd w:val="clear" w:color="auto" w:fill="auto"/>
        <w:rPr>
          <w:rFonts w:hint="eastAsia" w:ascii="微软雅黑" w:hAnsi="微软雅黑" w:eastAsia="微软雅黑" w:cs="微软雅黑"/>
          <w:b/>
          <w:bCs/>
          <w:color w:val="auto"/>
          <w:kern w:val="2"/>
          <w:sz w:val="21"/>
          <w:szCs w:val="21"/>
          <w:highlight w:val="none"/>
          <w:lang w:val="en-US" w:eastAsia="zh-CN" w:bidi="ar-SA"/>
        </w:rPr>
      </w:pPr>
    </w:p>
    <w:p>
      <w:pPr>
        <w:pStyle w:val="2"/>
        <w:shd w:val="clear" w:color="auto" w:fill="auto"/>
        <w:rPr>
          <w:rFonts w:hint="eastAsia"/>
          <w:color w:val="auto"/>
          <w:sz w:val="21"/>
          <w:szCs w:val="21"/>
          <w:highlight w:val="none"/>
          <w:lang w:val="en-US" w:eastAsia="zh-CN"/>
        </w:rPr>
      </w:pPr>
    </w:p>
    <w:p>
      <w:pPr>
        <w:pStyle w:val="27"/>
        <w:shd w:val="clear" w:color="auto" w:fill="auto"/>
        <w:spacing w:before="0" w:beforeLines="0" w:after="0" w:afterLines="0" w:line="360" w:lineRule="auto"/>
        <w:ind w:firstLine="420" w:firstLineChars="200"/>
        <w:rPr>
          <w:rFonts w:hint="eastAsia" w:hAnsi="宋体"/>
          <w:b/>
          <w:color w:val="auto"/>
          <w:sz w:val="21"/>
          <w:szCs w:val="21"/>
          <w:highlight w:val="none"/>
        </w:rPr>
      </w:pPr>
      <w:r>
        <w:rPr>
          <w:rFonts w:hint="eastAsia" w:hAnsi="宋体"/>
          <w:color w:val="auto"/>
          <w:sz w:val="21"/>
          <w:szCs w:val="21"/>
          <w:highlight w:val="none"/>
        </w:rPr>
        <w:br w:type="page"/>
      </w:r>
      <w:bookmarkStart w:id="56" w:name="_Toc485712536"/>
      <w:r>
        <w:rPr>
          <w:rFonts w:hint="eastAsia" w:ascii="微软雅黑" w:hAnsi="微软雅黑" w:eastAsia="微软雅黑" w:cs="微软雅黑"/>
          <w:b/>
          <w:bCs/>
          <w:color w:val="auto"/>
          <w:kern w:val="2"/>
          <w:sz w:val="21"/>
          <w:szCs w:val="21"/>
          <w:highlight w:val="none"/>
          <w:lang w:val="en-US" w:eastAsia="zh-CN" w:bidi="ar-SA"/>
        </w:rPr>
        <w:t>一、总则</w:t>
      </w:r>
    </w:p>
    <w:p>
      <w:pPr>
        <w:shd w:val="clear" w:color="auto" w:fill="auto"/>
        <w:spacing w:line="360" w:lineRule="auto"/>
        <w:ind w:firstLine="413" w:firstLineChars="196"/>
        <w:rPr>
          <w:rFonts w:hint="eastAsia"/>
          <w:color w:val="auto"/>
          <w:sz w:val="21"/>
          <w:szCs w:val="21"/>
          <w:highlight w:val="none"/>
        </w:rPr>
      </w:pPr>
      <w:bookmarkStart w:id="57" w:name="_Toc485712529"/>
      <w:r>
        <w:rPr>
          <w:rFonts w:hint="eastAsia"/>
          <w:b/>
          <w:color w:val="auto"/>
          <w:sz w:val="21"/>
          <w:szCs w:val="21"/>
          <w:highlight w:val="none"/>
        </w:rPr>
        <w:t>（一） 适用范围</w:t>
      </w:r>
      <w:bookmarkEnd w:id="57"/>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本招标文件适用于“</w:t>
      </w:r>
      <w:r>
        <w:rPr>
          <w:rFonts w:hint="eastAsia"/>
          <w:color w:val="auto"/>
          <w:sz w:val="21"/>
          <w:szCs w:val="21"/>
          <w:highlight w:val="none"/>
          <w:u w:val="single"/>
          <w:lang w:eastAsia="zh-CN"/>
        </w:rPr>
        <w:t>宁波江北姚江未来社区数字化改造项目</w:t>
      </w:r>
      <w:r>
        <w:rPr>
          <w:rFonts w:hint="eastAsia"/>
          <w:color w:val="auto"/>
          <w:sz w:val="21"/>
          <w:szCs w:val="21"/>
          <w:highlight w:val="none"/>
        </w:rPr>
        <w:t>”的招标、投标、评标、定标、验收、合同履约、付款等行为（法律、法规另有规定的，从其规定）。</w:t>
      </w:r>
    </w:p>
    <w:p>
      <w:pPr>
        <w:shd w:val="clear" w:color="auto" w:fill="auto"/>
        <w:spacing w:line="360" w:lineRule="auto"/>
        <w:ind w:firstLine="413" w:firstLineChars="196"/>
        <w:rPr>
          <w:rFonts w:hint="eastAsia"/>
          <w:b/>
          <w:color w:val="auto"/>
          <w:sz w:val="21"/>
          <w:szCs w:val="21"/>
          <w:highlight w:val="none"/>
        </w:rPr>
      </w:pPr>
      <w:bookmarkStart w:id="58" w:name="_Toc485712530"/>
      <w:r>
        <w:rPr>
          <w:rFonts w:hint="eastAsia"/>
          <w:b/>
          <w:color w:val="auto"/>
          <w:sz w:val="21"/>
          <w:szCs w:val="21"/>
          <w:highlight w:val="none"/>
        </w:rPr>
        <w:t>（二）定义</w:t>
      </w:r>
      <w:bookmarkEnd w:id="58"/>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招标采购单位系指组织本次招标的代理机构和采购单位。</w:t>
      </w:r>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“投标人”系指向采购人提交投标文件的单位或个人。</w:t>
      </w:r>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“产品”系指供方按招标文件规定，须向采购单位提供的一切设备、保险、税金、备品备件、工具、手册及其它有关技术资料和材料。</w:t>
      </w:r>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“服务”系指招标文件规定投标人须承担的安装、调试、技术协助、校准、培训、技术指导以及其他类似的义务。</w:t>
      </w:r>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“项目”系指投标人按招标文件规定向采购单位提供的产品和服务。</w:t>
      </w:r>
    </w:p>
    <w:p>
      <w:pPr>
        <w:numPr>
          <w:ilvl w:val="0"/>
          <w:numId w:val="96"/>
        </w:num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“书面形式”包括信函、传真、电报等。</w:t>
      </w:r>
    </w:p>
    <w:p>
      <w:pPr>
        <w:numPr>
          <w:ilvl w:val="0"/>
          <w:numId w:val="96"/>
        </w:numPr>
        <w:shd w:val="clear" w:color="auto" w:fill="auto"/>
        <w:spacing w:line="360" w:lineRule="auto"/>
        <w:ind w:firstLine="420" w:firstLineChars="200"/>
        <w:rPr>
          <w:color w:val="auto"/>
          <w:sz w:val="21"/>
          <w:szCs w:val="21"/>
          <w:highlight w:val="none"/>
          <w:lang w:val="en-US"/>
        </w:rPr>
      </w:pPr>
      <w:r>
        <w:rPr>
          <w:rFonts w:hint="eastAsia"/>
          <w:color w:val="auto"/>
          <w:sz w:val="21"/>
          <w:szCs w:val="21"/>
          <w:highlight w:val="none"/>
        </w:rPr>
        <w:t>“▲”系指实质性要求条款。</w:t>
      </w:r>
      <w:bookmarkStart w:id="59" w:name="_Toc485712531"/>
    </w:p>
    <w:p>
      <w:pPr>
        <w:numPr>
          <w:ilvl w:val="0"/>
          <w:numId w:val="96"/>
        </w:numPr>
        <w:shd w:val="clear" w:color="auto" w:fill="auto"/>
        <w:spacing w:line="360" w:lineRule="auto"/>
        <w:ind w:firstLine="420" w:firstLineChars="200"/>
        <w:rPr>
          <w:color w:val="auto"/>
          <w:sz w:val="21"/>
          <w:szCs w:val="21"/>
          <w:highlight w:val="none"/>
          <w:lang w:val="en-US"/>
        </w:rPr>
      </w:pPr>
      <w:r>
        <w:rPr>
          <w:rFonts w:hint="eastAsia" w:cs="Arial"/>
          <w:color w:val="auto"/>
          <w:sz w:val="21"/>
          <w:szCs w:val="21"/>
          <w:highlight w:val="none"/>
        </w:rPr>
        <w:t>核心产品：核心产品指：“</w:t>
      </w:r>
      <w:r>
        <w:rPr>
          <w:rFonts w:hint="eastAsia" w:cs="Arial"/>
          <w:b/>
          <w:bCs/>
          <w:color w:val="auto"/>
          <w:sz w:val="21"/>
          <w:szCs w:val="21"/>
          <w:highlight w:val="none"/>
          <w:u w:val="single"/>
          <w:lang w:val="en-US"/>
        </w:rPr>
        <w:t xml:space="preserve">   /   </w:t>
      </w:r>
      <w:r>
        <w:rPr>
          <w:rFonts w:hint="eastAsia" w:cs="Arial"/>
          <w:color w:val="auto"/>
          <w:sz w:val="21"/>
          <w:szCs w:val="21"/>
          <w:highlight w:val="none"/>
        </w:rPr>
        <w:t>”，作为判断同品牌产品的依据。</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（三）采购人式</w:t>
      </w:r>
      <w:bookmarkEnd w:id="59"/>
    </w:p>
    <w:p>
      <w:pPr>
        <w:shd w:val="clear" w:color="auto" w:fill="auto"/>
        <w:spacing w:line="360" w:lineRule="auto"/>
        <w:ind w:firstLine="411" w:firstLineChars="196"/>
        <w:rPr>
          <w:rFonts w:hint="eastAsia"/>
          <w:color w:val="auto"/>
          <w:sz w:val="21"/>
          <w:szCs w:val="21"/>
          <w:highlight w:val="none"/>
        </w:rPr>
      </w:pPr>
      <w:r>
        <w:rPr>
          <w:rFonts w:hint="eastAsia"/>
          <w:color w:val="auto"/>
          <w:sz w:val="21"/>
          <w:szCs w:val="21"/>
          <w:highlight w:val="none"/>
        </w:rPr>
        <w:t>本次招标采用公开采购人式进行。</w:t>
      </w:r>
    </w:p>
    <w:p>
      <w:pPr>
        <w:shd w:val="clear" w:color="auto" w:fill="auto"/>
        <w:spacing w:line="360" w:lineRule="auto"/>
        <w:ind w:firstLine="413" w:firstLineChars="196"/>
        <w:rPr>
          <w:rFonts w:hint="eastAsia"/>
          <w:b/>
          <w:color w:val="auto"/>
          <w:sz w:val="21"/>
          <w:szCs w:val="21"/>
          <w:highlight w:val="none"/>
        </w:rPr>
      </w:pPr>
      <w:bookmarkStart w:id="60" w:name="_Toc485712532"/>
      <w:r>
        <w:rPr>
          <w:rFonts w:hint="eastAsia"/>
          <w:b/>
          <w:color w:val="auto"/>
          <w:sz w:val="21"/>
          <w:szCs w:val="21"/>
          <w:highlight w:val="none"/>
        </w:rPr>
        <w:t>（四）投标委托</w:t>
      </w:r>
      <w:bookmarkEnd w:id="60"/>
    </w:p>
    <w:p>
      <w:pPr>
        <w:numPr>
          <w:ilvl w:val="0"/>
          <w:numId w:val="97"/>
        </w:numPr>
        <w:shd w:val="clear" w:color="auto" w:fill="auto"/>
        <w:spacing w:line="360" w:lineRule="auto"/>
        <w:rPr>
          <w:rFonts w:hint="eastAsia"/>
          <w:color w:val="auto"/>
          <w:sz w:val="21"/>
          <w:szCs w:val="21"/>
          <w:highlight w:val="none"/>
        </w:rPr>
      </w:pPr>
      <w:bookmarkStart w:id="61" w:name="_Toc485712533"/>
      <w:r>
        <w:rPr>
          <w:rFonts w:hint="eastAsia"/>
          <w:color w:val="auto"/>
          <w:sz w:val="21"/>
          <w:szCs w:val="21"/>
          <w:highlight w:val="none"/>
        </w:rPr>
        <w:t>投标文件的签署人应当为投标人的法定代表人或其授权的代表。投标文件的签署人为投标人的法定代表人时，投标文件中必须提供法定代表人身份证复印件；投标文件的签署人非投标人的法定代表人时，投标文件中必须提供投标人的法定代表人出具的授权委托书及法定代表人授权代表的身份证复印件。</w:t>
      </w:r>
    </w:p>
    <w:p>
      <w:pPr>
        <w:numPr>
          <w:ilvl w:val="0"/>
          <w:numId w:val="97"/>
        </w:numPr>
        <w:shd w:val="clear" w:color="auto" w:fill="auto"/>
        <w:spacing w:line="360" w:lineRule="auto"/>
        <w:rPr>
          <w:rFonts w:hint="eastAsia"/>
          <w:color w:val="auto"/>
          <w:sz w:val="21"/>
          <w:szCs w:val="21"/>
          <w:highlight w:val="none"/>
        </w:rPr>
      </w:pPr>
      <w:r>
        <w:rPr>
          <w:rFonts w:hint="eastAsia"/>
          <w:color w:val="auto"/>
          <w:sz w:val="21"/>
          <w:szCs w:val="21"/>
          <w:highlight w:val="none"/>
        </w:rPr>
        <w:t>根据政府采购相关法律、法规、规章、文件规定并满足招标文件规定资格条件的区域性分支机构、个体工商户、个人独资企业、合伙企业参加本项目投标并由单位负责人签署的相关投标资料与招标文件规定由法定代表人签署的文件材料具有同等效力。</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（五）投标费用</w:t>
      </w:r>
      <w:bookmarkEnd w:id="61"/>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不论投标结果如何，投标人均应自行承担所有与投标有关的全部费用（招标文件有相反规定除外）。</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（六）联合体投标</w:t>
      </w:r>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本项目不接受联合体投标。</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（七）转包与分包</w:t>
      </w:r>
    </w:p>
    <w:p>
      <w:pPr>
        <w:numPr>
          <w:ilvl w:val="0"/>
          <w:numId w:val="98"/>
        </w:numPr>
        <w:shd w:val="clear" w:color="auto" w:fill="auto"/>
        <w:spacing w:line="360" w:lineRule="auto"/>
        <w:rPr>
          <w:rFonts w:hint="eastAsia"/>
          <w:color w:val="auto"/>
          <w:sz w:val="21"/>
          <w:szCs w:val="21"/>
          <w:highlight w:val="none"/>
        </w:rPr>
      </w:pPr>
      <w:r>
        <w:rPr>
          <w:rFonts w:hint="eastAsia"/>
          <w:color w:val="auto"/>
          <w:sz w:val="21"/>
          <w:szCs w:val="21"/>
          <w:highlight w:val="none"/>
        </w:rPr>
        <w:t>本项目不允许转包。</w:t>
      </w:r>
    </w:p>
    <w:p>
      <w:pPr>
        <w:numPr>
          <w:ilvl w:val="0"/>
          <w:numId w:val="98"/>
        </w:numPr>
        <w:shd w:val="clear" w:color="auto" w:fill="auto"/>
        <w:spacing w:line="360" w:lineRule="auto"/>
        <w:rPr>
          <w:rFonts w:hint="eastAsia"/>
          <w:color w:val="auto"/>
          <w:sz w:val="21"/>
          <w:szCs w:val="21"/>
          <w:highlight w:val="none"/>
        </w:rPr>
      </w:pPr>
      <w:r>
        <w:rPr>
          <w:rFonts w:hint="eastAsia"/>
          <w:color w:val="auto"/>
          <w:sz w:val="21"/>
          <w:szCs w:val="21"/>
          <w:highlight w:val="none"/>
        </w:rPr>
        <w:t>本项目不可以分包。</w:t>
      </w:r>
    </w:p>
    <w:p>
      <w:pPr>
        <w:shd w:val="clear" w:color="auto" w:fill="auto"/>
        <w:spacing w:line="360" w:lineRule="auto"/>
        <w:ind w:firstLine="413" w:firstLineChars="196"/>
        <w:rPr>
          <w:rFonts w:hint="eastAsia"/>
          <w:b/>
          <w:color w:val="auto"/>
          <w:sz w:val="21"/>
          <w:szCs w:val="21"/>
          <w:highlight w:val="none"/>
        </w:rPr>
      </w:pPr>
      <w:bookmarkStart w:id="62" w:name="_Toc485712534"/>
      <w:r>
        <w:rPr>
          <w:rFonts w:hint="eastAsia"/>
          <w:b/>
          <w:color w:val="auto"/>
          <w:sz w:val="21"/>
          <w:szCs w:val="21"/>
          <w:highlight w:val="none"/>
        </w:rPr>
        <w:t>（八）特别说明</w:t>
      </w:r>
      <w:bookmarkEnd w:id="62"/>
      <w:r>
        <w:rPr>
          <w:rFonts w:hint="eastAsia"/>
          <w:b/>
          <w:color w:val="auto"/>
          <w:sz w:val="21"/>
          <w:szCs w:val="21"/>
          <w:highlight w:val="none"/>
        </w:rPr>
        <w:t>：</w:t>
      </w:r>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rPr>
        <w:t xml:space="preserve">. </w:t>
      </w:r>
      <w:r>
        <w:rPr>
          <w:rFonts w:hint="eastAsia"/>
          <w:color w:val="auto"/>
          <w:sz w:val="21"/>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idowControl/>
        <w:shd w:val="clear" w:color="auto" w:fill="auto"/>
        <w:autoSpaceDE/>
        <w:autoSpaceDN/>
        <w:spacing w:line="360" w:lineRule="auto"/>
        <w:ind w:firstLine="420" w:firstLineChars="200"/>
        <w:jc w:val="both"/>
        <w:rPr>
          <w:rFonts w:hint="eastAsia"/>
          <w:color w:val="auto"/>
          <w:sz w:val="21"/>
          <w:szCs w:val="21"/>
          <w:highlight w:val="none"/>
        </w:rPr>
      </w:pPr>
      <w:r>
        <w:rPr>
          <w:rFonts w:hint="eastAsia"/>
          <w:color w:val="auto"/>
          <w:sz w:val="21"/>
          <w:szCs w:val="21"/>
          <w:highlight w:val="none"/>
        </w:rPr>
        <w:t>非单一产品采购项目，多家投标人提供的核心产品品牌相同的，按前款处理。</w:t>
      </w:r>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 xml:space="preserve">2. </w:t>
      </w:r>
      <w:r>
        <w:rPr>
          <w:rFonts w:hint="eastAsia"/>
          <w:color w:val="auto"/>
          <w:sz w:val="21"/>
          <w:szCs w:val="21"/>
          <w:highlight w:val="none"/>
        </w:rPr>
        <w:t>投标人应仔细阅读招标文件的所有内容，按照招标文件的要求提交投标文件，并对所提供的全部资料的真实性承担法律责任。</w:t>
      </w:r>
    </w:p>
    <w:p>
      <w:pPr>
        <w:pStyle w:val="27"/>
        <w:shd w:val="clear" w:color="auto" w:fill="auto"/>
        <w:spacing w:before="0" w:beforeLines="0" w:after="0" w:afterLines="0" w:line="360" w:lineRule="auto"/>
        <w:ind w:left="2" w:leftChars="1" w:firstLine="420" w:firstLineChars="200"/>
        <w:rPr>
          <w:rFonts w:hint="eastAsia" w:hAnsi="宋体"/>
          <w:b/>
          <w:color w:val="auto"/>
          <w:sz w:val="21"/>
          <w:szCs w:val="21"/>
          <w:highlight w:val="none"/>
        </w:rPr>
      </w:pPr>
      <w:r>
        <w:rPr>
          <w:rFonts w:hint="eastAsia" w:hAnsi="宋体"/>
          <w:color w:val="auto"/>
          <w:sz w:val="21"/>
          <w:szCs w:val="21"/>
          <w:highlight w:val="none"/>
        </w:rPr>
        <w:t>▲</w:t>
      </w:r>
      <w:r>
        <w:rPr>
          <w:rFonts w:hint="eastAsia" w:hAnsi="宋体"/>
          <w:color w:val="auto"/>
          <w:sz w:val="21"/>
          <w:szCs w:val="21"/>
          <w:highlight w:val="none"/>
          <w:lang w:val="en-US"/>
        </w:rPr>
        <w:t xml:space="preserve">3. </w:t>
      </w:r>
      <w:r>
        <w:rPr>
          <w:rFonts w:hint="eastAsia" w:hAnsi="宋体"/>
          <w:color w:val="auto"/>
          <w:sz w:val="21"/>
          <w:szCs w:val="21"/>
          <w:highlight w:val="none"/>
        </w:rPr>
        <w:t>投标人在投标活动中提供任何虚假材料,其投标无效，并报监管部门查处。</w:t>
      </w:r>
    </w:p>
    <w:p>
      <w:pPr>
        <w:shd w:val="clear" w:color="auto" w:fill="auto"/>
        <w:spacing w:line="360" w:lineRule="auto"/>
        <w:ind w:firstLine="413" w:firstLineChars="196"/>
        <w:rPr>
          <w:rFonts w:hint="eastAsia"/>
          <w:b/>
          <w:color w:val="auto"/>
          <w:sz w:val="21"/>
          <w:szCs w:val="21"/>
          <w:highlight w:val="none"/>
        </w:rPr>
      </w:pPr>
      <w:bookmarkStart w:id="63" w:name="_Toc485712535"/>
      <w:r>
        <w:rPr>
          <w:rFonts w:hint="eastAsia"/>
          <w:b/>
          <w:color w:val="auto"/>
          <w:sz w:val="21"/>
          <w:szCs w:val="21"/>
          <w:highlight w:val="none"/>
        </w:rPr>
        <w:t>（九）质疑和投诉</w:t>
      </w:r>
      <w:bookmarkEnd w:id="63"/>
    </w:p>
    <w:p>
      <w:pPr>
        <w:pStyle w:val="27"/>
        <w:numPr>
          <w:ilvl w:val="0"/>
          <w:numId w:val="99"/>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投标人认为招标过程或中标结果使自己的合法权益受到损害的，应当在知道或者应知其权益受到损害之日起七个工作日内，以书面形式向采购单位、采购代理机构提出质疑。投标人对招标采购单位的质疑答复不满意或者招标采购单位未在规定时间内作出答复的，可以在答复期满后十五个工作日内向同级采购监管部门投诉。</w:t>
      </w:r>
    </w:p>
    <w:p>
      <w:pPr>
        <w:pStyle w:val="27"/>
        <w:numPr>
          <w:ilvl w:val="0"/>
          <w:numId w:val="99"/>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27"/>
        <w:numPr>
          <w:ilvl w:val="0"/>
          <w:numId w:val="99"/>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提出质疑的供应商应当是参与所质疑项目采购活动的供应商。</w:t>
      </w:r>
    </w:p>
    <w:p>
      <w:pPr>
        <w:pStyle w:val="27"/>
        <w:numPr>
          <w:ilvl w:val="0"/>
          <w:numId w:val="99"/>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根据中国人民共和国财政部令第94号——政府采购质疑和投诉办法第二章第十条规定，投标人在法定质疑期内针对同一采购程序环节的质疑只能一次性提出。</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（十）关于知识产权</w:t>
      </w:r>
    </w:p>
    <w:p>
      <w:pPr>
        <w:numPr>
          <w:ilvl w:val="0"/>
          <w:numId w:val="100"/>
        </w:numPr>
        <w:shd w:val="clear" w:color="auto" w:fill="auto"/>
        <w:snapToGrid w:val="0"/>
        <w:spacing w:line="360" w:lineRule="auto"/>
        <w:rPr>
          <w:rFonts w:hint="eastAsia"/>
          <w:bCs/>
          <w:color w:val="auto"/>
          <w:sz w:val="21"/>
          <w:szCs w:val="21"/>
          <w:highlight w:val="none"/>
        </w:rPr>
      </w:pPr>
      <w:r>
        <w:rPr>
          <w:rFonts w:hint="eastAsia"/>
          <w:bCs/>
          <w:color w:val="auto"/>
          <w:sz w:val="21"/>
          <w:szCs w:val="21"/>
          <w:highlight w:val="none"/>
        </w:rPr>
        <w:t>投标人必须保证，采购人在中华人民共和国境内使用投标、资料、技术、服务或其任何一部分时，享有不受限制的无偿使用权，如有第三方向采购人提出侵犯其专利权、商标权或其它知识产权的主张，该责任应由投标人承担。</w:t>
      </w:r>
    </w:p>
    <w:p>
      <w:pPr>
        <w:numPr>
          <w:ilvl w:val="0"/>
          <w:numId w:val="100"/>
        </w:numPr>
        <w:shd w:val="clear" w:color="auto" w:fill="auto"/>
        <w:snapToGrid w:val="0"/>
        <w:spacing w:line="360" w:lineRule="auto"/>
        <w:rPr>
          <w:rFonts w:hint="eastAsia"/>
          <w:bCs/>
          <w:color w:val="auto"/>
          <w:sz w:val="21"/>
          <w:szCs w:val="21"/>
          <w:highlight w:val="none"/>
        </w:rPr>
      </w:pPr>
      <w:r>
        <w:rPr>
          <w:rFonts w:hint="eastAsia"/>
          <w:bCs/>
          <w:color w:val="auto"/>
          <w:sz w:val="21"/>
          <w:szCs w:val="21"/>
          <w:highlight w:val="none"/>
        </w:rPr>
        <w:t>投标报价应包含所有应向所有权人支付的专利权、商标权或其它知识产权的一切相关费用。</w:t>
      </w:r>
    </w:p>
    <w:p>
      <w:pPr>
        <w:numPr>
          <w:ilvl w:val="0"/>
          <w:numId w:val="100"/>
        </w:numPr>
        <w:shd w:val="clear" w:color="auto" w:fill="auto"/>
        <w:snapToGrid w:val="0"/>
        <w:spacing w:line="360" w:lineRule="auto"/>
        <w:rPr>
          <w:rFonts w:hint="eastAsia"/>
          <w:bCs/>
          <w:color w:val="auto"/>
          <w:sz w:val="21"/>
          <w:szCs w:val="21"/>
          <w:highlight w:val="none"/>
        </w:rPr>
      </w:pPr>
      <w:r>
        <w:rPr>
          <w:rFonts w:hint="eastAsia"/>
          <w:bCs/>
          <w:color w:val="auto"/>
          <w:sz w:val="21"/>
          <w:szCs w:val="21"/>
          <w:highlight w:val="none"/>
        </w:rPr>
        <w:t>系统软件、通用软件必须是具有在中国境内的合法使用权或版权的正版软件，涉及到第三方提出侵权或知识产权的起诉及支付版税等费用由投标人承担所有责任及费用。</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二  招标文件</w:t>
      </w:r>
      <w:bookmarkEnd w:id="56"/>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（一）招标文件的构成。本招标文件由以下部</w:t>
      </w:r>
      <w:r>
        <w:rPr>
          <w:rFonts w:hint="eastAsia"/>
          <w:b/>
          <w:color w:val="auto"/>
          <w:sz w:val="21"/>
          <w:szCs w:val="21"/>
          <w:highlight w:val="none"/>
          <w:lang w:val="en-US"/>
        </w:rPr>
        <w:t>分</w:t>
      </w:r>
      <w:r>
        <w:rPr>
          <w:rFonts w:hint="eastAsia"/>
          <w:b/>
          <w:color w:val="auto"/>
          <w:sz w:val="21"/>
          <w:szCs w:val="21"/>
          <w:highlight w:val="none"/>
        </w:rPr>
        <w:t>组成：</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招标公告</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招标需求</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投标人须知</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评标办法及标准</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合同主要条款</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投标文件格式</w:t>
      </w:r>
    </w:p>
    <w:p>
      <w:pPr>
        <w:numPr>
          <w:ilvl w:val="0"/>
          <w:numId w:val="101"/>
        </w:numPr>
        <w:shd w:val="clear" w:color="auto" w:fill="auto"/>
        <w:spacing w:line="360" w:lineRule="auto"/>
        <w:rPr>
          <w:rFonts w:hint="eastAsia"/>
          <w:color w:val="auto"/>
          <w:sz w:val="21"/>
          <w:szCs w:val="21"/>
          <w:highlight w:val="none"/>
        </w:rPr>
      </w:pPr>
      <w:r>
        <w:rPr>
          <w:rFonts w:hint="eastAsia"/>
          <w:color w:val="auto"/>
          <w:sz w:val="21"/>
          <w:szCs w:val="21"/>
          <w:highlight w:val="none"/>
        </w:rPr>
        <w:t>本项目招标文件的澄清、答复、修改、补充的内容</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（二）投标人的风险</w:t>
      </w:r>
    </w:p>
    <w:p>
      <w:pPr>
        <w:pStyle w:val="40"/>
        <w:shd w:val="clear" w:color="auto" w:fill="auto"/>
        <w:snapToGrid/>
        <w:spacing w:line="360" w:lineRule="auto"/>
        <w:ind w:firstLine="420"/>
        <w:rPr>
          <w:rFonts w:hint="eastAsia" w:ascii="宋体" w:eastAsia="宋体"/>
          <w:color w:val="auto"/>
          <w:sz w:val="21"/>
          <w:szCs w:val="21"/>
          <w:highlight w:val="none"/>
        </w:rPr>
      </w:pPr>
      <w:r>
        <w:rPr>
          <w:rFonts w:hint="eastAsia" w:ascii="宋体" w:eastAsia="宋体"/>
          <w:color w:val="auto"/>
          <w:sz w:val="21"/>
          <w:szCs w:val="21"/>
          <w:highlight w:val="none"/>
        </w:rPr>
        <w:t>投标人没有按照招标文件要求提供全部资料，或者投标人没有对招标文件在各方面作出实质性响应是投标人的风险，并可能导致其投标被拒绝。</w:t>
      </w:r>
    </w:p>
    <w:p>
      <w:pPr>
        <w:pStyle w:val="16"/>
        <w:numPr>
          <w:ilvl w:val="0"/>
          <w:numId w:val="0"/>
        </w:numPr>
        <w:shd w:val="clear" w:color="auto" w:fill="auto"/>
        <w:tabs>
          <w:tab w:val="left" w:pos="454"/>
          <w:tab w:val="left" w:pos="720"/>
        </w:tabs>
        <w:spacing w:line="360" w:lineRule="auto"/>
        <w:ind w:firstLine="413" w:firstLineChars="196"/>
        <w:rPr>
          <w:rFonts w:hint="eastAsia"/>
          <w:b/>
          <w:color w:val="auto"/>
          <w:sz w:val="21"/>
          <w:szCs w:val="21"/>
          <w:highlight w:val="none"/>
        </w:rPr>
      </w:pPr>
      <w:r>
        <w:rPr>
          <w:rFonts w:hint="eastAsia"/>
          <w:b/>
          <w:color w:val="auto"/>
          <w:sz w:val="21"/>
          <w:szCs w:val="21"/>
          <w:highlight w:val="none"/>
        </w:rPr>
        <w:t xml:space="preserve">（三）招标文件的澄清与修改 </w:t>
      </w:r>
    </w:p>
    <w:p>
      <w:pPr>
        <w:pStyle w:val="27"/>
        <w:numPr>
          <w:ilvl w:val="0"/>
          <w:numId w:val="102"/>
        </w:numPr>
        <w:shd w:val="clear" w:color="auto" w:fill="auto"/>
        <w:spacing w:before="0" w:beforeLines="0" w:after="0" w:afterLines="0" w:line="360" w:lineRule="auto"/>
        <w:rPr>
          <w:rFonts w:hint="eastAsia" w:hAnsi="宋体"/>
          <w:color w:val="auto"/>
          <w:sz w:val="21"/>
          <w:szCs w:val="21"/>
          <w:highlight w:val="none"/>
        </w:rPr>
      </w:pPr>
      <w:bookmarkStart w:id="64" w:name="_Toc485712539"/>
      <w:r>
        <w:rPr>
          <w:rFonts w:hint="eastAsia" w:hAnsi="宋体"/>
          <w:color w:val="auto"/>
          <w:sz w:val="21"/>
          <w:szCs w:val="21"/>
          <w:highlight w:val="none"/>
        </w:rPr>
        <w:t>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pStyle w:val="27"/>
        <w:numPr>
          <w:ilvl w:val="0"/>
          <w:numId w:val="102"/>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27"/>
        <w:numPr>
          <w:ilvl w:val="0"/>
          <w:numId w:val="102"/>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招标文件澄清、答复、修改、补充的内容为招标文件的组成部分。当招标文件与招标文件的答复、澄清、修改、补充通知就同一内容的表述不一致时，以最后发出的书面文件为准</w:t>
      </w:r>
    </w:p>
    <w:p>
      <w:pPr>
        <w:pStyle w:val="27"/>
        <w:numPr>
          <w:ilvl w:val="0"/>
          <w:numId w:val="102"/>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澄清或者修改的内容可能影响资格预审申请文件编制的，采购人或者采购代理机构应当在提交资格预审申请文件截止时间至少3日前，以书面形式通知所有获取资格预审文件的潜在投标人；不足3日的，采购人或者采购代理机构应当顺延提交资格预审申请文件的截止时间。</w:t>
      </w:r>
    </w:p>
    <w:p>
      <w:pPr>
        <w:pStyle w:val="27"/>
        <w:shd w:val="clear" w:color="auto" w:fill="auto"/>
        <w:spacing w:before="0" w:beforeLines="0" w:after="0" w:afterLines="0" w:line="360" w:lineRule="auto"/>
        <w:ind w:firstLine="413" w:firstLineChars="196"/>
        <w:rPr>
          <w:rFonts w:hint="eastAsia" w:hAnsi="宋体"/>
          <w:b/>
          <w:color w:val="auto"/>
          <w:sz w:val="21"/>
          <w:szCs w:val="21"/>
          <w:highlight w:val="none"/>
        </w:rPr>
      </w:pPr>
      <w:r>
        <w:rPr>
          <w:rFonts w:hint="eastAsia" w:hAnsi="宋体"/>
          <w:b/>
          <w:color w:val="auto"/>
          <w:sz w:val="21"/>
          <w:szCs w:val="21"/>
          <w:highlight w:val="none"/>
        </w:rPr>
        <w:t>（四）对招标文件的异议</w:t>
      </w:r>
    </w:p>
    <w:p>
      <w:pPr>
        <w:pStyle w:val="27"/>
        <w:shd w:val="clear" w:color="auto" w:fill="auto"/>
        <w:snapToGrid w:val="0"/>
        <w:spacing w:before="0" w:beforeLines="0" w:after="0" w:afterLines="0" w:line="360" w:lineRule="auto"/>
        <w:ind w:firstLine="411" w:firstLineChars="196"/>
        <w:rPr>
          <w:rFonts w:hint="eastAsia" w:hAnsi="宋体"/>
          <w:color w:val="auto"/>
          <w:sz w:val="21"/>
          <w:szCs w:val="21"/>
          <w:highlight w:val="none"/>
        </w:rPr>
      </w:pPr>
      <w:r>
        <w:rPr>
          <w:rFonts w:hint="eastAsia" w:hAnsi="宋体"/>
          <w:color w:val="auto"/>
          <w:sz w:val="21"/>
          <w:szCs w:val="21"/>
          <w:highlight w:val="none"/>
        </w:rPr>
        <w:t>投标人认为招标过程或中标结果使自己的合法权益受到损害的，应当在知道或者应知其权益受到损害之日起七个工作日内，以书面形式向采购单位、采购代理机构提出质疑。</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三、投标文件的编制</w:t>
      </w:r>
    </w:p>
    <w:p>
      <w:pPr>
        <w:pStyle w:val="27"/>
        <w:shd w:val="clear" w:color="auto" w:fill="auto"/>
        <w:spacing w:before="0" w:beforeLines="0" w:after="0" w:afterLines="0" w:line="360" w:lineRule="auto"/>
        <w:ind w:firstLine="411" w:firstLineChars="196"/>
        <w:rPr>
          <w:rFonts w:hint="eastAsia" w:hAnsi="宋体"/>
          <w:bCs/>
          <w:color w:val="auto"/>
          <w:sz w:val="21"/>
          <w:szCs w:val="21"/>
          <w:highlight w:val="none"/>
        </w:rPr>
      </w:pPr>
      <w:r>
        <w:rPr>
          <w:rFonts w:hint="eastAsia" w:hAnsi="宋体"/>
          <w:bCs/>
          <w:color w:val="auto"/>
          <w:sz w:val="21"/>
          <w:szCs w:val="21"/>
          <w:highlight w:val="none"/>
        </w:rPr>
        <w:t>重要提示：投标文件的形式和效力</w:t>
      </w:r>
    </w:p>
    <w:p>
      <w:pPr>
        <w:pStyle w:val="27"/>
        <w:numPr>
          <w:ilvl w:val="0"/>
          <w:numId w:val="103"/>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投标文件分为电子投标文件以及备份投标文件，备份文件为以</w:t>
      </w:r>
      <w:r>
        <w:rPr>
          <w:rFonts w:hint="eastAsia" w:hAnsi="宋体"/>
          <w:bCs/>
          <w:color w:val="auto"/>
          <w:sz w:val="21"/>
          <w:szCs w:val="21"/>
          <w:highlight w:val="none"/>
          <w:lang w:val="en-US"/>
        </w:rPr>
        <w:t>U盘或光盘</w:t>
      </w:r>
      <w:r>
        <w:rPr>
          <w:rFonts w:hint="eastAsia" w:hAnsi="宋体"/>
          <w:bCs/>
          <w:color w:val="auto"/>
          <w:sz w:val="21"/>
          <w:szCs w:val="21"/>
          <w:highlight w:val="none"/>
        </w:rPr>
        <w:t>存储的数据电文形式的备份投标文件</w:t>
      </w:r>
    </w:p>
    <w:p>
      <w:pPr>
        <w:pStyle w:val="27"/>
        <w:numPr>
          <w:ilvl w:val="0"/>
          <w:numId w:val="103"/>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电子投标文件，按“政采云供应商项目采购-电子招投标操作指南”及本采购文件要求制作、加密并递交。</w:t>
      </w:r>
    </w:p>
    <w:p>
      <w:pPr>
        <w:pStyle w:val="27"/>
        <w:numPr>
          <w:ilvl w:val="0"/>
          <w:numId w:val="103"/>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以U盘或光盘存储的数据电文形式的备份投标文件，即电子投标文件按“政采云供应商项目采购-电子招投标操作指南”制作的备份文件。</w:t>
      </w:r>
    </w:p>
    <w:p>
      <w:pPr>
        <w:pStyle w:val="27"/>
        <w:numPr>
          <w:ilvl w:val="0"/>
          <w:numId w:val="103"/>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投标文件的效力</w:t>
      </w:r>
    </w:p>
    <w:p>
      <w:pPr>
        <w:pStyle w:val="27"/>
        <w:shd w:val="clear" w:color="auto" w:fill="auto"/>
        <w:spacing w:before="0" w:beforeLines="0" w:after="0" w:afterLines="0" w:line="360" w:lineRule="auto"/>
        <w:ind w:firstLine="411" w:firstLineChars="196"/>
        <w:rPr>
          <w:rFonts w:hint="eastAsia" w:hAnsi="宋体"/>
          <w:bCs/>
          <w:color w:val="auto"/>
          <w:sz w:val="21"/>
          <w:szCs w:val="21"/>
          <w:highlight w:val="none"/>
        </w:rPr>
      </w:pPr>
      <w:r>
        <w:rPr>
          <w:rFonts w:hint="eastAsia" w:hAnsi="宋体"/>
          <w:bCs/>
          <w:color w:val="auto"/>
          <w:sz w:val="21"/>
          <w:szCs w:val="21"/>
          <w:highlight w:val="none"/>
        </w:rPr>
        <w:t>投标文件的启用，按先后顺位分别为电子投标文件、以</w:t>
      </w:r>
      <w:r>
        <w:rPr>
          <w:rFonts w:hint="eastAsia" w:hAnsi="宋体"/>
          <w:bCs/>
          <w:color w:val="auto"/>
          <w:sz w:val="21"/>
          <w:szCs w:val="21"/>
          <w:highlight w:val="none"/>
          <w:lang w:val="en-US"/>
        </w:rPr>
        <w:t>U盘或光盘</w:t>
      </w:r>
      <w:r>
        <w:rPr>
          <w:rFonts w:hint="eastAsia" w:hAnsi="宋体"/>
          <w:bCs/>
          <w:color w:val="auto"/>
          <w:sz w:val="21"/>
          <w:szCs w:val="21"/>
          <w:highlight w:val="none"/>
        </w:rPr>
        <w:t>存储的数据电文形式的备份投标文件。在下一顺位的投标文件启用时，前一顺位的投标文件自动失效。</w:t>
      </w:r>
    </w:p>
    <w:p>
      <w:pPr>
        <w:pStyle w:val="27"/>
        <w:shd w:val="clear" w:color="auto" w:fill="auto"/>
        <w:spacing w:before="0" w:beforeLines="0" w:after="0" w:afterLines="0" w:line="360" w:lineRule="auto"/>
        <w:ind w:firstLine="411" w:firstLineChars="196"/>
        <w:rPr>
          <w:rFonts w:hint="eastAsia" w:hAnsi="宋体"/>
          <w:b/>
          <w:color w:val="auto"/>
          <w:sz w:val="21"/>
          <w:szCs w:val="21"/>
          <w:highlight w:val="none"/>
        </w:rPr>
      </w:pPr>
      <w:r>
        <w:rPr>
          <w:rFonts w:hint="eastAsia" w:hAnsi="宋体"/>
          <w:bCs/>
          <w:color w:val="auto"/>
          <w:sz w:val="21"/>
          <w:szCs w:val="21"/>
          <w:highlight w:val="none"/>
        </w:rPr>
        <w:t>投标、响应文件未按时解密，供应商提供了备份投标、响应文件的，以备份投标、响应文件作为依据，否则视为投标、响应文件撤回。投标、响应文件已按时解密的，备份投标、响应文件自动失效。</w:t>
      </w:r>
    </w:p>
    <w:p>
      <w:pPr>
        <w:shd w:val="clear" w:color="auto" w:fill="auto"/>
        <w:tabs>
          <w:tab w:val="left" w:pos="440"/>
        </w:tabs>
        <w:snapToGrid w:val="0"/>
        <w:spacing w:line="360" w:lineRule="auto"/>
        <w:ind w:firstLine="413" w:firstLineChars="196"/>
        <w:rPr>
          <w:rFonts w:hint="eastAsia"/>
          <w:b/>
          <w:color w:val="auto"/>
          <w:sz w:val="21"/>
          <w:szCs w:val="21"/>
          <w:highlight w:val="none"/>
        </w:rPr>
      </w:pPr>
      <w:r>
        <w:rPr>
          <w:rFonts w:hint="eastAsia"/>
          <w:b/>
          <w:color w:val="auto"/>
          <w:sz w:val="21"/>
          <w:szCs w:val="21"/>
          <w:highlight w:val="none"/>
        </w:rPr>
        <w:t>（一）投标文件的组成</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投标文件由资格审查文件、技术商务文件、报价文件组成。</w:t>
      </w:r>
    </w:p>
    <w:p>
      <w:pPr>
        <w:numPr>
          <w:ilvl w:val="0"/>
          <w:numId w:val="104"/>
        </w:numPr>
        <w:shd w:val="clear" w:color="auto" w:fill="auto"/>
        <w:tabs>
          <w:tab w:val="left" w:pos="440"/>
        </w:tabs>
        <w:snapToGrid w:val="0"/>
        <w:spacing w:line="360" w:lineRule="auto"/>
        <w:rPr>
          <w:rFonts w:hint="eastAsia"/>
          <w:b/>
          <w:bCs/>
          <w:color w:val="auto"/>
          <w:sz w:val="21"/>
          <w:szCs w:val="21"/>
          <w:highlight w:val="none"/>
        </w:rPr>
      </w:pPr>
      <w:r>
        <w:rPr>
          <w:rFonts w:hint="eastAsia"/>
          <w:b/>
          <w:bCs/>
          <w:color w:val="auto"/>
          <w:sz w:val="21"/>
          <w:szCs w:val="21"/>
          <w:highlight w:val="none"/>
        </w:rPr>
        <w:t>资格审查文件包括以下内容：</w:t>
      </w:r>
    </w:p>
    <w:p>
      <w:pPr>
        <w:shd w:val="clear" w:color="auto" w:fill="auto"/>
        <w:tabs>
          <w:tab w:val="left" w:pos="440"/>
        </w:tabs>
        <w:snapToGrid w:val="0"/>
        <w:spacing w:line="360" w:lineRule="auto"/>
        <w:ind w:firstLine="420" w:firstLineChars="200"/>
        <w:rPr>
          <w:rFonts w:hint="eastAsia"/>
          <w:bCs/>
          <w:color w:val="auto"/>
          <w:sz w:val="21"/>
          <w:szCs w:val="21"/>
          <w:highlight w:val="none"/>
        </w:rPr>
      </w:pPr>
      <w:r>
        <w:rPr>
          <w:rFonts w:hint="eastAsia"/>
          <w:bCs/>
          <w:color w:val="auto"/>
          <w:sz w:val="21"/>
          <w:szCs w:val="21"/>
          <w:highlight w:val="none"/>
        </w:rPr>
        <w:t>（1）资质证明材料：</w:t>
      </w:r>
    </w:p>
    <w:p>
      <w:pPr>
        <w:numPr>
          <w:ilvl w:val="0"/>
          <w:numId w:val="105"/>
        </w:numPr>
        <w:shd w:val="clear" w:color="auto" w:fill="auto"/>
        <w:tabs>
          <w:tab w:val="clear" w:pos="1140"/>
        </w:tabs>
        <w:snapToGrid w:val="0"/>
        <w:spacing w:line="360" w:lineRule="auto"/>
        <w:ind w:left="0" w:firstLine="420" w:firstLineChars="200"/>
        <w:rPr>
          <w:rFonts w:hint="eastAsia"/>
          <w:color w:val="auto"/>
          <w:sz w:val="21"/>
          <w:szCs w:val="21"/>
          <w:highlight w:val="none"/>
        </w:rPr>
      </w:pPr>
      <w:r>
        <w:rPr>
          <w:rFonts w:hint="eastAsia"/>
          <w:color w:val="auto"/>
          <w:sz w:val="21"/>
          <w:szCs w:val="21"/>
          <w:highlight w:val="none"/>
          <w:lang w:val="en-US"/>
        </w:rPr>
        <w:t>有效的</w:t>
      </w:r>
      <w:r>
        <w:rPr>
          <w:rFonts w:hint="eastAsia"/>
          <w:color w:val="auto"/>
          <w:sz w:val="21"/>
          <w:szCs w:val="21"/>
          <w:highlight w:val="none"/>
        </w:rPr>
        <w:t>营业执照副本复印件（加盖公章）；</w:t>
      </w:r>
    </w:p>
    <w:p>
      <w:pPr>
        <w:numPr>
          <w:ilvl w:val="0"/>
          <w:numId w:val="105"/>
        </w:numPr>
        <w:shd w:val="clear" w:color="auto" w:fill="auto"/>
        <w:tabs>
          <w:tab w:val="clear" w:pos="1140"/>
        </w:tabs>
        <w:snapToGrid w:val="0"/>
        <w:spacing w:line="360" w:lineRule="auto"/>
        <w:ind w:left="0" w:firstLine="420" w:firstLineChars="200"/>
        <w:rPr>
          <w:rFonts w:hint="eastAsia"/>
          <w:color w:val="auto"/>
          <w:sz w:val="21"/>
          <w:szCs w:val="21"/>
          <w:highlight w:val="none"/>
        </w:rPr>
      </w:pPr>
      <w:r>
        <w:rPr>
          <w:rFonts w:hint="eastAsia"/>
          <w:color w:val="auto"/>
          <w:sz w:val="21"/>
          <w:szCs w:val="21"/>
          <w:highlight w:val="none"/>
        </w:rPr>
        <w:t>法定代表人资格证明书或法定代表人授权书(投标人的代表若为非法定代表人的，必须提交法定代表人授权书，格式见第六章 投标文件格式)；</w:t>
      </w:r>
    </w:p>
    <w:p>
      <w:pPr>
        <w:numPr>
          <w:ilvl w:val="0"/>
          <w:numId w:val="105"/>
        </w:numPr>
        <w:shd w:val="clear" w:color="auto" w:fill="auto"/>
        <w:tabs>
          <w:tab w:val="clear" w:pos="1140"/>
        </w:tabs>
        <w:snapToGrid w:val="0"/>
        <w:spacing w:line="360" w:lineRule="auto"/>
        <w:ind w:left="0" w:firstLine="420" w:firstLineChars="200"/>
        <w:rPr>
          <w:rFonts w:hint="eastAsia"/>
          <w:color w:val="auto"/>
          <w:sz w:val="21"/>
          <w:szCs w:val="21"/>
          <w:highlight w:val="none"/>
        </w:rPr>
      </w:pPr>
      <w:r>
        <w:rPr>
          <w:rFonts w:hint="eastAsia"/>
          <w:color w:val="auto"/>
          <w:sz w:val="21"/>
          <w:szCs w:val="21"/>
          <w:highlight w:val="none"/>
        </w:rPr>
        <w:t>本项目公告发布日期之后通过“信用中国”网站（www.creditchina.gov.cn）、中国政府采购网（www.ccgp.gov.cn）查询其信用记录的信用信息查询结果网页打印件或截图；</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（2）投标声明书（格式见第六章 投标文件格式）；</w:t>
      </w:r>
    </w:p>
    <w:p>
      <w:pPr>
        <w:pStyle w:val="92"/>
        <w:shd w:val="clear" w:color="auto" w:fill="auto"/>
        <w:spacing w:line="360" w:lineRule="auto"/>
        <w:rPr>
          <w:rFonts w:hint="eastAsia"/>
          <w:color w:val="auto"/>
          <w:sz w:val="21"/>
          <w:szCs w:val="21"/>
          <w:highlight w:val="none"/>
        </w:rPr>
      </w:pPr>
      <w:r>
        <w:rPr>
          <w:rFonts w:hint="eastAsia"/>
          <w:color w:val="auto"/>
          <w:sz w:val="21"/>
          <w:szCs w:val="21"/>
          <w:highlight w:val="none"/>
        </w:rPr>
        <w:t>（3）供应商资格声明函（格式见第六章 投标文件格式）。</w:t>
      </w:r>
    </w:p>
    <w:p>
      <w:pPr>
        <w:pStyle w:val="92"/>
        <w:shd w:val="clear" w:color="auto" w:fill="auto"/>
        <w:spacing w:line="360" w:lineRule="auto"/>
        <w:rPr>
          <w:rFonts w:hint="eastAsia"/>
          <w:color w:val="auto"/>
          <w:sz w:val="21"/>
          <w:szCs w:val="21"/>
          <w:highlight w:val="none"/>
          <w:lang w:val="en-US"/>
        </w:rPr>
      </w:pPr>
      <w:r>
        <w:rPr>
          <w:rFonts w:hint="eastAsia"/>
          <w:color w:val="auto"/>
          <w:sz w:val="21"/>
          <w:szCs w:val="21"/>
          <w:highlight w:val="none"/>
        </w:rPr>
        <w:t>（</w:t>
      </w:r>
      <w:r>
        <w:rPr>
          <w:rFonts w:hint="eastAsia"/>
          <w:color w:val="auto"/>
          <w:sz w:val="21"/>
          <w:szCs w:val="21"/>
          <w:highlight w:val="none"/>
          <w:lang w:val="en-US"/>
        </w:rPr>
        <w:t>4</w:t>
      </w:r>
      <w:r>
        <w:rPr>
          <w:rFonts w:hint="eastAsia"/>
          <w:color w:val="auto"/>
          <w:sz w:val="21"/>
          <w:szCs w:val="21"/>
          <w:highlight w:val="none"/>
        </w:rPr>
        <w:t>）</w:t>
      </w:r>
      <w:r>
        <w:rPr>
          <w:color w:val="auto"/>
          <w:sz w:val="21"/>
          <w:szCs w:val="21"/>
          <w:highlight w:val="none"/>
        </w:rPr>
        <w:t>其他投标人认为需要提交的</w:t>
      </w:r>
      <w:r>
        <w:rPr>
          <w:rFonts w:hint="eastAsia"/>
          <w:color w:val="auto"/>
          <w:sz w:val="21"/>
          <w:szCs w:val="21"/>
          <w:highlight w:val="none"/>
        </w:rPr>
        <w:t>资格审查文件</w:t>
      </w:r>
      <w:r>
        <w:rPr>
          <w:color w:val="auto"/>
          <w:sz w:val="21"/>
          <w:szCs w:val="21"/>
          <w:highlight w:val="none"/>
        </w:rPr>
        <w:t>资料</w:t>
      </w:r>
      <w:r>
        <w:rPr>
          <w:rFonts w:hint="eastAsia"/>
          <w:color w:val="auto"/>
          <w:sz w:val="21"/>
          <w:szCs w:val="21"/>
          <w:highlight w:val="none"/>
        </w:rPr>
        <w:t>。</w:t>
      </w:r>
    </w:p>
    <w:p>
      <w:pPr>
        <w:pStyle w:val="92"/>
        <w:numPr>
          <w:ilvl w:val="0"/>
          <w:numId w:val="106"/>
        </w:numPr>
        <w:shd w:val="clear" w:color="auto" w:fill="auto"/>
        <w:spacing w:line="360" w:lineRule="auto"/>
        <w:ind w:firstLineChars="0"/>
        <w:rPr>
          <w:rFonts w:hint="eastAsia"/>
          <w:b/>
          <w:bCs/>
          <w:color w:val="auto"/>
          <w:sz w:val="21"/>
          <w:szCs w:val="21"/>
          <w:highlight w:val="none"/>
        </w:rPr>
      </w:pPr>
      <w:r>
        <w:rPr>
          <w:rFonts w:hint="eastAsia"/>
          <w:b/>
          <w:bCs/>
          <w:color w:val="auto"/>
          <w:sz w:val="21"/>
          <w:szCs w:val="21"/>
          <w:highlight w:val="none"/>
        </w:rPr>
        <w:t>技术商务文件包括以下内容：</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（1）自评分表（格式见第六章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（2）投标人基本情况表（格式见第六章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（3）营业执照副本复印件；</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（4）技术商务响应表（格式见第六章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（5）拟派项目负责人简历表（格式见第六章 投标文件格式）；</w:t>
      </w:r>
    </w:p>
    <w:p>
      <w:pPr>
        <w:shd w:val="clear" w:color="auto" w:fill="auto"/>
        <w:tabs>
          <w:tab w:val="left" w:pos="440"/>
        </w:tabs>
        <w:spacing w:line="360" w:lineRule="auto"/>
        <w:ind w:firstLine="420" w:firstLineChars="200"/>
        <w:rPr>
          <w:color w:val="auto"/>
          <w:sz w:val="21"/>
          <w:szCs w:val="21"/>
          <w:highlight w:val="none"/>
          <w:lang w:val="en-US"/>
        </w:rPr>
      </w:pPr>
      <w:r>
        <w:rPr>
          <w:rFonts w:hint="eastAsia"/>
          <w:color w:val="auto"/>
          <w:sz w:val="21"/>
          <w:szCs w:val="21"/>
          <w:highlight w:val="none"/>
          <w:lang w:val="en-US"/>
        </w:rPr>
        <w:t>（6）拟派技术负责人简历表</w:t>
      </w:r>
      <w:r>
        <w:rPr>
          <w:rFonts w:hint="eastAsia"/>
          <w:color w:val="auto"/>
          <w:sz w:val="21"/>
          <w:szCs w:val="21"/>
          <w:highlight w:val="none"/>
        </w:rPr>
        <w:t>（格式见第六章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7</w:t>
      </w:r>
      <w:r>
        <w:rPr>
          <w:rFonts w:hint="eastAsia"/>
          <w:color w:val="auto"/>
          <w:sz w:val="21"/>
          <w:szCs w:val="21"/>
          <w:highlight w:val="none"/>
        </w:rPr>
        <w:t>）拟投入的人员配备表（格式见第六章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lang w:val="en-US"/>
        </w:rPr>
      </w:pPr>
      <w:r>
        <w:rPr>
          <w:rFonts w:hint="eastAsia"/>
          <w:color w:val="auto"/>
          <w:sz w:val="21"/>
          <w:szCs w:val="21"/>
          <w:highlight w:val="none"/>
          <w:lang w:val="en-US"/>
        </w:rPr>
        <w:t>（8）同类项目业绩表（格式见第六章 投标文件格式）；</w:t>
      </w:r>
    </w:p>
    <w:p>
      <w:pPr>
        <w:shd w:val="clear" w:color="auto" w:fill="auto"/>
        <w:tabs>
          <w:tab w:val="left" w:pos="440"/>
        </w:tabs>
        <w:spacing w:line="360" w:lineRule="auto"/>
        <w:ind w:firstLine="420" w:firstLineChars="200"/>
        <w:rPr>
          <w:rFonts w:hint="eastAsia"/>
          <w:color w:val="auto"/>
          <w:sz w:val="21"/>
          <w:szCs w:val="21"/>
          <w:highlight w:val="none"/>
          <w:lang w:val="en-US"/>
        </w:rPr>
      </w:pPr>
      <w:r>
        <w:rPr>
          <w:rFonts w:hint="eastAsia"/>
          <w:color w:val="auto"/>
          <w:sz w:val="21"/>
          <w:szCs w:val="21"/>
          <w:highlight w:val="none"/>
          <w:lang w:val="en-US"/>
        </w:rPr>
        <w:t>（9）投标人实力（格式自拟）；</w:t>
      </w:r>
    </w:p>
    <w:p>
      <w:pPr>
        <w:shd w:val="clear" w:color="auto" w:fill="auto"/>
        <w:tabs>
          <w:tab w:val="left" w:pos="440"/>
        </w:tabs>
        <w:spacing w:line="360" w:lineRule="auto"/>
        <w:ind w:firstLine="420" w:firstLineChars="200"/>
        <w:rPr>
          <w:rFonts w:hint="eastAsia"/>
          <w:color w:val="auto"/>
          <w:sz w:val="21"/>
          <w:szCs w:val="21"/>
          <w:highlight w:val="none"/>
          <w:lang w:val="en-US"/>
        </w:rPr>
      </w:pPr>
      <w:r>
        <w:rPr>
          <w:rFonts w:hint="eastAsia"/>
          <w:color w:val="auto"/>
          <w:sz w:val="21"/>
          <w:szCs w:val="21"/>
          <w:highlight w:val="none"/>
          <w:lang w:val="en-US"/>
        </w:rPr>
        <w:t>（10）招标文件及评分标准中要求的或投标人认为需要提供的其他证明材料（复印件加盖公章，投标时随带原件以备查验）。</w:t>
      </w:r>
    </w:p>
    <w:p>
      <w:pPr>
        <w:shd w:val="clear" w:color="auto" w:fill="auto"/>
        <w:tabs>
          <w:tab w:val="left" w:pos="440"/>
        </w:tabs>
        <w:spacing w:line="360" w:lineRule="auto"/>
        <w:ind w:firstLine="420" w:firstLineChars="200"/>
        <w:rPr>
          <w:rFonts w:hint="eastAsia"/>
          <w:color w:val="auto"/>
          <w:sz w:val="21"/>
          <w:szCs w:val="21"/>
          <w:highlight w:val="none"/>
          <w:lang w:val="en-US"/>
        </w:rPr>
      </w:pPr>
      <w:r>
        <w:rPr>
          <w:rFonts w:hint="eastAsia"/>
          <w:color w:val="auto"/>
          <w:sz w:val="21"/>
          <w:szCs w:val="21"/>
          <w:highlight w:val="none"/>
          <w:lang w:val="en-US"/>
        </w:rPr>
        <w:t>（11）其他投标人认为需要提交的技术商务资料。</w:t>
      </w:r>
    </w:p>
    <w:p>
      <w:pPr>
        <w:numPr>
          <w:ilvl w:val="0"/>
          <w:numId w:val="106"/>
        </w:numPr>
        <w:shd w:val="clear" w:color="auto" w:fill="auto"/>
        <w:tabs>
          <w:tab w:val="left" w:pos="440"/>
        </w:tabs>
        <w:snapToGrid w:val="0"/>
        <w:spacing w:line="360" w:lineRule="auto"/>
        <w:rPr>
          <w:rFonts w:hint="eastAsia"/>
          <w:b/>
          <w:bCs/>
          <w:color w:val="auto"/>
          <w:sz w:val="21"/>
          <w:szCs w:val="21"/>
          <w:highlight w:val="none"/>
        </w:rPr>
      </w:pPr>
      <w:r>
        <w:rPr>
          <w:rFonts w:hint="eastAsia"/>
          <w:b/>
          <w:bCs/>
          <w:color w:val="auto"/>
          <w:sz w:val="21"/>
          <w:szCs w:val="21"/>
          <w:highlight w:val="none"/>
        </w:rPr>
        <w:t>报价文件包括以下内容：</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（1）投标函（格式见第六章 投标文件格式）；</w:t>
      </w:r>
    </w:p>
    <w:p>
      <w:pPr>
        <w:shd w:val="clear" w:color="auto" w:fill="auto"/>
        <w:tabs>
          <w:tab w:val="left" w:pos="440"/>
        </w:tabs>
        <w:snapToGrid w:val="0"/>
        <w:spacing w:line="360" w:lineRule="auto"/>
        <w:ind w:firstLine="420" w:firstLineChars="200"/>
        <w:rPr>
          <w:color w:val="auto"/>
          <w:sz w:val="21"/>
          <w:szCs w:val="21"/>
          <w:highlight w:val="none"/>
        </w:rPr>
      </w:pPr>
      <w:r>
        <w:rPr>
          <w:rFonts w:hint="eastAsia"/>
          <w:color w:val="auto"/>
          <w:sz w:val="21"/>
          <w:szCs w:val="21"/>
          <w:highlight w:val="none"/>
        </w:rPr>
        <w:t>（2）开标一览表（格式见第六章 投标文件格式）；</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（3）报价明细表（格式见第六章 投标文件格式）；</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w:t>
      </w:r>
      <w:r>
        <w:rPr>
          <w:color w:val="auto"/>
          <w:sz w:val="21"/>
          <w:szCs w:val="21"/>
          <w:highlight w:val="none"/>
          <w:lang w:val="en-US"/>
        </w:rPr>
        <w:t>4</w:t>
      </w:r>
      <w:r>
        <w:rPr>
          <w:rFonts w:hint="eastAsia"/>
          <w:color w:val="auto"/>
          <w:sz w:val="21"/>
          <w:szCs w:val="21"/>
          <w:highlight w:val="none"/>
        </w:rPr>
        <w:t>）中小企业声明函（格式见第六章 投标文件格式）；</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w:t>
      </w:r>
      <w:r>
        <w:rPr>
          <w:color w:val="auto"/>
          <w:sz w:val="21"/>
          <w:szCs w:val="21"/>
          <w:highlight w:val="none"/>
          <w:lang w:val="en-US"/>
        </w:rPr>
        <w:t>5</w:t>
      </w:r>
      <w:r>
        <w:rPr>
          <w:rFonts w:hint="eastAsia"/>
          <w:color w:val="auto"/>
          <w:sz w:val="21"/>
          <w:szCs w:val="21"/>
          <w:highlight w:val="none"/>
        </w:rPr>
        <w:t>）残疾人福利性单位声明函如适用（格式见第六章 投标文件格式）。</w:t>
      </w:r>
    </w:p>
    <w:p>
      <w:pPr>
        <w:shd w:val="clear" w:color="auto" w:fill="auto"/>
        <w:tabs>
          <w:tab w:val="left" w:pos="440"/>
        </w:tabs>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上述组成投标文件的各项资料中本招标书的有规定格式的，应统一按本招标书的规定格式填写。未有规定格式的资料，投标人应自行编制，但至少要包含以上要求的内容。</w:t>
      </w:r>
    </w:p>
    <w:p>
      <w:pPr>
        <w:pStyle w:val="44"/>
        <w:widowControl w:val="0"/>
        <w:shd w:val="clear" w:color="auto" w:fill="auto"/>
        <w:tabs>
          <w:tab w:val="left" w:pos="440"/>
        </w:tabs>
        <w:spacing w:before="0" w:afterLines="0" w:line="360" w:lineRule="auto"/>
        <w:ind w:firstLine="420" w:firstLineChars="200"/>
        <w:rPr>
          <w:rFonts w:hint="eastAsia"/>
          <w:b/>
          <w:bCs/>
          <w:color w:val="auto"/>
          <w:sz w:val="21"/>
          <w:szCs w:val="21"/>
          <w:highlight w:val="none"/>
        </w:rPr>
      </w:pPr>
      <w:r>
        <w:rPr>
          <w:rFonts w:hint="eastAsia"/>
          <w:color w:val="auto"/>
          <w:sz w:val="21"/>
          <w:szCs w:val="21"/>
          <w:highlight w:val="none"/>
        </w:rPr>
        <w:t>▲</w:t>
      </w:r>
      <w:r>
        <w:rPr>
          <w:rFonts w:hint="eastAsia"/>
          <w:b/>
          <w:bCs/>
          <w:color w:val="auto"/>
          <w:sz w:val="21"/>
          <w:szCs w:val="21"/>
          <w:highlight w:val="none"/>
        </w:rPr>
        <w:t>注：资格审查文件及技术商务文件中不能出现报价。</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（二）投标文件的语言及计量</w:t>
      </w:r>
      <w:bookmarkEnd w:id="64"/>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rPr>
        <w:t xml:space="preserve">. </w:t>
      </w:r>
      <w:r>
        <w:rPr>
          <w:rFonts w:hint="eastAsia"/>
          <w:color w:val="auto"/>
          <w:sz w:val="21"/>
          <w:szCs w:val="21"/>
          <w:highlight w:val="none"/>
        </w:rPr>
        <w:t>投标文件以及投标人与采购人就有关投标事宜的所有来往函电，均应以中文汉语书写。除签名、盖章、专用名称等特殊情形外，以中文汉语以外的文字表述的投标文件视同未提供。</w:t>
      </w:r>
    </w:p>
    <w:p>
      <w:pPr>
        <w:shd w:val="clear" w:color="auto" w:fill="auto"/>
        <w:spacing w:line="360" w:lineRule="auto"/>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lang w:val="en-US"/>
        </w:rPr>
        <w:t xml:space="preserve">. </w:t>
      </w:r>
      <w:r>
        <w:rPr>
          <w:rFonts w:hint="eastAsia"/>
          <w:color w:val="auto"/>
          <w:sz w:val="21"/>
          <w:szCs w:val="21"/>
          <w:highlight w:val="none"/>
        </w:rPr>
        <w:t>投标计量单位，招标文件已有明确规定的，使用招标文件规定的计量单位；招标文件没有规定的，应采用中华人民共和国法定计量单位（货币单位：人民币元），否则视同未响应。</w:t>
      </w:r>
    </w:p>
    <w:p>
      <w:pPr>
        <w:shd w:val="clear" w:color="auto" w:fill="auto"/>
        <w:spacing w:line="360" w:lineRule="auto"/>
        <w:ind w:firstLine="422" w:firstLineChars="200"/>
        <w:rPr>
          <w:rFonts w:hint="eastAsia"/>
          <w:b/>
          <w:color w:val="auto"/>
          <w:sz w:val="21"/>
          <w:szCs w:val="21"/>
          <w:highlight w:val="none"/>
        </w:rPr>
      </w:pPr>
      <w:bookmarkStart w:id="65" w:name="_Toc485712540"/>
      <w:r>
        <w:rPr>
          <w:rFonts w:hint="eastAsia"/>
          <w:b/>
          <w:color w:val="auto"/>
          <w:sz w:val="21"/>
          <w:szCs w:val="21"/>
          <w:highlight w:val="none"/>
        </w:rPr>
        <w:t>（三）投标报价</w:t>
      </w:r>
      <w:bookmarkEnd w:id="65"/>
    </w:p>
    <w:p>
      <w:pPr>
        <w:pStyle w:val="16"/>
        <w:numPr>
          <w:ilvl w:val="0"/>
          <w:numId w:val="0"/>
        </w:numPr>
        <w:shd w:val="clear" w:color="auto" w:fill="auto"/>
        <w:tabs>
          <w:tab w:val="left" w:pos="454"/>
          <w:tab w:val="left" w:pos="720"/>
          <w:tab w:val="left" w:pos="900"/>
        </w:tabs>
        <w:spacing w:line="360" w:lineRule="auto"/>
        <w:ind w:firstLine="621" w:firstLineChars="296"/>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rPr>
        <w:t xml:space="preserve"> </w:t>
      </w:r>
      <w:r>
        <w:rPr>
          <w:rFonts w:hint="eastAsia"/>
          <w:color w:val="auto"/>
          <w:sz w:val="21"/>
          <w:szCs w:val="21"/>
          <w:highlight w:val="none"/>
        </w:rPr>
        <w:t>投标报价应按招标文件中相关附表格式填写。</w:t>
      </w:r>
    </w:p>
    <w:p>
      <w:pPr>
        <w:pStyle w:val="16"/>
        <w:numPr>
          <w:ilvl w:val="0"/>
          <w:numId w:val="0"/>
        </w:numPr>
        <w:shd w:val="clear" w:color="auto" w:fill="auto"/>
        <w:tabs>
          <w:tab w:val="left" w:pos="454"/>
          <w:tab w:val="left" w:pos="720"/>
          <w:tab w:val="left" w:pos="900"/>
        </w:tabs>
        <w:spacing w:line="360" w:lineRule="auto"/>
        <w:ind w:firstLine="411" w:firstLineChars="196"/>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lang w:val="en-US"/>
        </w:rPr>
        <w:t xml:space="preserve"> </w:t>
      </w:r>
      <w:r>
        <w:rPr>
          <w:rFonts w:hint="eastAsia"/>
          <w:color w:val="auto"/>
          <w:sz w:val="21"/>
          <w:szCs w:val="21"/>
          <w:highlight w:val="none"/>
        </w:rPr>
        <w:t>报价要求：详见招标文第三章《投标人须知》前附表。</w:t>
      </w:r>
    </w:p>
    <w:p>
      <w:pPr>
        <w:pStyle w:val="27"/>
        <w:shd w:val="clear" w:color="auto" w:fill="auto"/>
        <w:spacing w:before="0" w:beforeLines="0" w:after="0" w:afterLines="0"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▲3.</w:t>
      </w:r>
      <w:r>
        <w:rPr>
          <w:rFonts w:hint="eastAsia" w:hAnsi="宋体"/>
          <w:color w:val="auto"/>
          <w:sz w:val="21"/>
          <w:szCs w:val="21"/>
          <w:highlight w:val="none"/>
          <w:lang w:val="en-US"/>
        </w:rPr>
        <w:t xml:space="preserve"> </w:t>
      </w:r>
      <w:r>
        <w:rPr>
          <w:rFonts w:hint="eastAsia" w:hAnsi="宋体"/>
          <w:color w:val="auto"/>
          <w:sz w:val="21"/>
          <w:szCs w:val="21"/>
          <w:highlight w:val="none"/>
        </w:rPr>
        <w:t>投标文件只允许有一个报价，有选择的或有条件的报价将不予接受。</w:t>
      </w:r>
    </w:p>
    <w:p>
      <w:pPr>
        <w:pStyle w:val="16"/>
        <w:numPr>
          <w:ilvl w:val="0"/>
          <w:numId w:val="0"/>
        </w:numPr>
        <w:shd w:val="clear" w:color="auto" w:fill="auto"/>
        <w:tabs>
          <w:tab w:val="left" w:pos="454"/>
          <w:tab w:val="left" w:pos="720"/>
        </w:tabs>
        <w:spacing w:line="360" w:lineRule="auto"/>
        <w:ind w:firstLine="413" w:firstLineChars="196"/>
        <w:rPr>
          <w:rFonts w:hint="eastAsia"/>
          <w:b/>
          <w:color w:val="auto"/>
          <w:sz w:val="21"/>
          <w:szCs w:val="21"/>
          <w:highlight w:val="none"/>
        </w:rPr>
      </w:pPr>
      <w:r>
        <w:rPr>
          <w:rFonts w:hint="eastAsia"/>
          <w:b/>
          <w:color w:val="auto"/>
          <w:sz w:val="21"/>
          <w:szCs w:val="21"/>
          <w:highlight w:val="none"/>
        </w:rPr>
        <w:t>（四）投标文件的有效期</w:t>
      </w:r>
    </w:p>
    <w:p>
      <w:pPr>
        <w:pStyle w:val="27"/>
        <w:shd w:val="clear" w:color="auto" w:fill="auto"/>
        <w:spacing w:before="0" w:beforeLines="0" w:after="0" w:afterLines="0"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lang w:val="en-US"/>
        </w:rPr>
        <w:t xml:space="preserve">. </w:t>
      </w:r>
      <w:r>
        <w:rPr>
          <w:rFonts w:hint="eastAsia" w:hAnsi="宋体"/>
          <w:color w:val="auto"/>
          <w:sz w:val="21"/>
          <w:szCs w:val="21"/>
          <w:highlight w:val="none"/>
        </w:rPr>
        <w:t>自投标截止日起</w:t>
      </w:r>
      <w:r>
        <w:rPr>
          <w:rFonts w:hint="eastAsia" w:hAnsi="宋体"/>
          <w:color w:val="auto"/>
          <w:sz w:val="21"/>
          <w:szCs w:val="21"/>
          <w:highlight w:val="none"/>
          <w:u w:val="single"/>
        </w:rPr>
        <w:t xml:space="preserve"> 90 </w:t>
      </w:r>
      <w:r>
        <w:rPr>
          <w:rFonts w:hint="eastAsia" w:hAnsi="宋体"/>
          <w:color w:val="auto"/>
          <w:sz w:val="21"/>
          <w:szCs w:val="21"/>
          <w:highlight w:val="none"/>
        </w:rPr>
        <w:t>天投标文件应保持有效。有效期不足的投标文件将被拒绝。</w:t>
      </w:r>
    </w:p>
    <w:p>
      <w:pPr>
        <w:pStyle w:val="27"/>
        <w:shd w:val="clear" w:color="auto" w:fill="auto"/>
        <w:spacing w:before="0" w:beforeLines="0" w:after="0" w:afterLines="0" w:line="360" w:lineRule="auto"/>
        <w:ind w:firstLine="630" w:firstLineChars="300"/>
        <w:rPr>
          <w:rFonts w:hint="eastAsia"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val="en-US"/>
        </w:rPr>
        <w:t xml:space="preserve">. </w:t>
      </w:r>
      <w:r>
        <w:rPr>
          <w:rFonts w:hint="eastAsia" w:hAnsi="宋体"/>
          <w:color w:val="auto"/>
          <w:sz w:val="21"/>
          <w:szCs w:val="21"/>
          <w:highlight w:val="none"/>
        </w:rPr>
        <w:t>在特殊情况下，采购人可与投标人协商延长投标书的有效期，这种要求和答复均以书面形式进行。</w:t>
      </w:r>
    </w:p>
    <w:p>
      <w:pPr>
        <w:pStyle w:val="27"/>
        <w:shd w:val="clear" w:color="auto" w:fill="auto"/>
        <w:spacing w:before="0" w:beforeLines="0" w:after="0" w:afterLines="0" w:line="360" w:lineRule="auto"/>
        <w:ind w:firstLine="630" w:firstLineChars="300"/>
        <w:rPr>
          <w:rFonts w:hint="eastAsia" w:hAnsi="宋体"/>
          <w:color w:val="auto"/>
          <w:sz w:val="21"/>
          <w:szCs w:val="21"/>
          <w:highlight w:val="none"/>
        </w:rPr>
      </w:pPr>
      <w:bookmarkStart w:id="66" w:name="_Toc485712541"/>
      <w:r>
        <w:rPr>
          <w:rFonts w:hint="eastAsia" w:hAnsi="宋体"/>
          <w:color w:val="auto"/>
          <w:sz w:val="21"/>
          <w:szCs w:val="21"/>
          <w:highlight w:val="none"/>
        </w:rPr>
        <w:t>3</w:t>
      </w:r>
      <w:r>
        <w:rPr>
          <w:rFonts w:hint="eastAsia" w:hAnsi="宋体"/>
          <w:color w:val="auto"/>
          <w:sz w:val="21"/>
          <w:szCs w:val="21"/>
          <w:highlight w:val="none"/>
          <w:lang w:val="en-US"/>
        </w:rPr>
        <w:t xml:space="preserve">. </w:t>
      </w:r>
      <w:r>
        <w:rPr>
          <w:rFonts w:hint="eastAsia" w:hAnsi="宋体"/>
          <w:color w:val="auto"/>
          <w:sz w:val="21"/>
          <w:szCs w:val="21"/>
          <w:highlight w:val="none"/>
        </w:rPr>
        <w:t>投标人可拒绝接受延期要求而不会导致投标保证金被没收。同意延长有效期的投标人需要相应延长投标保证金的有效期，但不能修改投标文件。</w:t>
      </w:r>
      <w:bookmarkEnd w:id="66"/>
      <w:r>
        <w:rPr>
          <w:rFonts w:hint="eastAsia" w:hAnsi="宋体"/>
          <w:color w:val="auto"/>
          <w:sz w:val="21"/>
          <w:szCs w:val="21"/>
          <w:highlight w:val="none"/>
        </w:rPr>
        <w:t xml:space="preserve"> </w:t>
      </w:r>
    </w:p>
    <w:p>
      <w:pPr>
        <w:shd w:val="clear" w:color="auto" w:fill="auto"/>
        <w:spacing w:line="360" w:lineRule="auto"/>
        <w:ind w:firstLine="413" w:firstLineChars="196"/>
        <w:rPr>
          <w:rFonts w:hint="eastAsia"/>
          <w:b/>
          <w:color w:val="auto"/>
          <w:sz w:val="21"/>
          <w:szCs w:val="21"/>
          <w:highlight w:val="none"/>
        </w:rPr>
      </w:pPr>
      <w:bookmarkStart w:id="67" w:name="_Toc485712543"/>
      <w:r>
        <w:rPr>
          <w:rFonts w:hint="eastAsia"/>
          <w:b/>
          <w:color w:val="auto"/>
          <w:sz w:val="21"/>
          <w:szCs w:val="21"/>
          <w:highlight w:val="none"/>
        </w:rPr>
        <w:t>（五）投标保证金</w:t>
      </w:r>
      <w:bookmarkEnd w:id="67"/>
      <w:r>
        <w:rPr>
          <w:rFonts w:hint="eastAsia"/>
          <w:b/>
          <w:color w:val="auto"/>
          <w:sz w:val="21"/>
          <w:szCs w:val="21"/>
          <w:highlight w:val="none"/>
        </w:rPr>
        <w:t>：</w:t>
      </w:r>
      <w:r>
        <w:rPr>
          <w:rFonts w:hint="eastAsia"/>
          <w:b/>
          <w:color w:val="auto"/>
          <w:sz w:val="21"/>
          <w:szCs w:val="21"/>
          <w:highlight w:val="none"/>
          <w:lang w:val="en-US"/>
        </w:rPr>
        <w:t>本项目无投标保证金</w:t>
      </w:r>
    </w:p>
    <w:p>
      <w:pPr>
        <w:shd w:val="clear" w:color="auto" w:fill="auto"/>
        <w:spacing w:line="360" w:lineRule="auto"/>
        <w:ind w:firstLine="413" w:firstLineChars="196"/>
        <w:rPr>
          <w:rFonts w:hint="eastAsia"/>
          <w:b/>
          <w:color w:val="auto"/>
          <w:sz w:val="21"/>
          <w:szCs w:val="21"/>
          <w:highlight w:val="none"/>
        </w:rPr>
      </w:pPr>
      <w:bookmarkStart w:id="68" w:name="_Toc485712544"/>
      <w:bookmarkStart w:id="69" w:name="_Toc382546952"/>
      <w:r>
        <w:rPr>
          <w:rFonts w:hint="eastAsia"/>
          <w:b/>
          <w:color w:val="auto"/>
          <w:sz w:val="21"/>
          <w:szCs w:val="21"/>
          <w:highlight w:val="none"/>
        </w:rPr>
        <w:t>（六）投标文件的签署和份数</w:t>
      </w:r>
      <w:bookmarkEnd w:id="68"/>
    </w:p>
    <w:p>
      <w:pPr>
        <w:pStyle w:val="27"/>
        <w:shd w:val="clear" w:color="auto" w:fill="auto"/>
        <w:spacing w:before="0" w:beforeLines="0" w:after="0" w:afterLines="0"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本项目实行网上投标，供应商应准备以下投标文件：</w:t>
      </w:r>
    </w:p>
    <w:p>
      <w:pPr>
        <w:pStyle w:val="27"/>
        <w:shd w:val="clear" w:color="auto" w:fill="auto"/>
        <w:spacing w:before="0" w:beforeLines="0" w:after="0" w:afterLines="0"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A、电子投标文件</w:t>
      </w:r>
    </w:p>
    <w:p>
      <w:pPr>
        <w:pStyle w:val="27"/>
        <w:shd w:val="clear" w:color="auto" w:fill="auto"/>
        <w:spacing w:before="0" w:beforeLines="0" w:after="0" w:afterLines="0" w:line="360" w:lineRule="auto"/>
        <w:ind w:firstLine="420" w:firstLineChars="200"/>
        <w:rPr>
          <w:rFonts w:hint="eastAsia" w:hAnsi="宋体"/>
          <w:b/>
          <w:bCs/>
          <w:color w:val="auto"/>
          <w:sz w:val="21"/>
          <w:szCs w:val="21"/>
          <w:highlight w:val="none"/>
        </w:rPr>
      </w:pPr>
      <w:r>
        <w:rPr>
          <w:rFonts w:hint="eastAsia" w:hAnsi="宋体"/>
          <w:color w:val="auto"/>
          <w:sz w:val="21"/>
          <w:szCs w:val="21"/>
          <w:highlight w:val="none"/>
        </w:rPr>
        <w:t>电子投标文件按政采云平台供应商电子招投标操作指南及本招标文件规定的格式和顺序编制电子投标文件并进行关联定位，并在投标截止时间前将电子投标文件上传“政采云”平台。以U盘</w:t>
      </w:r>
      <w:r>
        <w:rPr>
          <w:rFonts w:hint="eastAsia" w:hAnsi="宋体"/>
          <w:color w:val="auto"/>
          <w:sz w:val="21"/>
          <w:szCs w:val="21"/>
          <w:highlight w:val="none"/>
          <w:lang w:val="en-US"/>
        </w:rPr>
        <w:t>或光盘</w:t>
      </w:r>
      <w:r>
        <w:rPr>
          <w:rFonts w:hint="eastAsia" w:hAnsi="宋体"/>
          <w:color w:val="auto"/>
          <w:sz w:val="21"/>
          <w:szCs w:val="21"/>
          <w:highlight w:val="none"/>
        </w:rPr>
        <w:t>等U盘或光盘存储的数据电文形式提供的备份电子投标文件数量1份。</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（七）投标文件的包装、递交、修改和撤回</w:t>
      </w:r>
    </w:p>
    <w:p>
      <w:pPr>
        <w:numPr>
          <w:ilvl w:val="0"/>
          <w:numId w:val="107"/>
        </w:numPr>
        <w:shd w:val="clear" w:color="auto" w:fill="auto"/>
        <w:spacing w:line="360" w:lineRule="auto"/>
        <w:rPr>
          <w:rFonts w:hint="eastAsia"/>
          <w:color w:val="auto"/>
          <w:sz w:val="21"/>
          <w:szCs w:val="21"/>
          <w:highlight w:val="none"/>
        </w:rPr>
      </w:pPr>
      <w:r>
        <w:rPr>
          <w:rFonts w:hint="eastAsia"/>
          <w:color w:val="auto"/>
          <w:sz w:val="21"/>
          <w:szCs w:val="21"/>
          <w:highlight w:val="none"/>
        </w:rPr>
        <w:t>以U盘</w:t>
      </w:r>
      <w:r>
        <w:rPr>
          <w:rFonts w:hint="eastAsia"/>
          <w:color w:val="auto"/>
          <w:sz w:val="21"/>
          <w:szCs w:val="21"/>
          <w:highlight w:val="none"/>
          <w:lang w:val="en-US"/>
        </w:rPr>
        <w:t>或光盘</w:t>
      </w:r>
      <w:r>
        <w:rPr>
          <w:rFonts w:hint="eastAsia"/>
          <w:color w:val="auto"/>
          <w:sz w:val="21"/>
          <w:szCs w:val="21"/>
          <w:highlight w:val="none"/>
        </w:rPr>
        <w:t>存储的电子备份投标文件用封袋密封后递交。</w:t>
      </w:r>
    </w:p>
    <w:p>
      <w:pPr>
        <w:numPr>
          <w:ilvl w:val="0"/>
          <w:numId w:val="107"/>
        </w:numPr>
        <w:shd w:val="clear" w:color="auto" w:fill="auto"/>
        <w:spacing w:line="360" w:lineRule="auto"/>
        <w:rPr>
          <w:rFonts w:hint="eastAsia"/>
          <w:color w:val="auto"/>
          <w:sz w:val="21"/>
          <w:szCs w:val="21"/>
          <w:highlight w:val="none"/>
        </w:rPr>
      </w:pPr>
      <w:r>
        <w:rPr>
          <w:rFonts w:hint="eastAsia"/>
          <w:color w:val="auto"/>
          <w:sz w:val="21"/>
          <w:szCs w:val="21"/>
          <w:highlight w:val="none"/>
        </w:rPr>
        <w:t>投标文件的包装封面上应注明供应商名称、供应商地址、电子备份投标文件投标文件名称(</w:t>
      </w:r>
      <w:r>
        <w:rPr>
          <w:rFonts w:hint="eastAsia"/>
          <w:color w:val="auto"/>
          <w:sz w:val="21"/>
          <w:szCs w:val="21"/>
          <w:highlight w:val="none"/>
          <w:lang w:val="en-US" w:bidi="ar-SA"/>
        </w:rPr>
        <w:t>资格文件审查/报价文件/技术商务文件</w:t>
      </w:r>
      <w:r>
        <w:rPr>
          <w:rFonts w:hint="eastAsia"/>
          <w:color w:val="auto"/>
          <w:sz w:val="21"/>
          <w:szCs w:val="21"/>
          <w:highlight w:val="none"/>
        </w:rPr>
        <w:t>)、投标项目名称、项目编号、子包号，并加盖供应商公章。</w:t>
      </w:r>
    </w:p>
    <w:p>
      <w:pPr>
        <w:numPr>
          <w:ilvl w:val="0"/>
          <w:numId w:val="107"/>
        </w:numPr>
        <w:shd w:val="clear" w:color="auto" w:fill="auto"/>
        <w:spacing w:line="360" w:lineRule="auto"/>
        <w:rPr>
          <w:rFonts w:hint="eastAsia"/>
          <w:color w:val="auto"/>
          <w:sz w:val="21"/>
          <w:szCs w:val="21"/>
          <w:highlight w:val="none"/>
        </w:rPr>
      </w:pPr>
      <w:r>
        <w:rPr>
          <w:rFonts w:hint="eastAsia"/>
          <w:color w:val="auto"/>
          <w:sz w:val="21"/>
          <w:szCs w:val="21"/>
          <w:highlight w:val="none"/>
        </w:rPr>
        <w:t>未按规定密封或标记的投标文件将被拒绝，由此造成投标文件被误投或提前拆封的风险由供应商承担。</w:t>
      </w:r>
    </w:p>
    <w:p>
      <w:pPr>
        <w:numPr>
          <w:ilvl w:val="0"/>
          <w:numId w:val="107"/>
        </w:numPr>
        <w:shd w:val="clear" w:color="auto" w:fill="auto"/>
        <w:spacing w:line="360" w:lineRule="auto"/>
        <w:rPr>
          <w:rFonts w:hint="eastAsia"/>
          <w:color w:val="auto"/>
          <w:sz w:val="21"/>
          <w:szCs w:val="21"/>
          <w:highlight w:val="none"/>
        </w:rPr>
      </w:pPr>
      <w:r>
        <w:rPr>
          <w:rFonts w:hint="eastAsia"/>
          <w:color w:val="auto"/>
          <w:sz w:val="21"/>
          <w:szCs w:val="21"/>
          <w:highlight w:val="none"/>
        </w:rPr>
        <w:t>供应商在投标截止时间之前，可以对已提交的电子备份投标文件进行修改或撤回，并书面通知招标采购单位；投标截止时间后，供应商不得撤回、修改投标文件。修改后重新递交的电子备份投标文件应当按本采购文件的要求签署、盖章和密封。</w:t>
      </w:r>
    </w:p>
    <w:p>
      <w:pPr>
        <w:numPr>
          <w:ilvl w:val="0"/>
          <w:numId w:val="107"/>
        </w:numPr>
        <w:shd w:val="clear" w:color="auto" w:fill="auto"/>
        <w:spacing w:line="360" w:lineRule="auto"/>
        <w:rPr>
          <w:rFonts w:hint="eastAsia"/>
          <w:color w:val="auto"/>
          <w:sz w:val="21"/>
          <w:szCs w:val="21"/>
          <w:highlight w:val="none"/>
        </w:rPr>
      </w:pPr>
      <w:r>
        <w:rPr>
          <w:rFonts w:hint="eastAsia"/>
          <w:color w:val="auto"/>
          <w:sz w:val="21"/>
          <w:szCs w:val="21"/>
          <w:highlight w:val="none"/>
        </w:rPr>
        <w:t>供应商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四、开标</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（一）开标准备</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采购代理机构将在规定的时间和地点进行开标，投标人的法定代表人或其授权代表应参加开标会并接受核验、签到，无关人员不得进入开标现场。投标人的法定代表人或其授权代表未按时核验、签到的，视同放弃开标监督权利、认可开标结果。</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（二）开标程序</w:t>
      </w:r>
    </w:p>
    <w:p>
      <w:pPr>
        <w:numPr>
          <w:ilvl w:val="0"/>
          <w:numId w:val="108"/>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电子招投标开标程序：</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第一阶段：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（1）投标截止时间后，供应商登录政府采购云平台，用“项目采购-开标评标”功能对电子投标文件进行在线解密，在线解密电子投标文件时间为开标时间后30分钟内。</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（2）在政府采购云平台开启已解密供应商的“技术商务文件”，并做开标记录；</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第二阶段：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（1）在政府采购云平台宣告第一阶段评审无效供应商名单及理由；</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（2）公布经第一阶段评审符合采购文件要求的供应商的技术商务得分情况；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（3）在政府采购云平台开启除第一阶段无效标外的供应商的“报价文件”，并做开标记录；</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（4）在政府采购云平台公布评审结果。</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（5）开标会议结束。</w:t>
      </w:r>
    </w:p>
    <w:p>
      <w:pPr>
        <w:numPr>
          <w:ilvl w:val="0"/>
          <w:numId w:val="108"/>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线下开标程序：</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第一阶段：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（1）开标会由采购代理机构主持，主持人宣布开标会议开始；</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 xml:space="preserve">（2）主持人介绍参加开标会的人员名单； </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（3）主持人宣布评标期间的有关事项，告知应当回避的情形,提请有关人员回避；</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（4）由供应商或其当场推荐的代表检查</w:t>
      </w:r>
      <w:r>
        <w:rPr>
          <w:rFonts w:hint="eastAsia"/>
          <w:color w:val="auto"/>
          <w:sz w:val="21"/>
          <w:szCs w:val="21"/>
          <w:highlight w:val="none"/>
          <w:lang w:val="en-US" w:bidi="ar-SA"/>
        </w:rPr>
        <w:t>资格审查文件、报价文件、技术商务文件</w:t>
      </w:r>
      <w:r>
        <w:rPr>
          <w:rFonts w:hint="eastAsia"/>
          <w:bCs/>
          <w:color w:val="auto"/>
          <w:sz w:val="21"/>
          <w:szCs w:val="21"/>
          <w:highlight w:val="none"/>
        </w:rPr>
        <w:t>密封的完整性；</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（5）开启供应商的</w:t>
      </w:r>
      <w:r>
        <w:rPr>
          <w:rFonts w:hint="eastAsia"/>
          <w:color w:val="auto"/>
          <w:sz w:val="21"/>
          <w:szCs w:val="21"/>
          <w:highlight w:val="none"/>
          <w:lang w:val="en-US" w:bidi="ar-SA"/>
        </w:rPr>
        <w:t>资格审查文件、技术商务文件</w:t>
      </w:r>
      <w:r>
        <w:rPr>
          <w:rFonts w:hint="eastAsia"/>
          <w:bCs/>
          <w:color w:val="auto"/>
          <w:sz w:val="21"/>
          <w:szCs w:val="21"/>
          <w:highlight w:val="none"/>
        </w:rPr>
        <w:t>外包装，清点投标文件正本、副本数量，并做开标记录；</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第二阶段：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（1）由主持人公布第一阶段评审无效供应商名单及理由；</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（2）公布经第一阶段评审符合采购文件要求的供应商的技术商务得分情况；</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（3）再开启报价文件，由主持人宣读《开标一览表》中的供应商名称及在其投标文件中承诺的投标报价、交货期（服务期限）等投标内容，以及采购代理机构认为有必要宣读的其他内容；</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（4）采购代理机构做开标记录, 同时由记录人、监督人当场签字确认；</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（5）主持人公布评审结果。</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（6）开标会议结束。</w:t>
      </w:r>
    </w:p>
    <w:p>
      <w:pPr>
        <w:shd w:val="clear" w:color="auto" w:fill="auto"/>
        <w:snapToGrid w:val="0"/>
        <w:spacing w:line="360" w:lineRule="auto"/>
        <w:ind w:firstLine="422" w:firstLineChars="200"/>
        <w:rPr>
          <w:rFonts w:hint="eastAsia"/>
          <w:b/>
          <w:color w:val="auto"/>
          <w:sz w:val="21"/>
          <w:szCs w:val="21"/>
          <w:highlight w:val="none"/>
        </w:rPr>
      </w:pPr>
      <w:r>
        <w:rPr>
          <w:rFonts w:hint="eastAsia"/>
          <w:b/>
          <w:color w:val="auto"/>
          <w:sz w:val="21"/>
          <w:szCs w:val="21"/>
          <w:highlight w:val="none"/>
        </w:rPr>
        <w:t>（三）特别说明</w:t>
      </w:r>
    </w:p>
    <w:p>
      <w:pPr>
        <w:pStyle w:val="27"/>
        <w:numPr>
          <w:ilvl w:val="0"/>
          <w:numId w:val="109"/>
        </w:numPr>
        <w:shd w:val="clear" w:color="auto" w:fill="auto"/>
        <w:snapToGrid w:val="0"/>
        <w:spacing w:before="0" w:beforeLines="0" w:after="0" w:afterLines="0" w:line="360" w:lineRule="auto"/>
        <w:ind w:right="110" w:rightChars="50"/>
        <w:rPr>
          <w:rFonts w:hint="eastAsia" w:hAnsi="宋体"/>
          <w:bCs/>
          <w:color w:val="auto"/>
          <w:sz w:val="21"/>
          <w:szCs w:val="21"/>
          <w:highlight w:val="none"/>
        </w:rPr>
      </w:pPr>
      <w:r>
        <w:rPr>
          <w:rFonts w:hint="eastAsia" w:hAnsi="宋体"/>
          <w:bCs/>
          <w:color w:val="auto"/>
          <w:sz w:val="21"/>
          <w:szCs w:val="21"/>
          <w:highlight w:val="none"/>
        </w:rPr>
        <w:t>本项目原则上采用政采云电子招投标开标及评审程序，但有下情形之一的，按以下情况处理：</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（1）若投标人在规定时间内无法解密或解密失败，采购组织机构开启所有投标人递交的以U盘或光盘存储的数据电文形式的备份投标文件，上传至政采云平台项目采购模块，以完成开标，电子投标文件自动失效。</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w:t>
      </w:r>
      <w:r>
        <w:rPr>
          <w:rFonts w:hint="eastAsia" w:hAnsi="宋体"/>
          <w:bCs/>
          <w:color w:val="auto"/>
          <w:sz w:val="21"/>
          <w:szCs w:val="21"/>
          <w:highlight w:val="none"/>
          <w:lang w:val="en-US"/>
        </w:rPr>
        <w:t>2</w:t>
      </w:r>
      <w:r>
        <w:rPr>
          <w:rFonts w:hint="eastAsia" w:hAnsi="宋体"/>
          <w:bCs/>
          <w:color w:val="auto"/>
          <w:sz w:val="21"/>
          <w:szCs w:val="21"/>
          <w:highlight w:val="none"/>
        </w:rPr>
        <w:t>）采购过程中出现以下情形，导致电子交易平台无法正常运行，或者无法保证电子交易的公平、公正和安全时，采购组织机构可中止电子交易活动：</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 xml:space="preserve">a.电子交易平台发生故障而无法登录访问的； </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b.电子交易平台应用或数据库出现错误，不能进行正常操作的；</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c.电子交易平台发现严重安全漏洞，有潜在泄密危险的；</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 xml:space="preserve">d.病毒发作导致不能进行正常操作的； </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e.其他无法保证电子交易的公平、公正和安全的情况。</w:t>
      </w:r>
    </w:p>
    <w:p>
      <w:pPr>
        <w:pStyle w:val="27"/>
        <w:shd w:val="clear" w:color="auto" w:fill="auto"/>
        <w:snapToGrid w:val="0"/>
        <w:spacing w:before="0" w:beforeLines="0" w:after="0" w:afterLines="0" w:line="360" w:lineRule="auto"/>
        <w:ind w:right="110" w:rightChars="50" w:firstLine="420" w:firstLineChars="200"/>
        <w:rPr>
          <w:rFonts w:hint="eastAsia" w:hAnsi="宋体"/>
          <w:bCs/>
          <w:color w:val="auto"/>
          <w:sz w:val="21"/>
          <w:szCs w:val="21"/>
          <w:highlight w:val="none"/>
        </w:rPr>
      </w:pPr>
      <w:r>
        <w:rPr>
          <w:rFonts w:hint="eastAsia" w:hAnsi="宋体"/>
          <w:bCs/>
          <w:color w:val="auto"/>
          <w:sz w:val="21"/>
          <w:szCs w:val="21"/>
          <w:highlight w:val="none"/>
        </w:rPr>
        <w:t>出现前款规定情形，不影响采购公平、公正性的，采购组织机构可以待上述情形消除后继续组织电子交易活动。</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五、评标</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（一）组建评标委员会</w:t>
      </w:r>
    </w:p>
    <w:p>
      <w:pPr>
        <w:pStyle w:val="27"/>
        <w:shd w:val="clear" w:color="auto" w:fill="auto"/>
        <w:spacing w:before="0" w:beforeLines="0" w:after="0" w:afterLines="0"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采购人依据《中华人民共和国政府采购法》、《政府采购货物和服务招标投标管理办法》等有关规定组建评标委员会。评标委员会由采购人代表和评审专家组成</w:t>
      </w:r>
      <w:r>
        <w:rPr>
          <w:rFonts w:hAnsi="宋体"/>
          <w:color w:val="auto"/>
          <w:sz w:val="21"/>
          <w:szCs w:val="21"/>
          <w:highlight w:val="none"/>
        </w:rPr>
        <w:t>或全部由评审专家组成</w:t>
      </w:r>
      <w:r>
        <w:rPr>
          <w:rFonts w:hint="eastAsia" w:hAnsi="宋体"/>
          <w:bCs/>
          <w:color w:val="auto"/>
          <w:sz w:val="21"/>
          <w:szCs w:val="21"/>
          <w:highlight w:val="none"/>
        </w:rPr>
        <w:t>，负责本项目的评标工作。</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（二）评标的方式</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本项目采用不公开方式评标，评标的依据为招标文件和投标文件。</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（三）组织评标程序</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采购代理机构将按照招标文件规定的时间、地点和程序组织评标，各评审专家及相关人员应参加评审活动并接受核验、签到，无关人员不得进入评审现场。</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核验出席评审活动现场的评审小组各成员和相关监督人员身份，并要求其分别登记、签到，按规定统一收缴、保存其通讯工具，无关人员一律拒绝其进入评审现场。</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介绍评审现场的人员情况，宣布评审工作纪律，告知评审人员应当回避情形；组织推选评审小组组长。</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宣读提交投标文件的供应商名单，组织评审小组各位成员签订《政府采购评审人员廉洁自律承诺书》。</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人员提出的有关招标文件、投标文件的问题进行必要的说明、解释或讨论。</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小组组长组织评审人员独立评审。评审小组对拟认定为投标文件无效、供应商资格不符合的，应组织相关供应商代表进行陈述、澄清或申辩；采购代理机构可协助评审小组组长对打分结果进行校对、核对并汇总统计；对明显畸高、畸低的评分，评审小组组长应提醒相关评审人员进行复核或书面说明理由，评审人员拒绝说明的，由现场监督员据实记录；评审人员的评审、修改记录应保留原件，随项目其他资料一并存档。</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做好评审现场相关记录，协助评审小组组长做好评审报告起草、有关内容电脑文字录入等工作，并要求评审小组各成员签字确认。</w:t>
      </w:r>
    </w:p>
    <w:p>
      <w:pPr>
        <w:numPr>
          <w:ilvl w:val="0"/>
          <w:numId w:val="110"/>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评审结束后，采购代理机构应对评审小组各成员的专业水平、职业道德、遵纪守法等情况进行评价；同时按规定向评审专家发放评审费，并交还评审人员及其他现场相关人员的通讯工具。</w:t>
      </w:r>
    </w:p>
    <w:p>
      <w:pPr>
        <w:shd w:val="clear" w:color="auto" w:fill="auto"/>
        <w:spacing w:line="360" w:lineRule="auto"/>
        <w:ind w:firstLine="422" w:firstLineChars="200"/>
        <w:rPr>
          <w:rFonts w:hint="eastAsia"/>
          <w:b/>
          <w:color w:val="auto"/>
          <w:sz w:val="21"/>
          <w:szCs w:val="21"/>
          <w:highlight w:val="none"/>
        </w:rPr>
      </w:pPr>
      <w:r>
        <w:rPr>
          <w:rFonts w:hint="eastAsia"/>
          <w:b/>
          <w:color w:val="auto"/>
          <w:sz w:val="21"/>
          <w:szCs w:val="21"/>
          <w:highlight w:val="none"/>
        </w:rPr>
        <w:t>（四）评标委员评审程序</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在评审专家中推选评审小组组长。</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小组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评审人员对各供应商投标文件的有效性、完整性和响应程度进行审查，确定是否对招标文件作出实质性响应。</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评审人员按招标文件规定的评审方法和评审标准，依法独立对供应商投标文件进行评估、比较，并给予评价或打分，不受任何单位和个人的干预。</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人员对各供应商投标文件非实质性内容有疑议或异议，或者审查发现明显的文字或计算错误等，及时向评审小组组长提出。经评审小组商议认为需要供应商作出必要澄清或说明的，应通知该供应商以书面形式作出澄清或说明。书面通知及澄清说明文件应作为政府采购项目档案归档留存。</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人员需对采购代理机构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评审小组根据评审汇总情况和招标文件规定确定中标候选供应商排序名单。 采购单位、经其书面授权的采购单位代表或经其书面授权的评审小组按中标候选供应商排名顺序对供应商逐一进行资格审查，直至依法产生合格的中标供应商。</w:t>
      </w:r>
    </w:p>
    <w:p>
      <w:pPr>
        <w:numPr>
          <w:ilvl w:val="0"/>
          <w:numId w:val="111"/>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起草评审报告，所有评审人员须在评审报告上签字确认。</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（五）错误修正</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投标文件如果出现计算或表达上的错误，修正错误的原则如下：</w:t>
      </w:r>
    </w:p>
    <w:p>
      <w:pPr>
        <w:numPr>
          <w:ilvl w:val="0"/>
          <w:numId w:val="112"/>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投标文件中开标一览表（报价表）内容与投标文件中相应内容不一致的，以开标一览表（报价表）为准；</w:t>
      </w:r>
    </w:p>
    <w:p>
      <w:pPr>
        <w:numPr>
          <w:ilvl w:val="0"/>
          <w:numId w:val="112"/>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投标文件的大写金额和小写金额不一致的，以大写金额为准；</w:t>
      </w:r>
    </w:p>
    <w:p>
      <w:pPr>
        <w:numPr>
          <w:ilvl w:val="0"/>
          <w:numId w:val="112"/>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总价金额与按单价汇总金额不一致的，以单价金额计算结果为准；</w:t>
      </w:r>
    </w:p>
    <w:p>
      <w:pPr>
        <w:numPr>
          <w:ilvl w:val="0"/>
          <w:numId w:val="112"/>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对不同文字文本投标文件的解释发生异议的，以中文文本为准。</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按上述修正错误的原则及方法调整或修正投标文件的投标报价，投标人同意并签字确认后，调整后的投标报价对投标人具有约束作用。如果投标人不接受修正后的报价，则其投标将作为无效投标处理。</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（六）评标原则和评标办法</w:t>
      </w:r>
    </w:p>
    <w:p>
      <w:pPr>
        <w:numPr>
          <w:ilvl w:val="0"/>
          <w:numId w:val="113"/>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评标委员会必须公平、公正、客观，不带任何倾向性和启发性；不得向外界透露任何与评标有关的内容；任何单位和个人不得干扰、影响评标的正常进行；评标委员会及有关工作人员不得私下与投标人接触。</w:t>
      </w:r>
    </w:p>
    <w:p>
      <w:pPr>
        <w:numPr>
          <w:ilvl w:val="0"/>
          <w:numId w:val="113"/>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供应商择期重新评审的时间和地点。</w:t>
      </w:r>
    </w:p>
    <w:p>
      <w:pPr>
        <w:numPr>
          <w:ilvl w:val="0"/>
          <w:numId w:val="113"/>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单位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pPr>
        <w:numPr>
          <w:ilvl w:val="0"/>
          <w:numId w:val="113"/>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评标办法。本项目评标办法是</w:t>
      </w:r>
      <w:r>
        <w:rPr>
          <w:rFonts w:hint="eastAsia"/>
          <w:bCs/>
          <w:color w:val="auto"/>
          <w:sz w:val="21"/>
          <w:szCs w:val="21"/>
          <w:highlight w:val="none"/>
          <w:u w:val="single"/>
        </w:rPr>
        <w:t xml:space="preserve"> 综合评分法 </w:t>
      </w:r>
      <w:r>
        <w:rPr>
          <w:rFonts w:hint="eastAsia"/>
          <w:bCs/>
          <w:color w:val="auto"/>
          <w:sz w:val="21"/>
          <w:szCs w:val="21"/>
          <w:highlight w:val="none"/>
        </w:rPr>
        <w:t>，具体评标内容及评分标准等详见《第四章：评标办法及评分标准》。</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（七）评标过程的监控</w:t>
      </w:r>
    </w:p>
    <w:p>
      <w:pPr>
        <w:shd w:val="clear" w:color="auto" w:fill="auto"/>
        <w:spacing w:line="360" w:lineRule="auto"/>
        <w:ind w:firstLine="420" w:firstLineChars="200"/>
        <w:rPr>
          <w:rFonts w:hint="eastAsia"/>
          <w:bCs/>
          <w:color w:val="auto"/>
          <w:sz w:val="21"/>
          <w:szCs w:val="21"/>
          <w:highlight w:val="none"/>
        </w:rPr>
      </w:pPr>
      <w:r>
        <w:rPr>
          <w:rFonts w:hint="eastAsia"/>
          <w:bCs/>
          <w:color w:val="auto"/>
          <w:sz w:val="21"/>
          <w:szCs w:val="21"/>
          <w:highlight w:val="none"/>
        </w:rPr>
        <w:t>本项目评标过程实行全程录音、录像监控，投标人在评标过程中所进行的试图影响评标结果的不公正活动，可能导致其投标被拒绝。</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六、定标</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采购代理机构应当在评标结束后2个工作日内将评标报告送采购人。</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采购人应当自收到评标报告之日起</w:t>
      </w:r>
      <w:r>
        <w:rPr>
          <w:rFonts w:hint="eastAsia" w:hAnsi="宋体"/>
          <w:bCs/>
          <w:color w:val="auto"/>
          <w:sz w:val="21"/>
          <w:szCs w:val="21"/>
          <w:highlight w:val="none"/>
          <w:lang w:val="en-US"/>
        </w:rPr>
        <w:t>5</w:t>
      </w:r>
      <w:r>
        <w:rPr>
          <w:rFonts w:hint="eastAsia" w:hAnsi="宋体"/>
          <w:bCs/>
          <w:color w:val="auto"/>
          <w:sz w:val="21"/>
          <w:szCs w:val="21"/>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采购人自行组织招标的，应当在评标结束后5个工作日内确定中标人。</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采购人或者采购代理机构应当自中标人确定之日起2个工作日内，在省级以上财政部门指定的媒体上公告中标结果，招标文件应当随中标结果同时公告。</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中标公告期限为1个工作日。</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在公告中标结果的同时，采购人或者采购代理机构应当向中标人发出中标通知书；对未通过资格审查的投标人，应当告知其未通过的原因；采用综合评分法评审的，还应当告知未中标人本人的评审得分与排序。</w:t>
      </w:r>
    </w:p>
    <w:p>
      <w:pPr>
        <w:pStyle w:val="27"/>
        <w:numPr>
          <w:ilvl w:val="0"/>
          <w:numId w:val="114"/>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中标通知书发出后，采购人不得违法改变中标结果，中标人无正当理由不得放弃中标。</w:t>
      </w:r>
    </w:p>
    <w:p>
      <w:pPr>
        <w:pStyle w:val="27"/>
        <w:numPr>
          <w:ilvl w:val="0"/>
          <w:numId w:val="114"/>
        </w:numPr>
        <w:shd w:val="clear" w:color="auto" w:fill="auto"/>
        <w:spacing w:before="0" w:beforeLines="0" w:after="0" w:afterLines="0" w:line="360" w:lineRule="auto"/>
        <w:rPr>
          <w:rFonts w:hint="eastAsia" w:hAnsi="宋体"/>
          <w:color w:val="auto"/>
          <w:sz w:val="21"/>
          <w:szCs w:val="21"/>
          <w:highlight w:val="none"/>
        </w:rPr>
      </w:pPr>
      <w:r>
        <w:rPr>
          <w:rFonts w:hint="eastAsia" w:hAnsi="宋体"/>
          <w:color w:val="auto"/>
          <w:sz w:val="21"/>
          <w:szCs w:val="21"/>
          <w:highlight w:val="none"/>
        </w:rPr>
        <w:t>若中标人被投诉有效以及其他原因导致中标无效，或者拒不签订合同的，采购人将在评标委员会推荐的中标候选人中确定排名其次的中标候选人为本项目的中标人或重新招标。</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七、合同授予</w:t>
      </w:r>
    </w:p>
    <w:p>
      <w:pPr>
        <w:shd w:val="clear" w:color="auto" w:fill="auto"/>
        <w:spacing w:line="360" w:lineRule="auto"/>
        <w:ind w:firstLine="413" w:firstLineChars="196"/>
        <w:rPr>
          <w:rFonts w:hint="eastAsia"/>
          <w:b/>
          <w:color w:val="auto"/>
          <w:sz w:val="21"/>
          <w:szCs w:val="21"/>
          <w:highlight w:val="none"/>
        </w:rPr>
      </w:pPr>
      <w:r>
        <w:rPr>
          <w:rFonts w:hint="eastAsia"/>
          <w:b/>
          <w:color w:val="auto"/>
          <w:sz w:val="21"/>
          <w:szCs w:val="21"/>
          <w:highlight w:val="none"/>
        </w:rPr>
        <w:t>（一）签订合同</w:t>
      </w:r>
    </w:p>
    <w:p>
      <w:pPr>
        <w:numPr>
          <w:ilvl w:val="0"/>
          <w:numId w:val="115"/>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采购人应当自中标通知书发出之日起30日内，按照招标文件和中标人投标文件的规定，与中标人签订书面合同。所签订的合同不得对招标文件确定的事项和中标人投标文件作实质性修改。</w:t>
      </w:r>
    </w:p>
    <w:p>
      <w:pPr>
        <w:numPr>
          <w:ilvl w:val="0"/>
          <w:numId w:val="115"/>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采购人不得向中标人提出任何不合理的要求作为签订合同的条件。</w:t>
      </w:r>
    </w:p>
    <w:p>
      <w:pPr>
        <w:numPr>
          <w:ilvl w:val="0"/>
          <w:numId w:val="115"/>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采购人与中标人应当根据合同的约定依法履行合同义务。</w:t>
      </w:r>
    </w:p>
    <w:p>
      <w:pPr>
        <w:pStyle w:val="27"/>
        <w:numPr>
          <w:ilvl w:val="0"/>
          <w:numId w:val="115"/>
        </w:numPr>
        <w:shd w:val="clear" w:color="auto" w:fill="auto"/>
        <w:spacing w:before="0" w:beforeLines="0" w:after="0" w:afterLines="0" w:line="360" w:lineRule="auto"/>
        <w:rPr>
          <w:rFonts w:hint="eastAsia" w:hAnsi="宋体"/>
          <w:bCs/>
          <w:color w:val="auto"/>
          <w:sz w:val="21"/>
          <w:szCs w:val="21"/>
          <w:highlight w:val="none"/>
        </w:rPr>
      </w:pPr>
      <w:r>
        <w:rPr>
          <w:rFonts w:hint="eastAsia" w:hAnsi="宋体"/>
          <w:bCs/>
          <w:color w:val="auto"/>
          <w:sz w:val="21"/>
          <w:szCs w:val="21"/>
          <w:highlight w:val="none"/>
        </w:rPr>
        <w:t>政府采购合同的履行、违约责任和解决争议的方法等适用《中华人民共和国</w:t>
      </w:r>
      <w:r>
        <w:rPr>
          <w:rFonts w:hint="eastAsia" w:hAnsi="宋体"/>
          <w:bCs/>
          <w:color w:val="auto"/>
          <w:sz w:val="21"/>
          <w:szCs w:val="21"/>
          <w:highlight w:val="none"/>
          <w:lang w:val="en-US"/>
        </w:rPr>
        <w:t>民法典</w:t>
      </w:r>
      <w:r>
        <w:rPr>
          <w:rFonts w:hint="eastAsia" w:hAnsi="宋体"/>
          <w:bCs/>
          <w:color w:val="auto"/>
          <w:sz w:val="21"/>
          <w:szCs w:val="21"/>
          <w:highlight w:val="none"/>
        </w:rPr>
        <w:t>》。</w:t>
      </w:r>
    </w:p>
    <w:p>
      <w:pPr>
        <w:pStyle w:val="27"/>
        <w:shd w:val="clear" w:color="auto" w:fill="auto"/>
        <w:spacing w:before="0" w:beforeLines="0" w:after="0" w:afterLines="0" w:line="360" w:lineRule="auto"/>
        <w:ind w:firstLine="422" w:firstLineChars="200"/>
        <w:rPr>
          <w:rFonts w:hint="eastAsia" w:hAnsi="宋体"/>
          <w:b/>
          <w:color w:val="auto"/>
          <w:sz w:val="21"/>
          <w:szCs w:val="21"/>
          <w:highlight w:val="none"/>
          <w:lang w:val="en-US"/>
        </w:rPr>
      </w:pPr>
      <w:r>
        <w:rPr>
          <w:rFonts w:hint="eastAsia" w:hAnsi="宋体"/>
          <w:b/>
          <w:color w:val="auto"/>
          <w:sz w:val="21"/>
          <w:szCs w:val="21"/>
          <w:highlight w:val="none"/>
        </w:rPr>
        <w:t>（二）履约保证金：</w:t>
      </w:r>
      <w:r>
        <w:rPr>
          <w:rFonts w:hint="eastAsia" w:hAnsi="宋体"/>
          <w:b/>
          <w:color w:val="auto"/>
          <w:sz w:val="21"/>
          <w:szCs w:val="21"/>
          <w:highlight w:val="none"/>
          <w:lang w:val="en-US"/>
        </w:rPr>
        <w:t>详见第三章投标人须知。</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八、特别说明</w:t>
      </w:r>
    </w:p>
    <w:p>
      <w:pPr>
        <w:numPr>
          <w:ilvl w:val="0"/>
          <w:numId w:val="116"/>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采购单位与中标人应当在《中标通知书》发出之日起30日内签订政府采购合同。</w:t>
      </w:r>
    </w:p>
    <w:p>
      <w:pPr>
        <w:numPr>
          <w:ilvl w:val="0"/>
          <w:numId w:val="116"/>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本文件未及事项，在签订合同时供需及使用方友好商定。</w:t>
      </w:r>
    </w:p>
    <w:p>
      <w:pPr>
        <w:numPr>
          <w:ilvl w:val="0"/>
          <w:numId w:val="116"/>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本采购文件解释权归采购单位。</w:t>
      </w:r>
    </w:p>
    <w:p>
      <w:pPr>
        <w:numPr>
          <w:ilvl w:val="0"/>
          <w:numId w:val="116"/>
        </w:numPr>
        <w:shd w:val="clear" w:color="auto" w:fill="auto"/>
        <w:spacing w:line="360" w:lineRule="auto"/>
        <w:rPr>
          <w:rFonts w:hint="eastAsia"/>
          <w:bCs/>
          <w:color w:val="auto"/>
          <w:sz w:val="21"/>
          <w:szCs w:val="21"/>
          <w:highlight w:val="none"/>
        </w:rPr>
      </w:pPr>
      <w:r>
        <w:rPr>
          <w:rFonts w:hint="eastAsia"/>
          <w:bCs/>
          <w:color w:val="auto"/>
          <w:sz w:val="21"/>
          <w:szCs w:val="21"/>
          <w:highlight w:val="none"/>
        </w:rPr>
        <w:t>本次招标的招标代理服务费由中标人支付。</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九、补充说明</w:t>
      </w:r>
    </w:p>
    <w:p>
      <w:pPr>
        <w:keepNext w:val="0"/>
        <w:keepLines w:val="0"/>
        <w:pageBreakBefore w:val="0"/>
        <w:widowControl/>
        <w:shd w:val="clear" w:color="auto" w:fill="auto"/>
        <w:kinsoku/>
        <w:wordWrap/>
        <w:overflowPunct/>
        <w:topLinePunct w:val="0"/>
        <w:autoSpaceDE/>
        <w:autoSpaceDN/>
        <w:bidi w:val="0"/>
        <w:adjustRightInd/>
        <w:snapToGrid w:val="0"/>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政府采购活动中有关中小企业的相关规定（采购进口产品项目不适用）</w:t>
      </w:r>
    </w:p>
    <w:p>
      <w:pPr>
        <w:keepNext w:val="0"/>
        <w:keepLines w:val="0"/>
        <w:pageBreakBefore w:val="0"/>
        <w:shd w:val="clear" w:color="auto" w:fill="auto"/>
        <w:kinsoku/>
        <w:wordWrap/>
        <w:overflowPunct/>
        <w:topLinePunct w:val="0"/>
        <w:autoSpaceDE/>
        <w:autoSpaceDN/>
        <w:bidi w:val="0"/>
        <w:adjustRightIn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参加政府采购活动的中小企业（含中型、小型、微型企业，其他地方同）应当同时符合以下条件：</w:t>
      </w:r>
    </w:p>
    <w:p>
      <w:pPr>
        <w:keepNext w:val="0"/>
        <w:keepLines w:val="0"/>
        <w:pageBreakBefore w:val="0"/>
        <w:widowControl/>
        <w:shd w:val="clear" w:color="auto" w:fill="auto"/>
        <w:kinsoku/>
        <w:wordWrap/>
        <w:overflowPunct/>
        <w:topLinePunct w:val="0"/>
        <w:autoSpaceDE/>
        <w:autoSpaceDN/>
        <w:bidi w:val="0"/>
        <w:adjustRightInd/>
        <w:snapToGrid w:val="0"/>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（一）符合中小企业划分标准（具体见工信部联企业[2011]300号）；</w:t>
      </w:r>
    </w:p>
    <w:p>
      <w:pPr>
        <w:keepNext w:val="0"/>
        <w:keepLines w:val="0"/>
        <w:pageBreakBefore w:val="0"/>
        <w:widowControl/>
        <w:shd w:val="clear" w:color="auto" w:fill="auto"/>
        <w:kinsoku/>
        <w:wordWrap/>
        <w:overflowPunct/>
        <w:topLinePunct w:val="0"/>
        <w:autoSpaceDE/>
        <w:autoSpaceDN/>
        <w:bidi w:val="0"/>
        <w:adjustRightInd/>
        <w:snapToGrid w:val="0"/>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（二）提供本企业制造的货物、承担的工程或者服务，或者提供其他中小企业制造的货物。本项所称货物不包括使用大型企业注册商标的货物。</w:t>
      </w:r>
    </w:p>
    <w:p>
      <w:pPr>
        <w:keepNext w:val="0"/>
        <w:keepLines w:val="0"/>
        <w:pageBreakBefore w:val="0"/>
        <w:widowControl/>
        <w:shd w:val="clear" w:color="auto" w:fill="auto"/>
        <w:kinsoku/>
        <w:wordWrap/>
        <w:overflowPunct/>
        <w:topLinePunct w:val="0"/>
        <w:autoSpaceDE/>
        <w:autoSpaceDN/>
        <w:bidi w:val="0"/>
        <w:adjustRightInd/>
        <w:snapToGrid w:val="0"/>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（三）小型、微型企业提供中型企业制造的货物的，视同为中型企业。</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参加政府采购活动的中小企业应当提供《中小企业声明函》。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对于非专门面向中小企业的项目，对小型和微型企业产品的价格应给予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％的扣除，用扣除后的价格参与评审。具体扣除比例见第四章 评标办法及评分标准（如有）。</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如果在采购活动过程中相关采购当事人对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“中小企业”资格有异议的，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应当向采购代理机构和采购监管部门提供由第三方机构审计确认的财务会计报告和劳动部门提供的年度社会保障基金缴纳清单，或者相关行业主管部门出具的“中小企业”资格确认证明。</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val="0"/>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shd w:val="clear" w:color="auto" w:fill="auto"/>
        <w:kinsoku/>
        <w:wordWrap/>
        <w:overflowPunct/>
        <w:topLinePunct w:val="0"/>
        <w:autoSpaceDE/>
        <w:autoSpaceDN/>
        <w:bidi w:val="0"/>
        <w:adjustRightIn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关于促进残疾人就业政府采购政策的通知》（财库[2020]46号）规定，在政府采购活动中，残疾人福利性单位视同小型、微型企业。残疾人福利性单位参加政府采购活动时，提供《残疾人福利性单位声明函》。           </w:t>
      </w:r>
    </w:p>
    <w:p>
      <w:pPr>
        <w:shd w:val="clear" w:color="auto" w:fill="auto"/>
        <w:snapToGrid w:val="0"/>
        <w:spacing w:line="360" w:lineRule="auto"/>
        <w:ind w:firstLine="420" w:firstLineChars="200"/>
        <w:jc w:val="center"/>
        <w:outlineLvl w:val="0"/>
        <w:rPr>
          <w:rFonts w:hint="eastAsia"/>
          <w:color w:val="auto"/>
          <w:sz w:val="21"/>
          <w:szCs w:val="21"/>
          <w:highlight w:val="none"/>
        </w:rPr>
      </w:pPr>
      <w:r>
        <w:rPr>
          <w:rFonts w:hint="eastAsia"/>
          <w:color w:val="auto"/>
          <w:sz w:val="21"/>
          <w:szCs w:val="21"/>
          <w:highlight w:val="none"/>
        </w:rPr>
        <w:br w:type="page"/>
      </w:r>
      <w:bookmarkStart w:id="70" w:name="_Toc22982"/>
      <w:bookmarkStart w:id="71" w:name="_Toc7614"/>
      <w:r>
        <w:rPr>
          <w:rFonts w:hint="eastAsia"/>
          <w:b/>
          <w:bCs/>
          <w:color w:val="auto"/>
          <w:sz w:val="21"/>
          <w:szCs w:val="21"/>
          <w:highlight w:val="none"/>
        </w:rPr>
        <w:t>第四章  评标办法及评分标准</w:t>
      </w:r>
      <w:bookmarkEnd w:id="70"/>
      <w:bookmarkEnd w:id="71"/>
    </w:p>
    <w:p>
      <w:pPr>
        <w:shd w:val="clear" w:color="auto" w:fill="auto"/>
        <w:adjustRightInd w:val="0"/>
        <w:snapToGrid w:val="0"/>
        <w:spacing w:line="360" w:lineRule="auto"/>
        <w:ind w:firstLine="420" w:firstLineChars="200"/>
        <w:jc w:val="center"/>
        <w:rPr>
          <w:rFonts w:hint="eastAsia"/>
          <w:color w:val="auto"/>
          <w:sz w:val="21"/>
          <w:szCs w:val="21"/>
          <w:highlight w:val="none"/>
        </w:rPr>
      </w:pPr>
      <w:r>
        <w:rPr>
          <w:rFonts w:hint="eastAsia"/>
          <w:color w:val="auto"/>
          <w:sz w:val="21"/>
          <w:szCs w:val="21"/>
          <w:highlight w:val="none"/>
        </w:rPr>
        <w:t>（综合评分法）</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一、总则</w:t>
      </w:r>
    </w:p>
    <w:p>
      <w:pPr>
        <w:keepNext w:val="0"/>
        <w:keepLines w:val="0"/>
        <w:pageBreakBefore w:val="0"/>
        <w:widowControl/>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招标活动遵循公平、公正、科学、择优的原则依法进行，招标活动及当事人接受依法实施的监督。</w:t>
      </w:r>
    </w:p>
    <w:p>
      <w:pPr>
        <w:keepNext w:val="0"/>
        <w:keepLines w:val="0"/>
        <w:pageBreakBefore w:val="0"/>
        <w:widowControl/>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采用百分制，总分100分。供应商的综合得分为技术商务得分与报价得分之和。按综合得分由高到低的排序，推荐中标候选人。若供应商的综合得分相等，则投标报价低者列前；若投标报价也相同时，采取随机抽签的方式确定排序。</w:t>
      </w:r>
    </w:p>
    <w:p>
      <w:pPr>
        <w:keepNext w:val="0"/>
        <w:keepLines w:val="0"/>
        <w:pageBreakBefore w:val="0"/>
        <w:widowControl/>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需要落实的政府采购政策：《关于促进残疾人就业政府采购政策的通知》（财库[2017]141号）、《政府采购促进中小企业发展暂行办法》（财库[2011]181号）、《关于政府采购支持监狱企业发展有关问题的通知》（财库[2014]68号）</w:t>
      </w:r>
    </w:p>
    <w:p>
      <w:pPr>
        <w:keepNext w:val="0"/>
        <w:keepLines w:val="0"/>
        <w:pageBreakBefore w:val="0"/>
        <w:widowControl/>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本次采购为非专门面向中小企业，本次评标将对符合小微企业的价格给予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%的扣除，用扣除后的价格参与评审。价格扣除只用于评审过程，如中标，中标价格仍按照其投标价格进行公示。</w:t>
      </w:r>
    </w:p>
    <w:p>
      <w:pPr>
        <w:keepNext w:val="0"/>
        <w:keepLines w:val="0"/>
        <w:pageBreakBefore w:val="0"/>
        <w:widowControl/>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评标委员会成员对需要共同认定的事项存在争议的，应当按照少数服从多数的原则作出结论。</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bookmarkStart w:id="72" w:name="_Toc27892"/>
      <w:r>
        <w:rPr>
          <w:rFonts w:hint="eastAsia" w:ascii="微软雅黑" w:hAnsi="微软雅黑" w:eastAsia="微软雅黑" w:cs="微软雅黑"/>
          <w:b/>
          <w:bCs/>
          <w:color w:val="auto"/>
          <w:kern w:val="2"/>
          <w:sz w:val="21"/>
          <w:szCs w:val="21"/>
          <w:highlight w:val="none"/>
          <w:lang w:val="en-US" w:eastAsia="zh-CN" w:bidi="ar-SA"/>
        </w:rPr>
        <w:t>二、评标过程</w:t>
      </w:r>
      <w:bookmarkEnd w:id="72"/>
    </w:p>
    <w:p>
      <w:pPr>
        <w:keepNext w:val="0"/>
        <w:keepLines w:val="0"/>
        <w:pageBreakBefore w:val="0"/>
        <w:widowControl/>
        <w:numPr>
          <w:ilvl w:val="0"/>
          <w:numId w:val="0"/>
        </w:numPr>
        <w:shd w:val="clear" w:color="auto" w:fill="auto"/>
        <w:kinsoku/>
        <w:wordWrap/>
        <w:overflowPunct/>
        <w:topLinePunct w:val="0"/>
        <w:autoSpaceDE/>
        <w:autoSpaceDN/>
        <w:bidi w:val="0"/>
        <w:adjustRightInd w:val="0"/>
        <w:snapToGrid/>
        <w:spacing w:line="360" w:lineRule="auto"/>
        <w:ind w:leftChars="0" w:firstLine="422" w:firstLineChars="200"/>
        <w:jc w:val="both"/>
        <w:textAlignment w:val="auto"/>
        <w:outlineLvl w:val="9"/>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一</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资格条件审查</w:t>
      </w:r>
    </w:p>
    <w:p>
      <w:pPr>
        <w:keepNext w:val="0"/>
        <w:keepLines w:val="0"/>
        <w:pageBreakBefore w:val="0"/>
        <w:widowControl/>
        <w:numPr>
          <w:ilvl w:val="0"/>
          <w:numId w:val="0"/>
        </w:numPr>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由采购人或采购代理机构对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的资格进行审查。对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单位负责人是否为同一人或者存在直接控股、管理关系的，采购代理机构将使用天眼查、企查查等相关工具进行查询核实，如存在不符合采购文件要求的情形的，将否决其投标。</w:t>
      </w:r>
    </w:p>
    <w:p>
      <w:pPr>
        <w:keepNext w:val="0"/>
        <w:keepLines w:val="0"/>
        <w:pageBreakBefore w:val="0"/>
        <w:widowControl/>
        <w:numPr>
          <w:ilvl w:val="0"/>
          <w:numId w:val="0"/>
        </w:numPr>
        <w:shd w:val="clear" w:color="auto" w:fill="auto"/>
        <w:kinsoku/>
        <w:wordWrap/>
        <w:overflowPunct/>
        <w:topLinePunct w:val="0"/>
        <w:autoSpaceDE/>
        <w:autoSpaceDN/>
        <w:bidi w:val="0"/>
        <w:adjustRightInd w:val="0"/>
        <w:snapToGrid/>
        <w:spacing w:line="360" w:lineRule="auto"/>
        <w:ind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评标委员会负责对采购代理机构提交的关联性审查复核。</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8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02" w:type="dxa"/>
            <w:noWrap w:val="0"/>
            <w:vAlign w:val="center"/>
          </w:tcPr>
          <w:p>
            <w:pPr>
              <w:shd w:val="clear" w:color="auto" w:fill="auto"/>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审查类别</w:t>
            </w:r>
          </w:p>
        </w:tc>
        <w:tc>
          <w:tcPr>
            <w:tcW w:w="8057" w:type="dxa"/>
            <w:noWrap w:val="0"/>
            <w:vAlign w:val="center"/>
          </w:tcPr>
          <w:p>
            <w:pPr>
              <w:shd w:val="clear" w:color="auto" w:fill="auto"/>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1102" w:type="dxa"/>
            <w:vMerge w:val="restart"/>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资格条件审查</w:t>
            </w:r>
          </w:p>
        </w:tc>
        <w:tc>
          <w:tcPr>
            <w:tcW w:w="8057"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02"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8057"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落实政府采购政策需满足的资格要求：无。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02" w:type="dxa"/>
            <w:vMerge w:val="continue"/>
            <w:noWrap w:val="0"/>
            <w:vAlign w:val="center"/>
          </w:tcPr>
          <w:p>
            <w:pPr>
              <w:shd w:val="clear" w:color="auto" w:fill="auto"/>
              <w:spacing w:line="360" w:lineRule="auto"/>
              <w:rPr>
                <w:rFonts w:hint="eastAsia" w:ascii="宋体" w:hAnsi="宋体" w:eastAsia="宋体" w:cs="宋体"/>
                <w:color w:val="auto"/>
                <w:sz w:val="21"/>
                <w:szCs w:val="21"/>
                <w:highlight w:val="none"/>
              </w:rPr>
            </w:pPr>
          </w:p>
        </w:tc>
        <w:tc>
          <w:tcPr>
            <w:tcW w:w="8057"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本项目的特定资格要求：无。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102" w:type="dxa"/>
            <w:vMerge w:val="continue"/>
            <w:noWrap w:val="0"/>
            <w:vAlign w:val="center"/>
          </w:tcPr>
          <w:p>
            <w:pPr>
              <w:shd w:val="clear" w:color="auto" w:fill="auto"/>
              <w:spacing w:line="360" w:lineRule="auto"/>
              <w:rPr>
                <w:rFonts w:hint="eastAsia" w:ascii="宋体" w:hAnsi="宋体" w:eastAsia="宋体" w:cs="宋体"/>
                <w:color w:val="auto"/>
                <w:sz w:val="21"/>
                <w:szCs w:val="21"/>
                <w:highlight w:val="none"/>
              </w:rPr>
            </w:pPr>
          </w:p>
        </w:tc>
        <w:tc>
          <w:tcPr>
            <w:tcW w:w="8057" w:type="dxa"/>
            <w:noWrap w:val="0"/>
            <w:vAlign w:val="center"/>
          </w:tcPr>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符合《中华人民共和国政府采购法》第二十二条规定的供应商资格条件；且必须为未被列入信用中国网站(www.creditchina.gov.cn)、中国政府采购网(www.ccgp.gov.cn)渠道信用记录失信被执行人、重大税收违法案件当事人名单、政府采购严重违法失信行为信息记录名单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（以代理机构于投标截止日当天在“信用中国”网站（www.creditchina.gov.cn）及中国政府采购网查询结果为准，如相关失信记录已失效，供应商需提供相关证明资料）。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102" w:type="dxa"/>
            <w:vMerge w:val="continue"/>
            <w:noWrap w:val="0"/>
            <w:vAlign w:val="center"/>
          </w:tcPr>
          <w:p>
            <w:pPr>
              <w:shd w:val="clear" w:color="auto" w:fill="auto"/>
              <w:spacing w:line="360" w:lineRule="auto"/>
              <w:rPr>
                <w:rFonts w:hint="eastAsia" w:ascii="宋体" w:hAnsi="宋体" w:eastAsia="宋体" w:cs="宋体"/>
                <w:color w:val="auto"/>
                <w:sz w:val="21"/>
                <w:szCs w:val="21"/>
                <w:highlight w:val="none"/>
              </w:rPr>
            </w:pPr>
          </w:p>
        </w:tc>
        <w:tc>
          <w:tcPr>
            <w:tcW w:w="8057" w:type="dxa"/>
            <w:noWrap w:val="0"/>
            <w:vAlign w:val="center"/>
          </w:tcPr>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单位负责人为同一人或者存在直接控股、管理关系的不同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，不得参加同一合同项下的政府采购活动。为采购项目提供整体设计、规范编制或者项目管理、监理、检测等服务的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，不得再参加该采购项目的其他采购活动。</w:t>
            </w:r>
          </w:p>
        </w:tc>
      </w:tr>
    </w:tbl>
    <w:p>
      <w:pPr>
        <w:widowControl/>
        <w:shd w:val="clear" w:color="auto" w:fill="auto"/>
        <w:spacing w:line="360" w:lineRule="auto"/>
        <w:ind w:firstLine="422" w:firstLineChars="200"/>
        <w:rPr>
          <w:rFonts w:hint="eastAsia" w:ascii="宋体" w:hAnsi="宋体" w:eastAsia="宋体" w:cs="宋体"/>
          <w:b/>
          <w:bCs/>
          <w:color w:val="auto"/>
          <w:sz w:val="21"/>
          <w:szCs w:val="21"/>
          <w:highlight w:val="none"/>
        </w:rPr>
      </w:pP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（二）符合性审查</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评标委员会应当对符合资格的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的投标文件进行符合性审查，以确定其是否满足采购文件的实质性要求。</w:t>
      </w:r>
    </w:p>
    <w:tbl>
      <w:tblPr>
        <w:tblStyle w:val="5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7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noWrap w:val="0"/>
            <w:vAlign w:val="center"/>
          </w:tcPr>
          <w:p>
            <w:pPr>
              <w:shd w:val="clear" w:color="auto" w:fill="auto"/>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审查类别</w:t>
            </w:r>
          </w:p>
        </w:tc>
        <w:tc>
          <w:tcPr>
            <w:tcW w:w="7762" w:type="dxa"/>
            <w:noWrap w:val="0"/>
            <w:vAlign w:val="center"/>
          </w:tcPr>
          <w:p>
            <w:pPr>
              <w:shd w:val="clear" w:color="auto" w:fill="auto"/>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restart"/>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符合性审查（技术商务文件）</w:t>
            </w: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具备招标文件中规定的资格要求；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投标文件有法定代表人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签署本人姓名（或印盖本人姓名章），或签署人提供有效的法定代表人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授权委托书且授权委托书填写项目齐全的；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投标文件标明的响应或偏离与事实相符且无虚假投标的；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投标文件的实质性内容使用中文表述且意思表述明确，前后无矛盾且使用计量单位符合采购文件要求的；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带“▲”的条款满足采购文件要求、已实质性响应采购文件要求且投标文件无采购人不能接受的附加条件的；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投标技术方案明确，不存在一个或一个以上备选（替代）投标方案的；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技术商务文件中未出现报价或单价的；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tabs>
                <w:tab w:val="left" w:pos="612"/>
              </w:tabs>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不存在投标文件的有效期不满足采购文件要求情形；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技术商务文件不存在采购文件所规定的其它无效投标条款要求。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restart"/>
            <w:noWrap w:val="0"/>
            <w:vAlign w:val="center"/>
          </w:tcPr>
          <w:p>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符合性审查（报价文件）</w:t>
            </w: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采用人民币报价或者按照采购文件标明的币种报价的；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不存在报价超出最高限价，或者超出采购预算金额，采购人不能支付的情形。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不存在投标报价具有选择性的情形；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投标报价中未出现重大缺项、漏项；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不存在评标委员会认为</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的报价明显低于其他通过符合性审查</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的报价，有可能影响产品质量或者不能诚信履约的且不能在评标现场合理时间内提供相关证明材料说明其报价的合理性的情形；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投标文件（报价文件）内容与投标文件（技术商务文件）内容不存在重大差异的；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97" w:type="dxa"/>
            <w:vMerge w:val="continue"/>
            <w:noWrap w:val="0"/>
            <w:vAlign w:val="center"/>
          </w:tcPr>
          <w:p>
            <w:pPr>
              <w:shd w:val="clear" w:color="auto" w:fill="auto"/>
              <w:spacing w:line="360" w:lineRule="auto"/>
              <w:ind w:firstLine="210" w:firstLineChars="100"/>
              <w:rPr>
                <w:rFonts w:hint="eastAsia" w:ascii="宋体" w:hAnsi="宋体" w:eastAsia="宋体" w:cs="宋体"/>
                <w:color w:val="auto"/>
                <w:sz w:val="21"/>
                <w:szCs w:val="21"/>
                <w:highlight w:val="none"/>
              </w:rPr>
            </w:pPr>
          </w:p>
        </w:tc>
        <w:tc>
          <w:tcPr>
            <w:tcW w:w="7762" w:type="dxa"/>
            <w:noWrap w:val="0"/>
            <w:vAlign w:val="center"/>
          </w:tcPr>
          <w:p>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报价文件不存在采购文件所规定的其它无效投标条款要求。</w:t>
            </w:r>
          </w:p>
        </w:tc>
      </w:tr>
    </w:tbl>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（三）投标无效的情形</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实质上没有响应招标文件要求的投标将被视为无效投标。</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不得通过修正或撤消不合要求的偏离或保留从而使其投标成为实质上响应的投标，但经评标委员会认定属于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疏忽、笔误所造成的差错，应当允许其在评标结束之前进行修改或者补正。修改或者补正投标文件必须以书面形式进行，限期内不补正或经补正后仍不符合招标文件要求的，应认定其投标无效。</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修改、补正投标文件后，不影响评标委员会对其投标文件所作的评价和评分结果。</w:t>
      </w:r>
    </w:p>
    <w:p>
      <w:pPr>
        <w:keepNext w:val="0"/>
        <w:keepLines w:val="0"/>
        <w:pageBreakBefore w:val="0"/>
        <w:shd w:val="clear" w:color="auto" w:fill="auto"/>
        <w:kinsoku/>
        <w:wordWrap/>
        <w:overflowPunct/>
        <w:topLinePunct w:val="0"/>
        <w:autoSpaceDE/>
        <w:autoSpaceDN/>
        <w:bidi w:val="0"/>
        <w:adjustRightInd/>
        <w:snapToGrid/>
        <w:spacing w:line="360" w:lineRule="auto"/>
        <w:ind w:firstLine="422" w:firstLineChars="200"/>
        <w:contextualSpacing/>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A、在符合性审查（技术商务文件）时，如发现下列情形之一的，将被视为无效投标文件：</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1、资格证明文件不全的或者不符合采购文件标明的资格要求的；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2、未按照采购文件规定要求签署或盖章；</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3、投标文件无法定代表人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负责人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签署本人姓名（或印盖本人姓名章），或签署人未提供有效的法定代表人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负责人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授权委托书或授权委托书填写项目不齐全的；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4、投标文件项目不齐全；</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5、投标文件标明的响应或偏离与事实不符或虚假投标的；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6、投标文件的实质性内容未使用中文表述、意思表述不明确、前后矛盾或者使用计量单位不符合采购文件要求的（经评标委员会认定并允许其当场更正的笔误除外）；</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7、带“▲”的条款不能满足采购文件要求、未实质性响应采购文件要求或者投标文件有采购人不能接受的附加条件的；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8、投标技术方案不明确，存在一个或一个以上备选（替代）投标方案的；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9、技术商务文件中出现报价或单价的；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10、法律、法规和采购文件规定的其他无效情形；</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11、投标文件的有效期不满足采购文件要求；</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12、技术商务文件存在采购文件所规定的其它无效投标条款要求。</w:t>
      </w:r>
    </w:p>
    <w:p>
      <w:pPr>
        <w:keepNext w:val="0"/>
        <w:keepLines w:val="0"/>
        <w:pageBreakBefore w:val="0"/>
        <w:shd w:val="clear" w:color="auto" w:fill="auto"/>
        <w:kinsoku/>
        <w:wordWrap/>
        <w:overflowPunct/>
        <w:topLinePunct w:val="0"/>
        <w:autoSpaceDE/>
        <w:autoSpaceDN/>
        <w:bidi w:val="0"/>
        <w:adjustRightInd/>
        <w:snapToGrid/>
        <w:spacing w:line="360" w:lineRule="auto"/>
        <w:ind w:firstLine="422" w:firstLineChars="200"/>
        <w:contextualSpacing/>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B、在符合性审查（报价文件）时，如发现下列情形之一的，将被视为无效投标文件：</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1、未按照采购文件规定要求签署或盖章；</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2、投标文件项目不齐全；</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3、未采用人民币报价或者未按照采购文件标明的币种报价的；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4、报价超出最高限价，或者超出采购预算金额，采购人不能支付的；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5、投标报价具有选择性的；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6、投标报价中出现重大缺项、漏项；</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7、评标委员会认为</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的报价明显低于其他通过符合性审查</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的报价，有可能影响产品质量或者不能诚信履约的，且不能在评标现场合理时间内提供相关证明材料说明其报价的合理性的；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8、投标文件（报价文件）内容与投标文件（技术商务文件）内容有重大差异的；</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9、法律、法规和采购文件规定的其他无效情形；</w:t>
      </w:r>
    </w:p>
    <w:p>
      <w:pPr>
        <w:keepNext w:val="0"/>
        <w:keepLines w:val="0"/>
        <w:pageBreakBefore w:val="0"/>
        <w:shd w:val="clear" w:color="auto" w:fill="auto"/>
        <w:tabs>
          <w:tab w:val="left" w:pos="0"/>
          <w:tab w:val="left" w:pos="723"/>
        </w:tabs>
        <w:kinsoku/>
        <w:wordWrap/>
        <w:overflowPunct/>
        <w:topLinePunct w:val="0"/>
        <w:autoSpaceDE/>
        <w:autoSpaceDN/>
        <w:bidi w:val="0"/>
        <w:adjustRightInd/>
        <w:snapToGrid/>
        <w:spacing w:line="360" w:lineRule="auto"/>
        <w:ind w:firstLine="420" w:firstLineChars="200"/>
        <w:contextualSpacing/>
        <w:jc w:val="both"/>
        <w:textAlignment w:val="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10、报价文件存在采购文件所规定的其它无效投标条款要求。</w:t>
      </w:r>
    </w:p>
    <w:p>
      <w:pPr>
        <w:keepNext w:val="0"/>
        <w:keepLines w:val="0"/>
        <w:pageBreakBefore w:val="0"/>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C、评审时如发现下列情形之一的，视为</w:t>
      </w:r>
      <w:r>
        <w:rPr>
          <w:rFonts w:hint="eastAsia" w:ascii="宋体" w:hAnsi="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串通投标，其投标无效：</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的投标文件由同一单位或者个人编制；</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委托同一单位或者个人办理投标事宜；</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的投标文件载明的项目管理成员或者联系人员为同一人；</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的投标文件异常一致或者投标报价呈规律性差异；</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的投标文件相互混装；</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（四）澄清问题</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对投标文件中含义不明确、同类问题表述不一致或者有明显文字和计算错误的内容，评标委员会要求</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作出必要的澄清、说明或者纠正。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的澄清、说明或者补正应当采用书面形式，由其授权的代表签字，并不得超出投标文件的范围或者改变投标文件的实质性内容。</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（五）详细评审</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评标委员会对初步评审合格的投标文件，依照本办法对投标文件作进一步评审、比较。评标委员会成员经过阅标、审标和询标，对各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进行打分。</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评委打分参照：评分标准。评委打分采用记名方式进行独立打分，汇总所有评委会成员评分取算术平均值（小数点后保留二位数）为该</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的商务技术得分。报价文件经评标委员会评审后按评分标准表进行统一计算（小数点后保留二位小数）。最终汇总商务技术得分和报价得分（小数点后保留二位小数）。</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（六）推荐中标候选人原则</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的综合得分由高到低的排序，推荐中标候选人。若</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的综合得分相等，则投标报价低者列前；若投标报价也相同时，采取随机抽签的方式确定排序。</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（七）中标结果</w:t>
      </w:r>
    </w:p>
    <w:p>
      <w:pPr>
        <w:pStyle w:val="30"/>
        <w:keepNext w:val="0"/>
        <w:keepLines w:val="0"/>
        <w:pageBreakBefore w:val="0"/>
        <w:widowControl/>
        <w:shd w:val="clear" w:color="auto" w:fill="auto"/>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委员会按综合得分由高到低的排序，向采购人推荐中标候选人。代理机构应当自评审结束之日起2个工作日内将评审报告送交采购人。采购人应当自收到评审报告之日起5个工作日内在评审报告推荐的中标候选人中按顺序确定1名中标</w:t>
      </w:r>
      <w:r>
        <w:rPr>
          <w:rFonts w:hint="eastAsia" w:ascii="宋体" w:hAnsi="宋体" w:cs="宋体"/>
          <w:b w:val="0"/>
          <w:bCs w:val="0"/>
          <w:color w:val="auto"/>
          <w:kern w:val="2"/>
          <w:sz w:val="21"/>
          <w:szCs w:val="21"/>
          <w:highlight w:val="none"/>
          <w:lang w:val="en-US" w:eastAsia="zh-CN" w:bidi="ar-SA"/>
        </w:rPr>
        <w:t>候选人</w:t>
      </w:r>
      <w:r>
        <w:rPr>
          <w:rFonts w:hint="eastAsia" w:ascii="宋体" w:hAnsi="宋体" w:eastAsia="宋体" w:cs="宋体"/>
          <w:b w:val="0"/>
          <w:bCs w:val="0"/>
          <w:color w:val="auto"/>
          <w:kern w:val="2"/>
          <w:sz w:val="21"/>
          <w:szCs w:val="21"/>
          <w:highlight w:val="none"/>
          <w:lang w:val="en-US" w:eastAsia="zh-CN" w:bidi="ar-SA"/>
        </w:rPr>
        <w:t>。中标供</w:t>
      </w:r>
      <w:r>
        <w:rPr>
          <w:rFonts w:hint="eastAsia" w:ascii="宋体" w:hAnsi="宋体" w:cs="宋体"/>
          <w:b w:val="0"/>
          <w:bCs w:val="0"/>
          <w:color w:val="auto"/>
          <w:kern w:val="2"/>
          <w:sz w:val="21"/>
          <w:szCs w:val="21"/>
          <w:highlight w:val="none"/>
          <w:lang w:val="en-US" w:eastAsia="zh-CN" w:bidi="ar-SA"/>
        </w:rPr>
        <w:t>候选人</w:t>
      </w:r>
      <w:r>
        <w:rPr>
          <w:rFonts w:hint="eastAsia" w:ascii="宋体" w:hAnsi="宋体" w:eastAsia="宋体" w:cs="宋体"/>
          <w:b w:val="0"/>
          <w:bCs w:val="0"/>
          <w:color w:val="auto"/>
          <w:kern w:val="2"/>
          <w:sz w:val="21"/>
          <w:szCs w:val="21"/>
          <w:highlight w:val="none"/>
          <w:lang w:val="en-US" w:eastAsia="zh-CN" w:bidi="ar-SA"/>
        </w:rPr>
        <w:t>因不可抗力或者自身原因不能履行政府采购合同的，采购人可以按照评审报告推荐的下一中标候选人为中标</w:t>
      </w:r>
      <w:r>
        <w:rPr>
          <w:rFonts w:hint="eastAsia" w:ascii="宋体" w:hAnsi="宋体" w:cs="宋体"/>
          <w:b w:val="0"/>
          <w:bCs w:val="0"/>
          <w:color w:val="auto"/>
          <w:kern w:val="2"/>
          <w:sz w:val="21"/>
          <w:szCs w:val="21"/>
          <w:highlight w:val="none"/>
          <w:lang w:val="en-US" w:eastAsia="zh-CN" w:bidi="ar-SA"/>
        </w:rPr>
        <w:t>候选人</w:t>
      </w:r>
      <w:r>
        <w:rPr>
          <w:rFonts w:hint="eastAsia" w:ascii="宋体" w:hAnsi="宋体" w:eastAsia="宋体" w:cs="宋体"/>
          <w:b w:val="0"/>
          <w:bCs w:val="0"/>
          <w:color w:val="auto"/>
          <w:kern w:val="2"/>
          <w:sz w:val="21"/>
          <w:szCs w:val="21"/>
          <w:highlight w:val="none"/>
          <w:lang w:val="en-US" w:eastAsia="zh-CN" w:bidi="ar-SA"/>
        </w:rPr>
        <w:t>或重新招标。</w:t>
      </w:r>
    </w:p>
    <w:p>
      <w:pPr>
        <w:keepNext w:val="0"/>
        <w:keepLines w:val="0"/>
        <w:pageBreakBefore w:val="0"/>
        <w:widowControl/>
        <w:numPr>
          <w:ilvl w:val="0"/>
          <w:numId w:val="0"/>
        </w:numPr>
        <w:shd w:val="clear" w:color="auto" w:fill="auto"/>
        <w:kinsoku/>
        <w:wordWrap/>
        <w:overflowPunct/>
        <w:topLinePunct w:val="0"/>
        <w:autoSpaceDE w:val="0"/>
        <w:autoSpaceDN w:val="0"/>
        <w:bidi w:val="0"/>
        <w:adjustRightInd/>
        <w:snapToGrid w:val="0"/>
        <w:spacing w:line="360" w:lineRule="auto"/>
        <w:textAlignment w:val="auto"/>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b/>
          <w:bCs/>
          <w:color w:val="auto"/>
          <w:sz w:val="21"/>
          <w:szCs w:val="21"/>
          <w:highlight w:val="none"/>
          <w:lang w:val="en-US"/>
        </w:rPr>
        <w:br w:type="page"/>
      </w:r>
      <w:r>
        <w:rPr>
          <w:rFonts w:hint="eastAsia" w:ascii="微软雅黑" w:hAnsi="微软雅黑" w:eastAsia="微软雅黑" w:cs="微软雅黑"/>
          <w:b/>
          <w:bCs/>
          <w:color w:val="auto"/>
          <w:kern w:val="2"/>
          <w:sz w:val="21"/>
          <w:szCs w:val="21"/>
          <w:highlight w:val="none"/>
          <w:lang w:val="en-US" w:eastAsia="zh-CN" w:bidi="ar-SA"/>
        </w:rPr>
        <w:t>三、评分细则</w:t>
      </w:r>
    </w:p>
    <w:tbl>
      <w:tblPr>
        <w:tblStyle w:val="50"/>
        <w:tblW w:w="97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36" w:type="dxa"/>
          <w:left w:w="107" w:type="dxa"/>
          <w:bottom w:w="0" w:type="dxa"/>
          <w:right w:w="3" w:type="dxa"/>
        </w:tblCellMar>
      </w:tblPr>
      <w:tblGrid>
        <w:gridCol w:w="889"/>
        <w:gridCol w:w="8163"/>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b/>
                <w:bCs/>
                <w:color w:val="auto"/>
                <w:kern w:val="2"/>
                <w:sz w:val="21"/>
                <w:szCs w:val="21"/>
                <w:highlight w:val="none"/>
              </w:rPr>
            </w:pPr>
            <w:r>
              <w:rPr>
                <w:b/>
                <w:bCs/>
                <w:color w:val="auto"/>
                <w:kern w:val="2"/>
                <w:sz w:val="21"/>
                <w:szCs w:val="21"/>
                <w:highlight w:val="none"/>
              </w:rPr>
              <w:t>项目</w:t>
            </w:r>
          </w:p>
        </w:tc>
        <w:tc>
          <w:tcPr>
            <w:tcW w:w="816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b/>
                <w:bCs/>
                <w:color w:val="auto"/>
                <w:kern w:val="2"/>
                <w:sz w:val="21"/>
                <w:szCs w:val="21"/>
                <w:highlight w:val="none"/>
              </w:rPr>
            </w:pPr>
            <w:r>
              <w:rPr>
                <w:b/>
                <w:bCs/>
                <w:color w:val="auto"/>
                <w:kern w:val="2"/>
                <w:sz w:val="21"/>
                <w:szCs w:val="21"/>
                <w:highlight w:val="none"/>
              </w:rPr>
              <w:t>评分内容及标准</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b/>
                <w:bCs/>
                <w:color w:val="auto"/>
                <w:kern w:val="2"/>
                <w:sz w:val="21"/>
                <w:szCs w:val="21"/>
                <w:highlight w:val="none"/>
                <w:lang w:val="en-US" w:eastAsia="zh-CN"/>
              </w:rPr>
            </w:pPr>
            <w:r>
              <w:rPr>
                <w:rFonts w:hint="eastAsia"/>
                <w:b/>
                <w:bCs/>
                <w:color w:val="auto"/>
                <w:kern w:val="2"/>
                <w:sz w:val="21"/>
                <w:szCs w:val="21"/>
                <w:highlight w:val="none"/>
                <w:lang w:val="en-US"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restart"/>
            <w:tcBorders>
              <w:tl2br w:val="nil"/>
              <w:tr2bl w:val="nil"/>
            </w:tcBorders>
            <w:noWrap w:val="0"/>
            <w:vAlign w:val="center"/>
          </w:tcPr>
          <w:p>
            <w:pPr>
              <w:shd w:val="clear" w:color="auto" w:fill="auto"/>
              <w:spacing w:line="360" w:lineRule="auto"/>
              <w:rPr>
                <w:b/>
                <w:bCs/>
                <w:color w:val="auto"/>
                <w:kern w:val="2"/>
                <w:sz w:val="21"/>
                <w:szCs w:val="21"/>
                <w:highlight w:val="none"/>
              </w:rPr>
            </w:pPr>
            <w:r>
              <w:rPr>
                <w:b/>
                <w:bCs/>
                <w:color w:val="auto"/>
                <w:kern w:val="2"/>
                <w:sz w:val="21"/>
                <w:szCs w:val="21"/>
                <w:highlight w:val="none"/>
              </w:rPr>
              <w:t>技术商务部分</w:t>
            </w:r>
          </w:p>
          <w:p>
            <w:pPr>
              <w:shd w:val="clear" w:color="auto" w:fill="auto"/>
              <w:spacing w:line="360" w:lineRule="auto"/>
              <w:rPr>
                <w:b/>
                <w:bCs/>
                <w:color w:val="auto"/>
                <w:kern w:val="2"/>
                <w:sz w:val="21"/>
                <w:szCs w:val="21"/>
                <w:highlight w:val="none"/>
              </w:rPr>
            </w:pPr>
            <w:r>
              <w:rPr>
                <w:b/>
                <w:bCs/>
                <w:color w:val="auto"/>
                <w:kern w:val="2"/>
                <w:sz w:val="21"/>
                <w:szCs w:val="21"/>
                <w:highlight w:val="none"/>
              </w:rPr>
              <w:t>（80分）</w:t>
            </w: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eastAsia="宋体"/>
                <w:b/>
                <w:bCs/>
                <w:color w:val="auto"/>
                <w:kern w:val="2"/>
                <w:sz w:val="21"/>
                <w:szCs w:val="21"/>
                <w:highlight w:val="none"/>
                <w:lang w:eastAsia="zh-CN"/>
              </w:rPr>
            </w:pPr>
            <w:r>
              <w:rPr>
                <w:b/>
                <w:bCs/>
                <w:color w:val="auto"/>
                <w:kern w:val="2"/>
                <w:sz w:val="21"/>
                <w:szCs w:val="21"/>
                <w:highlight w:val="none"/>
              </w:rPr>
              <w:t>技术指标响应性（15分）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评标委员会根据投标产品技术指标对第二章</w:t>
            </w:r>
            <w:r>
              <w:rPr>
                <w:rFonts w:hint="eastAsia"/>
                <w:color w:val="auto"/>
                <w:kern w:val="2"/>
                <w:sz w:val="21"/>
                <w:szCs w:val="21"/>
                <w:highlight w:val="none"/>
              </w:rPr>
              <w:t>招标需求</w:t>
            </w:r>
            <w:r>
              <w:rPr>
                <w:color w:val="auto"/>
                <w:kern w:val="2"/>
                <w:sz w:val="21"/>
                <w:szCs w:val="21"/>
                <w:highlight w:val="none"/>
              </w:rPr>
              <w:t>中“主要设备参数清单”内容的响应情况：全部满足或者优于招标要求的得15分。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一般参数负偏离每条扣1分，本项扣完为止；</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打“★”重要参数如有负偏离每条扣2分，本项扣完为止。</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注：招标文件要求提供的功能截图或相关证明材料复印件，需附在投标文件中并加盖公章，如未提供或提供内容不全、不清晰，则不得分。</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rPr>
              <w:t>数字化</w:t>
            </w:r>
            <w:r>
              <w:rPr>
                <w:b/>
                <w:bCs/>
                <w:color w:val="auto"/>
                <w:kern w:val="2"/>
                <w:sz w:val="21"/>
                <w:szCs w:val="21"/>
                <w:highlight w:val="none"/>
              </w:rPr>
              <w:t>方案</w:t>
            </w:r>
            <w:r>
              <w:rPr>
                <w:rFonts w:hint="eastAsia"/>
                <w:b/>
                <w:bCs/>
                <w:color w:val="auto"/>
                <w:kern w:val="2"/>
                <w:sz w:val="21"/>
                <w:szCs w:val="21"/>
                <w:highlight w:val="none"/>
              </w:rPr>
              <w:t>设计</w:t>
            </w:r>
            <w:r>
              <w:rPr>
                <w:b/>
                <w:bCs/>
                <w:color w:val="auto"/>
                <w:kern w:val="2"/>
                <w:sz w:val="21"/>
                <w:szCs w:val="21"/>
                <w:highlight w:val="none"/>
              </w:rPr>
              <w:t>（12分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根据投标人提供的针对本项目</w:t>
            </w:r>
            <w:r>
              <w:rPr>
                <w:rFonts w:hint="eastAsia"/>
                <w:color w:val="auto"/>
                <w:kern w:val="2"/>
                <w:sz w:val="21"/>
                <w:szCs w:val="21"/>
                <w:highlight w:val="none"/>
              </w:rPr>
              <w:t>设计的数字化</w:t>
            </w:r>
            <w:r>
              <w:rPr>
                <w:color w:val="auto"/>
                <w:kern w:val="2"/>
                <w:sz w:val="21"/>
                <w:szCs w:val="21"/>
                <w:highlight w:val="none"/>
              </w:rPr>
              <w:t>方案进行综合评审</w:t>
            </w:r>
            <w:r>
              <w:rPr>
                <w:rFonts w:hint="eastAsia"/>
                <w:color w:val="auto"/>
                <w:kern w:val="2"/>
                <w:sz w:val="21"/>
                <w:szCs w:val="21"/>
                <w:highlight w:val="none"/>
                <w:lang w:eastAsia="zh-CN"/>
              </w:rPr>
              <w:t>，</w:t>
            </w:r>
            <w:r>
              <w:rPr>
                <w:rFonts w:hint="eastAsia"/>
                <w:color w:val="auto"/>
                <w:kern w:val="2"/>
                <w:sz w:val="21"/>
                <w:szCs w:val="21"/>
                <w:highlight w:val="none"/>
              </w:rPr>
              <w:t>数字化建设方案</w:t>
            </w:r>
            <w:r>
              <w:rPr>
                <w:color w:val="auto"/>
                <w:kern w:val="2"/>
                <w:sz w:val="21"/>
                <w:szCs w:val="21"/>
                <w:highlight w:val="none"/>
              </w:rPr>
              <w:t>内容包括</w:t>
            </w:r>
            <w:r>
              <w:rPr>
                <w:rFonts w:hint="eastAsia"/>
                <w:color w:val="auto"/>
                <w:kern w:val="2"/>
                <w:sz w:val="21"/>
                <w:szCs w:val="21"/>
                <w:highlight w:val="none"/>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1、社区数字化基本现状、数字化资源</w:t>
            </w:r>
            <w:r>
              <w:rPr>
                <w:rFonts w:hint="eastAsia"/>
                <w:color w:val="auto"/>
                <w:kern w:val="2"/>
                <w:sz w:val="21"/>
                <w:szCs w:val="21"/>
                <w:highlight w:val="none"/>
              </w:rPr>
              <w:t>清单</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2、平台建设模式与组织架构</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3、数字化建设目标和任务</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4、数字化建设总体框架图和路线图</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5、拟建设/落地的重点数字化应用</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6、数字社会公共服务落地方案</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7、数字化融合社区运营方案</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8、数字化系统安全设计</w:t>
            </w:r>
            <w:r>
              <w:rPr>
                <w:rFonts w:hint="eastAsia"/>
                <w:color w:val="auto"/>
                <w:kern w:val="2"/>
                <w:sz w:val="21"/>
                <w:szCs w:val="21"/>
                <w:highlight w:val="none"/>
              </w:rPr>
              <w:t>等。</w:t>
            </w:r>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73" w:name="_Toc24748"/>
            <w:bookmarkStart w:id="74" w:name="_Toc12181"/>
            <w:r>
              <w:rPr>
                <w:rFonts w:hint="eastAsia"/>
                <w:color w:val="auto"/>
                <w:kern w:val="2"/>
                <w:sz w:val="21"/>
                <w:szCs w:val="21"/>
                <w:highlight w:val="none"/>
              </w:rPr>
              <w:t>数字化方案</w:t>
            </w:r>
            <w:r>
              <w:rPr>
                <w:color w:val="auto"/>
                <w:kern w:val="2"/>
                <w:sz w:val="21"/>
                <w:szCs w:val="21"/>
                <w:highlight w:val="none"/>
              </w:rPr>
              <w:t>全面、合理、</w:t>
            </w:r>
            <w:r>
              <w:rPr>
                <w:rFonts w:hint="eastAsia"/>
                <w:color w:val="auto"/>
                <w:kern w:val="2"/>
                <w:sz w:val="21"/>
                <w:szCs w:val="21"/>
                <w:highlight w:val="none"/>
              </w:rPr>
              <w:t>具有</w:t>
            </w:r>
            <w:r>
              <w:rPr>
                <w:color w:val="auto"/>
                <w:kern w:val="2"/>
                <w:sz w:val="21"/>
                <w:szCs w:val="21"/>
                <w:highlight w:val="none"/>
              </w:rPr>
              <w:t>操作性</w:t>
            </w:r>
            <w:r>
              <w:rPr>
                <w:rFonts w:hint="eastAsia"/>
                <w:color w:val="auto"/>
                <w:kern w:val="2"/>
                <w:sz w:val="21"/>
                <w:szCs w:val="21"/>
                <w:highlight w:val="none"/>
              </w:rPr>
              <w:t>、特色亮点鲜明，符合项目需求，得1</w:t>
            </w:r>
            <w:r>
              <w:rPr>
                <w:color w:val="auto"/>
                <w:kern w:val="2"/>
                <w:sz w:val="21"/>
                <w:szCs w:val="21"/>
                <w:highlight w:val="none"/>
              </w:rPr>
              <w:t>2-10</w:t>
            </w:r>
            <w:r>
              <w:rPr>
                <w:rFonts w:hint="eastAsia"/>
                <w:color w:val="auto"/>
                <w:kern w:val="2"/>
                <w:sz w:val="21"/>
                <w:szCs w:val="21"/>
                <w:highlight w:val="none"/>
              </w:rPr>
              <w:t>分；</w:t>
            </w:r>
            <w:bookmarkEnd w:id="73"/>
            <w:bookmarkEnd w:id="74"/>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color w:val="auto"/>
                <w:kern w:val="2"/>
                <w:sz w:val="21"/>
                <w:szCs w:val="21"/>
                <w:highlight w:val="none"/>
              </w:rPr>
            </w:pPr>
            <w:r>
              <w:rPr>
                <w:rFonts w:hint="eastAsia"/>
                <w:color w:val="auto"/>
                <w:kern w:val="2"/>
                <w:sz w:val="21"/>
                <w:szCs w:val="21"/>
                <w:highlight w:val="none"/>
              </w:rPr>
              <w:t>数字化方案内容完整，基本符合项目需求，得9</w:t>
            </w:r>
            <w:r>
              <w:rPr>
                <w:color w:val="auto"/>
                <w:kern w:val="2"/>
                <w:sz w:val="21"/>
                <w:szCs w:val="21"/>
                <w:highlight w:val="none"/>
              </w:rPr>
              <w:t>-5</w:t>
            </w:r>
            <w:r>
              <w:rPr>
                <w:rFonts w:hint="eastAsia"/>
                <w:color w:val="auto"/>
                <w:kern w:val="2"/>
                <w:sz w:val="21"/>
                <w:szCs w:val="21"/>
                <w:highlight w:val="none"/>
              </w:rPr>
              <w:t>分；</w:t>
            </w:r>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rFonts w:hint="eastAsia"/>
                <w:color w:val="auto"/>
                <w:kern w:val="2"/>
                <w:sz w:val="21"/>
                <w:szCs w:val="21"/>
                <w:highlight w:val="none"/>
              </w:rPr>
            </w:pPr>
            <w:bookmarkStart w:id="75" w:name="_Toc28188"/>
            <w:bookmarkStart w:id="76" w:name="_Toc8906"/>
            <w:r>
              <w:rPr>
                <w:rFonts w:hint="eastAsia"/>
                <w:color w:val="auto"/>
                <w:kern w:val="2"/>
                <w:sz w:val="21"/>
                <w:szCs w:val="21"/>
                <w:highlight w:val="none"/>
              </w:rPr>
              <w:t>数字化方案内容有所欠缺，缺乏特色，得</w:t>
            </w:r>
            <w:r>
              <w:rPr>
                <w:color w:val="auto"/>
                <w:kern w:val="2"/>
                <w:sz w:val="21"/>
                <w:szCs w:val="21"/>
                <w:highlight w:val="none"/>
              </w:rPr>
              <w:t>4-0</w:t>
            </w:r>
            <w:r>
              <w:rPr>
                <w:rFonts w:hint="eastAsia"/>
                <w:color w:val="auto"/>
                <w:kern w:val="2"/>
                <w:sz w:val="21"/>
                <w:szCs w:val="21"/>
                <w:highlight w:val="none"/>
              </w:rPr>
              <w:t>分。</w:t>
            </w:r>
            <w:bookmarkEnd w:id="75"/>
            <w:bookmarkEnd w:id="76"/>
          </w:p>
        </w:tc>
        <w:tc>
          <w:tcPr>
            <w:tcW w:w="680" w:type="dxa"/>
            <w:tcBorders>
              <w:tl2br w:val="nil"/>
              <w:tr2bl w:val="nil"/>
            </w:tcBorders>
            <w:noWrap w:val="0"/>
            <w:vAlign w:val="center"/>
          </w:tcPr>
          <w:p>
            <w:pPr>
              <w:pStyle w:val="5"/>
              <w:keepNext w:val="0"/>
              <w:keepLines w:val="0"/>
              <w:pageBreakBefore w:val="0"/>
              <w:widowControl w:val="0"/>
              <w:shd w:val="clear" w:color="auto" w:fill="auto"/>
              <w:kinsoku/>
              <w:wordWrap/>
              <w:overflowPunct/>
              <w:topLinePunct w:val="0"/>
              <w:autoSpaceDE w:val="0"/>
              <w:autoSpaceDN w:val="0"/>
              <w:bidi w:val="0"/>
              <w:adjustRightInd/>
              <w:snapToGrid/>
              <w:spacing w:before="0" w:line="240" w:lineRule="auto"/>
              <w:jc w:val="center"/>
              <w:textAlignment w:val="auto"/>
              <w:rPr>
                <w:rFonts w:hint="default" w:eastAsia="宋体"/>
                <w:color w:val="auto"/>
                <w:kern w:val="2"/>
                <w:sz w:val="21"/>
                <w:szCs w:val="21"/>
                <w:highlight w:val="none"/>
                <w:lang w:val="en-US" w:eastAsia="zh-CN"/>
              </w:rPr>
            </w:pPr>
            <w:bookmarkStart w:id="77" w:name="_Toc814"/>
            <w:r>
              <w:rPr>
                <w:rFonts w:hint="eastAsia"/>
                <w:color w:val="auto"/>
                <w:kern w:val="2"/>
                <w:sz w:val="21"/>
                <w:szCs w:val="21"/>
                <w:highlight w:val="none"/>
                <w:lang w:val="en-US" w:eastAsia="zh-CN"/>
              </w:rPr>
              <w:t>12</w:t>
            </w:r>
            <w:bookmarkEnd w:id="7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rPr>
              <w:t>项目整体实施方案（1</w:t>
            </w:r>
            <w:r>
              <w:rPr>
                <w:b/>
                <w:bCs/>
                <w:color w:val="auto"/>
                <w:kern w:val="2"/>
                <w:sz w:val="21"/>
                <w:szCs w:val="21"/>
                <w:highlight w:val="none"/>
              </w:rPr>
              <w:t>0</w:t>
            </w:r>
            <w:r>
              <w:rPr>
                <w:rFonts w:hint="eastAsia"/>
                <w:b/>
                <w:bCs/>
                <w:color w:val="auto"/>
                <w:kern w:val="2"/>
                <w:sz w:val="21"/>
                <w:szCs w:val="21"/>
                <w:highlight w:val="none"/>
              </w:rPr>
              <w:t>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根据投标人提供的针对本项目制定的实施方案全面、合理、操作性进行综合评审</w:t>
            </w:r>
            <w:r>
              <w:rPr>
                <w:rFonts w:hint="eastAsia"/>
                <w:color w:val="auto"/>
                <w:kern w:val="2"/>
                <w:sz w:val="21"/>
                <w:szCs w:val="21"/>
                <w:highlight w:val="none"/>
              </w:rPr>
              <w:t>：</w:t>
            </w:r>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78" w:name="_Toc30579"/>
            <w:bookmarkStart w:id="79" w:name="_Toc11322"/>
            <w:r>
              <w:rPr>
                <w:color w:val="auto"/>
                <w:kern w:val="2"/>
                <w:sz w:val="21"/>
                <w:szCs w:val="21"/>
                <w:highlight w:val="none"/>
              </w:rPr>
              <w:t>项目实施方案切合实际、针对性强、内容完整，进度保证措施完善、符合项目实际要求的得10-8分；</w:t>
            </w:r>
            <w:bookmarkEnd w:id="78"/>
            <w:bookmarkEnd w:id="79"/>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80" w:name="_Toc22298"/>
            <w:bookmarkStart w:id="81" w:name="_Toc20887"/>
            <w:r>
              <w:rPr>
                <w:color w:val="auto"/>
                <w:kern w:val="2"/>
                <w:sz w:val="21"/>
                <w:szCs w:val="21"/>
                <w:highlight w:val="none"/>
              </w:rPr>
              <w:t>方案符合招标文件要求、内容完整，实施进度基本符合实际情况、具有可行性的得</w:t>
            </w:r>
            <w:r>
              <w:rPr>
                <w:rFonts w:hint="eastAsia"/>
                <w:color w:val="auto"/>
                <w:kern w:val="2"/>
                <w:sz w:val="21"/>
                <w:szCs w:val="21"/>
                <w:highlight w:val="none"/>
                <w:lang w:val="en-US"/>
              </w:rPr>
              <w:t>8</w:t>
            </w:r>
            <w:r>
              <w:rPr>
                <w:color w:val="auto"/>
                <w:kern w:val="2"/>
                <w:sz w:val="21"/>
                <w:szCs w:val="21"/>
                <w:highlight w:val="none"/>
              </w:rPr>
              <w:t>-5分；</w:t>
            </w:r>
            <w:bookmarkEnd w:id="80"/>
            <w:bookmarkEnd w:id="81"/>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方案、措施符合要求，但内容有所欠缺的得</w:t>
            </w:r>
            <w:r>
              <w:rPr>
                <w:rFonts w:hint="eastAsia"/>
                <w:color w:val="auto"/>
                <w:kern w:val="2"/>
                <w:sz w:val="21"/>
                <w:szCs w:val="21"/>
                <w:highlight w:val="none"/>
                <w:lang w:val="en-US"/>
              </w:rPr>
              <w:t>5</w:t>
            </w:r>
            <w:r>
              <w:rPr>
                <w:color w:val="auto"/>
                <w:kern w:val="2"/>
                <w:sz w:val="21"/>
                <w:szCs w:val="21"/>
                <w:highlight w:val="none"/>
              </w:rPr>
              <w:t>-0分</w:t>
            </w:r>
            <w:r>
              <w:rPr>
                <w:rFonts w:hint="eastAsia"/>
                <w:color w:val="auto"/>
                <w:kern w:val="2"/>
                <w:sz w:val="21"/>
                <w:szCs w:val="21"/>
                <w:highlight w:val="none"/>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color w:val="auto"/>
                <w:kern w:val="2"/>
                <w:sz w:val="21"/>
                <w:szCs w:val="21"/>
                <w:highlight w:val="none"/>
              </w:rPr>
            </w:pPr>
            <w:r>
              <w:rPr>
                <w:rFonts w:hint="eastAsia"/>
                <w:color w:val="auto"/>
                <w:kern w:val="2"/>
                <w:sz w:val="21"/>
                <w:szCs w:val="21"/>
                <w:highlight w:val="none"/>
              </w:rPr>
              <w:t>备注：</w:t>
            </w:r>
            <w:r>
              <w:rPr>
                <w:color w:val="auto"/>
                <w:kern w:val="2"/>
                <w:sz w:val="21"/>
                <w:szCs w:val="21"/>
                <w:highlight w:val="none"/>
              </w:rPr>
              <w:t>实施方案内容包括但不限于技术方案、实施管理</w:t>
            </w:r>
            <w:r>
              <w:rPr>
                <w:rFonts w:hint="eastAsia"/>
                <w:color w:val="auto"/>
                <w:kern w:val="2"/>
                <w:sz w:val="21"/>
                <w:szCs w:val="21"/>
                <w:highlight w:val="none"/>
              </w:rPr>
              <w:t>方案</w:t>
            </w:r>
            <w:r>
              <w:rPr>
                <w:color w:val="auto"/>
                <w:kern w:val="2"/>
                <w:sz w:val="21"/>
                <w:szCs w:val="21"/>
                <w:highlight w:val="none"/>
              </w:rPr>
              <w:t>、进度安排、安装调试及验收方案、质量保证、安全文明施工管理、人员配置、应急管理、培训等</w:t>
            </w:r>
            <w:r>
              <w:rPr>
                <w:rFonts w:hint="eastAsia"/>
                <w:color w:val="auto"/>
                <w:kern w:val="2"/>
                <w:sz w:val="21"/>
                <w:szCs w:val="21"/>
                <w:highlight w:val="none"/>
              </w:rPr>
              <w:t>。</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rFonts w:hint="eastAsia"/>
                <w:b/>
                <w:bCs/>
                <w:color w:val="auto"/>
                <w:kern w:val="2"/>
                <w:sz w:val="21"/>
                <w:szCs w:val="21"/>
                <w:highlight w:val="none"/>
                <w:lang w:eastAsia="zh-CN"/>
              </w:rPr>
            </w:pPr>
            <w:bookmarkStart w:id="82" w:name="_Toc5726"/>
            <w:bookmarkStart w:id="83" w:name="_Toc20956"/>
            <w:r>
              <w:rPr>
                <w:b/>
                <w:bCs/>
                <w:color w:val="auto"/>
                <w:kern w:val="2"/>
                <w:sz w:val="21"/>
                <w:szCs w:val="21"/>
                <w:highlight w:val="none"/>
              </w:rPr>
              <w:t>项目重难点分析（</w:t>
            </w:r>
            <w:r>
              <w:rPr>
                <w:rFonts w:hint="eastAsia"/>
                <w:b/>
                <w:bCs/>
                <w:color w:val="auto"/>
                <w:kern w:val="2"/>
                <w:sz w:val="21"/>
                <w:szCs w:val="21"/>
                <w:highlight w:val="none"/>
                <w:lang w:val="en-US" w:eastAsia="zh-CN"/>
              </w:rPr>
              <w:t>8</w:t>
            </w:r>
            <w:r>
              <w:rPr>
                <w:b/>
                <w:bCs/>
                <w:color w:val="auto"/>
                <w:kern w:val="2"/>
                <w:sz w:val="21"/>
                <w:szCs w:val="21"/>
                <w:highlight w:val="none"/>
              </w:rPr>
              <w:t>分）</w:t>
            </w:r>
            <w:r>
              <w:rPr>
                <w:rFonts w:hint="eastAsia"/>
                <w:b/>
                <w:bCs/>
                <w:color w:val="auto"/>
                <w:kern w:val="2"/>
                <w:sz w:val="21"/>
                <w:szCs w:val="21"/>
                <w:highlight w:val="none"/>
                <w:lang w:eastAsia="zh-CN"/>
              </w:rPr>
              <w:t>：</w:t>
            </w:r>
            <w:bookmarkEnd w:id="82"/>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84" w:name="_Toc17172"/>
            <w:r>
              <w:rPr>
                <w:color w:val="auto"/>
                <w:kern w:val="2"/>
                <w:sz w:val="21"/>
                <w:szCs w:val="21"/>
                <w:highlight w:val="none"/>
              </w:rPr>
              <w:t>评标委员会根据投标人针对本项目实际情况、重点难点分析理解：</w:t>
            </w:r>
            <w:bookmarkEnd w:id="83"/>
            <w:bookmarkEnd w:id="84"/>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85" w:name="_Toc4461"/>
            <w:bookmarkStart w:id="86" w:name="_Toc16748"/>
            <w:r>
              <w:rPr>
                <w:color w:val="auto"/>
                <w:kern w:val="2"/>
                <w:sz w:val="21"/>
                <w:szCs w:val="21"/>
                <w:highlight w:val="none"/>
              </w:rPr>
              <w:t>重点难点分析清晰、贴合实际，建议及措施合理、科学有效的得</w:t>
            </w:r>
            <w:r>
              <w:rPr>
                <w:rFonts w:hint="eastAsia"/>
                <w:color w:val="auto"/>
                <w:kern w:val="2"/>
                <w:sz w:val="21"/>
                <w:szCs w:val="21"/>
                <w:highlight w:val="none"/>
                <w:lang w:val="en-US" w:eastAsia="zh-CN"/>
              </w:rPr>
              <w:t>8</w:t>
            </w:r>
            <w:r>
              <w:rPr>
                <w:color w:val="auto"/>
                <w:kern w:val="2"/>
                <w:sz w:val="21"/>
                <w:szCs w:val="21"/>
                <w:highlight w:val="none"/>
              </w:rPr>
              <w:t>-</w:t>
            </w:r>
            <w:r>
              <w:rPr>
                <w:rFonts w:hint="eastAsia"/>
                <w:color w:val="auto"/>
                <w:kern w:val="2"/>
                <w:sz w:val="21"/>
                <w:szCs w:val="21"/>
                <w:highlight w:val="none"/>
                <w:lang w:val="en-US"/>
              </w:rPr>
              <w:t>5</w:t>
            </w:r>
            <w:r>
              <w:rPr>
                <w:color w:val="auto"/>
                <w:kern w:val="2"/>
                <w:sz w:val="21"/>
                <w:szCs w:val="21"/>
                <w:highlight w:val="none"/>
              </w:rPr>
              <w:t>分；</w:t>
            </w:r>
            <w:bookmarkEnd w:id="85"/>
            <w:bookmarkEnd w:id="86"/>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color w:val="auto"/>
                <w:kern w:val="2"/>
                <w:sz w:val="21"/>
                <w:szCs w:val="21"/>
                <w:highlight w:val="none"/>
              </w:rPr>
            </w:pPr>
            <w:bookmarkStart w:id="87" w:name="_Toc3150"/>
            <w:bookmarkStart w:id="88" w:name="_Toc9451"/>
            <w:r>
              <w:rPr>
                <w:color w:val="auto"/>
                <w:kern w:val="2"/>
                <w:sz w:val="21"/>
                <w:szCs w:val="21"/>
                <w:highlight w:val="none"/>
              </w:rPr>
              <w:t>重点难点分析基本符合项目情况、建议及措施具有可操作性的得</w:t>
            </w:r>
            <w:r>
              <w:rPr>
                <w:rFonts w:hint="eastAsia"/>
                <w:color w:val="auto"/>
                <w:kern w:val="2"/>
                <w:sz w:val="21"/>
                <w:szCs w:val="21"/>
                <w:highlight w:val="none"/>
                <w:lang w:val="en-US"/>
              </w:rPr>
              <w:t>5</w:t>
            </w:r>
            <w:r>
              <w:rPr>
                <w:color w:val="auto"/>
                <w:kern w:val="2"/>
                <w:sz w:val="21"/>
                <w:szCs w:val="21"/>
                <w:highlight w:val="none"/>
              </w:rPr>
              <w:t>-2</w:t>
            </w:r>
            <w:r>
              <w:rPr>
                <w:rFonts w:hint="eastAsia"/>
                <w:color w:val="auto"/>
                <w:kern w:val="2"/>
                <w:sz w:val="21"/>
                <w:szCs w:val="21"/>
                <w:highlight w:val="none"/>
                <w:lang w:val="en-US"/>
              </w:rPr>
              <w:t>.5</w:t>
            </w:r>
            <w:r>
              <w:rPr>
                <w:color w:val="auto"/>
                <w:kern w:val="2"/>
                <w:sz w:val="21"/>
                <w:szCs w:val="21"/>
                <w:highlight w:val="none"/>
              </w:rPr>
              <w:t>分；</w:t>
            </w:r>
            <w:bookmarkEnd w:id="87"/>
            <w:bookmarkEnd w:id="88"/>
          </w:p>
          <w:p>
            <w:pPr>
              <w:pStyle w:val="5"/>
              <w:keepNext w:val="0"/>
              <w:keepLines w:val="0"/>
              <w:pageBreakBefore w:val="0"/>
              <w:shd w:val="clear" w:color="auto" w:fill="auto"/>
              <w:kinsoku/>
              <w:wordWrap/>
              <w:overflowPunct/>
              <w:topLinePunct w:val="0"/>
              <w:autoSpaceDE w:val="0"/>
              <w:autoSpaceDN w:val="0"/>
              <w:bidi w:val="0"/>
              <w:adjustRightInd/>
              <w:snapToGrid/>
              <w:spacing w:before="0" w:line="440" w:lineRule="exact"/>
              <w:jc w:val="both"/>
              <w:textAlignment w:val="auto"/>
              <w:rPr>
                <w:rFonts w:hint="eastAsia"/>
                <w:color w:val="auto"/>
                <w:kern w:val="2"/>
                <w:sz w:val="21"/>
                <w:szCs w:val="21"/>
                <w:highlight w:val="none"/>
              </w:rPr>
            </w:pPr>
            <w:bookmarkStart w:id="89" w:name="_Toc16095"/>
            <w:bookmarkStart w:id="90" w:name="_Toc4656"/>
            <w:r>
              <w:rPr>
                <w:color w:val="auto"/>
                <w:kern w:val="2"/>
                <w:sz w:val="21"/>
                <w:szCs w:val="21"/>
                <w:highlight w:val="none"/>
              </w:rPr>
              <w:t>重点难点分析、建议及措施不够完善的得2</w:t>
            </w:r>
            <w:r>
              <w:rPr>
                <w:rFonts w:hint="eastAsia"/>
                <w:color w:val="auto"/>
                <w:kern w:val="2"/>
                <w:sz w:val="21"/>
                <w:szCs w:val="21"/>
                <w:highlight w:val="none"/>
                <w:lang w:val="en-US"/>
              </w:rPr>
              <w:t>.5</w:t>
            </w:r>
            <w:r>
              <w:rPr>
                <w:color w:val="auto"/>
                <w:kern w:val="2"/>
                <w:sz w:val="21"/>
                <w:szCs w:val="21"/>
                <w:highlight w:val="none"/>
              </w:rPr>
              <w:t>-0分。</w:t>
            </w:r>
            <w:bookmarkEnd w:id="89"/>
            <w:bookmarkEnd w:id="90"/>
          </w:p>
        </w:tc>
        <w:tc>
          <w:tcPr>
            <w:tcW w:w="680" w:type="dxa"/>
            <w:tcBorders>
              <w:tl2br w:val="nil"/>
              <w:tr2bl w:val="nil"/>
            </w:tcBorders>
            <w:noWrap w:val="0"/>
            <w:vAlign w:val="center"/>
          </w:tcPr>
          <w:p>
            <w:pPr>
              <w:pStyle w:val="5"/>
              <w:keepNext w:val="0"/>
              <w:keepLines w:val="0"/>
              <w:pageBreakBefore w:val="0"/>
              <w:widowControl w:val="0"/>
              <w:shd w:val="clear" w:color="auto" w:fill="auto"/>
              <w:kinsoku/>
              <w:wordWrap/>
              <w:overflowPunct/>
              <w:topLinePunct w:val="0"/>
              <w:autoSpaceDE w:val="0"/>
              <w:autoSpaceDN w:val="0"/>
              <w:bidi w:val="0"/>
              <w:adjustRightInd/>
              <w:snapToGrid/>
              <w:spacing w:before="0" w:line="240" w:lineRule="auto"/>
              <w:jc w:val="center"/>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rPr>
              <w:t>售后服务及运维支撑能力</w:t>
            </w:r>
            <w:r>
              <w:rPr>
                <w:b/>
                <w:bCs/>
                <w:color w:val="auto"/>
                <w:kern w:val="2"/>
                <w:sz w:val="21"/>
                <w:szCs w:val="21"/>
                <w:highlight w:val="none"/>
              </w:rPr>
              <w:t>（8分）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根据投标人提供的针对本项目的售后服务体系、售后服务方案、售后服务承诺、备品备件、售后服务机构及人员数量情况进行评审（</w:t>
            </w:r>
            <w:r>
              <w:rPr>
                <w:rFonts w:hint="eastAsia"/>
                <w:color w:val="auto"/>
                <w:kern w:val="2"/>
                <w:sz w:val="21"/>
                <w:szCs w:val="21"/>
                <w:highlight w:val="none"/>
                <w:lang w:val="en-US"/>
              </w:rPr>
              <w:t>4</w:t>
            </w:r>
            <w:r>
              <w:rPr>
                <w:color w:val="auto"/>
                <w:kern w:val="2"/>
                <w:sz w:val="21"/>
                <w:szCs w:val="21"/>
                <w:highlight w:val="none"/>
              </w:rPr>
              <w:t>-0分）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根据投标人提供的售后服务便捷性，包括响应及时性、到达现场的时间、项目运维期间配合服务的便捷程度、人员设备及技术支持的应急配合能力及时效等方面进行评审（</w:t>
            </w:r>
            <w:r>
              <w:rPr>
                <w:rFonts w:hint="eastAsia"/>
                <w:color w:val="auto"/>
                <w:kern w:val="2"/>
                <w:sz w:val="21"/>
                <w:szCs w:val="21"/>
                <w:highlight w:val="none"/>
                <w:lang w:val="en-US"/>
              </w:rPr>
              <w:t>4</w:t>
            </w:r>
            <w:r>
              <w:rPr>
                <w:color w:val="auto"/>
                <w:kern w:val="2"/>
                <w:sz w:val="21"/>
                <w:szCs w:val="21"/>
                <w:highlight w:val="none"/>
              </w:rPr>
              <w:t>-0分）</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restart"/>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rPr>
              <w:t>集成对接能力</w:t>
            </w:r>
            <w:r>
              <w:rPr>
                <w:b/>
                <w:bCs/>
                <w:color w:val="auto"/>
                <w:kern w:val="2"/>
                <w:sz w:val="21"/>
                <w:szCs w:val="21"/>
                <w:highlight w:val="none"/>
              </w:rPr>
              <w:t>（6分</w:t>
            </w:r>
            <w:r>
              <w:rPr>
                <w:rFonts w:hint="eastAsia"/>
                <w:b/>
                <w:bCs/>
                <w:color w:val="auto"/>
                <w:kern w:val="2"/>
                <w:sz w:val="21"/>
                <w:szCs w:val="21"/>
                <w:highlight w:val="none"/>
                <w:lang w:eastAsia="zh-CN"/>
              </w:rPr>
              <w:t>）：</w:t>
            </w:r>
          </w:p>
          <w:p>
            <w:pPr>
              <w:keepNext w:val="0"/>
              <w:keepLines w:val="0"/>
              <w:pageBreakBefore w:val="0"/>
              <w:widowControl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根据投标人所开发的未来社区智慧服务平台与姚江社区及姚江花园小区</w:t>
            </w:r>
            <w:r>
              <w:rPr>
                <w:color w:val="auto"/>
                <w:kern w:val="2"/>
                <w:sz w:val="21"/>
                <w:szCs w:val="21"/>
                <w:highlight w:val="none"/>
              </w:rPr>
              <w:t>现有数字化资源</w:t>
            </w:r>
            <w:r>
              <w:rPr>
                <w:rFonts w:hint="eastAsia"/>
                <w:color w:val="auto"/>
                <w:kern w:val="2"/>
                <w:sz w:val="21"/>
                <w:szCs w:val="21"/>
                <w:highlight w:val="none"/>
              </w:rPr>
              <w:t>集成方案进行综合评定，从具体实现方案的可行性、效果进行综合评议：</w:t>
            </w:r>
          </w:p>
          <w:p>
            <w:pPr>
              <w:keepNext w:val="0"/>
              <w:keepLines w:val="0"/>
              <w:pageBreakBefore w:val="0"/>
              <w:widowControl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（1）硬件集成对接：视频监控、门禁、物联网感知等设备集成对接方案，从方案技术可行性、对接效果进行综合评分，得</w:t>
            </w:r>
            <w:r>
              <w:rPr>
                <w:color w:val="auto"/>
                <w:kern w:val="2"/>
                <w:sz w:val="21"/>
                <w:szCs w:val="21"/>
                <w:highlight w:val="none"/>
              </w:rPr>
              <w:t>3</w:t>
            </w:r>
            <w:r>
              <w:rPr>
                <w:rFonts w:hint="eastAsia"/>
                <w:color w:val="auto"/>
                <w:kern w:val="2"/>
                <w:sz w:val="21"/>
                <w:szCs w:val="21"/>
                <w:highlight w:val="none"/>
              </w:rPr>
              <w:t>-0分。</w:t>
            </w:r>
          </w:p>
          <w:p>
            <w:pPr>
              <w:keepNext w:val="0"/>
              <w:keepLines w:val="0"/>
              <w:pageBreakBefore w:val="0"/>
              <w:widowControl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（2）未来社区智慧服务平台与小区现有相关系统平台对接方案，包括各类数据如小区基础人、车、房、物、空间等基础数据，动态数据如报事报修、投诉建议、A</w:t>
            </w:r>
            <w:r>
              <w:rPr>
                <w:color w:val="auto"/>
                <w:kern w:val="2"/>
                <w:sz w:val="21"/>
                <w:szCs w:val="21"/>
                <w:highlight w:val="none"/>
              </w:rPr>
              <w:t>I</w:t>
            </w:r>
            <w:r>
              <w:rPr>
                <w:rFonts w:hint="eastAsia"/>
                <w:color w:val="auto"/>
                <w:kern w:val="2"/>
                <w:sz w:val="21"/>
                <w:szCs w:val="21"/>
                <w:highlight w:val="none"/>
              </w:rPr>
              <w:t>事件、智能感知事件等，从方案技术可行性、对接效果进行综合评分，得</w:t>
            </w:r>
            <w:r>
              <w:rPr>
                <w:color w:val="auto"/>
                <w:kern w:val="2"/>
                <w:sz w:val="21"/>
                <w:szCs w:val="21"/>
                <w:highlight w:val="none"/>
              </w:rPr>
              <w:t>3</w:t>
            </w:r>
            <w:r>
              <w:rPr>
                <w:rFonts w:hint="eastAsia"/>
                <w:color w:val="auto"/>
                <w:kern w:val="2"/>
                <w:sz w:val="21"/>
                <w:szCs w:val="21"/>
                <w:highlight w:val="none"/>
              </w:rPr>
              <w:t>-0分。</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lang w:val="en-US" w:eastAsia="zh-CN"/>
              </w:rPr>
              <w:t>项</w:t>
            </w:r>
            <w:r>
              <w:rPr>
                <w:b/>
                <w:bCs/>
                <w:color w:val="auto"/>
                <w:kern w:val="2"/>
                <w:sz w:val="21"/>
                <w:szCs w:val="21"/>
                <w:highlight w:val="none"/>
              </w:rPr>
              <w:t>目拟投入人员配置（8分）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评标委员会根据投标人拟投入本项目的开发服务</w:t>
            </w:r>
            <w:r>
              <w:rPr>
                <w:rFonts w:hint="eastAsia"/>
                <w:color w:val="auto"/>
                <w:kern w:val="2"/>
                <w:sz w:val="21"/>
                <w:szCs w:val="21"/>
                <w:highlight w:val="none"/>
              </w:rPr>
              <w:t>及实施</w:t>
            </w:r>
            <w:r>
              <w:rPr>
                <w:color w:val="auto"/>
                <w:kern w:val="2"/>
                <w:sz w:val="21"/>
                <w:szCs w:val="21"/>
                <w:highlight w:val="none"/>
              </w:rPr>
              <w:t>团队人员配备合理性、岗位分工、专业技能水平、类似项目经验能力案例等进行综合评议：</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投入于本项目的</w:t>
            </w:r>
            <w:r>
              <w:rPr>
                <w:rFonts w:hint="eastAsia"/>
                <w:color w:val="auto"/>
                <w:kern w:val="2"/>
                <w:sz w:val="21"/>
                <w:szCs w:val="21"/>
                <w:highlight w:val="none"/>
              </w:rPr>
              <w:t>项目经理、技术负责人、</w:t>
            </w:r>
            <w:r>
              <w:rPr>
                <w:color w:val="auto"/>
                <w:kern w:val="2"/>
                <w:sz w:val="21"/>
                <w:szCs w:val="21"/>
                <w:highlight w:val="none"/>
              </w:rPr>
              <w:t>团队人员资历、数量综合最优的得</w:t>
            </w:r>
            <w:r>
              <w:rPr>
                <w:rFonts w:hint="eastAsia"/>
                <w:color w:val="auto"/>
                <w:kern w:val="2"/>
                <w:sz w:val="21"/>
                <w:szCs w:val="21"/>
                <w:highlight w:val="none"/>
              </w:rPr>
              <w:t>8</w:t>
            </w:r>
            <w:r>
              <w:rPr>
                <w:color w:val="auto"/>
                <w:kern w:val="2"/>
                <w:sz w:val="21"/>
                <w:szCs w:val="21"/>
                <w:highlight w:val="none"/>
              </w:rPr>
              <w:t>-6分；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投入于本项目的</w:t>
            </w:r>
            <w:r>
              <w:rPr>
                <w:rFonts w:hint="eastAsia"/>
                <w:color w:val="auto"/>
                <w:kern w:val="2"/>
                <w:sz w:val="21"/>
                <w:szCs w:val="21"/>
                <w:highlight w:val="none"/>
              </w:rPr>
              <w:t>项目经理、技术负责人、</w:t>
            </w:r>
            <w:r>
              <w:rPr>
                <w:color w:val="auto"/>
                <w:kern w:val="2"/>
                <w:sz w:val="21"/>
                <w:szCs w:val="21"/>
                <w:highlight w:val="none"/>
              </w:rPr>
              <w:t>团队人员资历、数量综合略次于最优的得</w:t>
            </w:r>
            <w:r>
              <w:rPr>
                <w:rFonts w:hint="eastAsia"/>
                <w:color w:val="auto"/>
                <w:kern w:val="2"/>
                <w:sz w:val="21"/>
                <w:szCs w:val="21"/>
                <w:highlight w:val="none"/>
                <w:lang w:val="en-US"/>
              </w:rPr>
              <w:t>6</w:t>
            </w:r>
            <w:r>
              <w:rPr>
                <w:color w:val="auto"/>
                <w:kern w:val="2"/>
                <w:sz w:val="21"/>
                <w:szCs w:val="21"/>
                <w:highlight w:val="none"/>
              </w:rPr>
              <w:t>-3分；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投入于本项目的</w:t>
            </w:r>
            <w:r>
              <w:rPr>
                <w:rFonts w:hint="eastAsia"/>
                <w:color w:val="auto"/>
                <w:kern w:val="2"/>
                <w:sz w:val="21"/>
                <w:szCs w:val="21"/>
                <w:highlight w:val="none"/>
              </w:rPr>
              <w:t>项目经理、技术负责人、</w:t>
            </w:r>
            <w:r>
              <w:rPr>
                <w:color w:val="auto"/>
                <w:kern w:val="2"/>
                <w:sz w:val="21"/>
                <w:szCs w:val="21"/>
                <w:highlight w:val="none"/>
              </w:rPr>
              <w:t>团队人员资历、数量综合与最优的偏差较大的得</w:t>
            </w:r>
            <w:r>
              <w:rPr>
                <w:rFonts w:hint="eastAsia"/>
                <w:color w:val="auto"/>
                <w:kern w:val="2"/>
                <w:sz w:val="21"/>
                <w:szCs w:val="21"/>
                <w:highlight w:val="none"/>
                <w:lang w:val="en-US"/>
              </w:rPr>
              <w:t>3</w:t>
            </w:r>
            <w:r>
              <w:rPr>
                <w:color w:val="auto"/>
                <w:kern w:val="2"/>
                <w:sz w:val="21"/>
                <w:szCs w:val="21"/>
                <w:highlight w:val="none"/>
              </w:rPr>
              <w:t>-0分。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lang w:eastAsia="zh-CN"/>
              </w:rPr>
              <w:t>【</w:t>
            </w:r>
            <w:r>
              <w:rPr>
                <w:color w:val="auto"/>
                <w:kern w:val="2"/>
                <w:sz w:val="21"/>
                <w:szCs w:val="21"/>
                <w:highlight w:val="none"/>
              </w:rPr>
              <w:t>投标人须提供拟投入本项目开发服务团队人员公告发布之日前三个月任意一个月的社会保险证明，相关证书、荣誉</w:t>
            </w:r>
            <w:r>
              <w:rPr>
                <w:rFonts w:hint="eastAsia"/>
                <w:color w:val="auto"/>
                <w:kern w:val="2"/>
                <w:sz w:val="21"/>
                <w:szCs w:val="21"/>
                <w:highlight w:val="none"/>
              </w:rPr>
              <w:t>等</w:t>
            </w:r>
            <w:r>
              <w:rPr>
                <w:color w:val="auto"/>
                <w:kern w:val="2"/>
                <w:sz w:val="21"/>
                <w:szCs w:val="21"/>
                <w:highlight w:val="none"/>
              </w:rPr>
              <w:t>（如有）复印件并加盖投标人公章</w:t>
            </w:r>
            <w:r>
              <w:rPr>
                <w:rFonts w:hint="eastAsia"/>
                <w:color w:val="auto"/>
                <w:kern w:val="2"/>
                <w:sz w:val="21"/>
                <w:szCs w:val="21"/>
                <w:highlight w:val="none"/>
                <w:lang w:eastAsia="zh-CN"/>
              </w:rPr>
              <w:t>】</w:t>
            </w:r>
            <w:r>
              <w:rPr>
                <w:color w:val="auto"/>
                <w:kern w:val="2"/>
                <w:sz w:val="21"/>
                <w:szCs w:val="21"/>
                <w:highlight w:val="none"/>
              </w:rPr>
              <w:t>。</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default"/>
                <w:color w:val="auto"/>
                <w:kern w:val="2"/>
                <w:sz w:val="21"/>
                <w:szCs w:val="21"/>
                <w:highlight w:val="none"/>
                <w:lang w:val="en-US" w:eastAsia="zh-CN"/>
              </w:rPr>
            </w:pPr>
            <w:r>
              <w:rPr>
                <w:rFonts w:hint="eastAsia"/>
                <w:color w:val="auto"/>
                <w:kern w:val="2"/>
                <w:sz w:val="21"/>
                <w:szCs w:val="21"/>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b/>
                <w:bCs/>
                <w:color w:val="auto"/>
                <w:kern w:val="2"/>
                <w:sz w:val="21"/>
                <w:szCs w:val="21"/>
                <w:highlight w:val="none"/>
              </w:rPr>
              <w:t>企业技术实力水平评定（</w:t>
            </w:r>
            <w:r>
              <w:rPr>
                <w:rFonts w:hint="eastAsia"/>
                <w:b/>
                <w:bCs/>
                <w:color w:val="auto"/>
                <w:kern w:val="2"/>
                <w:sz w:val="21"/>
                <w:szCs w:val="21"/>
                <w:highlight w:val="none"/>
                <w:lang w:val="en-US" w:eastAsia="zh-CN"/>
              </w:rPr>
              <w:t>1</w:t>
            </w:r>
            <w:r>
              <w:rPr>
                <w:b/>
                <w:bCs/>
                <w:color w:val="auto"/>
                <w:kern w:val="2"/>
                <w:sz w:val="21"/>
                <w:szCs w:val="21"/>
                <w:highlight w:val="none"/>
              </w:rPr>
              <w:t>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color w:val="auto"/>
                <w:kern w:val="2"/>
                <w:sz w:val="21"/>
                <w:szCs w:val="21"/>
                <w:highlight w:val="none"/>
              </w:rPr>
              <w:t>投标人具备有效期内的质量管理体系认证证书，得</w:t>
            </w:r>
            <w:r>
              <w:rPr>
                <w:rFonts w:hint="eastAsia"/>
                <w:color w:val="auto"/>
                <w:kern w:val="2"/>
                <w:sz w:val="21"/>
                <w:szCs w:val="21"/>
                <w:highlight w:val="none"/>
                <w:lang w:val="en-US"/>
              </w:rPr>
              <w:t>0.5</w:t>
            </w:r>
            <w:r>
              <w:rPr>
                <w:color w:val="auto"/>
                <w:kern w:val="2"/>
                <w:sz w:val="21"/>
                <w:szCs w:val="21"/>
                <w:highlight w:val="none"/>
              </w:rPr>
              <w:t>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eastAsia="宋体"/>
                <w:color w:val="auto"/>
                <w:kern w:val="2"/>
                <w:sz w:val="21"/>
                <w:szCs w:val="21"/>
                <w:highlight w:val="none"/>
                <w:lang w:eastAsia="zh-CN"/>
              </w:rPr>
            </w:pPr>
            <w:r>
              <w:rPr>
                <w:rFonts w:hint="eastAsia"/>
                <w:color w:val="auto"/>
                <w:kern w:val="2"/>
                <w:sz w:val="21"/>
                <w:szCs w:val="21"/>
                <w:highlight w:val="none"/>
              </w:rPr>
              <w:t>投标</w:t>
            </w:r>
            <w:r>
              <w:rPr>
                <w:color w:val="auto"/>
                <w:kern w:val="2"/>
                <w:sz w:val="21"/>
                <w:szCs w:val="21"/>
                <w:highlight w:val="none"/>
              </w:rPr>
              <w:t>人具备有效期内的信息安全管理体系认证证书，得</w:t>
            </w:r>
            <w:r>
              <w:rPr>
                <w:rFonts w:hint="eastAsia"/>
                <w:color w:val="auto"/>
                <w:kern w:val="2"/>
                <w:sz w:val="21"/>
                <w:szCs w:val="21"/>
                <w:highlight w:val="none"/>
                <w:lang w:val="en-US"/>
              </w:rPr>
              <w:t>0.5</w:t>
            </w:r>
            <w:r>
              <w:rPr>
                <w:color w:val="auto"/>
                <w:kern w:val="2"/>
                <w:sz w:val="21"/>
                <w:szCs w:val="21"/>
                <w:highlight w:val="none"/>
              </w:rPr>
              <w:t>分</w:t>
            </w:r>
            <w:r>
              <w:rPr>
                <w:rFonts w:hint="eastAsia"/>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投标文件中须提供</w:t>
            </w:r>
            <w:r>
              <w:rPr>
                <w:rFonts w:hint="eastAsia" w:ascii="宋体" w:hAnsi="宋体" w:cs="宋体"/>
                <w:bCs/>
                <w:color w:val="auto"/>
                <w:sz w:val="21"/>
                <w:szCs w:val="21"/>
                <w:highlight w:val="none"/>
                <w:lang w:val="en-US" w:eastAsia="zh-CN"/>
              </w:rPr>
              <w:t>相关证件的</w:t>
            </w:r>
            <w:r>
              <w:rPr>
                <w:rFonts w:hint="eastAsia" w:ascii="宋体" w:hAnsi="宋体" w:cs="宋体"/>
                <w:bCs/>
                <w:color w:val="auto"/>
                <w:sz w:val="21"/>
                <w:szCs w:val="21"/>
                <w:highlight w:val="none"/>
              </w:rPr>
              <w:t>复印件加盖单位公章，未提供</w:t>
            </w:r>
            <w:r>
              <w:rPr>
                <w:rFonts w:hint="eastAsia" w:ascii="宋体" w:hAnsi="宋体" w:cs="宋体"/>
                <w:bCs/>
                <w:color w:val="auto"/>
                <w:sz w:val="21"/>
                <w:szCs w:val="21"/>
                <w:highlight w:val="none"/>
                <w:lang w:val="en-US" w:eastAsia="zh-CN"/>
              </w:rPr>
              <w:t>本项</w:t>
            </w:r>
            <w:r>
              <w:rPr>
                <w:rFonts w:hint="eastAsia" w:ascii="宋体" w:hAnsi="宋体" w:cs="宋体"/>
                <w:bCs/>
                <w:color w:val="auto"/>
                <w:sz w:val="21"/>
                <w:szCs w:val="21"/>
                <w:highlight w:val="none"/>
              </w:rPr>
              <w:t>不得分</w:t>
            </w:r>
            <w:r>
              <w:rPr>
                <w:rFonts w:hint="eastAsia" w:ascii="宋体" w:hAnsi="宋体" w:cs="宋体"/>
                <w:bCs/>
                <w:color w:val="auto"/>
                <w:sz w:val="21"/>
                <w:szCs w:val="21"/>
                <w:highlight w:val="none"/>
                <w:lang w:eastAsia="zh-CN"/>
              </w:rPr>
              <w:t>】</w:t>
            </w:r>
            <w:r>
              <w:rPr>
                <w:rFonts w:hint="eastAsia"/>
                <w:color w:val="auto"/>
                <w:kern w:val="2"/>
                <w:sz w:val="21"/>
                <w:szCs w:val="21"/>
                <w:highlight w:val="none"/>
                <w:lang w:eastAsia="zh-CN"/>
              </w:rPr>
              <w:t>。</w:t>
            </w:r>
          </w:p>
        </w:tc>
        <w:tc>
          <w:tcPr>
            <w:tcW w:w="6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b/>
                <w:bCs/>
                <w:color w:val="auto"/>
                <w:kern w:val="2"/>
                <w:sz w:val="21"/>
                <w:szCs w:val="21"/>
                <w:highlight w:val="none"/>
                <w:lang w:eastAsia="zh-CN"/>
              </w:rPr>
            </w:pPr>
            <w:r>
              <w:rPr>
                <w:rFonts w:hint="eastAsia"/>
                <w:b/>
                <w:bCs/>
                <w:color w:val="auto"/>
                <w:kern w:val="2"/>
                <w:sz w:val="21"/>
                <w:szCs w:val="21"/>
                <w:highlight w:val="none"/>
              </w:rPr>
              <w:t>同类项目业绩</w:t>
            </w:r>
            <w:r>
              <w:rPr>
                <w:b/>
                <w:bCs/>
                <w:color w:val="auto"/>
                <w:kern w:val="2"/>
                <w:sz w:val="21"/>
                <w:szCs w:val="21"/>
                <w:highlight w:val="none"/>
              </w:rPr>
              <w:t>（2分）</w:t>
            </w:r>
            <w:r>
              <w:rPr>
                <w:rFonts w:hint="eastAsia"/>
                <w:b/>
                <w:bCs/>
                <w:color w:val="auto"/>
                <w:kern w:val="2"/>
                <w:sz w:val="21"/>
                <w:szCs w:val="21"/>
                <w:highlight w:val="none"/>
                <w:lang w:eastAsia="zh-CN"/>
              </w:rPr>
              <w:t>：</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eastAsia="宋体"/>
                <w:color w:val="auto"/>
                <w:kern w:val="2"/>
                <w:sz w:val="21"/>
                <w:szCs w:val="21"/>
                <w:highlight w:val="none"/>
                <w:lang w:eastAsia="zh-CN"/>
              </w:rPr>
            </w:pPr>
            <w:r>
              <w:rPr>
                <w:color w:val="auto"/>
                <w:kern w:val="2"/>
                <w:sz w:val="21"/>
                <w:szCs w:val="21"/>
                <w:highlight w:val="none"/>
              </w:rPr>
              <w:t>自2019年</w:t>
            </w:r>
            <w:r>
              <w:rPr>
                <w:rFonts w:hint="eastAsia"/>
                <w:color w:val="auto"/>
                <w:kern w:val="2"/>
                <w:sz w:val="21"/>
                <w:szCs w:val="21"/>
                <w:highlight w:val="none"/>
                <w:lang w:val="en-US" w:eastAsia="zh-CN"/>
              </w:rPr>
              <w:t>7</w:t>
            </w:r>
            <w:r>
              <w:rPr>
                <w:color w:val="auto"/>
                <w:kern w:val="2"/>
                <w:sz w:val="21"/>
                <w:szCs w:val="21"/>
                <w:highlight w:val="none"/>
              </w:rPr>
              <w:t>月1日至今，投标人承接过软件开发</w:t>
            </w:r>
            <w:r>
              <w:rPr>
                <w:rFonts w:hint="eastAsia"/>
                <w:color w:val="auto"/>
                <w:kern w:val="2"/>
                <w:sz w:val="21"/>
                <w:szCs w:val="21"/>
                <w:highlight w:val="none"/>
                <w:lang w:val="en-US" w:eastAsia="zh-CN"/>
              </w:rPr>
              <w:t>同类</w:t>
            </w:r>
            <w:r>
              <w:rPr>
                <w:color w:val="auto"/>
                <w:kern w:val="2"/>
                <w:sz w:val="21"/>
                <w:szCs w:val="21"/>
                <w:highlight w:val="none"/>
              </w:rPr>
              <w:t>项目业绩的，每</w:t>
            </w:r>
            <w:r>
              <w:rPr>
                <w:rFonts w:hint="eastAsia"/>
                <w:color w:val="auto"/>
                <w:kern w:val="2"/>
                <w:sz w:val="21"/>
                <w:szCs w:val="21"/>
                <w:highlight w:val="none"/>
                <w:lang w:val="en-US" w:eastAsia="zh-CN"/>
              </w:rPr>
              <w:t>提供</w:t>
            </w:r>
            <w:r>
              <w:rPr>
                <w:color w:val="auto"/>
                <w:kern w:val="2"/>
                <w:sz w:val="21"/>
                <w:szCs w:val="21"/>
                <w:highlight w:val="none"/>
              </w:rPr>
              <w:t>一个得1分，满分</w:t>
            </w:r>
            <w:r>
              <w:rPr>
                <w:rFonts w:hint="eastAsia"/>
                <w:color w:val="auto"/>
                <w:kern w:val="2"/>
                <w:sz w:val="21"/>
                <w:szCs w:val="21"/>
                <w:highlight w:val="none"/>
                <w:lang w:val="en-US"/>
              </w:rPr>
              <w:t>2</w:t>
            </w:r>
            <w:r>
              <w:rPr>
                <w:color w:val="auto"/>
                <w:kern w:val="2"/>
                <w:sz w:val="21"/>
                <w:szCs w:val="21"/>
                <w:highlight w:val="none"/>
              </w:rPr>
              <w:t>分</w:t>
            </w:r>
            <w:r>
              <w:rPr>
                <w:rFonts w:hint="eastAsia" w:ascii="宋体" w:hAnsi="宋体" w:cs="宋体"/>
                <w:bCs/>
                <w:color w:val="auto"/>
                <w:sz w:val="21"/>
                <w:szCs w:val="21"/>
                <w:highlight w:val="none"/>
                <w:lang w:eastAsia="zh-CN"/>
              </w:rPr>
              <w:t>【</w:t>
            </w:r>
            <w:r>
              <w:rPr>
                <w:color w:val="auto"/>
                <w:kern w:val="2"/>
                <w:sz w:val="21"/>
                <w:szCs w:val="21"/>
                <w:highlight w:val="none"/>
              </w:rPr>
              <w:t>时间以合同签订日为准</w:t>
            </w:r>
            <w:r>
              <w:rPr>
                <w:rFonts w:hint="eastAsia"/>
                <w:color w:val="auto"/>
                <w:kern w:val="2"/>
                <w:sz w:val="21"/>
                <w:szCs w:val="21"/>
                <w:highlight w:val="none"/>
                <w:lang w:eastAsia="zh-CN"/>
              </w:rPr>
              <w:t>，</w:t>
            </w:r>
            <w:r>
              <w:rPr>
                <w:rFonts w:hint="eastAsia" w:ascii="宋体" w:hAnsi="宋体" w:cs="宋体"/>
                <w:bCs/>
                <w:color w:val="auto"/>
                <w:sz w:val="21"/>
                <w:szCs w:val="21"/>
                <w:highlight w:val="none"/>
              </w:rPr>
              <w:t>投标文件中须提供合同复印件加盖单位公章，未提供</w:t>
            </w:r>
            <w:r>
              <w:rPr>
                <w:rFonts w:hint="eastAsia" w:ascii="宋体" w:hAnsi="宋体" w:cs="宋体"/>
                <w:bCs/>
                <w:color w:val="auto"/>
                <w:sz w:val="21"/>
                <w:szCs w:val="21"/>
                <w:highlight w:val="none"/>
                <w:lang w:val="en-US" w:eastAsia="zh-CN"/>
              </w:rPr>
              <w:t>本项</w:t>
            </w:r>
            <w:r>
              <w:rPr>
                <w:rFonts w:hint="eastAsia" w:ascii="宋体" w:hAnsi="宋体" w:cs="宋体"/>
                <w:bCs/>
                <w:color w:val="auto"/>
                <w:sz w:val="21"/>
                <w:szCs w:val="21"/>
                <w:highlight w:val="none"/>
              </w:rPr>
              <w:t>不得分</w:t>
            </w:r>
            <w:r>
              <w:rPr>
                <w:rFonts w:hint="eastAsia" w:ascii="宋体" w:hAnsi="宋体" w:cs="宋体"/>
                <w:bCs/>
                <w:color w:val="auto"/>
                <w:sz w:val="21"/>
                <w:szCs w:val="21"/>
                <w:highlight w:val="none"/>
                <w:lang w:eastAsia="zh-CN"/>
              </w:rPr>
              <w:t>】</w:t>
            </w:r>
            <w:r>
              <w:rPr>
                <w:rFonts w:hint="eastAsia"/>
                <w:color w:val="auto"/>
                <w:kern w:val="2"/>
                <w:sz w:val="21"/>
                <w:szCs w:val="21"/>
                <w:highlight w:val="none"/>
                <w:lang w:eastAsia="zh-CN"/>
              </w:rPr>
              <w:t>。</w:t>
            </w:r>
          </w:p>
        </w:tc>
        <w:tc>
          <w:tcPr>
            <w:tcW w:w="680"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240" w:lineRule="auto"/>
              <w:jc w:val="center"/>
              <w:textAlignment w:val="auto"/>
              <w:rPr>
                <w:rFonts w:hint="eastAsia" w:eastAsia="宋体"/>
                <w:color w:val="auto"/>
                <w:kern w:val="2"/>
                <w:sz w:val="21"/>
                <w:szCs w:val="21"/>
                <w:highlight w:val="none"/>
                <w:lang w:val="en-US" w:eastAsia="zh-CN"/>
              </w:rPr>
            </w:pPr>
            <w:r>
              <w:rPr>
                <w:rFonts w:hint="eastAsia"/>
                <w:color w:val="auto"/>
                <w:kern w:val="2"/>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vMerge w:val="continue"/>
            <w:tcBorders>
              <w:tl2br w:val="nil"/>
              <w:tr2bl w:val="nil"/>
            </w:tcBorders>
            <w:noWrap w:val="0"/>
            <w:vAlign w:val="center"/>
          </w:tcPr>
          <w:p>
            <w:pPr>
              <w:shd w:val="clear" w:color="auto" w:fill="auto"/>
              <w:spacing w:line="360" w:lineRule="auto"/>
              <w:rPr>
                <w:b/>
                <w:bCs/>
                <w:color w:val="auto"/>
                <w:kern w:val="2"/>
                <w:sz w:val="21"/>
                <w:szCs w:val="21"/>
                <w:highlight w:val="none"/>
              </w:rPr>
            </w:pPr>
          </w:p>
        </w:tc>
        <w:tc>
          <w:tcPr>
            <w:tcW w:w="8163" w:type="dxa"/>
            <w:tcBorders>
              <w:tl2br w:val="nil"/>
              <w:tr2bl w:val="nil"/>
            </w:tcBorders>
            <w:noWrap w:val="0"/>
            <w:vAlign w:val="center"/>
          </w:tcPr>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b/>
                <w:bCs/>
                <w:color w:val="auto"/>
                <w:kern w:val="2"/>
                <w:sz w:val="21"/>
                <w:szCs w:val="21"/>
                <w:highlight w:val="none"/>
              </w:rPr>
              <w:t>数字化</w:t>
            </w:r>
            <w:r>
              <w:rPr>
                <w:b/>
                <w:bCs/>
                <w:color w:val="auto"/>
                <w:kern w:val="2"/>
                <w:sz w:val="21"/>
                <w:szCs w:val="21"/>
                <w:highlight w:val="none"/>
              </w:rPr>
              <w:t>演示（</w:t>
            </w:r>
            <w:r>
              <w:rPr>
                <w:rFonts w:hint="eastAsia"/>
                <w:b/>
                <w:bCs/>
                <w:color w:val="auto"/>
                <w:kern w:val="2"/>
                <w:sz w:val="21"/>
                <w:szCs w:val="21"/>
                <w:highlight w:val="none"/>
              </w:rPr>
              <w:t>1</w:t>
            </w:r>
            <w:r>
              <w:rPr>
                <w:b/>
                <w:bCs/>
                <w:color w:val="auto"/>
                <w:kern w:val="2"/>
                <w:sz w:val="21"/>
                <w:szCs w:val="21"/>
                <w:highlight w:val="none"/>
              </w:rPr>
              <w:t>0分</w:t>
            </w:r>
            <w:r>
              <w:rPr>
                <w:rFonts w:hint="eastAsia"/>
                <w:b/>
                <w:bCs/>
                <w:color w:val="auto"/>
                <w:kern w:val="2"/>
                <w:sz w:val="21"/>
                <w:szCs w:val="21"/>
                <w:highlight w:val="none"/>
                <w:lang w:eastAsia="zh-CN"/>
              </w:rPr>
              <w:t>）：</w:t>
            </w:r>
            <w:r>
              <w:rPr>
                <w:rFonts w:hint="eastAsia"/>
                <w:color w:val="auto"/>
                <w:kern w:val="2"/>
                <w:sz w:val="21"/>
                <w:szCs w:val="21"/>
                <w:highlight w:val="none"/>
                <w:lang w:eastAsia="zh-CN"/>
              </w:rPr>
              <w:br w:type="textWrapping"/>
            </w:r>
            <w:r>
              <w:rPr>
                <w:color w:val="auto"/>
                <w:kern w:val="2"/>
                <w:sz w:val="21"/>
                <w:szCs w:val="21"/>
                <w:highlight w:val="none"/>
              </w:rPr>
              <w:t>投标人根据招标文件第二章</w:t>
            </w:r>
            <w:r>
              <w:rPr>
                <w:rFonts w:hint="eastAsia"/>
                <w:color w:val="auto"/>
                <w:kern w:val="2"/>
                <w:sz w:val="21"/>
                <w:szCs w:val="21"/>
                <w:highlight w:val="none"/>
                <w:lang w:eastAsia="zh-CN"/>
              </w:rPr>
              <w:t>《</w:t>
            </w:r>
            <w:r>
              <w:rPr>
                <w:color w:val="auto"/>
                <w:kern w:val="2"/>
                <w:sz w:val="21"/>
                <w:szCs w:val="21"/>
                <w:highlight w:val="none"/>
              </w:rPr>
              <w:t>招标需求</w:t>
            </w:r>
            <w:r>
              <w:rPr>
                <w:rFonts w:hint="eastAsia"/>
                <w:color w:val="auto"/>
                <w:kern w:val="2"/>
                <w:sz w:val="21"/>
                <w:szCs w:val="21"/>
                <w:highlight w:val="none"/>
                <w:lang w:eastAsia="zh-CN"/>
              </w:rPr>
              <w:t>》</w:t>
            </w:r>
            <w:r>
              <w:rPr>
                <w:rFonts w:hint="eastAsia"/>
                <w:color w:val="auto"/>
                <w:kern w:val="2"/>
                <w:sz w:val="21"/>
                <w:szCs w:val="21"/>
                <w:highlight w:val="none"/>
              </w:rPr>
              <w:t>及结合姚江社区实际情况</w:t>
            </w:r>
            <w:r>
              <w:rPr>
                <w:color w:val="auto"/>
                <w:kern w:val="2"/>
                <w:sz w:val="21"/>
                <w:szCs w:val="21"/>
                <w:highlight w:val="none"/>
              </w:rPr>
              <w:t>所开发的未来社区</w:t>
            </w:r>
            <w:r>
              <w:rPr>
                <w:rFonts w:hint="eastAsia"/>
                <w:color w:val="auto"/>
                <w:kern w:val="2"/>
                <w:sz w:val="21"/>
                <w:szCs w:val="21"/>
                <w:highlight w:val="none"/>
              </w:rPr>
              <w:t>智慧服务平台</w:t>
            </w:r>
            <w:r>
              <w:rPr>
                <w:color w:val="auto"/>
                <w:kern w:val="2"/>
                <w:sz w:val="21"/>
                <w:szCs w:val="21"/>
                <w:highlight w:val="none"/>
              </w:rPr>
              <w:t>制作系统功能演示视频在投标截止时间前递交至招标代理机构处，</w:t>
            </w:r>
            <w:r>
              <w:rPr>
                <w:rFonts w:hint="eastAsia"/>
                <w:color w:val="auto"/>
                <w:kern w:val="2"/>
                <w:sz w:val="21"/>
                <w:szCs w:val="21"/>
                <w:highlight w:val="none"/>
                <w:lang w:val="en-US"/>
              </w:rPr>
              <w:t>逾期递交视为自动放弃。</w:t>
            </w:r>
            <w:r>
              <w:rPr>
                <w:color w:val="auto"/>
                <w:kern w:val="2"/>
                <w:sz w:val="21"/>
                <w:szCs w:val="21"/>
                <w:highlight w:val="none"/>
              </w:rPr>
              <w:t>招标代理机构将会在开标现场进行播放，由评委对功能实现、满足情况进行综合评议，演示包含以下内容：</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1、居民服务端：</w:t>
            </w:r>
          </w:p>
          <w:p>
            <w:pPr>
              <w:keepNext w:val="0"/>
              <w:keepLines w:val="0"/>
              <w:pageBreakBefore w:val="0"/>
              <w:shd w:val="clear" w:color="auto" w:fill="auto"/>
              <w:tabs>
                <w:tab w:val="left" w:pos="3300"/>
              </w:tabs>
              <w:kinsoku/>
              <w:wordWrap/>
              <w:overflowPunct/>
              <w:topLinePunct w:val="0"/>
              <w:autoSpaceDE w:val="0"/>
              <w:autoSpaceDN w:val="0"/>
              <w:bidi w:val="0"/>
              <w:adjustRightInd/>
              <w:snapToGrid/>
              <w:spacing w:line="440" w:lineRule="exact"/>
              <w:jc w:val="both"/>
              <w:textAlignment w:val="auto"/>
              <w:rPr>
                <w:rFonts w:hint="eastAsia"/>
                <w:color w:val="auto"/>
                <w:kern w:val="2"/>
                <w:sz w:val="21"/>
                <w:szCs w:val="21"/>
                <w:highlight w:val="none"/>
              </w:rPr>
            </w:pPr>
            <w:r>
              <w:rPr>
                <w:rFonts w:hint="eastAsia"/>
                <w:color w:val="auto"/>
                <w:kern w:val="2"/>
                <w:sz w:val="21"/>
                <w:szCs w:val="21"/>
                <w:highlight w:val="none"/>
              </w:rPr>
              <w:t>演示居民服务端小程序，包括但不限于未来邻里、未来健康、未来教育、未来服务4个场景功能需求，具体演示糖豆积分应用、张阿姨工作室、邻里圈、便民生活圈、家头条、周边游、智能门禁集成、访客通行、惠停车、惠生活、</w:t>
            </w:r>
            <w:r>
              <w:rPr>
                <w:color w:val="auto"/>
                <w:kern w:val="2"/>
                <w:sz w:val="21"/>
                <w:szCs w:val="21"/>
                <w:highlight w:val="none"/>
              </w:rPr>
              <w:t>居民议事会</w:t>
            </w:r>
            <w:r>
              <w:rPr>
                <w:rFonts w:hint="eastAsia"/>
                <w:color w:val="auto"/>
                <w:kern w:val="2"/>
                <w:sz w:val="21"/>
                <w:szCs w:val="21"/>
                <w:highlight w:val="none"/>
              </w:rPr>
              <w:t>功能，</w:t>
            </w:r>
            <w:r>
              <w:rPr>
                <w:rFonts w:hint="eastAsia"/>
                <w:color w:val="auto"/>
                <w:kern w:val="2"/>
                <w:sz w:val="21"/>
                <w:szCs w:val="21"/>
                <w:highlight w:val="none"/>
                <w:lang w:val="en-US" w:eastAsia="zh-CN"/>
              </w:rPr>
              <w:t>最高得</w:t>
            </w:r>
            <w:r>
              <w:rPr>
                <w:rFonts w:hint="eastAsia"/>
                <w:color w:val="auto"/>
                <w:kern w:val="2"/>
                <w:sz w:val="21"/>
                <w:szCs w:val="21"/>
                <w:highlight w:val="none"/>
                <w:lang w:val="en-US"/>
              </w:rPr>
              <w:t>3</w:t>
            </w:r>
            <w:r>
              <w:rPr>
                <w:rFonts w:hint="eastAsia"/>
                <w:color w:val="auto"/>
                <w:kern w:val="2"/>
                <w:sz w:val="21"/>
                <w:szCs w:val="21"/>
                <w:highlight w:val="none"/>
              </w:rPr>
              <w:t>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2、运营端：</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color w:val="auto"/>
                <w:kern w:val="2"/>
                <w:sz w:val="21"/>
                <w:szCs w:val="21"/>
                <w:highlight w:val="none"/>
              </w:rPr>
            </w:pPr>
            <w:r>
              <w:rPr>
                <w:rFonts w:hint="eastAsia"/>
                <w:color w:val="auto"/>
                <w:kern w:val="2"/>
                <w:sz w:val="21"/>
                <w:szCs w:val="21"/>
                <w:highlight w:val="none"/>
              </w:rPr>
              <w:t>演示运营工作端平台，包括但不限于未来邻里、未来健康、未来教育、未来服务4个场景需求，具体演示积分管理运营、活动管理运营、姚江社区家头条对接集成及运营、健康管理、社区直播间、物业管理及服务（人、车、物、房、空间、智能门禁、智慧停车、智能安防、智慧消防、物业服务、巡更管理等）、社区服务管理功能、门禁等信息屏信息发布功能，</w:t>
            </w:r>
            <w:r>
              <w:rPr>
                <w:rFonts w:hint="eastAsia"/>
                <w:color w:val="auto"/>
                <w:kern w:val="2"/>
                <w:sz w:val="21"/>
                <w:szCs w:val="21"/>
                <w:highlight w:val="none"/>
                <w:lang w:val="en-US" w:eastAsia="zh-CN"/>
              </w:rPr>
              <w:t>最高得</w:t>
            </w:r>
            <w:r>
              <w:rPr>
                <w:rFonts w:hint="eastAsia"/>
                <w:color w:val="auto"/>
                <w:kern w:val="2"/>
                <w:sz w:val="21"/>
                <w:szCs w:val="21"/>
                <w:highlight w:val="none"/>
                <w:lang w:val="en-US"/>
              </w:rPr>
              <w:t>3</w:t>
            </w:r>
            <w:r>
              <w:rPr>
                <w:rFonts w:hint="eastAsia"/>
                <w:color w:val="auto"/>
                <w:kern w:val="2"/>
                <w:sz w:val="21"/>
                <w:szCs w:val="21"/>
                <w:highlight w:val="none"/>
              </w:rPr>
              <w:t>分；</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color w:val="auto"/>
                <w:kern w:val="2"/>
                <w:sz w:val="21"/>
                <w:szCs w:val="21"/>
                <w:highlight w:val="none"/>
              </w:rPr>
            </w:pPr>
            <w:r>
              <w:rPr>
                <w:rFonts w:hint="eastAsia"/>
                <w:color w:val="auto"/>
                <w:kern w:val="2"/>
                <w:sz w:val="21"/>
                <w:szCs w:val="21"/>
                <w:highlight w:val="none"/>
              </w:rPr>
              <w:t>3、治理端：</w:t>
            </w:r>
          </w:p>
          <w:p>
            <w:pPr>
              <w:keepNext w:val="0"/>
              <w:keepLines w:val="0"/>
              <w:pageBreakBefore w:val="0"/>
              <w:shd w:val="clear" w:color="auto" w:fill="auto"/>
              <w:kinsoku/>
              <w:wordWrap/>
              <w:overflowPunct/>
              <w:topLinePunct w:val="0"/>
              <w:autoSpaceDE w:val="0"/>
              <w:autoSpaceDN w:val="0"/>
              <w:bidi w:val="0"/>
              <w:adjustRightInd/>
              <w:snapToGrid/>
              <w:spacing w:line="440" w:lineRule="exact"/>
              <w:jc w:val="both"/>
              <w:textAlignment w:val="auto"/>
              <w:rPr>
                <w:rFonts w:hint="eastAsia"/>
                <w:color w:val="auto"/>
                <w:kern w:val="2"/>
                <w:sz w:val="21"/>
                <w:szCs w:val="21"/>
                <w:highlight w:val="none"/>
              </w:rPr>
            </w:pPr>
            <w:r>
              <w:rPr>
                <w:rFonts w:hint="eastAsia"/>
                <w:color w:val="auto"/>
                <w:kern w:val="2"/>
                <w:sz w:val="21"/>
                <w:szCs w:val="21"/>
                <w:highlight w:val="none"/>
              </w:rPr>
              <w:t>结合未来社区九大场景需求，通过姚江社区倾斜摄影及全景模型，演示治理端平台及</w:t>
            </w:r>
            <w:r>
              <w:rPr>
                <w:color w:val="auto"/>
                <w:kern w:val="2"/>
                <w:sz w:val="21"/>
                <w:szCs w:val="21"/>
                <w:highlight w:val="none"/>
              </w:rPr>
              <w:t>社区驾驶舱</w:t>
            </w:r>
            <w:r>
              <w:rPr>
                <w:rFonts w:hint="eastAsia"/>
                <w:color w:val="auto"/>
                <w:kern w:val="2"/>
                <w:sz w:val="21"/>
                <w:szCs w:val="21"/>
                <w:highlight w:val="none"/>
              </w:rPr>
              <w:t>，具体演示社区三维模型及V</w:t>
            </w:r>
            <w:r>
              <w:rPr>
                <w:color w:val="auto"/>
                <w:kern w:val="2"/>
                <w:sz w:val="21"/>
                <w:szCs w:val="21"/>
                <w:highlight w:val="none"/>
              </w:rPr>
              <w:t>R</w:t>
            </w:r>
            <w:r>
              <w:rPr>
                <w:rFonts w:hint="eastAsia"/>
                <w:color w:val="auto"/>
                <w:kern w:val="2"/>
                <w:sz w:val="21"/>
                <w:szCs w:val="21"/>
                <w:highlight w:val="none"/>
              </w:rPr>
              <w:t>全景</w:t>
            </w:r>
            <w:r>
              <w:rPr>
                <w:color w:val="auto"/>
                <w:kern w:val="2"/>
                <w:sz w:val="21"/>
                <w:szCs w:val="21"/>
                <w:highlight w:val="none"/>
              </w:rPr>
              <w:t>可视化漫游</w:t>
            </w:r>
            <w:r>
              <w:rPr>
                <w:rFonts w:hint="eastAsia"/>
                <w:color w:val="auto"/>
                <w:kern w:val="2"/>
                <w:sz w:val="21"/>
                <w:szCs w:val="21"/>
                <w:highlight w:val="none"/>
              </w:rPr>
              <w:t>应用情况、</w:t>
            </w:r>
            <w:r>
              <w:rPr>
                <w:color w:val="auto"/>
                <w:kern w:val="2"/>
                <w:sz w:val="21"/>
                <w:szCs w:val="21"/>
                <w:highlight w:val="none"/>
              </w:rPr>
              <w:t>九</w:t>
            </w:r>
            <w:r>
              <w:rPr>
                <w:rFonts w:hint="eastAsia"/>
                <w:color w:val="auto"/>
                <w:kern w:val="2"/>
                <w:sz w:val="21"/>
                <w:szCs w:val="21"/>
                <w:highlight w:val="none"/>
              </w:rPr>
              <w:t>大</w:t>
            </w:r>
            <w:r>
              <w:rPr>
                <w:color w:val="auto"/>
                <w:kern w:val="2"/>
                <w:sz w:val="21"/>
                <w:szCs w:val="21"/>
                <w:highlight w:val="none"/>
              </w:rPr>
              <w:t>场景建设基本情况</w:t>
            </w:r>
            <w:r>
              <w:rPr>
                <w:rFonts w:hint="eastAsia"/>
                <w:color w:val="auto"/>
                <w:kern w:val="2"/>
                <w:sz w:val="21"/>
                <w:szCs w:val="21"/>
                <w:highlight w:val="none"/>
              </w:rPr>
              <w:t>及空间落位应用、社区数字基建智能硬件集成满足情况、社区智治事件与街道矛调中心平台贯通情况、疫情防控社区健康码、核酸、疫苗接种对接情况，</w:t>
            </w:r>
            <w:r>
              <w:rPr>
                <w:rFonts w:hint="eastAsia"/>
                <w:color w:val="auto"/>
                <w:kern w:val="2"/>
                <w:sz w:val="21"/>
                <w:szCs w:val="21"/>
                <w:highlight w:val="none"/>
                <w:lang w:val="en-US" w:eastAsia="zh-CN"/>
              </w:rPr>
              <w:t>最高得4</w:t>
            </w:r>
            <w:r>
              <w:rPr>
                <w:rFonts w:hint="eastAsia"/>
                <w:color w:val="auto"/>
                <w:kern w:val="2"/>
                <w:sz w:val="21"/>
                <w:szCs w:val="21"/>
                <w:highlight w:val="none"/>
              </w:rPr>
              <w:t>分。</w:t>
            </w:r>
          </w:p>
          <w:p>
            <w:pPr>
              <w:keepNext w:val="0"/>
              <w:keepLines w:val="0"/>
              <w:pageBreakBefore w:val="0"/>
              <w:widowControl/>
              <w:shd w:val="clear" w:color="auto" w:fill="auto"/>
              <w:kinsoku/>
              <w:wordWrap/>
              <w:overflowPunct/>
              <w:topLinePunct w:val="0"/>
              <w:autoSpaceDE w:val="0"/>
              <w:autoSpaceDN w:val="0"/>
              <w:bidi w:val="0"/>
              <w:adjustRightInd/>
              <w:snapToGrid/>
              <w:spacing w:line="440" w:lineRule="exact"/>
              <w:jc w:val="both"/>
              <w:textAlignment w:val="auto"/>
              <w:rPr>
                <w:rFonts w:hint="eastAsia"/>
                <w:color w:val="auto"/>
                <w:sz w:val="21"/>
                <w:szCs w:val="21"/>
                <w:highlight w:val="none"/>
              </w:rPr>
            </w:pPr>
            <w:r>
              <w:rPr>
                <w:rFonts w:hint="eastAsia"/>
                <w:b/>
                <w:bCs/>
                <w:color w:val="auto"/>
                <w:sz w:val="21"/>
                <w:szCs w:val="21"/>
                <w:highlight w:val="none"/>
                <w:lang w:val="en-US" w:bidi="ar"/>
              </w:rPr>
              <w:t>注：演示所需资源由投标人自备，本项目不组织现场讲解，供应商需自行录制演示视频（格式要求：MPEG4，时长不超过</w:t>
            </w:r>
            <w:r>
              <w:rPr>
                <w:rFonts w:hint="eastAsia"/>
                <w:b/>
                <w:bCs/>
                <w:color w:val="auto"/>
                <w:sz w:val="21"/>
                <w:szCs w:val="21"/>
                <w:highlight w:val="none"/>
                <w:lang w:val="en-US" w:eastAsia="zh-CN" w:bidi="ar"/>
              </w:rPr>
              <w:t>12</w:t>
            </w:r>
            <w:r>
              <w:rPr>
                <w:rFonts w:hint="eastAsia"/>
                <w:b/>
                <w:bCs/>
                <w:color w:val="auto"/>
                <w:sz w:val="21"/>
                <w:szCs w:val="21"/>
                <w:highlight w:val="none"/>
                <w:lang w:val="en-US" w:bidi="ar"/>
              </w:rPr>
              <w:t>分钟），将视频拷入</w:t>
            </w:r>
            <w:r>
              <w:rPr>
                <w:rFonts w:hint="eastAsia"/>
                <w:b/>
                <w:bCs/>
                <w:color w:val="auto"/>
                <w:sz w:val="21"/>
                <w:szCs w:val="21"/>
                <w:highlight w:val="none"/>
                <w:lang w:val="en-US" w:eastAsia="zh-CN" w:bidi="ar"/>
              </w:rPr>
              <w:t>U</w:t>
            </w:r>
            <w:r>
              <w:rPr>
                <w:rFonts w:hint="eastAsia"/>
                <w:b/>
                <w:bCs/>
                <w:color w:val="auto"/>
                <w:sz w:val="21"/>
                <w:szCs w:val="21"/>
                <w:highlight w:val="none"/>
                <w:lang w:val="en-US" w:bidi="ar"/>
              </w:rPr>
              <w:t>盘并单独进行密封并在投标截止时间前递交给招标代理机构，递交形式为邮寄（自行承担邮寄过程风险）或开标现场递交（投标人任选其一），未进行演示的，本项不得分。</w:t>
            </w:r>
          </w:p>
        </w:tc>
        <w:tc>
          <w:tcPr>
            <w:tcW w:w="680" w:type="dxa"/>
            <w:tcBorders>
              <w:tl2br w:val="nil"/>
              <w:tr2bl w:val="nil"/>
            </w:tcBorders>
            <w:noWrap w:val="0"/>
            <w:vAlign w:val="center"/>
          </w:tcPr>
          <w:p>
            <w:pPr>
              <w:keepNext w:val="0"/>
              <w:keepLines w:val="0"/>
              <w:pageBreakBefore w:val="0"/>
              <w:widowControl/>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b/>
                <w:bCs/>
                <w:color w:val="auto"/>
                <w:sz w:val="21"/>
                <w:szCs w:val="21"/>
                <w:highlight w:val="none"/>
                <w:lang w:val="en-US" w:eastAsia="zh-CN" w:bidi="ar"/>
              </w:rPr>
            </w:pPr>
            <w:r>
              <w:rPr>
                <w:rFonts w:hint="eastAsia"/>
                <w:b/>
                <w:bCs/>
                <w:color w:val="auto"/>
                <w:sz w:val="21"/>
                <w:szCs w:val="21"/>
                <w:highlight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36" w:type="dxa"/>
            <w:left w:w="107" w:type="dxa"/>
            <w:bottom w:w="0" w:type="dxa"/>
            <w:right w:w="3" w:type="dxa"/>
          </w:tblCellMar>
        </w:tblPrEx>
        <w:trPr>
          <w:trHeight w:val="567" w:hRule="atLeast"/>
          <w:jc w:val="center"/>
        </w:trPr>
        <w:tc>
          <w:tcPr>
            <w:tcW w:w="889" w:type="dxa"/>
            <w:tcBorders>
              <w:tl2br w:val="nil"/>
              <w:tr2bl w:val="nil"/>
            </w:tcBorders>
            <w:noWrap w:val="0"/>
            <w:vAlign w:val="center"/>
          </w:tcPr>
          <w:p>
            <w:pPr>
              <w:shd w:val="clear" w:color="auto" w:fill="auto"/>
              <w:spacing w:line="360" w:lineRule="auto"/>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价格分</w:t>
            </w:r>
            <w:r>
              <w:rPr>
                <w:rFonts w:hint="eastAsia" w:ascii="宋体" w:hAnsi="宋体" w:eastAsia="宋体" w:cs="宋体"/>
                <w:b/>
                <w:bCs/>
                <w:color w:val="auto"/>
                <w:kern w:val="2"/>
                <w:sz w:val="21"/>
                <w:szCs w:val="21"/>
                <w:highlight w:val="none"/>
              </w:rPr>
              <w:br w:type="textWrapping"/>
            </w:r>
            <w:r>
              <w:rPr>
                <w:rFonts w:hint="eastAsia" w:ascii="宋体" w:hAnsi="宋体" w:eastAsia="宋体" w:cs="宋体"/>
                <w:b/>
                <w:bCs/>
                <w:color w:val="auto"/>
                <w:kern w:val="2"/>
                <w:sz w:val="21"/>
                <w:szCs w:val="21"/>
                <w:highlight w:val="none"/>
              </w:rPr>
              <w:t>（20分）</w:t>
            </w:r>
          </w:p>
        </w:tc>
        <w:tc>
          <w:tcPr>
            <w:tcW w:w="8163" w:type="dxa"/>
            <w:tcBorders>
              <w:tl2br w:val="nil"/>
              <w:tr2bl w:val="nil"/>
            </w:tcBorders>
            <w:noWrap w:val="0"/>
            <w:vAlign w:val="center"/>
          </w:tcPr>
          <w:p>
            <w:pPr>
              <w:pStyle w:val="2"/>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参与评审的价格=投标报价－小微企业价格扣除优惠值20%（如有）。</w:t>
            </w:r>
          </w:p>
          <w:p>
            <w:pPr>
              <w:pStyle w:val="2"/>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满足招标要求的有效投标报价（初步评审合格且商务、技术、报价部分评审合格）且参与评审的价格最低的为评标基准价，其价格分得20分； </w:t>
            </w:r>
          </w:p>
          <w:p>
            <w:pPr>
              <w:pStyle w:val="2"/>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投标报价得分=（评标基准价/参与评审的价格）×20%×100。</w:t>
            </w:r>
          </w:p>
          <w:p>
            <w:pPr>
              <w:pStyle w:val="2"/>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bidi="zh-CN"/>
              </w:rPr>
              <w:t>注：投标价得分四舍五入保留两位小数。</w:t>
            </w:r>
          </w:p>
        </w:tc>
        <w:tc>
          <w:tcPr>
            <w:tcW w:w="680" w:type="dxa"/>
            <w:tcBorders>
              <w:tl2br w:val="nil"/>
              <w:tr2bl w:val="nil"/>
            </w:tcBorders>
            <w:noWrap w:val="0"/>
            <w:vAlign w:val="center"/>
          </w:tcPr>
          <w:p>
            <w:pPr>
              <w:keepNext w:val="0"/>
              <w:keepLines w:val="0"/>
              <w:pageBreakBefore w:val="0"/>
              <w:widowControl/>
              <w:shd w:val="clear" w:color="auto" w:fill="auto"/>
              <w:kinsoku/>
              <w:wordWrap/>
              <w:overflowPunct/>
              <w:topLinePunct w:val="0"/>
              <w:autoSpaceDE w:val="0"/>
              <w:autoSpaceDN w:val="0"/>
              <w:bidi w:val="0"/>
              <w:adjustRightInd/>
              <w:snapToGrid/>
              <w:spacing w:line="240" w:lineRule="auto"/>
              <w:jc w:val="center"/>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20</w:t>
            </w:r>
          </w:p>
        </w:tc>
      </w:tr>
    </w:tbl>
    <w:p>
      <w:pPr>
        <w:pStyle w:val="3"/>
        <w:shd w:val="clear" w:color="auto" w:fill="auto"/>
        <w:spacing w:line="360" w:lineRule="auto"/>
        <w:ind w:firstLine="0"/>
        <w:rPr>
          <w:rFonts w:hint="eastAsia" w:hAnsi="宋体"/>
          <w:color w:val="auto"/>
          <w:sz w:val="21"/>
          <w:szCs w:val="21"/>
          <w:highlight w:val="none"/>
        </w:rPr>
      </w:pPr>
    </w:p>
    <w:p>
      <w:pPr>
        <w:keepNext w:val="0"/>
        <w:keepLines w:val="0"/>
        <w:pageBreakBefore w:val="0"/>
        <w:shd w:val="clear" w:color="auto" w:fill="auto"/>
        <w:kinsoku/>
        <w:wordWrap/>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注：评委在上表设定的分值范围内打分(四舍五入保留一位小数)，平均分值计算四舍五入保留两位小数点。投标文件有缺项的，该项得分为最低分。 </w:t>
      </w:r>
    </w:p>
    <w:p>
      <w:pPr>
        <w:shd w:val="clear" w:color="auto" w:fill="auto"/>
        <w:spacing w:line="360" w:lineRule="auto"/>
        <w:rPr>
          <w:rFonts w:hint="eastAsia"/>
          <w:color w:val="auto"/>
          <w:highlight w:val="none"/>
        </w:rPr>
      </w:pPr>
    </w:p>
    <w:bookmarkEnd w:id="69"/>
    <w:p>
      <w:pPr>
        <w:shd w:val="clear" w:color="auto" w:fill="auto"/>
        <w:spacing w:line="360" w:lineRule="auto"/>
        <w:jc w:val="center"/>
        <w:outlineLvl w:val="0"/>
        <w:rPr>
          <w:rFonts w:hint="eastAsia"/>
          <w:b/>
          <w:color w:val="auto"/>
          <w:sz w:val="28"/>
          <w:szCs w:val="28"/>
          <w:highlight w:val="none"/>
        </w:rPr>
      </w:pPr>
      <w:r>
        <w:rPr>
          <w:rFonts w:hint="eastAsia"/>
          <w:b/>
          <w:color w:val="auto"/>
          <w:sz w:val="28"/>
          <w:szCs w:val="28"/>
          <w:highlight w:val="none"/>
          <w:lang w:val="en-US"/>
        </w:rPr>
        <w:br w:type="page"/>
      </w:r>
      <w:bookmarkStart w:id="91" w:name="_Toc28168"/>
      <w:bookmarkStart w:id="92" w:name="_Toc8884"/>
      <w:r>
        <w:rPr>
          <w:rFonts w:hint="eastAsia"/>
          <w:b/>
          <w:color w:val="auto"/>
          <w:sz w:val="30"/>
          <w:szCs w:val="30"/>
          <w:highlight w:val="none"/>
          <w:lang w:val="en-US"/>
        </w:rPr>
        <w:t xml:space="preserve">第五章  </w:t>
      </w:r>
      <w:r>
        <w:rPr>
          <w:rFonts w:hint="eastAsia"/>
          <w:b/>
          <w:color w:val="auto"/>
          <w:sz w:val="30"/>
          <w:szCs w:val="30"/>
          <w:highlight w:val="none"/>
        </w:rPr>
        <w:t>合同</w:t>
      </w:r>
      <w:r>
        <w:rPr>
          <w:rFonts w:hint="eastAsia"/>
          <w:b/>
          <w:color w:val="auto"/>
          <w:sz w:val="30"/>
          <w:szCs w:val="30"/>
          <w:highlight w:val="none"/>
          <w:lang w:val="en-US"/>
        </w:rPr>
        <w:t>主要</w:t>
      </w:r>
      <w:r>
        <w:rPr>
          <w:rFonts w:hint="eastAsia"/>
          <w:b/>
          <w:color w:val="auto"/>
          <w:sz w:val="30"/>
          <w:szCs w:val="30"/>
          <w:highlight w:val="none"/>
        </w:rPr>
        <w:t>条款</w:t>
      </w:r>
      <w:bookmarkEnd w:id="91"/>
      <w:bookmarkEnd w:id="92"/>
    </w:p>
    <w:p>
      <w:pPr>
        <w:pStyle w:val="27"/>
        <w:shd w:val="clear" w:color="auto" w:fill="auto"/>
        <w:snapToGrid w:val="0"/>
        <w:spacing w:before="0" w:beforeLines="0" w:after="0" w:afterLines="0" w:line="360" w:lineRule="auto"/>
        <w:jc w:val="center"/>
        <w:rPr>
          <w:rFonts w:hint="eastAsia" w:hAnsi="宋体"/>
          <w:b/>
          <w:color w:val="auto"/>
          <w:sz w:val="21"/>
          <w:szCs w:val="21"/>
          <w:highlight w:val="none"/>
        </w:rPr>
      </w:pPr>
      <w:r>
        <w:rPr>
          <w:rFonts w:hint="eastAsia" w:hAnsi="宋体"/>
          <w:b/>
          <w:color w:val="auto"/>
          <w:sz w:val="21"/>
          <w:szCs w:val="21"/>
          <w:highlight w:val="none"/>
        </w:rPr>
        <w:t>（本合同为合同样稿，仅供参考，最终稿由甲乙双方协商后确定）</w:t>
      </w:r>
    </w:p>
    <w:p>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u w:val="single"/>
          <w:lang w:val="en-US" w:eastAsia="zh-CN"/>
        </w:rPr>
        <w:t xml:space="preserve">                     </w:t>
      </w:r>
    </w:p>
    <w:p>
      <w:pPr>
        <w:pStyle w:val="267"/>
        <w:keepNext w:val="0"/>
        <w:keepLines w:val="0"/>
        <w:pageBreakBefore w:val="0"/>
        <w:shd w:val="clear" w:color="auto" w:fill="auto"/>
        <w:kinsoku/>
        <w:wordWrap/>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乙方(供应商)：</w:t>
      </w:r>
      <w:r>
        <w:rPr>
          <w:rFonts w:hint="eastAsia" w:ascii="宋体" w:hAnsi="宋体" w:eastAsia="宋体" w:cs="宋体"/>
          <w:color w:val="auto"/>
          <w:sz w:val="21"/>
          <w:szCs w:val="21"/>
          <w:highlight w:val="none"/>
          <w:u w:val="single"/>
          <w:lang w:eastAsia="zh-CN"/>
        </w:rPr>
        <w:t xml:space="preserve">                     </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甲、乙双方根据关于</w:t>
      </w:r>
      <w:r>
        <w:rPr>
          <w:rFonts w:hint="eastAsia" w:hAnsi="宋体" w:eastAsia="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lang w:val="zh-CN"/>
        </w:rPr>
        <w:t>公开采购的结果，按照《中华人民共和国民法典》的有关规定，在自愿、平等、公平、诚信的基础上，经双方协商一致，签订本合同。</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下述文件作为附件，是合同的一部分，并与本合同一起阅读和解释：</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a.本项目采购文件；</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b.投标文件及澄清文件；</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c.中标通知书；</w:t>
      </w:r>
    </w:p>
    <w:p>
      <w:pPr>
        <w:pStyle w:val="223"/>
        <w:keepNext w:val="0"/>
        <w:keepLines w:val="0"/>
        <w:pageBreakBefore w:val="0"/>
        <w:shd w:val="clear" w:color="auto" w:fill="auto"/>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上述文件与合同若有不一致之处，优先次序第一应为合同、第二应为附件(附件的优先次序为 c,b,a)。</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一、项目名称、合同履行期限（服务期限）、服务内容</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1.1项目名称：</w:t>
      </w:r>
      <w:r>
        <w:rPr>
          <w:rFonts w:hint="eastAsia" w:ascii="宋体" w:hAnsi="宋体" w:eastAsia="宋体" w:cs="宋体"/>
          <w:color w:val="auto"/>
          <w:sz w:val="21"/>
          <w:szCs w:val="21"/>
          <w:highlight w:val="none"/>
          <w:u w:val="single"/>
          <w:lang w:val="en-US" w:eastAsia="zh-CN"/>
        </w:rPr>
        <w:t xml:space="preserve">                      </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1.2合同履行期限（服务期限）：</w:t>
      </w:r>
      <w:r>
        <w:rPr>
          <w:rFonts w:hint="eastAsia" w:ascii="宋体" w:hAnsi="宋体" w:eastAsia="宋体" w:cs="宋体"/>
          <w:color w:val="auto"/>
          <w:sz w:val="21"/>
          <w:szCs w:val="21"/>
          <w:highlight w:val="none"/>
          <w:u w:val="single"/>
          <w:lang w:val="en-US" w:eastAsia="zh-CN"/>
        </w:rPr>
        <w:t xml:space="preserve">              </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1.3服务内容：</w:t>
      </w:r>
      <w:r>
        <w:rPr>
          <w:rFonts w:hint="eastAsia" w:ascii="宋体" w:hAnsi="宋体" w:eastAsia="宋体" w:cs="宋体"/>
          <w:color w:val="auto"/>
          <w:sz w:val="21"/>
          <w:szCs w:val="21"/>
          <w:highlight w:val="none"/>
          <w:u w:val="single"/>
          <w:lang w:val="en-US" w:eastAsia="zh-CN"/>
        </w:rPr>
        <w:t xml:space="preserve">                         </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二、合同金额</w:t>
      </w:r>
    </w:p>
    <w:p>
      <w:pPr>
        <w:pStyle w:val="223"/>
        <w:keepNext w:val="0"/>
        <w:keepLines w:val="0"/>
        <w:pageBreakBefore w:val="0"/>
        <w:shd w:val="clear" w:color="auto" w:fill="auto"/>
        <w:kinsoku/>
        <w:wordWrap/>
        <w:overflowPunct/>
        <w:topLinePunct w:val="0"/>
        <w:autoSpaceDE/>
        <w:autoSpaceDN/>
        <w:bidi w:val="0"/>
        <w:ind w:firstLine="44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2.1本合同</w:t>
      </w:r>
      <w:r>
        <w:rPr>
          <w:rFonts w:hint="eastAsia" w:hAnsi="宋体" w:eastAsia="宋体" w:cs="宋体"/>
          <w:color w:val="auto"/>
          <w:sz w:val="21"/>
          <w:szCs w:val="21"/>
          <w:highlight w:val="none"/>
          <w:lang w:val="en-US" w:eastAsia="zh-CN"/>
        </w:rPr>
        <w:t>采用固定综合单价合同，暂定合同</w:t>
      </w:r>
      <w:r>
        <w:rPr>
          <w:rFonts w:hint="eastAsia" w:ascii="宋体" w:hAnsi="宋体" w:eastAsia="宋体" w:cs="宋体"/>
          <w:color w:val="auto"/>
          <w:sz w:val="21"/>
          <w:szCs w:val="21"/>
          <w:highlight w:val="none"/>
        </w:rPr>
        <w:t>金额为（大写）：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元）人民币</w:t>
      </w:r>
      <w:r>
        <w:rPr>
          <w:rFonts w:hint="eastAsia" w:hAnsi="宋体" w:eastAsia="宋体" w:cs="宋体"/>
          <w:color w:val="auto"/>
          <w:sz w:val="21"/>
          <w:szCs w:val="21"/>
          <w:highlight w:val="none"/>
          <w:lang w:eastAsia="zh-CN"/>
        </w:rPr>
        <w:t>，</w:t>
      </w:r>
      <w:r>
        <w:rPr>
          <w:rFonts w:hint="eastAsia" w:hAnsi="宋体" w:eastAsia="宋体" w:cs="宋体"/>
          <w:color w:val="auto"/>
          <w:sz w:val="21"/>
          <w:szCs w:val="21"/>
          <w:highlight w:val="none"/>
          <w:lang w:val="en-US" w:eastAsia="zh-CN"/>
        </w:rPr>
        <w:t>最终金额以结算审计为准。</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三、履约保证金</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履约保证金金额：合同总价的</w:t>
      </w:r>
      <w:r>
        <w:rPr>
          <w:rFonts w:hint="eastAsia"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履约保证金形式：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非现金形式。中标人应于合同签订前将履约保证金交至采购人指定账户。合同履行期间，中标人不得将履约保证金取回或作任何抵押。履约保证金于项目通过终验后5个工作日内无息退还（中标人未按合同要求进行履约的情形除外，如出现未按合同要求履约的情形按合同约定执行）。</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四、转包或分包</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4.1本合同范围的服务，应由乙方直接提供，不得转让他人；</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除非得到甲方的书面同意，乙方不得部分分包给他人。甲方有绝对权力阻止分包。</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4.3如有转让和未经甲方同意的分包行为，甲方有权给予终止合同。</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五、合同付款方法</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5.1、项目合同签订后，采购人于7个工作日内支付至合同价的30%。</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5.2</w:t>
      </w:r>
      <w:r>
        <w:rPr>
          <w:rFonts w:hint="eastAsia" w:ascii="宋体" w:hAnsi="宋体" w:eastAsia="宋体" w:cs="宋体"/>
          <w:color w:val="auto"/>
          <w:sz w:val="21"/>
          <w:szCs w:val="21"/>
          <w:highlight w:val="none"/>
        </w:rPr>
        <w:t>完成总工程量的70%时，采购人于15个工作日内支付至合同价的70%。</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5.3</w:t>
      </w:r>
      <w:r>
        <w:rPr>
          <w:rFonts w:hint="eastAsia" w:ascii="宋体" w:hAnsi="宋体" w:eastAsia="宋体" w:cs="宋体"/>
          <w:color w:val="auto"/>
          <w:sz w:val="21"/>
          <w:szCs w:val="21"/>
          <w:highlight w:val="none"/>
        </w:rPr>
        <w:t>完工且通过初步验收合格后，采购人于15个工作日内支付至合同价的90%。</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5.4</w:t>
      </w:r>
      <w:r>
        <w:rPr>
          <w:rFonts w:hint="eastAsia" w:ascii="宋体" w:hAnsi="宋体" w:eastAsia="宋体" w:cs="宋体"/>
          <w:color w:val="auto"/>
          <w:sz w:val="21"/>
          <w:szCs w:val="21"/>
          <w:highlight w:val="none"/>
        </w:rPr>
        <w:t>项目最终验收合格且试运行期满后，采购人于15个工作日内支付至经造价咨询单位审核后结算价的100%。。</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六、质保期</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质保期：</w:t>
      </w:r>
      <w:r>
        <w:rPr>
          <w:rFonts w:hint="eastAsia" w:ascii="宋体" w:hAnsi="宋体" w:eastAsia="宋体" w:cs="宋体"/>
          <w:color w:val="auto"/>
          <w:sz w:val="21"/>
          <w:szCs w:val="21"/>
          <w:highlight w:val="none"/>
        </w:rPr>
        <w:t>售后期、运营及运维期自项目交付并验收之日起2年。质保期内如出现系统设备故障（除人为原因造成外）中标供应商无条件免费维修；质保期外，中标供应商提供有偿的终身维修服务。</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七、税率</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7.1本合同执行中相关的一切税费均由乙方负担。</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八、完成质量要求</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 服务期间乙方不得随意更换项目负责人，如有特殊情况需要更换，须经甲方同意确认。</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8.2服务期间，乙方须配备足够的人员和设备。</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8.3合同执行过程中，乙方如有弄虚作假行为，甲方有权单方面解除合同，由此引起的所以损失由乙方承担。</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九、知识产权</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乙方应保证所提供的服务或其任何一部分均不会侵犯任何第三方的知识产权。</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十、违约责任</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10.1甲方无正当理由拒收接受服务的，甲方向乙方偿付合同款项5%作为违约金。</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10.2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十一、不可抗力事件处理</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在合同有效期内，任何一方因不可抗力事件导致不能履行合同，则合同履行期可延长，其延长期与不可抗力影响期相同。</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不可抗力事件发生后，应立即通知对方，并寄送有关权威机构出具的证明。</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不可抗力事件延续120天以上，双方应通过友好协商，确定是否继续履行合同。</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十二、诉讼</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双方在执行合同中所发生的一切争议，应通过协商解决。如协商不成，可向合同签订地法院起诉。</w:t>
      </w:r>
    </w:p>
    <w:p>
      <w:pPr>
        <w:keepNext/>
        <w:keepLines/>
        <w:widowControl w:val="0"/>
        <w:shd w:val="clear" w:color="auto" w:fill="auto"/>
        <w:bidi w:val="0"/>
        <w:spacing w:line="360" w:lineRule="auto"/>
        <w:jc w:val="left"/>
        <w:outlineLvl w:val="2"/>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十三、合同生效及其它</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合同经双方法定代表人或授权委托代理人签字并加盖单位公章后生效。</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13.2合同执行中涉及采购资金和采购内容修改或补充的，须经财政部门审批，并签书面补充协议报政府采购监督管理部门备案，方可作为主合同不可分割的一部分。</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13.3本合同未尽事宜，遵照《民法典》有关条文、补充协议、投标承诺、响应文件、采购文件及补充执行。</w:t>
      </w:r>
    </w:p>
    <w:p>
      <w:pPr>
        <w:pStyle w:val="223"/>
        <w:keepNext w:val="0"/>
        <w:keepLines w:val="0"/>
        <w:pageBreakBefore w:val="0"/>
        <w:shd w:val="clear" w:color="auto" w:fill="auto"/>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 本合同正本一式两份，甲乙双方各执一 份；副本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份，（用途）。</w:t>
      </w:r>
    </w:p>
    <w:p>
      <w:pPr>
        <w:pStyle w:val="223"/>
        <w:shd w:val="clear" w:color="auto" w:fill="auto"/>
        <w:ind w:firstLine="440"/>
        <w:rPr>
          <w:rFonts w:hAnsi="宋体" w:eastAsia="宋体"/>
          <w:color w:val="auto"/>
          <w:sz w:val="21"/>
          <w:szCs w:val="21"/>
          <w:highlight w:val="none"/>
        </w:rPr>
      </w:pP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甲方（盖章）：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乙方（盖章）：        </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法定代表人：                   </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或受委托人（签字）：                      或受委托人（签字）：                  </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                                  联系人：</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地址： </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电话：</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                                    传真：</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                                开户银行： </w:t>
      </w:r>
    </w:p>
    <w:p>
      <w:pPr>
        <w:shd w:val="clear" w:color="auto" w:fill="auto"/>
        <w:spacing w:line="480" w:lineRule="auto"/>
        <w:ind w:left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                                    帐号：</w:t>
      </w:r>
    </w:p>
    <w:p>
      <w:pPr>
        <w:shd w:val="clear" w:color="auto" w:fill="auto"/>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                                   </w:t>
      </w:r>
    </w:p>
    <w:p>
      <w:pPr>
        <w:shd w:val="clear" w:color="auto" w:fill="auto"/>
        <w:spacing w:line="480" w:lineRule="auto"/>
        <w:ind w:firstLine="5040" w:firstLineChars="2400"/>
        <w:rPr>
          <w:rFonts w:ascii="宋体" w:hAnsi="宋体"/>
          <w:color w:val="auto"/>
          <w:sz w:val="21"/>
          <w:szCs w:val="21"/>
          <w:highlight w:val="none"/>
        </w:rPr>
      </w:pPr>
      <w:r>
        <w:rPr>
          <w:rFonts w:hint="eastAsia" w:ascii="宋体" w:hAnsi="宋体"/>
          <w:color w:val="auto"/>
          <w:sz w:val="21"/>
          <w:szCs w:val="21"/>
          <w:highlight w:val="none"/>
        </w:rPr>
        <w:t>签 约 地：</w:t>
      </w:r>
    </w:p>
    <w:p>
      <w:pPr>
        <w:shd w:val="clear" w:color="auto" w:fill="auto"/>
        <w:adjustRightInd w:val="0"/>
        <w:snapToGrid w:val="0"/>
        <w:spacing w:line="48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 xml:space="preserve">                                            签约日期：    年  月    日</w:t>
      </w:r>
    </w:p>
    <w:p>
      <w:pPr>
        <w:pStyle w:val="3"/>
        <w:shd w:val="clear" w:color="auto" w:fill="auto"/>
        <w:spacing w:line="360" w:lineRule="auto"/>
        <w:ind w:firstLine="0"/>
        <w:rPr>
          <w:rFonts w:hint="eastAsia" w:hAnsi="宋体"/>
          <w:color w:val="auto"/>
          <w:sz w:val="21"/>
          <w:szCs w:val="21"/>
          <w:highlight w:val="none"/>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leftChars="0"/>
        <w:jc w:val="center"/>
        <w:textAlignment w:val="auto"/>
        <w:outlineLvl w:val="0"/>
        <w:rPr>
          <w:rFonts w:hint="eastAsia" w:hAnsi="宋体" w:cs="宋体"/>
          <w:b/>
          <w:color w:val="auto"/>
          <w:sz w:val="28"/>
          <w:szCs w:val="28"/>
          <w:highlight w:val="none"/>
        </w:rPr>
      </w:pPr>
      <w:r>
        <w:rPr>
          <w:rFonts w:hint="eastAsia"/>
          <w:color w:val="auto"/>
          <w:highlight w:val="none"/>
        </w:rPr>
        <w:br w:type="page"/>
      </w:r>
      <w:bookmarkStart w:id="93" w:name="_Toc10113"/>
      <w:r>
        <w:rPr>
          <w:rFonts w:hint="eastAsia" w:ascii="宋体" w:hAnsi="宋体" w:eastAsia="宋体" w:cs="宋体"/>
          <w:b/>
          <w:color w:val="auto"/>
          <w:sz w:val="30"/>
          <w:szCs w:val="30"/>
          <w:highlight w:val="none"/>
          <w:lang w:val="en-US" w:eastAsia="zh-CN"/>
        </w:rPr>
        <w:t>第六章 投标文件格式</w:t>
      </w:r>
      <w:bookmarkEnd w:id="93"/>
    </w:p>
    <w:p>
      <w:pPr>
        <w:pStyle w:val="2"/>
        <w:numPr>
          <w:ilvl w:val="0"/>
          <w:numId w:val="0"/>
        </w:numPr>
        <w:shd w:val="clear" w:color="auto" w:fill="auto"/>
        <w:ind w:leftChars="0"/>
        <w:rPr>
          <w:color w:val="auto"/>
          <w:highlight w:val="none"/>
        </w:rPr>
      </w:pPr>
    </w:p>
    <w:p>
      <w:pPr>
        <w:keepNext w:val="0"/>
        <w:keepLines w:val="0"/>
        <w:pageBreakBefore w:val="0"/>
        <w:widowControl w:val="0"/>
        <w:shd w:val="clear" w:color="auto" w:fill="auto"/>
        <w:kinsoku/>
        <w:wordWrap/>
        <w:overflowPunct/>
        <w:topLinePunct w:val="0"/>
        <w:autoSpaceDE/>
        <w:autoSpaceDN/>
        <w:bidi w:val="0"/>
        <w:spacing w:line="360" w:lineRule="auto"/>
        <w:ind w:firstLine="413" w:firstLineChars="196"/>
        <w:jc w:val="left"/>
        <w:textAlignment w:val="auto"/>
        <w:outlineLvl w:val="9"/>
        <w:rPr>
          <w:rFonts w:hint="eastAsia" w:ascii="宋体" w:hAnsi="宋体" w:eastAsia="宋体" w:cs="宋体"/>
          <w:b/>
          <w:color w:val="auto"/>
          <w:sz w:val="21"/>
          <w:szCs w:val="21"/>
          <w:highlight w:val="none"/>
        </w:rPr>
      </w:pPr>
    </w:p>
    <w:p>
      <w:pPr>
        <w:keepNext w:val="0"/>
        <w:keepLines w:val="0"/>
        <w:pageBreakBefore w:val="0"/>
        <w:widowControl w:val="0"/>
        <w:shd w:val="clear" w:color="auto" w:fill="auto"/>
        <w:kinsoku/>
        <w:wordWrap/>
        <w:overflowPunct/>
        <w:topLinePunct w:val="0"/>
        <w:autoSpaceDE/>
        <w:autoSpaceDN/>
        <w:bidi w:val="0"/>
        <w:spacing w:line="360" w:lineRule="auto"/>
        <w:ind w:firstLine="413" w:firstLineChars="196"/>
        <w:jc w:val="left"/>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bCs/>
          <w:color w:val="auto"/>
          <w:sz w:val="21"/>
          <w:szCs w:val="21"/>
          <w:highlight w:val="none"/>
        </w:rPr>
        <w:t>资格文件内容主要包括但不限于以下内容：</w:t>
      </w:r>
    </w:p>
    <w:p>
      <w:pPr>
        <w:keepNext w:val="0"/>
        <w:keepLines w:val="0"/>
        <w:pageBreakBefore w:val="0"/>
        <w:widowControl w:val="0"/>
        <w:shd w:val="clear" w:color="auto" w:fill="auto"/>
        <w:kinsoku/>
        <w:wordWrap/>
        <w:overflowPunct/>
        <w:topLinePunct w:val="0"/>
        <w:autoSpaceDE/>
        <w:autoSpaceDN/>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（1）资格条件自查表（格式见第六章 投标文件格式）；</w:t>
      </w:r>
    </w:p>
    <w:p>
      <w:pPr>
        <w:keepNext w:val="0"/>
        <w:keepLines w:val="0"/>
        <w:pageBreakBefore w:val="0"/>
        <w:widowControl w:val="0"/>
        <w:shd w:val="clear" w:color="auto" w:fill="auto"/>
        <w:kinsoku/>
        <w:wordWrap/>
        <w:overflowPunct/>
        <w:topLinePunct w:val="0"/>
        <w:autoSpaceDE/>
        <w:autoSpaceDN/>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（2）投标人投标声明书（格式见第六章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（3）法定代表人身份证明或法定代表人授权委托书（格式见第六章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（4）具备《中华人民共和国政府采购法》第二十二条规定的资格条件的承诺函（格式见第六章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（5）提供具有履行合同所必需的设备和专业技术能力的书面声明（格式见第六章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（6）提供参加政府采购活动前3年内在经营活动中没有重大违法记录的书面声明（格式见第六章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（7）投标承诺函（格式见第六章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（8）投标人认为有必要说明的其他资料。</w:t>
      </w:r>
    </w:p>
    <w:p>
      <w:pPr>
        <w:pStyle w:val="92"/>
        <w:keepNext w:val="0"/>
        <w:keepLines w:val="0"/>
        <w:pageBreakBefore w:val="0"/>
        <w:widowControl w:val="0"/>
        <w:shd w:val="clear" w:color="auto" w:fill="auto"/>
        <w:kinsoku/>
        <w:wordWrap/>
        <w:overflowPunct/>
        <w:topLinePunct w:val="0"/>
        <w:autoSpaceDE/>
        <w:autoSpaceDN/>
        <w:bidi w:val="0"/>
        <w:spacing w:line="360" w:lineRule="auto"/>
        <w:ind w:firstLine="422"/>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2、商务技术文件内容主要包括但不限于以下内容：</w:t>
      </w:r>
    </w:p>
    <w:p>
      <w:pPr>
        <w:keepNext w:val="0"/>
        <w:keepLines w:val="0"/>
        <w:pageBreakBefore w:val="0"/>
        <w:widowControl w:val="0"/>
        <w:shd w:val="clear" w:color="auto" w:fill="auto"/>
        <w:kinsoku/>
        <w:wordWrap/>
        <w:overflowPunct/>
        <w:topLinePunct w:val="0"/>
        <w:autoSpaceDE/>
        <w:autoSpaceDN/>
        <w:bidi w:val="0"/>
        <w:spacing w:line="36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（1）投标人符合性自查表；</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（2）法定代表人身份证明或法定代表人授权委托书（格式见第六章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（3）投标人响应表（格式见第六章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（4）商务条款偏离表（格式见第六章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（5）技术条款偏离表（格式见第六章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（6）投标人基本情况表（格式见第六章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（7）针对本项目第四章评标办法及评标标准中的条款拟定各种方案（格式自拟）；</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（8）第四章评标办法及评标标准中需提供的其他相关证书及合同等复印件加盖公章（如有）； </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（9）投标人认为有必要提供的或评分标准要求提供的或本技术规格书中要求提供的其他技术资料及说明。</w:t>
      </w:r>
    </w:p>
    <w:p>
      <w:pPr>
        <w:pStyle w:val="92"/>
        <w:keepNext w:val="0"/>
        <w:keepLines w:val="0"/>
        <w:pageBreakBefore w:val="0"/>
        <w:widowControl w:val="0"/>
        <w:shd w:val="clear" w:color="auto" w:fill="auto"/>
        <w:kinsoku/>
        <w:wordWrap/>
        <w:overflowPunct/>
        <w:topLinePunct w:val="0"/>
        <w:autoSpaceDE/>
        <w:autoSpaceDN/>
        <w:bidi w:val="0"/>
        <w:spacing w:line="360" w:lineRule="auto"/>
        <w:ind w:firstLine="442"/>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注：商务技术文件中不能出现报价。</w:t>
      </w:r>
    </w:p>
    <w:p>
      <w:pPr>
        <w:keepNext w:val="0"/>
        <w:keepLines w:val="0"/>
        <w:pageBreakBefore w:val="0"/>
        <w:widowControl w:val="0"/>
        <w:shd w:val="clear" w:color="auto" w:fill="auto"/>
        <w:kinsoku/>
        <w:wordWrap/>
        <w:overflowPunct/>
        <w:topLinePunct w:val="0"/>
        <w:autoSpaceDE/>
        <w:autoSpaceDN/>
        <w:bidi w:val="0"/>
        <w:spacing w:line="360" w:lineRule="auto"/>
        <w:ind w:firstLine="413" w:firstLineChars="196"/>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3、报价文件内容主要包括但不限于以下内容：</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（3）开标一览表（格式见第六章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（4）投标分项报价表（（格式自拟））；</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（5）中小企业声明函（格式见第六章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（6）残疾人福利性单位声明函（如为）（（格式见第六章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注：本项目为非专门面向中小企业采购的项目，如果供应商和制造商为中小企业，应同时提供供应商和制造商的中小企业声明函。如未按照要求提供，将不得享受评标标准中注明的针对小微企业的价格扣除优惠。</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（8）政府采购统计基础信息表（格式见第六章 投标文件格式）；</w:t>
      </w:r>
    </w:p>
    <w:p>
      <w:pPr>
        <w:pStyle w:val="92"/>
        <w:keepNext w:val="0"/>
        <w:keepLines w:val="0"/>
        <w:pageBreakBefore w:val="0"/>
        <w:widowControl w:val="0"/>
        <w:shd w:val="clear" w:color="auto" w:fill="auto"/>
        <w:kinsoku/>
        <w:wordWrap/>
        <w:overflowPunct/>
        <w:topLinePunct w:val="0"/>
        <w:autoSpaceDE/>
        <w:autoSpaceDN/>
        <w:bidi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（9）投标人针对报价需要说明的其他文件和说明。</w:t>
      </w:r>
    </w:p>
    <w:p>
      <w:pPr>
        <w:keepNext w:val="0"/>
        <w:keepLines w:val="0"/>
        <w:pageBreakBefore w:val="0"/>
        <w:widowControl w:val="0"/>
        <w:shd w:val="clear" w:color="auto" w:fill="auto"/>
        <w:kinsoku/>
        <w:wordWrap/>
        <w:overflowPunct/>
        <w:topLinePunct w:val="0"/>
        <w:autoSpaceDE/>
        <w:autoSpaceDN/>
        <w:bidi w:val="0"/>
        <w:adjustRightInd w:val="0"/>
        <w:snapToGrid w:val="0"/>
        <w:spacing w:line="440" w:lineRule="exact"/>
        <w:ind w:firstLine="440" w:firstLineChars="200"/>
        <w:jc w:val="left"/>
        <w:textAlignment w:val="auto"/>
        <w:outlineLvl w:val="9"/>
        <w:rPr>
          <w:rFonts w:ascii="宋体" w:hAnsi="宋体"/>
          <w:color w:val="auto"/>
          <w:sz w:val="22"/>
          <w:szCs w:val="22"/>
          <w:highlight w:val="none"/>
        </w:rPr>
      </w:pPr>
    </w:p>
    <w:p>
      <w:pPr>
        <w:pStyle w:val="35"/>
        <w:keepNext w:val="0"/>
        <w:keepLines w:val="0"/>
        <w:pageBreakBefore w:val="0"/>
        <w:widowControl w:val="0"/>
        <w:shd w:val="clear" w:color="auto" w:fill="auto"/>
        <w:tabs>
          <w:tab w:val="right" w:leader="dot" w:pos="8834"/>
          <w:tab w:val="right" w:leader="dot" w:pos="9344"/>
        </w:tabs>
        <w:kinsoku/>
        <w:wordWrap/>
        <w:overflowPunct/>
        <w:topLinePunct w:val="0"/>
        <w:autoSpaceDE/>
        <w:autoSpaceDN/>
        <w:bidi w:val="0"/>
        <w:spacing w:line="360" w:lineRule="auto"/>
        <w:jc w:val="left"/>
        <w:textAlignment w:val="auto"/>
        <w:outlineLvl w:val="9"/>
        <w:rPr>
          <w:rFonts w:ascii="宋体" w:hAnsi="宋体"/>
          <w:color w:val="auto"/>
          <w:sz w:val="22"/>
          <w:szCs w:val="22"/>
          <w:highlight w:val="none"/>
        </w:rPr>
      </w:pPr>
    </w:p>
    <w:p>
      <w:pPr>
        <w:pStyle w:val="35"/>
        <w:shd w:val="clear" w:color="auto" w:fill="auto"/>
        <w:tabs>
          <w:tab w:val="right" w:leader="dot" w:pos="8834"/>
          <w:tab w:val="right" w:leader="dot" w:pos="9344"/>
        </w:tabs>
        <w:spacing w:line="360" w:lineRule="auto"/>
        <w:jc w:val="left"/>
        <w:rPr>
          <w:rFonts w:ascii="宋体" w:hAnsi="宋体"/>
          <w:color w:val="auto"/>
          <w:sz w:val="22"/>
          <w:szCs w:val="22"/>
          <w:highlight w:val="none"/>
        </w:rPr>
      </w:pPr>
    </w:p>
    <w:p>
      <w:pPr>
        <w:pStyle w:val="35"/>
        <w:shd w:val="clear" w:color="auto" w:fill="auto"/>
        <w:tabs>
          <w:tab w:val="right" w:leader="dot" w:pos="8834"/>
          <w:tab w:val="right" w:leader="dot" w:pos="9344"/>
        </w:tabs>
        <w:spacing w:line="360" w:lineRule="auto"/>
        <w:jc w:val="left"/>
        <w:rPr>
          <w:rFonts w:ascii="宋体" w:hAnsi="宋体"/>
          <w:color w:val="auto"/>
          <w:sz w:val="22"/>
          <w:szCs w:val="22"/>
          <w:highlight w:val="none"/>
        </w:rPr>
      </w:pPr>
    </w:p>
    <w:p>
      <w:pPr>
        <w:pStyle w:val="35"/>
        <w:shd w:val="clear" w:color="auto" w:fill="auto"/>
        <w:tabs>
          <w:tab w:val="right" w:leader="dot" w:pos="8834"/>
          <w:tab w:val="right" w:leader="dot" w:pos="9344"/>
        </w:tabs>
        <w:spacing w:line="360" w:lineRule="auto"/>
        <w:jc w:val="left"/>
        <w:rPr>
          <w:rFonts w:ascii="宋体"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pStyle w:val="27"/>
        <w:shd w:val="clear" w:color="auto" w:fill="auto"/>
        <w:adjustRightInd w:val="0"/>
        <w:snapToGrid w:val="0"/>
        <w:spacing w:line="360" w:lineRule="auto"/>
        <w:rPr>
          <w:rFonts w:hAnsi="宋体"/>
          <w:color w:val="auto"/>
          <w:sz w:val="22"/>
          <w:szCs w:val="22"/>
          <w:highlight w:val="none"/>
        </w:rPr>
      </w:pPr>
    </w:p>
    <w:p>
      <w:pPr>
        <w:shd w:val="clear" w:color="auto" w:fill="auto"/>
        <w:snapToGrid w:val="0"/>
        <w:spacing w:beforeLines="50" w:after="50"/>
        <w:rPr>
          <w:rFonts w:hint="eastAsia" w:ascii="宋体" w:hAnsi="宋体" w:eastAsia="宋体" w:cs="宋体"/>
          <w:color w:val="auto"/>
          <w:sz w:val="21"/>
          <w:szCs w:val="21"/>
          <w:highlight w:val="none"/>
        </w:rPr>
      </w:pPr>
      <w:bookmarkStart w:id="94" w:name="_Toc335895417"/>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1.所有投标文件的外包装封面格式：(可选用)</w:t>
      </w:r>
    </w:p>
    <w:p>
      <w:pPr>
        <w:shd w:val="clear" w:color="auto" w:fill="auto"/>
        <w:snapToGrid w:val="0"/>
        <w:spacing w:beforeLines="50" w:after="50"/>
        <w:rPr>
          <w:rFonts w:hint="eastAsia" w:ascii="宋体" w:hAnsi="宋体" w:eastAsia="宋体" w:cs="宋体"/>
          <w:color w:val="auto"/>
          <w:sz w:val="21"/>
          <w:szCs w:val="21"/>
          <w:highlight w:val="none"/>
        </w:rPr>
      </w:pPr>
    </w:p>
    <w:p>
      <w:pPr>
        <w:shd w:val="clear" w:color="auto" w:fill="auto"/>
        <w:snapToGrid w:val="0"/>
        <w:spacing w:beforeLines="50" w:after="50"/>
        <w:jc w:val="center"/>
        <w:rPr>
          <w:rFonts w:hint="eastAsia" w:ascii="宋体" w:hAnsi="宋体" w:eastAsia="宋体" w:cs="宋体"/>
          <w:bCs/>
          <w:color w:val="auto"/>
          <w:sz w:val="21"/>
          <w:szCs w:val="21"/>
          <w:highlight w:val="none"/>
        </w:rPr>
      </w:pPr>
    </w:p>
    <w:p>
      <w:pPr>
        <w:shd w:val="clear" w:color="auto" w:fill="auto"/>
        <w:snapToGrid w:val="0"/>
        <w:spacing w:beforeLines="50" w:after="5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 标 文 件</w:t>
      </w:r>
    </w:p>
    <w:p>
      <w:pPr>
        <w:shd w:val="clear" w:color="auto" w:fill="auto"/>
        <w:snapToGrid w:val="0"/>
        <w:spacing w:beforeLines="50" w:after="50"/>
        <w:rPr>
          <w:rFonts w:hint="eastAsia" w:ascii="宋体" w:hAnsi="宋体" w:eastAsia="宋体" w:cs="宋体"/>
          <w:bCs/>
          <w:color w:val="auto"/>
          <w:sz w:val="21"/>
          <w:szCs w:val="21"/>
          <w:highlight w:val="none"/>
        </w:rPr>
      </w:pPr>
    </w:p>
    <w:p>
      <w:pPr>
        <w:shd w:val="clear" w:color="auto" w:fill="auto"/>
        <w:snapToGrid w:val="0"/>
        <w:spacing w:beforeLines="50" w:after="50"/>
        <w:rPr>
          <w:rFonts w:hint="eastAsia" w:ascii="宋体" w:hAnsi="宋体" w:eastAsia="宋体" w:cs="宋体"/>
          <w:bCs/>
          <w:color w:val="auto"/>
          <w:sz w:val="21"/>
          <w:szCs w:val="21"/>
          <w:highlight w:val="none"/>
        </w:rPr>
      </w:pPr>
    </w:p>
    <w:p>
      <w:pPr>
        <w:shd w:val="clear" w:color="auto" w:fill="auto"/>
        <w:snapToGrid w:val="0"/>
        <w:spacing w:line="400" w:lineRule="exact"/>
        <w:ind w:firstLine="1785" w:firstLineChars="8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项目名称：        </w:t>
      </w:r>
    </w:p>
    <w:p>
      <w:pPr>
        <w:shd w:val="clear" w:color="auto" w:fill="auto"/>
        <w:snapToGrid w:val="0"/>
        <w:spacing w:line="400" w:lineRule="exact"/>
        <w:ind w:firstLine="1785" w:firstLineChars="8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项目编号： </w:t>
      </w:r>
    </w:p>
    <w:p>
      <w:pPr>
        <w:shd w:val="clear" w:color="auto" w:fill="auto"/>
        <w:spacing w:line="360" w:lineRule="auto"/>
        <w:ind w:firstLine="1785" w:firstLineChars="8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投标文件名称：资格文件/商务技术文件/报价文件</w:t>
      </w:r>
    </w:p>
    <w:p>
      <w:pPr>
        <w:pStyle w:val="4"/>
        <w:shd w:val="clear" w:color="auto" w:fill="auto"/>
        <w:snapToGrid w:val="0"/>
        <w:spacing w:line="400" w:lineRule="exact"/>
        <w:ind w:firstLine="1785" w:firstLineChars="8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供应商名称：</w:t>
      </w:r>
    </w:p>
    <w:p>
      <w:pPr>
        <w:pStyle w:val="4"/>
        <w:shd w:val="clear" w:color="auto" w:fill="auto"/>
        <w:snapToGrid w:val="0"/>
        <w:spacing w:line="400" w:lineRule="exact"/>
        <w:ind w:firstLine="1785" w:firstLineChars="8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供应商地址：</w:t>
      </w:r>
    </w:p>
    <w:p>
      <w:pPr>
        <w:pStyle w:val="4"/>
        <w:shd w:val="clear" w:color="auto" w:fill="auto"/>
        <w:snapToGrid w:val="0"/>
        <w:spacing w:line="400" w:lineRule="exact"/>
        <w:ind w:firstLine="1785" w:firstLineChars="85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xml:space="preserve">                  开标时启封</w:t>
      </w:r>
    </w:p>
    <w:p>
      <w:pPr>
        <w:shd w:val="clear" w:color="auto" w:fill="auto"/>
        <w:snapToGrid w:val="0"/>
        <w:spacing w:beforeLines="50" w:after="50"/>
        <w:ind w:firstLine="3570" w:firstLineChars="1700"/>
        <w:rPr>
          <w:rFonts w:hint="eastAsia" w:ascii="宋体" w:hAnsi="宋体" w:eastAsia="宋体" w:cs="宋体"/>
          <w:bCs/>
          <w:color w:val="auto"/>
          <w:sz w:val="21"/>
          <w:szCs w:val="21"/>
          <w:highlight w:val="none"/>
        </w:rPr>
      </w:pPr>
    </w:p>
    <w:p>
      <w:pPr>
        <w:shd w:val="clear" w:color="auto" w:fill="auto"/>
        <w:snapToGrid w:val="0"/>
        <w:spacing w:beforeLines="50" w:after="50"/>
        <w:ind w:firstLine="645"/>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年  月  日</w:t>
      </w:r>
    </w:p>
    <w:p>
      <w:pPr>
        <w:shd w:val="clear" w:color="auto" w:fill="auto"/>
        <w:snapToGrid w:val="0"/>
        <w:spacing w:beforeLines="50" w:after="50"/>
        <w:rPr>
          <w:rFonts w:hint="eastAsia" w:ascii="宋体" w:hAnsi="宋体" w:eastAsia="宋体" w:cs="宋体"/>
          <w:color w:val="auto"/>
          <w:sz w:val="21"/>
          <w:szCs w:val="21"/>
          <w:highlight w:val="none"/>
        </w:rPr>
      </w:pPr>
    </w:p>
    <w:p>
      <w:pPr>
        <w:shd w:val="clear" w:color="auto" w:fill="auto"/>
        <w:snapToGrid w:val="0"/>
        <w:spacing w:beforeLines="50" w:after="50"/>
        <w:jc w:val="center"/>
        <w:rPr>
          <w:rFonts w:hint="eastAsia" w:ascii="宋体" w:hAnsi="宋体" w:eastAsia="宋体" w:cs="宋体"/>
          <w:color w:val="auto"/>
          <w:sz w:val="21"/>
          <w:szCs w:val="21"/>
          <w:highlight w:val="none"/>
        </w:rPr>
      </w:pPr>
    </w:p>
    <w:p>
      <w:pPr>
        <w:shd w:val="clear" w:color="auto" w:fill="auto"/>
        <w:snapToGrid w:val="0"/>
        <w:spacing w:beforeLines="50" w:after="50"/>
        <w:jc w:val="center"/>
        <w:rPr>
          <w:rFonts w:hint="eastAsia" w:ascii="宋体" w:hAnsi="宋体" w:eastAsia="宋体" w:cs="宋体"/>
          <w:color w:val="auto"/>
          <w:sz w:val="21"/>
          <w:szCs w:val="21"/>
          <w:highlight w:val="none"/>
        </w:rPr>
      </w:pPr>
    </w:p>
    <w:p>
      <w:pPr>
        <w:shd w:val="clear" w:color="auto" w:fill="auto"/>
        <w:snapToGrid w:val="0"/>
        <w:spacing w:beforeLines="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2.封面格式： </w:t>
      </w:r>
    </w:p>
    <w:p>
      <w:pPr>
        <w:shd w:val="clear" w:color="auto" w:fill="auto"/>
        <w:snapToGrid w:val="0"/>
        <w:spacing w:beforeLines="50" w:after="5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正本/或副本</w:t>
      </w:r>
    </w:p>
    <w:p>
      <w:pPr>
        <w:shd w:val="clear" w:color="auto" w:fill="auto"/>
        <w:snapToGrid w:val="0"/>
        <w:spacing w:beforeLines="50" w:after="50"/>
        <w:rPr>
          <w:rFonts w:hint="eastAsia" w:ascii="宋体" w:hAnsi="宋体" w:eastAsia="宋体" w:cs="宋体"/>
          <w:bCs/>
          <w:color w:val="auto"/>
          <w:sz w:val="21"/>
          <w:szCs w:val="21"/>
          <w:highlight w:val="none"/>
        </w:rPr>
      </w:pPr>
    </w:p>
    <w:p>
      <w:pPr>
        <w:shd w:val="clear" w:color="auto" w:fill="auto"/>
        <w:snapToGrid w:val="0"/>
        <w:spacing w:beforeLines="50" w:after="5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w:t>
      </w:r>
    </w:p>
    <w:p>
      <w:pPr>
        <w:shd w:val="clear" w:color="auto" w:fill="auto"/>
        <w:snapToGrid w:val="0"/>
        <w:spacing w:beforeLines="50" w:after="50"/>
        <w:rPr>
          <w:rFonts w:hint="eastAsia" w:ascii="宋体" w:hAnsi="宋体" w:eastAsia="宋体" w:cs="宋体"/>
          <w:bCs/>
          <w:color w:val="auto"/>
          <w:sz w:val="21"/>
          <w:szCs w:val="21"/>
          <w:highlight w:val="none"/>
        </w:rPr>
      </w:pPr>
    </w:p>
    <w:p>
      <w:pPr>
        <w:shd w:val="clear" w:color="auto" w:fill="auto"/>
        <w:snapToGrid w:val="0"/>
        <w:spacing w:beforeLines="50" w:after="50"/>
        <w:rPr>
          <w:rFonts w:hint="eastAsia" w:ascii="宋体" w:hAnsi="宋体" w:eastAsia="宋体" w:cs="宋体"/>
          <w:bCs/>
          <w:color w:val="auto"/>
          <w:sz w:val="21"/>
          <w:szCs w:val="21"/>
          <w:highlight w:val="none"/>
        </w:rPr>
      </w:pPr>
    </w:p>
    <w:p>
      <w:pPr>
        <w:shd w:val="clear" w:color="auto" w:fill="auto"/>
        <w:snapToGrid w:val="0"/>
        <w:spacing w:line="400" w:lineRule="exact"/>
        <w:ind w:firstLine="1575" w:firstLineChars="7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项目名称： </w:t>
      </w:r>
    </w:p>
    <w:p>
      <w:pPr>
        <w:shd w:val="clear" w:color="auto" w:fill="auto"/>
        <w:snapToGrid w:val="0"/>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项目编号：  </w:t>
      </w:r>
    </w:p>
    <w:p>
      <w:pPr>
        <w:shd w:val="clear" w:color="auto" w:fill="auto"/>
        <w:snapToGrid w:val="0"/>
        <w:spacing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投标文件名称：资格文件/商务技术文件/报价文件</w:t>
      </w:r>
    </w:p>
    <w:p>
      <w:pPr>
        <w:pStyle w:val="4"/>
        <w:shd w:val="clear" w:color="auto" w:fill="auto"/>
        <w:snapToGrid w:val="0"/>
        <w:spacing w:line="400" w:lineRule="exact"/>
        <w:ind w:firstLine="1575" w:firstLineChars="7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供应商名称：</w:t>
      </w:r>
    </w:p>
    <w:p>
      <w:pPr>
        <w:pStyle w:val="4"/>
        <w:shd w:val="clear" w:color="auto" w:fill="auto"/>
        <w:snapToGrid w:val="0"/>
        <w:spacing w:line="400" w:lineRule="exact"/>
        <w:ind w:firstLine="1575" w:firstLineChars="75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供应商地址：</w:t>
      </w:r>
    </w:p>
    <w:p>
      <w:pPr>
        <w:pStyle w:val="4"/>
        <w:shd w:val="clear" w:color="auto" w:fill="auto"/>
        <w:snapToGrid w:val="0"/>
        <w:spacing w:before="50" w:after="50"/>
        <w:ind w:firstLine="840" w:firstLineChars="400"/>
        <w:rPr>
          <w:rFonts w:hint="eastAsia" w:ascii="宋体" w:hAnsi="宋体" w:eastAsia="宋体" w:cs="宋体"/>
          <w:bCs/>
          <w:color w:val="auto"/>
          <w:sz w:val="21"/>
          <w:szCs w:val="21"/>
          <w:highlight w:val="none"/>
        </w:rPr>
      </w:pPr>
    </w:p>
    <w:p>
      <w:pPr>
        <w:pStyle w:val="4"/>
        <w:shd w:val="clear" w:color="auto" w:fill="auto"/>
        <w:snapToGrid w:val="0"/>
        <w:spacing w:before="50" w:after="50"/>
        <w:ind w:firstLine="873" w:firstLineChars="416"/>
        <w:rPr>
          <w:rFonts w:hint="eastAsia" w:ascii="宋体" w:hAnsi="宋体" w:eastAsia="宋体" w:cs="宋体"/>
          <w:color w:val="auto"/>
          <w:sz w:val="21"/>
          <w:szCs w:val="21"/>
          <w:highlight w:val="none"/>
        </w:rPr>
      </w:pPr>
    </w:p>
    <w:p>
      <w:pPr>
        <w:shd w:val="clear" w:color="auto" w:fill="auto"/>
        <w:snapToGrid w:val="0"/>
        <w:spacing w:beforeLines="50" w:after="50"/>
        <w:ind w:firstLine="5040" w:firstLineChars="2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授权代表签章：</w:t>
      </w:r>
    </w:p>
    <w:p>
      <w:pPr>
        <w:shd w:val="clear" w:color="auto" w:fill="auto"/>
        <w:snapToGrid w:val="0"/>
        <w:spacing w:beforeLines="50" w:after="50"/>
        <w:ind w:firstLine="64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pPr>
        <w:keepNext w:val="0"/>
        <w:keepLines w:val="0"/>
        <w:pageBreakBefore w:val="0"/>
        <w:widowControl w:val="0"/>
        <w:shd w:val="clear" w:color="auto" w:fill="auto"/>
        <w:kinsoku/>
        <w:wordWrap/>
        <w:overflowPunct/>
        <w:topLinePunct w:val="0"/>
        <w:autoSpaceDE w:val="0"/>
        <w:autoSpaceDN w:val="0"/>
        <w:bidi w:val="0"/>
        <w:adjustRightInd w:val="0"/>
        <w:snapToGrid w:val="0"/>
        <w:jc w:val="center"/>
        <w:textAlignment w:val="auto"/>
        <w:outlineLvl w:val="2"/>
        <w:rPr>
          <w:rFonts w:ascii="宋体" w:hAnsi="宋体" w:cs="宋体"/>
          <w:b/>
          <w:color w:val="auto"/>
          <w:sz w:val="24"/>
          <w:highlight w:val="none"/>
        </w:rPr>
      </w:pPr>
      <w:r>
        <w:rPr>
          <w:rFonts w:hint="eastAsia" w:ascii="宋体" w:hAnsi="宋体"/>
          <w:b/>
          <w:color w:val="auto"/>
          <w:sz w:val="28"/>
          <w:szCs w:val="28"/>
          <w:highlight w:val="none"/>
        </w:rPr>
        <w:br w:type="page"/>
      </w:r>
      <w:r>
        <w:rPr>
          <w:rFonts w:hint="eastAsia" w:ascii="宋体" w:hAnsi="宋体" w:eastAsia="宋体" w:cs="宋体"/>
          <w:b/>
          <w:color w:val="auto"/>
          <w:highlight w:val="none"/>
        </w:rPr>
        <w:t>资格条件自查表</w:t>
      </w:r>
    </w:p>
    <w:tbl>
      <w:tblPr>
        <w:tblStyle w:val="50"/>
        <w:tblW w:w="10044"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1"/>
        <w:gridCol w:w="4902"/>
        <w:gridCol w:w="1584"/>
        <w:gridCol w:w="262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tcBorders>
              <w:top w:val="single" w:color="auto" w:sz="12" w:space="0"/>
              <w:left w:val="single" w:color="auto" w:sz="12" w:space="0"/>
              <w:bottom w:val="outset" w:color="111111" w:sz="6" w:space="0"/>
              <w:right w:val="outset" w:color="111111" w:sz="6"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Style w:val="53"/>
                <w:rFonts w:hint="eastAsia" w:ascii="宋体" w:hAnsi="宋体" w:cs="宋体"/>
                <w:color w:val="auto"/>
                <w:sz w:val="21"/>
                <w:szCs w:val="21"/>
                <w:highlight w:val="none"/>
              </w:rPr>
              <w:t>评审内容</w:t>
            </w:r>
          </w:p>
        </w:tc>
        <w:tc>
          <w:tcPr>
            <w:tcW w:w="4902" w:type="dxa"/>
            <w:tcBorders>
              <w:top w:val="single" w:color="auto" w:sz="12" w:space="0"/>
              <w:left w:val="outset" w:color="111111" w:sz="6" w:space="0"/>
              <w:bottom w:val="outset" w:color="111111" w:sz="6" w:space="0"/>
              <w:right w:val="outset" w:color="111111" w:sz="6"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Style w:val="53"/>
                <w:rFonts w:hint="eastAsia" w:ascii="宋体" w:hAnsi="宋体" w:cs="宋体"/>
                <w:color w:val="auto"/>
                <w:sz w:val="21"/>
                <w:szCs w:val="21"/>
                <w:highlight w:val="none"/>
              </w:rPr>
              <w:t>采购文件要求</w:t>
            </w:r>
          </w:p>
        </w:tc>
        <w:tc>
          <w:tcPr>
            <w:tcW w:w="1584" w:type="dxa"/>
            <w:tcBorders>
              <w:top w:val="single" w:color="auto" w:sz="12" w:space="0"/>
              <w:left w:val="outset" w:color="111111" w:sz="6" w:space="0"/>
              <w:bottom w:val="outset" w:color="111111" w:sz="6" w:space="0"/>
              <w:right w:val="outset" w:color="111111" w:sz="6"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Style w:val="53"/>
                <w:rFonts w:hint="eastAsia" w:ascii="宋体" w:hAnsi="宋体" w:cs="宋体"/>
                <w:color w:val="auto"/>
                <w:sz w:val="21"/>
                <w:szCs w:val="21"/>
                <w:highlight w:val="none"/>
              </w:rPr>
              <w:t>自查结论</w:t>
            </w:r>
          </w:p>
        </w:tc>
        <w:tc>
          <w:tcPr>
            <w:tcW w:w="2627" w:type="dxa"/>
            <w:tcBorders>
              <w:top w:val="single" w:color="auto" w:sz="12"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Style w:val="53"/>
                <w:rFonts w:hint="eastAsia" w:ascii="宋体" w:hAnsi="宋体" w:cs="宋体"/>
                <w:color w:val="auto"/>
                <w:sz w:val="21"/>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restart"/>
            <w:tcBorders>
              <w:top w:val="outset" w:color="111111" w:sz="6" w:space="0"/>
              <w:left w:val="single" w:color="auto" w:sz="12" w:space="0"/>
              <w:right w:val="outset" w:color="111111" w:sz="6" w:space="0"/>
            </w:tcBorders>
            <w:noWrap w:val="0"/>
            <w:vAlign w:val="center"/>
          </w:tcPr>
          <w:p>
            <w:pPr>
              <w:pStyle w:val="226"/>
              <w:shd w:val="clear" w:color="auto" w:fill="auto"/>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资</w:t>
            </w:r>
          </w:p>
          <w:p>
            <w:pPr>
              <w:pStyle w:val="226"/>
              <w:shd w:val="clear" w:color="auto" w:fill="auto"/>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格</w:t>
            </w:r>
          </w:p>
          <w:p>
            <w:pPr>
              <w:pStyle w:val="226"/>
              <w:shd w:val="clear" w:color="auto" w:fill="auto"/>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性</w:t>
            </w:r>
          </w:p>
          <w:p>
            <w:pPr>
              <w:pStyle w:val="226"/>
              <w:shd w:val="clear" w:color="auto" w:fill="auto"/>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审</w:t>
            </w:r>
          </w:p>
          <w:p>
            <w:pPr>
              <w:pStyle w:val="226"/>
              <w:shd w:val="clear" w:color="auto" w:fill="auto"/>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查</w:t>
            </w:r>
          </w:p>
        </w:tc>
        <w:tc>
          <w:tcPr>
            <w:tcW w:w="4902" w:type="dxa"/>
            <w:tcBorders>
              <w:top w:val="outset" w:color="111111" w:sz="6" w:space="0"/>
              <w:left w:val="outset" w:color="111111" w:sz="6" w:space="0"/>
              <w:bottom w:val="single" w:color="auto" w:sz="4"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一、投标人投标声明书</w:t>
            </w:r>
          </w:p>
        </w:tc>
        <w:tc>
          <w:tcPr>
            <w:tcW w:w="1584" w:type="dxa"/>
            <w:vMerge w:val="restart"/>
            <w:tcBorders>
              <w:top w:val="outset" w:color="111111" w:sz="6" w:space="0"/>
              <w:left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27" w:type="dxa"/>
            <w:tcBorders>
              <w:top w:val="outset" w:color="111111" w:sz="6" w:space="0"/>
              <w:left w:val="outset" w:color="111111" w:sz="6" w:space="0"/>
              <w:bottom w:val="single" w:color="auto" w:sz="4"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top w:val="outset" w:color="111111" w:sz="6" w:space="0"/>
              <w:left w:val="single" w:color="auto" w:sz="12" w:space="0"/>
              <w:right w:val="outset" w:color="111111" w:sz="6" w:space="0"/>
            </w:tcBorders>
            <w:noWrap w:val="0"/>
            <w:vAlign w:val="center"/>
          </w:tcPr>
          <w:p>
            <w:pPr>
              <w:pStyle w:val="226"/>
              <w:shd w:val="clear" w:color="auto" w:fill="auto"/>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二、投标人具备《政府采购法》第二十二条所规定的条件：</w:t>
            </w:r>
          </w:p>
        </w:tc>
        <w:tc>
          <w:tcPr>
            <w:tcW w:w="1584" w:type="dxa"/>
            <w:vMerge w:val="continue"/>
            <w:tcBorders>
              <w:top w:val="outset" w:color="111111" w:sz="6" w:space="0"/>
              <w:left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2627" w:type="dxa"/>
            <w:tcBorders>
              <w:top w:val="outset" w:color="111111" w:sz="6" w:space="0"/>
              <w:left w:val="outset" w:color="111111" w:sz="6" w:space="0"/>
              <w:bottom w:val="single" w:color="auto" w:sz="4"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47" w:hRule="atLeast"/>
          <w:jc w:val="center"/>
        </w:trPr>
        <w:tc>
          <w:tcPr>
            <w:tcW w:w="931" w:type="dxa"/>
            <w:vMerge w:val="continue"/>
            <w:tcBorders>
              <w:left w:val="single" w:color="auto" w:sz="12" w:space="0"/>
              <w:right w:val="outset" w:color="111111" w:sz="6" w:space="0"/>
            </w:tcBorders>
            <w:noWrap w:val="0"/>
            <w:vAlign w:val="center"/>
          </w:tcPr>
          <w:p>
            <w:pPr>
              <w:pStyle w:val="226"/>
              <w:shd w:val="clear" w:color="auto" w:fill="auto"/>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noWrap w:val="0"/>
            <w:vAlign w:val="center"/>
          </w:tcPr>
          <w:p>
            <w:pPr>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rPr>
              <w:t>有效的企业法人营业执照（或事业法人登记证）、其他组织的营业执照或者民办非企业单位登记证书复印件；</w:t>
            </w:r>
          </w:p>
        </w:tc>
        <w:tc>
          <w:tcPr>
            <w:tcW w:w="1584" w:type="dxa"/>
            <w:vMerge w:val="continue"/>
            <w:tcBorders>
              <w:top w:val="outset" w:color="111111" w:sz="6" w:space="0"/>
              <w:left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2627" w:type="dxa"/>
            <w:tcBorders>
              <w:top w:val="outset" w:color="111111" w:sz="6" w:space="0"/>
              <w:left w:val="outset" w:color="111111" w:sz="6" w:space="0"/>
              <w:bottom w:val="single" w:color="auto" w:sz="4"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left w:val="single" w:color="auto" w:sz="12" w:space="0"/>
              <w:right w:val="outset" w:color="111111" w:sz="6" w:space="0"/>
            </w:tcBorders>
            <w:noWrap w:val="0"/>
            <w:vAlign w:val="center"/>
          </w:tcPr>
          <w:p>
            <w:pPr>
              <w:pStyle w:val="226"/>
              <w:shd w:val="clear" w:color="auto" w:fill="auto"/>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2、供应商具备《中华人民共和国政府采购法》第二十二条规定的资格条件的承诺函</w:t>
            </w:r>
          </w:p>
        </w:tc>
        <w:tc>
          <w:tcPr>
            <w:tcW w:w="1584" w:type="dxa"/>
            <w:vMerge w:val="continue"/>
            <w:tcBorders>
              <w:top w:val="outset" w:color="111111" w:sz="6" w:space="0"/>
              <w:left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2627" w:type="dxa"/>
            <w:tcBorders>
              <w:top w:val="outset" w:color="111111" w:sz="6" w:space="0"/>
              <w:left w:val="outset" w:color="111111" w:sz="6" w:space="0"/>
              <w:bottom w:val="single" w:color="auto" w:sz="4"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18" w:hRule="atLeast"/>
          <w:jc w:val="center"/>
        </w:trPr>
        <w:tc>
          <w:tcPr>
            <w:tcW w:w="931" w:type="dxa"/>
            <w:vMerge w:val="continue"/>
            <w:tcBorders>
              <w:left w:val="single" w:color="auto" w:sz="12"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4902"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三、</w:t>
            </w:r>
            <w:r>
              <w:rPr>
                <w:rFonts w:hint="eastAsia" w:ascii="宋体" w:hAnsi="宋体" w:cs="宋体"/>
                <w:bCs/>
                <w:color w:val="auto"/>
                <w:sz w:val="21"/>
                <w:szCs w:val="21"/>
                <w:highlight w:val="none"/>
              </w:rPr>
              <w:t>为采购项目提供整体设计、规范编制或者项目管理、监理、检测等服务的投标人及其附属机构，不得再参加本项目投标。</w:t>
            </w:r>
          </w:p>
        </w:tc>
        <w:tc>
          <w:tcPr>
            <w:tcW w:w="1584"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vMerge w:val="continue"/>
            <w:tcBorders>
              <w:left w:val="single" w:color="auto" w:sz="12"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4902"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四、本项目不接受联合体投标。</w:t>
            </w:r>
          </w:p>
        </w:tc>
        <w:tc>
          <w:tcPr>
            <w:tcW w:w="1584"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□通过</w:t>
            </w:r>
          </w:p>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164" w:hRule="atLeast"/>
          <w:jc w:val="center"/>
        </w:trPr>
        <w:tc>
          <w:tcPr>
            <w:tcW w:w="931" w:type="dxa"/>
            <w:vMerge w:val="continue"/>
            <w:tcBorders>
              <w:left w:val="single" w:color="auto" w:sz="12"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4902" w:type="dxa"/>
            <w:tcBorders>
              <w:top w:val="outset" w:color="111111" w:sz="6" w:space="0"/>
              <w:left w:val="outset" w:color="111111" w:sz="6" w:space="0"/>
              <w:bottom w:val="outset" w:color="111111" w:sz="6" w:space="0"/>
              <w:right w:val="outset" w:color="111111" w:sz="6" w:space="0"/>
            </w:tcBorders>
            <w:noWrap w:val="0"/>
            <w:vAlign w:val="center"/>
          </w:tcPr>
          <w:p>
            <w:pPr>
              <w:pStyle w:val="2"/>
              <w:keepNext w:val="0"/>
              <w:keepLines w:val="0"/>
              <w:pageBreakBefore w:val="0"/>
              <w:widowControl w:val="0"/>
              <w:shd w:val="clear" w:color="auto" w:fill="auto"/>
              <w:kinsoku/>
              <w:wordWrap/>
              <w:overflowPunct/>
              <w:topLinePunct w:val="0"/>
              <w:autoSpaceDE/>
              <w:autoSpaceDN/>
              <w:bidi w:val="0"/>
              <w:ind w:left="0" w:leftChars="0" w:firstLine="0" w:firstLineChars="0"/>
              <w:textAlignment w:val="auto"/>
              <w:rPr>
                <w:color w:val="auto"/>
                <w:sz w:val="21"/>
                <w:szCs w:val="21"/>
                <w:highlight w:val="none"/>
              </w:rPr>
            </w:pPr>
            <w:r>
              <w:rPr>
                <w:rFonts w:hint="eastAsia" w:ascii="宋体" w:hAnsi="宋体" w:eastAsia="宋体" w:cs="宋体"/>
                <w:color w:val="auto"/>
                <w:sz w:val="21"/>
                <w:szCs w:val="21"/>
                <w:highlight w:val="none"/>
              </w:rPr>
              <w:t>投标人未被列入信用中国网站(www.creditchina.gov.cn)、中国政府采购网(www.ccgp.gov.cn)渠道信用记录失信被执行人、重大税收违法案件当事人名单、政府采购严重违法失信行为信息记录名单的投标人（以代理机构于投标截止日当天在“信用中国”网站（www.creditchina.gov.cn）及中国政府采购网查询结果为准，如相关失信记录已失效，供应商需提供相关证明资料）。</w:t>
            </w:r>
          </w:p>
        </w:tc>
        <w:tc>
          <w:tcPr>
            <w:tcW w:w="1584"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03" w:hRule="atLeast"/>
          <w:jc w:val="center"/>
        </w:trPr>
        <w:tc>
          <w:tcPr>
            <w:tcW w:w="931" w:type="dxa"/>
            <w:vMerge w:val="continue"/>
            <w:tcBorders>
              <w:left w:val="single" w:color="auto" w:sz="12"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4902"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left="0" w:leftChars="0" w:firstLine="0" w:firstLineChars="0"/>
              <w:textAlignment w:val="auto"/>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tc>
        <w:tc>
          <w:tcPr>
            <w:tcW w:w="1584"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hint="eastAsia" w:ascii="宋体" w:hAnsi="宋体" w:cs="宋体"/>
                <w:color w:val="auto"/>
                <w:sz w:val="21"/>
                <w:szCs w:val="21"/>
                <w:highlight w:val="none"/>
              </w:rPr>
            </w:pPr>
          </w:p>
        </w:tc>
        <w:tc>
          <w:tcPr>
            <w:tcW w:w="2627" w:type="dxa"/>
            <w:tcBorders>
              <w:top w:val="outset" w:color="111111" w:sz="6"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hint="eastAsia" w:ascii="宋体" w:hAnsi="宋体" w:cs="宋体"/>
                <w:color w:val="auto"/>
                <w:sz w:val="21"/>
                <w:szCs w:val="21"/>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70" w:hRule="atLeast"/>
          <w:jc w:val="center"/>
        </w:trPr>
        <w:tc>
          <w:tcPr>
            <w:tcW w:w="931" w:type="dxa"/>
            <w:vMerge w:val="continue"/>
            <w:tcBorders>
              <w:left w:val="single" w:color="auto" w:sz="12"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p>
        </w:tc>
        <w:tc>
          <w:tcPr>
            <w:tcW w:w="4902"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五、特定条件（如有）</w:t>
            </w:r>
          </w:p>
        </w:tc>
        <w:tc>
          <w:tcPr>
            <w:tcW w:w="1584" w:type="dxa"/>
            <w:tcBorders>
              <w:top w:val="outset" w:color="111111" w:sz="6" w:space="0"/>
              <w:left w:val="outset" w:color="111111" w:sz="6" w:space="0"/>
              <w:bottom w:val="outset" w:color="111111" w:sz="6" w:space="0"/>
              <w:right w:val="outset" w:color="111111" w:sz="6" w:space="0"/>
            </w:tcBorders>
            <w:noWrap w:val="0"/>
            <w:vAlign w:val="center"/>
          </w:tcPr>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noWrap w:val="0"/>
            <w:vAlign w:val="center"/>
          </w:tcPr>
          <w:p>
            <w:pPr>
              <w:shd w:val="clear" w:color="auto" w:fill="auto"/>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第（ ）页</w:t>
            </w:r>
          </w:p>
        </w:tc>
      </w:tr>
    </w:tbl>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rFonts w:ascii="宋体" w:hAnsi="宋体"/>
          <w:b/>
          <w:color w:val="auto"/>
          <w:sz w:val="32"/>
          <w:szCs w:val="32"/>
          <w:highlight w:val="none"/>
        </w:rPr>
      </w:pPr>
      <w:r>
        <w:rPr>
          <w:rFonts w:hint="eastAsia" w:ascii="宋体" w:hAnsi="宋体"/>
          <w:b/>
          <w:color w:val="auto"/>
          <w:sz w:val="20"/>
          <w:szCs w:val="20"/>
          <w:highlight w:val="none"/>
        </w:rPr>
        <w:br w:type="page"/>
      </w:r>
      <w:r>
        <w:rPr>
          <w:rFonts w:hint="eastAsia" w:ascii="宋体" w:hAnsi="宋体" w:eastAsia="宋体" w:cs="宋体"/>
          <w:b/>
          <w:color w:val="auto"/>
          <w:highlight w:val="none"/>
        </w:rPr>
        <w:t>投标声明书</w:t>
      </w:r>
    </w:p>
    <w:p>
      <w:pPr>
        <w:shd w:val="clear" w:color="auto" w:fill="auto"/>
        <w:rPr>
          <w:rFonts w:ascii="宋体" w:hAnsi="宋体"/>
          <w:b/>
          <w:color w:val="auto"/>
          <w:highlight w:val="none"/>
        </w:rPr>
      </w:pPr>
    </w:p>
    <w:p>
      <w:pPr>
        <w:shd w:val="clear" w:color="auto" w:fill="auto"/>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致：</w:t>
      </w:r>
      <w:r>
        <w:rPr>
          <w:rFonts w:hint="eastAsia" w:ascii="宋体" w:hAnsi="宋体" w:eastAsia="宋体" w:cs="宋体"/>
          <w:b/>
          <w:color w:val="auto"/>
          <w:sz w:val="21"/>
          <w:szCs w:val="21"/>
          <w:highlight w:val="none"/>
          <w:u w:val="single"/>
        </w:rPr>
        <w:t>（采购人）</w:t>
      </w:r>
    </w:p>
    <w:p>
      <w:pPr>
        <w:shd w:val="clear" w:color="auto" w:fill="auto"/>
        <w:snapToGrid w:val="0"/>
        <w:spacing w:beforeLines="50"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关于贵单位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日发布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8"/>
          <w:sz w:val="21"/>
          <w:szCs w:val="21"/>
          <w:highlight w:val="none"/>
          <w:u w:val="single"/>
        </w:rPr>
        <w:t>XXXXXXXXXXXXXXXXXXXXXXXXXXXX</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项目（采购编号：</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）的采购公告，本公司（企业）愿意参加投标，并声明：</w:t>
      </w:r>
    </w:p>
    <w:p>
      <w:pPr>
        <w:shd w:val="clear" w:color="auto" w:fill="auto"/>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本公司（企业）具备</w:t>
      </w:r>
      <w:r>
        <w:rPr>
          <w:rFonts w:hint="eastAsia" w:ascii="宋体" w:hAnsi="宋体" w:eastAsia="宋体" w:cs="宋体"/>
          <w:bCs/>
          <w:color w:val="auto"/>
          <w:sz w:val="21"/>
          <w:szCs w:val="21"/>
          <w:highlight w:val="none"/>
        </w:rPr>
        <w:t>《中华人民共和国政府采购法》第二十二条资格条件，</w:t>
      </w:r>
      <w:r>
        <w:rPr>
          <w:rFonts w:hint="eastAsia" w:ascii="宋体" w:hAnsi="宋体" w:eastAsia="宋体" w:cs="宋体"/>
          <w:color w:val="auto"/>
          <w:sz w:val="21"/>
          <w:szCs w:val="21"/>
          <w:highlight w:val="none"/>
        </w:rPr>
        <w:t>并已清楚采购文件的要求及有关文件规定。</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本公司（企业）的法定代表人或单位负责人与所参投的本采购项目的其他供应商的法定代表人或单位负责人不为同一人且与其他供应商之间不存在直接控股、管理关系。</w:t>
      </w:r>
    </w:p>
    <w:p>
      <w:pPr>
        <w:shd w:val="clear" w:color="auto" w:fill="auto"/>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pPr>
        <w:shd w:val="clear" w:color="auto" w:fill="auto"/>
        <w:snapToGrid w:val="0"/>
        <w:spacing w:line="360" w:lineRule="auto"/>
        <w:ind w:firstLine="426" w:firstLineChars="20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本公司（企业）具有履行合同所必需的设备和专业技术能力，且本公司（企业）参加政府采购活动前3年内在经营活动中没有重大违法记录。</w:t>
      </w:r>
      <w:r>
        <w:rPr>
          <w:rFonts w:hint="eastAsia" w:ascii="宋体" w:hAnsi="宋体" w:eastAsia="宋体" w:cs="宋体"/>
          <w:color w:val="auto"/>
          <w:sz w:val="21"/>
          <w:szCs w:val="21"/>
          <w:highlight w:val="none"/>
        </w:rPr>
        <w:t>否则，由此所造成的损失、不良后果及法律责任，一律由我公司（企业）承担。</w:t>
      </w:r>
    </w:p>
    <w:p>
      <w:pPr>
        <w:shd w:val="clear" w:color="auto" w:fill="auto"/>
        <w:snapToGrid w:val="0"/>
        <w:spacing w:line="360" w:lineRule="auto"/>
        <w:ind w:firstLine="426" w:firstLineChars="20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公司（企业）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否则，由此所造成的损失、不良后果及法律责任，一律由我公司（企业）承担。</w:t>
      </w:r>
    </w:p>
    <w:p>
      <w:pPr>
        <w:shd w:val="clear" w:color="auto" w:fill="auto"/>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本次招标采购活动中，如有违法、违规、弄虚作假行为，所造成的损失、不良后果及法律责任，一律由我公司（企业）承担。</w:t>
      </w:r>
    </w:p>
    <w:p>
      <w:pPr>
        <w:shd w:val="clear" w:color="auto" w:fill="auto"/>
        <w:spacing w:line="360" w:lineRule="auto"/>
        <w:ind w:firstLine="42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特此声明！</w:t>
      </w:r>
    </w:p>
    <w:p>
      <w:pPr>
        <w:shd w:val="clear" w:color="auto" w:fill="auto"/>
        <w:adjustRightInd w:val="0"/>
        <w:snapToGrid w:val="0"/>
        <w:spacing w:line="360" w:lineRule="auto"/>
        <w:ind w:left="425"/>
        <w:rPr>
          <w:rFonts w:hint="eastAsia" w:ascii="宋体" w:hAnsi="宋体" w:eastAsia="宋体" w:cs="宋体"/>
          <w:color w:val="auto"/>
          <w:spacing w:val="4"/>
          <w:sz w:val="21"/>
          <w:szCs w:val="21"/>
          <w:highlight w:val="none"/>
        </w:rPr>
      </w:pP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供应商全称（盖公章）：</w:t>
      </w: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法定代表人或其授权委托人（签名或印章）：</w:t>
      </w:r>
    </w:p>
    <w:p>
      <w:pPr>
        <w:shd w:val="clear" w:color="auto" w:fill="auto"/>
        <w:spacing w:line="360" w:lineRule="auto"/>
        <w:ind w:right="1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p>
      <w:pPr>
        <w:shd w:val="clear" w:color="auto" w:fill="auto"/>
        <w:tabs>
          <w:tab w:val="left" w:pos="7480"/>
        </w:tabs>
        <w:autoSpaceDE w:val="0"/>
        <w:autoSpaceDN w:val="0"/>
        <w:adjustRightInd w:val="0"/>
        <w:spacing w:line="360" w:lineRule="exact"/>
        <w:rPr>
          <w:rFonts w:hint="eastAsia" w:ascii="宋体" w:hAnsi="宋体" w:eastAsia="宋体" w:cs="宋体"/>
          <w:color w:val="auto"/>
          <w:sz w:val="21"/>
          <w:szCs w:val="21"/>
          <w:highlight w:val="none"/>
        </w:rPr>
      </w:pPr>
    </w:p>
    <w:p>
      <w:pPr>
        <w:shd w:val="clear" w:color="auto" w:fill="auto"/>
        <w:snapToGrid w:val="0"/>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u w:val="single"/>
        </w:rPr>
        <w:t>注：后附信用中国”网站(www.creditchina.gov.cn) 及中国政府采购网(</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"http://www.ccgp.gov.cn"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b/>
          <w:color w:val="auto"/>
          <w:sz w:val="21"/>
          <w:szCs w:val="21"/>
          <w:highlight w:val="none"/>
          <w:u w:val="single"/>
        </w:rPr>
        <w:t>www.ccgp.gov.cn</w:t>
      </w:r>
      <w:r>
        <w:rPr>
          <w:rFonts w:hint="eastAsia" w:ascii="宋体" w:hAnsi="宋体" w:eastAsia="宋体" w:cs="宋体"/>
          <w:b/>
          <w:color w:val="auto"/>
          <w:sz w:val="21"/>
          <w:szCs w:val="21"/>
          <w:highlight w:val="none"/>
          <w:u w:val="single"/>
        </w:rPr>
        <w:fldChar w:fldCharType="end"/>
      </w:r>
      <w:r>
        <w:rPr>
          <w:rFonts w:hint="eastAsia" w:ascii="宋体" w:hAnsi="宋体" w:eastAsia="宋体" w:cs="宋体"/>
          <w:b/>
          <w:color w:val="auto"/>
          <w:sz w:val="21"/>
          <w:szCs w:val="21"/>
          <w:highlight w:val="none"/>
          <w:u w:val="single"/>
        </w:rPr>
        <w:t>)，网上查询结果打印页。</w:t>
      </w:r>
    </w:p>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rFonts w:ascii="宋体" w:hAnsi="宋体" w:cs="宋体"/>
          <w:b/>
          <w:color w:val="auto"/>
          <w:sz w:val="32"/>
          <w:szCs w:val="32"/>
          <w:highlight w:val="none"/>
        </w:rPr>
      </w:pPr>
      <w:r>
        <w:rPr>
          <w:rFonts w:hint="eastAsia" w:ascii="宋体" w:hAnsi="宋体"/>
          <w:b/>
          <w:color w:val="auto"/>
          <w:sz w:val="28"/>
          <w:szCs w:val="28"/>
          <w:highlight w:val="none"/>
        </w:rPr>
        <w:br w:type="page"/>
      </w:r>
      <w:r>
        <w:rPr>
          <w:rFonts w:hint="eastAsia" w:ascii="宋体" w:hAnsi="宋体" w:eastAsia="宋体" w:cs="宋体"/>
          <w:b/>
          <w:color w:val="auto"/>
          <w:highlight w:val="none"/>
        </w:rPr>
        <w:t>法定代表人身份证明</w:t>
      </w:r>
    </w:p>
    <w:p>
      <w:pPr>
        <w:shd w:val="clear" w:color="auto" w:fill="auto"/>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投标人名称：</w:t>
      </w:r>
      <w:r>
        <w:rPr>
          <w:rFonts w:hint="eastAsia" w:ascii="宋体" w:hAnsi="宋体" w:cs="宋体"/>
          <w:color w:val="auto"/>
          <w:sz w:val="21"/>
          <w:szCs w:val="21"/>
          <w:highlight w:val="none"/>
          <w:u w:val="single"/>
        </w:rPr>
        <w:t xml:space="preserve">                                      </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单位性质：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地址：</w:t>
      </w:r>
      <w:r>
        <w:rPr>
          <w:rFonts w:hint="eastAsia" w:ascii="宋体" w:hAnsi="宋体" w:cs="宋体"/>
          <w:color w:val="auto"/>
          <w:sz w:val="21"/>
          <w:szCs w:val="21"/>
          <w:highlight w:val="none"/>
          <w:u w:val="single"/>
        </w:rPr>
        <w:t xml:space="preserve">                                              </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成立时间：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经营期限：</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姓名：</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性别：</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年龄：</w:t>
      </w:r>
      <w:r>
        <w:rPr>
          <w:rFonts w:hint="eastAsia" w:ascii="宋体" w:hAnsi="宋体" w:cs="宋体"/>
          <w:color w:val="auto"/>
          <w:sz w:val="21"/>
          <w:szCs w:val="21"/>
          <w:highlight w:val="none"/>
          <w:u w:val="single"/>
        </w:rPr>
        <w:t xml:space="preserve">    周岁  </w:t>
      </w:r>
      <w:r>
        <w:rPr>
          <w:rFonts w:hint="eastAsia" w:ascii="宋体" w:hAnsi="宋体" w:cs="宋体"/>
          <w:color w:val="auto"/>
          <w:sz w:val="21"/>
          <w:szCs w:val="21"/>
          <w:highlight w:val="none"/>
        </w:rPr>
        <w:t>职务：</w:t>
      </w:r>
      <w:r>
        <w:rPr>
          <w:rFonts w:hint="eastAsia" w:ascii="宋体" w:hAnsi="宋体" w:cs="宋体"/>
          <w:color w:val="auto"/>
          <w:sz w:val="21"/>
          <w:szCs w:val="21"/>
          <w:highlight w:val="none"/>
          <w:u w:val="single"/>
        </w:rPr>
        <w:t xml:space="preserve">      </w:t>
      </w:r>
    </w:p>
    <w:p>
      <w:pPr>
        <w:shd w:val="clear" w:color="auto" w:fill="auto"/>
        <w:spacing w:line="48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身份证号码：</w:t>
      </w:r>
      <w:r>
        <w:rPr>
          <w:rFonts w:hint="eastAsia" w:ascii="宋体" w:hAnsi="宋体" w:cs="宋体"/>
          <w:color w:val="auto"/>
          <w:sz w:val="21"/>
          <w:szCs w:val="21"/>
          <w:highlight w:val="none"/>
          <w:u w:val="single"/>
        </w:rPr>
        <w:t xml:space="preserve">                   </w:t>
      </w:r>
    </w:p>
    <w:p>
      <w:pPr>
        <w:shd w:val="clear" w:color="auto" w:fill="auto"/>
        <w:spacing w:line="48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系</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（投标人名称）的法定代表人。</w:t>
      </w:r>
    </w:p>
    <w:p>
      <w:pPr>
        <w:shd w:val="clear" w:color="auto" w:fill="auto"/>
        <w:spacing w:line="480" w:lineRule="auto"/>
        <w:ind w:firstLine="840" w:firstLineChars="400"/>
        <w:rPr>
          <w:rFonts w:ascii="宋体" w:hAnsi="宋体" w:cs="宋体"/>
          <w:color w:val="auto"/>
          <w:sz w:val="21"/>
          <w:szCs w:val="21"/>
          <w:highlight w:val="none"/>
        </w:rPr>
      </w:pPr>
      <w:r>
        <w:rPr>
          <w:rFonts w:hint="eastAsia" w:ascii="宋体" w:hAnsi="宋体" w:cs="宋体"/>
          <w:color w:val="auto"/>
          <w:sz w:val="21"/>
          <w:szCs w:val="21"/>
          <w:highlight w:val="none"/>
        </w:rPr>
        <w:t>特此证明。</w:t>
      </w:r>
    </w:p>
    <w:p>
      <w:pPr>
        <w:shd w:val="clear" w:color="auto" w:fill="auto"/>
        <w:spacing w:line="360" w:lineRule="auto"/>
        <w:ind w:firstLine="420" w:firstLineChars="200"/>
        <w:rPr>
          <w:rFonts w:ascii="宋体" w:hAnsi="宋体" w:cs="宋体"/>
          <w:color w:val="auto"/>
          <w:sz w:val="21"/>
          <w:szCs w:val="21"/>
          <w:highlight w:val="none"/>
        </w:rPr>
      </w:pPr>
    </w:p>
    <w:p>
      <w:pPr>
        <w:shd w:val="clear" w:color="auto" w:fill="auto"/>
        <w:spacing w:line="360" w:lineRule="auto"/>
        <w:ind w:firstLine="420" w:firstLineChars="200"/>
        <w:rPr>
          <w:rFonts w:ascii="宋体" w:hAnsi="宋体" w:cs="宋体"/>
          <w:color w:val="auto"/>
          <w:sz w:val="21"/>
          <w:szCs w:val="21"/>
          <w:highlight w:val="none"/>
        </w:rPr>
      </w:pPr>
    </w:p>
    <w:p>
      <w:pPr>
        <w:shd w:val="clear" w:color="auto" w:fill="auto"/>
        <w:wordWrap w:val="0"/>
        <w:spacing w:line="360" w:lineRule="auto"/>
        <w:jc w:val="right"/>
        <w:rPr>
          <w:rFonts w:ascii="宋体" w:hAnsi="宋体" w:cs="宋体"/>
          <w:color w:val="auto"/>
          <w:sz w:val="21"/>
          <w:szCs w:val="21"/>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（盖单位公章）</w:t>
      </w:r>
    </w:p>
    <w:p>
      <w:pPr>
        <w:shd w:val="clear" w:color="auto" w:fill="auto"/>
        <w:spacing w:line="360" w:lineRule="auto"/>
        <w:ind w:firstLine="4515" w:firstLineChars="2150"/>
        <w:rPr>
          <w:rFonts w:ascii="宋体" w:hAnsi="宋体" w:cs="宋体"/>
          <w:color w:val="auto"/>
          <w:sz w:val="21"/>
          <w:szCs w:val="21"/>
          <w:highlight w:val="none"/>
          <w:u w:val="single"/>
        </w:rPr>
      </w:pPr>
    </w:p>
    <w:p>
      <w:pPr>
        <w:shd w:val="clear" w:color="auto" w:fill="auto"/>
        <w:spacing w:line="360" w:lineRule="auto"/>
        <w:ind w:firstLine="3675" w:firstLineChars="1750"/>
        <w:rPr>
          <w:rFonts w:ascii="宋体" w:hAnsi="宋体" w:cs="宋体"/>
          <w:color w:val="auto"/>
          <w:sz w:val="21"/>
          <w:szCs w:val="21"/>
          <w:highlight w:val="none"/>
        </w:rPr>
      </w:pP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w:t>
      </w:r>
    </w:p>
    <w:p>
      <w:pPr>
        <w:shd w:val="clear" w:color="auto" w:fill="auto"/>
        <w:spacing w:line="360" w:lineRule="auto"/>
        <w:rPr>
          <w:rFonts w:ascii="宋体" w:hAnsi="宋体" w:cs="宋体"/>
          <w:color w:val="auto"/>
          <w:sz w:val="21"/>
          <w:szCs w:val="21"/>
          <w:highlight w:val="none"/>
        </w:rPr>
      </w:pPr>
    </w:p>
    <w:p>
      <w:pPr>
        <w:shd w:val="clear" w:color="auto" w:fill="auto"/>
        <w:spacing w:line="360" w:lineRule="auto"/>
        <w:rPr>
          <w:rFonts w:ascii="宋体" w:hAnsi="宋体" w:cs="宋体"/>
          <w:b/>
          <w:color w:val="auto"/>
          <w:sz w:val="21"/>
          <w:szCs w:val="21"/>
          <w:highlight w:val="none"/>
        </w:rPr>
      </w:pPr>
    </w:p>
    <w:p>
      <w:pPr>
        <w:shd w:val="clear" w:color="auto" w:fill="auto"/>
        <w:spacing w:line="360" w:lineRule="auto"/>
        <w:rPr>
          <w:rFonts w:ascii="宋体" w:hAnsi="宋体" w:cs="宋体"/>
          <w:b/>
          <w:color w:val="auto"/>
          <w:sz w:val="21"/>
          <w:szCs w:val="21"/>
          <w:highlight w:val="none"/>
        </w:rPr>
      </w:pPr>
    </w:p>
    <w:p>
      <w:pPr>
        <w:shd w:val="clear" w:color="auto" w:fill="auto"/>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附法定代表人身份证复印件（正反面）：</w:t>
      </w:r>
    </w:p>
    <w:p>
      <w:pPr>
        <w:shd w:val="clear" w:color="auto" w:fill="auto"/>
        <w:rPr>
          <w:rFonts w:ascii="宋体" w:hAnsi="宋体" w:cs="宋体"/>
          <w:color w:val="auto"/>
          <w:highlight w:val="none"/>
        </w:rPr>
      </w:pPr>
    </w:p>
    <w:p>
      <w:pPr>
        <w:shd w:val="clear" w:color="auto" w:fill="auto"/>
        <w:jc w:val="left"/>
        <w:rPr>
          <w:rFonts w:ascii="宋体" w:hAnsi="宋体" w:cs="宋体"/>
          <w:b/>
          <w:color w:val="auto"/>
          <w:sz w:val="32"/>
          <w:szCs w:val="32"/>
          <w:highlight w:val="none"/>
        </w:rPr>
      </w:pPr>
    </w:p>
    <w:p>
      <w:pPr>
        <w:shd w:val="clear" w:color="auto" w:fill="auto"/>
        <w:jc w:val="left"/>
        <w:rPr>
          <w:rFonts w:ascii="宋体" w:hAnsi="宋体" w:cs="宋体"/>
          <w:b/>
          <w:color w:val="auto"/>
          <w:sz w:val="32"/>
          <w:szCs w:val="32"/>
          <w:highlight w:val="none"/>
        </w:rPr>
      </w:pPr>
    </w:p>
    <w:p>
      <w:pPr>
        <w:shd w:val="clear" w:color="auto" w:fill="auto"/>
        <w:jc w:val="left"/>
        <w:rPr>
          <w:rFonts w:ascii="宋体" w:hAnsi="宋体" w:cs="宋体"/>
          <w:b/>
          <w:color w:val="auto"/>
          <w:sz w:val="32"/>
          <w:szCs w:val="32"/>
          <w:highlight w:val="none"/>
        </w:rPr>
      </w:pPr>
    </w:p>
    <w:p>
      <w:pPr>
        <w:shd w:val="clear" w:color="auto" w:fill="auto"/>
        <w:jc w:val="center"/>
        <w:rPr>
          <w:rFonts w:ascii="宋体" w:hAnsi="宋体" w:cs="宋体"/>
          <w:b/>
          <w:color w:val="auto"/>
          <w:sz w:val="32"/>
          <w:szCs w:val="32"/>
          <w:highlight w:val="none"/>
        </w:rPr>
      </w:pPr>
    </w:p>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eastAsia="宋体" w:cs="宋体"/>
          <w:b/>
          <w:color w:val="auto"/>
          <w:highlight w:val="none"/>
        </w:rPr>
        <w:t>法定代表人授权委托书</w:t>
      </w:r>
    </w:p>
    <w:p>
      <w:pPr>
        <w:shd w:val="clear" w:color="auto" w:fill="auto"/>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pPr>
        <w:shd w:val="clear" w:color="auto" w:fill="auto"/>
        <w:snapToGrid w:val="0"/>
        <w:spacing w:line="360" w:lineRule="auto"/>
        <w:rPr>
          <w:rFonts w:ascii="宋体" w:hAnsi="宋体" w:cs="宋体"/>
          <w:bCs/>
          <w:color w:val="auto"/>
          <w:sz w:val="21"/>
          <w:szCs w:val="21"/>
          <w:highlight w:val="none"/>
        </w:rPr>
      </w:pPr>
    </w:p>
    <w:p>
      <w:pPr>
        <w:shd w:val="clear" w:color="auto" w:fill="auto"/>
        <w:snapToGrid w:val="0"/>
        <w:spacing w:line="360" w:lineRule="auto"/>
        <w:rPr>
          <w:rFonts w:ascii="宋体" w:hAnsi="宋体" w:cs="宋体"/>
          <w:color w:val="auto"/>
          <w:sz w:val="21"/>
          <w:szCs w:val="21"/>
          <w:highlight w:val="none"/>
        </w:rPr>
      </w:pPr>
      <w:r>
        <w:rPr>
          <w:rFonts w:hint="eastAsia" w:ascii="宋体" w:hAnsi="宋体" w:cs="宋体"/>
          <w:bCs/>
          <w:color w:val="auto"/>
          <w:sz w:val="21"/>
          <w:szCs w:val="21"/>
          <w:highlight w:val="none"/>
        </w:rPr>
        <w:t>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（采购单位名称）</w:t>
      </w:r>
      <w:r>
        <w:rPr>
          <w:rFonts w:hint="eastAsia" w:ascii="宋体" w:hAnsi="宋体" w:cs="宋体"/>
          <w:b/>
          <w:bCs/>
          <w:color w:val="auto"/>
          <w:sz w:val="21"/>
          <w:szCs w:val="21"/>
          <w:highlight w:val="none"/>
        </w:rPr>
        <w:t xml:space="preserve"> </w:t>
      </w:r>
      <w:r>
        <w:rPr>
          <w:rFonts w:hint="eastAsia" w:ascii="宋体" w:hAnsi="宋体" w:cs="宋体"/>
          <w:color w:val="auto"/>
          <w:sz w:val="21"/>
          <w:szCs w:val="21"/>
          <w:highlight w:val="none"/>
        </w:rPr>
        <w:t>：</w:t>
      </w:r>
    </w:p>
    <w:p>
      <w:pPr>
        <w:shd w:val="clear" w:color="auto" w:fill="auto"/>
        <w:snapToGrid w:val="0"/>
        <w:spacing w:line="36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我</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（姓名）系</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（投标人名称）的法定代表人，现授权委托本单位在职职工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（姓名）以我方的名义参加</w:t>
      </w:r>
      <w:r>
        <w:rPr>
          <w:rFonts w:hint="eastAsia" w:ascii="宋体" w:hAnsi="宋体" w:cs="宋体"/>
          <w:color w:val="auto"/>
          <w:sz w:val="21"/>
          <w:szCs w:val="21"/>
          <w:highlight w:val="none"/>
          <w:u w:val="single"/>
        </w:rPr>
        <w:t xml:space="preserve">                       政府采购 </w:t>
      </w:r>
      <w:r>
        <w:rPr>
          <w:rFonts w:hint="eastAsia" w:ascii="宋体" w:hAnsi="宋体" w:cs="宋体"/>
          <w:color w:val="auto"/>
          <w:sz w:val="21"/>
          <w:szCs w:val="21"/>
          <w:highlight w:val="none"/>
        </w:rPr>
        <w:t>项目的投标活动，并代表我方全权办理针对上述项目的投标、开标、评标、签约等具体事务和签署相关文件。</w:t>
      </w:r>
    </w:p>
    <w:p>
      <w:pPr>
        <w:shd w:val="clear" w:color="auto" w:fill="auto"/>
        <w:snapToGrid w:val="0"/>
        <w:spacing w:line="36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我方对被授权人的签名事项负全部责任。</w:t>
      </w:r>
    </w:p>
    <w:p>
      <w:pPr>
        <w:shd w:val="clear" w:color="auto" w:fill="auto"/>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在撤销授权的书面通知以前，本授权书一直有效。被授权人在授权书有效期内签署的所有文件不因授权的撤销而失效。</w:t>
      </w:r>
    </w:p>
    <w:p>
      <w:pPr>
        <w:shd w:val="clear" w:color="auto" w:fill="auto"/>
        <w:snapToGrid w:val="0"/>
        <w:spacing w:line="360" w:lineRule="auto"/>
        <w:ind w:firstLine="480"/>
        <w:rPr>
          <w:rFonts w:ascii="宋体" w:hAnsi="宋体" w:cs="宋体"/>
          <w:color w:val="auto"/>
          <w:sz w:val="21"/>
          <w:szCs w:val="21"/>
          <w:highlight w:val="none"/>
        </w:rPr>
      </w:pPr>
      <w:r>
        <w:rPr>
          <w:rFonts w:hint="eastAsia" w:ascii="宋体" w:hAnsi="宋体" w:cs="宋体"/>
          <w:color w:val="auto"/>
          <w:sz w:val="21"/>
          <w:szCs w:val="21"/>
          <w:highlight w:val="none"/>
        </w:rPr>
        <w:t>被授权人无转委托权，特此委托。</w:t>
      </w:r>
    </w:p>
    <w:p>
      <w:pPr>
        <w:shd w:val="clear" w:color="auto" w:fill="auto"/>
        <w:snapToGrid w:val="0"/>
        <w:spacing w:line="360" w:lineRule="auto"/>
        <w:rPr>
          <w:rFonts w:ascii="宋体" w:hAnsi="宋体" w:cs="宋体"/>
          <w:color w:val="auto"/>
          <w:sz w:val="21"/>
          <w:szCs w:val="21"/>
          <w:highlight w:val="none"/>
        </w:rPr>
      </w:pPr>
    </w:p>
    <w:p>
      <w:pPr>
        <w:shd w:val="clear" w:color="auto" w:fill="auto"/>
        <w:snapToGrid w:val="0"/>
        <w:spacing w:line="360" w:lineRule="auto"/>
        <w:rPr>
          <w:rFonts w:ascii="宋体" w:hAnsi="宋体" w:cs="宋体"/>
          <w:color w:val="auto"/>
          <w:sz w:val="21"/>
          <w:szCs w:val="21"/>
          <w:highlight w:val="none"/>
        </w:rPr>
      </w:pPr>
    </w:p>
    <w:p>
      <w:pPr>
        <w:shd w:val="clear" w:color="auto" w:fill="auto"/>
        <w:snapToGrid w:val="0"/>
        <w:spacing w:line="360" w:lineRule="auto"/>
        <w:rPr>
          <w:rFonts w:ascii="宋体" w:hAnsi="宋体" w:cs="宋体"/>
          <w:color w:val="auto"/>
          <w:sz w:val="21"/>
          <w:szCs w:val="21"/>
          <w:highlight w:val="none"/>
          <w:u w:val="single"/>
        </w:rPr>
      </w:pPr>
      <w:r>
        <w:rPr>
          <w:rFonts w:hint="eastAsia" w:ascii="宋体" w:hAnsi="宋体" w:cs="宋体"/>
          <w:color w:val="auto"/>
          <w:sz w:val="21"/>
          <w:szCs w:val="21"/>
          <w:highlight w:val="none"/>
        </w:rPr>
        <w:t>被授权人签名：</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法定代表人签名：</w:t>
      </w:r>
      <w:r>
        <w:rPr>
          <w:rFonts w:hint="eastAsia" w:ascii="宋体" w:hAnsi="宋体" w:cs="宋体"/>
          <w:color w:val="auto"/>
          <w:sz w:val="21"/>
          <w:szCs w:val="21"/>
          <w:highlight w:val="none"/>
          <w:u w:val="single"/>
        </w:rPr>
        <w:t xml:space="preserve">          </w:t>
      </w:r>
    </w:p>
    <w:p>
      <w:pPr>
        <w:shd w:val="clear" w:color="auto" w:fill="auto"/>
        <w:snapToGrid w:val="0"/>
        <w:spacing w:line="360" w:lineRule="auto"/>
        <w:ind w:firstLine="840" w:firstLineChars="400"/>
        <w:rPr>
          <w:rFonts w:ascii="宋体" w:hAnsi="宋体" w:cs="宋体"/>
          <w:color w:val="auto"/>
          <w:sz w:val="21"/>
          <w:szCs w:val="21"/>
          <w:highlight w:val="none"/>
        </w:rPr>
      </w:pPr>
      <w:r>
        <w:rPr>
          <w:rFonts w:hint="eastAsia" w:ascii="宋体" w:hAnsi="宋体" w:cs="宋体"/>
          <w:color w:val="auto"/>
          <w:sz w:val="21"/>
          <w:szCs w:val="21"/>
          <w:highlight w:val="none"/>
        </w:rPr>
        <w:t>职务：</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职务：</w:t>
      </w:r>
      <w:r>
        <w:rPr>
          <w:rFonts w:hint="eastAsia" w:ascii="宋体" w:hAnsi="宋体" w:cs="宋体"/>
          <w:color w:val="auto"/>
          <w:sz w:val="21"/>
          <w:szCs w:val="21"/>
          <w:highlight w:val="none"/>
          <w:u w:val="single"/>
        </w:rPr>
        <w:t xml:space="preserve">           </w:t>
      </w:r>
    </w:p>
    <w:p>
      <w:pPr>
        <w:shd w:val="clear" w:color="auto" w:fill="auto"/>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被授权人身份证号码：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shd w:val="clear" w:color="auto" w:fill="auto"/>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pPr>
        <w:shd w:val="clear" w:color="auto" w:fill="auto"/>
        <w:snapToGrid w:val="0"/>
        <w:spacing w:line="360" w:lineRule="auto"/>
        <w:rPr>
          <w:rFonts w:ascii="宋体" w:hAnsi="宋体" w:cs="宋体"/>
          <w:color w:val="auto"/>
          <w:sz w:val="21"/>
          <w:szCs w:val="21"/>
          <w:highlight w:val="none"/>
        </w:rPr>
      </w:pPr>
    </w:p>
    <w:p>
      <w:pPr>
        <w:shd w:val="clear" w:color="auto" w:fill="auto"/>
        <w:snapToGrid w:val="0"/>
        <w:spacing w:line="360" w:lineRule="auto"/>
        <w:ind w:firstLine="4830" w:firstLineChars="2300"/>
        <w:rPr>
          <w:rFonts w:ascii="宋体" w:hAnsi="宋体" w:cs="宋体"/>
          <w:color w:val="auto"/>
          <w:sz w:val="21"/>
          <w:szCs w:val="21"/>
          <w:highlight w:val="none"/>
        </w:rPr>
      </w:pPr>
      <w:r>
        <w:rPr>
          <w:rFonts w:hint="eastAsia" w:ascii="宋体" w:hAnsi="宋体" w:cs="宋体"/>
          <w:color w:val="auto"/>
          <w:sz w:val="21"/>
          <w:szCs w:val="21"/>
          <w:highlight w:val="none"/>
        </w:rPr>
        <w:t>投标人公章：</w:t>
      </w:r>
    </w:p>
    <w:p>
      <w:pPr>
        <w:shd w:val="clear" w:color="auto" w:fill="auto"/>
        <w:snapToGrid w:val="0"/>
        <w:spacing w:line="360" w:lineRule="auto"/>
        <w:ind w:firstLine="4830" w:firstLineChars="2300"/>
        <w:rPr>
          <w:rFonts w:ascii="宋体" w:hAnsi="宋体" w:cs="宋体"/>
          <w:color w:val="auto"/>
          <w:sz w:val="21"/>
          <w:szCs w:val="21"/>
          <w:highlight w:val="none"/>
        </w:rPr>
      </w:pPr>
    </w:p>
    <w:p>
      <w:pPr>
        <w:shd w:val="clear" w:color="auto" w:fill="auto"/>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 xml:space="preserve">                                        年    月    日</w:t>
      </w:r>
    </w:p>
    <w:p>
      <w:pPr>
        <w:shd w:val="clear" w:color="auto" w:fill="auto"/>
        <w:spacing w:line="360" w:lineRule="auto"/>
        <w:rPr>
          <w:rFonts w:ascii="宋体" w:hAnsi="宋体" w:cs="宋体"/>
          <w:b/>
          <w:color w:val="auto"/>
          <w:szCs w:val="21"/>
          <w:highlight w:val="none"/>
        </w:rPr>
      </w:pPr>
    </w:p>
    <w:p>
      <w:pPr>
        <w:shd w:val="clear" w:color="auto" w:fill="auto"/>
        <w:spacing w:line="360" w:lineRule="auto"/>
        <w:rPr>
          <w:rFonts w:ascii="宋体" w:hAnsi="宋体" w:cs="宋体"/>
          <w:b/>
          <w:color w:val="auto"/>
          <w:szCs w:val="21"/>
          <w:highlight w:val="none"/>
        </w:rPr>
      </w:pPr>
    </w:p>
    <w:p>
      <w:pPr>
        <w:shd w:val="clear" w:color="auto" w:fill="auto"/>
        <w:spacing w:line="360" w:lineRule="auto"/>
        <w:rPr>
          <w:rFonts w:ascii="宋体" w:hAnsi="宋体" w:cs="宋体"/>
          <w:b/>
          <w:color w:val="auto"/>
          <w:szCs w:val="21"/>
          <w:highlight w:val="none"/>
        </w:rPr>
      </w:pPr>
    </w:p>
    <w:p>
      <w:pPr>
        <w:shd w:val="clear" w:color="auto" w:fill="auto"/>
        <w:spacing w:line="360" w:lineRule="auto"/>
        <w:rPr>
          <w:rFonts w:ascii="宋体" w:hAnsi="宋体" w:cs="宋体"/>
          <w:b/>
          <w:color w:val="auto"/>
          <w:szCs w:val="21"/>
          <w:highlight w:val="none"/>
        </w:rPr>
      </w:pPr>
    </w:p>
    <w:p>
      <w:pPr>
        <w:shd w:val="clear" w:color="auto" w:fill="auto"/>
        <w:spacing w:line="360" w:lineRule="auto"/>
        <w:rPr>
          <w:rFonts w:ascii="宋体" w:hAnsi="宋体" w:cs="宋体"/>
          <w:b/>
          <w:color w:val="auto"/>
          <w:szCs w:val="21"/>
          <w:highlight w:val="none"/>
        </w:rPr>
      </w:pPr>
    </w:p>
    <w:p>
      <w:pPr>
        <w:shd w:val="clear" w:color="auto" w:fill="auto"/>
        <w:spacing w:line="360" w:lineRule="auto"/>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b/>
          <w:color w:val="auto"/>
          <w:sz w:val="28"/>
          <w:szCs w:val="28"/>
          <w:highlight w:val="none"/>
        </w:rPr>
      </w:pPr>
      <w:r>
        <w:rPr>
          <w:rFonts w:hint="eastAsia" w:ascii="宋体" w:hAnsi="宋体"/>
          <w:b/>
          <w:color w:val="auto"/>
          <w:sz w:val="28"/>
          <w:szCs w:val="28"/>
          <w:highlight w:val="none"/>
        </w:rPr>
        <w:br w:type="page"/>
      </w:r>
      <w:r>
        <w:rPr>
          <w:rFonts w:hint="eastAsia" w:ascii="宋体" w:hAnsi="宋体" w:eastAsia="宋体" w:cs="宋体"/>
          <w:b/>
          <w:color w:val="auto"/>
          <w:highlight w:val="none"/>
        </w:rPr>
        <w:t>具备《中华人民共和国政府采购法》第二十二条规定的资格条件的承诺函</w:t>
      </w:r>
    </w:p>
    <w:p>
      <w:pPr>
        <w:shd w:val="clear" w:color="auto" w:fill="auto"/>
        <w:jc w:val="center"/>
        <w:rPr>
          <w:b/>
          <w:color w:val="auto"/>
          <w:highlight w:val="none"/>
        </w:rPr>
      </w:pPr>
    </w:p>
    <w:p>
      <w:pPr>
        <w:shd w:val="clear" w:color="auto" w:fill="auto"/>
        <w:spacing w:line="360" w:lineRule="auto"/>
        <w:rPr>
          <w:rFonts w:ascii="宋体" w:hAnsi="宋体"/>
          <w:bCs/>
          <w:color w:val="auto"/>
          <w:sz w:val="24"/>
          <w:highlight w:val="none"/>
        </w:rPr>
      </w:pPr>
    </w:p>
    <w:p>
      <w:pPr>
        <w:shd w:val="clear" w:color="auto" w:fill="auto"/>
        <w:spacing w:line="360" w:lineRule="auto"/>
        <w:rPr>
          <w:rFonts w:ascii="宋体" w:hAnsi="宋体"/>
          <w:color w:val="auto"/>
          <w:sz w:val="21"/>
          <w:szCs w:val="21"/>
          <w:highlight w:val="none"/>
        </w:rPr>
      </w:pPr>
      <w:r>
        <w:rPr>
          <w:rFonts w:hint="eastAsia" w:ascii="宋体" w:hAnsi="宋体"/>
          <w:bCs/>
          <w:color w:val="auto"/>
          <w:sz w:val="21"/>
          <w:szCs w:val="21"/>
          <w:highlight w:val="none"/>
        </w:rPr>
        <w:t>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（采购人名称）</w:t>
      </w:r>
    </w:p>
    <w:p>
      <w:pPr>
        <w:shd w:val="clear" w:color="auto" w:fill="auto"/>
        <w:spacing w:line="360" w:lineRule="auto"/>
        <w:ind w:firstLine="420" w:firstLineChars="200"/>
        <w:rPr>
          <w:rFonts w:ascii="宋体" w:hAnsi="宋体"/>
          <w:color w:val="auto"/>
          <w:sz w:val="21"/>
          <w:szCs w:val="21"/>
          <w:highlight w:val="none"/>
        </w:rPr>
      </w:pPr>
    </w:p>
    <w:p>
      <w:pPr>
        <w:shd w:val="clear" w:color="auto" w:fill="auto"/>
        <w:spacing w:line="48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我单位</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（单位名称）承诺，完全具备《中华人民共和国政府采购法》第二十二条规定的资格条件：</w:t>
      </w:r>
    </w:p>
    <w:p>
      <w:pPr>
        <w:shd w:val="clear" w:color="auto" w:fill="auto"/>
        <w:spacing w:line="480" w:lineRule="auto"/>
        <w:ind w:firstLine="420" w:firstLineChars="200"/>
        <w:rPr>
          <w:color w:val="auto"/>
          <w:sz w:val="21"/>
          <w:szCs w:val="21"/>
          <w:highlight w:val="none"/>
        </w:rPr>
      </w:pPr>
      <w:r>
        <w:rPr>
          <w:rFonts w:hint="eastAsia"/>
          <w:color w:val="auto"/>
          <w:sz w:val="21"/>
          <w:szCs w:val="21"/>
          <w:highlight w:val="none"/>
        </w:rPr>
        <w:t>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符合法律、行政法规规定的其他条件。</w:t>
      </w:r>
    </w:p>
    <w:p>
      <w:pPr>
        <w:shd w:val="clear" w:color="auto" w:fill="auto"/>
        <w:spacing w:line="480" w:lineRule="auto"/>
        <w:ind w:firstLine="420" w:firstLineChars="200"/>
        <w:rPr>
          <w:color w:val="auto"/>
          <w:sz w:val="21"/>
          <w:szCs w:val="21"/>
          <w:highlight w:val="none"/>
        </w:rPr>
      </w:pPr>
      <w:r>
        <w:rPr>
          <w:rFonts w:hint="eastAsia"/>
          <w:color w:val="auto"/>
          <w:sz w:val="21"/>
          <w:szCs w:val="21"/>
          <w:highlight w:val="none"/>
        </w:rPr>
        <w:t>我单位对上述承诺的真实性负责。本次招标采购活动中，如有违法、违规、弄虚作假行为，所造成的损失、不良后果及法律责任，一律由我单位承担。</w:t>
      </w:r>
    </w:p>
    <w:p>
      <w:pPr>
        <w:shd w:val="clear" w:color="auto" w:fill="auto"/>
        <w:spacing w:line="480" w:lineRule="auto"/>
        <w:ind w:firstLine="422" w:firstLineChars="200"/>
        <w:rPr>
          <w:b/>
          <w:bCs/>
          <w:color w:val="auto"/>
          <w:sz w:val="21"/>
          <w:szCs w:val="21"/>
          <w:highlight w:val="none"/>
        </w:rPr>
      </w:pPr>
      <w:r>
        <w:rPr>
          <w:rFonts w:hint="eastAsia"/>
          <w:b/>
          <w:bCs/>
          <w:color w:val="auto"/>
          <w:sz w:val="21"/>
          <w:szCs w:val="21"/>
          <w:highlight w:val="none"/>
        </w:rPr>
        <w:t>特此承诺！</w:t>
      </w:r>
    </w:p>
    <w:p>
      <w:pPr>
        <w:shd w:val="clear" w:color="auto" w:fill="auto"/>
        <w:jc w:val="center"/>
        <w:rPr>
          <w:rFonts w:ascii="宋体" w:hAnsi="宋体"/>
          <w:b/>
          <w:color w:val="auto"/>
          <w:sz w:val="21"/>
          <w:szCs w:val="21"/>
          <w:highlight w:val="none"/>
        </w:rPr>
      </w:pPr>
    </w:p>
    <w:p>
      <w:pPr>
        <w:shd w:val="clear" w:color="auto" w:fill="auto"/>
        <w:jc w:val="center"/>
        <w:rPr>
          <w:rFonts w:ascii="宋体" w:hAnsi="宋体"/>
          <w:b/>
          <w:color w:val="auto"/>
          <w:sz w:val="21"/>
          <w:szCs w:val="21"/>
          <w:highlight w:val="none"/>
        </w:rPr>
      </w:pPr>
    </w:p>
    <w:p>
      <w:pPr>
        <w:shd w:val="clear" w:color="auto" w:fill="auto"/>
        <w:jc w:val="center"/>
        <w:rPr>
          <w:rFonts w:ascii="宋体" w:hAnsi="宋体"/>
          <w:b/>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b/>
          <w:color w:val="auto"/>
          <w:sz w:val="32"/>
          <w:szCs w:val="32"/>
          <w:highlight w:val="none"/>
        </w:rPr>
      </w:pPr>
      <w:r>
        <w:rPr>
          <w:rFonts w:hint="eastAsia" w:ascii="宋体" w:hAnsi="宋体"/>
          <w:b/>
          <w:color w:val="auto"/>
          <w:sz w:val="28"/>
          <w:szCs w:val="28"/>
          <w:highlight w:val="none"/>
        </w:rPr>
        <w:br w:type="page"/>
      </w:r>
      <w:r>
        <w:rPr>
          <w:rFonts w:hint="eastAsia" w:ascii="宋体" w:hAnsi="宋体" w:eastAsia="宋体" w:cs="宋体"/>
          <w:b/>
          <w:color w:val="auto"/>
          <w:highlight w:val="none"/>
        </w:rPr>
        <w:t>具备履行合同所需的设备和专业技术能力的声明</w:t>
      </w:r>
    </w:p>
    <w:p>
      <w:pPr>
        <w:shd w:val="clear" w:color="auto" w:fill="auto"/>
        <w:rPr>
          <w:color w:val="auto"/>
          <w:highlight w:val="none"/>
        </w:rPr>
      </w:pPr>
    </w:p>
    <w:p>
      <w:pPr>
        <w:shd w:val="clear" w:color="auto" w:fill="auto"/>
        <w:spacing w:line="360" w:lineRule="auto"/>
        <w:rPr>
          <w:color w:val="auto"/>
          <w:highlight w:val="none"/>
        </w:rPr>
      </w:pPr>
      <w:r>
        <w:rPr>
          <w:rFonts w:hint="eastAsia"/>
          <w:color w:val="auto"/>
          <w:highlight w:val="none"/>
        </w:rPr>
        <w:t xml:space="preserve"> </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我公司（单位）具备履行合同所需的设备和专业技术能力，具体情况介绍如下：</w:t>
      </w:r>
    </w:p>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（内容包括：主要设备、专业技术人员、公司资质（格）等）                                          </w:t>
      </w:r>
    </w:p>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特此承诺。</w:t>
      </w:r>
    </w:p>
    <w:p>
      <w:pPr>
        <w:shd w:val="clear" w:color="auto" w:fill="auto"/>
        <w:tabs>
          <w:tab w:val="left" w:pos="7480"/>
        </w:tabs>
        <w:autoSpaceDE w:val="0"/>
        <w:autoSpaceDN w:val="0"/>
        <w:adjustRightInd w:val="0"/>
        <w:spacing w:line="360" w:lineRule="exact"/>
        <w:rPr>
          <w:rFonts w:hint="eastAsia" w:ascii="宋体" w:hAnsi="宋体" w:eastAsia="宋体" w:cs="宋体"/>
          <w:color w:val="auto"/>
          <w:sz w:val="21"/>
          <w:szCs w:val="21"/>
          <w:highlight w:val="none"/>
        </w:rPr>
      </w:pPr>
    </w:p>
    <w:p>
      <w:pPr>
        <w:shd w:val="clear" w:color="auto" w:fill="auto"/>
        <w:tabs>
          <w:tab w:val="left" w:pos="7480"/>
        </w:tabs>
        <w:autoSpaceDE w:val="0"/>
        <w:autoSpaceDN w:val="0"/>
        <w:adjustRightInd w:val="0"/>
        <w:spacing w:line="360" w:lineRule="exact"/>
        <w:rPr>
          <w:rFonts w:hint="eastAsia" w:ascii="宋体" w:hAnsi="宋体" w:eastAsia="宋体" w:cs="宋体"/>
          <w:color w:val="auto"/>
          <w:sz w:val="21"/>
          <w:szCs w:val="21"/>
          <w:highlight w:val="none"/>
        </w:rPr>
      </w:pPr>
    </w:p>
    <w:p>
      <w:pPr>
        <w:shd w:val="clear" w:color="auto" w:fill="auto"/>
        <w:tabs>
          <w:tab w:val="left" w:pos="7480"/>
        </w:tabs>
        <w:autoSpaceDE w:val="0"/>
        <w:autoSpaceDN w:val="0"/>
        <w:adjustRightInd w:val="0"/>
        <w:spacing w:line="360" w:lineRule="exact"/>
        <w:rPr>
          <w:rFonts w:hint="eastAsia" w:ascii="宋体" w:hAnsi="宋体" w:eastAsia="宋体" w:cs="宋体"/>
          <w:color w:val="auto"/>
          <w:sz w:val="21"/>
          <w:szCs w:val="21"/>
          <w:highlight w:val="none"/>
        </w:rPr>
      </w:pPr>
    </w:p>
    <w:p>
      <w:pPr>
        <w:shd w:val="clear" w:color="auto" w:fill="auto"/>
        <w:tabs>
          <w:tab w:val="left" w:pos="7480"/>
        </w:tabs>
        <w:autoSpaceDE w:val="0"/>
        <w:autoSpaceDN w:val="0"/>
        <w:adjustRightInd w:val="0"/>
        <w:spacing w:line="360" w:lineRule="exact"/>
        <w:rPr>
          <w:rFonts w:hint="eastAsia" w:ascii="宋体" w:hAnsi="宋体" w:eastAsia="宋体" w:cs="宋体"/>
          <w:color w:val="auto"/>
          <w:sz w:val="21"/>
          <w:szCs w:val="21"/>
          <w:highlight w:val="none"/>
        </w:rPr>
      </w:pP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供应商全称（盖公章）：</w:t>
      </w: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r>
        <w:rPr>
          <w:rFonts w:ascii="黑体" w:eastAsia="黑体"/>
          <w:color w:val="auto"/>
          <w:sz w:val="24"/>
          <w:highlight w:val="none"/>
        </w:rPr>
        <w:drawing>
          <wp:inline distT="0" distB="0" distL="114300" distR="114300">
            <wp:extent cx="5934075" cy="727710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5"/>
                    <a:stretch>
                      <a:fillRect/>
                    </a:stretch>
                  </pic:blipFill>
                  <pic:spPr>
                    <a:xfrm>
                      <a:off x="0" y="0"/>
                      <a:ext cx="5934075" cy="7277100"/>
                    </a:xfrm>
                    <a:prstGeom prst="rect">
                      <a:avLst/>
                    </a:prstGeom>
                    <a:noFill/>
                    <a:ln>
                      <a:noFill/>
                    </a:ln>
                  </pic:spPr>
                </pic:pic>
              </a:graphicData>
            </a:graphic>
          </wp:inline>
        </w:drawing>
      </w: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keepNext w:val="0"/>
        <w:keepLines w:val="0"/>
        <w:pageBreakBefore w:val="0"/>
        <w:widowControl w:val="0"/>
        <w:shd w:val="clear" w:color="auto" w:fill="auto"/>
        <w:kinsoku/>
        <w:wordWrap/>
        <w:overflowPunct/>
        <w:topLinePunct w:val="0"/>
        <w:autoSpaceDE w:val="0"/>
        <w:autoSpaceDN w:val="0"/>
        <w:bidi w:val="0"/>
        <w:adjustRightInd/>
        <w:snapToGrid/>
        <w:jc w:val="center"/>
        <w:textAlignment w:val="auto"/>
        <w:outlineLvl w:val="2"/>
        <w:rPr>
          <w:b/>
          <w:color w:val="auto"/>
          <w:sz w:val="32"/>
          <w:szCs w:val="32"/>
          <w:highlight w:val="none"/>
        </w:rPr>
      </w:pPr>
      <w:r>
        <w:rPr>
          <w:rFonts w:hint="eastAsia"/>
          <w:b/>
          <w:color w:val="auto"/>
          <w:sz w:val="32"/>
          <w:szCs w:val="32"/>
          <w:highlight w:val="none"/>
        </w:rPr>
        <w:br w:type="page"/>
      </w:r>
      <w:r>
        <w:rPr>
          <w:rFonts w:hint="eastAsia" w:ascii="宋体" w:hAnsi="宋体" w:eastAsia="宋体" w:cs="宋体"/>
          <w:b/>
          <w:color w:val="auto"/>
          <w:highlight w:val="none"/>
        </w:rPr>
        <w:t>近三年在政府采购活动中无重大违法记录的声明</w:t>
      </w:r>
    </w:p>
    <w:p>
      <w:pPr>
        <w:shd w:val="clear" w:color="auto" w:fill="auto"/>
        <w:rPr>
          <w:color w:val="auto"/>
          <w:highlight w:val="none"/>
        </w:rPr>
      </w:pPr>
    </w:p>
    <w:p>
      <w:pPr>
        <w:shd w:val="clear" w:color="auto" w:fill="auto"/>
        <w:rPr>
          <w:color w:val="auto"/>
          <w:highlight w:val="none"/>
        </w:rPr>
      </w:pPr>
    </w:p>
    <w:p>
      <w:pPr>
        <w:shd w:val="clear" w:color="auto" w:fill="auto"/>
        <w:spacing w:line="360" w:lineRule="auto"/>
        <w:rPr>
          <w:color w:val="auto"/>
          <w:sz w:val="21"/>
          <w:szCs w:val="21"/>
          <w:highlight w:val="none"/>
        </w:rPr>
      </w:pPr>
      <w:r>
        <w:rPr>
          <w:rFonts w:hint="eastAsia"/>
          <w:color w:val="auto"/>
          <w:sz w:val="21"/>
          <w:szCs w:val="21"/>
          <w:highlight w:val="none"/>
        </w:rPr>
        <w:t xml:space="preserve">     参加本项目政府采购活动前三年内，在经营活动中没有重大违法记录，特此声明。</w:t>
      </w:r>
    </w:p>
    <w:p>
      <w:pPr>
        <w:shd w:val="clear" w:color="auto" w:fill="auto"/>
        <w:spacing w:line="360" w:lineRule="auto"/>
        <w:rPr>
          <w:color w:val="auto"/>
          <w:sz w:val="21"/>
          <w:szCs w:val="21"/>
          <w:highlight w:val="none"/>
        </w:rPr>
      </w:pPr>
    </w:p>
    <w:p>
      <w:pPr>
        <w:shd w:val="clear" w:color="auto" w:fill="auto"/>
        <w:tabs>
          <w:tab w:val="left" w:pos="7480"/>
        </w:tabs>
        <w:autoSpaceDE w:val="0"/>
        <w:autoSpaceDN w:val="0"/>
        <w:adjustRightInd w:val="0"/>
        <w:spacing w:line="360" w:lineRule="exact"/>
        <w:rPr>
          <w:rFonts w:ascii="黑体" w:eastAsia="黑体"/>
          <w:color w:val="auto"/>
          <w:sz w:val="21"/>
          <w:szCs w:val="21"/>
          <w:highlight w:val="none"/>
        </w:rPr>
      </w:pPr>
    </w:p>
    <w:p>
      <w:pPr>
        <w:shd w:val="clear" w:color="auto" w:fill="auto"/>
        <w:tabs>
          <w:tab w:val="left" w:pos="7480"/>
        </w:tabs>
        <w:autoSpaceDE w:val="0"/>
        <w:autoSpaceDN w:val="0"/>
        <w:adjustRightInd w:val="0"/>
        <w:spacing w:line="360" w:lineRule="exact"/>
        <w:rPr>
          <w:rFonts w:ascii="黑体" w:eastAsia="黑体"/>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shd w:val="clear" w:color="auto" w:fill="auto"/>
        <w:tabs>
          <w:tab w:val="left" w:pos="7480"/>
        </w:tabs>
        <w:autoSpaceDE w:val="0"/>
        <w:autoSpaceDN w:val="0"/>
        <w:adjustRightInd w:val="0"/>
        <w:spacing w:line="360" w:lineRule="exact"/>
        <w:rPr>
          <w:rFonts w:ascii="黑体" w:eastAsia="黑体"/>
          <w:color w:val="auto"/>
          <w:sz w:val="24"/>
          <w:highlight w:val="none"/>
        </w:rPr>
      </w:pPr>
    </w:p>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outlineLvl w:val="2"/>
        <w:rPr>
          <w:rFonts w:ascii="宋体" w:hAnsi="宋体" w:cs="宋体"/>
          <w:b/>
          <w:color w:val="auto"/>
          <w:highlight w:val="none"/>
        </w:rPr>
      </w:pPr>
      <w:r>
        <w:rPr>
          <w:rFonts w:hint="eastAsia" w:ascii="宋体" w:hAnsi="宋体"/>
          <w:b/>
          <w:color w:val="auto"/>
          <w:sz w:val="28"/>
          <w:szCs w:val="28"/>
          <w:highlight w:val="none"/>
        </w:rPr>
        <w:br w:type="page"/>
      </w:r>
      <w:r>
        <w:rPr>
          <w:rFonts w:hint="eastAsia" w:ascii="宋体" w:hAnsi="宋体" w:cs="宋体"/>
          <w:b/>
          <w:color w:val="auto"/>
          <w:highlight w:val="none"/>
        </w:rPr>
        <w:t>投标承诺函</w:t>
      </w:r>
    </w:p>
    <w:p>
      <w:pPr>
        <w:pStyle w:val="227"/>
        <w:shd w:val="clear" w:color="auto" w:fill="auto"/>
        <w:spacing w:line="336" w:lineRule="auto"/>
        <w:ind w:right="88" w:rightChars="40"/>
        <w:rPr>
          <w:rFonts w:ascii="宋体" w:hAnsi="宋体" w:cs="宋体"/>
          <w:color w:val="auto"/>
          <w:sz w:val="24"/>
          <w:szCs w:val="24"/>
          <w:highlight w:val="none"/>
        </w:rPr>
      </w:pPr>
    </w:p>
    <w:p>
      <w:pPr>
        <w:shd w:val="clear" w:color="auto" w:fill="auto"/>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（采购单位名称）：</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我方确认收到贵方提供的</w:t>
      </w:r>
      <w:bookmarkStart w:id="95" w:name="xmmc"/>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w:t>
      </w:r>
      <w:bookmarkEnd w:id="95"/>
      <w:r>
        <w:rPr>
          <w:rFonts w:hint="eastAsia" w:ascii="宋体" w:hAnsi="宋体" w:eastAsia="宋体" w:cs="宋体"/>
          <w:color w:val="auto"/>
          <w:sz w:val="21"/>
          <w:szCs w:val="21"/>
          <w:highlight w:val="none"/>
        </w:rPr>
        <w:t>（采购编号：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）的采购文件，已完全理解采购文件的所有内容。决定投标本项目，据此我方承诺如下：</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1、我方的投标文件在投标截止日后90天（日历天）内保持有效，如中标，有效期将延至本项目执行期满日为止。</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参与投标前已仔细研究了采购文件和所有相关资料，我方完全明白并认为此采购文件没有倾向性，也没有存在排斥潜在投标人的内容，我方同意采购文件的相关条款，放弃对采购文件提出误解和质疑的一切权利。</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3、我方声明投标文件及所提供的一切资料均真实无误及有效。由于我方提供资料不实而造成的责任和后果由我方承担。我方同意按照贵方可能提出的要求，提供与投标有关的任何其它数据或信息。</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4、我方如果中标，保证履行投标文件中承诺的全部责任和义务，采购合同中的全部条款。</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5、我方理解贵方不一定接受最低报价的投标。</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6、我方同意如在本项目开标后、投标有效期之内撤销投标文件，或中标后未在规定期限内签订合同并送贵方备案的，贵方将不退还投标保证金（如有）。</w:t>
      </w:r>
    </w:p>
    <w:p>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hd w:val="clear" w:color="auto" w:fill="auto"/>
        <w:rPr>
          <w:rFonts w:hint="eastAsia" w:ascii="宋体" w:hAnsi="宋体" w:eastAsia="宋体" w:cs="宋体"/>
          <w:color w:val="auto"/>
          <w:sz w:val="21"/>
          <w:szCs w:val="21"/>
          <w:highlight w:val="none"/>
        </w:rPr>
      </w:pPr>
    </w:p>
    <w:p>
      <w:pPr>
        <w:shd w:val="clear" w:color="auto" w:fill="auto"/>
        <w:rPr>
          <w:rFonts w:hint="eastAsia" w:ascii="宋体" w:hAnsi="宋体" w:eastAsia="宋体" w:cs="宋体"/>
          <w:color w:val="auto"/>
          <w:sz w:val="21"/>
          <w:szCs w:val="21"/>
          <w:highlight w:val="none"/>
        </w:rPr>
      </w:pPr>
    </w:p>
    <w:p>
      <w:pPr>
        <w:shd w:val="clear" w:color="auto" w:fill="auto"/>
        <w:rPr>
          <w:rFonts w:hint="eastAsia" w:ascii="宋体" w:hAnsi="宋体" w:eastAsia="宋体" w:cs="宋体"/>
          <w:color w:val="auto"/>
          <w:sz w:val="21"/>
          <w:szCs w:val="21"/>
          <w:highlight w:val="none"/>
        </w:rPr>
      </w:pP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供应商全称（盖公章）：</w:t>
      </w:r>
    </w:p>
    <w:p>
      <w:pPr>
        <w:pStyle w:val="3"/>
        <w:widowControl/>
        <w:shd w:val="clear" w:color="auto" w:fill="auto"/>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法定代表人或其授权委托人（签名或印章）：</w:t>
      </w:r>
    </w:p>
    <w:p>
      <w:pPr>
        <w:shd w:val="clear" w:color="auto" w:fill="auto"/>
        <w:spacing w:line="360" w:lineRule="auto"/>
        <w:ind w:right="1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p>
      <w:pPr>
        <w:shd w:val="clear" w:color="auto" w:fill="auto"/>
        <w:ind w:firstLine="6160" w:firstLineChars="2800"/>
        <w:rPr>
          <w:rFonts w:ascii="宋体" w:hAnsi="宋体" w:cs="宋体"/>
          <w:color w:val="auto"/>
          <w:highlight w:val="none"/>
        </w:rPr>
      </w:pPr>
      <w:r>
        <w:rPr>
          <w:rFonts w:hint="eastAsia" w:ascii="宋体" w:hAnsi="宋体" w:cs="宋体"/>
          <w:color w:val="auto"/>
          <w:highlight w:val="none"/>
        </w:rPr>
        <w:t xml:space="preserve">  </w:t>
      </w:r>
    </w:p>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outlineLvl w:val="2"/>
        <w:rPr>
          <w:rFonts w:ascii="宋体" w:hAnsi="宋体" w:cs="宋体"/>
          <w:b/>
          <w:color w:val="auto"/>
          <w:highlight w:val="none"/>
        </w:rPr>
      </w:pPr>
      <w:r>
        <w:rPr>
          <w:rFonts w:hint="eastAsia" w:ascii="宋体" w:hAnsi="宋体"/>
          <w:b/>
          <w:color w:val="auto"/>
          <w:sz w:val="28"/>
          <w:szCs w:val="28"/>
          <w:highlight w:val="none"/>
        </w:rPr>
        <w:br w:type="page"/>
      </w:r>
      <w:r>
        <w:rPr>
          <w:rFonts w:hint="eastAsia" w:ascii="宋体" w:hAnsi="宋体" w:cs="宋体"/>
          <w:b/>
          <w:color w:val="auto"/>
          <w:highlight w:val="none"/>
        </w:rPr>
        <w:t>符合性自查表</w:t>
      </w:r>
    </w:p>
    <w:p>
      <w:pPr>
        <w:shd w:val="clear" w:color="auto" w:fill="auto"/>
        <w:jc w:val="center"/>
        <w:rPr>
          <w:rFonts w:ascii="宋体" w:hAnsi="宋体" w:cs="宋体"/>
          <w:b/>
          <w:color w:val="auto"/>
          <w:highlight w:val="none"/>
        </w:rPr>
      </w:pPr>
    </w:p>
    <w:tbl>
      <w:tblPr>
        <w:tblStyle w:val="50"/>
        <w:tblW w:w="9017"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836"/>
        <w:gridCol w:w="4263"/>
        <w:gridCol w:w="1281"/>
        <w:gridCol w:w="263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96" w:hRule="atLeast"/>
          <w:jc w:val="center"/>
        </w:trPr>
        <w:tc>
          <w:tcPr>
            <w:tcW w:w="836" w:type="dxa"/>
            <w:tcBorders>
              <w:top w:val="single" w:color="auto" w:sz="12" w:space="0"/>
              <w:left w:val="single" w:color="auto" w:sz="12" w:space="0"/>
              <w:bottom w:val="outset" w:color="111111" w:sz="6" w:space="0"/>
              <w:right w:val="outset" w:color="111111" w:sz="6" w:space="0"/>
            </w:tcBorders>
            <w:noWrap w:val="0"/>
            <w:vAlign w:val="center"/>
          </w:tcPr>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评审内容</w:t>
            </w:r>
          </w:p>
        </w:tc>
        <w:tc>
          <w:tcPr>
            <w:tcW w:w="4263" w:type="dxa"/>
            <w:tcBorders>
              <w:top w:val="single" w:color="auto" w:sz="12" w:space="0"/>
              <w:left w:val="outset" w:color="111111" w:sz="6" w:space="0"/>
              <w:bottom w:val="outset" w:color="111111" w:sz="6" w:space="0"/>
              <w:right w:val="outset" w:color="111111" w:sz="6" w:space="0"/>
            </w:tcBorders>
            <w:noWrap w:val="0"/>
            <w:vAlign w:val="center"/>
          </w:tcPr>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采购文件要求</w:t>
            </w:r>
          </w:p>
        </w:tc>
        <w:tc>
          <w:tcPr>
            <w:tcW w:w="1281" w:type="dxa"/>
            <w:tcBorders>
              <w:top w:val="single" w:color="auto" w:sz="12" w:space="0"/>
              <w:left w:val="outset" w:color="111111" w:sz="6" w:space="0"/>
              <w:bottom w:val="outset" w:color="111111" w:sz="6" w:space="0"/>
              <w:right w:val="outset" w:color="111111" w:sz="6" w:space="0"/>
            </w:tcBorders>
            <w:noWrap w:val="0"/>
            <w:vAlign w:val="center"/>
          </w:tcPr>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自查结论</w:t>
            </w:r>
          </w:p>
        </w:tc>
        <w:tc>
          <w:tcPr>
            <w:tcW w:w="2637" w:type="dxa"/>
            <w:tcBorders>
              <w:top w:val="single" w:color="auto" w:sz="12" w:space="0"/>
              <w:left w:val="outset" w:color="111111" w:sz="6" w:space="0"/>
              <w:bottom w:val="outset" w:color="111111" w:sz="6" w:space="0"/>
              <w:right w:val="single" w:color="auto" w:sz="12" w:space="0"/>
            </w:tcBorders>
            <w:noWrap w:val="0"/>
            <w:vAlign w:val="center"/>
          </w:tcPr>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13" w:hRule="atLeast"/>
          <w:jc w:val="center"/>
        </w:trPr>
        <w:tc>
          <w:tcPr>
            <w:tcW w:w="836" w:type="dxa"/>
            <w:vMerge w:val="restart"/>
            <w:tcBorders>
              <w:top w:val="outset" w:color="111111" w:sz="6" w:space="0"/>
              <w:left w:val="single" w:color="auto" w:sz="12" w:space="0"/>
              <w:bottom w:val="single" w:color="111111" w:sz="4" w:space="0"/>
              <w:right w:val="single" w:color="111111" w:sz="4" w:space="0"/>
            </w:tcBorders>
            <w:noWrap w:val="0"/>
            <w:vAlign w:val="center"/>
          </w:tcPr>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符</w:t>
            </w:r>
          </w:p>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合</w:t>
            </w:r>
          </w:p>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性</w:t>
            </w:r>
          </w:p>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审</w:t>
            </w:r>
          </w:p>
          <w:p>
            <w:pPr>
              <w:shd w:val="clear" w:color="auto" w:fill="auto"/>
              <w:spacing w:line="2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查</w:t>
            </w:r>
          </w:p>
        </w:tc>
        <w:tc>
          <w:tcPr>
            <w:tcW w:w="4263" w:type="dxa"/>
            <w:tcBorders>
              <w:top w:val="outset" w:color="111111" w:sz="6"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1、投标人承诺函</w:t>
            </w:r>
          </w:p>
        </w:tc>
        <w:tc>
          <w:tcPr>
            <w:tcW w:w="1281" w:type="dxa"/>
            <w:tcBorders>
              <w:top w:val="outset" w:color="111111" w:sz="6"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outset" w:color="111111" w:sz="6"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72" w:hRule="atLeast"/>
          <w:jc w:val="center"/>
        </w:trPr>
        <w:tc>
          <w:tcPr>
            <w:tcW w:w="836" w:type="dxa"/>
            <w:vMerge w:val="continue"/>
            <w:tcBorders>
              <w:top w:val="single" w:color="111111" w:sz="4" w:space="0"/>
              <w:left w:val="single" w:color="auto" w:sz="12"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p>
        </w:tc>
        <w:tc>
          <w:tcPr>
            <w:tcW w:w="4263"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2、投标文件完全满足采购文件的实质性条款（即标注▲号条款）无负偏离的；</w:t>
            </w:r>
          </w:p>
        </w:tc>
        <w:tc>
          <w:tcPr>
            <w:tcW w:w="1281"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single" w:color="111111" w:sz="4"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001" w:hRule="atLeast"/>
          <w:jc w:val="center"/>
        </w:trPr>
        <w:tc>
          <w:tcPr>
            <w:tcW w:w="836" w:type="dxa"/>
            <w:vMerge w:val="continue"/>
            <w:tcBorders>
              <w:top w:val="single" w:color="111111" w:sz="4" w:space="0"/>
              <w:left w:val="single" w:color="auto" w:sz="12"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p>
        </w:tc>
        <w:tc>
          <w:tcPr>
            <w:tcW w:w="4263"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3、法定代表人证明书/法定代表人授权委托书。</w:t>
            </w:r>
          </w:p>
        </w:tc>
        <w:tc>
          <w:tcPr>
            <w:tcW w:w="1281"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single" w:color="111111" w:sz="4"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07" w:hRule="atLeast"/>
          <w:jc w:val="center"/>
        </w:trPr>
        <w:tc>
          <w:tcPr>
            <w:tcW w:w="836" w:type="dxa"/>
            <w:vMerge w:val="continue"/>
            <w:tcBorders>
              <w:top w:val="single" w:color="111111" w:sz="4" w:space="0"/>
              <w:left w:val="single" w:color="auto" w:sz="12"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p>
        </w:tc>
        <w:tc>
          <w:tcPr>
            <w:tcW w:w="4263"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4.没有其他未实质性投标文件要求的。</w:t>
            </w:r>
          </w:p>
        </w:tc>
        <w:tc>
          <w:tcPr>
            <w:tcW w:w="1281"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single" w:color="111111" w:sz="4"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07" w:hRule="atLeast"/>
          <w:jc w:val="center"/>
        </w:trPr>
        <w:tc>
          <w:tcPr>
            <w:tcW w:w="836" w:type="dxa"/>
            <w:vMerge w:val="continue"/>
            <w:tcBorders>
              <w:top w:val="single" w:color="111111" w:sz="4" w:space="0"/>
              <w:left w:val="single" w:color="auto" w:sz="12"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p>
        </w:tc>
        <w:tc>
          <w:tcPr>
            <w:tcW w:w="4263"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5.投标文件没有采购文件中规定的其它无效投标条款的；</w:t>
            </w:r>
          </w:p>
        </w:tc>
        <w:tc>
          <w:tcPr>
            <w:tcW w:w="1281"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single" w:color="111111" w:sz="4"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18" w:hRule="atLeast"/>
          <w:jc w:val="center"/>
        </w:trPr>
        <w:tc>
          <w:tcPr>
            <w:tcW w:w="836" w:type="dxa"/>
            <w:vMerge w:val="continue"/>
            <w:tcBorders>
              <w:top w:val="single" w:color="111111" w:sz="4" w:space="0"/>
              <w:left w:val="single" w:color="auto" w:sz="12"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p>
        </w:tc>
        <w:tc>
          <w:tcPr>
            <w:tcW w:w="4263"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6、按有关法律、法规、规章不属于投标无效的。</w:t>
            </w:r>
          </w:p>
        </w:tc>
        <w:tc>
          <w:tcPr>
            <w:tcW w:w="1281" w:type="dxa"/>
            <w:tcBorders>
              <w:top w:val="single" w:color="111111" w:sz="4" w:space="0"/>
              <w:left w:val="single" w:color="111111" w:sz="4" w:space="0"/>
              <w:bottom w:val="single" w:color="111111" w:sz="4" w:space="0"/>
              <w:right w:val="single" w:color="111111" w:sz="4"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2637" w:type="dxa"/>
            <w:tcBorders>
              <w:top w:val="single" w:color="111111" w:sz="4" w:space="0"/>
              <w:left w:val="single" w:color="111111" w:sz="4" w:space="0"/>
              <w:bottom w:val="single" w:color="111111" w:sz="4" w:space="0"/>
              <w:right w:val="single" w:color="auto" w:sz="12" w:space="0"/>
            </w:tcBorders>
            <w:noWrap w:val="0"/>
            <w:vAlign w:val="center"/>
          </w:tcPr>
          <w:p>
            <w:pPr>
              <w:shd w:val="clear" w:color="auto" w:fill="auto"/>
              <w:spacing w:line="240" w:lineRule="exact"/>
              <w:rPr>
                <w:rFonts w:ascii="宋体" w:hAnsi="宋体" w:cs="宋体"/>
                <w:color w:val="auto"/>
                <w:sz w:val="21"/>
                <w:szCs w:val="21"/>
                <w:highlight w:val="none"/>
              </w:rPr>
            </w:pPr>
            <w:r>
              <w:rPr>
                <w:rFonts w:hint="eastAsia" w:ascii="宋体" w:hAnsi="宋体" w:cs="宋体"/>
                <w:color w:val="auto"/>
                <w:sz w:val="21"/>
                <w:szCs w:val="21"/>
                <w:highlight w:val="none"/>
              </w:rPr>
              <w:t>第（ ）页</w:t>
            </w:r>
          </w:p>
        </w:tc>
      </w:tr>
    </w:tbl>
    <w:p>
      <w:pPr>
        <w:pStyle w:val="3"/>
        <w:widowControl/>
        <w:shd w:val="clear" w:color="auto" w:fill="auto"/>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备注：投标人自查表将作为投标投标人有效性审查的重要内容之一，投标投标人必须严格按照其内容及序列要求在投标文件中对应如实提供，对资格性证明文件的任何缺漏和不符合项将会直接导致投标无效！</w:t>
      </w:r>
    </w:p>
    <w:p>
      <w:pPr>
        <w:shd w:val="clear" w:color="auto" w:fill="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pStyle w:val="3"/>
        <w:keepNext w:val="0"/>
        <w:keepLines w:val="0"/>
        <w:pageBreakBefore w:val="0"/>
        <w:widowControl/>
        <w:shd w:val="clear" w:color="auto" w:fill="auto"/>
        <w:kinsoku/>
        <w:wordWrap/>
        <w:overflowPunct/>
        <w:topLinePunct w:val="0"/>
        <w:autoSpaceDE/>
        <w:autoSpaceDN/>
        <w:bidi w:val="0"/>
        <w:adjustRightInd/>
        <w:snapToGrid/>
        <w:spacing w:line="360" w:lineRule="auto"/>
        <w:jc w:val="center"/>
        <w:textAlignment w:val="auto"/>
        <w:outlineLvl w:val="2"/>
        <w:rPr>
          <w:rFonts w:ascii="宋体" w:hAnsi="宋体" w:cs="宋体"/>
          <w:b/>
          <w:color w:val="auto"/>
          <w:sz w:val="32"/>
          <w:szCs w:val="32"/>
          <w:highlight w:val="none"/>
        </w:rPr>
      </w:pPr>
      <w:r>
        <w:rPr>
          <w:rFonts w:hint="eastAsia" w:ascii="宋体" w:hAnsi="宋体" w:cs="宋体"/>
          <w:b/>
          <w:color w:val="auto"/>
          <w:sz w:val="32"/>
          <w:szCs w:val="32"/>
          <w:highlight w:val="none"/>
        </w:rPr>
        <w:t>投标人响应表</w:t>
      </w:r>
    </w:p>
    <w:p>
      <w:pPr>
        <w:shd w:val="clear" w:color="auto" w:fill="auto"/>
        <w:rPr>
          <w:rFonts w:ascii="宋体" w:hAnsi="宋体" w:cs="宋体"/>
          <w:color w:val="auto"/>
          <w:highlight w:val="none"/>
        </w:rPr>
      </w:pPr>
    </w:p>
    <w:p>
      <w:pPr>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 xml:space="preserve"> 采购编号：                                    </w:t>
      </w:r>
    </w:p>
    <w:tbl>
      <w:tblPr>
        <w:tblStyle w:val="50"/>
        <w:tblW w:w="0" w:type="auto"/>
        <w:jc w:val="center"/>
        <w:tblLayout w:type="fixed"/>
        <w:tblCellMar>
          <w:top w:w="0" w:type="dxa"/>
          <w:left w:w="108" w:type="dxa"/>
          <w:bottom w:w="0" w:type="dxa"/>
          <w:right w:w="108" w:type="dxa"/>
        </w:tblCellMar>
      </w:tblPr>
      <w:tblGrid>
        <w:gridCol w:w="961"/>
        <w:gridCol w:w="5739"/>
        <w:gridCol w:w="1908"/>
        <w:gridCol w:w="1346"/>
      </w:tblGrid>
      <w:tr>
        <w:tblPrEx>
          <w:tblCellMar>
            <w:top w:w="0" w:type="dxa"/>
            <w:left w:w="108" w:type="dxa"/>
            <w:bottom w:w="0" w:type="dxa"/>
            <w:right w:w="108" w:type="dxa"/>
          </w:tblCellMar>
        </w:tblPrEx>
        <w:trPr>
          <w:trHeight w:val="596"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评审内容</w:t>
            </w: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证明文件</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自评得分</w:t>
            </w:r>
          </w:p>
        </w:tc>
      </w:tr>
      <w:tr>
        <w:tblPrEx>
          <w:tblCellMar>
            <w:top w:w="0" w:type="dxa"/>
            <w:left w:w="108" w:type="dxa"/>
            <w:bottom w:w="0" w:type="dxa"/>
            <w:right w:w="108" w:type="dxa"/>
          </w:tblCellMar>
        </w:tblPrEx>
        <w:trPr>
          <w:trHeight w:val="593" w:hRule="atLeast"/>
          <w:jc w:val="center"/>
        </w:trPr>
        <w:tc>
          <w:tcPr>
            <w:tcW w:w="961"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3" w:hRule="atLeast"/>
          <w:jc w:val="center"/>
        </w:trPr>
        <w:tc>
          <w:tcPr>
            <w:tcW w:w="961"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520" w:hRule="atLeast"/>
          <w:jc w:val="center"/>
        </w:trPr>
        <w:tc>
          <w:tcPr>
            <w:tcW w:w="961"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531" w:hRule="atLeast"/>
          <w:jc w:val="center"/>
        </w:trPr>
        <w:tc>
          <w:tcPr>
            <w:tcW w:w="961"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nil"/>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nil"/>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07"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08"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750" w:hRule="atLeast"/>
          <w:jc w:val="center"/>
        </w:trPr>
        <w:tc>
          <w:tcPr>
            <w:tcW w:w="96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573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s="宋体"/>
                <w:color w:val="auto"/>
                <w:sz w:val="21"/>
                <w:szCs w:val="21"/>
                <w:highlight w:val="none"/>
              </w:rPr>
            </w:pPr>
          </w:p>
        </w:tc>
        <w:tc>
          <w:tcPr>
            <w:tcW w:w="1908"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见（  ）页</w:t>
            </w:r>
          </w:p>
        </w:tc>
        <w:tc>
          <w:tcPr>
            <w:tcW w:w="1346"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ascii="宋体" w:hAnsi="宋体" w:cs="宋体"/>
                <w:color w:val="auto"/>
                <w:sz w:val="21"/>
                <w:szCs w:val="21"/>
                <w:highlight w:val="none"/>
              </w:rPr>
            </w:pPr>
          </w:p>
        </w:tc>
      </w:tr>
    </w:tbl>
    <w:p>
      <w:pPr>
        <w:shd w:val="clear" w:color="auto" w:fill="auto"/>
        <w:rPr>
          <w:rFonts w:ascii="宋体" w:hAnsi="宋体" w:cs="宋体"/>
          <w:b/>
          <w:color w:val="auto"/>
          <w:sz w:val="21"/>
          <w:szCs w:val="21"/>
          <w:highlight w:val="none"/>
        </w:rPr>
      </w:pPr>
      <w:r>
        <w:rPr>
          <w:rFonts w:hint="eastAsia" w:ascii="宋体" w:hAnsi="宋体" w:cs="宋体"/>
          <w:b/>
          <w:color w:val="auto"/>
          <w:sz w:val="21"/>
          <w:szCs w:val="21"/>
          <w:highlight w:val="none"/>
        </w:rPr>
        <w:t>根据评分标准逐条填写。</w:t>
      </w:r>
    </w:p>
    <w:p>
      <w:pPr>
        <w:shd w:val="clear" w:color="auto" w:fill="auto"/>
        <w:rPr>
          <w:rFonts w:ascii="宋体" w:hAnsi="宋体" w:cs="宋体"/>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pStyle w:val="3"/>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auto"/>
        <w:outlineLvl w:val="2"/>
        <w:rPr>
          <w:rFonts w:ascii="宋体" w:hAnsi="宋体" w:cs="宋体"/>
          <w:b/>
          <w:bCs/>
          <w:color w:val="auto"/>
          <w:sz w:val="32"/>
          <w:szCs w:val="32"/>
          <w:highlight w:val="none"/>
        </w:rPr>
      </w:pPr>
      <w:r>
        <w:rPr>
          <w:rFonts w:hint="eastAsia" w:hAnsi="宋体" w:cs="宋体"/>
          <w:b/>
          <w:color w:val="auto"/>
          <w:sz w:val="32"/>
          <w:szCs w:val="32"/>
          <w:highlight w:val="none"/>
        </w:rPr>
        <w:br w:type="page"/>
      </w:r>
      <w:r>
        <w:rPr>
          <w:rFonts w:hint="eastAsia" w:ascii="宋体" w:hAnsi="宋体" w:cs="宋体"/>
          <w:b/>
          <w:bCs/>
          <w:color w:val="auto"/>
          <w:sz w:val="32"/>
          <w:szCs w:val="32"/>
          <w:highlight w:val="none"/>
        </w:rPr>
        <w:t>商务条款偏离表</w:t>
      </w:r>
    </w:p>
    <w:p>
      <w:pPr>
        <w:shd w:val="clear" w:color="auto" w:fill="auto"/>
        <w:snapToGrid w:val="0"/>
        <w:spacing w:before="50"/>
        <w:rPr>
          <w:rFonts w:ascii="宋体" w:hAnsi="宋体"/>
          <w:color w:val="auto"/>
          <w:sz w:val="21"/>
          <w:szCs w:val="21"/>
          <w:highlight w:val="none"/>
          <w:u w:val="single"/>
        </w:rPr>
      </w:pPr>
      <w:r>
        <w:rPr>
          <w:rFonts w:hint="eastAsia" w:ascii="宋体" w:hAnsi="宋体"/>
          <w:color w:val="auto"/>
          <w:sz w:val="21"/>
          <w:szCs w:val="21"/>
          <w:highlight w:val="none"/>
        </w:rPr>
        <w:t xml:space="preserve">项目名称：                      </w:t>
      </w:r>
    </w:p>
    <w:tbl>
      <w:tblPr>
        <w:tblStyle w:val="50"/>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152"/>
        <w:gridCol w:w="2448"/>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条款号</w:t>
            </w:r>
          </w:p>
        </w:tc>
        <w:tc>
          <w:tcPr>
            <w:tcW w:w="4152"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采购文件的商务条款</w:t>
            </w: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投标文件的</w:t>
            </w:r>
          </w:p>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响应情况</w:t>
            </w: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说明（偏离</w:t>
            </w:r>
            <w:r>
              <w:rPr>
                <w:rFonts w:ascii="宋体" w:hAnsi="宋体" w:cs="宋体"/>
                <w:color w:val="auto"/>
                <w:sz w:val="21"/>
                <w:szCs w:val="21"/>
                <w:highlight w:val="none"/>
              </w:rPr>
              <w:t>/</w:t>
            </w:r>
            <w:r>
              <w:rPr>
                <w:rFonts w:hint="eastAsia" w:ascii="宋体" w:hAnsi="宋体" w:cs="宋体"/>
                <w:color w:val="auto"/>
                <w:sz w:val="21"/>
                <w:szCs w:val="21"/>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b/>
                <w:bCs/>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b/>
                <w:bCs/>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b/>
                <w:bCs/>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b/>
                <w:bCs/>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152" w:type="dxa"/>
            <w:noWrap w:val="0"/>
            <w:vAlign w:val="center"/>
          </w:tcPr>
          <w:p>
            <w:pPr>
              <w:shd w:val="clear" w:color="auto" w:fill="auto"/>
              <w:spacing w:line="360" w:lineRule="auto"/>
              <w:rPr>
                <w:rFonts w:ascii="宋体" w:hAnsi="宋体"/>
                <w:color w:val="auto"/>
                <w:sz w:val="21"/>
                <w:szCs w:val="21"/>
                <w:highlight w:val="none"/>
              </w:rPr>
            </w:pPr>
          </w:p>
        </w:tc>
        <w:tc>
          <w:tcPr>
            <w:tcW w:w="2448" w:type="dxa"/>
            <w:noWrap w:val="0"/>
            <w:vAlign w:val="center"/>
          </w:tcPr>
          <w:p>
            <w:pPr>
              <w:shd w:val="clear" w:color="auto" w:fill="auto"/>
              <w:spacing w:line="360" w:lineRule="auto"/>
              <w:jc w:val="center"/>
              <w:rPr>
                <w:rFonts w:ascii="宋体" w:hAnsi="宋体"/>
                <w:color w:val="auto"/>
                <w:sz w:val="21"/>
                <w:szCs w:val="21"/>
                <w:highlight w:val="none"/>
              </w:rPr>
            </w:pPr>
          </w:p>
        </w:tc>
        <w:tc>
          <w:tcPr>
            <w:tcW w:w="1872" w:type="dxa"/>
            <w:noWrap w:val="0"/>
            <w:vAlign w:val="center"/>
          </w:tcPr>
          <w:p>
            <w:pPr>
              <w:shd w:val="clear" w:color="auto" w:fill="auto"/>
              <w:spacing w:line="360" w:lineRule="auto"/>
              <w:jc w:val="center"/>
              <w:rPr>
                <w:rFonts w:ascii="宋体" w:hAnsi="宋体"/>
                <w:color w:val="auto"/>
                <w:sz w:val="21"/>
                <w:szCs w:val="21"/>
                <w:highlight w:val="none"/>
              </w:rPr>
            </w:pPr>
          </w:p>
        </w:tc>
      </w:tr>
    </w:tbl>
    <w:p>
      <w:pPr>
        <w:shd w:val="clear" w:color="auto" w:fill="auto"/>
        <w:snapToGrid w:val="0"/>
        <w:spacing w:before="50"/>
        <w:rPr>
          <w:rFonts w:ascii="宋体" w:hAnsi="宋体"/>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keepNext w:val="0"/>
        <w:keepLines w:val="0"/>
        <w:pageBreakBefore w:val="0"/>
        <w:widowControl w:val="0"/>
        <w:shd w:val="clear" w:color="auto" w:fill="auto"/>
        <w:kinsoku/>
        <w:wordWrap/>
        <w:overflowPunct/>
        <w:topLinePunct w:val="0"/>
        <w:bidi w:val="0"/>
        <w:adjustRightInd/>
        <w:spacing w:line="360" w:lineRule="auto"/>
        <w:ind w:right="180"/>
        <w:jc w:val="right"/>
        <w:textAlignment w:val="auto"/>
        <w:outlineLvl w:val="9"/>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keepNext w:val="0"/>
        <w:keepLines w:val="0"/>
        <w:pageBreakBefore w:val="0"/>
        <w:widowControl w:val="0"/>
        <w:shd w:val="clear" w:color="auto" w:fill="auto"/>
        <w:kinsoku/>
        <w:wordWrap/>
        <w:overflowPunct/>
        <w:topLinePunct w:val="0"/>
        <w:autoSpaceDE/>
        <w:autoSpaceDN/>
        <w:bidi w:val="0"/>
        <w:adjustRightInd/>
        <w:snapToGrid w:val="0"/>
        <w:spacing w:before="50" w:afterLines="50" w:line="360" w:lineRule="auto"/>
        <w:jc w:val="center"/>
        <w:textAlignment w:val="auto"/>
        <w:outlineLvl w:val="9"/>
        <w:rPr>
          <w:rFonts w:hint="eastAsia" w:ascii="宋体" w:hAnsi="宋体" w:cs="宋体"/>
          <w:b/>
          <w:bCs/>
          <w:color w:val="auto"/>
          <w:sz w:val="32"/>
          <w:szCs w:val="32"/>
          <w:highlight w:val="none"/>
        </w:rPr>
      </w:pPr>
      <w:r>
        <w:rPr>
          <w:rFonts w:hint="eastAsia" w:ascii="宋体" w:hAnsi="宋体"/>
          <w:color w:val="auto"/>
          <w:sz w:val="21"/>
          <w:szCs w:val="21"/>
          <w:highlight w:val="none"/>
          <w:u w:val="single"/>
        </w:rPr>
        <w:t>备注填写说明：1、列明采购文件的</w:t>
      </w:r>
      <w:r>
        <w:rPr>
          <w:rFonts w:hint="eastAsia" w:ascii="宋体" w:hAnsi="宋体" w:cs="宋体"/>
          <w:color w:val="auto"/>
          <w:sz w:val="21"/>
          <w:szCs w:val="21"/>
          <w:highlight w:val="none"/>
          <w:u w:val="single"/>
        </w:rPr>
        <w:t>商务条款</w:t>
      </w:r>
      <w:r>
        <w:rPr>
          <w:rFonts w:hint="eastAsia" w:ascii="宋体" w:hAnsi="宋体"/>
          <w:color w:val="auto"/>
          <w:sz w:val="21"/>
          <w:szCs w:val="21"/>
          <w:highlight w:val="none"/>
          <w:u w:val="single"/>
        </w:rPr>
        <w:t>与投标文件对应响应，并说明偏离状况。</w:t>
      </w:r>
      <w:r>
        <w:rPr>
          <w:rFonts w:hint="eastAsia" w:hAnsi="宋体" w:cs="宋体"/>
          <w:b/>
          <w:color w:val="auto"/>
          <w:sz w:val="21"/>
          <w:szCs w:val="21"/>
          <w:highlight w:val="none"/>
        </w:rPr>
        <w:br w:type="page"/>
      </w:r>
    </w:p>
    <w:p>
      <w:pPr>
        <w:keepNext w:val="0"/>
        <w:keepLines w:val="0"/>
        <w:pageBreakBefore w:val="0"/>
        <w:widowControl w:val="0"/>
        <w:shd w:val="clear" w:color="auto" w:fill="auto"/>
        <w:kinsoku/>
        <w:wordWrap/>
        <w:overflowPunct/>
        <w:topLinePunct w:val="0"/>
        <w:autoSpaceDE w:val="0"/>
        <w:autoSpaceDN w:val="0"/>
        <w:bidi w:val="0"/>
        <w:adjustRightInd/>
        <w:snapToGrid w:val="0"/>
        <w:spacing w:before="50"/>
        <w:jc w:val="center"/>
        <w:textAlignment w:val="auto"/>
        <w:outlineLvl w:val="2"/>
        <w:rPr>
          <w:rFonts w:hint="eastAsia"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技术条款偏离表</w:t>
      </w:r>
    </w:p>
    <w:p>
      <w:pPr>
        <w:shd w:val="clear" w:color="auto" w:fill="auto"/>
        <w:snapToGrid w:val="0"/>
        <w:spacing w:before="50"/>
        <w:rPr>
          <w:rFonts w:ascii="宋体" w:hAnsi="宋体"/>
          <w:color w:val="auto"/>
          <w:sz w:val="21"/>
          <w:szCs w:val="21"/>
          <w:highlight w:val="none"/>
          <w:u w:val="single"/>
        </w:rPr>
      </w:pPr>
      <w:r>
        <w:rPr>
          <w:rFonts w:hint="eastAsia" w:ascii="宋体" w:hAnsi="宋体"/>
          <w:color w:val="auto"/>
          <w:sz w:val="21"/>
          <w:szCs w:val="21"/>
          <w:highlight w:val="none"/>
        </w:rPr>
        <w:t xml:space="preserve">项目名称：                      </w:t>
      </w:r>
    </w:p>
    <w:tbl>
      <w:tblPr>
        <w:tblStyle w:val="50"/>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356"/>
        <w:gridCol w:w="212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条款号</w:t>
            </w:r>
          </w:p>
        </w:tc>
        <w:tc>
          <w:tcPr>
            <w:tcW w:w="4356"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采购文件的技术条款</w:t>
            </w: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投标文件的</w:t>
            </w:r>
          </w:p>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响应情况</w:t>
            </w: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说明（偏离</w:t>
            </w:r>
            <w:r>
              <w:rPr>
                <w:rFonts w:ascii="宋体" w:hAnsi="宋体" w:cs="宋体"/>
                <w:color w:val="auto"/>
                <w:sz w:val="21"/>
                <w:szCs w:val="21"/>
                <w:highlight w:val="none"/>
              </w:rPr>
              <w:t>/</w:t>
            </w:r>
            <w:r>
              <w:rPr>
                <w:rFonts w:hint="eastAsia" w:ascii="宋体" w:hAnsi="宋体" w:cs="宋体"/>
                <w:color w:val="auto"/>
                <w:sz w:val="21"/>
                <w:szCs w:val="21"/>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b/>
                <w:bCs/>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b/>
                <w:bCs/>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b/>
                <w:bCs/>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b/>
                <w:bCs/>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26" w:type="dxa"/>
            <w:noWrap w:val="0"/>
            <w:vAlign w:val="center"/>
          </w:tcPr>
          <w:p>
            <w:pPr>
              <w:shd w:val="clear" w:color="auto" w:fill="auto"/>
              <w:spacing w:line="360" w:lineRule="auto"/>
              <w:jc w:val="center"/>
              <w:rPr>
                <w:rFonts w:ascii="宋体" w:hAnsi="宋体"/>
                <w:color w:val="auto"/>
                <w:sz w:val="21"/>
                <w:szCs w:val="21"/>
                <w:highlight w:val="none"/>
              </w:rPr>
            </w:pPr>
          </w:p>
        </w:tc>
        <w:tc>
          <w:tcPr>
            <w:tcW w:w="4356" w:type="dxa"/>
            <w:noWrap w:val="0"/>
            <w:vAlign w:val="center"/>
          </w:tcPr>
          <w:p>
            <w:pPr>
              <w:shd w:val="clear" w:color="auto" w:fill="auto"/>
              <w:spacing w:line="360" w:lineRule="auto"/>
              <w:rPr>
                <w:rFonts w:ascii="宋体" w:hAnsi="宋体"/>
                <w:color w:val="auto"/>
                <w:sz w:val="21"/>
                <w:szCs w:val="21"/>
                <w:highlight w:val="none"/>
              </w:rPr>
            </w:pPr>
          </w:p>
        </w:tc>
        <w:tc>
          <w:tcPr>
            <w:tcW w:w="2124" w:type="dxa"/>
            <w:noWrap w:val="0"/>
            <w:vAlign w:val="center"/>
          </w:tcPr>
          <w:p>
            <w:pPr>
              <w:shd w:val="clear" w:color="auto" w:fill="auto"/>
              <w:spacing w:line="360" w:lineRule="auto"/>
              <w:jc w:val="center"/>
              <w:rPr>
                <w:rFonts w:ascii="宋体" w:hAnsi="宋体"/>
                <w:color w:val="auto"/>
                <w:sz w:val="21"/>
                <w:szCs w:val="21"/>
                <w:highlight w:val="none"/>
              </w:rPr>
            </w:pPr>
          </w:p>
        </w:tc>
        <w:tc>
          <w:tcPr>
            <w:tcW w:w="1956" w:type="dxa"/>
            <w:noWrap w:val="0"/>
            <w:vAlign w:val="center"/>
          </w:tcPr>
          <w:p>
            <w:pPr>
              <w:shd w:val="clear" w:color="auto" w:fill="auto"/>
              <w:spacing w:line="360" w:lineRule="auto"/>
              <w:jc w:val="center"/>
              <w:rPr>
                <w:rFonts w:ascii="宋体" w:hAnsi="宋体"/>
                <w:color w:val="auto"/>
                <w:sz w:val="21"/>
                <w:szCs w:val="21"/>
                <w:highlight w:val="none"/>
              </w:rPr>
            </w:pPr>
          </w:p>
        </w:tc>
      </w:tr>
    </w:tbl>
    <w:p>
      <w:pPr>
        <w:keepNext w:val="0"/>
        <w:keepLines w:val="0"/>
        <w:pageBreakBefore w:val="0"/>
        <w:shd w:val="clear" w:color="auto" w:fill="auto"/>
        <w:kinsoku/>
        <w:wordWrap/>
        <w:overflowPunct/>
        <w:topLinePunct w:val="0"/>
        <w:autoSpaceDE w:val="0"/>
        <w:autoSpaceDN w:val="0"/>
        <w:bidi w:val="0"/>
        <w:adjustRightInd/>
        <w:snapToGrid w:val="0"/>
        <w:ind w:right="0"/>
        <w:jc w:val="both"/>
        <w:textAlignment w:val="auto"/>
        <w:rPr>
          <w:rFonts w:ascii="宋体" w:hAnsi="宋体"/>
          <w:color w:val="auto"/>
          <w:sz w:val="21"/>
          <w:szCs w:val="21"/>
          <w:highlight w:val="none"/>
        </w:rPr>
      </w:pPr>
    </w:p>
    <w:p>
      <w:pPr>
        <w:pStyle w:val="3"/>
        <w:keepNext w:val="0"/>
        <w:keepLines w:val="0"/>
        <w:pageBreakBefore w:val="0"/>
        <w:widowControl/>
        <w:shd w:val="clear" w:color="auto" w:fill="auto"/>
        <w:kinsoku/>
        <w:wordWrap/>
        <w:overflowPunct/>
        <w:topLinePunct w:val="0"/>
        <w:autoSpaceDE w:val="0"/>
        <w:autoSpaceDN w:val="0"/>
        <w:bidi w:val="0"/>
        <w:adjustRightInd/>
        <w:spacing w:line="360" w:lineRule="auto"/>
        <w:ind w:right="0"/>
        <w:jc w:val="both"/>
        <w:textAlignment w:val="auto"/>
        <w:rPr>
          <w:rFonts w:hint="eastAsia" w:hAnsi="宋体" w:cs="宋体"/>
          <w:color w:val="auto"/>
          <w:sz w:val="21"/>
          <w:szCs w:val="21"/>
          <w:highlight w:val="none"/>
        </w:rPr>
      </w:pPr>
      <w:r>
        <w:rPr>
          <w:rFonts w:hint="eastAsia" w:hAnsi="宋体" w:cs="宋体"/>
          <w:color w:val="auto"/>
          <w:sz w:val="21"/>
          <w:szCs w:val="21"/>
          <w:highlight w:val="none"/>
        </w:rPr>
        <w:t>备注填写说明：1、列明采购文件的服务条款与投标文件对应响应，并说明偏离状况。</w:t>
      </w:r>
    </w:p>
    <w:p>
      <w:pPr>
        <w:pStyle w:val="3"/>
        <w:keepNext w:val="0"/>
        <w:keepLines w:val="0"/>
        <w:pageBreakBefore w:val="0"/>
        <w:widowControl/>
        <w:shd w:val="clear" w:color="auto" w:fill="auto"/>
        <w:kinsoku/>
        <w:wordWrap/>
        <w:overflowPunct/>
        <w:topLinePunct w:val="0"/>
        <w:autoSpaceDE w:val="0"/>
        <w:autoSpaceDN w:val="0"/>
        <w:bidi w:val="0"/>
        <w:adjustRightInd/>
        <w:spacing w:line="360" w:lineRule="auto"/>
        <w:ind w:right="0"/>
        <w:jc w:val="both"/>
        <w:textAlignment w:val="auto"/>
        <w:rPr>
          <w:rFonts w:hint="eastAsia" w:hAnsi="宋体" w:cs="宋体"/>
          <w:color w:val="auto"/>
          <w:sz w:val="21"/>
          <w:szCs w:val="21"/>
          <w:highlight w:val="none"/>
        </w:rPr>
      </w:pPr>
    </w:p>
    <w:p>
      <w:pPr>
        <w:pStyle w:val="3"/>
        <w:keepNext w:val="0"/>
        <w:keepLines w:val="0"/>
        <w:pageBreakBefore w:val="0"/>
        <w:widowControl/>
        <w:shd w:val="clear" w:color="auto" w:fill="auto"/>
        <w:kinsoku/>
        <w:wordWrap/>
        <w:overflowPunct/>
        <w:topLinePunct w:val="0"/>
        <w:autoSpaceDE w:val="0"/>
        <w:autoSpaceDN w:val="0"/>
        <w:bidi w:val="0"/>
        <w:adjustRightInd/>
        <w:spacing w:line="360" w:lineRule="auto"/>
        <w:ind w:right="0"/>
        <w:jc w:val="both"/>
        <w:textAlignment w:val="auto"/>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keepNext w:val="0"/>
        <w:keepLines w:val="0"/>
        <w:pageBreakBefore w:val="0"/>
        <w:widowControl/>
        <w:shd w:val="clear" w:color="auto" w:fill="auto"/>
        <w:kinsoku/>
        <w:wordWrap/>
        <w:overflowPunct/>
        <w:topLinePunct w:val="0"/>
        <w:autoSpaceDE w:val="0"/>
        <w:autoSpaceDN w:val="0"/>
        <w:bidi w:val="0"/>
        <w:adjustRightInd/>
        <w:spacing w:line="360" w:lineRule="auto"/>
        <w:ind w:right="0"/>
        <w:jc w:val="both"/>
        <w:textAlignment w:val="auto"/>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keepNext w:val="0"/>
        <w:keepLines w:val="0"/>
        <w:pageBreakBefore w:val="0"/>
        <w:shd w:val="clear" w:color="auto" w:fill="auto"/>
        <w:kinsoku/>
        <w:wordWrap/>
        <w:overflowPunct/>
        <w:topLinePunct w:val="0"/>
        <w:autoSpaceDE w:val="0"/>
        <w:autoSpaceDN w:val="0"/>
        <w:bidi w:val="0"/>
        <w:adjustRightInd/>
        <w:spacing w:line="360" w:lineRule="auto"/>
        <w:ind w:right="0"/>
        <w:jc w:val="both"/>
        <w:textAlignment w:val="auto"/>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shd w:val="clear" w:color="auto" w:fill="auto"/>
        <w:spacing w:line="360" w:lineRule="auto"/>
        <w:ind w:right="180"/>
        <w:jc w:val="right"/>
        <w:rPr>
          <w:rFonts w:ascii="宋体" w:hAnsi="宋体"/>
          <w:color w:val="auto"/>
          <w:sz w:val="22"/>
          <w:szCs w:val="22"/>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outlineLvl w:val="9"/>
        <w:rPr>
          <w:rFonts w:hint="eastAsia" w:ascii="宋体" w:hAnsi="宋体" w:cs="宋体"/>
          <w:b/>
          <w:color w:val="auto"/>
          <w:szCs w:val="21"/>
          <w:highlight w:val="none"/>
        </w:rPr>
      </w:pPr>
    </w:p>
    <w:p>
      <w:pPr>
        <w:pStyle w:val="94"/>
        <w:shd w:val="clear" w:color="auto" w:fill="auto"/>
        <w:rPr>
          <w:rFonts w:hint="eastAsia" w:ascii="宋体" w:hAnsi="宋体" w:cs="宋体"/>
          <w:b/>
          <w:color w:val="auto"/>
          <w:szCs w:val="21"/>
          <w:highlight w:val="none"/>
        </w:rPr>
      </w:pPr>
    </w:p>
    <w:p>
      <w:pPr>
        <w:pStyle w:val="94"/>
        <w:keepNext w:val="0"/>
        <w:keepLines w:val="0"/>
        <w:pageBreakBefore w:val="0"/>
        <w:widowControl w:val="0"/>
        <w:shd w:val="clear" w:color="auto" w:fill="auto"/>
        <w:kinsoku/>
        <w:wordWrap/>
        <w:overflowPunct/>
        <w:topLinePunct w:val="0"/>
        <w:autoSpaceDE/>
        <w:autoSpaceDN/>
        <w:bidi w:val="0"/>
        <w:adjustRightInd/>
        <w:snapToGrid/>
        <w:ind w:left="0" w:leftChars="0" w:firstLine="0" w:firstLineChars="0"/>
        <w:jc w:val="center"/>
        <w:textAlignment w:val="auto"/>
        <w:outlineLvl w:val="2"/>
        <w:rPr>
          <w:rFonts w:hint="eastAsia"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投标人基本情况说明</w:t>
      </w:r>
    </w:p>
    <w:tbl>
      <w:tblPr>
        <w:tblStyle w:val="50"/>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单位名称</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组织机构代码</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注册地址</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注册登记号</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经营地址</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pacing w:val="30"/>
                <w:sz w:val="21"/>
                <w:szCs w:val="21"/>
                <w:highlight w:val="none"/>
              </w:rPr>
            </w:pPr>
            <w:r>
              <w:rPr>
                <w:rFonts w:hint="eastAsia" w:ascii="宋体" w:hAnsi="宋体" w:cs="宋体"/>
                <w:color w:val="auto"/>
                <w:sz w:val="21"/>
                <w:szCs w:val="21"/>
                <w:highlight w:val="none"/>
              </w:rPr>
              <w:t>税务登记证号</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单位性质</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pacing w:val="34"/>
                <w:sz w:val="21"/>
                <w:szCs w:val="21"/>
                <w:highlight w:val="none"/>
              </w:rPr>
              <w:t>注册资本</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经营范围</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营业期限</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资质情况</w:t>
            </w:r>
          </w:p>
        </w:tc>
        <w:tc>
          <w:tcPr>
            <w:tcW w:w="7694" w:type="dxa"/>
            <w:gridSpan w:val="5"/>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员工数量</w:t>
            </w:r>
          </w:p>
        </w:tc>
        <w:tc>
          <w:tcPr>
            <w:tcW w:w="7694" w:type="dxa"/>
            <w:gridSpan w:val="5"/>
            <w:noWrap w:val="0"/>
            <w:vAlign w:val="center"/>
          </w:tcPr>
          <w:p>
            <w:pPr>
              <w:shd w:val="clear" w:color="auto" w:fill="auto"/>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人，其中，高级职称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人，中级职称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联系电话</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传真</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主要业绩</w:t>
            </w:r>
          </w:p>
        </w:tc>
        <w:tc>
          <w:tcPr>
            <w:tcW w:w="7694" w:type="dxa"/>
            <w:gridSpan w:val="5"/>
            <w:noWrap w:val="0"/>
            <w:vAlign w:val="center"/>
          </w:tcPr>
          <w:p>
            <w:pPr>
              <w:shd w:val="clear" w:color="auto" w:fill="auto"/>
              <w:spacing w:line="360" w:lineRule="auto"/>
              <w:rPr>
                <w:rFonts w:ascii="宋体" w:hAnsi="宋体" w:cs="宋体"/>
                <w:color w:val="auto"/>
                <w:sz w:val="21"/>
                <w:szCs w:val="21"/>
                <w:highlight w:val="none"/>
              </w:rPr>
            </w:pPr>
          </w:p>
          <w:p>
            <w:pPr>
              <w:shd w:val="clear" w:color="auto" w:fill="auto"/>
              <w:spacing w:line="360" w:lineRule="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64" w:type="dxa"/>
            <w:gridSpan w:val="6"/>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姓  名</w:t>
            </w:r>
          </w:p>
        </w:tc>
        <w:tc>
          <w:tcPr>
            <w:tcW w:w="3675" w:type="dxa"/>
            <w:gridSpan w:val="3"/>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身份证号码</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职  务</w:t>
            </w:r>
          </w:p>
        </w:tc>
        <w:tc>
          <w:tcPr>
            <w:tcW w:w="1680" w:type="dxa"/>
            <w:noWrap w:val="0"/>
            <w:vAlign w:val="center"/>
          </w:tcPr>
          <w:p>
            <w:pPr>
              <w:shd w:val="clear" w:color="auto" w:fill="auto"/>
              <w:spacing w:line="360" w:lineRule="auto"/>
              <w:jc w:val="center"/>
              <w:rPr>
                <w:rFonts w:ascii="宋体" w:hAnsi="宋体" w:cs="宋体"/>
                <w:color w:val="auto"/>
                <w:sz w:val="21"/>
                <w:szCs w:val="21"/>
                <w:highlight w:val="none"/>
              </w:rPr>
            </w:pPr>
          </w:p>
        </w:tc>
        <w:tc>
          <w:tcPr>
            <w:tcW w:w="1050"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职   称</w:t>
            </w:r>
          </w:p>
        </w:tc>
        <w:tc>
          <w:tcPr>
            <w:tcW w:w="945" w:type="dxa"/>
            <w:noWrap w:val="0"/>
            <w:vAlign w:val="center"/>
          </w:tcPr>
          <w:p>
            <w:pPr>
              <w:shd w:val="clear" w:color="auto" w:fill="auto"/>
              <w:spacing w:line="360" w:lineRule="auto"/>
              <w:jc w:val="center"/>
              <w:rPr>
                <w:rFonts w:ascii="宋体" w:hAnsi="宋体" w:cs="宋体"/>
                <w:color w:val="auto"/>
                <w:sz w:val="21"/>
                <w:szCs w:val="21"/>
                <w:highlight w:val="none"/>
              </w:rPr>
            </w:pPr>
          </w:p>
        </w:tc>
        <w:tc>
          <w:tcPr>
            <w:tcW w:w="1785" w:type="dxa"/>
            <w:noWrap w:val="0"/>
            <w:vAlign w:val="center"/>
          </w:tcPr>
          <w:p>
            <w:pPr>
              <w:shd w:val="clear" w:color="auto" w:fill="auto"/>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学    历</w:t>
            </w:r>
          </w:p>
        </w:tc>
        <w:tc>
          <w:tcPr>
            <w:tcW w:w="2234" w:type="dxa"/>
            <w:noWrap w:val="0"/>
            <w:vAlign w:val="center"/>
          </w:tcPr>
          <w:p>
            <w:pPr>
              <w:shd w:val="clear" w:color="auto" w:fill="auto"/>
              <w:spacing w:line="360" w:lineRule="auto"/>
              <w:jc w:val="cente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164" w:type="dxa"/>
            <w:gridSpan w:val="6"/>
            <w:noWrap w:val="0"/>
            <w:vAlign w:val="top"/>
          </w:tcPr>
          <w:p>
            <w:pPr>
              <w:shd w:val="clear" w:color="auto" w:fill="auto"/>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备注:</w:t>
            </w:r>
          </w:p>
        </w:tc>
      </w:tr>
    </w:tbl>
    <w:p>
      <w:pPr>
        <w:shd w:val="clear" w:color="auto" w:fill="auto"/>
        <w:spacing w:line="360" w:lineRule="auto"/>
        <w:rPr>
          <w:rFonts w:ascii="宋体" w:hAnsi="宋体" w:cs="宋体"/>
          <w:b/>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b/>
          <w:color w:val="auto"/>
          <w:sz w:val="21"/>
          <w:szCs w:val="21"/>
          <w:highlight w:val="none"/>
        </w:rPr>
        <w:t>兹证明上述声明是真实、正确的，并提供了全部能提供的资料和数据，我们同意遵照贵方要求出示有关证明文件。</w:t>
      </w:r>
    </w:p>
    <w:p>
      <w:pPr>
        <w:shd w:val="clear" w:color="auto" w:fill="auto"/>
        <w:spacing w:line="360" w:lineRule="auto"/>
        <w:rPr>
          <w:rFonts w:ascii="宋体" w:hAnsi="宋体" w:cs="宋体"/>
          <w:b/>
          <w:color w:val="auto"/>
          <w:sz w:val="21"/>
          <w:szCs w:val="21"/>
          <w:highlight w:val="none"/>
        </w:rPr>
      </w:pPr>
    </w:p>
    <w:p>
      <w:pPr>
        <w:shd w:val="clear" w:color="auto" w:fill="auto"/>
        <w:rPr>
          <w:rFonts w:ascii="宋体" w:hAnsi="宋体" w:cs="宋体"/>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right="-330" w:rightChars="-150"/>
        <w:jc w:val="center"/>
        <w:textAlignment w:val="auto"/>
        <w:outlineLvl w:val="2"/>
        <w:rPr>
          <w:b/>
          <w:color w:val="auto"/>
          <w:sz w:val="32"/>
          <w:szCs w:val="32"/>
          <w:highlight w:val="none"/>
        </w:rPr>
      </w:pPr>
      <w:r>
        <w:rPr>
          <w:rFonts w:hint="eastAsia" w:hAnsi="宋体" w:cs="宋体"/>
          <w:color w:val="auto"/>
          <w:szCs w:val="21"/>
          <w:highlight w:val="none"/>
        </w:rPr>
        <w:br w:type="page"/>
      </w:r>
      <w:r>
        <w:rPr>
          <w:rFonts w:hint="eastAsia" w:ascii="宋体" w:hAnsi="宋体"/>
          <w:b/>
          <w:color w:val="auto"/>
          <w:kern w:val="0"/>
          <w:sz w:val="32"/>
          <w:szCs w:val="32"/>
          <w:highlight w:val="none"/>
        </w:rPr>
        <w:t>拟投入本项目服务人员情况</w:t>
      </w:r>
      <w:r>
        <w:rPr>
          <w:rFonts w:hint="eastAsia"/>
          <w:b/>
          <w:color w:val="auto"/>
          <w:sz w:val="32"/>
          <w:szCs w:val="32"/>
          <w:highlight w:val="none"/>
        </w:rPr>
        <w:t>表</w:t>
      </w:r>
    </w:p>
    <w:p>
      <w:pPr>
        <w:shd w:val="clear" w:color="auto" w:fill="auto"/>
        <w:adjustRightInd w:val="0"/>
        <w:snapToGrid w:val="0"/>
        <w:spacing w:line="400" w:lineRule="exact"/>
        <w:rPr>
          <w:rFonts w:ascii="宋体" w:hAnsi="宋体"/>
          <w:color w:val="auto"/>
          <w:sz w:val="21"/>
          <w:szCs w:val="21"/>
          <w:highlight w:val="none"/>
          <w:u w:val="single"/>
        </w:rPr>
      </w:pPr>
      <w:r>
        <w:rPr>
          <w:rFonts w:hint="eastAsia" w:ascii="宋体" w:hAnsi="宋体"/>
          <w:color w:val="auto"/>
          <w:sz w:val="21"/>
          <w:szCs w:val="21"/>
          <w:highlight w:val="none"/>
        </w:rPr>
        <w:t>项目名称：</w:t>
      </w:r>
      <w:r>
        <w:rPr>
          <w:rFonts w:hint="eastAsia" w:ascii="宋体" w:hAnsi="宋体"/>
          <w:color w:val="auto"/>
          <w:sz w:val="21"/>
          <w:szCs w:val="21"/>
          <w:highlight w:val="none"/>
          <w:u w:val="single"/>
        </w:rPr>
        <w:t xml:space="preserve">                     </w:t>
      </w:r>
    </w:p>
    <w:tbl>
      <w:tblPr>
        <w:tblStyle w:val="50"/>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981"/>
        <w:gridCol w:w="981"/>
        <w:gridCol w:w="851"/>
        <w:gridCol w:w="992"/>
        <w:gridCol w:w="851"/>
        <w:gridCol w:w="1134"/>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vMerge w:val="restart"/>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职务</w:t>
            </w:r>
          </w:p>
        </w:tc>
        <w:tc>
          <w:tcPr>
            <w:tcW w:w="981" w:type="dxa"/>
            <w:vMerge w:val="restart"/>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姓名</w:t>
            </w:r>
          </w:p>
        </w:tc>
        <w:tc>
          <w:tcPr>
            <w:tcW w:w="981" w:type="dxa"/>
            <w:vMerge w:val="restart"/>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职称</w:t>
            </w:r>
          </w:p>
        </w:tc>
        <w:tc>
          <w:tcPr>
            <w:tcW w:w="3828" w:type="dxa"/>
            <w:gridSpan w:val="4"/>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执业或职业资格证明</w:t>
            </w:r>
          </w:p>
        </w:tc>
        <w:tc>
          <w:tcPr>
            <w:tcW w:w="1417" w:type="dxa"/>
            <w:vMerge w:val="restart"/>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从业经验</w:t>
            </w:r>
          </w:p>
        </w:tc>
        <w:tc>
          <w:tcPr>
            <w:tcW w:w="1418" w:type="dxa"/>
            <w:vMerge w:val="restart"/>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vMerge w:val="continue"/>
            <w:noWrap w:val="0"/>
            <w:vAlign w:val="center"/>
          </w:tcPr>
          <w:p>
            <w:pPr>
              <w:shd w:val="clear" w:color="auto" w:fill="auto"/>
              <w:spacing w:line="360" w:lineRule="auto"/>
              <w:jc w:val="center"/>
              <w:rPr>
                <w:rFonts w:ascii="宋体" w:hAnsi="宋体"/>
                <w:color w:val="auto"/>
                <w:sz w:val="21"/>
                <w:szCs w:val="21"/>
                <w:highlight w:val="none"/>
              </w:rPr>
            </w:pPr>
          </w:p>
        </w:tc>
        <w:tc>
          <w:tcPr>
            <w:tcW w:w="981" w:type="dxa"/>
            <w:vMerge w:val="continue"/>
            <w:noWrap w:val="0"/>
            <w:vAlign w:val="center"/>
          </w:tcPr>
          <w:p>
            <w:pPr>
              <w:shd w:val="clear" w:color="auto" w:fill="auto"/>
              <w:spacing w:line="360" w:lineRule="auto"/>
              <w:jc w:val="center"/>
              <w:rPr>
                <w:rFonts w:ascii="宋体" w:hAnsi="宋体"/>
                <w:color w:val="auto"/>
                <w:sz w:val="21"/>
                <w:szCs w:val="21"/>
                <w:highlight w:val="none"/>
              </w:rPr>
            </w:pPr>
          </w:p>
        </w:tc>
        <w:tc>
          <w:tcPr>
            <w:tcW w:w="981" w:type="dxa"/>
            <w:vMerge w:val="continue"/>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证书名称</w:t>
            </w:r>
          </w:p>
        </w:tc>
        <w:tc>
          <w:tcPr>
            <w:tcW w:w="992"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级别</w:t>
            </w:r>
          </w:p>
        </w:tc>
        <w:tc>
          <w:tcPr>
            <w:tcW w:w="851"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证号</w:t>
            </w: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专业</w:t>
            </w:r>
          </w:p>
        </w:tc>
        <w:tc>
          <w:tcPr>
            <w:tcW w:w="1417" w:type="dxa"/>
            <w:vMerge w:val="continue"/>
            <w:noWrap w:val="0"/>
            <w:vAlign w:val="center"/>
          </w:tcPr>
          <w:p>
            <w:pPr>
              <w:shd w:val="clear" w:color="auto" w:fill="auto"/>
              <w:spacing w:line="360" w:lineRule="auto"/>
              <w:jc w:val="center"/>
              <w:rPr>
                <w:rFonts w:ascii="宋体" w:hAnsi="宋体"/>
                <w:color w:val="auto"/>
                <w:sz w:val="21"/>
                <w:szCs w:val="21"/>
                <w:highlight w:val="none"/>
              </w:rPr>
            </w:pPr>
          </w:p>
        </w:tc>
        <w:tc>
          <w:tcPr>
            <w:tcW w:w="1418" w:type="dxa"/>
            <w:vMerge w:val="continue"/>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981"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992" w:type="dxa"/>
            <w:noWrap w:val="0"/>
            <w:vAlign w:val="center"/>
          </w:tcPr>
          <w:p>
            <w:pPr>
              <w:shd w:val="clear" w:color="auto" w:fill="auto"/>
              <w:spacing w:line="360" w:lineRule="auto"/>
              <w:jc w:val="center"/>
              <w:rPr>
                <w:rFonts w:ascii="宋体" w:hAnsi="宋体"/>
                <w:color w:val="auto"/>
                <w:sz w:val="21"/>
                <w:szCs w:val="21"/>
                <w:highlight w:val="none"/>
              </w:rPr>
            </w:pPr>
          </w:p>
        </w:tc>
        <w:tc>
          <w:tcPr>
            <w:tcW w:w="851" w:type="dxa"/>
            <w:noWrap w:val="0"/>
            <w:vAlign w:val="center"/>
          </w:tcPr>
          <w:p>
            <w:pPr>
              <w:shd w:val="clear" w:color="auto" w:fill="auto"/>
              <w:spacing w:line="360" w:lineRule="auto"/>
              <w:jc w:val="center"/>
              <w:rPr>
                <w:rFonts w:ascii="宋体" w:hAnsi="宋体"/>
                <w:color w:val="auto"/>
                <w:sz w:val="21"/>
                <w:szCs w:val="21"/>
                <w:highlight w:val="none"/>
              </w:rPr>
            </w:pPr>
          </w:p>
        </w:tc>
        <w:tc>
          <w:tcPr>
            <w:tcW w:w="1134" w:type="dxa"/>
            <w:noWrap w:val="0"/>
            <w:vAlign w:val="center"/>
          </w:tcPr>
          <w:p>
            <w:pPr>
              <w:shd w:val="clear" w:color="auto" w:fill="auto"/>
              <w:spacing w:line="360" w:lineRule="auto"/>
              <w:jc w:val="center"/>
              <w:rPr>
                <w:rFonts w:ascii="宋体" w:hAnsi="宋体"/>
                <w:color w:val="auto"/>
                <w:sz w:val="21"/>
                <w:szCs w:val="21"/>
                <w:highlight w:val="none"/>
              </w:rPr>
            </w:pPr>
          </w:p>
        </w:tc>
        <w:tc>
          <w:tcPr>
            <w:tcW w:w="1417" w:type="dxa"/>
            <w:noWrap w:val="0"/>
            <w:vAlign w:val="center"/>
          </w:tcPr>
          <w:p>
            <w:pPr>
              <w:shd w:val="clear" w:color="auto" w:fill="auto"/>
              <w:spacing w:line="360" w:lineRule="auto"/>
              <w:jc w:val="center"/>
              <w:rPr>
                <w:rFonts w:ascii="宋体" w:hAnsi="宋体"/>
                <w:color w:val="auto"/>
                <w:sz w:val="21"/>
                <w:szCs w:val="21"/>
                <w:highlight w:val="none"/>
              </w:rPr>
            </w:pPr>
          </w:p>
        </w:tc>
        <w:tc>
          <w:tcPr>
            <w:tcW w:w="1418" w:type="dxa"/>
            <w:noWrap w:val="0"/>
            <w:vAlign w:val="top"/>
          </w:tcPr>
          <w:p>
            <w:pPr>
              <w:shd w:val="clear" w:color="auto" w:fill="auto"/>
              <w:spacing w:line="360" w:lineRule="auto"/>
              <w:jc w:val="center"/>
              <w:rPr>
                <w:rFonts w:ascii="宋体" w:hAnsi="宋体"/>
                <w:color w:val="auto"/>
                <w:sz w:val="21"/>
                <w:szCs w:val="21"/>
                <w:highlight w:val="none"/>
              </w:rPr>
            </w:pPr>
          </w:p>
        </w:tc>
      </w:tr>
    </w:tbl>
    <w:p>
      <w:pPr>
        <w:shd w:val="clear" w:color="auto" w:fill="auto"/>
        <w:spacing w:line="360" w:lineRule="auto"/>
        <w:rPr>
          <w:rFonts w:ascii="宋体" w:hAnsi="宋体"/>
          <w:color w:val="auto"/>
          <w:sz w:val="21"/>
          <w:szCs w:val="21"/>
          <w:highlight w:val="none"/>
        </w:rPr>
      </w:pPr>
      <w:r>
        <w:rPr>
          <w:rFonts w:hint="eastAsia" w:ascii="宋体" w:hAnsi="宋体"/>
          <w:color w:val="auto"/>
          <w:sz w:val="21"/>
          <w:szCs w:val="21"/>
          <w:highlight w:val="none"/>
        </w:rPr>
        <w:t>注：后附相关人员证书复印件、从业</w:t>
      </w:r>
      <w:r>
        <w:rPr>
          <w:rFonts w:hint="eastAsia" w:ascii="宋体" w:hAnsi="宋体"/>
          <w:color w:val="auto"/>
          <w:kern w:val="0"/>
          <w:sz w:val="21"/>
          <w:szCs w:val="21"/>
          <w:highlight w:val="none"/>
        </w:rPr>
        <w:t>经验证明资料复印件等，以便评委酌情打分</w:t>
      </w:r>
      <w:r>
        <w:rPr>
          <w:rFonts w:hint="eastAsia" w:ascii="宋体" w:hAnsi="宋体"/>
          <w:color w:val="auto"/>
          <w:sz w:val="21"/>
          <w:szCs w:val="21"/>
          <w:highlight w:val="none"/>
        </w:rPr>
        <w:t>。</w:t>
      </w:r>
    </w:p>
    <w:p>
      <w:pPr>
        <w:shd w:val="clear" w:color="auto" w:fill="auto"/>
        <w:adjustRightInd w:val="0"/>
        <w:snapToGrid w:val="0"/>
        <w:spacing w:line="400" w:lineRule="exact"/>
        <w:rPr>
          <w:rFonts w:ascii="宋体" w:hAnsi="宋体"/>
          <w:color w:val="auto"/>
          <w:sz w:val="21"/>
          <w:szCs w:val="21"/>
          <w:highlight w:val="none"/>
          <w:u w:val="singl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outlineLvl w:val="2"/>
        <w:rPr>
          <w:rFonts w:ascii="Arial" w:hAnsi="Arial"/>
          <w:b/>
          <w:color w:val="auto"/>
          <w:sz w:val="32"/>
          <w:szCs w:val="32"/>
          <w:highlight w:val="none"/>
        </w:rPr>
      </w:pPr>
      <w:r>
        <w:rPr>
          <w:rFonts w:hint="eastAsia" w:hAnsi="宋体" w:cs="宋体"/>
          <w:color w:val="auto"/>
          <w:sz w:val="21"/>
          <w:szCs w:val="21"/>
          <w:highlight w:val="none"/>
        </w:rPr>
        <w:br w:type="page"/>
      </w:r>
      <w:r>
        <w:rPr>
          <w:rFonts w:hint="eastAsia" w:ascii="Arial" w:hAnsi="Arial"/>
          <w:b/>
          <w:color w:val="auto"/>
          <w:sz w:val="32"/>
          <w:szCs w:val="32"/>
          <w:highlight w:val="none"/>
        </w:rPr>
        <w:t>项目业绩表</w:t>
      </w:r>
    </w:p>
    <w:p>
      <w:pPr>
        <w:shd w:val="clear" w:color="auto" w:fill="auto"/>
        <w:spacing w:line="360" w:lineRule="auto"/>
        <w:ind w:firstLine="3089"/>
        <w:rPr>
          <w:rFonts w:ascii="Arial" w:hAnsi="Arial"/>
          <w:b/>
          <w:color w:val="auto"/>
          <w:sz w:val="24"/>
          <w:szCs w:val="21"/>
          <w:highlight w:val="none"/>
        </w:rPr>
      </w:pPr>
    </w:p>
    <w:p>
      <w:pPr>
        <w:shd w:val="clear" w:color="auto" w:fill="auto"/>
        <w:spacing w:line="360" w:lineRule="auto"/>
        <w:rPr>
          <w:rFonts w:ascii="Arial" w:hAnsi="Arial"/>
          <w:color w:val="auto"/>
          <w:sz w:val="21"/>
          <w:szCs w:val="21"/>
          <w:highlight w:val="none"/>
          <w:u w:val="single"/>
        </w:rPr>
      </w:pPr>
      <w:r>
        <w:rPr>
          <w:rFonts w:hint="eastAsia" w:ascii="Arial" w:hAnsi="Arial"/>
          <w:color w:val="auto"/>
          <w:sz w:val="21"/>
          <w:szCs w:val="21"/>
          <w:highlight w:val="none"/>
        </w:rPr>
        <w:t>项目名称：</w:t>
      </w:r>
      <w:r>
        <w:rPr>
          <w:rFonts w:hint="eastAsia" w:ascii="Arial" w:hAnsi="Arial"/>
          <w:color w:val="auto"/>
          <w:sz w:val="21"/>
          <w:szCs w:val="21"/>
          <w:highlight w:val="none"/>
          <w:u w:val="single"/>
        </w:rPr>
        <w:t xml:space="preserve">                                       </w:t>
      </w:r>
      <w:r>
        <w:rPr>
          <w:rFonts w:hint="eastAsia" w:ascii="Arial" w:hAnsi="Arial"/>
          <w:color w:val="auto"/>
          <w:sz w:val="21"/>
          <w:szCs w:val="21"/>
          <w:highlight w:val="none"/>
        </w:rPr>
        <w:t xml:space="preserve"> 招标编号：</w:t>
      </w:r>
      <w:r>
        <w:rPr>
          <w:rFonts w:hint="eastAsia" w:ascii="Arial" w:hAnsi="Arial"/>
          <w:color w:val="auto"/>
          <w:sz w:val="21"/>
          <w:szCs w:val="21"/>
          <w:highlight w:val="none"/>
          <w:u w:val="single"/>
        </w:rPr>
        <w:t xml:space="preserve">                   </w:t>
      </w:r>
    </w:p>
    <w:tbl>
      <w:tblPr>
        <w:tblStyle w:val="50"/>
        <w:tblW w:w="91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2"/>
        <w:gridCol w:w="2159"/>
        <w:gridCol w:w="1570"/>
        <w:gridCol w:w="1962"/>
        <w:gridCol w:w="2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02" w:type="dxa"/>
            <w:noWrap w:val="0"/>
            <w:vAlign w:val="center"/>
          </w:tcPr>
          <w:p>
            <w:pPr>
              <w:shd w:val="clear" w:color="auto" w:fill="auto"/>
              <w:snapToGrid w:val="0"/>
              <w:jc w:val="center"/>
              <w:rPr>
                <w:rFonts w:ascii="Arial" w:hAnsi="Arial"/>
                <w:b/>
                <w:color w:val="auto"/>
                <w:sz w:val="21"/>
                <w:szCs w:val="21"/>
                <w:highlight w:val="none"/>
              </w:rPr>
            </w:pPr>
            <w:r>
              <w:rPr>
                <w:rFonts w:hint="eastAsia" w:ascii="Arial" w:hAnsi="Arial"/>
                <w:b/>
                <w:color w:val="auto"/>
                <w:sz w:val="21"/>
                <w:szCs w:val="21"/>
                <w:highlight w:val="none"/>
              </w:rPr>
              <w:t>序号</w:t>
            </w:r>
          </w:p>
        </w:tc>
        <w:tc>
          <w:tcPr>
            <w:tcW w:w="2159" w:type="dxa"/>
            <w:noWrap w:val="0"/>
            <w:vAlign w:val="center"/>
          </w:tcPr>
          <w:p>
            <w:pPr>
              <w:shd w:val="clear" w:color="auto" w:fill="auto"/>
              <w:snapToGrid w:val="0"/>
              <w:jc w:val="center"/>
              <w:rPr>
                <w:rFonts w:ascii="Arial" w:hAnsi="Arial"/>
                <w:b/>
                <w:color w:val="auto"/>
                <w:sz w:val="21"/>
                <w:szCs w:val="21"/>
                <w:highlight w:val="none"/>
              </w:rPr>
            </w:pPr>
            <w:r>
              <w:rPr>
                <w:rFonts w:hint="eastAsia" w:ascii="Arial" w:hAnsi="Arial"/>
                <w:b/>
                <w:color w:val="auto"/>
                <w:sz w:val="21"/>
                <w:szCs w:val="21"/>
                <w:highlight w:val="none"/>
              </w:rPr>
              <w:t>项目名称</w:t>
            </w:r>
          </w:p>
        </w:tc>
        <w:tc>
          <w:tcPr>
            <w:tcW w:w="1570" w:type="dxa"/>
            <w:noWrap w:val="0"/>
            <w:vAlign w:val="center"/>
          </w:tcPr>
          <w:p>
            <w:pPr>
              <w:shd w:val="clear" w:color="auto" w:fill="auto"/>
              <w:snapToGrid w:val="0"/>
              <w:jc w:val="center"/>
              <w:rPr>
                <w:rFonts w:ascii="Arial" w:hAnsi="Arial"/>
                <w:b/>
                <w:color w:val="auto"/>
                <w:sz w:val="21"/>
                <w:szCs w:val="21"/>
                <w:highlight w:val="none"/>
              </w:rPr>
            </w:pPr>
            <w:r>
              <w:rPr>
                <w:rFonts w:hint="eastAsia" w:ascii="Arial" w:hAnsi="Arial"/>
                <w:b/>
                <w:color w:val="auto"/>
                <w:sz w:val="21"/>
                <w:szCs w:val="21"/>
                <w:highlight w:val="none"/>
              </w:rPr>
              <w:t>合同签订时间</w:t>
            </w:r>
          </w:p>
        </w:tc>
        <w:tc>
          <w:tcPr>
            <w:tcW w:w="1962" w:type="dxa"/>
            <w:noWrap w:val="0"/>
            <w:vAlign w:val="center"/>
          </w:tcPr>
          <w:p>
            <w:pPr>
              <w:shd w:val="clear" w:color="auto" w:fill="auto"/>
              <w:snapToGrid w:val="0"/>
              <w:jc w:val="center"/>
              <w:rPr>
                <w:rFonts w:ascii="Arial" w:hAnsi="Arial"/>
                <w:b/>
                <w:color w:val="auto"/>
                <w:sz w:val="21"/>
                <w:szCs w:val="21"/>
                <w:highlight w:val="none"/>
              </w:rPr>
            </w:pPr>
            <w:r>
              <w:rPr>
                <w:rFonts w:hint="eastAsia" w:ascii="Arial" w:hAnsi="Arial"/>
                <w:b/>
                <w:color w:val="auto"/>
                <w:sz w:val="21"/>
                <w:szCs w:val="21"/>
                <w:highlight w:val="none"/>
              </w:rPr>
              <w:t>金额</w:t>
            </w:r>
          </w:p>
        </w:tc>
        <w:tc>
          <w:tcPr>
            <w:tcW w:w="2885" w:type="dxa"/>
            <w:noWrap w:val="0"/>
            <w:vAlign w:val="center"/>
          </w:tcPr>
          <w:p>
            <w:pPr>
              <w:shd w:val="clear" w:color="auto" w:fill="auto"/>
              <w:snapToGrid w:val="0"/>
              <w:jc w:val="center"/>
              <w:rPr>
                <w:rFonts w:ascii="Arial" w:hAnsi="Arial"/>
                <w:b/>
                <w:color w:val="auto"/>
                <w:sz w:val="21"/>
                <w:szCs w:val="21"/>
                <w:highlight w:val="none"/>
              </w:rPr>
            </w:pPr>
            <w:r>
              <w:rPr>
                <w:rFonts w:hint="eastAsia" w:ascii="Arial" w:hAnsi="Arial"/>
                <w:b/>
                <w:color w:val="auto"/>
                <w:sz w:val="21"/>
                <w:szCs w:val="21"/>
                <w:highlight w:val="none"/>
              </w:rPr>
              <w:t>项目甲方联系人/联系电话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jc w:val="center"/>
              <w:rPr>
                <w:rFonts w:ascii="Arial" w:hAnsi="Arial"/>
                <w:color w:val="auto"/>
                <w:sz w:val="21"/>
                <w:szCs w:val="21"/>
                <w:highlight w:val="none"/>
              </w:rPr>
            </w:pPr>
            <w:r>
              <w:rPr>
                <w:rFonts w:hint="eastAsia" w:ascii="Arial" w:hAnsi="Arial"/>
                <w:color w:val="auto"/>
                <w:sz w:val="21"/>
                <w:szCs w:val="21"/>
                <w:highlight w:val="none"/>
              </w:rPr>
              <w:t>1</w:t>
            </w: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snapToGrid w:val="0"/>
              <w:rPr>
                <w:rFonts w:ascii="Arial" w:hAnsi="Arial"/>
                <w:color w:val="auto"/>
                <w:sz w:val="21"/>
                <w:szCs w:val="21"/>
                <w:highlight w:val="none"/>
              </w:rPr>
            </w:pPr>
          </w:p>
        </w:tc>
        <w:tc>
          <w:tcPr>
            <w:tcW w:w="1962" w:type="dxa"/>
            <w:noWrap w:val="0"/>
            <w:vAlign w:val="center"/>
          </w:tcPr>
          <w:p>
            <w:pPr>
              <w:shd w:val="clear" w:color="auto" w:fill="auto"/>
              <w:snapToGrid w:val="0"/>
              <w:rPr>
                <w:rFonts w:ascii="Arial" w:hAnsi="Arial"/>
                <w:color w:val="auto"/>
                <w:sz w:val="21"/>
                <w:szCs w:val="21"/>
                <w:highlight w:val="none"/>
              </w:rPr>
            </w:pPr>
          </w:p>
        </w:tc>
        <w:tc>
          <w:tcPr>
            <w:tcW w:w="2885" w:type="dxa"/>
            <w:noWrap w:val="0"/>
            <w:vAlign w:val="center"/>
          </w:tcPr>
          <w:p>
            <w:pPr>
              <w:shd w:val="clear" w:color="auto" w:fill="auto"/>
              <w:snapToGrid w:val="0"/>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pacing w:line="360" w:lineRule="exact"/>
              <w:jc w:val="center"/>
              <w:rPr>
                <w:rFonts w:ascii="Arial" w:hAnsi="Arial"/>
                <w:color w:val="auto"/>
                <w:sz w:val="21"/>
                <w:szCs w:val="21"/>
                <w:highlight w:val="none"/>
              </w:rPr>
            </w:pPr>
            <w:r>
              <w:rPr>
                <w:rFonts w:hint="eastAsia" w:ascii="Arial" w:hAnsi="Arial"/>
                <w:color w:val="auto"/>
                <w:sz w:val="21"/>
                <w:szCs w:val="21"/>
                <w:highlight w:val="none"/>
              </w:rPr>
              <w:t>2</w:t>
            </w: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snapToGrid w:val="0"/>
              <w:rPr>
                <w:rFonts w:ascii="Arial" w:hAnsi="Arial"/>
                <w:color w:val="auto"/>
                <w:sz w:val="21"/>
                <w:szCs w:val="21"/>
                <w:highlight w:val="none"/>
              </w:rPr>
            </w:pPr>
          </w:p>
        </w:tc>
        <w:tc>
          <w:tcPr>
            <w:tcW w:w="1962" w:type="dxa"/>
            <w:noWrap w:val="0"/>
            <w:vAlign w:val="center"/>
          </w:tcPr>
          <w:p>
            <w:pPr>
              <w:shd w:val="clear" w:color="auto" w:fill="auto"/>
              <w:snapToGrid w:val="0"/>
              <w:rPr>
                <w:rFonts w:ascii="Arial" w:hAnsi="Arial"/>
                <w:color w:val="auto"/>
                <w:sz w:val="21"/>
                <w:szCs w:val="21"/>
                <w:highlight w:val="none"/>
              </w:rPr>
            </w:pPr>
          </w:p>
        </w:tc>
        <w:tc>
          <w:tcPr>
            <w:tcW w:w="2885" w:type="dxa"/>
            <w:noWrap w:val="0"/>
            <w:vAlign w:val="center"/>
          </w:tcPr>
          <w:p>
            <w:pPr>
              <w:shd w:val="clear" w:color="auto" w:fill="auto"/>
              <w:snapToGrid w:val="0"/>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jc w:val="center"/>
              <w:rPr>
                <w:rFonts w:ascii="Arial" w:hAnsi="Arial"/>
                <w:color w:val="auto"/>
                <w:sz w:val="21"/>
                <w:szCs w:val="21"/>
                <w:highlight w:val="none"/>
              </w:rPr>
            </w:pPr>
            <w:r>
              <w:rPr>
                <w:rFonts w:hint="eastAsia" w:ascii="Arial" w:hAnsi="Arial"/>
                <w:color w:val="auto"/>
                <w:sz w:val="21"/>
                <w:szCs w:val="21"/>
                <w:highlight w:val="none"/>
              </w:rPr>
              <w:t>3</w:t>
            </w: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jc w:val="center"/>
              <w:rPr>
                <w:rFonts w:ascii="Arial" w:hAnsi="Arial"/>
                <w:color w:val="auto"/>
                <w:sz w:val="21"/>
                <w:szCs w:val="21"/>
                <w:highlight w:val="none"/>
              </w:rPr>
            </w:pPr>
          </w:p>
        </w:tc>
        <w:tc>
          <w:tcPr>
            <w:tcW w:w="1962" w:type="dxa"/>
            <w:noWrap w:val="0"/>
            <w:vAlign w:val="center"/>
          </w:tcPr>
          <w:p>
            <w:pPr>
              <w:shd w:val="clear" w:color="auto" w:fill="auto"/>
              <w:jc w:val="center"/>
              <w:rPr>
                <w:rFonts w:ascii="Arial" w:hAnsi="Arial"/>
                <w:color w:val="auto"/>
                <w:sz w:val="21"/>
                <w:szCs w:val="21"/>
                <w:highlight w:val="none"/>
              </w:rPr>
            </w:pPr>
          </w:p>
        </w:tc>
        <w:tc>
          <w:tcPr>
            <w:tcW w:w="2885" w:type="dxa"/>
            <w:noWrap w:val="0"/>
            <w:vAlign w:val="center"/>
          </w:tcPr>
          <w:p>
            <w:pPr>
              <w:shd w:val="clear" w:color="auto" w:fill="auto"/>
              <w:jc w:val="center"/>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jc w:val="center"/>
              <w:rPr>
                <w:rFonts w:ascii="Arial" w:hAnsi="Arial"/>
                <w:color w:val="auto"/>
                <w:sz w:val="21"/>
                <w:szCs w:val="21"/>
                <w:highlight w:val="none"/>
              </w:rPr>
            </w:pPr>
            <w:r>
              <w:rPr>
                <w:rFonts w:hint="eastAsia" w:ascii="Arial" w:hAnsi="Arial"/>
                <w:color w:val="auto"/>
                <w:sz w:val="21"/>
                <w:szCs w:val="21"/>
                <w:highlight w:val="none"/>
              </w:rPr>
              <w:t>4</w:t>
            </w: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snapToGrid w:val="0"/>
              <w:rPr>
                <w:rFonts w:ascii="Arial" w:hAnsi="Arial"/>
                <w:color w:val="auto"/>
                <w:sz w:val="21"/>
                <w:szCs w:val="21"/>
                <w:highlight w:val="none"/>
              </w:rPr>
            </w:pPr>
          </w:p>
        </w:tc>
        <w:tc>
          <w:tcPr>
            <w:tcW w:w="1962" w:type="dxa"/>
            <w:noWrap w:val="0"/>
            <w:vAlign w:val="center"/>
          </w:tcPr>
          <w:p>
            <w:pPr>
              <w:shd w:val="clear" w:color="auto" w:fill="auto"/>
              <w:spacing w:line="300" w:lineRule="exact"/>
              <w:rPr>
                <w:rFonts w:ascii="Arial" w:hAnsi="Arial"/>
                <w:color w:val="auto"/>
                <w:sz w:val="21"/>
                <w:szCs w:val="21"/>
                <w:highlight w:val="none"/>
              </w:rPr>
            </w:pPr>
          </w:p>
        </w:tc>
        <w:tc>
          <w:tcPr>
            <w:tcW w:w="2885" w:type="dxa"/>
            <w:noWrap w:val="0"/>
            <w:vAlign w:val="center"/>
          </w:tcPr>
          <w:p>
            <w:pPr>
              <w:shd w:val="clear" w:color="auto" w:fill="auto"/>
              <w:spacing w:line="300" w:lineRule="exact"/>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rPr>
                <w:rFonts w:ascii="Arial" w:hAnsi="Arial"/>
                <w:color w:val="auto"/>
                <w:sz w:val="21"/>
                <w:szCs w:val="21"/>
                <w:highlight w:val="none"/>
              </w:rPr>
            </w:pP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snapToGrid w:val="0"/>
              <w:rPr>
                <w:rFonts w:ascii="Arial" w:hAnsi="Arial"/>
                <w:color w:val="auto"/>
                <w:sz w:val="21"/>
                <w:szCs w:val="21"/>
                <w:highlight w:val="none"/>
              </w:rPr>
            </w:pPr>
          </w:p>
        </w:tc>
        <w:tc>
          <w:tcPr>
            <w:tcW w:w="1962" w:type="dxa"/>
            <w:noWrap w:val="0"/>
            <w:vAlign w:val="center"/>
          </w:tcPr>
          <w:p>
            <w:pPr>
              <w:shd w:val="clear" w:color="auto" w:fill="auto"/>
              <w:spacing w:line="300" w:lineRule="exact"/>
              <w:rPr>
                <w:rFonts w:ascii="Arial" w:hAnsi="Arial"/>
                <w:color w:val="auto"/>
                <w:sz w:val="21"/>
                <w:szCs w:val="21"/>
                <w:highlight w:val="none"/>
              </w:rPr>
            </w:pPr>
          </w:p>
        </w:tc>
        <w:tc>
          <w:tcPr>
            <w:tcW w:w="2885" w:type="dxa"/>
            <w:noWrap w:val="0"/>
            <w:vAlign w:val="center"/>
          </w:tcPr>
          <w:p>
            <w:pPr>
              <w:shd w:val="clear" w:color="auto" w:fill="auto"/>
              <w:spacing w:line="300" w:lineRule="exact"/>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rPr>
                <w:rFonts w:ascii="Arial" w:hAnsi="Arial"/>
                <w:color w:val="auto"/>
                <w:sz w:val="21"/>
                <w:szCs w:val="21"/>
                <w:highlight w:val="none"/>
              </w:rPr>
            </w:pP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snapToGrid w:val="0"/>
              <w:rPr>
                <w:rFonts w:ascii="Arial" w:hAnsi="Arial"/>
                <w:color w:val="auto"/>
                <w:sz w:val="21"/>
                <w:szCs w:val="21"/>
                <w:highlight w:val="none"/>
              </w:rPr>
            </w:pPr>
          </w:p>
        </w:tc>
        <w:tc>
          <w:tcPr>
            <w:tcW w:w="1962" w:type="dxa"/>
            <w:noWrap w:val="0"/>
            <w:vAlign w:val="center"/>
          </w:tcPr>
          <w:p>
            <w:pPr>
              <w:shd w:val="clear" w:color="auto" w:fill="auto"/>
              <w:spacing w:line="300" w:lineRule="exact"/>
              <w:rPr>
                <w:rFonts w:ascii="Arial" w:hAnsi="Arial"/>
                <w:color w:val="auto"/>
                <w:sz w:val="21"/>
                <w:szCs w:val="21"/>
                <w:highlight w:val="none"/>
              </w:rPr>
            </w:pPr>
          </w:p>
        </w:tc>
        <w:tc>
          <w:tcPr>
            <w:tcW w:w="2885" w:type="dxa"/>
            <w:noWrap w:val="0"/>
            <w:vAlign w:val="center"/>
          </w:tcPr>
          <w:p>
            <w:pPr>
              <w:shd w:val="clear" w:color="auto" w:fill="auto"/>
              <w:spacing w:line="300" w:lineRule="exact"/>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napToGrid w:val="0"/>
              <w:rPr>
                <w:rFonts w:ascii="Arial" w:hAnsi="Arial"/>
                <w:color w:val="auto"/>
                <w:sz w:val="21"/>
                <w:szCs w:val="21"/>
                <w:highlight w:val="none"/>
              </w:rPr>
            </w:pP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jc w:val="center"/>
              <w:rPr>
                <w:rFonts w:ascii="Arial" w:hAnsi="Arial"/>
                <w:color w:val="auto"/>
                <w:sz w:val="21"/>
                <w:szCs w:val="21"/>
                <w:highlight w:val="none"/>
              </w:rPr>
            </w:pPr>
          </w:p>
        </w:tc>
        <w:tc>
          <w:tcPr>
            <w:tcW w:w="1962" w:type="dxa"/>
            <w:noWrap w:val="0"/>
            <w:vAlign w:val="center"/>
          </w:tcPr>
          <w:p>
            <w:pPr>
              <w:shd w:val="clear" w:color="auto" w:fill="auto"/>
              <w:jc w:val="center"/>
              <w:rPr>
                <w:rFonts w:ascii="Arial" w:hAnsi="Arial"/>
                <w:color w:val="auto"/>
                <w:sz w:val="21"/>
                <w:szCs w:val="21"/>
                <w:highlight w:val="none"/>
              </w:rPr>
            </w:pPr>
          </w:p>
        </w:tc>
        <w:tc>
          <w:tcPr>
            <w:tcW w:w="2885" w:type="dxa"/>
            <w:noWrap w:val="0"/>
            <w:vAlign w:val="center"/>
          </w:tcPr>
          <w:p>
            <w:pPr>
              <w:shd w:val="clear" w:color="auto" w:fill="auto"/>
              <w:jc w:val="center"/>
              <w:rPr>
                <w:rFonts w:ascii="Arial" w:hAnsi="Arial"/>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2" w:type="dxa"/>
            <w:noWrap w:val="0"/>
            <w:vAlign w:val="center"/>
          </w:tcPr>
          <w:p>
            <w:pPr>
              <w:shd w:val="clear" w:color="auto" w:fill="auto"/>
              <w:spacing w:line="360" w:lineRule="exact"/>
              <w:rPr>
                <w:rFonts w:ascii="Arial" w:hAnsi="Arial"/>
                <w:color w:val="auto"/>
                <w:sz w:val="21"/>
                <w:szCs w:val="21"/>
                <w:highlight w:val="none"/>
              </w:rPr>
            </w:pPr>
          </w:p>
        </w:tc>
        <w:tc>
          <w:tcPr>
            <w:tcW w:w="2159" w:type="dxa"/>
            <w:noWrap w:val="0"/>
            <w:vAlign w:val="center"/>
          </w:tcPr>
          <w:p>
            <w:pPr>
              <w:shd w:val="clear" w:color="auto" w:fill="auto"/>
              <w:spacing w:line="300" w:lineRule="exact"/>
              <w:rPr>
                <w:rFonts w:ascii="Arial" w:hAnsi="Arial"/>
                <w:color w:val="auto"/>
                <w:sz w:val="21"/>
                <w:szCs w:val="21"/>
                <w:highlight w:val="none"/>
              </w:rPr>
            </w:pPr>
          </w:p>
        </w:tc>
        <w:tc>
          <w:tcPr>
            <w:tcW w:w="1570" w:type="dxa"/>
            <w:noWrap w:val="0"/>
            <w:vAlign w:val="center"/>
          </w:tcPr>
          <w:p>
            <w:pPr>
              <w:shd w:val="clear" w:color="auto" w:fill="auto"/>
              <w:jc w:val="center"/>
              <w:rPr>
                <w:rFonts w:ascii="Arial" w:hAnsi="Arial"/>
                <w:color w:val="auto"/>
                <w:sz w:val="21"/>
                <w:szCs w:val="21"/>
                <w:highlight w:val="none"/>
              </w:rPr>
            </w:pPr>
          </w:p>
        </w:tc>
        <w:tc>
          <w:tcPr>
            <w:tcW w:w="1962" w:type="dxa"/>
            <w:noWrap w:val="0"/>
            <w:vAlign w:val="center"/>
          </w:tcPr>
          <w:p>
            <w:pPr>
              <w:shd w:val="clear" w:color="auto" w:fill="auto"/>
              <w:jc w:val="center"/>
              <w:rPr>
                <w:rFonts w:ascii="Arial" w:hAnsi="Arial"/>
                <w:color w:val="auto"/>
                <w:sz w:val="21"/>
                <w:szCs w:val="21"/>
                <w:highlight w:val="none"/>
              </w:rPr>
            </w:pPr>
          </w:p>
        </w:tc>
        <w:tc>
          <w:tcPr>
            <w:tcW w:w="2885" w:type="dxa"/>
            <w:noWrap w:val="0"/>
            <w:vAlign w:val="center"/>
          </w:tcPr>
          <w:p>
            <w:pPr>
              <w:shd w:val="clear" w:color="auto" w:fill="auto"/>
              <w:jc w:val="center"/>
              <w:rPr>
                <w:rFonts w:ascii="Arial" w:hAnsi="Arial"/>
                <w:color w:val="auto"/>
                <w:sz w:val="21"/>
                <w:szCs w:val="21"/>
                <w:highlight w:val="none"/>
              </w:rPr>
            </w:pPr>
          </w:p>
        </w:tc>
      </w:tr>
    </w:tbl>
    <w:p>
      <w:pPr>
        <w:shd w:val="clear" w:color="auto" w:fill="auto"/>
        <w:tabs>
          <w:tab w:val="center" w:pos="4410"/>
        </w:tabs>
        <w:spacing w:beforeLines="50" w:line="360" w:lineRule="auto"/>
        <w:rPr>
          <w:rFonts w:ascii="Arial" w:hAnsi="Arial"/>
          <w:color w:val="auto"/>
          <w:spacing w:val="-4"/>
          <w:sz w:val="21"/>
          <w:szCs w:val="21"/>
          <w:highlight w:val="none"/>
        </w:rPr>
      </w:pPr>
      <w:r>
        <w:rPr>
          <w:rFonts w:hint="eastAsia" w:ascii="Arial" w:hAnsi="Arial"/>
          <w:color w:val="auto"/>
          <w:spacing w:val="-4"/>
          <w:sz w:val="21"/>
          <w:szCs w:val="21"/>
          <w:highlight w:val="none"/>
        </w:rPr>
        <w:t>注：本表后附评标细则要求提供的证明资料。</w:t>
      </w:r>
    </w:p>
    <w:p>
      <w:pPr>
        <w:shd w:val="clear" w:color="auto" w:fill="auto"/>
        <w:rPr>
          <w:rFonts w:ascii="Arial" w:hAnsi="Arial"/>
          <w:color w:val="auto"/>
          <w:sz w:val="21"/>
          <w:szCs w:val="21"/>
          <w:highlight w:val="none"/>
        </w:rPr>
      </w:pPr>
    </w:p>
    <w:p>
      <w:pPr>
        <w:shd w:val="clear" w:color="auto" w:fill="auto"/>
        <w:rPr>
          <w:rFonts w:ascii="Arial" w:hAnsi="Arial"/>
          <w:color w:val="auto"/>
          <w:sz w:val="21"/>
          <w:szCs w:val="21"/>
          <w:highlight w:val="none"/>
        </w:rPr>
      </w:pP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widowControl/>
        <w:shd w:val="clear" w:color="auto" w:fill="auto"/>
        <w:spacing w:line="360" w:lineRule="auto"/>
        <w:jc w:val="right"/>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shd w:val="clear" w:color="auto" w:fill="auto"/>
        <w:spacing w:line="360" w:lineRule="auto"/>
        <w:ind w:right="180"/>
        <w:jc w:val="right"/>
        <w:rPr>
          <w:rFonts w:ascii="宋体" w:hAnsi="宋体"/>
          <w:color w:val="auto"/>
          <w:sz w:val="21"/>
          <w:szCs w:val="21"/>
          <w:highlight w:val="none"/>
        </w:rPr>
      </w:pPr>
      <w:r>
        <w:rPr>
          <w:rFonts w:hint="eastAsia" w:hAnsi="宋体" w:cs="宋体"/>
          <w:color w:val="auto"/>
          <w:sz w:val="21"/>
          <w:szCs w:val="21"/>
          <w:highlight w:val="none"/>
        </w:rPr>
        <w:t xml:space="preserve">                                      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pStyle w:val="3"/>
        <w:keepNext w:val="0"/>
        <w:keepLines w:val="0"/>
        <w:pageBreakBefore w:val="0"/>
        <w:widowControl/>
        <w:shd w:val="clear" w:color="auto" w:fill="auto"/>
        <w:kinsoku/>
        <w:wordWrap/>
        <w:overflowPunct/>
        <w:topLinePunct w:val="0"/>
        <w:autoSpaceDE/>
        <w:autoSpaceDN/>
        <w:bidi w:val="0"/>
        <w:adjustRightInd/>
        <w:snapToGrid/>
        <w:spacing w:line="360" w:lineRule="auto"/>
        <w:jc w:val="center"/>
        <w:textAlignment w:val="auto"/>
        <w:outlineLvl w:val="2"/>
        <w:rPr>
          <w:rFonts w:hAnsi="宋体" w:cs="宋体"/>
          <w:b/>
          <w:color w:val="auto"/>
          <w:sz w:val="32"/>
          <w:szCs w:val="32"/>
          <w:highlight w:val="none"/>
        </w:rPr>
      </w:pPr>
      <w:r>
        <w:rPr>
          <w:rFonts w:hint="eastAsia" w:hAnsi="宋体" w:cs="宋体"/>
          <w:color w:val="auto"/>
          <w:sz w:val="21"/>
          <w:szCs w:val="21"/>
          <w:highlight w:val="none"/>
        </w:rPr>
        <w:br w:type="page"/>
      </w:r>
      <w:r>
        <w:rPr>
          <w:rFonts w:hint="eastAsia" w:hAnsi="宋体" w:cs="宋体"/>
          <w:b/>
          <w:color w:val="auto"/>
          <w:sz w:val="32"/>
          <w:szCs w:val="32"/>
          <w:highlight w:val="none"/>
        </w:rPr>
        <w:t>投标函</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jc w:val="both"/>
        <w:textAlignment w:val="auto"/>
        <w:rPr>
          <w:rFonts w:hAnsi="宋体" w:cs="宋体"/>
          <w:color w:val="auto"/>
          <w:sz w:val="21"/>
          <w:szCs w:val="21"/>
          <w:highlight w:val="none"/>
        </w:rPr>
      </w:pPr>
      <w:r>
        <w:rPr>
          <w:rFonts w:hint="eastAsia" w:hAnsi="宋体" w:cs="宋体"/>
          <w:color w:val="auto"/>
          <w:sz w:val="21"/>
          <w:szCs w:val="21"/>
          <w:highlight w:val="none"/>
          <w:u w:val="single"/>
        </w:rPr>
        <w:t xml:space="preserve">   致（采购人）  </w:t>
      </w:r>
      <w:r>
        <w:rPr>
          <w:rFonts w:hint="eastAsia" w:hAnsi="宋体" w:cs="宋体"/>
          <w:color w:val="auto"/>
          <w:sz w:val="21"/>
          <w:szCs w:val="21"/>
          <w:highlight w:val="none"/>
        </w:rPr>
        <w:t>：</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 xml:space="preserve">     </w:t>
      </w:r>
      <w:r>
        <w:rPr>
          <w:rFonts w:hint="eastAsia" w:hAnsi="宋体" w:cs="宋体"/>
          <w:color w:val="auto"/>
          <w:sz w:val="21"/>
          <w:szCs w:val="21"/>
          <w:highlight w:val="none"/>
          <w:u w:val="single"/>
        </w:rPr>
        <w:t xml:space="preserve">（供应商全称） </w:t>
      </w:r>
      <w:r>
        <w:rPr>
          <w:rFonts w:hint="eastAsia" w:hAnsi="宋体" w:cs="宋体"/>
          <w:color w:val="auto"/>
          <w:sz w:val="21"/>
          <w:szCs w:val="21"/>
          <w:highlight w:val="none"/>
        </w:rPr>
        <w:t>授权</w:t>
      </w:r>
      <w:r>
        <w:rPr>
          <w:rFonts w:hint="eastAsia" w:hAnsi="宋体" w:cs="宋体"/>
          <w:color w:val="auto"/>
          <w:sz w:val="21"/>
          <w:szCs w:val="21"/>
          <w:highlight w:val="none"/>
          <w:u w:val="single"/>
        </w:rPr>
        <w:t>（全权代表姓名）</w:t>
      </w:r>
      <w:r>
        <w:rPr>
          <w:rFonts w:hint="eastAsia" w:hAnsi="宋体" w:cs="宋体"/>
          <w:color w:val="auto"/>
          <w:sz w:val="21"/>
          <w:szCs w:val="21"/>
          <w:highlight w:val="none"/>
        </w:rPr>
        <w:t>为本公司（单位）合法代理人，参加贵方组织的</w:t>
      </w:r>
      <w:r>
        <w:rPr>
          <w:rFonts w:hint="eastAsia" w:hAnsi="宋体" w:cs="宋体"/>
          <w:color w:val="auto"/>
          <w:sz w:val="21"/>
          <w:szCs w:val="21"/>
          <w:highlight w:val="none"/>
          <w:u w:val="single"/>
        </w:rPr>
        <w:t xml:space="preserve">（招标编号、项目名称）  </w:t>
      </w:r>
      <w:r>
        <w:rPr>
          <w:rFonts w:hint="eastAsia" w:hAnsi="宋体" w:cs="宋体"/>
          <w:color w:val="auto"/>
          <w:sz w:val="21"/>
          <w:szCs w:val="21"/>
          <w:highlight w:val="none"/>
        </w:rPr>
        <w:t>招投标活动，代表本公司（单位）处理招投标活动中的一切事宜，为对</w:t>
      </w:r>
      <w:r>
        <w:rPr>
          <w:rFonts w:hint="eastAsia" w:hAnsi="宋体" w:cs="宋体"/>
          <w:color w:val="auto"/>
          <w:sz w:val="21"/>
          <w:szCs w:val="21"/>
          <w:highlight w:val="none"/>
          <w:u w:val="single"/>
        </w:rPr>
        <w:t xml:space="preserve"> （项目名称）</w:t>
      </w:r>
      <w:r>
        <w:rPr>
          <w:rFonts w:hint="eastAsia" w:hAnsi="宋体" w:cs="宋体"/>
          <w:color w:val="auto"/>
          <w:sz w:val="21"/>
          <w:szCs w:val="21"/>
          <w:highlight w:val="none"/>
        </w:rPr>
        <w:t>进行投标，在此：</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 xml:space="preserve">1、提供招标文件中“投标须知”规定的全部投标文件。 </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2、据此函，签字代表宣布并承诺如下：</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投标报价：</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本报价已经包含了所提供服务应纳的税金及招标文件规定的报价方式应包含的其它费用。本报价在投标有效期内固定不变，并在合同有效期内不受市场价变化、不受实际工作量变化及利率波动的影响。</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3、本投标自投标截止之日起</w:t>
      </w:r>
      <w:r>
        <w:rPr>
          <w:rFonts w:hint="eastAsia" w:hAnsi="宋体" w:cs="宋体"/>
          <w:color w:val="auto"/>
          <w:sz w:val="21"/>
          <w:szCs w:val="21"/>
          <w:highlight w:val="none"/>
          <w:u w:val="single"/>
        </w:rPr>
        <w:t>90</w:t>
      </w:r>
      <w:r>
        <w:rPr>
          <w:rFonts w:hint="eastAsia" w:hAnsi="宋体" w:cs="宋体"/>
          <w:color w:val="auto"/>
          <w:sz w:val="21"/>
          <w:szCs w:val="21"/>
          <w:highlight w:val="none"/>
        </w:rPr>
        <w:t>天内有效。</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4、我们已详细审查全部招标文件及有关的澄清/修改文件(若有的话)，我们完全理解并同意放弃对这方面提出任何异议的权利。保证遵守招标文件有关条款规定。</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5、保证遵守招标文件有关条款规定。</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6、保证在中标后忠实地执行与招标人所签署的合同，并承担合同规定的责任义务。保证在中标后按照招标文件的规定支付中标服务费。</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7、承诺应贵方要求提供任何与该项目投标有关的数据、情况和技术资料。</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8、与本投标有关的一切往来通讯请寄：</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u w:val="single"/>
        </w:rPr>
      </w:pPr>
      <w:r>
        <w:rPr>
          <w:rFonts w:hint="eastAsia" w:hAnsi="宋体" w:cs="宋体"/>
          <w:color w:val="auto"/>
          <w:sz w:val="21"/>
          <w:szCs w:val="21"/>
          <w:highlight w:val="none"/>
        </w:rPr>
        <w:t>邮编：</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电话：</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传真：</w:t>
      </w:r>
      <w:r>
        <w:rPr>
          <w:rFonts w:hint="eastAsia" w:hAnsi="宋体" w:cs="宋体"/>
          <w:color w:val="auto"/>
          <w:sz w:val="21"/>
          <w:szCs w:val="21"/>
          <w:highlight w:val="none"/>
          <w:u w:val="single"/>
        </w:rPr>
        <w:t xml:space="preserve">    </w:t>
      </w: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p>
    <w:p>
      <w:pPr>
        <w:pStyle w:val="3"/>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04" w:firstLineChars="200"/>
        <w:jc w:val="both"/>
        <w:textAlignment w:val="auto"/>
        <w:rPr>
          <w:rFonts w:hAnsi="宋体" w:cs="宋体"/>
          <w:color w:val="auto"/>
          <w:sz w:val="21"/>
          <w:szCs w:val="21"/>
          <w:highlight w:val="none"/>
        </w:rPr>
      </w:pPr>
    </w:p>
    <w:p>
      <w:pPr>
        <w:pStyle w:val="3"/>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20" w:firstLineChars="200"/>
        <w:jc w:val="both"/>
        <w:textAlignment w:val="auto"/>
        <w:rPr>
          <w:rFonts w:ascii="宋体" w:hAnsi="宋体"/>
          <w:color w:val="auto"/>
          <w:sz w:val="21"/>
          <w:szCs w:val="21"/>
          <w:highlight w:val="none"/>
        </w:rPr>
      </w:pPr>
      <w:r>
        <w:rPr>
          <w:rFonts w:hint="eastAsia" w:hAnsi="宋体" w:cs="宋体"/>
          <w:color w:val="auto"/>
          <w:sz w:val="21"/>
          <w:szCs w:val="21"/>
          <w:highlight w:val="none"/>
        </w:rPr>
        <w:t>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pStyle w:val="202"/>
        <w:keepNext w:val="0"/>
        <w:pageBreakBefore w:val="0"/>
        <w:shd w:val="clear" w:color="auto" w:fill="auto"/>
        <w:tabs>
          <w:tab w:val="left" w:pos="420"/>
        </w:tabs>
        <w:adjustRightInd w:val="0"/>
        <w:snapToGrid w:val="0"/>
        <w:outlineLvl w:val="2"/>
        <w:rPr>
          <w:rFonts w:ascii="宋体" w:hAnsi="宋体" w:eastAsia="宋体"/>
          <w:color w:val="auto"/>
          <w:kern w:val="2"/>
          <w:highlight w:val="none"/>
        </w:rPr>
      </w:pPr>
      <w:r>
        <w:rPr>
          <w:rFonts w:hint="eastAsia" w:ascii="宋体" w:hAnsi="宋体"/>
          <w:b w:val="0"/>
          <w:color w:val="auto"/>
          <w:sz w:val="28"/>
          <w:szCs w:val="28"/>
          <w:highlight w:val="none"/>
        </w:rPr>
        <w:br w:type="page"/>
      </w:r>
      <w:bookmarkStart w:id="96" w:name="_Toc32346"/>
      <w:r>
        <w:rPr>
          <w:rFonts w:hint="eastAsia" w:ascii="宋体" w:hAnsi="宋体" w:eastAsia="宋体"/>
          <w:color w:val="auto"/>
          <w:kern w:val="2"/>
          <w:sz w:val="32"/>
          <w:szCs w:val="32"/>
          <w:highlight w:val="none"/>
        </w:rPr>
        <w:t>开标一览表</w:t>
      </w:r>
      <w:bookmarkEnd w:id="96"/>
    </w:p>
    <w:p>
      <w:pPr>
        <w:shd w:val="clear" w:color="auto" w:fill="auto"/>
        <w:spacing w:beforeLines="10" w:line="360" w:lineRule="auto"/>
        <w:rPr>
          <w:rFonts w:hint="eastAsia" w:ascii="宋体" w:hAnsi="宋体"/>
          <w:b/>
          <w:color w:val="auto"/>
          <w:sz w:val="21"/>
          <w:szCs w:val="21"/>
          <w:highlight w:val="none"/>
        </w:rPr>
      </w:pPr>
    </w:p>
    <w:p>
      <w:pPr>
        <w:shd w:val="clear" w:color="auto" w:fill="auto"/>
        <w:spacing w:beforeLines="10" w:line="360" w:lineRule="auto"/>
        <w:rPr>
          <w:rFonts w:ascii="宋体" w:hAnsi="宋体"/>
          <w:b/>
          <w:color w:val="auto"/>
          <w:sz w:val="21"/>
          <w:szCs w:val="21"/>
          <w:highlight w:val="none"/>
          <w:u w:val="single"/>
        </w:rPr>
      </w:pPr>
      <w:r>
        <w:rPr>
          <w:rFonts w:hint="eastAsia" w:ascii="宋体" w:hAnsi="宋体"/>
          <w:b/>
          <w:color w:val="auto"/>
          <w:sz w:val="21"/>
          <w:szCs w:val="21"/>
          <w:highlight w:val="none"/>
        </w:rPr>
        <w:t>致：</w:t>
      </w:r>
      <w:r>
        <w:rPr>
          <w:rFonts w:hint="eastAsia" w:ascii="宋体" w:hAnsi="宋体"/>
          <w:b/>
          <w:color w:val="auto"/>
          <w:sz w:val="21"/>
          <w:szCs w:val="21"/>
          <w:highlight w:val="none"/>
          <w:u w:val="single"/>
        </w:rPr>
        <w:t>（采购人）</w:t>
      </w:r>
    </w:p>
    <w:p>
      <w:pPr>
        <w:shd w:val="clear" w:color="auto" w:fill="auto"/>
        <w:spacing w:beforeLines="10" w:line="360" w:lineRule="auto"/>
        <w:ind w:firstLine="420" w:firstLineChars="200"/>
        <w:rPr>
          <w:rFonts w:hint="eastAsia" w:ascii="宋体" w:hAnsi="宋体"/>
          <w:color w:val="auto"/>
          <w:kern w:val="0"/>
          <w:sz w:val="21"/>
          <w:szCs w:val="21"/>
          <w:highlight w:val="none"/>
          <w:lang w:val="zh-CN"/>
        </w:rPr>
      </w:pPr>
      <w:r>
        <w:rPr>
          <w:rFonts w:hint="eastAsia" w:ascii="宋体" w:hAnsi="宋体"/>
          <w:color w:val="auto"/>
          <w:kern w:val="0"/>
          <w:sz w:val="21"/>
          <w:szCs w:val="21"/>
          <w:highlight w:val="none"/>
          <w:lang w:val="zh-CN"/>
        </w:rPr>
        <w:t>按你方采购文件要求，我们本投标文件签字方，谨此向你方发出要约如下：如你方接受本投标文件，我方承诺按照如下开标一览表的价格完成</w:t>
      </w:r>
      <w:r>
        <w:rPr>
          <w:rFonts w:hint="eastAsia" w:ascii="宋体" w:hAnsi="宋体"/>
          <w:b/>
          <w:bCs/>
          <w:color w:val="auto"/>
          <w:kern w:val="0"/>
          <w:sz w:val="21"/>
          <w:szCs w:val="21"/>
          <w:highlight w:val="none"/>
          <w:lang w:val="zh-CN"/>
        </w:rPr>
        <w:t>[项目名称：</w:t>
      </w:r>
      <w:r>
        <w:rPr>
          <w:rFonts w:hint="eastAsia" w:ascii="宋体" w:hAnsi="宋体"/>
          <w:b/>
          <w:bCs/>
          <w:color w:val="auto"/>
          <w:kern w:val="0"/>
          <w:sz w:val="21"/>
          <w:szCs w:val="21"/>
          <w:highlight w:val="none"/>
          <w:u w:val="single"/>
          <w:lang w:val="en-US" w:eastAsia="zh-CN"/>
        </w:rPr>
        <w:t xml:space="preserve">            </w:t>
      </w:r>
      <w:r>
        <w:rPr>
          <w:rFonts w:hint="eastAsia" w:ascii="宋体" w:hAnsi="宋体"/>
          <w:b/>
          <w:bCs/>
          <w:color w:val="auto"/>
          <w:sz w:val="21"/>
          <w:szCs w:val="21"/>
          <w:highlight w:val="none"/>
        </w:rPr>
        <w:t>]</w:t>
      </w:r>
      <w:r>
        <w:rPr>
          <w:rFonts w:hint="eastAsia" w:ascii="宋体" w:hAnsi="宋体"/>
          <w:color w:val="auto"/>
          <w:kern w:val="0"/>
          <w:sz w:val="21"/>
          <w:szCs w:val="21"/>
          <w:highlight w:val="none"/>
          <w:lang w:val="zh-CN"/>
        </w:rPr>
        <w:t>实施。</w:t>
      </w:r>
    </w:p>
    <w:tbl>
      <w:tblPr>
        <w:tblStyle w:val="50"/>
        <w:tblW w:w="89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2"/>
        <w:gridCol w:w="46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372" w:type="dxa"/>
            <w:noWrap w:val="0"/>
            <w:vAlign w:val="center"/>
          </w:tcPr>
          <w:p>
            <w:pPr>
              <w:shd w:val="clear" w:color="auto" w:fill="auto"/>
              <w:spacing w:line="360" w:lineRule="auto"/>
              <w:jc w:val="center"/>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采购内容</w:t>
            </w:r>
          </w:p>
        </w:tc>
        <w:tc>
          <w:tcPr>
            <w:tcW w:w="4607" w:type="dxa"/>
            <w:noWrap w:val="0"/>
            <w:vAlign w:val="center"/>
          </w:tcPr>
          <w:p>
            <w:pPr>
              <w:shd w:val="clear" w:color="auto" w:fill="auto"/>
              <w:spacing w:line="360" w:lineRule="auto"/>
              <w:jc w:val="center"/>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投标总报价（元）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372" w:type="dxa"/>
            <w:noWrap w:val="0"/>
            <w:vAlign w:val="center"/>
          </w:tcPr>
          <w:p>
            <w:pPr>
              <w:shd w:val="clear" w:color="auto" w:fill="auto"/>
              <w:spacing w:line="400" w:lineRule="exact"/>
              <w:jc w:val="both"/>
              <w:rPr>
                <w:rFonts w:hint="eastAsia" w:eastAsia="宋体"/>
                <w:color w:val="auto"/>
                <w:sz w:val="21"/>
                <w:szCs w:val="21"/>
                <w:highlight w:val="none"/>
                <w:shd w:val="clear" w:color="auto" w:fill="auto"/>
                <w:lang w:eastAsia="zh-CN"/>
              </w:rPr>
            </w:pPr>
            <w:r>
              <w:rPr>
                <w:rFonts w:hint="eastAsia" w:ascii="宋体" w:hAnsi="宋体"/>
                <w:color w:val="auto"/>
                <w:sz w:val="21"/>
                <w:szCs w:val="21"/>
                <w:highlight w:val="none"/>
              </w:rPr>
              <w:t xml:space="preserve"> </w:t>
            </w:r>
          </w:p>
        </w:tc>
        <w:tc>
          <w:tcPr>
            <w:tcW w:w="4607" w:type="dxa"/>
            <w:noWrap w:val="0"/>
            <w:vAlign w:val="center"/>
          </w:tcPr>
          <w:p>
            <w:pPr>
              <w:shd w:val="clear" w:color="auto" w:fill="auto"/>
              <w:spacing w:line="400" w:lineRule="exact"/>
              <w:ind w:firstLine="1029" w:firstLineChars="490"/>
              <w:rPr>
                <w:rFonts w:hint="eastAsia"/>
                <w:color w:val="auto"/>
                <w:sz w:val="21"/>
                <w:szCs w:val="21"/>
                <w:highlight w:val="none"/>
                <w:u w:val="single"/>
                <w:shd w:val="clear" w:color="auto" w:fill="auto"/>
              </w:rPr>
            </w:pPr>
            <w:r>
              <w:rPr>
                <w:rFonts w:hint="eastAsia"/>
                <w:color w:val="auto"/>
                <w:sz w:val="21"/>
                <w:szCs w:val="21"/>
                <w:highlight w:val="none"/>
                <w:shd w:val="clear" w:color="auto" w:fill="auto"/>
              </w:rPr>
              <w:t>大写：</w:t>
            </w:r>
            <w:r>
              <w:rPr>
                <w:rFonts w:hint="eastAsia"/>
                <w:color w:val="auto"/>
                <w:sz w:val="21"/>
                <w:szCs w:val="21"/>
                <w:highlight w:val="none"/>
                <w:u w:val="single"/>
                <w:shd w:val="clear" w:color="auto" w:fill="auto"/>
              </w:rPr>
              <w:t xml:space="preserve">            </w:t>
            </w:r>
          </w:p>
          <w:p>
            <w:pPr>
              <w:shd w:val="clear" w:color="auto" w:fill="auto"/>
              <w:spacing w:line="400" w:lineRule="exact"/>
              <w:ind w:firstLine="1029" w:firstLineChars="490"/>
              <w:rPr>
                <w:rFonts w:hint="eastAsia"/>
                <w:color w:val="auto"/>
                <w:sz w:val="21"/>
                <w:szCs w:val="21"/>
                <w:highlight w:val="none"/>
                <w:shd w:val="clear" w:color="auto" w:fill="auto"/>
              </w:rPr>
            </w:pPr>
            <w:r>
              <w:rPr>
                <w:rFonts w:hint="eastAsia"/>
                <w:color w:val="auto"/>
                <w:sz w:val="21"/>
                <w:szCs w:val="21"/>
                <w:highlight w:val="none"/>
                <w:shd w:val="clear" w:color="auto" w:fill="auto"/>
              </w:rPr>
              <w:t>小写：</w:t>
            </w:r>
            <w:r>
              <w:rPr>
                <w:rFonts w:hint="eastAsia"/>
                <w:color w:val="auto"/>
                <w:sz w:val="21"/>
                <w:szCs w:val="21"/>
                <w:highlight w:val="none"/>
                <w:u w:val="single"/>
                <w:shd w:val="clear" w:color="auto" w:fill="auto"/>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372" w:type="dxa"/>
            <w:noWrap w:val="0"/>
            <w:vAlign w:val="center"/>
          </w:tcPr>
          <w:p>
            <w:pPr>
              <w:widowControl/>
              <w:shd w:val="clear" w:color="auto" w:fill="auto"/>
              <w:spacing w:line="400" w:lineRule="exact"/>
              <w:jc w:val="center"/>
              <w:rPr>
                <w:rFonts w:hint="eastAsia"/>
                <w:color w:val="auto"/>
                <w:sz w:val="21"/>
                <w:szCs w:val="21"/>
                <w:highlight w:val="none"/>
                <w:shd w:val="clear" w:color="auto" w:fill="auto"/>
              </w:rPr>
            </w:pPr>
            <w:r>
              <w:rPr>
                <w:rFonts w:hint="eastAsia"/>
                <w:color w:val="auto"/>
                <w:sz w:val="21"/>
                <w:szCs w:val="21"/>
                <w:highlight w:val="none"/>
                <w:shd w:val="clear" w:color="auto" w:fill="auto"/>
              </w:rPr>
              <w:t>投标声明</w:t>
            </w:r>
          </w:p>
        </w:tc>
        <w:tc>
          <w:tcPr>
            <w:tcW w:w="4607" w:type="dxa"/>
            <w:noWrap w:val="0"/>
            <w:vAlign w:val="center"/>
          </w:tcPr>
          <w:p>
            <w:pPr>
              <w:widowControl/>
              <w:shd w:val="clear" w:color="auto" w:fill="auto"/>
              <w:spacing w:line="400" w:lineRule="exact"/>
              <w:jc w:val="center"/>
              <w:rPr>
                <w:rFonts w:hint="eastAsia"/>
                <w:color w:val="auto"/>
                <w:sz w:val="21"/>
                <w:szCs w:val="21"/>
                <w:highlight w:val="none"/>
                <w:shd w:val="clear" w:color="auto" w:fill="auto"/>
              </w:rPr>
            </w:pPr>
            <w:r>
              <w:rPr>
                <w:rFonts w:hint="eastAsia"/>
                <w:color w:val="auto"/>
                <w:sz w:val="21"/>
                <w:szCs w:val="21"/>
                <w:highlight w:val="none"/>
                <w:shd w:val="clear" w:color="auto" w:fill="auto"/>
              </w:rPr>
              <w:t>若无填“/”即可</w:t>
            </w:r>
          </w:p>
        </w:tc>
      </w:tr>
    </w:tbl>
    <w:p>
      <w:pPr>
        <w:pStyle w:val="2"/>
        <w:shd w:val="clear" w:color="auto" w:fill="auto"/>
        <w:rPr>
          <w:rFonts w:hint="eastAsia" w:ascii="宋体" w:hAnsi="宋体"/>
          <w:color w:val="auto"/>
          <w:kern w:val="0"/>
          <w:sz w:val="21"/>
          <w:szCs w:val="21"/>
          <w:highlight w:val="none"/>
          <w:lang w:val="zh-CN"/>
        </w:rPr>
      </w:pPr>
    </w:p>
    <w:p>
      <w:pPr>
        <w:pStyle w:val="3"/>
        <w:shd w:val="clear" w:color="auto" w:fill="auto"/>
        <w:spacing w:line="360" w:lineRule="auto"/>
        <w:rPr>
          <w:rFonts w:hAnsi="宋体" w:cs="宋体"/>
          <w:b/>
          <w:bCs/>
          <w:color w:val="auto"/>
          <w:sz w:val="21"/>
          <w:szCs w:val="21"/>
          <w:highlight w:val="none"/>
        </w:rPr>
      </w:pPr>
      <w:r>
        <w:rPr>
          <w:rFonts w:hint="eastAsia" w:hAnsi="宋体" w:cs="宋体"/>
          <w:b/>
          <w:bCs/>
          <w:color w:val="auto"/>
          <w:sz w:val="21"/>
          <w:szCs w:val="21"/>
          <w:highlight w:val="none"/>
        </w:rPr>
        <w:t xml:space="preserve"> 1、“投标报价”应与“投标函”中“投标总价”一致。</w:t>
      </w:r>
    </w:p>
    <w:p>
      <w:pPr>
        <w:shd w:val="clear" w:color="auto" w:fill="auto"/>
        <w:adjustRightInd w:val="0"/>
        <w:snapToGrid w:val="0"/>
        <w:spacing w:line="360" w:lineRule="auto"/>
        <w:ind w:firstLine="422" w:firstLineChars="200"/>
        <w:rPr>
          <w:rFonts w:hAnsi="宋体" w:cs="宋体"/>
          <w:b/>
          <w:bCs/>
          <w:color w:val="auto"/>
          <w:sz w:val="21"/>
          <w:szCs w:val="21"/>
          <w:highlight w:val="none"/>
        </w:rPr>
      </w:pPr>
      <w:r>
        <w:rPr>
          <w:rFonts w:hint="eastAsia" w:hAnsi="宋体" w:cs="宋体"/>
          <w:b/>
          <w:bCs/>
          <w:color w:val="auto"/>
          <w:sz w:val="21"/>
          <w:szCs w:val="21"/>
          <w:highlight w:val="none"/>
        </w:rPr>
        <w:t xml:space="preserve"> 2、报价一经涂改，应在涂改处加盖单位公章或者由法定代表人或授权委托人签字或盖章，否则其投标作无效标处理。</w:t>
      </w:r>
    </w:p>
    <w:p>
      <w:pPr>
        <w:pStyle w:val="203"/>
        <w:shd w:val="clear" w:color="auto" w:fill="auto"/>
        <w:ind w:firstLine="422"/>
        <w:rPr>
          <w:color w:val="auto"/>
          <w:sz w:val="21"/>
          <w:szCs w:val="21"/>
          <w:highlight w:val="none"/>
        </w:rPr>
      </w:pPr>
      <w:r>
        <w:rPr>
          <w:rFonts w:hint="eastAsia" w:hAnsi="宋体" w:cs="宋体"/>
          <w:b/>
          <w:bCs/>
          <w:color w:val="auto"/>
          <w:sz w:val="21"/>
          <w:szCs w:val="21"/>
          <w:highlight w:val="none"/>
        </w:rPr>
        <w:t>3、</w:t>
      </w:r>
      <w:r>
        <w:rPr>
          <w:rFonts w:hint="eastAsia" w:ascii="Times New Roman" w:hAnsi="宋体" w:cs="宋体"/>
          <w:b/>
          <w:bCs/>
          <w:color w:val="auto"/>
          <w:sz w:val="21"/>
          <w:szCs w:val="21"/>
          <w:highlight w:val="none"/>
        </w:rPr>
        <w:t>投标总报价建议四舍五入保留至整数元为止。</w:t>
      </w:r>
    </w:p>
    <w:p>
      <w:pPr>
        <w:pStyle w:val="3"/>
        <w:widowControl/>
        <w:shd w:val="clear" w:color="auto" w:fill="auto"/>
        <w:spacing w:line="360" w:lineRule="auto"/>
        <w:ind w:firstLine="4848" w:firstLineChars="2400"/>
        <w:jc w:val="left"/>
        <w:rPr>
          <w:rFonts w:hAnsi="宋体" w:cs="宋体"/>
          <w:color w:val="auto"/>
          <w:sz w:val="21"/>
          <w:szCs w:val="21"/>
          <w:highlight w:val="none"/>
        </w:rPr>
      </w:pPr>
    </w:p>
    <w:p>
      <w:pPr>
        <w:pStyle w:val="3"/>
        <w:widowControl/>
        <w:shd w:val="clear" w:color="auto" w:fill="auto"/>
        <w:spacing w:line="360" w:lineRule="auto"/>
        <w:ind w:firstLine="4848" w:firstLineChars="2400"/>
        <w:jc w:val="left"/>
        <w:rPr>
          <w:rFonts w:hAnsi="宋体" w:cs="宋体"/>
          <w:color w:val="auto"/>
          <w:sz w:val="21"/>
          <w:szCs w:val="21"/>
          <w:highlight w:val="none"/>
        </w:rPr>
      </w:pPr>
    </w:p>
    <w:p>
      <w:pPr>
        <w:pStyle w:val="3"/>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供应商全称（盖公章）：</w:t>
      </w:r>
    </w:p>
    <w:p>
      <w:pPr>
        <w:pStyle w:val="3"/>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right="0" w:firstLine="404" w:firstLineChars="200"/>
        <w:jc w:val="both"/>
        <w:textAlignment w:val="auto"/>
        <w:rPr>
          <w:rFonts w:hAnsi="宋体" w:cs="宋体"/>
          <w:color w:val="auto"/>
          <w:sz w:val="21"/>
          <w:szCs w:val="21"/>
          <w:highlight w:val="none"/>
        </w:rPr>
      </w:pPr>
      <w:r>
        <w:rPr>
          <w:rFonts w:hint="eastAsia" w:hAnsi="宋体" w:cs="宋体"/>
          <w:color w:val="auto"/>
          <w:sz w:val="21"/>
          <w:szCs w:val="21"/>
          <w:highlight w:val="none"/>
        </w:rPr>
        <w:t>法定代表人或其授权委托人（签名或印章）：</w:t>
      </w:r>
    </w:p>
    <w:p>
      <w:pPr>
        <w:keepNext w:val="0"/>
        <w:keepLines w:val="0"/>
        <w:pageBreakBefore w:val="0"/>
        <w:shd w:val="clear" w:color="auto" w:fill="auto"/>
        <w:kinsoku/>
        <w:wordWrap/>
        <w:overflowPunct/>
        <w:topLinePunct w:val="0"/>
        <w:autoSpaceDE w:val="0"/>
        <w:autoSpaceDN w:val="0"/>
        <w:bidi w:val="0"/>
        <w:adjustRightInd/>
        <w:snapToGrid/>
        <w:spacing w:line="360" w:lineRule="auto"/>
        <w:ind w:right="0" w:firstLine="420" w:firstLineChars="200"/>
        <w:jc w:val="both"/>
        <w:textAlignment w:val="auto"/>
        <w:rPr>
          <w:rFonts w:hint="eastAsia" w:hAnsi="宋体" w:cs="宋体"/>
          <w:color w:val="auto"/>
          <w:sz w:val="21"/>
          <w:szCs w:val="21"/>
          <w:highlight w:val="none"/>
        </w:rPr>
      </w:pPr>
      <w:r>
        <w:rPr>
          <w:rFonts w:hint="eastAsia" w:hAnsi="宋体" w:cs="宋体"/>
          <w:color w:val="auto"/>
          <w:sz w:val="21"/>
          <w:szCs w:val="21"/>
          <w:highlight w:val="none"/>
        </w:rPr>
        <w:t>日期：</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rPr>
        <w:t>年   月  日</w:t>
      </w:r>
    </w:p>
    <w:p>
      <w:pPr>
        <w:shd w:val="clear" w:color="auto" w:fill="auto"/>
        <w:rPr>
          <w:rFonts w:hint="eastAsia" w:hAnsi="宋体" w:cs="宋体"/>
          <w:color w:val="auto"/>
          <w:szCs w:val="21"/>
          <w:highlight w:val="none"/>
        </w:rPr>
      </w:pPr>
      <w:r>
        <w:rPr>
          <w:rFonts w:hint="eastAsia" w:hAnsi="宋体" w:cs="宋体"/>
          <w:color w:val="auto"/>
          <w:sz w:val="21"/>
          <w:szCs w:val="21"/>
          <w:highlight w:val="none"/>
        </w:rPr>
        <w:br w:type="page"/>
      </w:r>
    </w:p>
    <w:p>
      <w:pPr>
        <w:pStyle w:val="94"/>
        <w:shd w:val="clear" w:color="auto" w:fill="auto"/>
        <w:ind w:left="0" w:leftChars="0" w:firstLine="0" w:firstLineChars="0"/>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附件：报价清单</w:t>
      </w:r>
    </w:p>
    <w:p>
      <w:pPr>
        <w:pStyle w:val="3"/>
        <w:shd w:val="clear" w:color="auto" w:fill="auto"/>
        <w:spacing w:line="360" w:lineRule="auto"/>
        <w:ind w:left="0" w:leftChars="0"/>
        <w:rPr>
          <w:rFonts w:hAnsi="宋体" w:cs="宋体"/>
          <w:color w:val="auto"/>
          <w:szCs w:val="21"/>
          <w:highlight w:val="none"/>
        </w:rPr>
      </w:pPr>
    </w:p>
    <w:p>
      <w:pPr>
        <w:pStyle w:val="3"/>
        <w:shd w:val="clear" w:color="auto" w:fill="auto"/>
        <w:spacing w:line="360" w:lineRule="auto"/>
        <w:ind w:left="0" w:leftChars="0"/>
        <w:rPr>
          <w:rFonts w:hAnsi="宋体" w:cs="宋体"/>
          <w:color w:val="auto"/>
          <w:szCs w:val="21"/>
          <w:highlight w:val="none"/>
        </w:rPr>
      </w:pPr>
    </w:p>
    <w:p>
      <w:pPr>
        <w:keepNext w:val="0"/>
        <w:keepLines w:val="0"/>
        <w:pageBreakBefore w:val="0"/>
        <w:widowControl w:val="0"/>
        <w:shd w:val="clear" w:color="auto" w:fill="auto"/>
        <w:kinsoku/>
        <w:wordWrap/>
        <w:overflowPunct/>
        <w:topLinePunct w:val="0"/>
        <w:autoSpaceDE/>
        <w:autoSpaceDN/>
        <w:bidi w:val="0"/>
        <w:adjustRightInd/>
        <w:snapToGrid w:val="0"/>
        <w:spacing w:beforeLines="50" w:after="50" w:line="440" w:lineRule="exact"/>
        <w:jc w:val="center"/>
        <w:textAlignment w:val="auto"/>
        <w:outlineLvl w:val="2"/>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32"/>
          <w:szCs w:val="32"/>
          <w:highlight w:val="none"/>
        </w:rPr>
        <w:t>中小企业声明函</w:t>
      </w:r>
    </w:p>
    <w:p>
      <w:pPr>
        <w:shd w:val="clear" w:color="auto" w:fill="auto"/>
        <w:spacing w:line="400" w:lineRule="exact"/>
        <w:ind w:firstLine="440" w:firstLineChars="200"/>
        <w:rPr>
          <w:color w:val="auto"/>
          <w:kern w:val="0"/>
          <w:sz w:val="22"/>
          <w:szCs w:val="22"/>
          <w:highlight w:val="none"/>
          <w:lang w:bidi="zh-CN"/>
        </w:rPr>
      </w:pPr>
    </w:p>
    <w:p>
      <w:pPr>
        <w:shd w:val="clear" w:color="auto" w:fill="auto"/>
        <w:spacing w:line="400" w:lineRule="exact"/>
        <w:ind w:firstLine="420" w:firstLineChars="200"/>
        <w:rPr>
          <w:color w:val="auto"/>
          <w:kern w:val="0"/>
          <w:sz w:val="21"/>
          <w:szCs w:val="21"/>
          <w:highlight w:val="none"/>
          <w:lang w:bidi="zh-CN"/>
        </w:rPr>
      </w:pP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textAlignment w:val="auto"/>
        <w:rPr>
          <w:rFonts w:hint="eastAsia"/>
          <w:color w:val="auto"/>
          <w:kern w:val="0"/>
          <w:sz w:val="21"/>
          <w:szCs w:val="21"/>
          <w:highlight w:val="none"/>
          <w:lang w:bidi="zh-CN"/>
        </w:rPr>
      </w:pPr>
      <w:r>
        <w:rPr>
          <w:rFonts w:hint="eastAsia"/>
          <w:color w:val="auto"/>
          <w:kern w:val="0"/>
          <w:sz w:val="21"/>
          <w:szCs w:val="21"/>
          <w:highlight w:val="none"/>
          <w:lang w:bidi="zh-CN"/>
        </w:rPr>
        <w:t>本公司郑重声明，根据《政府采购促进中小企业发展管理办法》（财库〔2020〕46 号的规定，本公司为______（请填写：中型、小型、微型）企业。即，本公司同时满足以下条件：</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textAlignment w:val="auto"/>
        <w:rPr>
          <w:rFonts w:hint="eastAsia"/>
          <w:color w:val="auto"/>
          <w:kern w:val="0"/>
          <w:sz w:val="21"/>
          <w:szCs w:val="21"/>
          <w:highlight w:val="none"/>
          <w:lang w:bidi="zh-CN"/>
        </w:rPr>
      </w:pPr>
      <w:r>
        <w:rPr>
          <w:rFonts w:hint="eastAsia"/>
          <w:color w:val="auto"/>
          <w:kern w:val="0"/>
          <w:sz w:val="21"/>
          <w:szCs w:val="21"/>
          <w:highlight w:val="none"/>
          <w:lang w:bidi="zh-CN"/>
        </w:rPr>
        <w:t>1.根据《工业和信息化部、国家统计局、国家发展和改革委员会、财政部关于印发中小企业划型标准规定的通知》（工信部联企业[2011]300号）规定的划分标准，本公司为______（请填写：中型、小型、微型）企业。</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textAlignment w:val="auto"/>
        <w:rPr>
          <w:rFonts w:hint="eastAsia"/>
          <w:color w:val="auto"/>
          <w:kern w:val="0"/>
          <w:sz w:val="21"/>
          <w:szCs w:val="21"/>
          <w:highlight w:val="none"/>
          <w:lang w:bidi="zh-CN"/>
        </w:rPr>
      </w:pPr>
      <w:r>
        <w:rPr>
          <w:rFonts w:hint="eastAsia"/>
          <w:color w:val="auto"/>
          <w:kern w:val="0"/>
          <w:sz w:val="21"/>
          <w:szCs w:val="21"/>
          <w:highlight w:val="none"/>
          <w:lang w:bidi="zh-CN"/>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20" w:firstLineChars="200"/>
        <w:textAlignment w:val="auto"/>
        <w:rPr>
          <w:rFonts w:hint="eastAsia"/>
          <w:color w:val="auto"/>
          <w:kern w:val="0"/>
          <w:sz w:val="21"/>
          <w:szCs w:val="21"/>
          <w:highlight w:val="none"/>
          <w:lang w:bidi="zh-CN"/>
        </w:rPr>
      </w:pPr>
      <w:r>
        <w:rPr>
          <w:rFonts w:hint="eastAsia"/>
          <w:color w:val="auto"/>
          <w:kern w:val="0"/>
          <w:sz w:val="21"/>
          <w:szCs w:val="21"/>
          <w:highlight w:val="none"/>
          <w:lang w:bidi="zh-CN"/>
        </w:rPr>
        <w:t>本公司对上述声明的真实性负责。如有虚假，将依法承担相应责任。</w:t>
      </w:r>
    </w:p>
    <w:p>
      <w:pPr>
        <w:widowControl/>
        <w:shd w:val="clear" w:color="auto" w:fill="auto"/>
        <w:spacing w:before="120" w:after="120" w:line="440" w:lineRule="exact"/>
        <w:rPr>
          <w:rFonts w:hint="eastAsia"/>
          <w:color w:val="auto"/>
          <w:kern w:val="0"/>
          <w:sz w:val="21"/>
          <w:szCs w:val="21"/>
          <w:highlight w:val="none"/>
          <w:lang w:bidi="zh-CN"/>
        </w:rPr>
      </w:pPr>
    </w:p>
    <w:p>
      <w:pPr>
        <w:widowControl/>
        <w:shd w:val="clear" w:color="auto" w:fill="auto"/>
        <w:spacing w:before="120" w:after="120" w:line="440" w:lineRule="exact"/>
        <w:ind w:left="5500" w:leftChars="2500"/>
        <w:jc w:val="left"/>
        <w:rPr>
          <w:rFonts w:hint="eastAsia"/>
          <w:color w:val="auto"/>
          <w:kern w:val="0"/>
          <w:sz w:val="21"/>
          <w:szCs w:val="21"/>
          <w:highlight w:val="none"/>
          <w:lang w:bidi="zh-CN"/>
        </w:rPr>
      </w:pPr>
      <w:r>
        <w:rPr>
          <w:rFonts w:hint="eastAsia"/>
          <w:color w:val="auto"/>
          <w:kern w:val="0"/>
          <w:sz w:val="21"/>
          <w:szCs w:val="21"/>
          <w:highlight w:val="none"/>
          <w:lang w:bidi="zh-CN"/>
        </w:rPr>
        <w:t xml:space="preserve">企业名称（公章）： </w:t>
      </w:r>
    </w:p>
    <w:p>
      <w:pPr>
        <w:widowControl/>
        <w:shd w:val="clear" w:color="auto" w:fill="auto"/>
        <w:spacing w:before="120" w:after="120" w:line="440" w:lineRule="exact"/>
        <w:ind w:left="5500" w:leftChars="2500"/>
        <w:jc w:val="left"/>
        <w:rPr>
          <w:rFonts w:hint="eastAsia"/>
          <w:color w:val="auto"/>
          <w:kern w:val="0"/>
          <w:sz w:val="21"/>
          <w:szCs w:val="21"/>
          <w:highlight w:val="none"/>
          <w:lang w:bidi="zh-CN"/>
        </w:rPr>
      </w:pPr>
      <w:r>
        <w:rPr>
          <w:rFonts w:hint="eastAsia"/>
          <w:color w:val="auto"/>
          <w:kern w:val="0"/>
          <w:sz w:val="21"/>
          <w:szCs w:val="21"/>
          <w:highlight w:val="none"/>
          <w:lang w:bidi="zh-CN"/>
        </w:rPr>
        <w:t xml:space="preserve">日  期：                </w:t>
      </w:r>
    </w:p>
    <w:p>
      <w:pPr>
        <w:widowControl/>
        <w:shd w:val="clear" w:color="auto" w:fill="auto"/>
        <w:spacing w:before="120" w:after="120" w:line="440" w:lineRule="exact"/>
        <w:rPr>
          <w:rFonts w:hint="eastAsia"/>
          <w:color w:val="auto"/>
          <w:kern w:val="0"/>
          <w:sz w:val="21"/>
          <w:szCs w:val="21"/>
          <w:highlight w:val="none"/>
          <w:lang w:bidi="zh-CN"/>
        </w:rPr>
      </w:pPr>
    </w:p>
    <w:p>
      <w:pPr>
        <w:widowControl/>
        <w:shd w:val="clear" w:color="auto" w:fill="auto"/>
        <w:spacing w:before="120" w:after="120" w:line="440" w:lineRule="exact"/>
        <w:rPr>
          <w:rFonts w:hint="eastAsia"/>
          <w:color w:val="auto"/>
          <w:kern w:val="0"/>
          <w:sz w:val="21"/>
          <w:szCs w:val="21"/>
          <w:highlight w:val="none"/>
          <w:lang w:bidi="zh-CN"/>
        </w:rPr>
      </w:pPr>
      <w:r>
        <w:rPr>
          <w:rFonts w:hint="eastAsia"/>
          <w:color w:val="auto"/>
          <w:kern w:val="0"/>
          <w:sz w:val="21"/>
          <w:szCs w:val="21"/>
          <w:highlight w:val="none"/>
          <w:lang w:bidi="zh-CN"/>
        </w:rPr>
        <w:t>填写说明：</w:t>
      </w:r>
    </w:p>
    <w:p>
      <w:pPr>
        <w:widowControl/>
        <w:shd w:val="clear" w:color="auto" w:fill="auto"/>
        <w:spacing w:before="120" w:after="120" w:line="440" w:lineRule="exact"/>
        <w:rPr>
          <w:rFonts w:hint="eastAsia"/>
          <w:color w:val="auto"/>
          <w:kern w:val="0"/>
          <w:sz w:val="21"/>
          <w:szCs w:val="21"/>
          <w:highlight w:val="none"/>
          <w:lang w:bidi="zh-CN"/>
        </w:rPr>
      </w:pPr>
      <w:r>
        <w:rPr>
          <w:rFonts w:hint="eastAsia"/>
          <w:color w:val="auto"/>
          <w:kern w:val="0"/>
          <w:sz w:val="21"/>
          <w:szCs w:val="21"/>
          <w:highlight w:val="none"/>
          <w:lang w:bidi="zh-CN"/>
        </w:rPr>
        <w:t>1、本声明函为财库[2011]181号文附件的标准格式，必须按该格式填写；本声明函由供应商填写，请认真阅读相关政策文件；</w:t>
      </w:r>
    </w:p>
    <w:p>
      <w:pPr>
        <w:widowControl/>
        <w:shd w:val="clear" w:color="auto" w:fill="auto"/>
        <w:spacing w:before="120" w:after="120" w:line="440" w:lineRule="exact"/>
        <w:rPr>
          <w:rFonts w:hint="eastAsia"/>
          <w:color w:val="auto"/>
          <w:kern w:val="0"/>
          <w:sz w:val="21"/>
          <w:szCs w:val="21"/>
          <w:highlight w:val="none"/>
          <w:lang w:bidi="zh-CN"/>
        </w:rPr>
      </w:pPr>
      <w:r>
        <w:rPr>
          <w:rFonts w:hint="eastAsia"/>
          <w:color w:val="auto"/>
          <w:kern w:val="0"/>
          <w:sz w:val="21"/>
          <w:szCs w:val="21"/>
          <w:highlight w:val="none"/>
          <w:lang w:bidi="zh-CN"/>
        </w:rPr>
        <w:t>2、如供应商提供本企业制造的货物或者由本企业承担工程、提供服务的，请在相应文字处后面打钩，如“提供本企业制造的货物（√）” “由本企业承担工程（√）、提供服务（√）”。如供应商是代理商，提供其他企业制造的货物，请如实填写其他企业的划分类型并对其真实性负责；</w:t>
      </w:r>
    </w:p>
    <w:p>
      <w:pPr>
        <w:widowControl/>
        <w:shd w:val="clear" w:color="auto" w:fill="auto"/>
        <w:spacing w:before="120" w:after="120" w:line="440" w:lineRule="exact"/>
        <w:rPr>
          <w:rFonts w:ascii="宋体" w:hAnsi="Courier New"/>
          <w:color w:val="auto"/>
          <w:spacing w:val="-4"/>
          <w:sz w:val="21"/>
          <w:szCs w:val="21"/>
          <w:highlight w:val="none"/>
        </w:rPr>
      </w:pPr>
      <w:r>
        <w:rPr>
          <w:rFonts w:hint="eastAsia"/>
          <w:color w:val="auto"/>
          <w:kern w:val="0"/>
          <w:sz w:val="21"/>
          <w:szCs w:val="21"/>
          <w:highlight w:val="none"/>
          <w:lang w:bidi="zh-CN"/>
        </w:rPr>
        <w:t>3、小型、微型企业提供中型企业制造的货物时视同中型企业，因此，只有小微企业提供自己的货物或者小微企业提供其他小微企业的货物时，供应商才算小微企业，才能享受评标标准里的价格扣除优惠。</w:t>
      </w:r>
    </w:p>
    <w:p>
      <w:pPr>
        <w:keepNext w:val="0"/>
        <w:keepLines w:val="0"/>
        <w:pageBreakBefore w:val="0"/>
        <w:widowControl w:val="0"/>
        <w:shd w:val="clear" w:color="auto" w:fill="auto"/>
        <w:kinsoku/>
        <w:wordWrap/>
        <w:overflowPunct/>
        <w:topLinePunct w:val="0"/>
        <w:autoSpaceDE/>
        <w:autoSpaceDN/>
        <w:bidi w:val="0"/>
        <w:adjustRightInd/>
        <w:snapToGrid w:val="0"/>
        <w:spacing w:before="120" w:beforeLines="50" w:after="50" w:line="440" w:lineRule="exact"/>
        <w:jc w:val="center"/>
        <w:textAlignment w:val="auto"/>
        <w:outlineLvl w:val="2"/>
        <w:rPr>
          <w:rFonts w:hint="eastAsia"/>
          <w:b/>
          <w:color w:val="auto"/>
          <w:sz w:val="28"/>
          <w:szCs w:val="28"/>
          <w:highlight w:val="none"/>
          <w:shd w:val="clear" w:color="auto" w:fill="auto"/>
        </w:rPr>
      </w:pPr>
      <w:r>
        <w:rPr>
          <w:rFonts w:hint="eastAsia"/>
          <w:b/>
          <w:color w:val="auto"/>
          <w:sz w:val="28"/>
          <w:szCs w:val="28"/>
          <w:highlight w:val="none"/>
          <w:shd w:val="clear" w:color="auto" w:fill="auto"/>
        </w:rPr>
        <w:br w:type="page"/>
      </w:r>
      <w:r>
        <w:rPr>
          <w:rFonts w:hint="eastAsia"/>
          <w:b/>
          <w:color w:val="auto"/>
          <w:sz w:val="28"/>
          <w:szCs w:val="28"/>
          <w:highlight w:val="none"/>
          <w:shd w:val="clear" w:color="auto" w:fill="auto"/>
        </w:rPr>
        <w:t>残疾人福利性单位声明函</w:t>
      </w:r>
    </w:p>
    <w:p>
      <w:pPr>
        <w:widowControl/>
        <w:shd w:val="clear" w:color="auto" w:fill="auto"/>
        <w:spacing w:line="360" w:lineRule="auto"/>
        <w:rPr>
          <w:rFonts w:hint="eastAsia"/>
          <w:color w:val="auto"/>
          <w:highlight w:val="none"/>
          <w:shd w:val="clear" w:color="auto" w:fill="auto"/>
        </w:rPr>
      </w:pPr>
    </w:p>
    <w:p>
      <w:pPr>
        <w:widowControl/>
        <w:shd w:val="clear" w:color="auto" w:fill="auto"/>
        <w:spacing w:line="360" w:lineRule="auto"/>
        <w:ind w:firstLine="420" w:firstLineChars="200"/>
        <w:rPr>
          <w:rFonts w:hint="eastAsia"/>
          <w:color w:val="auto"/>
          <w:sz w:val="21"/>
          <w:szCs w:val="21"/>
          <w:highlight w:val="none"/>
          <w:shd w:val="clear" w:color="auto" w:fill="auto"/>
        </w:rPr>
      </w:pPr>
      <w:r>
        <w:rPr>
          <w:rFonts w:hint="eastAsia"/>
          <w:color w:val="auto"/>
          <w:sz w:val="21"/>
          <w:szCs w:val="21"/>
          <w:highlight w:val="none"/>
          <w:shd w:val="clear" w:color="auto" w:fill="auto"/>
        </w:rPr>
        <w:t>1.本单位郑重声明，根据《财政部 民政部 中国残疾人联合会关于促进残疾人就业政府采购政策的通知》（财库〔2017〕141号）的规定，本单位_____（填写：为符合或者不符合）条件的残疾人福利性单位，且本单位参加_____单位的_____项目采购活动提供本单位提供服务，或者提供其他残疾人福利性单位制造的货物（不包括使用非残疾人福利性单位注册商标的货物）。</w:t>
      </w:r>
    </w:p>
    <w:p>
      <w:pPr>
        <w:widowControl/>
        <w:shd w:val="clear" w:color="auto" w:fill="auto"/>
        <w:spacing w:line="360" w:lineRule="auto"/>
        <w:ind w:firstLine="420" w:firstLineChars="200"/>
        <w:rPr>
          <w:rFonts w:hint="eastAsia"/>
          <w:color w:val="auto"/>
          <w:sz w:val="21"/>
          <w:szCs w:val="21"/>
          <w:highlight w:val="none"/>
          <w:shd w:val="clear" w:color="auto" w:fill="auto"/>
        </w:rPr>
      </w:pPr>
      <w:r>
        <w:rPr>
          <w:rFonts w:hint="eastAsia"/>
          <w:color w:val="auto"/>
          <w:sz w:val="21"/>
          <w:szCs w:val="21"/>
          <w:highlight w:val="none"/>
          <w:shd w:val="clear" w:color="auto" w:fill="auto"/>
        </w:rPr>
        <w:t>2.本单位对上述声明的真实性负责。如有虚假，将依法承担相应责任。</w:t>
      </w:r>
    </w:p>
    <w:p>
      <w:pPr>
        <w:widowControl/>
        <w:shd w:val="clear" w:color="auto" w:fill="auto"/>
        <w:tabs>
          <w:tab w:val="left" w:pos="4860"/>
        </w:tabs>
        <w:spacing w:line="360" w:lineRule="auto"/>
        <w:ind w:right="1560" w:firstLine="420" w:firstLineChars="200"/>
        <w:jc w:val="center"/>
        <w:rPr>
          <w:rFonts w:hint="eastAsia"/>
          <w:color w:val="auto"/>
          <w:spacing w:val="6"/>
          <w:sz w:val="21"/>
          <w:szCs w:val="21"/>
          <w:highlight w:val="none"/>
          <w:shd w:val="clear" w:color="auto" w:fill="auto"/>
        </w:rPr>
      </w:pPr>
      <w:r>
        <w:rPr>
          <w:rFonts w:hint="eastAsia"/>
          <w:color w:val="auto"/>
          <w:sz w:val="21"/>
          <w:szCs w:val="21"/>
          <w:highlight w:val="none"/>
          <w:shd w:val="clear" w:color="auto" w:fill="auto"/>
        </w:rPr>
        <w:t xml:space="preserve">                                       </w:t>
      </w:r>
      <w:r>
        <w:rPr>
          <w:rFonts w:hint="eastAsia"/>
          <w:color w:val="auto"/>
          <w:spacing w:val="6"/>
          <w:sz w:val="21"/>
          <w:szCs w:val="21"/>
          <w:highlight w:val="none"/>
          <w:shd w:val="clear" w:color="auto" w:fill="auto"/>
        </w:rPr>
        <w:t xml:space="preserve">企业名称（盖章）： </w:t>
      </w:r>
    </w:p>
    <w:p>
      <w:pPr>
        <w:shd w:val="clear" w:color="auto" w:fill="auto"/>
        <w:spacing w:line="360" w:lineRule="auto"/>
        <w:rPr>
          <w:rFonts w:hint="eastAsia"/>
          <w:color w:val="auto"/>
          <w:spacing w:val="6"/>
          <w:sz w:val="21"/>
          <w:szCs w:val="21"/>
          <w:highlight w:val="none"/>
          <w:shd w:val="clear" w:color="auto" w:fill="auto"/>
        </w:rPr>
      </w:pPr>
      <w:r>
        <w:rPr>
          <w:rFonts w:hint="eastAsia"/>
          <w:color w:val="auto"/>
          <w:spacing w:val="6"/>
          <w:sz w:val="21"/>
          <w:szCs w:val="21"/>
          <w:highlight w:val="none"/>
          <w:shd w:val="clear" w:color="auto" w:fill="auto"/>
        </w:rPr>
        <w:t xml:space="preserve">                                        </w:t>
      </w:r>
      <w:r>
        <w:rPr>
          <w:rFonts w:hint="eastAsia"/>
          <w:color w:val="auto"/>
          <w:spacing w:val="6"/>
          <w:sz w:val="21"/>
          <w:szCs w:val="21"/>
          <w:highlight w:val="none"/>
          <w:shd w:val="clear" w:color="auto" w:fill="auto"/>
          <w:lang w:val="en-US"/>
        </w:rPr>
        <w:t xml:space="preserve">              </w:t>
      </w:r>
      <w:r>
        <w:rPr>
          <w:rFonts w:hint="eastAsia"/>
          <w:color w:val="auto"/>
          <w:spacing w:val="6"/>
          <w:sz w:val="21"/>
          <w:szCs w:val="21"/>
          <w:highlight w:val="none"/>
          <w:shd w:val="clear" w:color="auto" w:fill="auto"/>
        </w:rPr>
        <w:t>日  期：</w:t>
      </w:r>
    </w:p>
    <w:p>
      <w:pPr>
        <w:shd w:val="clear" w:color="auto" w:fill="auto"/>
        <w:spacing w:line="360" w:lineRule="auto"/>
        <w:rPr>
          <w:rFonts w:hint="eastAsia"/>
          <w:b/>
          <w:bCs/>
          <w:color w:val="auto"/>
          <w:sz w:val="21"/>
          <w:szCs w:val="21"/>
          <w:highlight w:val="none"/>
          <w:shd w:val="clear" w:color="auto" w:fill="auto"/>
        </w:rPr>
      </w:pPr>
    </w:p>
    <w:p>
      <w:pPr>
        <w:shd w:val="clear" w:color="auto" w:fill="auto"/>
        <w:spacing w:line="360" w:lineRule="auto"/>
        <w:rPr>
          <w:rFonts w:hint="eastAsia"/>
          <w:b/>
          <w:bCs/>
          <w:color w:val="auto"/>
          <w:sz w:val="21"/>
          <w:szCs w:val="21"/>
          <w:highlight w:val="none"/>
          <w:shd w:val="clear" w:color="auto" w:fill="auto"/>
        </w:rPr>
      </w:pPr>
    </w:p>
    <w:p>
      <w:pPr>
        <w:shd w:val="clear" w:color="auto" w:fill="auto"/>
        <w:spacing w:line="360" w:lineRule="auto"/>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投标人如为非残疾人福利性单位的，可不提供本声明函。</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注：</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1、如投标人为非残疾人福利性单位的可不提供本声明函。</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2、享受政府采购支持政策的残疾人福利性单位应当同时满足以下条件：</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（一）安置的残疾人占本单位在职职工人数的比例不低于25%（含25%），并且安置的残疾人人数不少于10人（含10人）；</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（二）依法与安置的每位残疾人签订了一年以上（含一年）的劳动合同或服务协议；</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（三）为安置的每位残疾人按月足额缴纳了基本养老保险、基本医疗保险、失业保险、工伤保险和生育保险等社会保险费；</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（四）通过银行等金融机构向安置的每位残疾人，按月支付了不低于单位所在区县适用的经省级人民政府批准的月最低工资标准的工资；</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（五）提供本单位制造的货物、承担的工程或者服务（以下简称产品），或者提供其他残疾人福利性单位制造的货物（不包括使用非残疾人福利性单位注册商标的货物）。</w:t>
      </w:r>
    </w:p>
    <w:p>
      <w:pPr>
        <w:widowControl/>
        <w:shd w:val="clear" w:color="auto" w:fill="auto"/>
        <w:spacing w:line="360" w:lineRule="auto"/>
        <w:rPr>
          <w:rFonts w:hint="eastAsia"/>
          <w:color w:val="auto"/>
          <w:sz w:val="21"/>
          <w:szCs w:val="21"/>
          <w:highlight w:val="none"/>
          <w:shd w:val="clear" w:color="auto" w:fill="auto"/>
        </w:rPr>
      </w:pPr>
      <w:r>
        <w:rPr>
          <w:rFonts w:hint="eastAsia"/>
          <w:color w:val="auto"/>
          <w:sz w:val="21"/>
          <w:szCs w:val="21"/>
          <w:highlight w:val="none"/>
          <w:shd w:val="clear" w:color="auto" w:fil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shd w:val="clear" w:color="auto" w:fill="auto"/>
        <w:kinsoku/>
        <w:wordWrap/>
        <w:overflowPunct/>
        <w:topLinePunct w:val="0"/>
        <w:autoSpaceDE/>
        <w:autoSpaceDN/>
        <w:bidi w:val="0"/>
        <w:adjustRightInd/>
        <w:snapToGrid/>
        <w:spacing w:line="588" w:lineRule="exact"/>
        <w:jc w:val="center"/>
        <w:textAlignment w:val="auto"/>
        <w:outlineLvl w:val="2"/>
        <w:rPr>
          <w:rFonts w:ascii="宋体" w:hAnsi="宋体" w:cs="宋体"/>
          <w:b/>
          <w:color w:val="auto"/>
          <w:spacing w:val="6"/>
          <w:sz w:val="32"/>
          <w:szCs w:val="32"/>
          <w:highlight w:val="none"/>
        </w:rPr>
      </w:pPr>
      <w:r>
        <w:rPr>
          <w:color w:val="auto"/>
          <w:highlight w:val="none"/>
        </w:rPr>
        <w:br w:type="page"/>
      </w:r>
      <w:r>
        <w:rPr>
          <w:rFonts w:hint="eastAsia" w:ascii="宋体" w:hAnsi="宋体" w:cs="宋体"/>
          <w:b/>
          <w:color w:val="auto"/>
          <w:spacing w:val="6"/>
          <w:sz w:val="32"/>
          <w:szCs w:val="32"/>
          <w:highlight w:val="none"/>
        </w:rPr>
        <w:t>政府采购统计基础信息表</w:t>
      </w:r>
    </w:p>
    <w:p>
      <w:pPr>
        <w:pStyle w:val="203"/>
        <w:shd w:val="clear" w:color="auto" w:fill="auto"/>
        <w:ind w:firstLine="420"/>
        <w:rPr>
          <w:color w:val="auto"/>
          <w:highlight w:val="none"/>
        </w:rPr>
      </w:pPr>
    </w:p>
    <w:tbl>
      <w:tblPr>
        <w:tblStyle w:val="50"/>
        <w:tblW w:w="0" w:type="auto"/>
        <w:jc w:val="center"/>
        <w:tblLayout w:type="fixed"/>
        <w:tblCellMar>
          <w:top w:w="0" w:type="dxa"/>
          <w:left w:w="108" w:type="dxa"/>
          <w:bottom w:w="0" w:type="dxa"/>
          <w:right w:w="108" w:type="dxa"/>
        </w:tblCellMar>
      </w:tblPr>
      <w:tblGrid>
        <w:gridCol w:w="4219"/>
        <w:gridCol w:w="5375"/>
      </w:tblGrid>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采购人及采购项目名称</w:t>
            </w:r>
          </w:p>
        </w:tc>
        <w:tc>
          <w:tcPr>
            <w:tcW w:w="5375" w:type="dxa"/>
            <w:tcBorders>
              <w:top w:val="single" w:color="000000" w:sz="4" w:space="0"/>
              <w:left w:val="nil"/>
              <w:bottom w:val="single" w:color="000000" w:sz="4" w:space="0"/>
              <w:right w:val="single" w:color="000000" w:sz="4" w:space="0"/>
            </w:tcBorders>
            <w:noWrap w:val="0"/>
            <w:vAlign w:val="top"/>
          </w:tcPr>
          <w:p>
            <w:pPr>
              <w:shd w:val="clear" w:color="auto" w:fill="auto"/>
              <w:ind w:firstLine="444" w:firstLineChars="200"/>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投（中）标单位名称</w:t>
            </w:r>
          </w:p>
        </w:tc>
        <w:tc>
          <w:tcPr>
            <w:tcW w:w="5375" w:type="dxa"/>
            <w:tcBorders>
              <w:top w:val="single" w:color="000000" w:sz="4" w:space="0"/>
              <w:left w:val="nil"/>
              <w:bottom w:val="single" w:color="000000" w:sz="4" w:space="0"/>
              <w:right w:val="single" w:color="000000" w:sz="4" w:space="0"/>
            </w:tcBorders>
            <w:noWrap w:val="0"/>
            <w:vAlign w:val="top"/>
          </w:tcPr>
          <w:p>
            <w:pPr>
              <w:shd w:val="clear" w:color="auto" w:fill="auto"/>
              <w:ind w:firstLine="444" w:firstLineChars="200"/>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是否国内企业</w:t>
            </w:r>
          </w:p>
        </w:tc>
        <w:tc>
          <w:tcPr>
            <w:tcW w:w="5375" w:type="dxa"/>
            <w:tcBorders>
              <w:top w:val="single" w:color="000000" w:sz="4" w:space="0"/>
              <w:left w:val="nil"/>
              <w:bottom w:val="single" w:color="000000" w:sz="4" w:space="0"/>
              <w:right w:val="single" w:color="000000" w:sz="4" w:space="0"/>
            </w:tcBorders>
            <w:noWrap w:val="0"/>
            <w:vAlign w:val="top"/>
          </w:tcPr>
          <w:p>
            <w:pPr>
              <w:shd w:val="clear" w:color="auto" w:fill="auto"/>
              <w:ind w:firstLine="444" w:firstLineChars="200"/>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是否宁波企业</w:t>
            </w:r>
          </w:p>
        </w:tc>
        <w:tc>
          <w:tcPr>
            <w:tcW w:w="5375" w:type="dxa"/>
            <w:tcBorders>
              <w:top w:val="single" w:color="000000" w:sz="4" w:space="0"/>
              <w:left w:val="nil"/>
              <w:bottom w:val="single" w:color="000000" w:sz="4" w:space="0"/>
              <w:right w:val="single" w:color="000000" w:sz="4" w:space="0"/>
            </w:tcBorders>
            <w:noWrap w:val="0"/>
            <w:vAlign w:val="top"/>
          </w:tcPr>
          <w:p>
            <w:pPr>
              <w:shd w:val="clear" w:color="auto" w:fill="auto"/>
              <w:ind w:firstLine="444" w:firstLineChars="200"/>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企业划分标准类型（大型、中型、小型、微型）</w:t>
            </w:r>
          </w:p>
        </w:tc>
        <w:tc>
          <w:tcPr>
            <w:tcW w:w="5375" w:type="dxa"/>
            <w:tcBorders>
              <w:top w:val="single" w:color="000000" w:sz="4" w:space="0"/>
              <w:left w:val="nil"/>
              <w:bottom w:val="single" w:color="000000" w:sz="4" w:space="0"/>
              <w:right w:val="single" w:color="000000" w:sz="4" w:space="0"/>
            </w:tcBorders>
            <w:noWrap w:val="0"/>
            <w:vAlign w:val="top"/>
          </w:tcPr>
          <w:p>
            <w:pPr>
              <w:shd w:val="clear" w:color="auto" w:fill="auto"/>
              <w:ind w:firstLine="444" w:firstLineChars="200"/>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提供的货物是否本企业制造</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货物原产地是否是中国境内</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货物原产地是否是宁波</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是节能清单产品</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提供的货物是否是环境标志清单产品</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承担的工程或服务是否本企业提供</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本项目预算</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本项目是否专门面向中小企业采购</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tr>
        <w:tblPrEx>
          <w:tblCellMar>
            <w:top w:w="0" w:type="dxa"/>
            <w:left w:w="108" w:type="dxa"/>
            <w:bottom w:w="0" w:type="dxa"/>
            <w:right w:w="108" w:type="dxa"/>
          </w:tblCellMar>
        </w:tblPrEx>
        <w:trPr>
          <w:trHeight w:val="612" w:hRule="atLeast"/>
          <w:jc w:val="center"/>
        </w:trPr>
        <w:tc>
          <w:tcPr>
            <w:tcW w:w="4219"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投（中）标金额（万元）</w:t>
            </w:r>
          </w:p>
        </w:tc>
        <w:tc>
          <w:tcPr>
            <w:tcW w:w="5375" w:type="dxa"/>
            <w:tcBorders>
              <w:top w:val="single" w:color="000000" w:sz="4" w:space="0"/>
              <w:left w:val="nil"/>
              <w:bottom w:val="single" w:color="000000" w:sz="4" w:space="0"/>
              <w:right w:val="single" w:color="000000" w:sz="4" w:space="0"/>
            </w:tcBorders>
            <w:noWrap w:val="0"/>
            <w:vAlign w:val="center"/>
          </w:tcPr>
          <w:p>
            <w:pPr>
              <w:shd w:val="clear" w:color="auto" w:fill="auto"/>
              <w:ind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w:t>
            </w:r>
          </w:p>
        </w:tc>
      </w:tr>
      <w:bookmarkEnd w:id="94"/>
    </w:tbl>
    <w:p>
      <w:pPr>
        <w:shd w:val="clear" w:color="auto" w:fill="auto"/>
        <w:tabs>
          <w:tab w:val="left" w:pos="7480"/>
        </w:tabs>
        <w:autoSpaceDE w:val="0"/>
        <w:autoSpaceDN w:val="0"/>
        <w:adjustRightInd w:val="0"/>
        <w:spacing w:line="360" w:lineRule="exact"/>
        <w:rPr>
          <w:rFonts w:hAnsi="宋体"/>
          <w:color w:val="auto"/>
          <w:highlight w:val="none"/>
        </w:rPr>
      </w:pPr>
    </w:p>
    <w:p>
      <w:pPr>
        <w:widowControl/>
        <w:shd w:val="clear" w:color="auto" w:fill="auto"/>
        <w:spacing w:line="360" w:lineRule="auto"/>
        <w:rPr>
          <w:rFonts w:hint="eastAsia"/>
          <w:color w:val="auto"/>
          <w:sz w:val="21"/>
          <w:szCs w:val="21"/>
          <w:highlight w:val="none"/>
        </w:rPr>
      </w:pPr>
    </w:p>
    <w:sectPr>
      <w:pgSz w:w="11906" w:h="16838"/>
      <w:pgMar w:top="1417" w:right="1701" w:bottom="1417" w:left="1701" w:header="851" w:footer="850" w:gutter="0"/>
      <w:paperSrc/>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Unicode MS">
    <w:altName w:val="Arial"/>
    <w:panose1 w:val="020B0604020202020204"/>
    <w:charset w:val="80"/>
    <w:family w:val="swiss"/>
    <w:pitch w:val="default"/>
    <w:sig w:usb0="FFFFFFFF" w:usb1="E9FFFFFF" w:usb2="0000003F" w:usb3="00000000" w:csb0="603F01FF" w:csb1="FFFF0000"/>
  </w:font>
  <w:font w:name="宋体..鍼笁鍼.">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33" name="文本框 1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3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 AQAADwAAAGRycy9kb3ducmV2LnhtbE2PwWrDMBBE74X8g9hAb43sBFrjWs4h0EtvTUuht421sUyl lZEUx/77Kr20l4Vhhpm3zX52VkwU4uBZQbkpQBB3Xg/cK/h4f3moQMSErNF6JgULRdi3q7sGa+2v /EbTMfUil3CsUYFJaayljJ0hh3HjR+LsnX1wmLIMvdQBr7ncWbktikfpcOC8YHCkg6Hu+3hxCp7m T09jpAN9nacumGGp7Oui1P26LJ5BJJrTXxhu+Bkd2sx08hfWUVgF+ZH0e29eVYI4KdjudiDbRv5n b38AUEsDBBQAAAAIAIdO4kDED66q5QEAAL4DAAAOAAAAZHJzL2Uyb0RvYy54bWytU82O0zAQviPx DpbvNM12y7JR3RVQLUJCgLTwAK7jNJb8p7HbpDwAvAEnLtx5rj4HYyfpwnLZA5dkPB5/832fx6ub 3mhykBCUs4yWszkl0gpXK7tj9POn22cvKAmR25prZyWjRxnozfrpk1XnK3nhWqdrCQRBbKg6z2gb o6+KIohWGh5mzkuLm40DwyMuYVfUwDtEN7q4mM+fF52D2oMTMgTMboZNOiLCYwBd0yghN07sjbRx QAWpeURJoVU+0HVm2zRSxA9NE2QkmlFUGvMXm2C8Td9iveLVDrhvlRgp8MdQeKDJcGWx6RlqwyMn e1D/QBklwAXXxJlwphiEZEdQRTl/4M1dy73MWtDq4M+mh/8HK94fPgJRNaOLBSWWG7zx0/dvpx+/ Tj+/kvIqGdT5UGHdncfK2L9yPY7NlA+YTLr7Bkz6oyKC+2jv8Wyv7CMR6VB5eb1YUiJwq7y8ul4u E0pxf9hDiG+kMyQFjALeXjaVH96FOJROJamXdbdK63yD2v6VQMyUKRLzgWGKYr/tRzlbVx9RDT4D 7NM6+EJJh0PAqMWZp0S/tehxmpcpgCnYTgG3Ag8yGikZwtdxmKu9B7Vr86QlUsG/3EdkmgUkGkPv kR1ea7ZgHME0N3+uc9X9s1v/BlBLAwQKAAAAAACHTuJAAAAAAAAAAAAAAAAABgAAAF9yZWxzL1BL AwQUAAAACACHTuJAihRmPNEAAACUAQAACwAAAF9yZWxzLy5yZWxzpZDBasMwDIbvg72D0X1xmsMY o04vo9Br6R7A2IpjGltGMtn69vMOg2X0tqN+oe8T//7wmRa1IkukbGDX9aAwO/IxBwPvl+PTCyip Nnu7UEYDNxQ4jI8P+zMutrYjmWMR1ShZDMy1lletxc2YrHRUMLfNRJxsbSMHXay72oB66Ptnzb8Z MG6Y6uQN8MkPoC630sx/2Ck6JqGpdo6SpmmK7h5VB7Zlju7INuEbuUazHLAa8CwaB2pZ134EfV+/ +6fe00c+47rVfoeM649Xb7ocvwBQSwMEFAAAAAgAh07iQH7m5SD3AAAA4QEAABMAAABbQ29udGVu dF9UeXBlc10ueG1slZFBTsMwEEX3SNzB8hYlTrtACCXpgrRLQKgcYGRPEotkbHlMaG+Pk7YbRJFY 2jP/vye73BzGQUwY2Dqq5CovpEDSzljqKvm+32UPUnAEMjA4wkoekeWmvr0p90ePLFKauJJ9jP5R KdY9jsC580hp0rowQkzH0CkP+gM6VOuiuFfaUUSKWZw7ZF022MLnEMX2kK5PJgEHluLptDizKgne D1ZDTKZqIvODkp0JeUouO9xbz3dJQ6pfCfPkOuCce0lPE6xB8QohPsOYNJQJrIz7ooBT/nfJbDly 5trWasybwE2KveF0sbrWjmvXOP3f8u2SunSr5YPqb1BLAQIUABQAAAAIAIdO4kB+5uUg9wAAAOEB AAATAAAAAAAAAAEAIAAAAE8EAABbQ29udGVudF9UeXBlc10ueG1sUEsBAhQACgAAAAAAh07iQAAA AAAAAAAAAAAAAAYAAAAAAAAAAAAQAAAAMQMAAF9yZWxzL1BLAQIUABQAAAAIAIdO4kCKFGY80QAA AJQBAAALAAAAAAAAAAEAIAAAAFUDAABfcmVscy8ucmVsc1BLAQIUAAoAAAAAAIdO4kAAAAAAAAAA AAAAAAAEAAAAAAAAAAAAEAAAAAAAAABkcnMvUEsBAhQAFAAAAAgAh07iQGulvw/RAAAAAwEAAA8A AAAAAAAAAQAgAAAAIgAAAGRycy9kb3ducmV2LnhtbFBLAQIUABQAAAAIAIdO4kDED66q5QEAAL4D AAAOAAAAAAAAAAEAIAAAACABAABkcnMvZTJvRG9jLnhtbFBLBQYAAAAABgAGAFkBAAB3BQAAAAA= ">
              <v:fill on="f" focussize="0,0"/>
              <v:stroke on="f"/>
              <v:imagedata o:title=""/>
              <o:lock v:ext="edit" aspectratio="f"/>
              <v:textbox inset="0mm,0mm,0mm,0mm" style="mso-fit-shape-to-text:t;">
                <w:txbxContent>
                  <w:p>
                    <w:pPr>
                      <w:pStyle w:val="3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3"/>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111</w:t>
                          </w:r>
                          <w:r>
                            <w:rPr>
                              <w:rFonts w:hint="eastAsia" w:ascii="宋体" w:hAnsi="宋体" w:eastAsia="宋体" w:cs="宋体"/>
                            </w:rPr>
                            <w:fldChar w:fldCharType="end"/>
                          </w:r>
                          <w:r>
                            <w:rPr>
                              <w:rFonts w:hint="eastAsia" w:ascii="宋体" w:hAnsi="宋体" w:eastAsia="宋体" w:cs="宋体"/>
                            </w:rPr>
                            <w:t xml:space="preserve"> 页</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qQ2lwt8BAAC/AwAADgAAAGRycy9lMm9Eb2MueG1srVPNjtMwEL4j8Q6W 7zTZ8qMqaroCqkVICJAWHsB1nMaS/+SZNikPAG/AiQt3nqvPwdhJurBc9sAlGc+Mv5nvm/H6erCG HVUE7V3NrxYlZ8pJ32i3r/nnTzdPVpwBCtcI452q+UkBv948frTuQ6WWvvOmUZERiIOqDzXvEENV FCA7ZQUsfFCOgq2PViAd475oougJ3ZpiWZYvit7HJkQvFQB5t2OQT4jxIYC+bbVUWy8PVjkcUaMy AokSdDoA3+Ru21ZJ/NC2oJCZmhNTzF8qQvYufYvNWlT7KEKn5dSCeEgL9zhZoR0VvUBtBQp2iPof KKtl9OBbXEhvi5FIVoRYXJX3tLntRFCZC0kN4SI6/D9Y+f74MTLd1PzpM86csDTx8/dv5x+/zj+/ sudJnz5ARWm3gRJxeOUH2prZD+RMtIc22vQnQozipO7poq4akMl0abVcrUoKSYrNB8Iv7q6HCPhG ecuSUfNI48uqiuM7wDF1TknVnL/RxuQRGveXgzCTp0i9jz0mC4fdMBHa+eZEfOgdUJ3Oxy+c9bQF NXe09JyZt45ETgszG3E2drMhnKSLNUfORvM1jot1CFHvu7xqqSkILw9InWYCqY2x9tQdzTVLMO1g Wpw/zznr7t1tfgN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BHBAAAW0NvbnRlbnRfVHlwZXNdLnhtbFBLAQIUAAoAAAAAAIdO4kAAAAAAAAAAAAAA AAAGAAAAAAAAAAAAEAAAACkDAABfcmVscy9QSwECFAAUAAAACACHTuJAihRmPNEAAACUAQAACwAA AAAAAAABACAAAABNAwAAX3JlbHMvLnJlbHNQSwECFAAKAAAAAACHTuJAAAAAAAAAAAAAAAAABAAA AAAAAAAAABAAAAAAAAAAZHJzL1BLAQIUABQAAAAIAIdO4kDOqXm5zwAAAAUBAAAPAAAAAAAAAAEA IAAAACIAAABkcnMvZG93bnJldi54bWxQSwECFAAUAAAACACHTuJAqQ2lwt8BAAC/AwAADgAAAAAA AAABACAAAAAeAQAAZHJzL2Uyb0RvYy54bWxQSwUGAAAAAAYABgBZAQAAbwUAAAAA ">
              <v:fill on="f" focussize="0,0"/>
              <v:stroke on="f"/>
              <v:imagedata o:title=""/>
              <o:lock v:ext="edit" aspectratio="f"/>
              <v:textbox inset="0mm,0mm,0mm,0mm" style="mso-fit-shape-to-text:t;">
                <w:txbxContent>
                  <w:p>
                    <w:pPr>
                      <w:pStyle w:val="33"/>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111</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F77BF"/>
    <w:multiLevelType w:val="singleLevel"/>
    <w:tmpl w:val="873F77BF"/>
    <w:lvl w:ilvl="0" w:tentative="0">
      <w:start w:val="1"/>
      <w:numFmt w:val="chineseCounting"/>
      <w:pStyle w:val="252"/>
      <w:suff w:val="nothing"/>
      <w:lvlText w:val="%1、"/>
      <w:lvlJc w:val="left"/>
      <w:rPr>
        <w:rFonts w:hint="eastAsia"/>
      </w:rPr>
    </w:lvl>
  </w:abstractNum>
  <w:abstractNum w:abstractNumId="1">
    <w:nsid w:val="8DC570EA"/>
    <w:multiLevelType w:val="singleLevel"/>
    <w:tmpl w:val="8DC570EA"/>
    <w:lvl w:ilvl="0" w:tentative="0">
      <w:start w:val="1"/>
      <w:numFmt w:val="decimal"/>
      <w:suff w:val="nothing"/>
      <w:lvlText w:val="%1．"/>
      <w:lvlJc w:val="left"/>
      <w:pPr>
        <w:ind w:left="0" w:firstLine="400"/>
      </w:pPr>
      <w:rPr>
        <w:rFonts w:hint="default"/>
      </w:rPr>
    </w:lvl>
  </w:abstractNum>
  <w:abstractNum w:abstractNumId="2">
    <w:nsid w:val="92C1DF86"/>
    <w:multiLevelType w:val="singleLevel"/>
    <w:tmpl w:val="92C1DF86"/>
    <w:lvl w:ilvl="0" w:tentative="0">
      <w:start w:val="1"/>
      <w:numFmt w:val="decimal"/>
      <w:suff w:val="nothing"/>
      <w:lvlText w:val="%1．"/>
      <w:lvlJc w:val="left"/>
      <w:pPr>
        <w:ind w:left="0" w:firstLine="400"/>
      </w:pPr>
      <w:rPr>
        <w:rFonts w:hint="default"/>
      </w:rPr>
    </w:lvl>
  </w:abstractNum>
  <w:abstractNum w:abstractNumId="3">
    <w:nsid w:val="959E6B7C"/>
    <w:multiLevelType w:val="singleLevel"/>
    <w:tmpl w:val="959E6B7C"/>
    <w:lvl w:ilvl="0" w:tentative="0">
      <w:start w:val="2"/>
      <w:numFmt w:val="decimal"/>
      <w:suff w:val="nothing"/>
      <w:lvlText w:val="%1．"/>
      <w:lvlJc w:val="left"/>
      <w:pPr>
        <w:ind w:left="0" w:firstLine="397"/>
      </w:pPr>
      <w:rPr>
        <w:rFonts w:hint="default"/>
      </w:rPr>
    </w:lvl>
  </w:abstractNum>
  <w:abstractNum w:abstractNumId="4">
    <w:nsid w:val="AE5FABBE"/>
    <w:multiLevelType w:val="singleLevel"/>
    <w:tmpl w:val="AE5FABBE"/>
    <w:lvl w:ilvl="0" w:tentative="0">
      <w:start w:val="1"/>
      <w:numFmt w:val="decimal"/>
      <w:suff w:val="nothing"/>
      <w:lvlText w:val="%1．"/>
      <w:lvlJc w:val="left"/>
      <w:pPr>
        <w:ind w:left="0" w:firstLine="400"/>
      </w:pPr>
      <w:rPr>
        <w:rFonts w:hint="default"/>
      </w:rPr>
    </w:lvl>
  </w:abstractNum>
  <w:abstractNum w:abstractNumId="5">
    <w:nsid w:val="B2DC1C4B"/>
    <w:multiLevelType w:val="singleLevel"/>
    <w:tmpl w:val="B2DC1C4B"/>
    <w:lvl w:ilvl="0" w:tentative="0">
      <w:start w:val="1"/>
      <w:numFmt w:val="decimal"/>
      <w:suff w:val="nothing"/>
      <w:lvlText w:val="%1．"/>
      <w:lvlJc w:val="left"/>
      <w:pPr>
        <w:ind w:left="0" w:firstLine="400"/>
      </w:pPr>
      <w:rPr>
        <w:rFonts w:hint="default"/>
      </w:rPr>
    </w:lvl>
  </w:abstractNum>
  <w:abstractNum w:abstractNumId="6">
    <w:nsid w:val="B426AB6B"/>
    <w:multiLevelType w:val="singleLevel"/>
    <w:tmpl w:val="B426AB6B"/>
    <w:lvl w:ilvl="0" w:tentative="0">
      <w:start w:val="1"/>
      <w:numFmt w:val="decimal"/>
      <w:suff w:val="nothing"/>
      <w:lvlText w:val="%1．"/>
      <w:lvlJc w:val="left"/>
      <w:pPr>
        <w:ind w:left="0" w:firstLine="400"/>
      </w:pPr>
      <w:rPr>
        <w:rFonts w:hint="default"/>
      </w:rPr>
    </w:lvl>
  </w:abstractNum>
  <w:abstractNum w:abstractNumId="7">
    <w:nsid w:val="BA5517B0"/>
    <w:multiLevelType w:val="singleLevel"/>
    <w:tmpl w:val="BA5517B0"/>
    <w:lvl w:ilvl="0" w:tentative="0">
      <w:start w:val="1"/>
      <w:numFmt w:val="decimal"/>
      <w:suff w:val="nothing"/>
      <w:lvlText w:val="%1．"/>
      <w:lvlJc w:val="left"/>
      <w:pPr>
        <w:ind w:left="0" w:firstLine="400"/>
      </w:pPr>
      <w:rPr>
        <w:rFonts w:hint="default"/>
      </w:rPr>
    </w:lvl>
  </w:abstractNum>
  <w:abstractNum w:abstractNumId="8">
    <w:nsid w:val="C4682144"/>
    <w:multiLevelType w:val="singleLevel"/>
    <w:tmpl w:val="C4682144"/>
    <w:lvl w:ilvl="0" w:tentative="0">
      <w:start w:val="1"/>
      <w:numFmt w:val="decimal"/>
      <w:suff w:val="nothing"/>
      <w:lvlText w:val="%1．"/>
      <w:lvlJc w:val="left"/>
      <w:pPr>
        <w:ind w:left="0" w:firstLine="400"/>
      </w:pPr>
      <w:rPr>
        <w:rFonts w:hint="default"/>
      </w:rPr>
    </w:lvl>
  </w:abstractNum>
  <w:abstractNum w:abstractNumId="9">
    <w:nsid w:val="D8C8647D"/>
    <w:multiLevelType w:val="singleLevel"/>
    <w:tmpl w:val="D8C8647D"/>
    <w:lvl w:ilvl="0" w:tentative="0">
      <w:start w:val="1"/>
      <w:numFmt w:val="decimal"/>
      <w:suff w:val="nothing"/>
      <w:lvlText w:val="%1．"/>
      <w:lvlJc w:val="left"/>
      <w:pPr>
        <w:ind w:left="0" w:firstLine="400"/>
      </w:pPr>
      <w:rPr>
        <w:rFonts w:hint="default"/>
      </w:rPr>
    </w:lvl>
  </w:abstractNum>
  <w:abstractNum w:abstractNumId="10">
    <w:nsid w:val="E3DFBACA"/>
    <w:multiLevelType w:val="singleLevel"/>
    <w:tmpl w:val="E3DFBACA"/>
    <w:lvl w:ilvl="0" w:tentative="0">
      <w:start w:val="1"/>
      <w:numFmt w:val="decimal"/>
      <w:suff w:val="nothing"/>
      <w:lvlText w:val="%1．"/>
      <w:lvlJc w:val="left"/>
      <w:pPr>
        <w:ind w:left="0" w:firstLine="400"/>
      </w:pPr>
      <w:rPr>
        <w:rFonts w:hint="default"/>
      </w:rPr>
    </w:lvl>
  </w:abstractNum>
  <w:abstractNum w:abstractNumId="11">
    <w:nsid w:val="E9FBB17A"/>
    <w:multiLevelType w:val="singleLevel"/>
    <w:tmpl w:val="E9FBB17A"/>
    <w:lvl w:ilvl="0" w:tentative="0">
      <w:start w:val="1"/>
      <w:numFmt w:val="decimal"/>
      <w:suff w:val="nothing"/>
      <w:lvlText w:val="%1．"/>
      <w:lvlJc w:val="left"/>
      <w:pPr>
        <w:ind w:left="0" w:firstLine="400"/>
      </w:pPr>
      <w:rPr>
        <w:rFonts w:hint="default"/>
      </w:rPr>
    </w:lvl>
  </w:abstractNum>
  <w:abstractNum w:abstractNumId="12">
    <w:nsid w:val="F92EF814"/>
    <w:multiLevelType w:val="singleLevel"/>
    <w:tmpl w:val="F92EF814"/>
    <w:lvl w:ilvl="0" w:tentative="0">
      <w:start w:val="1"/>
      <w:numFmt w:val="decimal"/>
      <w:suff w:val="nothing"/>
      <w:lvlText w:val="%1．"/>
      <w:lvlJc w:val="left"/>
      <w:pPr>
        <w:ind w:left="0" w:firstLine="400"/>
      </w:pPr>
      <w:rPr>
        <w:rFonts w:hint="default"/>
      </w:rPr>
    </w:lvl>
  </w:abstractNum>
  <w:abstractNum w:abstractNumId="13">
    <w:nsid w:val="00000010"/>
    <w:multiLevelType w:val="multilevel"/>
    <w:tmpl w:val="00000010"/>
    <w:lvl w:ilvl="0" w:tentative="0">
      <w:start w:val="1"/>
      <w:numFmt w:val="chineseCountingThousand"/>
      <w:lvlText w:val="第%1章 "/>
      <w:lvlJc w:val="left"/>
      <w:pPr>
        <w:tabs>
          <w:tab w:val="left" w:pos="420"/>
        </w:tabs>
        <w:ind w:left="420" w:hanging="420"/>
      </w:pPr>
      <w:rPr>
        <w:rFonts w:hint="eastAsia"/>
      </w:rPr>
    </w:lvl>
    <w:lvl w:ilvl="1" w:tentative="0">
      <w:start w:val="1"/>
      <w:numFmt w:val="chineseCountingThousand"/>
      <w:pStyle w:val="179"/>
      <w:lvlText w:val="第%2节"/>
      <w:lvlJc w:val="left"/>
      <w:pPr>
        <w:tabs>
          <w:tab w:val="left" w:pos="2315"/>
        </w:tabs>
        <w:ind w:left="2315" w:hanging="575"/>
      </w:pPr>
      <w:rPr>
        <w:rFonts w:hint="eastAsia"/>
      </w:rPr>
    </w:lvl>
    <w:lvl w:ilvl="2" w:tentative="0">
      <w:start w:val="1"/>
      <w:numFmt w:val="chineseCounting"/>
      <w:lvlText w:val="%3、"/>
      <w:lvlJc w:val="left"/>
      <w:pPr>
        <w:tabs>
          <w:tab w:val="left" w:pos="1020"/>
        </w:tabs>
        <w:ind w:left="1020" w:hanging="720"/>
      </w:pPr>
      <w:rPr>
        <w:rFonts w:hint="eastAsia" w:ascii="宋体" w:hAnsi="宋体" w:eastAsia="宋体"/>
      </w:rPr>
    </w:lvl>
    <w:lvl w:ilvl="3" w:tentative="0">
      <w:start w:val="1"/>
      <w:numFmt w:val="decimal"/>
      <w:lvlText w:val="%4"/>
      <w:lvlJc w:val="left"/>
      <w:pPr>
        <w:tabs>
          <w:tab w:val="left" w:pos="2604"/>
        </w:tabs>
        <w:ind w:left="2604" w:hanging="864"/>
      </w:pPr>
      <w:rPr>
        <w:rFonts w:hint="eastAsia" w:ascii="宋体" w:hAnsi="宋体" w:eastAsia="宋体"/>
      </w:rPr>
    </w:lvl>
    <w:lvl w:ilvl="4" w:tentative="0">
      <w:start w:val="1"/>
      <w:numFmt w:val="decimal"/>
      <w:lvlText w:val="%3.%4.%5"/>
      <w:lvlJc w:val="left"/>
      <w:pPr>
        <w:tabs>
          <w:tab w:val="left" w:pos="1008"/>
        </w:tabs>
        <w:ind w:left="1008" w:hanging="1008"/>
      </w:pPr>
      <w:rPr>
        <w:rFonts w:hint="eastAsia"/>
      </w:rPr>
    </w:lvl>
    <w:lvl w:ilvl="5" w:tentative="0">
      <w:start w:val="1"/>
      <w:numFmt w:val="decimal"/>
      <w:lvlText w:val="%1.%2.%3.%4.%5.%6."/>
      <w:lvlJc w:val="left"/>
      <w:pPr>
        <w:tabs>
          <w:tab w:val="left" w:pos="1151"/>
        </w:tabs>
        <w:ind w:left="1151" w:hanging="1151"/>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3"/>
        </w:tabs>
        <w:ind w:left="1583" w:hanging="1583"/>
      </w:pPr>
      <w:rPr>
        <w:rFonts w:hint="eastAsia"/>
      </w:rPr>
    </w:lvl>
  </w:abstractNum>
  <w:abstractNum w:abstractNumId="14">
    <w:nsid w:val="0084748A"/>
    <w:multiLevelType w:val="multilevel"/>
    <w:tmpl w:val="0084748A"/>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016830A5"/>
    <w:multiLevelType w:val="multilevel"/>
    <w:tmpl w:val="016830A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028304E6"/>
    <w:multiLevelType w:val="multilevel"/>
    <w:tmpl w:val="028304E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02DB3421"/>
    <w:multiLevelType w:val="multilevel"/>
    <w:tmpl w:val="02DB342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0488083D"/>
    <w:multiLevelType w:val="multilevel"/>
    <w:tmpl w:val="0488083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048F1BC9"/>
    <w:multiLevelType w:val="multilevel"/>
    <w:tmpl w:val="048F1BC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082947D9"/>
    <w:multiLevelType w:val="multilevel"/>
    <w:tmpl w:val="082947D9"/>
    <w:lvl w:ilvl="0" w:tentative="0">
      <w:start w:val="1"/>
      <w:numFmt w:val="decimal"/>
      <w:lvlText w:val="%1）"/>
      <w:lvlJc w:val="left"/>
      <w:pPr>
        <w:ind w:left="735" w:hanging="31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BB5499C"/>
    <w:multiLevelType w:val="multilevel"/>
    <w:tmpl w:val="0BB5499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0BBC6344"/>
    <w:multiLevelType w:val="multilevel"/>
    <w:tmpl w:val="0BBC6344"/>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0D076939"/>
    <w:multiLevelType w:val="multilevel"/>
    <w:tmpl w:val="0D07693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11BF6F40"/>
    <w:multiLevelType w:val="multilevel"/>
    <w:tmpl w:val="11BF6F4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1E58D2C"/>
    <w:multiLevelType w:val="singleLevel"/>
    <w:tmpl w:val="11E58D2C"/>
    <w:lvl w:ilvl="0" w:tentative="0">
      <w:start w:val="1"/>
      <w:numFmt w:val="decimal"/>
      <w:suff w:val="nothing"/>
      <w:lvlText w:val="（%1）"/>
      <w:lvlJc w:val="left"/>
    </w:lvl>
  </w:abstractNum>
  <w:abstractNum w:abstractNumId="26">
    <w:nsid w:val="15895E09"/>
    <w:multiLevelType w:val="multilevel"/>
    <w:tmpl w:val="15895E0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5E105A1"/>
    <w:multiLevelType w:val="multilevel"/>
    <w:tmpl w:val="15E105A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17FD07C9"/>
    <w:multiLevelType w:val="multilevel"/>
    <w:tmpl w:val="17FD07C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19E51ADD"/>
    <w:multiLevelType w:val="multilevel"/>
    <w:tmpl w:val="19E51ADD"/>
    <w:lvl w:ilvl="0" w:tentative="0">
      <w:start w:val="1"/>
      <w:numFmt w:val="bullet"/>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560"/>
        </w:tabs>
        <w:ind w:left="1560" w:hanging="420"/>
      </w:pPr>
      <w:rPr>
        <w:rFonts w:hint="default" w:ascii="Wingdings" w:hAnsi="Wingdings"/>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abstractNum w:abstractNumId="30">
    <w:nsid w:val="1A7646AB"/>
    <w:multiLevelType w:val="multilevel"/>
    <w:tmpl w:val="1A7646AB"/>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1ADA4232"/>
    <w:multiLevelType w:val="multilevel"/>
    <w:tmpl w:val="1ADA423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1B7B8D6C"/>
    <w:multiLevelType w:val="singleLevel"/>
    <w:tmpl w:val="1B7B8D6C"/>
    <w:lvl w:ilvl="0" w:tentative="0">
      <w:start w:val="23"/>
      <w:numFmt w:val="decimal"/>
      <w:pStyle w:val="229"/>
      <w:lvlText w:val="%1."/>
      <w:lvlJc w:val="left"/>
      <w:pPr>
        <w:tabs>
          <w:tab w:val="left" w:pos="312"/>
        </w:tabs>
      </w:pPr>
    </w:lvl>
  </w:abstractNum>
  <w:abstractNum w:abstractNumId="33">
    <w:nsid w:val="1C0D4383"/>
    <w:multiLevelType w:val="multilevel"/>
    <w:tmpl w:val="1C0D438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1C8C62CB"/>
    <w:multiLevelType w:val="multilevel"/>
    <w:tmpl w:val="1C8C62C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1CD12652"/>
    <w:multiLevelType w:val="multilevel"/>
    <w:tmpl w:val="1CD1265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CE11DE1"/>
    <w:multiLevelType w:val="multilevel"/>
    <w:tmpl w:val="1CE11DE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1CE41E5C"/>
    <w:multiLevelType w:val="multilevel"/>
    <w:tmpl w:val="1CE41E5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8">
    <w:nsid w:val="1DB44959"/>
    <w:multiLevelType w:val="multilevel"/>
    <w:tmpl w:val="1DB44959"/>
    <w:lvl w:ilvl="0" w:tentative="0">
      <w:start w:val="1"/>
      <w:numFmt w:val="bullet"/>
      <w:lvlText w:val=""/>
      <w:lvlJc w:val="left"/>
      <w:pPr>
        <w:ind w:left="860" w:hanging="420"/>
      </w:pPr>
      <w:rPr>
        <w:rFonts w:hint="default" w:ascii="Wingdings" w:hAnsi="Wingdings"/>
      </w:rPr>
    </w:lvl>
    <w:lvl w:ilvl="1" w:tentative="0">
      <w:start w:val="1"/>
      <w:numFmt w:val="bullet"/>
      <w:lvlText w:val=""/>
      <w:lvlJc w:val="left"/>
      <w:pPr>
        <w:ind w:left="1280" w:hanging="420"/>
      </w:pPr>
      <w:rPr>
        <w:rFonts w:hint="default" w:ascii="Wingdings" w:hAnsi="Wingdings"/>
      </w:rPr>
    </w:lvl>
    <w:lvl w:ilvl="2" w:tentative="0">
      <w:start w:val="1"/>
      <w:numFmt w:val="bullet"/>
      <w:lvlText w:val=""/>
      <w:lvlJc w:val="left"/>
      <w:pPr>
        <w:ind w:left="1700" w:hanging="420"/>
      </w:pPr>
      <w:rPr>
        <w:rFonts w:hint="default" w:ascii="Wingdings" w:hAnsi="Wingdings"/>
      </w:rPr>
    </w:lvl>
    <w:lvl w:ilvl="3" w:tentative="0">
      <w:start w:val="1"/>
      <w:numFmt w:val="bullet"/>
      <w:lvlText w:val=""/>
      <w:lvlJc w:val="left"/>
      <w:pPr>
        <w:ind w:left="2120" w:hanging="420"/>
      </w:pPr>
      <w:rPr>
        <w:rFonts w:hint="default" w:ascii="Wingdings" w:hAnsi="Wingdings"/>
      </w:rPr>
    </w:lvl>
    <w:lvl w:ilvl="4" w:tentative="0">
      <w:start w:val="1"/>
      <w:numFmt w:val="bullet"/>
      <w:lvlText w:val=""/>
      <w:lvlJc w:val="left"/>
      <w:pPr>
        <w:ind w:left="2540" w:hanging="420"/>
      </w:pPr>
      <w:rPr>
        <w:rFonts w:hint="default" w:ascii="Wingdings" w:hAnsi="Wingdings"/>
      </w:rPr>
    </w:lvl>
    <w:lvl w:ilvl="5" w:tentative="0">
      <w:start w:val="1"/>
      <w:numFmt w:val="bullet"/>
      <w:lvlText w:val=""/>
      <w:lvlJc w:val="left"/>
      <w:pPr>
        <w:ind w:left="2960" w:hanging="420"/>
      </w:pPr>
      <w:rPr>
        <w:rFonts w:hint="default" w:ascii="Wingdings" w:hAnsi="Wingdings"/>
      </w:rPr>
    </w:lvl>
    <w:lvl w:ilvl="6" w:tentative="0">
      <w:start w:val="1"/>
      <w:numFmt w:val="bullet"/>
      <w:lvlText w:val=""/>
      <w:lvlJc w:val="left"/>
      <w:pPr>
        <w:ind w:left="3380" w:hanging="420"/>
      </w:pPr>
      <w:rPr>
        <w:rFonts w:hint="default" w:ascii="Wingdings" w:hAnsi="Wingdings"/>
      </w:rPr>
    </w:lvl>
    <w:lvl w:ilvl="7" w:tentative="0">
      <w:start w:val="1"/>
      <w:numFmt w:val="bullet"/>
      <w:lvlText w:val=""/>
      <w:lvlJc w:val="left"/>
      <w:pPr>
        <w:ind w:left="3800" w:hanging="420"/>
      </w:pPr>
      <w:rPr>
        <w:rFonts w:hint="default" w:ascii="Wingdings" w:hAnsi="Wingdings"/>
      </w:rPr>
    </w:lvl>
    <w:lvl w:ilvl="8" w:tentative="0">
      <w:start w:val="1"/>
      <w:numFmt w:val="bullet"/>
      <w:lvlText w:val=""/>
      <w:lvlJc w:val="left"/>
      <w:pPr>
        <w:ind w:left="4220" w:hanging="420"/>
      </w:pPr>
      <w:rPr>
        <w:rFonts w:hint="default" w:ascii="Wingdings" w:hAnsi="Wingdings"/>
      </w:rPr>
    </w:lvl>
  </w:abstractNum>
  <w:abstractNum w:abstractNumId="39">
    <w:nsid w:val="1FE1376C"/>
    <w:multiLevelType w:val="multilevel"/>
    <w:tmpl w:val="1FE1376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213E7575"/>
    <w:multiLevelType w:val="multilevel"/>
    <w:tmpl w:val="213E757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23565693"/>
    <w:multiLevelType w:val="multilevel"/>
    <w:tmpl w:val="2356569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23A40C12"/>
    <w:multiLevelType w:val="multilevel"/>
    <w:tmpl w:val="23A40C1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23A63E27"/>
    <w:multiLevelType w:val="multilevel"/>
    <w:tmpl w:val="23A63E2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250F9EEB"/>
    <w:multiLevelType w:val="singleLevel"/>
    <w:tmpl w:val="250F9EEB"/>
    <w:lvl w:ilvl="0" w:tentative="0">
      <w:start w:val="1"/>
      <w:numFmt w:val="decimal"/>
      <w:suff w:val="nothing"/>
      <w:lvlText w:val="%1．"/>
      <w:lvlJc w:val="left"/>
      <w:pPr>
        <w:ind w:left="0" w:firstLine="400"/>
      </w:pPr>
      <w:rPr>
        <w:rFonts w:hint="default"/>
      </w:rPr>
    </w:lvl>
  </w:abstractNum>
  <w:abstractNum w:abstractNumId="45">
    <w:nsid w:val="274D79F4"/>
    <w:multiLevelType w:val="multilevel"/>
    <w:tmpl w:val="274D79F4"/>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27FA6526"/>
    <w:multiLevelType w:val="multilevel"/>
    <w:tmpl w:val="27FA652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29E02195"/>
    <w:multiLevelType w:val="singleLevel"/>
    <w:tmpl w:val="29E02195"/>
    <w:lvl w:ilvl="0" w:tentative="0">
      <w:start w:val="1"/>
      <w:numFmt w:val="decimal"/>
      <w:suff w:val="nothing"/>
      <w:lvlText w:val="%1．"/>
      <w:lvlJc w:val="left"/>
      <w:pPr>
        <w:ind w:left="0" w:firstLine="400"/>
      </w:pPr>
      <w:rPr>
        <w:rFonts w:hint="default"/>
      </w:rPr>
    </w:lvl>
  </w:abstractNum>
  <w:abstractNum w:abstractNumId="48">
    <w:nsid w:val="2B33714A"/>
    <w:multiLevelType w:val="multilevel"/>
    <w:tmpl w:val="2B33714A"/>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2BD67812"/>
    <w:multiLevelType w:val="multilevel"/>
    <w:tmpl w:val="2BD6781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0">
    <w:nsid w:val="2C073445"/>
    <w:multiLevelType w:val="multilevel"/>
    <w:tmpl w:val="2C07344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2C0A2DC2"/>
    <w:multiLevelType w:val="multilevel"/>
    <w:tmpl w:val="2C0A2DC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2C68D694"/>
    <w:multiLevelType w:val="singleLevel"/>
    <w:tmpl w:val="2C68D694"/>
    <w:lvl w:ilvl="0" w:tentative="0">
      <w:start w:val="1"/>
      <w:numFmt w:val="decimal"/>
      <w:suff w:val="nothing"/>
      <w:lvlText w:val="%1．"/>
      <w:lvlJc w:val="left"/>
      <w:pPr>
        <w:ind w:left="0" w:firstLine="400"/>
      </w:pPr>
      <w:rPr>
        <w:rFonts w:hint="default"/>
      </w:rPr>
    </w:lvl>
  </w:abstractNum>
  <w:abstractNum w:abstractNumId="53">
    <w:nsid w:val="2E806FC2"/>
    <w:multiLevelType w:val="multilevel"/>
    <w:tmpl w:val="2E806FC2"/>
    <w:lvl w:ilvl="0" w:tentative="0">
      <w:start w:val="1"/>
      <w:numFmt w:val="decimal"/>
      <w:lvlText w:val="第%1章"/>
      <w:lvlJc w:val="left"/>
      <w:pPr>
        <w:ind w:left="-80" w:hanging="432"/>
      </w:pPr>
      <w:rPr>
        <w:rFonts w:hint="default" w:ascii="宋体" w:hAnsi="宋体" w:eastAsia="宋体" w:cs="Arial"/>
      </w:rPr>
    </w:lvl>
    <w:lvl w:ilvl="1" w:tentative="0">
      <w:start w:val="1"/>
      <w:numFmt w:val="decimal"/>
      <w:lvlText w:val="%1.%2."/>
      <w:lvlJc w:val="left"/>
      <w:pPr>
        <w:ind w:left="583" w:hanging="575"/>
      </w:pPr>
      <w:rPr>
        <w:rFonts w:hint="default" w:ascii="宋体" w:hAnsi="宋体" w:eastAsia="宋体" w:cs="宋体"/>
      </w:rPr>
    </w:lvl>
    <w:lvl w:ilvl="2" w:tentative="0">
      <w:start w:val="1"/>
      <w:numFmt w:val="decimal"/>
      <w:lvlText w:val="%1.%2.%3."/>
      <w:lvlJc w:val="left"/>
      <w:pPr>
        <w:ind w:left="-120" w:hanging="720"/>
      </w:pPr>
      <w:rPr>
        <w:rFonts w:hint="default"/>
      </w:rPr>
    </w:lvl>
    <w:lvl w:ilvl="3" w:tentative="0">
      <w:start w:val="1"/>
      <w:numFmt w:val="decimal"/>
      <w:lvlText w:val="%1.%2.%3.%4."/>
      <w:lvlJc w:val="left"/>
      <w:pPr>
        <w:ind w:left="1341" w:hanging="864"/>
      </w:pPr>
      <w:rPr>
        <w:rFonts w:hint="default"/>
      </w:rPr>
    </w:lvl>
    <w:lvl w:ilvl="4" w:tentative="0">
      <w:start w:val="1"/>
      <w:numFmt w:val="decimal"/>
      <w:pStyle w:val="9"/>
      <w:lvlText w:val="%1.%2.%3.%4.%5."/>
      <w:lvlJc w:val="left"/>
      <w:pPr>
        <w:ind w:left="2038" w:hanging="1008"/>
      </w:pPr>
      <w:rPr>
        <w:rFonts w:hint="default"/>
      </w:rPr>
    </w:lvl>
    <w:lvl w:ilvl="5" w:tentative="0">
      <w:start w:val="1"/>
      <w:numFmt w:val="decimal"/>
      <w:pStyle w:val="10"/>
      <w:lvlText w:val="%1.%2.%3.%4.%5.%6."/>
      <w:lvlJc w:val="left"/>
      <w:pPr>
        <w:ind w:left="2492" w:hanging="1151"/>
      </w:pPr>
      <w:rPr>
        <w:rFonts w:hint="default"/>
      </w:rPr>
    </w:lvl>
    <w:lvl w:ilvl="6" w:tentative="0">
      <w:start w:val="1"/>
      <w:numFmt w:val="decimal"/>
      <w:pStyle w:val="11"/>
      <w:lvlText w:val="%1.%2.%3.%4.%5.%6.%7."/>
      <w:lvlJc w:val="left"/>
      <w:pPr>
        <w:ind w:left="863" w:hanging="1296"/>
      </w:pPr>
      <w:rPr>
        <w:rFonts w:hint="default"/>
      </w:rPr>
    </w:lvl>
    <w:lvl w:ilvl="7" w:tentative="0">
      <w:start w:val="1"/>
      <w:numFmt w:val="decimal"/>
      <w:lvlText w:val="%1.%2.%3.%4.%5.%6.%7.%8."/>
      <w:lvlJc w:val="left"/>
      <w:pPr>
        <w:ind w:left="3300" w:hanging="1440"/>
      </w:pPr>
      <w:rPr>
        <w:rFonts w:hint="default" w:ascii="宋体" w:hAnsi="宋体" w:eastAsia="宋体" w:cs="Arial"/>
      </w:rPr>
    </w:lvl>
    <w:lvl w:ilvl="8" w:tentative="0">
      <w:start w:val="1"/>
      <w:numFmt w:val="decimal"/>
      <w:lvlText w:val="%1.%2.%3.%4.%5.%6.%7.%8.%9."/>
      <w:lvlJc w:val="left"/>
      <w:pPr>
        <w:ind w:left="1583" w:hanging="1583"/>
      </w:pPr>
      <w:rPr>
        <w:rFonts w:hint="default" w:ascii="宋体" w:hAnsi="宋体" w:eastAsia="宋体" w:cs="Arial"/>
      </w:rPr>
    </w:lvl>
  </w:abstractNum>
  <w:abstractNum w:abstractNumId="54">
    <w:nsid w:val="2F7C51BB"/>
    <w:multiLevelType w:val="multilevel"/>
    <w:tmpl w:val="2F7C51B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5">
    <w:nsid w:val="312B0016"/>
    <w:multiLevelType w:val="multilevel"/>
    <w:tmpl w:val="312B001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6">
    <w:nsid w:val="328F64B1"/>
    <w:multiLevelType w:val="multilevel"/>
    <w:tmpl w:val="328F64B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7">
    <w:nsid w:val="33786843"/>
    <w:multiLevelType w:val="singleLevel"/>
    <w:tmpl w:val="33786843"/>
    <w:lvl w:ilvl="0" w:tentative="0">
      <w:start w:val="1"/>
      <w:numFmt w:val="decimal"/>
      <w:suff w:val="nothing"/>
      <w:lvlText w:val="%1．"/>
      <w:lvlJc w:val="left"/>
      <w:pPr>
        <w:ind w:left="0" w:firstLine="400"/>
      </w:pPr>
      <w:rPr>
        <w:rFonts w:hint="default"/>
      </w:rPr>
    </w:lvl>
  </w:abstractNum>
  <w:abstractNum w:abstractNumId="58">
    <w:nsid w:val="33AA413E"/>
    <w:multiLevelType w:val="multilevel"/>
    <w:tmpl w:val="33AA413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9">
    <w:nsid w:val="394310CB"/>
    <w:multiLevelType w:val="multilevel"/>
    <w:tmpl w:val="394310C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0">
    <w:nsid w:val="3B3658AE"/>
    <w:multiLevelType w:val="multilevel"/>
    <w:tmpl w:val="3B3658AE"/>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3B9513A8"/>
    <w:multiLevelType w:val="multilevel"/>
    <w:tmpl w:val="3B9513A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3CF25188"/>
    <w:multiLevelType w:val="multilevel"/>
    <w:tmpl w:val="3CF2518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3D1F1844"/>
    <w:multiLevelType w:val="multilevel"/>
    <w:tmpl w:val="3D1F1844"/>
    <w:lvl w:ilvl="0" w:tentative="0">
      <w:start w:val="1"/>
      <w:numFmt w:val="decimal"/>
      <w:lvlText w:val="%1）"/>
      <w:lvlJc w:val="left"/>
      <w:pPr>
        <w:ind w:left="900" w:hanging="420"/>
      </w:pPr>
      <w:rPr>
        <w:rFonts w:hint="default"/>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3E7560D3"/>
    <w:multiLevelType w:val="multilevel"/>
    <w:tmpl w:val="3E7560D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5">
    <w:nsid w:val="409344D0"/>
    <w:multiLevelType w:val="singleLevel"/>
    <w:tmpl w:val="409344D0"/>
    <w:lvl w:ilvl="0" w:tentative="0">
      <w:start w:val="1"/>
      <w:numFmt w:val="decimal"/>
      <w:suff w:val="nothing"/>
      <w:lvlText w:val="%1．"/>
      <w:lvlJc w:val="left"/>
      <w:pPr>
        <w:ind w:left="0" w:firstLine="400"/>
      </w:pPr>
      <w:rPr>
        <w:rFonts w:hint="default"/>
      </w:rPr>
    </w:lvl>
  </w:abstractNum>
  <w:abstractNum w:abstractNumId="66">
    <w:nsid w:val="476D574E"/>
    <w:multiLevelType w:val="multilevel"/>
    <w:tmpl w:val="476D574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4B6A681E"/>
    <w:multiLevelType w:val="multilevel"/>
    <w:tmpl w:val="4B6A681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4E071586"/>
    <w:multiLevelType w:val="multilevel"/>
    <w:tmpl w:val="4E07158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9">
    <w:nsid w:val="51463887"/>
    <w:multiLevelType w:val="multilevel"/>
    <w:tmpl w:val="5146388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0">
    <w:nsid w:val="52E4362F"/>
    <w:multiLevelType w:val="multilevel"/>
    <w:tmpl w:val="52E4362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1">
    <w:nsid w:val="546C7C72"/>
    <w:multiLevelType w:val="multilevel"/>
    <w:tmpl w:val="546C7C7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550FCE05"/>
    <w:multiLevelType w:val="singleLevel"/>
    <w:tmpl w:val="550FCE05"/>
    <w:lvl w:ilvl="0" w:tentative="0">
      <w:start w:val="1"/>
      <w:numFmt w:val="chineseCounting"/>
      <w:pStyle w:val="213"/>
      <w:suff w:val="nothing"/>
      <w:lvlText w:val="%1、"/>
      <w:lvlJc w:val="left"/>
    </w:lvl>
  </w:abstractNum>
  <w:abstractNum w:abstractNumId="73">
    <w:nsid w:val="553A4600"/>
    <w:multiLevelType w:val="singleLevel"/>
    <w:tmpl w:val="553A4600"/>
    <w:lvl w:ilvl="0" w:tentative="0">
      <w:start w:val="1"/>
      <w:numFmt w:val="decimal"/>
      <w:suff w:val="nothing"/>
      <w:lvlText w:val="%1．"/>
      <w:lvlJc w:val="left"/>
      <w:pPr>
        <w:ind w:left="0" w:firstLine="400"/>
      </w:pPr>
      <w:rPr>
        <w:rFonts w:hint="default"/>
      </w:rPr>
    </w:lvl>
  </w:abstractNum>
  <w:abstractNum w:abstractNumId="74">
    <w:nsid w:val="560B1AC7"/>
    <w:multiLevelType w:val="multilevel"/>
    <w:tmpl w:val="560B1AC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56C51589"/>
    <w:multiLevelType w:val="multilevel"/>
    <w:tmpl w:val="56C5158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6">
    <w:nsid w:val="577C070D"/>
    <w:multiLevelType w:val="multilevel"/>
    <w:tmpl w:val="577C070D"/>
    <w:lvl w:ilvl="0" w:tentative="0">
      <w:start w:val="1"/>
      <w:numFmt w:val="decimal"/>
      <w:lvlText w:val="%1）"/>
      <w:lvlJc w:val="left"/>
      <w:pPr>
        <w:ind w:left="735" w:hanging="31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7">
    <w:nsid w:val="58A631D3"/>
    <w:multiLevelType w:val="multilevel"/>
    <w:tmpl w:val="58A631D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5BA05E22"/>
    <w:multiLevelType w:val="multilevel"/>
    <w:tmpl w:val="5BA05E2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9">
    <w:nsid w:val="5ED54BFD"/>
    <w:multiLevelType w:val="multilevel"/>
    <w:tmpl w:val="5ED54BF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0">
    <w:nsid w:val="5FEC213D"/>
    <w:multiLevelType w:val="multilevel"/>
    <w:tmpl w:val="5FEC213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1">
    <w:nsid w:val="603B008F"/>
    <w:multiLevelType w:val="multilevel"/>
    <w:tmpl w:val="603B008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2">
    <w:nsid w:val="60B671AD"/>
    <w:multiLevelType w:val="multilevel"/>
    <w:tmpl w:val="60B671A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3">
    <w:nsid w:val="625A50A1"/>
    <w:multiLevelType w:val="multilevel"/>
    <w:tmpl w:val="625A50A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4">
    <w:nsid w:val="627C7A22"/>
    <w:multiLevelType w:val="multilevel"/>
    <w:tmpl w:val="627C7A2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5">
    <w:nsid w:val="633D75BE"/>
    <w:multiLevelType w:val="multilevel"/>
    <w:tmpl w:val="633D75BE"/>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6">
    <w:nsid w:val="64804E2A"/>
    <w:multiLevelType w:val="multilevel"/>
    <w:tmpl w:val="64804E2A"/>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7">
    <w:nsid w:val="65F89259"/>
    <w:multiLevelType w:val="singleLevel"/>
    <w:tmpl w:val="65F89259"/>
    <w:lvl w:ilvl="0" w:tentative="0">
      <w:start w:val="1"/>
      <w:numFmt w:val="decimal"/>
      <w:suff w:val="nothing"/>
      <w:lvlText w:val="%1．"/>
      <w:lvlJc w:val="left"/>
      <w:pPr>
        <w:ind w:left="0" w:firstLine="400"/>
      </w:pPr>
      <w:rPr>
        <w:rFonts w:hint="default"/>
      </w:rPr>
    </w:lvl>
  </w:abstractNum>
  <w:abstractNum w:abstractNumId="88">
    <w:nsid w:val="66A059DF"/>
    <w:multiLevelType w:val="multilevel"/>
    <w:tmpl w:val="66A059D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66E06972"/>
    <w:multiLevelType w:val="multilevel"/>
    <w:tmpl w:val="66E06972"/>
    <w:lvl w:ilvl="0" w:tentative="0">
      <w:start w:val="1"/>
      <w:numFmt w:val="decimal"/>
      <w:lvlText w:val="%1）"/>
      <w:lvlJc w:val="left"/>
      <w:pPr>
        <w:ind w:left="735" w:hanging="31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0">
    <w:nsid w:val="68984C6D"/>
    <w:multiLevelType w:val="multilevel"/>
    <w:tmpl w:val="68984C6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1">
    <w:nsid w:val="69495AE2"/>
    <w:multiLevelType w:val="multilevel"/>
    <w:tmpl w:val="69495AE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2">
    <w:nsid w:val="695EA8F4"/>
    <w:multiLevelType w:val="singleLevel"/>
    <w:tmpl w:val="695EA8F4"/>
    <w:lvl w:ilvl="0" w:tentative="0">
      <w:start w:val="1"/>
      <w:numFmt w:val="decimal"/>
      <w:pStyle w:val="16"/>
      <w:lvlText w:val="%1."/>
      <w:lvlJc w:val="left"/>
      <w:pPr>
        <w:tabs>
          <w:tab w:val="left" w:pos="360"/>
        </w:tabs>
        <w:ind w:left="360" w:hanging="360"/>
      </w:pPr>
    </w:lvl>
  </w:abstractNum>
  <w:abstractNum w:abstractNumId="93">
    <w:nsid w:val="6B9C1DB2"/>
    <w:multiLevelType w:val="multilevel"/>
    <w:tmpl w:val="6B9C1DB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4">
    <w:nsid w:val="6BD64D73"/>
    <w:multiLevelType w:val="multilevel"/>
    <w:tmpl w:val="6BD64D7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5">
    <w:nsid w:val="6C536A8B"/>
    <w:multiLevelType w:val="multilevel"/>
    <w:tmpl w:val="6C536A8B"/>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6">
    <w:nsid w:val="6D343AC7"/>
    <w:multiLevelType w:val="multilevel"/>
    <w:tmpl w:val="6D343AC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7">
    <w:nsid w:val="6DF402C3"/>
    <w:multiLevelType w:val="multilevel"/>
    <w:tmpl w:val="6DF402C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8">
    <w:nsid w:val="6F9A2A61"/>
    <w:multiLevelType w:val="multilevel"/>
    <w:tmpl w:val="6F9A2A61"/>
    <w:lvl w:ilvl="0" w:tentative="0">
      <w:start w:val="1"/>
      <w:numFmt w:val="decimal"/>
      <w:lvlText w:val="%1）"/>
      <w:lvlJc w:val="left"/>
      <w:pPr>
        <w:ind w:left="735" w:hanging="31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9">
    <w:nsid w:val="70745B69"/>
    <w:multiLevelType w:val="multilevel"/>
    <w:tmpl w:val="70745B69"/>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0">
    <w:nsid w:val="722D6FFC"/>
    <w:multiLevelType w:val="multilevel"/>
    <w:tmpl w:val="722D6FF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1">
    <w:nsid w:val="735A0C4F"/>
    <w:multiLevelType w:val="multilevel"/>
    <w:tmpl w:val="735A0C4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2">
    <w:nsid w:val="740C35CC"/>
    <w:multiLevelType w:val="multilevel"/>
    <w:tmpl w:val="740C35CC"/>
    <w:lvl w:ilvl="0" w:tentative="0">
      <w:start w:val="1"/>
      <w:numFmt w:val="decimal"/>
      <w:lvlText w:val="%1）"/>
      <w:lvlJc w:val="left"/>
      <w:pPr>
        <w:ind w:left="7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74F47F98"/>
    <w:multiLevelType w:val="multilevel"/>
    <w:tmpl w:val="74F47F9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4">
    <w:nsid w:val="751F70E2"/>
    <w:multiLevelType w:val="multilevel"/>
    <w:tmpl w:val="751F70E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5">
    <w:nsid w:val="766A12FD"/>
    <w:multiLevelType w:val="multilevel"/>
    <w:tmpl w:val="766A12F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6">
    <w:nsid w:val="76D8200B"/>
    <w:multiLevelType w:val="multilevel"/>
    <w:tmpl w:val="76D8200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7">
    <w:nsid w:val="7759AA70"/>
    <w:multiLevelType w:val="singleLevel"/>
    <w:tmpl w:val="7759AA70"/>
    <w:lvl w:ilvl="0" w:tentative="0">
      <w:start w:val="1"/>
      <w:numFmt w:val="decimal"/>
      <w:suff w:val="nothing"/>
      <w:lvlText w:val="%1．"/>
      <w:lvlJc w:val="left"/>
      <w:pPr>
        <w:ind w:left="0" w:firstLine="400"/>
      </w:pPr>
      <w:rPr>
        <w:rFonts w:hint="default"/>
      </w:rPr>
    </w:lvl>
  </w:abstractNum>
  <w:abstractNum w:abstractNumId="108">
    <w:nsid w:val="78E41A52"/>
    <w:multiLevelType w:val="multilevel"/>
    <w:tmpl w:val="78E41A5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9">
    <w:nsid w:val="792857D6"/>
    <w:multiLevelType w:val="multilevel"/>
    <w:tmpl w:val="792857D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0">
    <w:nsid w:val="7A067F32"/>
    <w:multiLevelType w:val="multilevel"/>
    <w:tmpl w:val="7A067F3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1">
    <w:nsid w:val="7BB64AC2"/>
    <w:multiLevelType w:val="multilevel"/>
    <w:tmpl w:val="7BB64AC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2">
    <w:nsid w:val="7D30734F"/>
    <w:multiLevelType w:val="multilevel"/>
    <w:tmpl w:val="7D30734F"/>
    <w:lvl w:ilvl="0" w:tentative="0">
      <w:start w:val="1"/>
      <w:numFmt w:val="decimal"/>
      <w:lvlText w:val="%1）"/>
      <w:lvlJc w:val="left"/>
      <w:pPr>
        <w:ind w:left="735" w:hanging="31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3">
    <w:nsid w:val="7D434E95"/>
    <w:multiLevelType w:val="multilevel"/>
    <w:tmpl w:val="7D434E9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4">
    <w:nsid w:val="7F1F2F3F"/>
    <w:multiLevelType w:val="multilevel"/>
    <w:tmpl w:val="7F1F2F3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5">
    <w:nsid w:val="7FD979B7"/>
    <w:multiLevelType w:val="multilevel"/>
    <w:tmpl w:val="7FD979B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3"/>
  </w:num>
  <w:num w:numId="2">
    <w:abstractNumId w:val="92"/>
  </w:num>
  <w:num w:numId="3">
    <w:abstractNumId w:val="13"/>
  </w:num>
  <w:num w:numId="4">
    <w:abstractNumId w:val="72"/>
  </w:num>
  <w:num w:numId="5">
    <w:abstractNumId w:val="32"/>
  </w:num>
  <w:num w:numId="6">
    <w:abstractNumId w:val="0"/>
  </w:num>
  <w:num w:numId="7">
    <w:abstractNumId w:val="25"/>
  </w:num>
  <w:num w:numId="8">
    <w:abstractNumId w:val="38"/>
  </w:num>
  <w:num w:numId="9">
    <w:abstractNumId w:val="23"/>
  </w:num>
  <w:num w:numId="10">
    <w:abstractNumId w:val="37"/>
  </w:num>
  <w:num w:numId="11">
    <w:abstractNumId w:val="95"/>
  </w:num>
  <w:num w:numId="12">
    <w:abstractNumId w:val="85"/>
  </w:num>
  <w:num w:numId="13">
    <w:abstractNumId w:val="74"/>
  </w:num>
  <w:num w:numId="14">
    <w:abstractNumId w:val="63"/>
  </w:num>
  <w:num w:numId="15">
    <w:abstractNumId w:val="15"/>
  </w:num>
  <w:num w:numId="16">
    <w:abstractNumId w:val="16"/>
  </w:num>
  <w:num w:numId="17">
    <w:abstractNumId w:val="60"/>
  </w:num>
  <w:num w:numId="18">
    <w:abstractNumId w:val="110"/>
  </w:num>
  <w:num w:numId="19">
    <w:abstractNumId w:val="27"/>
  </w:num>
  <w:num w:numId="20">
    <w:abstractNumId w:val="19"/>
  </w:num>
  <w:num w:numId="21">
    <w:abstractNumId w:val="89"/>
  </w:num>
  <w:num w:numId="22">
    <w:abstractNumId w:val="50"/>
  </w:num>
  <w:num w:numId="23">
    <w:abstractNumId w:val="66"/>
  </w:num>
  <w:num w:numId="24">
    <w:abstractNumId w:val="62"/>
  </w:num>
  <w:num w:numId="25">
    <w:abstractNumId w:val="112"/>
  </w:num>
  <w:num w:numId="26">
    <w:abstractNumId w:val="39"/>
  </w:num>
  <w:num w:numId="27">
    <w:abstractNumId w:val="98"/>
  </w:num>
  <w:num w:numId="28">
    <w:abstractNumId w:val="76"/>
  </w:num>
  <w:num w:numId="29">
    <w:abstractNumId w:val="20"/>
  </w:num>
  <w:num w:numId="30">
    <w:abstractNumId w:val="102"/>
  </w:num>
  <w:num w:numId="31">
    <w:abstractNumId w:val="42"/>
  </w:num>
  <w:num w:numId="32">
    <w:abstractNumId w:val="34"/>
  </w:num>
  <w:num w:numId="33">
    <w:abstractNumId w:val="104"/>
  </w:num>
  <w:num w:numId="34">
    <w:abstractNumId w:val="80"/>
  </w:num>
  <w:num w:numId="35">
    <w:abstractNumId w:val="94"/>
  </w:num>
  <w:num w:numId="36">
    <w:abstractNumId w:val="97"/>
  </w:num>
  <w:num w:numId="37">
    <w:abstractNumId w:val="79"/>
  </w:num>
  <w:num w:numId="38">
    <w:abstractNumId w:val="40"/>
  </w:num>
  <w:num w:numId="39">
    <w:abstractNumId w:val="59"/>
  </w:num>
  <w:num w:numId="40">
    <w:abstractNumId w:val="31"/>
  </w:num>
  <w:num w:numId="41">
    <w:abstractNumId w:val="28"/>
  </w:num>
  <w:num w:numId="42">
    <w:abstractNumId w:val="17"/>
  </w:num>
  <w:num w:numId="43">
    <w:abstractNumId w:val="93"/>
  </w:num>
  <w:num w:numId="44">
    <w:abstractNumId w:val="69"/>
  </w:num>
  <w:num w:numId="45">
    <w:abstractNumId w:val="64"/>
  </w:num>
  <w:num w:numId="46">
    <w:abstractNumId w:val="26"/>
  </w:num>
  <w:num w:numId="47">
    <w:abstractNumId w:val="106"/>
  </w:num>
  <w:num w:numId="48">
    <w:abstractNumId w:val="67"/>
  </w:num>
  <w:num w:numId="49">
    <w:abstractNumId w:val="81"/>
  </w:num>
  <w:num w:numId="50">
    <w:abstractNumId w:val="100"/>
  </w:num>
  <w:num w:numId="51">
    <w:abstractNumId w:val="103"/>
  </w:num>
  <w:num w:numId="52">
    <w:abstractNumId w:val="91"/>
  </w:num>
  <w:num w:numId="53">
    <w:abstractNumId w:val="45"/>
  </w:num>
  <w:num w:numId="54">
    <w:abstractNumId w:val="113"/>
  </w:num>
  <w:num w:numId="55">
    <w:abstractNumId w:val="55"/>
  </w:num>
  <w:num w:numId="56">
    <w:abstractNumId w:val="56"/>
  </w:num>
  <w:num w:numId="57">
    <w:abstractNumId w:val="51"/>
  </w:num>
  <w:num w:numId="58">
    <w:abstractNumId w:val="58"/>
  </w:num>
  <w:num w:numId="59">
    <w:abstractNumId w:val="115"/>
  </w:num>
  <w:num w:numId="60">
    <w:abstractNumId w:val="68"/>
  </w:num>
  <w:num w:numId="61">
    <w:abstractNumId w:val="82"/>
  </w:num>
  <w:num w:numId="62">
    <w:abstractNumId w:val="36"/>
  </w:num>
  <w:num w:numId="63">
    <w:abstractNumId w:val="54"/>
  </w:num>
  <w:num w:numId="64">
    <w:abstractNumId w:val="78"/>
  </w:num>
  <w:num w:numId="65">
    <w:abstractNumId w:val="70"/>
  </w:num>
  <w:num w:numId="66">
    <w:abstractNumId w:val="101"/>
  </w:num>
  <w:num w:numId="67">
    <w:abstractNumId w:val="48"/>
  </w:num>
  <w:num w:numId="68">
    <w:abstractNumId w:val="18"/>
  </w:num>
  <w:num w:numId="69">
    <w:abstractNumId w:val="83"/>
  </w:num>
  <w:num w:numId="70">
    <w:abstractNumId w:val="41"/>
  </w:num>
  <w:num w:numId="71">
    <w:abstractNumId w:val="111"/>
  </w:num>
  <w:num w:numId="72">
    <w:abstractNumId w:val="22"/>
  </w:num>
  <w:num w:numId="73">
    <w:abstractNumId w:val="46"/>
  </w:num>
  <w:num w:numId="74">
    <w:abstractNumId w:val="108"/>
  </w:num>
  <w:num w:numId="75">
    <w:abstractNumId w:val="96"/>
  </w:num>
  <w:num w:numId="76">
    <w:abstractNumId w:val="43"/>
  </w:num>
  <w:num w:numId="77">
    <w:abstractNumId w:val="75"/>
  </w:num>
  <w:num w:numId="78">
    <w:abstractNumId w:val="30"/>
  </w:num>
  <w:num w:numId="79">
    <w:abstractNumId w:val="114"/>
  </w:num>
  <w:num w:numId="80">
    <w:abstractNumId w:val="14"/>
  </w:num>
  <w:num w:numId="81">
    <w:abstractNumId w:val="88"/>
  </w:num>
  <w:num w:numId="82">
    <w:abstractNumId w:val="21"/>
  </w:num>
  <w:num w:numId="83">
    <w:abstractNumId w:val="99"/>
  </w:num>
  <w:num w:numId="84">
    <w:abstractNumId w:val="49"/>
  </w:num>
  <w:num w:numId="85">
    <w:abstractNumId w:val="84"/>
  </w:num>
  <w:num w:numId="86">
    <w:abstractNumId w:val="90"/>
  </w:num>
  <w:num w:numId="87">
    <w:abstractNumId w:val="33"/>
  </w:num>
  <w:num w:numId="88">
    <w:abstractNumId w:val="71"/>
  </w:num>
  <w:num w:numId="89">
    <w:abstractNumId w:val="105"/>
  </w:num>
  <w:num w:numId="90">
    <w:abstractNumId w:val="61"/>
  </w:num>
  <w:num w:numId="91">
    <w:abstractNumId w:val="24"/>
  </w:num>
  <w:num w:numId="92">
    <w:abstractNumId w:val="77"/>
  </w:num>
  <w:num w:numId="93">
    <w:abstractNumId w:val="86"/>
  </w:num>
  <w:num w:numId="94">
    <w:abstractNumId w:val="35"/>
  </w:num>
  <w:num w:numId="95">
    <w:abstractNumId w:val="109"/>
  </w:num>
  <w:num w:numId="96">
    <w:abstractNumId w:val="9"/>
  </w:num>
  <w:num w:numId="97">
    <w:abstractNumId w:val="65"/>
  </w:num>
  <w:num w:numId="98">
    <w:abstractNumId w:val="73"/>
  </w:num>
  <w:num w:numId="99">
    <w:abstractNumId w:val="4"/>
  </w:num>
  <w:num w:numId="100">
    <w:abstractNumId w:val="1"/>
  </w:num>
  <w:num w:numId="101">
    <w:abstractNumId w:val="2"/>
  </w:num>
  <w:num w:numId="102">
    <w:abstractNumId w:val="107"/>
  </w:num>
  <w:num w:numId="103">
    <w:abstractNumId w:val="57"/>
  </w:num>
  <w:num w:numId="104">
    <w:abstractNumId w:val="5"/>
  </w:num>
  <w:num w:numId="105">
    <w:abstractNumId w:val="29"/>
  </w:num>
  <w:num w:numId="106">
    <w:abstractNumId w:val="3"/>
  </w:num>
  <w:num w:numId="107">
    <w:abstractNumId w:val="12"/>
  </w:num>
  <w:num w:numId="108">
    <w:abstractNumId w:val="47"/>
  </w:num>
  <w:num w:numId="109">
    <w:abstractNumId w:val="6"/>
  </w:num>
  <w:num w:numId="110">
    <w:abstractNumId w:val="8"/>
  </w:num>
  <w:num w:numId="111">
    <w:abstractNumId w:val="7"/>
  </w:num>
  <w:num w:numId="112">
    <w:abstractNumId w:val="11"/>
  </w:num>
  <w:num w:numId="113">
    <w:abstractNumId w:val="87"/>
  </w:num>
  <w:num w:numId="114">
    <w:abstractNumId w:val="44"/>
  </w:num>
  <w:num w:numId="115">
    <w:abstractNumId w:val="10"/>
  </w:num>
  <w:num w:numId="116">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11"/>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NWNmYTljNDAwNjIyNDMwNzRiM2M4YjBmZWY4ZDUifQ=="/>
  </w:docVars>
  <w:rsids>
    <w:rsidRoot w:val="459C373C"/>
    <w:rsid w:val="00001617"/>
    <w:rsid w:val="00002190"/>
    <w:rsid w:val="00002B94"/>
    <w:rsid w:val="00007F72"/>
    <w:rsid w:val="0001324B"/>
    <w:rsid w:val="00014DA2"/>
    <w:rsid w:val="0001669F"/>
    <w:rsid w:val="00016799"/>
    <w:rsid w:val="00016CDD"/>
    <w:rsid w:val="0002004B"/>
    <w:rsid w:val="00021F41"/>
    <w:rsid w:val="00023891"/>
    <w:rsid w:val="000275FE"/>
    <w:rsid w:val="000328EB"/>
    <w:rsid w:val="0003453A"/>
    <w:rsid w:val="0003518F"/>
    <w:rsid w:val="000373F6"/>
    <w:rsid w:val="00042F90"/>
    <w:rsid w:val="00043027"/>
    <w:rsid w:val="00044EF2"/>
    <w:rsid w:val="000475C0"/>
    <w:rsid w:val="00052B84"/>
    <w:rsid w:val="000536C3"/>
    <w:rsid w:val="000558AA"/>
    <w:rsid w:val="00055997"/>
    <w:rsid w:val="000563B4"/>
    <w:rsid w:val="00057A83"/>
    <w:rsid w:val="0006104B"/>
    <w:rsid w:val="00065EEE"/>
    <w:rsid w:val="00066F27"/>
    <w:rsid w:val="00071AC0"/>
    <w:rsid w:val="00071FB4"/>
    <w:rsid w:val="00076AE0"/>
    <w:rsid w:val="0007791B"/>
    <w:rsid w:val="00080623"/>
    <w:rsid w:val="0008085A"/>
    <w:rsid w:val="000812EA"/>
    <w:rsid w:val="00081CD7"/>
    <w:rsid w:val="000860E3"/>
    <w:rsid w:val="0009126F"/>
    <w:rsid w:val="00093A92"/>
    <w:rsid w:val="000951F1"/>
    <w:rsid w:val="00095C4A"/>
    <w:rsid w:val="0009639F"/>
    <w:rsid w:val="000971BD"/>
    <w:rsid w:val="00097FBD"/>
    <w:rsid w:val="000A0951"/>
    <w:rsid w:val="000A18F5"/>
    <w:rsid w:val="000A2E81"/>
    <w:rsid w:val="000A64F7"/>
    <w:rsid w:val="000A7491"/>
    <w:rsid w:val="000A76A8"/>
    <w:rsid w:val="000B0C73"/>
    <w:rsid w:val="000B37DE"/>
    <w:rsid w:val="000B6972"/>
    <w:rsid w:val="000B7700"/>
    <w:rsid w:val="000C32D4"/>
    <w:rsid w:val="000C5752"/>
    <w:rsid w:val="000D07EF"/>
    <w:rsid w:val="000D1BB6"/>
    <w:rsid w:val="000D5393"/>
    <w:rsid w:val="000D5E47"/>
    <w:rsid w:val="000D60BF"/>
    <w:rsid w:val="000E102A"/>
    <w:rsid w:val="000E2A2B"/>
    <w:rsid w:val="000E2C7C"/>
    <w:rsid w:val="000E3766"/>
    <w:rsid w:val="000E41ED"/>
    <w:rsid w:val="000E62D5"/>
    <w:rsid w:val="000E6928"/>
    <w:rsid w:val="000F2E73"/>
    <w:rsid w:val="000F3740"/>
    <w:rsid w:val="000F6F99"/>
    <w:rsid w:val="000F7A56"/>
    <w:rsid w:val="0010056B"/>
    <w:rsid w:val="001016C7"/>
    <w:rsid w:val="00102935"/>
    <w:rsid w:val="0010301E"/>
    <w:rsid w:val="00103A22"/>
    <w:rsid w:val="00112325"/>
    <w:rsid w:val="001171DB"/>
    <w:rsid w:val="001216AA"/>
    <w:rsid w:val="00121C83"/>
    <w:rsid w:val="00123286"/>
    <w:rsid w:val="0012358A"/>
    <w:rsid w:val="00125D6E"/>
    <w:rsid w:val="0013052B"/>
    <w:rsid w:val="001308CF"/>
    <w:rsid w:val="001348CC"/>
    <w:rsid w:val="00135330"/>
    <w:rsid w:val="00135644"/>
    <w:rsid w:val="001356E1"/>
    <w:rsid w:val="001358DC"/>
    <w:rsid w:val="001403E0"/>
    <w:rsid w:val="00140EB6"/>
    <w:rsid w:val="00141429"/>
    <w:rsid w:val="001436C2"/>
    <w:rsid w:val="00147DAB"/>
    <w:rsid w:val="00150361"/>
    <w:rsid w:val="001516AA"/>
    <w:rsid w:val="00151CA3"/>
    <w:rsid w:val="0015256F"/>
    <w:rsid w:val="00155A68"/>
    <w:rsid w:val="00156BD1"/>
    <w:rsid w:val="001575D8"/>
    <w:rsid w:val="00161E8F"/>
    <w:rsid w:val="00162F22"/>
    <w:rsid w:val="001634A7"/>
    <w:rsid w:val="00163771"/>
    <w:rsid w:val="00163CD8"/>
    <w:rsid w:val="001649FC"/>
    <w:rsid w:val="00166772"/>
    <w:rsid w:val="00167933"/>
    <w:rsid w:val="0017039F"/>
    <w:rsid w:val="00170B05"/>
    <w:rsid w:val="0017529B"/>
    <w:rsid w:val="001767D9"/>
    <w:rsid w:val="0018295E"/>
    <w:rsid w:val="00183FF9"/>
    <w:rsid w:val="00184E0F"/>
    <w:rsid w:val="00184E7A"/>
    <w:rsid w:val="00186788"/>
    <w:rsid w:val="001943AC"/>
    <w:rsid w:val="00195A26"/>
    <w:rsid w:val="00197396"/>
    <w:rsid w:val="0019739D"/>
    <w:rsid w:val="001979C9"/>
    <w:rsid w:val="001A1013"/>
    <w:rsid w:val="001A1708"/>
    <w:rsid w:val="001A2685"/>
    <w:rsid w:val="001A3A30"/>
    <w:rsid w:val="001A3B95"/>
    <w:rsid w:val="001A6389"/>
    <w:rsid w:val="001B28C4"/>
    <w:rsid w:val="001B5639"/>
    <w:rsid w:val="001C08BE"/>
    <w:rsid w:val="001C0F0F"/>
    <w:rsid w:val="001C3A1E"/>
    <w:rsid w:val="001C4AEF"/>
    <w:rsid w:val="001C54C6"/>
    <w:rsid w:val="001C7E01"/>
    <w:rsid w:val="001D0ABB"/>
    <w:rsid w:val="001D1D99"/>
    <w:rsid w:val="001D258C"/>
    <w:rsid w:val="001D6D27"/>
    <w:rsid w:val="001E05B2"/>
    <w:rsid w:val="001E0B4D"/>
    <w:rsid w:val="001E25DD"/>
    <w:rsid w:val="001E3545"/>
    <w:rsid w:val="001E6677"/>
    <w:rsid w:val="001F17E3"/>
    <w:rsid w:val="001F391F"/>
    <w:rsid w:val="001F422F"/>
    <w:rsid w:val="001F4F85"/>
    <w:rsid w:val="001F6141"/>
    <w:rsid w:val="001F7C72"/>
    <w:rsid w:val="002001C2"/>
    <w:rsid w:val="002121BE"/>
    <w:rsid w:val="00213310"/>
    <w:rsid w:val="00214723"/>
    <w:rsid w:val="002156BD"/>
    <w:rsid w:val="002216EE"/>
    <w:rsid w:val="0022202D"/>
    <w:rsid w:val="002303DD"/>
    <w:rsid w:val="0023507A"/>
    <w:rsid w:val="00235306"/>
    <w:rsid w:val="00236AFE"/>
    <w:rsid w:val="00237C72"/>
    <w:rsid w:val="002421E4"/>
    <w:rsid w:val="00244E0D"/>
    <w:rsid w:val="0024520C"/>
    <w:rsid w:val="00251D5E"/>
    <w:rsid w:val="002531F3"/>
    <w:rsid w:val="002548A4"/>
    <w:rsid w:val="00255B12"/>
    <w:rsid w:val="00255CA9"/>
    <w:rsid w:val="00256907"/>
    <w:rsid w:val="00257A1C"/>
    <w:rsid w:val="00263FA8"/>
    <w:rsid w:val="00265777"/>
    <w:rsid w:val="0026664B"/>
    <w:rsid w:val="0026666B"/>
    <w:rsid w:val="00274150"/>
    <w:rsid w:val="00277506"/>
    <w:rsid w:val="00280818"/>
    <w:rsid w:val="00283D0C"/>
    <w:rsid w:val="00290158"/>
    <w:rsid w:val="002918B5"/>
    <w:rsid w:val="002A026B"/>
    <w:rsid w:val="002A0BDF"/>
    <w:rsid w:val="002A1A5C"/>
    <w:rsid w:val="002A2490"/>
    <w:rsid w:val="002A33A2"/>
    <w:rsid w:val="002A4867"/>
    <w:rsid w:val="002A728B"/>
    <w:rsid w:val="002B0920"/>
    <w:rsid w:val="002B24FD"/>
    <w:rsid w:val="002B3490"/>
    <w:rsid w:val="002B375E"/>
    <w:rsid w:val="002C0D13"/>
    <w:rsid w:val="002C1CDE"/>
    <w:rsid w:val="002D1856"/>
    <w:rsid w:val="002D383F"/>
    <w:rsid w:val="002D42A0"/>
    <w:rsid w:val="002D6B8B"/>
    <w:rsid w:val="002D730E"/>
    <w:rsid w:val="002D7548"/>
    <w:rsid w:val="002E175D"/>
    <w:rsid w:val="002E1EA3"/>
    <w:rsid w:val="002E28F6"/>
    <w:rsid w:val="002E46DB"/>
    <w:rsid w:val="002E59D7"/>
    <w:rsid w:val="002E5B46"/>
    <w:rsid w:val="002E5CB0"/>
    <w:rsid w:val="002E5F19"/>
    <w:rsid w:val="002F0868"/>
    <w:rsid w:val="002F1324"/>
    <w:rsid w:val="002F238E"/>
    <w:rsid w:val="002F45B9"/>
    <w:rsid w:val="002F4C50"/>
    <w:rsid w:val="002F6465"/>
    <w:rsid w:val="002F6A74"/>
    <w:rsid w:val="002F7173"/>
    <w:rsid w:val="00302619"/>
    <w:rsid w:val="00303C07"/>
    <w:rsid w:val="003043CC"/>
    <w:rsid w:val="00305C0D"/>
    <w:rsid w:val="00306F10"/>
    <w:rsid w:val="00307110"/>
    <w:rsid w:val="00307255"/>
    <w:rsid w:val="00311686"/>
    <w:rsid w:val="003121EE"/>
    <w:rsid w:val="00312A84"/>
    <w:rsid w:val="003160EE"/>
    <w:rsid w:val="00321045"/>
    <w:rsid w:val="00323065"/>
    <w:rsid w:val="00323324"/>
    <w:rsid w:val="00331A53"/>
    <w:rsid w:val="00332385"/>
    <w:rsid w:val="003331BE"/>
    <w:rsid w:val="00333643"/>
    <w:rsid w:val="00343CD8"/>
    <w:rsid w:val="00347577"/>
    <w:rsid w:val="00352FC8"/>
    <w:rsid w:val="00354191"/>
    <w:rsid w:val="00356067"/>
    <w:rsid w:val="003568B9"/>
    <w:rsid w:val="003570AC"/>
    <w:rsid w:val="00357146"/>
    <w:rsid w:val="003625A3"/>
    <w:rsid w:val="00362A64"/>
    <w:rsid w:val="00362D67"/>
    <w:rsid w:val="00365C9F"/>
    <w:rsid w:val="00366E7B"/>
    <w:rsid w:val="0036714E"/>
    <w:rsid w:val="00373B5C"/>
    <w:rsid w:val="00374E80"/>
    <w:rsid w:val="003834AC"/>
    <w:rsid w:val="00383A54"/>
    <w:rsid w:val="003846DD"/>
    <w:rsid w:val="00385709"/>
    <w:rsid w:val="00392D0C"/>
    <w:rsid w:val="0039776E"/>
    <w:rsid w:val="00397E83"/>
    <w:rsid w:val="003A2B31"/>
    <w:rsid w:val="003A302C"/>
    <w:rsid w:val="003A4262"/>
    <w:rsid w:val="003A483E"/>
    <w:rsid w:val="003A575D"/>
    <w:rsid w:val="003A7CA6"/>
    <w:rsid w:val="003B0B09"/>
    <w:rsid w:val="003B1189"/>
    <w:rsid w:val="003B241D"/>
    <w:rsid w:val="003B29CE"/>
    <w:rsid w:val="003B3D62"/>
    <w:rsid w:val="003B4DEA"/>
    <w:rsid w:val="003B71E4"/>
    <w:rsid w:val="003B7EDF"/>
    <w:rsid w:val="003C4A96"/>
    <w:rsid w:val="003C7542"/>
    <w:rsid w:val="003D4E96"/>
    <w:rsid w:val="003D61B6"/>
    <w:rsid w:val="003D78F9"/>
    <w:rsid w:val="003E238F"/>
    <w:rsid w:val="003E33C3"/>
    <w:rsid w:val="003E383A"/>
    <w:rsid w:val="003E4597"/>
    <w:rsid w:val="003F2D51"/>
    <w:rsid w:val="003F36A0"/>
    <w:rsid w:val="003F3A21"/>
    <w:rsid w:val="003F5210"/>
    <w:rsid w:val="003F6D33"/>
    <w:rsid w:val="003F7D3C"/>
    <w:rsid w:val="0040076A"/>
    <w:rsid w:val="004020CF"/>
    <w:rsid w:val="00405DD2"/>
    <w:rsid w:val="0040654B"/>
    <w:rsid w:val="00406E66"/>
    <w:rsid w:val="00406EEB"/>
    <w:rsid w:val="004070C7"/>
    <w:rsid w:val="00413F77"/>
    <w:rsid w:val="00414536"/>
    <w:rsid w:val="00414ECF"/>
    <w:rsid w:val="00417713"/>
    <w:rsid w:val="00422949"/>
    <w:rsid w:val="00422E46"/>
    <w:rsid w:val="00426D59"/>
    <w:rsid w:val="00427645"/>
    <w:rsid w:val="00430B43"/>
    <w:rsid w:val="00431404"/>
    <w:rsid w:val="0043618D"/>
    <w:rsid w:val="004368D0"/>
    <w:rsid w:val="00442BFC"/>
    <w:rsid w:val="004445C7"/>
    <w:rsid w:val="004446A0"/>
    <w:rsid w:val="00444963"/>
    <w:rsid w:val="0044563D"/>
    <w:rsid w:val="004469E9"/>
    <w:rsid w:val="00447B98"/>
    <w:rsid w:val="00453637"/>
    <w:rsid w:val="004540D4"/>
    <w:rsid w:val="00454619"/>
    <w:rsid w:val="00460B8C"/>
    <w:rsid w:val="00464A5F"/>
    <w:rsid w:val="00465419"/>
    <w:rsid w:val="0046676A"/>
    <w:rsid w:val="004703EE"/>
    <w:rsid w:val="00475A84"/>
    <w:rsid w:val="004827A1"/>
    <w:rsid w:val="00482899"/>
    <w:rsid w:val="00483B30"/>
    <w:rsid w:val="004842D3"/>
    <w:rsid w:val="00484450"/>
    <w:rsid w:val="00487187"/>
    <w:rsid w:val="00493113"/>
    <w:rsid w:val="004A0F81"/>
    <w:rsid w:val="004A6FEC"/>
    <w:rsid w:val="004B039A"/>
    <w:rsid w:val="004B53E4"/>
    <w:rsid w:val="004C0A70"/>
    <w:rsid w:val="004C157E"/>
    <w:rsid w:val="004C17AF"/>
    <w:rsid w:val="004C235D"/>
    <w:rsid w:val="004C3EE2"/>
    <w:rsid w:val="004C6E6E"/>
    <w:rsid w:val="004C7B03"/>
    <w:rsid w:val="004D3BE2"/>
    <w:rsid w:val="004E35F7"/>
    <w:rsid w:val="004E3FB5"/>
    <w:rsid w:val="004E4CD8"/>
    <w:rsid w:val="004E7D30"/>
    <w:rsid w:val="004F01A8"/>
    <w:rsid w:val="004F0259"/>
    <w:rsid w:val="004F1987"/>
    <w:rsid w:val="004F3C06"/>
    <w:rsid w:val="004F60CB"/>
    <w:rsid w:val="00501341"/>
    <w:rsid w:val="0050278B"/>
    <w:rsid w:val="005040C5"/>
    <w:rsid w:val="00506E5F"/>
    <w:rsid w:val="00506F6E"/>
    <w:rsid w:val="005074D4"/>
    <w:rsid w:val="0051099D"/>
    <w:rsid w:val="00511771"/>
    <w:rsid w:val="00512B65"/>
    <w:rsid w:val="0051632C"/>
    <w:rsid w:val="00516CB8"/>
    <w:rsid w:val="00520D66"/>
    <w:rsid w:val="005220E6"/>
    <w:rsid w:val="00524840"/>
    <w:rsid w:val="00524971"/>
    <w:rsid w:val="0053609E"/>
    <w:rsid w:val="005378B2"/>
    <w:rsid w:val="00537F03"/>
    <w:rsid w:val="00541266"/>
    <w:rsid w:val="0054325F"/>
    <w:rsid w:val="00544E2E"/>
    <w:rsid w:val="00544EFD"/>
    <w:rsid w:val="00545F49"/>
    <w:rsid w:val="00553228"/>
    <w:rsid w:val="00553A6E"/>
    <w:rsid w:val="0055498C"/>
    <w:rsid w:val="00556105"/>
    <w:rsid w:val="00556F39"/>
    <w:rsid w:val="005627E7"/>
    <w:rsid w:val="00565A0C"/>
    <w:rsid w:val="0056748E"/>
    <w:rsid w:val="00574889"/>
    <w:rsid w:val="0057780E"/>
    <w:rsid w:val="00581AA9"/>
    <w:rsid w:val="005835B3"/>
    <w:rsid w:val="00584323"/>
    <w:rsid w:val="005843E3"/>
    <w:rsid w:val="005910BE"/>
    <w:rsid w:val="0059613F"/>
    <w:rsid w:val="0059759C"/>
    <w:rsid w:val="005A0435"/>
    <w:rsid w:val="005A42CE"/>
    <w:rsid w:val="005A4C30"/>
    <w:rsid w:val="005A64E6"/>
    <w:rsid w:val="005A7119"/>
    <w:rsid w:val="005B03E2"/>
    <w:rsid w:val="005B3491"/>
    <w:rsid w:val="005B4364"/>
    <w:rsid w:val="005B61B3"/>
    <w:rsid w:val="005B6454"/>
    <w:rsid w:val="005B6581"/>
    <w:rsid w:val="005C5707"/>
    <w:rsid w:val="005D0E3C"/>
    <w:rsid w:val="005D0F1A"/>
    <w:rsid w:val="005D2854"/>
    <w:rsid w:val="005D37DC"/>
    <w:rsid w:val="005D5139"/>
    <w:rsid w:val="005E138F"/>
    <w:rsid w:val="005E1E9A"/>
    <w:rsid w:val="005E2131"/>
    <w:rsid w:val="005E5B36"/>
    <w:rsid w:val="005E67C2"/>
    <w:rsid w:val="005F08B1"/>
    <w:rsid w:val="005F0959"/>
    <w:rsid w:val="005F0D0D"/>
    <w:rsid w:val="005F1238"/>
    <w:rsid w:val="005F323A"/>
    <w:rsid w:val="005F5718"/>
    <w:rsid w:val="005F5F92"/>
    <w:rsid w:val="00600A62"/>
    <w:rsid w:val="00602FB5"/>
    <w:rsid w:val="00605210"/>
    <w:rsid w:val="0060716C"/>
    <w:rsid w:val="0061468B"/>
    <w:rsid w:val="0061788A"/>
    <w:rsid w:val="00622F13"/>
    <w:rsid w:val="00626847"/>
    <w:rsid w:val="0062699E"/>
    <w:rsid w:val="00634469"/>
    <w:rsid w:val="00634554"/>
    <w:rsid w:val="006365FE"/>
    <w:rsid w:val="006379B4"/>
    <w:rsid w:val="00640B54"/>
    <w:rsid w:val="00644F10"/>
    <w:rsid w:val="00646397"/>
    <w:rsid w:val="00646612"/>
    <w:rsid w:val="00652F99"/>
    <w:rsid w:val="00654FB0"/>
    <w:rsid w:val="0065541A"/>
    <w:rsid w:val="00661565"/>
    <w:rsid w:val="0066168C"/>
    <w:rsid w:val="00661E4D"/>
    <w:rsid w:val="00662896"/>
    <w:rsid w:val="00663168"/>
    <w:rsid w:val="006636B9"/>
    <w:rsid w:val="00665720"/>
    <w:rsid w:val="00667B3D"/>
    <w:rsid w:val="00673171"/>
    <w:rsid w:val="006733C3"/>
    <w:rsid w:val="00680085"/>
    <w:rsid w:val="006804C3"/>
    <w:rsid w:val="00680D04"/>
    <w:rsid w:val="00681520"/>
    <w:rsid w:val="00681D6B"/>
    <w:rsid w:val="0068293C"/>
    <w:rsid w:val="006836FC"/>
    <w:rsid w:val="00683CBB"/>
    <w:rsid w:val="00684F5E"/>
    <w:rsid w:val="00686BEE"/>
    <w:rsid w:val="006961CD"/>
    <w:rsid w:val="006978DD"/>
    <w:rsid w:val="006B1B9D"/>
    <w:rsid w:val="006B1BE4"/>
    <w:rsid w:val="006B4180"/>
    <w:rsid w:val="006B72D7"/>
    <w:rsid w:val="006C07EA"/>
    <w:rsid w:val="006C241C"/>
    <w:rsid w:val="006D6688"/>
    <w:rsid w:val="006D6F3B"/>
    <w:rsid w:val="006D7F9F"/>
    <w:rsid w:val="006E2569"/>
    <w:rsid w:val="006E4CE0"/>
    <w:rsid w:val="006E5758"/>
    <w:rsid w:val="006E5B30"/>
    <w:rsid w:val="006E5E19"/>
    <w:rsid w:val="006E5F85"/>
    <w:rsid w:val="006E73B1"/>
    <w:rsid w:val="006F058C"/>
    <w:rsid w:val="006F1488"/>
    <w:rsid w:val="006F1FA9"/>
    <w:rsid w:val="006F52B6"/>
    <w:rsid w:val="006F5A1A"/>
    <w:rsid w:val="006F5E2E"/>
    <w:rsid w:val="006F7EAE"/>
    <w:rsid w:val="00703726"/>
    <w:rsid w:val="00703B5F"/>
    <w:rsid w:val="00705E5F"/>
    <w:rsid w:val="0070738E"/>
    <w:rsid w:val="007114B8"/>
    <w:rsid w:val="00712314"/>
    <w:rsid w:val="00712ACD"/>
    <w:rsid w:val="00712F0E"/>
    <w:rsid w:val="00713909"/>
    <w:rsid w:val="00714893"/>
    <w:rsid w:val="00715015"/>
    <w:rsid w:val="00716793"/>
    <w:rsid w:val="0071728C"/>
    <w:rsid w:val="00722745"/>
    <w:rsid w:val="00724FF8"/>
    <w:rsid w:val="0073038F"/>
    <w:rsid w:val="00731222"/>
    <w:rsid w:val="007317AF"/>
    <w:rsid w:val="00731BA9"/>
    <w:rsid w:val="00736FBF"/>
    <w:rsid w:val="00737145"/>
    <w:rsid w:val="00742BAB"/>
    <w:rsid w:val="007439C3"/>
    <w:rsid w:val="00747922"/>
    <w:rsid w:val="00754181"/>
    <w:rsid w:val="00754984"/>
    <w:rsid w:val="007550DE"/>
    <w:rsid w:val="00755115"/>
    <w:rsid w:val="0075598D"/>
    <w:rsid w:val="00755BC5"/>
    <w:rsid w:val="007570DF"/>
    <w:rsid w:val="007603EA"/>
    <w:rsid w:val="00760AA9"/>
    <w:rsid w:val="007646A7"/>
    <w:rsid w:val="00766670"/>
    <w:rsid w:val="007746E1"/>
    <w:rsid w:val="007776E3"/>
    <w:rsid w:val="00777B3A"/>
    <w:rsid w:val="00777D16"/>
    <w:rsid w:val="007824C3"/>
    <w:rsid w:val="00784AC5"/>
    <w:rsid w:val="00786DEC"/>
    <w:rsid w:val="00787E72"/>
    <w:rsid w:val="0079183E"/>
    <w:rsid w:val="007918F1"/>
    <w:rsid w:val="00791E15"/>
    <w:rsid w:val="007923F7"/>
    <w:rsid w:val="00793103"/>
    <w:rsid w:val="007931BE"/>
    <w:rsid w:val="00795A10"/>
    <w:rsid w:val="00797FD9"/>
    <w:rsid w:val="007A359B"/>
    <w:rsid w:val="007A41F7"/>
    <w:rsid w:val="007A696F"/>
    <w:rsid w:val="007A781F"/>
    <w:rsid w:val="007B2EEA"/>
    <w:rsid w:val="007B3F61"/>
    <w:rsid w:val="007B6E68"/>
    <w:rsid w:val="007C059A"/>
    <w:rsid w:val="007C4B39"/>
    <w:rsid w:val="007C56C1"/>
    <w:rsid w:val="007D5307"/>
    <w:rsid w:val="007D5781"/>
    <w:rsid w:val="007E7558"/>
    <w:rsid w:val="007E7E9A"/>
    <w:rsid w:val="007F00C1"/>
    <w:rsid w:val="007F0595"/>
    <w:rsid w:val="007F1533"/>
    <w:rsid w:val="007F15C2"/>
    <w:rsid w:val="007F1A91"/>
    <w:rsid w:val="007F2417"/>
    <w:rsid w:val="007F2596"/>
    <w:rsid w:val="007F5417"/>
    <w:rsid w:val="007F57C2"/>
    <w:rsid w:val="007F7A16"/>
    <w:rsid w:val="007F7C7F"/>
    <w:rsid w:val="00800052"/>
    <w:rsid w:val="008000E0"/>
    <w:rsid w:val="0080240D"/>
    <w:rsid w:val="0081148E"/>
    <w:rsid w:val="00811DC5"/>
    <w:rsid w:val="008139FB"/>
    <w:rsid w:val="00821225"/>
    <w:rsid w:val="00822180"/>
    <w:rsid w:val="00822C5E"/>
    <w:rsid w:val="00826777"/>
    <w:rsid w:val="00826D70"/>
    <w:rsid w:val="00831F02"/>
    <w:rsid w:val="00832745"/>
    <w:rsid w:val="00833205"/>
    <w:rsid w:val="00833A04"/>
    <w:rsid w:val="00835D99"/>
    <w:rsid w:val="0085075B"/>
    <w:rsid w:val="008512C2"/>
    <w:rsid w:val="0085238C"/>
    <w:rsid w:val="00853DE6"/>
    <w:rsid w:val="00855FD7"/>
    <w:rsid w:val="00856EFD"/>
    <w:rsid w:val="008572AA"/>
    <w:rsid w:val="00857C2D"/>
    <w:rsid w:val="0086087C"/>
    <w:rsid w:val="008610A1"/>
    <w:rsid w:val="008631AB"/>
    <w:rsid w:val="00865213"/>
    <w:rsid w:val="008652AE"/>
    <w:rsid w:val="00866217"/>
    <w:rsid w:val="00867AE3"/>
    <w:rsid w:val="008726EE"/>
    <w:rsid w:val="008735E1"/>
    <w:rsid w:val="00873B86"/>
    <w:rsid w:val="008742F0"/>
    <w:rsid w:val="00882387"/>
    <w:rsid w:val="00882D25"/>
    <w:rsid w:val="0088312C"/>
    <w:rsid w:val="008832BD"/>
    <w:rsid w:val="0088463B"/>
    <w:rsid w:val="0088653D"/>
    <w:rsid w:val="00887643"/>
    <w:rsid w:val="00892982"/>
    <w:rsid w:val="008937FD"/>
    <w:rsid w:val="00893892"/>
    <w:rsid w:val="008946C8"/>
    <w:rsid w:val="00896576"/>
    <w:rsid w:val="00896663"/>
    <w:rsid w:val="008A17CA"/>
    <w:rsid w:val="008A32D2"/>
    <w:rsid w:val="008A3F66"/>
    <w:rsid w:val="008A4516"/>
    <w:rsid w:val="008A5B42"/>
    <w:rsid w:val="008A6881"/>
    <w:rsid w:val="008A6AE6"/>
    <w:rsid w:val="008A75D1"/>
    <w:rsid w:val="008A7648"/>
    <w:rsid w:val="008B409A"/>
    <w:rsid w:val="008B51E5"/>
    <w:rsid w:val="008B53BA"/>
    <w:rsid w:val="008B690F"/>
    <w:rsid w:val="008C10D1"/>
    <w:rsid w:val="008C1FB0"/>
    <w:rsid w:val="008C2EF6"/>
    <w:rsid w:val="008C3BEA"/>
    <w:rsid w:val="008D3E35"/>
    <w:rsid w:val="008E0C60"/>
    <w:rsid w:val="008E24BF"/>
    <w:rsid w:val="008E288E"/>
    <w:rsid w:val="008E29EF"/>
    <w:rsid w:val="008E446B"/>
    <w:rsid w:val="008E7E80"/>
    <w:rsid w:val="008F140A"/>
    <w:rsid w:val="008F180F"/>
    <w:rsid w:val="008F48B4"/>
    <w:rsid w:val="008F4DF0"/>
    <w:rsid w:val="0090246D"/>
    <w:rsid w:val="00902F25"/>
    <w:rsid w:val="0090400A"/>
    <w:rsid w:val="0090423B"/>
    <w:rsid w:val="00905DEE"/>
    <w:rsid w:val="009061FC"/>
    <w:rsid w:val="0091011E"/>
    <w:rsid w:val="00921168"/>
    <w:rsid w:val="0092283B"/>
    <w:rsid w:val="00924B34"/>
    <w:rsid w:val="0092706C"/>
    <w:rsid w:val="00932A54"/>
    <w:rsid w:val="00932E3B"/>
    <w:rsid w:val="0093606D"/>
    <w:rsid w:val="009405CD"/>
    <w:rsid w:val="00940D36"/>
    <w:rsid w:val="00940FF1"/>
    <w:rsid w:val="00942850"/>
    <w:rsid w:val="00942EDB"/>
    <w:rsid w:val="009436F4"/>
    <w:rsid w:val="0094654D"/>
    <w:rsid w:val="00947651"/>
    <w:rsid w:val="00950EC4"/>
    <w:rsid w:val="0095120A"/>
    <w:rsid w:val="00953B63"/>
    <w:rsid w:val="0095421F"/>
    <w:rsid w:val="00954756"/>
    <w:rsid w:val="00956832"/>
    <w:rsid w:val="00956B85"/>
    <w:rsid w:val="00960359"/>
    <w:rsid w:val="00962925"/>
    <w:rsid w:val="00966520"/>
    <w:rsid w:val="00967382"/>
    <w:rsid w:val="00977F6C"/>
    <w:rsid w:val="00980648"/>
    <w:rsid w:val="00980FE4"/>
    <w:rsid w:val="00981B04"/>
    <w:rsid w:val="00982085"/>
    <w:rsid w:val="0098222E"/>
    <w:rsid w:val="009840BB"/>
    <w:rsid w:val="00987EF9"/>
    <w:rsid w:val="00990B38"/>
    <w:rsid w:val="009A2648"/>
    <w:rsid w:val="009A70D9"/>
    <w:rsid w:val="009B3248"/>
    <w:rsid w:val="009B430E"/>
    <w:rsid w:val="009B6065"/>
    <w:rsid w:val="009C7805"/>
    <w:rsid w:val="009D0798"/>
    <w:rsid w:val="009D1460"/>
    <w:rsid w:val="009D6E8A"/>
    <w:rsid w:val="009E30E9"/>
    <w:rsid w:val="009E3D07"/>
    <w:rsid w:val="009E548C"/>
    <w:rsid w:val="009E58F5"/>
    <w:rsid w:val="009E657B"/>
    <w:rsid w:val="009E6C8D"/>
    <w:rsid w:val="009E7308"/>
    <w:rsid w:val="009E7B3D"/>
    <w:rsid w:val="009F1EEC"/>
    <w:rsid w:val="009F5A00"/>
    <w:rsid w:val="009F5BEC"/>
    <w:rsid w:val="009F6C5E"/>
    <w:rsid w:val="009F75A0"/>
    <w:rsid w:val="00A00A9B"/>
    <w:rsid w:val="00A030D6"/>
    <w:rsid w:val="00A0477D"/>
    <w:rsid w:val="00A0494D"/>
    <w:rsid w:val="00A0712F"/>
    <w:rsid w:val="00A073B4"/>
    <w:rsid w:val="00A10DA9"/>
    <w:rsid w:val="00A110FD"/>
    <w:rsid w:val="00A15CCE"/>
    <w:rsid w:val="00A204D3"/>
    <w:rsid w:val="00A31705"/>
    <w:rsid w:val="00A44042"/>
    <w:rsid w:val="00A443B0"/>
    <w:rsid w:val="00A4497C"/>
    <w:rsid w:val="00A46252"/>
    <w:rsid w:val="00A465AE"/>
    <w:rsid w:val="00A47D6A"/>
    <w:rsid w:val="00A50A6B"/>
    <w:rsid w:val="00A512C6"/>
    <w:rsid w:val="00A53936"/>
    <w:rsid w:val="00A54994"/>
    <w:rsid w:val="00A558FE"/>
    <w:rsid w:val="00A600A0"/>
    <w:rsid w:val="00A60CDD"/>
    <w:rsid w:val="00A6302A"/>
    <w:rsid w:val="00A6402B"/>
    <w:rsid w:val="00A6764D"/>
    <w:rsid w:val="00A7204D"/>
    <w:rsid w:val="00A7377D"/>
    <w:rsid w:val="00A744BF"/>
    <w:rsid w:val="00A76AA3"/>
    <w:rsid w:val="00A76AB8"/>
    <w:rsid w:val="00A7792E"/>
    <w:rsid w:val="00A839DD"/>
    <w:rsid w:val="00A861BE"/>
    <w:rsid w:val="00A936E4"/>
    <w:rsid w:val="00A937BB"/>
    <w:rsid w:val="00A9452C"/>
    <w:rsid w:val="00A95841"/>
    <w:rsid w:val="00A95AE1"/>
    <w:rsid w:val="00A979F7"/>
    <w:rsid w:val="00AA1AAC"/>
    <w:rsid w:val="00AA551E"/>
    <w:rsid w:val="00AB0559"/>
    <w:rsid w:val="00AB3D1E"/>
    <w:rsid w:val="00AB59EB"/>
    <w:rsid w:val="00AB6D05"/>
    <w:rsid w:val="00AC59A1"/>
    <w:rsid w:val="00AD0974"/>
    <w:rsid w:val="00AD703C"/>
    <w:rsid w:val="00AE0656"/>
    <w:rsid w:val="00AE115F"/>
    <w:rsid w:val="00AE1220"/>
    <w:rsid w:val="00AE17E0"/>
    <w:rsid w:val="00AE5405"/>
    <w:rsid w:val="00AE5610"/>
    <w:rsid w:val="00AE685A"/>
    <w:rsid w:val="00AE7B18"/>
    <w:rsid w:val="00AF28D5"/>
    <w:rsid w:val="00AF44DC"/>
    <w:rsid w:val="00AF75FC"/>
    <w:rsid w:val="00AF7A2F"/>
    <w:rsid w:val="00B010D8"/>
    <w:rsid w:val="00B01457"/>
    <w:rsid w:val="00B0220D"/>
    <w:rsid w:val="00B028B3"/>
    <w:rsid w:val="00B05E59"/>
    <w:rsid w:val="00B120DE"/>
    <w:rsid w:val="00B13FD5"/>
    <w:rsid w:val="00B16485"/>
    <w:rsid w:val="00B16E12"/>
    <w:rsid w:val="00B20905"/>
    <w:rsid w:val="00B20B9D"/>
    <w:rsid w:val="00B2168F"/>
    <w:rsid w:val="00B217FC"/>
    <w:rsid w:val="00B25EE8"/>
    <w:rsid w:val="00B2636D"/>
    <w:rsid w:val="00B26F8B"/>
    <w:rsid w:val="00B34106"/>
    <w:rsid w:val="00B360E6"/>
    <w:rsid w:val="00B371CB"/>
    <w:rsid w:val="00B40A19"/>
    <w:rsid w:val="00B42A25"/>
    <w:rsid w:val="00B4416C"/>
    <w:rsid w:val="00B44E96"/>
    <w:rsid w:val="00B521F7"/>
    <w:rsid w:val="00B5285C"/>
    <w:rsid w:val="00B53B5F"/>
    <w:rsid w:val="00B54AC7"/>
    <w:rsid w:val="00B55A61"/>
    <w:rsid w:val="00B55D33"/>
    <w:rsid w:val="00B55F1E"/>
    <w:rsid w:val="00B57822"/>
    <w:rsid w:val="00B57ACF"/>
    <w:rsid w:val="00B60368"/>
    <w:rsid w:val="00B63414"/>
    <w:rsid w:val="00B63D76"/>
    <w:rsid w:val="00B668EC"/>
    <w:rsid w:val="00B729B6"/>
    <w:rsid w:val="00B75089"/>
    <w:rsid w:val="00B751C6"/>
    <w:rsid w:val="00B7693E"/>
    <w:rsid w:val="00B775C3"/>
    <w:rsid w:val="00B8432D"/>
    <w:rsid w:val="00B8777D"/>
    <w:rsid w:val="00B87D41"/>
    <w:rsid w:val="00B87F4C"/>
    <w:rsid w:val="00B90041"/>
    <w:rsid w:val="00B92ED7"/>
    <w:rsid w:val="00B94296"/>
    <w:rsid w:val="00B946F3"/>
    <w:rsid w:val="00BA2BB8"/>
    <w:rsid w:val="00BA4CFA"/>
    <w:rsid w:val="00BA524D"/>
    <w:rsid w:val="00BA7E09"/>
    <w:rsid w:val="00BB2B2D"/>
    <w:rsid w:val="00BB4A2B"/>
    <w:rsid w:val="00BC04A7"/>
    <w:rsid w:val="00BC14B8"/>
    <w:rsid w:val="00BC5D71"/>
    <w:rsid w:val="00BC6488"/>
    <w:rsid w:val="00BC6FBF"/>
    <w:rsid w:val="00BC7D90"/>
    <w:rsid w:val="00BD222D"/>
    <w:rsid w:val="00BD3D93"/>
    <w:rsid w:val="00BD53C9"/>
    <w:rsid w:val="00BD7156"/>
    <w:rsid w:val="00BE2DB5"/>
    <w:rsid w:val="00BE6331"/>
    <w:rsid w:val="00BE6F33"/>
    <w:rsid w:val="00BF2771"/>
    <w:rsid w:val="00BF2D7E"/>
    <w:rsid w:val="00BF6693"/>
    <w:rsid w:val="00BF6F79"/>
    <w:rsid w:val="00C03B48"/>
    <w:rsid w:val="00C0536D"/>
    <w:rsid w:val="00C05BCD"/>
    <w:rsid w:val="00C07288"/>
    <w:rsid w:val="00C075DF"/>
    <w:rsid w:val="00C10043"/>
    <w:rsid w:val="00C10298"/>
    <w:rsid w:val="00C10932"/>
    <w:rsid w:val="00C109E3"/>
    <w:rsid w:val="00C117CF"/>
    <w:rsid w:val="00C23670"/>
    <w:rsid w:val="00C25F9D"/>
    <w:rsid w:val="00C26206"/>
    <w:rsid w:val="00C306D2"/>
    <w:rsid w:val="00C40481"/>
    <w:rsid w:val="00C4286A"/>
    <w:rsid w:val="00C45907"/>
    <w:rsid w:val="00C469CE"/>
    <w:rsid w:val="00C501E2"/>
    <w:rsid w:val="00C5289E"/>
    <w:rsid w:val="00C542F5"/>
    <w:rsid w:val="00C55A7E"/>
    <w:rsid w:val="00C60695"/>
    <w:rsid w:val="00C62DAA"/>
    <w:rsid w:val="00C65C57"/>
    <w:rsid w:val="00C745B9"/>
    <w:rsid w:val="00C772AC"/>
    <w:rsid w:val="00C81E50"/>
    <w:rsid w:val="00C82329"/>
    <w:rsid w:val="00C82B89"/>
    <w:rsid w:val="00C842CE"/>
    <w:rsid w:val="00C8451E"/>
    <w:rsid w:val="00C84FC8"/>
    <w:rsid w:val="00C86662"/>
    <w:rsid w:val="00C86F4B"/>
    <w:rsid w:val="00C8776F"/>
    <w:rsid w:val="00C87829"/>
    <w:rsid w:val="00C90914"/>
    <w:rsid w:val="00C9173A"/>
    <w:rsid w:val="00C93DF6"/>
    <w:rsid w:val="00C955B5"/>
    <w:rsid w:val="00CA1EA4"/>
    <w:rsid w:val="00CA3560"/>
    <w:rsid w:val="00CA43C3"/>
    <w:rsid w:val="00CA7DD3"/>
    <w:rsid w:val="00CB1440"/>
    <w:rsid w:val="00CB220D"/>
    <w:rsid w:val="00CB7CC0"/>
    <w:rsid w:val="00CC03F8"/>
    <w:rsid w:val="00CC10F0"/>
    <w:rsid w:val="00CC6912"/>
    <w:rsid w:val="00CC6AE1"/>
    <w:rsid w:val="00CC72B6"/>
    <w:rsid w:val="00CD0F2D"/>
    <w:rsid w:val="00CD3331"/>
    <w:rsid w:val="00CD3E79"/>
    <w:rsid w:val="00CD40D3"/>
    <w:rsid w:val="00CD4980"/>
    <w:rsid w:val="00CD6611"/>
    <w:rsid w:val="00CD6CF3"/>
    <w:rsid w:val="00CD7E48"/>
    <w:rsid w:val="00CE128F"/>
    <w:rsid w:val="00CE7F6E"/>
    <w:rsid w:val="00CF1FFA"/>
    <w:rsid w:val="00CF43B9"/>
    <w:rsid w:val="00CF4D08"/>
    <w:rsid w:val="00CF5083"/>
    <w:rsid w:val="00D002E2"/>
    <w:rsid w:val="00D007C8"/>
    <w:rsid w:val="00D0762E"/>
    <w:rsid w:val="00D106AF"/>
    <w:rsid w:val="00D1267E"/>
    <w:rsid w:val="00D1364C"/>
    <w:rsid w:val="00D21D88"/>
    <w:rsid w:val="00D23BC4"/>
    <w:rsid w:val="00D240AC"/>
    <w:rsid w:val="00D24CA6"/>
    <w:rsid w:val="00D24CF9"/>
    <w:rsid w:val="00D2654E"/>
    <w:rsid w:val="00D33417"/>
    <w:rsid w:val="00D4020A"/>
    <w:rsid w:val="00D41AE4"/>
    <w:rsid w:val="00D42125"/>
    <w:rsid w:val="00D431EB"/>
    <w:rsid w:val="00D43F56"/>
    <w:rsid w:val="00D46371"/>
    <w:rsid w:val="00D52E67"/>
    <w:rsid w:val="00D607FA"/>
    <w:rsid w:val="00D61A1D"/>
    <w:rsid w:val="00D61FA1"/>
    <w:rsid w:val="00D62B99"/>
    <w:rsid w:val="00D6310B"/>
    <w:rsid w:val="00D637F3"/>
    <w:rsid w:val="00D63C1C"/>
    <w:rsid w:val="00D66BB7"/>
    <w:rsid w:val="00D75D74"/>
    <w:rsid w:val="00D770D3"/>
    <w:rsid w:val="00D80943"/>
    <w:rsid w:val="00D837C4"/>
    <w:rsid w:val="00D83C78"/>
    <w:rsid w:val="00D942DC"/>
    <w:rsid w:val="00D94CFB"/>
    <w:rsid w:val="00DA172D"/>
    <w:rsid w:val="00DA1A8C"/>
    <w:rsid w:val="00DA3118"/>
    <w:rsid w:val="00DB08B2"/>
    <w:rsid w:val="00DB4772"/>
    <w:rsid w:val="00DB61DA"/>
    <w:rsid w:val="00DC05B9"/>
    <w:rsid w:val="00DC18B1"/>
    <w:rsid w:val="00DC3275"/>
    <w:rsid w:val="00DC4282"/>
    <w:rsid w:val="00DD0B2A"/>
    <w:rsid w:val="00DD4E2E"/>
    <w:rsid w:val="00DD73F5"/>
    <w:rsid w:val="00DE0719"/>
    <w:rsid w:val="00DE6533"/>
    <w:rsid w:val="00DE68E5"/>
    <w:rsid w:val="00DF05AB"/>
    <w:rsid w:val="00DF15DA"/>
    <w:rsid w:val="00DF2A3A"/>
    <w:rsid w:val="00E005C9"/>
    <w:rsid w:val="00E016D9"/>
    <w:rsid w:val="00E023C9"/>
    <w:rsid w:val="00E03EF7"/>
    <w:rsid w:val="00E0400B"/>
    <w:rsid w:val="00E046E3"/>
    <w:rsid w:val="00E05508"/>
    <w:rsid w:val="00E10898"/>
    <w:rsid w:val="00E1169D"/>
    <w:rsid w:val="00E12657"/>
    <w:rsid w:val="00E139E4"/>
    <w:rsid w:val="00E14054"/>
    <w:rsid w:val="00E1720D"/>
    <w:rsid w:val="00E217F1"/>
    <w:rsid w:val="00E22091"/>
    <w:rsid w:val="00E24213"/>
    <w:rsid w:val="00E25065"/>
    <w:rsid w:val="00E25683"/>
    <w:rsid w:val="00E25B4C"/>
    <w:rsid w:val="00E25D51"/>
    <w:rsid w:val="00E31964"/>
    <w:rsid w:val="00E31FDC"/>
    <w:rsid w:val="00E32452"/>
    <w:rsid w:val="00E33D60"/>
    <w:rsid w:val="00E35084"/>
    <w:rsid w:val="00E361B5"/>
    <w:rsid w:val="00E3773E"/>
    <w:rsid w:val="00E426ED"/>
    <w:rsid w:val="00E50016"/>
    <w:rsid w:val="00E51C94"/>
    <w:rsid w:val="00E52987"/>
    <w:rsid w:val="00E54957"/>
    <w:rsid w:val="00E55DFE"/>
    <w:rsid w:val="00E6468B"/>
    <w:rsid w:val="00E66D52"/>
    <w:rsid w:val="00E67765"/>
    <w:rsid w:val="00E70C12"/>
    <w:rsid w:val="00E735EF"/>
    <w:rsid w:val="00E75695"/>
    <w:rsid w:val="00E766D6"/>
    <w:rsid w:val="00E80EEA"/>
    <w:rsid w:val="00E81339"/>
    <w:rsid w:val="00E826F0"/>
    <w:rsid w:val="00E82A6B"/>
    <w:rsid w:val="00E85545"/>
    <w:rsid w:val="00E91368"/>
    <w:rsid w:val="00E91AFA"/>
    <w:rsid w:val="00E921BE"/>
    <w:rsid w:val="00E929BD"/>
    <w:rsid w:val="00E96E2B"/>
    <w:rsid w:val="00E973EC"/>
    <w:rsid w:val="00EA11A4"/>
    <w:rsid w:val="00EA2BE9"/>
    <w:rsid w:val="00EA3B19"/>
    <w:rsid w:val="00EA5D1A"/>
    <w:rsid w:val="00EA6A21"/>
    <w:rsid w:val="00EB0D6B"/>
    <w:rsid w:val="00EB36BC"/>
    <w:rsid w:val="00EB5596"/>
    <w:rsid w:val="00EC61D0"/>
    <w:rsid w:val="00ED1861"/>
    <w:rsid w:val="00ED4194"/>
    <w:rsid w:val="00ED5E9E"/>
    <w:rsid w:val="00EE31BE"/>
    <w:rsid w:val="00EE6FC7"/>
    <w:rsid w:val="00EF086C"/>
    <w:rsid w:val="00EF3358"/>
    <w:rsid w:val="00EF5EF3"/>
    <w:rsid w:val="00F00AF8"/>
    <w:rsid w:val="00F01B21"/>
    <w:rsid w:val="00F06B4D"/>
    <w:rsid w:val="00F10408"/>
    <w:rsid w:val="00F10D7A"/>
    <w:rsid w:val="00F13562"/>
    <w:rsid w:val="00F17F08"/>
    <w:rsid w:val="00F2155C"/>
    <w:rsid w:val="00F278D9"/>
    <w:rsid w:val="00F338A0"/>
    <w:rsid w:val="00F35FDB"/>
    <w:rsid w:val="00F41E68"/>
    <w:rsid w:val="00F443C0"/>
    <w:rsid w:val="00F46805"/>
    <w:rsid w:val="00F47515"/>
    <w:rsid w:val="00F50F38"/>
    <w:rsid w:val="00F51191"/>
    <w:rsid w:val="00F57109"/>
    <w:rsid w:val="00F63153"/>
    <w:rsid w:val="00F6470D"/>
    <w:rsid w:val="00F73EDD"/>
    <w:rsid w:val="00F7569A"/>
    <w:rsid w:val="00F80F08"/>
    <w:rsid w:val="00F8121A"/>
    <w:rsid w:val="00F8167A"/>
    <w:rsid w:val="00F81FE5"/>
    <w:rsid w:val="00F835ED"/>
    <w:rsid w:val="00F84986"/>
    <w:rsid w:val="00F84EE8"/>
    <w:rsid w:val="00F85878"/>
    <w:rsid w:val="00F85ABB"/>
    <w:rsid w:val="00F85B75"/>
    <w:rsid w:val="00F86752"/>
    <w:rsid w:val="00F90C80"/>
    <w:rsid w:val="00F92BBC"/>
    <w:rsid w:val="00F94106"/>
    <w:rsid w:val="00F95A7A"/>
    <w:rsid w:val="00F972A4"/>
    <w:rsid w:val="00FA0862"/>
    <w:rsid w:val="00FA4619"/>
    <w:rsid w:val="00FA6AEA"/>
    <w:rsid w:val="00FB08AC"/>
    <w:rsid w:val="00FB27CF"/>
    <w:rsid w:val="00FB7263"/>
    <w:rsid w:val="00FC0232"/>
    <w:rsid w:val="00FC05E6"/>
    <w:rsid w:val="00FC0AF7"/>
    <w:rsid w:val="00FC1CE4"/>
    <w:rsid w:val="00FC415C"/>
    <w:rsid w:val="00FC545D"/>
    <w:rsid w:val="00FC637E"/>
    <w:rsid w:val="00FC6866"/>
    <w:rsid w:val="00FC7EE8"/>
    <w:rsid w:val="00FD0EDA"/>
    <w:rsid w:val="00FD2AF9"/>
    <w:rsid w:val="00FD3AAE"/>
    <w:rsid w:val="00FD685F"/>
    <w:rsid w:val="00FD6C88"/>
    <w:rsid w:val="00FE1C9C"/>
    <w:rsid w:val="00FE2CA6"/>
    <w:rsid w:val="00FE50E4"/>
    <w:rsid w:val="00FE68F5"/>
    <w:rsid w:val="00FF1804"/>
    <w:rsid w:val="00FF3BE4"/>
    <w:rsid w:val="00FF3FDB"/>
    <w:rsid w:val="00FF4648"/>
    <w:rsid w:val="00FF4807"/>
    <w:rsid w:val="010A29DC"/>
    <w:rsid w:val="010B38E6"/>
    <w:rsid w:val="01204D21"/>
    <w:rsid w:val="012C4E20"/>
    <w:rsid w:val="01304A4C"/>
    <w:rsid w:val="013077E1"/>
    <w:rsid w:val="01392A55"/>
    <w:rsid w:val="014F4823"/>
    <w:rsid w:val="0177794C"/>
    <w:rsid w:val="01867258"/>
    <w:rsid w:val="018D782A"/>
    <w:rsid w:val="01907146"/>
    <w:rsid w:val="01A06DBE"/>
    <w:rsid w:val="01A137BA"/>
    <w:rsid w:val="01C400FA"/>
    <w:rsid w:val="01EC342B"/>
    <w:rsid w:val="020A1516"/>
    <w:rsid w:val="021C3DF2"/>
    <w:rsid w:val="023A78B1"/>
    <w:rsid w:val="023C4CE1"/>
    <w:rsid w:val="023D293E"/>
    <w:rsid w:val="02464940"/>
    <w:rsid w:val="02482F57"/>
    <w:rsid w:val="02652A0B"/>
    <w:rsid w:val="026B6067"/>
    <w:rsid w:val="02725C40"/>
    <w:rsid w:val="02B259B1"/>
    <w:rsid w:val="02DE79F7"/>
    <w:rsid w:val="02EA04F8"/>
    <w:rsid w:val="02F2257C"/>
    <w:rsid w:val="03211576"/>
    <w:rsid w:val="033C7201"/>
    <w:rsid w:val="033D587D"/>
    <w:rsid w:val="034A377A"/>
    <w:rsid w:val="03537AF5"/>
    <w:rsid w:val="036E7738"/>
    <w:rsid w:val="037C2FF2"/>
    <w:rsid w:val="03861E10"/>
    <w:rsid w:val="03904983"/>
    <w:rsid w:val="03942A31"/>
    <w:rsid w:val="03BE5AEE"/>
    <w:rsid w:val="03D26D54"/>
    <w:rsid w:val="03E07A24"/>
    <w:rsid w:val="03E77D65"/>
    <w:rsid w:val="03EB0B36"/>
    <w:rsid w:val="04001CAD"/>
    <w:rsid w:val="040D07F6"/>
    <w:rsid w:val="044C664D"/>
    <w:rsid w:val="046E684D"/>
    <w:rsid w:val="04E2658F"/>
    <w:rsid w:val="05296A3F"/>
    <w:rsid w:val="05307EB6"/>
    <w:rsid w:val="053876D1"/>
    <w:rsid w:val="05612E9D"/>
    <w:rsid w:val="056B5C30"/>
    <w:rsid w:val="0588329B"/>
    <w:rsid w:val="059912CA"/>
    <w:rsid w:val="05A8133D"/>
    <w:rsid w:val="05AA2377"/>
    <w:rsid w:val="05D91596"/>
    <w:rsid w:val="06025829"/>
    <w:rsid w:val="06174FC9"/>
    <w:rsid w:val="0620235A"/>
    <w:rsid w:val="064145BB"/>
    <w:rsid w:val="064A5401"/>
    <w:rsid w:val="06554660"/>
    <w:rsid w:val="06B17D4E"/>
    <w:rsid w:val="06C43BF1"/>
    <w:rsid w:val="06CC4FCB"/>
    <w:rsid w:val="06CF17BB"/>
    <w:rsid w:val="06F31119"/>
    <w:rsid w:val="06FA012E"/>
    <w:rsid w:val="070E6657"/>
    <w:rsid w:val="073163E9"/>
    <w:rsid w:val="0754034F"/>
    <w:rsid w:val="075B6A1A"/>
    <w:rsid w:val="075E73A1"/>
    <w:rsid w:val="07617213"/>
    <w:rsid w:val="07633370"/>
    <w:rsid w:val="07696EA1"/>
    <w:rsid w:val="078421D2"/>
    <w:rsid w:val="078C59DA"/>
    <w:rsid w:val="078E355A"/>
    <w:rsid w:val="07972AF0"/>
    <w:rsid w:val="07B1652B"/>
    <w:rsid w:val="07B16C17"/>
    <w:rsid w:val="07C4756E"/>
    <w:rsid w:val="07CE03F0"/>
    <w:rsid w:val="07D9725F"/>
    <w:rsid w:val="07EA0176"/>
    <w:rsid w:val="08342D5C"/>
    <w:rsid w:val="08361DB2"/>
    <w:rsid w:val="083D4428"/>
    <w:rsid w:val="08674142"/>
    <w:rsid w:val="0869623A"/>
    <w:rsid w:val="08877358"/>
    <w:rsid w:val="08BC62FE"/>
    <w:rsid w:val="08C14D22"/>
    <w:rsid w:val="08D24214"/>
    <w:rsid w:val="08E6067D"/>
    <w:rsid w:val="08FE5A3C"/>
    <w:rsid w:val="09064D89"/>
    <w:rsid w:val="09075A53"/>
    <w:rsid w:val="091F71AE"/>
    <w:rsid w:val="092020A1"/>
    <w:rsid w:val="09324FA1"/>
    <w:rsid w:val="09506A2B"/>
    <w:rsid w:val="09686025"/>
    <w:rsid w:val="097D5F29"/>
    <w:rsid w:val="098A5818"/>
    <w:rsid w:val="099512B1"/>
    <w:rsid w:val="09CD6EEA"/>
    <w:rsid w:val="09ED2056"/>
    <w:rsid w:val="09FD2049"/>
    <w:rsid w:val="0A03304E"/>
    <w:rsid w:val="0A164346"/>
    <w:rsid w:val="0A1E3055"/>
    <w:rsid w:val="0A2019E8"/>
    <w:rsid w:val="0A3E36F7"/>
    <w:rsid w:val="0A541FF4"/>
    <w:rsid w:val="0A5963B4"/>
    <w:rsid w:val="0A6259DA"/>
    <w:rsid w:val="0A673C4E"/>
    <w:rsid w:val="0A856C30"/>
    <w:rsid w:val="0A91022F"/>
    <w:rsid w:val="0ABC6C82"/>
    <w:rsid w:val="0B03652E"/>
    <w:rsid w:val="0B084C44"/>
    <w:rsid w:val="0B4C573F"/>
    <w:rsid w:val="0B5D198F"/>
    <w:rsid w:val="0B7A4E2A"/>
    <w:rsid w:val="0BB235D5"/>
    <w:rsid w:val="0BC9484D"/>
    <w:rsid w:val="0BCB206C"/>
    <w:rsid w:val="0BDC57DF"/>
    <w:rsid w:val="0BF95409"/>
    <w:rsid w:val="0BFC31CC"/>
    <w:rsid w:val="0C0E2F78"/>
    <w:rsid w:val="0C177CE5"/>
    <w:rsid w:val="0C2801BA"/>
    <w:rsid w:val="0C2D2A4E"/>
    <w:rsid w:val="0C494791"/>
    <w:rsid w:val="0C67390D"/>
    <w:rsid w:val="0C817308"/>
    <w:rsid w:val="0C9D0DDA"/>
    <w:rsid w:val="0CB9080C"/>
    <w:rsid w:val="0CCA2C1A"/>
    <w:rsid w:val="0CFF018B"/>
    <w:rsid w:val="0D096A1C"/>
    <w:rsid w:val="0D276763"/>
    <w:rsid w:val="0D2C4661"/>
    <w:rsid w:val="0D4B563D"/>
    <w:rsid w:val="0D5D3E94"/>
    <w:rsid w:val="0D61600F"/>
    <w:rsid w:val="0DAF6CC4"/>
    <w:rsid w:val="0E033729"/>
    <w:rsid w:val="0E087ECA"/>
    <w:rsid w:val="0E0C1B7F"/>
    <w:rsid w:val="0E313F0B"/>
    <w:rsid w:val="0E62280C"/>
    <w:rsid w:val="0E6A581C"/>
    <w:rsid w:val="0EC73206"/>
    <w:rsid w:val="0EC8358F"/>
    <w:rsid w:val="0EFB0F3B"/>
    <w:rsid w:val="0F22618C"/>
    <w:rsid w:val="0F3D5D2B"/>
    <w:rsid w:val="0F40470E"/>
    <w:rsid w:val="0F49333E"/>
    <w:rsid w:val="0F617E47"/>
    <w:rsid w:val="0F6E2388"/>
    <w:rsid w:val="0F8265A9"/>
    <w:rsid w:val="0F860139"/>
    <w:rsid w:val="0F892568"/>
    <w:rsid w:val="0F8E445D"/>
    <w:rsid w:val="0F8E635E"/>
    <w:rsid w:val="0F9811B3"/>
    <w:rsid w:val="0FA86E6B"/>
    <w:rsid w:val="0FA95780"/>
    <w:rsid w:val="10005200"/>
    <w:rsid w:val="100910F7"/>
    <w:rsid w:val="100D205E"/>
    <w:rsid w:val="10443485"/>
    <w:rsid w:val="104D01F0"/>
    <w:rsid w:val="1052354A"/>
    <w:rsid w:val="105517FE"/>
    <w:rsid w:val="105621D9"/>
    <w:rsid w:val="106C28D1"/>
    <w:rsid w:val="10765998"/>
    <w:rsid w:val="108C0C79"/>
    <w:rsid w:val="108D6451"/>
    <w:rsid w:val="10A73DA4"/>
    <w:rsid w:val="10C06DD1"/>
    <w:rsid w:val="10CB2011"/>
    <w:rsid w:val="10D91F63"/>
    <w:rsid w:val="10E81CC6"/>
    <w:rsid w:val="10F604E2"/>
    <w:rsid w:val="110965E8"/>
    <w:rsid w:val="11407D54"/>
    <w:rsid w:val="115B4B8E"/>
    <w:rsid w:val="1169731F"/>
    <w:rsid w:val="11862004"/>
    <w:rsid w:val="119878F1"/>
    <w:rsid w:val="11B04EDA"/>
    <w:rsid w:val="11DC40EC"/>
    <w:rsid w:val="11E9324C"/>
    <w:rsid w:val="11EB1A6E"/>
    <w:rsid w:val="11F01BAE"/>
    <w:rsid w:val="12126AC6"/>
    <w:rsid w:val="12247FD1"/>
    <w:rsid w:val="122C000A"/>
    <w:rsid w:val="12443B53"/>
    <w:rsid w:val="12636B25"/>
    <w:rsid w:val="127B7EA3"/>
    <w:rsid w:val="12994136"/>
    <w:rsid w:val="12A2055F"/>
    <w:rsid w:val="12BD0CC8"/>
    <w:rsid w:val="12D44196"/>
    <w:rsid w:val="12F239B3"/>
    <w:rsid w:val="13134BBB"/>
    <w:rsid w:val="131B2B7D"/>
    <w:rsid w:val="136C7554"/>
    <w:rsid w:val="139C3B76"/>
    <w:rsid w:val="13B3480E"/>
    <w:rsid w:val="13C66364"/>
    <w:rsid w:val="13E26851"/>
    <w:rsid w:val="13EB30B0"/>
    <w:rsid w:val="1421598B"/>
    <w:rsid w:val="1425565E"/>
    <w:rsid w:val="14281104"/>
    <w:rsid w:val="143F2381"/>
    <w:rsid w:val="144E1687"/>
    <w:rsid w:val="146833BF"/>
    <w:rsid w:val="146E0AEA"/>
    <w:rsid w:val="14712EAB"/>
    <w:rsid w:val="14A128A9"/>
    <w:rsid w:val="14A96B96"/>
    <w:rsid w:val="14AF7712"/>
    <w:rsid w:val="1508576B"/>
    <w:rsid w:val="150D424B"/>
    <w:rsid w:val="151671AC"/>
    <w:rsid w:val="151D0380"/>
    <w:rsid w:val="152573F4"/>
    <w:rsid w:val="153C693D"/>
    <w:rsid w:val="1549724D"/>
    <w:rsid w:val="156171A8"/>
    <w:rsid w:val="15750841"/>
    <w:rsid w:val="159B31B9"/>
    <w:rsid w:val="159D6963"/>
    <w:rsid w:val="15AE680F"/>
    <w:rsid w:val="15DB44F0"/>
    <w:rsid w:val="15E3323E"/>
    <w:rsid w:val="164A069C"/>
    <w:rsid w:val="167969DD"/>
    <w:rsid w:val="16B965DF"/>
    <w:rsid w:val="16F24273"/>
    <w:rsid w:val="16F86930"/>
    <w:rsid w:val="1713410C"/>
    <w:rsid w:val="175B2676"/>
    <w:rsid w:val="17730669"/>
    <w:rsid w:val="17894D64"/>
    <w:rsid w:val="17A6487F"/>
    <w:rsid w:val="17B27269"/>
    <w:rsid w:val="17D76E10"/>
    <w:rsid w:val="18010567"/>
    <w:rsid w:val="18087DEB"/>
    <w:rsid w:val="18201364"/>
    <w:rsid w:val="185A5D3E"/>
    <w:rsid w:val="18647528"/>
    <w:rsid w:val="186D0776"/>
    <w:rsid w:val="18731BC3"/>
    <w:rsid w:val="18910FA5"/>
    <w:rsid w:val="18A37F50"/>
    <w:rsid w:val="18B240E4"/>
    <w:rsid w:val="18C75F97"/>
    <w:rsid w:val="18E1300A"/>
    <w:rsid w:val="18ED2D2A"/>
    <w:rsid w:val="19076BBA"/>
    <w:rsid w:val="1918321C"/>
    <w:rsid w:val="193F00C3"/>
    <w:rsid w:val="196423B7"/>
    <w:rsid w:val="19965873"/>
    <w:rsid w:val="199B65DB"/>
    <w:rsid w:val="19B36621"/>
    <w:rsid w:val="19B55465"/>
    <w:rsid w:val="1A011C77"/>
    <w:rsid w:val="1A0D5F74"/>
    <w:rsid w:val="1A29685A"/>
    <w:rsid w:val="1A2E2E40"/>
    <w:rsid w:val="1A472968"/>
    <w:rsid w:val="1A594660"/>
    <w:rsid w:val="1A7F4978"/>
    <w:rsid w:val="1A8166A9"/>
    <w:rsid w:val="1A85510B"/>
    <w:rsid w:val="1AAE3F81"/>
    <w:rsid w:val="1ABA78B8"/>
    <w:rsid w:val="1AC21421"/>
    <w:rsid w:val="1AE26737"/>
    <w:rsid w:val="1B101963"/>
    <w:rsid w:val="1B102545"/>
    <w:rsid w:val="1B1753B8"/>
    <w:rsid w:val="1B1D6F2C"/>
    <w:rsid w:val="1B20205F"/>
    <w:rsid w:val="1B41449B"/>
    <w:rsid w:val="1B42222D"/>
    <w:rsid w:val="1B5A66AE"/>
    <w:rsid w:val="1B6D4985"/>
    <w:rsid w:val="1B927DC7"/>
    <w:rsid w:val="1BA52692"/>
    <w:rsid w:val="1BAA21E6"/>
    <w:rsid w:val="1BD143CB"/>
    <w:rsid w:val="1BDC19C7"/>
    <w:rsid w:val="1BE06188"/>
    <w:rsid w:val="1BF27828"/>
    <w:rsid w:val="1BF615F5"/>
    <w:rsid w:val="1C096A78"/>
    <w:rsid w:val="1C173CB4"/>
    <w:rsid w:val="1C472EB2"/>
    <w:rsid w:val="1C5A43C0"/>
    <w:rsid w:val="1C622D89"/>
    <w:rsid w:val="1C785234"/>
    <w:rsid w:val="1C981895"/>
    <w:rsid w:val="1CC551C4"/>
    <w:rsid w:val="1CD0035D"/>
    <w:rsid w:val="1CD047D7"/>
    <w:rsid w:val="1CD86DEE"/>
    <w:rsid w:val="1CE04997"/>
    <w:rsid w:val="1CE947D5"/>
    <w:rsid w:val="1D067E36"/>
    <w:rsid w:val="1D0C4B86"/>
    <w:rsid w:val="1D0E302D"/>
    <w:rsid w:val="1D2D36AE"/>
    <w:rsid w:val="1D5446C4"/>
    <w:rsid w:val="1D556721"/>
    <w:rsid w:val="1D567245"/>
    <w:rsid w:val="1D570900"/>
    <w:rsid w:val="1D582357"/>
    <w:rsid w:val="1D5C5F16"/>
    <w:rsid w:val="1D6677C1"/>
    <w:rsid w:val="1D6A254F"/>
    <w:rsid w:val="1D6F5AE1"/>
    <w:rsid w:val="1D922A1D"/>
    <w:rsid w:val="1D9A37DC"/>
    <w:rsid w:val="1DD76B1B"/>
    <w:rsid w:val="1DDE4F2C"/>
    <w:rsid w:val="1DEF2669"/>
    <w:rsid w:val="1DF14240"/>
    <w:rsid w:val="1DF14B2F"/>
    <w:rsid w:val="1E9234D9"/>
    <w:rsid w:val="1E9C7B53"/>
    <w:rsid w:val="1EA124E4"/>
    <w:rsid w:val="1EA8427E"/>
    <w:rsid w:val="1EA957AB"/>
    <w:rsid w:val="1EB53B30"/>
    <w:rsid w:val="1EC50ABE"/>
    <w:rsid w:val="1EFA335E"/>
    <w:rsid w:val="1F1A4B93"/>
    <w:rsid w:val="1F1F1B52"/>
    <w:rsid w:val="1F543176"/>
    <w:rsid w:val="1F635B0F"/>
    <w:rsid w:val="1F8D08A0"/>
    <w:rsid w:val="1F9A2D26"/>
    <w:rsid w:val="1FA36274"/>
    <w:rsid w:val="1FBD2C01"/>
    <w:rsid w:val="1FC404DE"/>
    <w:rsid w:val="1FCF5210"/>
    <w:rsid w:val="1FF41364"/>
    <w:rsid w:val="20004ED5"/>
    <w:rsid w:val="201542E7"/>
    <w:rsid w:val="20212FBC"/>
    <w:rsid w:val="20343D12"/>
    <w:rsid w:val="20626A56"/>
    <w:rsid w:val="206F397A"/>
    <w:rsid w:val="20770D67"/>
    <w:rsid w:val="20912499"/>
    <w:rsid w:val="209677A6"/>
    <w:rsid w:val="209D78C6"/>
    <w:rsid w:val="20AB7503"/>
    <w:rsid w:val="20B147CB"/>
    <w:rsid w:val="20DA7C88"/>
    <w:rsid w:val="20E231A5"/>
    <w:rsid w:val="211F4C27"/>
    <w:rsid w:val="215C785A"/>
    <w:rsid w:val="21667BF0"/>
    <w:rsid w:val="216E4772"/>
    <w:rsid w:val="218465CD"/>
    <w:rsid w:val="21A13347"/>
    <w:rsid w:val="21B00DE3"/>
    <w:rsid w:val="21B738CD"/>
    <w:rsid w:val="21DE514B"/>
    <w:rsid w:val="21E45026"/>
    <w:rsid w:val="2221328A"/>
    <w:rsid w:val="2229011E"/>
    <w:rsid w:val="223C1E72"/>
    <w:rsid w:val="223C5C1D"/>
    <w:rsid w:val="226B570B"/>
    <w:rsid w:val="22731EF1"/>
    <w:rsid w:val="22A35257"/>
    <w:rsid w:val="22B4001F"/>
    <w:rsid w:val="22C45A69"/>
    <w:rsid w:val="22E94FD9"/>
    <w:rsid w:val="231921B3"/>
    <w:rsid w:val="23291324"/>
    <w:rsid w:val="232C63F2"/>
    <w:rsid w:val="23426A3F"/>
    <w:rsid w:val="236F1199"/>
    <w:rsid w:val="23706E8B"/>
    <w:rsid w:val="2375388E"/>
    <w:rsid w:val="237B3923"/>
    <w:rsid w:val="23847A1B"/>
    <w:rsid w:val="23B24564"/>
    <w:rsid w:val="23B55527"/>
    <w:rsid w:val="23B96B3D"/>
    <w:rsid w:val="23BE0BB8"/>
    <w:rsid w:val="23C44794"/>
    <w:rsid w:val="23C71019"/>
    <w:rsid w:val="23CF0A85"/>
    <w:rsid w:val="23EF3106"/>
    <w:rsid w:val="24031850"/>
    <w:rsid w:val="241005DE"/>
    <w:rsid w:val="24124CF0"/>
    <w:rsid w:val="2417728C"/>
    <w:rsid w:val="24346C9B"/>
    <w:rsid w:val="246E1F1A"/>
    <w:rsid w:val="247411D0"/>
    <w:rsid w:val="247E0A9D"/>
    <w:rsid w:val="247E6772"/>
    <w:rsid w:val="24880487"/>
    <w:rsid w:val="24AD14DB"/>
    <w:rsid w:val="24AF6860"/>
    <w:rsid w:val="24BD288E"/>
    <w:rsid w:val="24EC716E"/>
    <w:rsid w:val="24F815FD"/>
    <w:rsid w:val="24FD7FDE"/>
    <w:rsid w:val="251A733D"/>
    <w:rsid w:val="252E40ED"/>
    <w:rsid w:val="253940B9"/>
    <w:rsid w:val="256A1466"/>
    <w:rsid w:val="257136FC"/>
    <w:rsid w:val="258D3609"/>
    <w:rsid w:val="25AB17E9"/>
    <w:rsid w:val="25C2288F"/>
    <w:rsid w:val="25CB339F"/>
    <w:rsid w:val="25DE13C8"/>
    <w:rsid w:val="25EB68D5"/>
    <w:rsid w:val="262243A7"/>
    <w:rsid w:val="26284BE7"/>
    <w:rsid w:val="262D4FBA"/>
    <w:rsid w:val="26347B1D"/>
    <w:rsid w:val="263C39C6"/>
    <w:rsid w:val="264A19B8"/>
    <w:rsid w:val="264F4623"/>
    <w:rsid w:val="266E6880"/>
    <w:rsid w:val="267902DC"/>
    <w:rsid w:val="268E722C"/>
    <w:rsid w:val="26BF4C6F"/>
    <w:rsid w:val="26C67B6A"/>
    <w:rsid w:val="26E74AA2"/>
    <w:rsid w:val="27060295"/>
    <w:rsid w:val="272D1F9B"/>
    <w:rsid w:val="27315D1D"/>
    <w:rsid w:val="27615AEF"/>
    <w:rsid w:val="276B0896"/>
    <w:rsid w:val="278E4F1E"/>
    <w:rsid w:val="279333AD"/>
    <w:rsid w:val="27972B27"/>
    <w:rsid w:val="27A6495D"/>
    <w:rsid w:val="27B73043"/>
    <w:rsid w:val="27D020C5"/>
    <w:rsid w:val="27DE3161"/>
    <w:rsid w:val="27DF19DE"/>
    <w:rsid w:val="282615FA"/>
    <w:rsid w:val="28530562"/>
    <w:rsid w:val="2868597F"/>
    <w:rsid w:val="28765EC6"/>
    <w:rsid w:val="287E0A6F"/>
    <w:rsid w:val="287F50B1"/>
    <w:rsid w:val="28877FA5"/>
    <w:rsid w:val="28975A6F"/>
    <w:rsid w:val="28976054"/>
    <w:rsid w:val="28AA3BED"/>
    <w:rsid w:val="28BC55CF"/>
    <w:rsid w:val="290566B4"/>
    <w:rsid w:val="29390237"/>
    <w:rsid w:val="294A1940"/>
    <w:rsid w:val="29521B35"/>
    <w:rsid w:val="298A10D0"/>
    <w:rsid w:val="29A11F19"/>
    <w:rsid w:val="29D357B2"/>
    <w:rsid w:val="29ED05AF"/>
    <w:rsid w:val="29F14D42"/>
    <w:rsid w:val="2A110282"/>
    <w:rsid w:val="2A337FFE"/>
    <w:rsid w:val="2A3C3357"/>
    <w:rsid w:val="2A3D0E7D"/>
    <w:rsid w:val="2A582C8B"/>
    <w:rsid w:val="2A891296"/>
    <w:rsid w:val="2AE36D18"/>
    <w:rsid w:val="2AF67954"/>
    <w:rsid w:val="2AF72431"/>
    <w:rsid w:val="2B1030E2"/>
    <w:rsid w:val="2B40373A"/>
    <w:rsid w:val="2B6A3EF4"/>
    <w:rsid w:val="2B7E685F"/>
    <w:rsid w:val="2B8D7E34"/>
    <w:rsid w:val="2BA06087"/>
    <w:rsid w:val="2BA64601"/>
    <w:rsid w:val="2BB6703E"/>
    <w:rsid w:val="2BC52ED8"/>
    <w:rsid w:val="2BD65A3D"/>
    <w:rsid w:val="2BDF14A0"/>
    <w:rsid w:val="2BF832AE"/>
    <w:rsid w:val="2C062C80"/>
    <w:rsid w:val="2C0779A9"/>
    <w:rsid w:val="2C196CCB"/>
    <w:rsid w:val="2C3145CE"/>
    <w:rsid w:val="2C372DF6"/>
    <w:rsid w:val="2C440015"/>
    <w:rsid w:val="2C595B41"/>
    <w:rsid w:val="2C6170A5"/>
    <w:rsid w:val="2C982C94"/>
    <w:rsid w:val="2C9D68A3"/>
    <w:rsid w:val="2CA53D93"/>
    <w:rsid w:val="2CCF2225"/>
    <w:rsid w:val="2D030FF7"/>
    <w:rsid w:val="2D2141D7"/>
    <w:rsid w:val="2D29335D"/>
    <w:rsid w:val="2D2F4DAB"/>
    <w:rsid w:val="2D3E4927"/>
    <w:rsid w:val="2D4008CA"/>
    <w:rsid w:val="2D496080"/>
    <w:rsid w:val="2D7751EC"/>
    <w:rsid w:val="2D8331C2"/>
    <w:rsid w:val="2D8C6510"/>
    <w:rsid w:val="2DAF5BEE"/>
    <w:rsid w:val="2DD30BE7"/>
    <w:rsid w:val="2E0917A2"/>
    <w:rsid w:val="2E1A2283"/>
    <w:rsid w:val="2E2E1209"/>
    <w:rsid w:val="2E4427DA"/>
    <w:rsid w:val="2E460C32"/>
    <w:rsid w:val="2E737451"/>
    <w:rsid w:val="2E903C71"/>
    <w:rsid w:val="2E9C43C4"/>
    <w:rsid w:val="2EA03AAB"/>
    <w:rsid w:val="2EA73A95"/>
    <w:rsid w:val="2EBC346E"/>
    <w:rsid w:val="2EE50403"/>
    <w:rsid w:val="2EF05C1F"/>
    <w:rsid w:val="2EFE4F46"/>
    <w:rsid w:val="2F1F4564"/>
    <w:rsid w:val="2F7E4019"/>
    <w:rsid w:val="2F8B1F0C"/>
    <w:rsid w:val="2F9257C7"/>
    <w:rsid w:val="2FB53D79"/>
    <w:rsid w:val="2FBB20FE"/>
    <w:rsid w:val="2FDE3F97"/>
    <w:rsid w:val="2FFE0477"/>
    <w:rsid w:val="30060B51"/>
    <w:rsid w:val="3017314F"/>
    <w:rsid w:val="30221033"/>
    <w:rsid w:val="302E0D3F"/>
    <w:rsid w:val="303052DC"/>
    <w:rsid w:val="30313232"/>
    <w:rsid w:val="303256E3"/>
    <w:rsid w:val="3034687E"/>
    <w:rsid w:val="3050190A"/>
    <w:rsid w:val="305279F7"/>
    <w:rsid w:val="30534F57"/>
    <w:rsid w:val="30607E8B"/>
    <w:rsid w:val="308216D9"/>
    <w:rsid w:val="308A179C"/>
    <w:rsid w:val="30A60D2D"/>
    <w:rsid w:val="311946E0"/>
    <w:rsid w:val="311C4289"/>
    <w:rsid w:val="31353C4E"/>
    <w:rsid w:val="3142441A"/>
    <w:rsid w:val="315019C6"/>
    <w:rsid w:val="315809A5"/>
    <w:rsid w:val="31653193"/>
    <w:rsid w:val="31800540"/>
    <w:rsid w:val="31A67308"/>
    <w:rsid w:val="31C45EC2"/>
    <w:rsid w:val="31C5184C"/>
    <w:rsid w:val="31D560DB"/>
    <w:rsid w:val="31DB2F5D"/>
    <w:rsid w:val="31E319B0"/>
    <w:rsid w:val="31E77D87"/>
    <w:rsid w:val="32150A70"/>
    <w:rsid w:val="32295758"/>
    <w:rsid w:val="322979B4"/>
    <w:rsid w:val="322A7F39"/>
    <w:rsid w:val="32593DFC"/>
    <w:rsid w:val="32675E92"/>
    <w:rsid w:val="327B52FA"/>
    <w:rsid w:val="32B56D4E"/>
    <w:rsid w:val="32BF5086"/>
    <w:rsid w:val="32C16068"/>
    <w:rsid w:val="32C53821"/>
    <w:rsid w:val="32E950EA"/>
    <w:rsid w:val="33246D7C"/>
    <w:rsid w:val="332E6F99"/>
    <w:rsid w:val="33370B5F"/>
    <w:rsid w:val="33680D19"/>
    <w:rsid w:val="337B5090"/>
    <w:rsid w:val="33A4781E"/>
    <w:rsid w:val="33CC3B84"/>
    <w:rsid w:val="33D932E7"/>
    <w:rsid w:val="33E60330"/>
    <w:rsid w:val="33F95E15"/>
    <w:rsid w:val="34303AD3"/>
    <w:rsid w:val="343210C8"/>
    <w:rsid w:val="347432D0"/>
    <w:rsid w:val="3474779E"/>
    <w:rsid w:val="34797E96"/>
    <w:rsid w:val="34911965"/>
    <w:rsid w:val="34A060A3"/>
    <w:rsid w:val="34E43665"/>
    <w:rsid w:val="34EB6A8A"/>
    <w:rsid w:val="350339EF"/>
    <w:rsid w:val="35073445"/>
    <w:rsid w:val="35673D49"/>
    <w:rsid w:val="358D7D4E"/>
    <w:rsid w:val="359A7375"/>
    <w:rsid w:val="35A03B97"/>
    <w:rsid w:val="35B926D0"/>
    <w:rsid w:val="35C36B20"/>
    <w:rsid w:val="35E548A3"/>
    <w:rsid w:val="35EF6C75"/>
    <w:rsid w:val="3600792F"/>
    <w:rsid w:val="360B765A"/>
    <w:rsid w:val="360D4C06"/>
    <w:rsid w:val="361472E7"/>
    <w:rsid w:val="36267F0B"/>
    <w:rsid w:val="3637759F"/>
    <w:rsid w:val="364B29F3"/>
    <w:rsid w:val="36657A0D"/>
    <w:rsid w:val="367A6A68"/>
    <w:rsid w:val="36906C94"/>
    <w:rsid w:val="36A57B62"/>
    <w:rsid w:val="36F80E6D"/>
    <w:rsid w:val="370D5B0F"/>
    <w:rsid w:val="37392849"/>
    <w:rsid w:val="374448B0"/>
    <w:rsid w:val="375141E5"/>
    <w:rsid w:val="375A77DC"/>
    <w:rsid w:val="375B4034"/>
    <w:rsid w:val="37994A13"/>
    <w:rsid w:val="379F61DB"/>
    <w:rsid w:val="37EA43F2"/>
    <w:rsid w:val="37EC2221"/>
    <w:rsid w:val="37FB50A4"/>
    <w:rsid w:val="38346334"/>
    <w:rsid w:val="3862667F"/>
    <w:rsid w:val="386D4073"/>
    <w:rsid w:val="387D6291"/>
    <w:rsid w:val="389018DC"/>
    <w:rsid w:val="38A81BB8"/>
    <w:rsid w:val="38CC1D4A"/>
    <w:rsid w:val="38FC32F5"/>
    <w:rsid w:val="39294C83"/>
    <w:rsid w:val="393262D3"/>
    <w:rsid w:val="39336251"/>
    <w:rsid w:val="39430993"/>
    <w:rsid w:val="397379BA"/>
    <w:rsid w:val="39940197"/>
    <w:rsid w:val="3996149D"/>
    <w:rsid w:val="39A504DB"/>
    <w:rsid w:val="39B23FF2"/>
    <w:rsid w:val="39B272EE"/>
    <w:rsid w:val="39B9486B"/>
    <w:rsid w:val="39BD3152"/>
    <w:rsid w:val="39EF65E9"/>
    <w:rsid w:val="39F202F3"/>
    <w:rsid w:val="39FE62FE"/>
    <w:rsid w:val="3A1375F4"/>
    <w:rsid w:val="3A1C74C0"/>
    <w:rsid w:val="3A250FD5"/>
    <w:rsid w:val="3A8874F8"/>
    <w:rsid w:val="3AAF5635"/>
    <w:rsid w:val="3ABD1D38"/>
    <w:rsid w:val="3AEC1C4E"/>
    <w:rsid w:val="3B076A03"/>
    <w:rsid w:val="3B077069"/>
    <w:rsid w:val="3B082DE1"/>
    <w:rsid w:val="3B2440C0"/>
    <w:rsid w:val="3B283905"/>
    <w:rsid w:val="3B3D0CDD"/>
    <w:rsid w:val="3B3E6003"/>
    <w:rsid w:val="3B41331F"/>
    <w:rsid w:val="3B4B1532"/>
    <w:rsid w:val="3B527076"/>
    <w:rsid w:val="3B5953EB"/>
    <w:rsid w:val="3B7428A2"/>
    <w:rsid w:val="3B765274"/>
    <w:rsid w:val="3BB11072"/>
    <w:rsid w:val="3BC93D29"/>
    <w:rsid w:val="3BD629C9"/>
    <w:rsid w:val="3BEC6400"/>
    <w:rsid w:val="3BF25C60"/>
    <w:rsid w:val="3BF73142"/>
    <w:rsid w:val="3C073099"/>
    <w:rsid w:val="3C3519B4"/>
    <w:rsid w:val="3C385551"/>
    <w:rsid w:val="3C4E3291"/>
    <w:rsid w:val="3C984704"/>
    <w:rsid w:val="3CAA0CC8"/>
    <w:rsid w:val="3CB372D5"/>
    <w:rsid w:val="3CC068E2"/>
    <w:rsid w:val="3CD13E73"/>
    <w:rsid w:val="3CE46B0D"/>
    <w:rsid w:val="3D050C50"/>
    <w:rsid w:val="3D0E0B83"/>
    <w:rsid w:val="3D246465"/>
    <w:rsid w:val="3D5E1A89"/>
    <w:rsid w:val="3D5F69D1"/>
    <w:rsid w:val="3D7917C4"/>
    <w:rsid w:val="3D83301D"/>
    <w:rsid w:val="3D98044D"/>
    <w:rsid w:val="3D9D4A02"/>
    <w:rsid w:val="3DA8491C"/>
    <w:rsid w:val="3DB07FAC"/>
    <w:rsid w:val="3E1B29D5"/>
    <w:rsid w:val="3E2C4B77"/>
    <w:rsid w:val="3E3F2D98"/>
    <w:rsid w:val="3E413EEF"/>
    <w:rsid w:val="3E7C045E"/>
    <w:rsid w:val="3E7F160D"/>
    <w:rsid w:val="3E8B0869"/>
    <w:rsid w:val="3E9421F8"/>
    <w:rsid w:val="3E9D40EF"/>
    <w:rsid w:val="3ED953F3"/>
    <w:rsid w:val="3F0701E2"/>
    <w:rsid w:val="3F400AEC"/>
    <w:rsid w:val="3F5E0081"/>
    <w:rsid w:val="3F610607"/>
    <w:rsid w:val="3F900958"/>
    <w:rsid w:val="3F9B4BDC"/>
    <w:rsid w:val="3F9B4DC8"/>
    <w:rsid w:val="3FB01139"/>
    <w:rsid w:val="3FBE6A6F"/>
    <w:rsid w:val="3FD21CE7"/>
    <w:rsid w:val="3FD6525C"/>
    <w:rsid w:val="3FD741B2"/>
    <w:rsid w:val="3FEE07F8"/>
    <w:rsid w:val="3FF932B7"/>
    <w:rsid w:val="400C23CA"/>
    <w:rsid w:val="4036602C"/>
    <w:rsid w:val="404F6FA7"/>
    <w:rsid w:val="406E1939"/>
    <w:rsid w:val="40767880"/>
    <w:rsid w:val="409C01A4"/>
    <w:rsid w:val="40A93569"/>
    <w:rsid w:val="40AB66E9"/>
    <w:rsid w:val="40D72EF9"/>
    <w:rsid w:val="40F702D7"/>
    <w:rsid w:val="4115236A"/>
    <w:rsid w:val="4116620C"/>
    <w:rsid w:val="415F7A57"/>
    <w:rsid w:val="41681AC6"/>
    <w:rsid w:val="416A54A0"/>
    <w:rsid w:val="41703B72"/>
    <w:rsid w:val="41742F7F"/>
    <w:rsid w:val="41D43D0C"/>
    <w:rsid w:val="41D56B1E"/>
    <w:rsid w:val="41DB06E8"/>
    <w:rsid w:val="41FB544E"/>
    <w:rsid w:val="420E33D3"/>
    <w:rsid w:val="4214428D"/>
    <w:rsid w:val="42292F3A"/>
    <w:rsid w:val="422B1893"/>
    <w:rsid w:val="42302AA6"/>
    <w:rsid w:val="42431D4B"/>
    <w:rsid w:val="42455FD6"/>
    <w:rsid w:val="42872140"/>
    <w:rsid w:val="428B2D40"/>
    <w:rsid w:val="428C6206"/>
    <w:rsid w:val="429952E3"/>
    <w:rsid w:val="42DE4C5B"/>
    <w:rsid w:val="42F60EA8"/>
    <w:rsid w:val="433504EC"/>
    <w:rsid w:val="436333CD"/>
    <w:rsid w:val="437E00E5"/>
    <w:rsid w:val="43924797"/>
    <w:rsid w:val="43AF7B71"/>
    <w:rsid w:val="43B271AC"/>
    <w:rsid w:val="43B575EA"/>
    <w:rsid w:val="43B6162D"/>
    <w:rsid w:val="43BB33B4"/>
    <w:rsid w:val="43CD7752"/>
    <w:rsid w:val="440B306C"/>
    <w:rsid w:val="44443836"/>
    <w:rsid w:val="444A7FC7"/>
    <w:rsid w:val="445C09D8"/>
    <w:rsid w:val="446D38D1"/>
    <w:rsid w:val="447557E7"/>
    <w:rsid w:val="44836A30"/>
    <w:rsid w:val="44B615E2"/>
    <w:rsid w:val="44CE2B5A"/>
    <w:rsid w:val="44D74DA6"/>
    <w:rsid w:val="44EC4671"/>
    <w:rsid w:val="450A2BB8"/>
    <w:rsid w:val="450B5DA8"/>
    <w:rsid w:val="45250868"/>
    <w:rsid w:val="45280575"/>
    <w:rsid w:val="452C299F"/>
    <w:rsid w:val="45447A6F"/>
    <w:rsid w:val="45694293"/>
    <w:rsid w:val="45752682"/>
    <w:rsid w:val="4584349B"/>
    <w:rsid w:val="458F5EB5"/>
    <w:rsid w:val="459C373C"/>
    <w:rsid w:val="459F181B"/>
    <w:rsid w:val="45B2704B"/>
    <w:rsid w:val="45D60A99"/>
    <w:rsid w:val="45EB5908"/>
    <w:rsid w:val="45F03623"/>
    <w:rsid w:val="463A6B3C"/>
    <w:rsid w:val="466804AA"/>
    <w:rsid w:val="46944733"/>
    <w:rsid w:val="469E5422"/>
    <w:rsid w:val="46B62928"/>
    <w:rsid w:val="46B87BDD"/>
    <w:rsid w:val="46DC4B22"/>
    <w:rsid w:val="46E735B4"/>
    <w:rsid w:val="4700015A"/>
    <w:rsid w:val="47001A74"/>
    <w:rsid w:val="470628CB"/>
    <w:rsid w:val="47094169"/>
    <w:rsid w:val="471A6376"/>
    <w:rsid w:val="473507B7"/>
    <w:rsid w:val="474F5B3A"/>
    <w:rsid w:val="475222BC"/>
    <w:rsid w:val="475A3E33"/>
    <w:rsid w:val="478A34FC"/>
    <w:rsid w:val="47975E0F"/>
    <w:rsid w:val="47AA42EF"/>
    <w:rsid w:val="47B40579"/>
    <w:rsid w:val="47DC07F2"/>
    <w:rsid w:val="480000CE"/>
    <w:rsid w:val="48082673"/>
    <w:rsid w:val="481623AE"/>
    <w:rsid w:val="48416DE2"/>
    <w:rsid w:val="4871794A"/>
    <w:rsid w:val="489D27F1"/>
    <w:rsid w:val="48AF3164"/>
    <w:rsid w:val="48B3199A"/>
    <w:rsid w:val="48D52555"/>
    <w:rsid w:val="48D86BCC"/>
    <w:rsid w:val="490441CD"/>
    <w:rsid w:val="490646F5"/>
    <w:rsid w:val="49153B3D"/>
    <w:rsid w:val="491E0FE6"/>
    <w:rsid w:val="499635A5"/>
    <w:rsid w:val="499905C3"/>
    <w:rsid w:val="49DE043E"/>
    <w:rsid w:val="49EC09E1"/>
    <w:rsid w:val="49FD1143"/>
    <w:rsid w:val="49FF04CF"/>
    <w:rsid w:val="4A007B65"/>
    <w:rsid w:val="4A03113E"/>
    <w:rsid w:val="4A08695A"/>
    <w:rsid w:val="4A166443"/>
    <w:rsid w:val="4A2A68D0"/>
    <w:rsid w:val="4A321AFC"/>
    <w:rsid w:val="4A6E118F"/>
    <w:rsid w:val="4A9D70A2"/>
    <w:rsid w:val="4AA52124"/>
    <w:rsid w:val="4AC24D5B"/>
    <w:rsid w:val="4AD318B6"/>
    <w:rsid w:val="4AE26939"/>
    <w:rsid w:val="4AEB2504"/>
    <w:rsid w:val="4AF764A2"/>
    <w:rsid w:val="4AFF5F23"/>
    <w:rsid w:val="4B074E64"/>
    <w:rsid w:val="4B2F4641"/>
    <w:rsid w:val="4B316508"/>
    <w:rsid w:val="4B44321A"/>
    <w:rsid w:val="4B461DD6"/>
    <w:rsid w:val="4B4C07FD"/>
    <w:rsid w:val="4B5005B9"/>
    <w:rsid w:val="4B7772DA"/>
    <w:rsid w:val="4B9A5CD8"/>
    <w:rsid w:val="4BAF6496"/>
    <w:rsid w:val="4BB174A0"/>
    <w:rsid w:val="4BBB1307"/>
    <w:rsid w:val="4BC26539"/>
    <w:rsid w:val="4BE12DC9"/>
    <w:rsid w:val="4BE44023"/>
    <w:rsid w:val="4C110B8C"/>
    <w:rsid w:val="4C112F0A"/>
    <w:rsid w:val="4C162DDF"/>
    <w:rsid w:val="4C1829F8"/>
    <w:rsid w:val="4C293237"/>
    <w:rsid w:val="4C390B2C"/>
    <w:rsid w:val="4C39699A"/>
    <w:rsid w:val="4C916EF9"/>
    <w:rsid w:val="4C982217"/>
    <w:rsid w:val="4CB85D2E"/>
    <w:rsid w:val="4CBD57DA"/>
    <w:rsid w:val="4CC06F87"/>
    <w:rsid w:val="4CD3324F"/>
    <w:rsid w:val="4CD860A3"/>
    <w:rsid w:val="4D155616"/>
    <w:rsid w:val="4D1833EC"/>
    <w:rsid w:val="4D7644DD"/>
    <w:rsid w:val="4D804BB4"/>
    <w:rsid w:val="4D937D8C"/>
    <w:rsid w:val="4DA05357"/>
    <w:rsid w:val="4DBD57A0"/>
    <w:rsid w:val="4DC10B7D"/>
    <w:rsid w:val="4DD0778F"/>
    <w:rsid w:val="4DEA26EE"/>
    <w:rsid w:val="4DF30EDE"/>
    <w:rsid w:val="4E0D1692"/>
    <w:rsid w:val="4E10384F"/>
    <w:rsid w:val="4E162199"/>
    <w:rsid w:val="4E2B2D36"/>
    <w:rsid w:val="4E351114"/>
    <w:rsid w:val="4E5008D0"/>
    <w:rsid w:val="4E864E04"/>
    <w:rsid w:val="4EE6313F"/>
    <w:rsid w:val="4EF23985"/>
    <w:rsid w:val="4F03409A"/>
    <w:rsid w:val="4F1B47AB"/>
    <w:rsid w:val="4F2C0D2A"/>
    <w:rsid w:val="4F31207A"/>
    <w:rsid w:val="4F3C4587"/>
    <w:rsid w:val="4F9721E3"/>
    <w:rsid w:val="4F984861"/>
    <w:rsid w:val="4FBF3456"/>
    <w:rsid w:val="4FC7696F"/>
    <w:rsid w:val="4FC964C4"/>
    <w:rsid w:val="4FD12D48"/>
    <w:rsid w:val="4FFF25AD"/>
    <w:rsid w:val="50193B7A"/>
    <w:rsid w:val="5038161B"/>
    <w:rsid w:val="5061326A"/>
    <w:rsid w:val="50703EDF"/>
    <w:rsid w:val="50A13481"/>
    <w:rsid w:val="50D222E9"/>
    <w:rsid w:val="51137345"/>
    <w:rsid w:val="51201C39"/>
    <w:rsid w:val="513245D2"/>
    <w:rsid w:val="51461696"/>
    <w:rsid w:val="515D4147"/>
    <w:rsid w:val="51725488"/>
    <w:rsid w:val="518816C0"/>
    <w:rsid w:val="519769E6"/>
    <w:rsid w:val="51A6584F"/>
    <w:rsid w:val="51A92CAF"/>
    <w:rsid w:val="51B178D7"/>
    <w:rsid w:val="51CF0084"/>
    <w:rsid w:val="51F21B4B"/>
    <w:rsid w:val="52081B4A"/>
    <w:rsid w:val="521072FC"/>
    <w:rsid w:val="521B6D9E"/>
    <w:rsid w:val="522B287D"/>
    <w:rsid w:val="52596432"/>
    <w:rsid w:val="52644930"/>
    <w:rsid w:val="527B70CC"/>
    <w:rsid w:val="527D79D3"/>
    <w:rsid w:val="52A0386D"/>
    <w:rsid w:val="52B517B7"/>
    <w:rsid w:val="52BF281F"/>
    <w:rsid w:val="52EC1EDC"/>
    <w:rsid w:val="52EC72C2"/>
    <w:rsid w:val="52FF0C0D"/>
    <w:rsid w:val="532F6401"/>
    <w:rsid w:val="533E37CE"/>
    <w:rsid w:val="536B4BC4"/>
    <w:rsid w:val="537113D8"/>
    <w:rsid w:val="53B13317"/>
    <w:rsid w:val="53C140E5"/>
    <w:rsid w:val="53F145EF"/>
    <w:rsid w:val="53FB35FD"/>
    <w:rsid w:val="5402441A"/>
    <w:rsid w:val="543C792C"/>
    <w:rsid w:val="544F1F63"/>
    <w:rsid w:val="545540BA"/>
    <w:rsid w:val="54AD3B98"/>
    <w:rsid w:val="54F92D87"/>
    <w:rsid w:val="550A72A4"/>
    <w:rsid w:val="551F5140"/>
    <w:rsid w:val="55310073"/>
    <w:rsid w:val="553E3D16"/>
    <w:rsid w:val="555C0C38"/>
    <w:rsid w:val="5589108E"/>
    <w:rsid w:val="55AD4E05"/>
    <w:rsid w:val="55B004B3"/>
    <w:rsid w:val="55CF3E2E"/>
    <w:rsid w:val="55D41157"/>
    <w:rsid w:val="55D87B28"/>
    <w:rsid w:val="55EB2115"/>
    <w:rsid w:val="55F17585"/>
    <w:rsid w:val="56080E28"/>
    <w:rsid w:val="561F2AFB"/>
    <w:rsid w:val="56350F57"/>
    <w:rsid w:val="565F40F3"/>
    <w:rsid w:val="56764C4B"/>
    <w:rsid w:val="56C87E2D"/>
    <w:rsid w:val="56D30139"/>
    <w:rsid w:val="56D72003"/>
    <w:rsid w:val="56ED6746"/>
    <w:rsid w:val="56F8434B"/>
    <w:rsid w:val="57112F87"/>
    <w:rsid w:val="571B6243"/>
    <w:rsid w:val="571B7BC9"/>
    <w:rsid w:val="57250B4B"/>
    <w:rsid w:val="572F5331"/>
    <w:rsid w:val="5737262D"/>
    <w:rsid w:val="57424274"/>
    <w:rsid w:val="575A26BC"/>
    <w:rsid w:val="57623B4D"/>
    <w:rsid w:val="57677E61"/>
    <w:rsid w:val="578B6359"/>
    <w:rsid w:val="579949DC"/>
    <w:rsid w:val="57AE38FE"/>
    <w:rsid w:val="57AF2B0B"/>
    <w:rsid w:val="57B13CA2"/>
    <w:rsid w:val="57B6092D"/>
    <w:rsid w:val="57C760BE"/>
    <w:rsid w:val="57E95DC8"/>
    <w:rsid w:val="580F5723"/>
    <w:rsid w:val="58102B62"/>
    <w:rsid w:val="585A615E"/>
    <w:rsid w:val="58997AFD"/>
    <w:rsid w:val="589A172C"/>
    <w:rsid w:val="58A24AA0"/>
    <w:rsid w:val="58A67BA5"/>
    <w:rsid w:val="58AF6755"/>
    <w:rsid w:val="58B1102C"/>
    <w:rsid w:val="59076EC9"/>
    <w:rsid w:val="590B5E4E"/>
    <w:rsid w:val="590D5D3B"/>
    <w:rsid w:val="5930682D"/>
    <w:rsid w:val="59326E19"/>
    <w:rsid w:val="59584C3B"/>
    <w:rsid w:val="5963088F"/>
    <w:rsid w:val="599270F0"/>
    <w:rsid w:val="59A07B40"/>
    <w:rsid w:val="59C33185"/>
    <w:rsid w:val="5A04526A"/>
    <w:rsid w:val="5A147A4C"/>
    <w:rsid w:val="5A2A5C60"/>
    <w:rsid w:val="5A3C52E0"/>
    <w:rsid w:val="5A5228DC"/>
    <w:rsid w:val="5A714CA5"/>
    <w:rsid w:val="5A7B6076"/>
    <w:rsid w:val="5AB21216"/>
    <w:rsid w:val="5ACB04D4"/>
    <w:rsid w:val="5ACC58F8"/>
    <w:rsid w:val="5AD03387"/>
    <w:rsid w:val="5AF07DC8"/>
    <w:rsid w:val="5AFE703F"/>
    <w:rsid w:val="5AFF490D"/>
    <w:rsid w:val="5B08233D"/>
    <w:rsid w:val="5B127639"/>
    <w:rsid w:val="5B1E5FDD"/>
    <w:rsid w:val="5B3E7A9E"/>
    <w:rsid w:val="5B772776"/>
    <w:rsid w:val="5B7879B4"/>
    <w:rsid w:val="5B8E5FE3"/>
    <w:rsid w:val="5B8E6158"/>
    <w:rsid w:val="5BAA086D"/>
    <w:rsid w:val="5BAD68BD"/>
    <w:rsid w:val="5BCC1A9C"/>
    <w:rsid w:val="5BCE2047"/>
    <w:rsid w:val="5BD00EBF"/>
    <w:rsid w:val="5BED0DB6"/>
    <w:rsid w:val="5C1E2461"/>
    <w:rsid w:val="5C210758"/>
    <w:rsid w:val="5C380B4D"/>
    <w:rsid w:val="5C4A1BE3"/>
    <w:rsid w:val="5C5B7BF6"/>
    <w:rsid w:val="5C7E46C1"/>
    <w:rsid w:val="5C837C8D"/>
    <w:rsid w:val="5C841BB3"/>
    <w:rsid w:val="5CBC0351"/>
    <w:rsid w:val="5CFF1C77"/>
    <w:rsid w:val="5D113356"/>
    <w:rsid w:val="5D225483"/>
    <w:rsid w:val="5D2469F6"/>
    <w:rsid w:val="5D3E5631"/>
    <w:rsid w:val="5D465377"/>
    <w:rsid w:val="5D4B7304"/>
    <w:rsid w:val="5D4D65EB"/>
    <w:rsid w:val="5D535CE6"/>
    <w:rsid w:val="5D7471EF"/>
    <w:rsid w:val="5D75354C"/>
    <w:rsid w:val="5D825F60"/>
    <w:rsid w:val="5D8D2CA6"/>
    <w:rsid w:val="5DB31E44"/>
    <w:rsid w:val="5DB530E5"/>
    <w:rsid w:val="5DD821A7"/>
    <w:rsid w:val="5DF1166E"/>
    <w:rsid w:val="5E03770C"/>
    <w:rsid w:val="5E0771FD"/>
    <w:rsid w:val="5E0942F6"/>
    <w:rsid w:val="5E0C4813"/>
    <w:rsid w:val="5E0D2339"/>
    <w:rsid w:val="5E1733E2"/>
    <w:rsid w:val="5E173401"/>
    <w:rsid w:val="5E5265B2"/>
    <w:rsid w:val="5E546435"/>
    <w:rsid w:val="5E6F6B50"/>
    <w:rsid w:val="5E734F1A"/>
    <w:rsid w:val="5E756369"/>
    <w:rsid w:val="5EA66A16"/>
    <w:rsid w:val="5EBF3633"/>
    <w:rsid w:val="5EC9340E"/>
    <w:rsid w:val="5ED6005B"/>
    <w:rsid w:val="5EDB365E"/>
    <w:rsid w:val="5EFF5DA1"/>
    <w:rsid w:val="5F142CCC"/>
    <w:rsid w:val="5F2D1723"/>
    <w:rsid w:val="5F3E1830"/>
    <w:rsid w:val="5F63348B"/>
    <w:rsid w:val="5FD00248"/>
    <w:rsid w:val="5FD73A78"/>
    <w:rsid w:val="5FE10357"/>
    <w:rsid w:val="5FE61094"/>
    <w:rsid w:val="5FF94923"/>
    <w:rsid w:val="604B303E"/>
    <w:rsid w:val="604F4E9D"/>
    <w:rsid w:val="606E4E03"/>
    <w:rsid w:val="607438C8"/>
    <w:rsid w:val="60894EB2"/>
    <w:rsid w:val="60A3625D"/>
    <w:rsid w:val="60C11A03"/>
    <w:rsid w:val="60D93375"/>
    <w:rsid w:val="60E07891"/>
    <w:rsid w:val="60EC05BA"/>
    <w:rsid w:val="60FB46CB"/>
    <w:rsid w:val="615D2AD3"/>
    <w:rsid w:val="615F443E"/>
    <w:rsid w:val="617A782D"/>
    <w:rsid w:val="617C3A5E"/>
    <w:rsid w:val="617D729B"/>
    <w:rsid w:val="618B0D82"/>
    <w:rsid w:val="61B71CE1"/>
    <w:rsid w:val="61BA389A"/>
    <w:rsid w:val="61C30339"/>
    <w:rsid w:val="61C97447"/>
    <w:rsid w:val="61E909C7"/>
    <w:rsid w:val="620D4B46"/>
    <w:rsid w:val="62457E03"/>
    <w:rsid w:val="625E3C7C"/>
    <w:rsid w:val="62906957"/>
    <w:rsid w:val="62966DA1"/>
    <w:rsid w:val="629B43B7"/>
    <w:rsid w:val="62A00535"/>
    <w:rsid w:val="62A379A4"/>
    <w:rsid w:val="62B26297"/>
    <w:rsid w:val="62D63557"/>
    <w:rsid w:val="62DE3207"/>
    <w:rsid w:val="63122346"/>
    <w:rsid w:val="63256ECA"/>
    <w:rsid w:val="633D721D"/>
    <w:rsid w:val="63403D0E"/>
    <w:rsid w:val="63A060D1"/>
    <w:rsid w:val="63D85DD3"/>
    <w:rsid w:val="64790347"/>
    <w:rsid w:val="647B50BF"/>
    <w:rsid w:val="64880588"/>
    <w:rsid w:val="64920585"/>
    <w:rsid w:val="64A47B5F"/>
    <w:rsid w:val="64A5086D"/>
    <w:rsid w:val="64BC0E97"/>
    <w:rsid w:val="64BD5A74"/>
    <w:rsid w:val="64C26928"/>
    <w:rsid w:val="64DA7D1F"/>
    <w:rsid w:val="64DF1C02"/>
    <w:rsid w:val="64EA6C44"/>
    <w:rsid w:val="64F34037"/>
    <w:rsid w:val="65065A56"/>
    <w:rsid w:val="651B358E"/>
    <w:rsid w:val="65275214"/>
    <w:rsid w:val="65331BAE"/>
    <w:rsid w:val="65647548"/>
    <w:rsid w:val="656A1E1F"/>
    <w:rsid w:val="65817D4F"/>
    <w:rsid w:val="65A90B99"/>
    <w:rsid w:val="65AC2402"/>
    <w:rsid w:val="65BC5A7D"/>
    <w:rsid w:val="65D24D07"/>
    <w:rsid w:val="65F154A4"/>
    <w:rsid w:val="65FD4544"/>
    <w:rsid w:val="66057121"/>
    <w:rsid w:val="66116892"/>
    <w:rsid w:val="66125369"/>
    <w:rsid w:val="6618387B"/>
    <w:rsid w:val="662B5FEF"/>
    <w:rsid w:val="66474417"/>
    <w:rsid w:val="6666727B"/>
    <w:rsid w:val="66703465"/>
    <w:rsid w:val="667533C6"/>
    <w:rsid w:val="668B6E81"/>
    <w:rsid w:val="66B9305E"/>
    <w:rsid w:val="66BB567D"/>
    <w:rsid w:val="66CF1C49"/>
    <w:rsid w:val="66D41C46"/>
    <w:rsid w:val="66D653A9"/>
    <w:rsid w:val="66DE2693"/>
    <w:rsid w:val="66EA4A63"/>
    <w:rsid w:val="66F5150E"/>
    <w:rsid w:val="6700439A"/>
    <w:rsid w:val="67082534"/>
    <w:rsid w:val="67164A40"/>
    <w:rsid w:val="67175096"/>
    <w:rsid w:val="67427D58"/>
    <w:rsid w:val="67694C51"/>
    <w:rsid w:val="67753429"/>
    <w:rsid w:val="67793A10"/>
    <w:rsid w:val="67882945"/>
    <w:rsid w:val="679B0E15"/>
    <w:rsid w:val="67A716A4"/>
    <w:rsid w:val="67DA7F59"/>
    <w:rsid w:val="67E12C38"/>
    <w:rsid w:val="67EB4610"/>
    <w:rsid w:val="67F314FA"/>
    <w:rsid w:val="681A649F"/>
    <w:rsid w:val="687A5D04"/>
    <w:rsid w:val="68887A69"/>
    <w:rsid w:val="688F2684"/>
    <w:rsid w:val="689612CA"/>
    <w:rsid w:val="689C0F90"/>
    <w:rsid w:val="68BF0E89"/>
    <w:rsid w:val="68D17D0C"/>
    <w:rsid w:val="691752FC"/>
    <w:rsid w:val="692965A9"/>
    <w:rsid w:val="693764BC"/>
    <w:rsid w:val="69414C02"/>
    <w:rsid w:val="69653426"/>
    <w:rsid w:val="69734D84"/>
    <w:rsid w:val="697E74BC"/>
    <w:rsid w:val="69A55B1C"/>
    <w:rsid w:val="69BE62F6"/>
    <w:rsid w:val="69C935B8"/>
    <w:rsid w:val="69FD6511"/>
    <w:rsid w:val="6A1661D6"/>
    <w:rsid w:val="6A173B03"/>
    <w:rsid w:val="6A1851D8"/>
    <w:rsid w:val="6A231919"/>
    <w:rsid w:val="6A2958EF"/>
    <w:rsid w:val="6A316176"/>
    <w:rsid w:val="6A3D3F89"/>
    <w:rsid w:val="6A3D3FA6"/>
    <w:rsid w:val="6A4A566A"/>
    <w:rsid w:val="6A55513A"/>
    <w:rsid w:val="6A6634FD"/>
    <w:rsid w:val="6A824504"/>
    <w:rsid w:val="6A8F7432"/>
    <w:rsid w:val="6A980FBE"/>
    <w:rsid w:val="6A9D007A"/>
    <w:rsid w:val="6AA17089"/>
    <w:rsid w:val="6AAB0518"/>
    <w:rsid w:val="6ABB6D14"/>
    <w:rsid w:val="6B172CB2"/>
    <w:rsid w:val="6B21476F"/>
    <w:rsid w:val="6B282560"/>
    <w:rsid w:val="6B2C28D7"/>
    <w:rsid w:val="6B5A6607"/>
    <w:rsid w:val="6B700111"/>
    <w:rsid w:val="6B705166"/>
    <w:rsid w:val="6BB21D8E"/>
    <w:rsid w:val="6BC03E8C"/>
    <w:rsid w:val="6BC82782"/>
    <w:rsid w:val="6BE04894"/>
    <w:rsid w:val="6BF62FE5"/>
    <w:rsid w:val="6C086A56"/>
    <w:rsid w:val="6C0D3B42"/>
    <w:rsid w:val="6C206754"/>
    <w:rsid w:val="6C4B4AC1"/>
    <w:rsid w:val="6C4C2C6B"/>
    <w:rsid w:val="6C7A126D"/>
    <w:rsid w:val="6C8C5438"/>
    <w:rsid w:val="6C924135"/>
    <w:rsid w:val="6CB1539C"/>
    <w:rsid w:val="6CCA0D81"/>
    <w:rsid w:val="6CD101A9"/>
    <w:rsid w:val="6CDF30F3"/>
    <w:rsid w:val="6CF06297"/>
    <w:rsid w:val="6CFB5ECD"/>
    <w:rsid w:val="6D087DE6"/>
    <w:rsid w:val="6D167D4C"/>
    <w:rsid w:val="6D1977E9"/>
    <w:rsid w:val="6D4713C4"/>
    <w:rsid w:val="6D5263BD"/>
    <w:rsid w:val="6D69041D"/>
    <w:rsid w:val="6D720F47"/>
    <w:rsid w:val="6D815262"/>
    <w:rsid w:val="6D924450"/>
    <w:rsid w:val="6D9B1420"/>
    <w:rsid w:val="6D9F6421"/>
    <w:rsid w:val="6DA34120"/>
    <w:rsid w:val="6DAD09ED"/>
    <w:rsid w:val="6DAD24E8"/>
    <w:rsid w:val="6DCB21AD"/>
    <w:rsid w:val="6DD525C3"/>
    <w:rsid w:val="6DDC1F7D"/>
    <w:rsid w:val="6DE76E16"/>
    <w:rsid w:val="6DF66946"/>
    <w:rsid w:val="6DF9677E"/>
    <w:rsid w:val="6E081965"/>
    <w:rsid w:val="6E1A4E2F"/>
    <w:rsid w:val="6E3A4A84"/>
    <w:rsid w:val="6E462B50"/>
    <w:rsid w:val="6E4F0849"/>
    <w:rsid w:val="6E5D43F8"/>
    <w:rsid w:val="6E773355"/>
    <w:rsid w:val="6E7B4ADA"/>
    <w:rsid w:val="6E7F31B1"/>
    <w:rsid w:val="6E806B2F"/>
    <w:rsid w:val="6E8D5E4E"/>
    <w:rsid w:val="6E8E1C61"/>
    <w:rsid w:val="6E9E7B7E"/>
    <w:rsid w:val="6EC77131"/>
    <w:rsid w:val="6ED3036B"/>
    <w:rsid w:val="6EE20AE4"/>
    <w:rsid w:val="6EF77534"/>
    <w:rsid w:val="6EF92E13"/>
    <w:rsid w:val="6F045581"/>
    <w:rsid w:val="6F2A0D33"/>
    <w:rsid w:val="6F2F37CA"/>
    <w:rsid w:val="6F390A8D"/>
    <w:rsid w:val="6F3D5E28"/>
    <w:rsid w:val="6F45042D"/>
    <w:rsid w:val="6F5E4571"/>
    <w:rsid w:val="6F6308CF"/>
    <w:rsid w:val="6FC05BA7"/>
    <w:rsid w:val="6FF375E1"/>
    <w:rsid w:val="6FFF1141"/>
    <w:rsid w:val="700040D6"/>
    <w:rsid w:val="701E2219"/>
    <w:rsid w:val="703F2975"/>
    <w:rsid w:val="704339E0"/>
    <w:rsid w:val="704807CB"/>
    <w:rsid w:val="70533602"/>
    <w:rsid w:val="705B0CE2"/>
    <w:rsid w:val="706459F2"/>
    <w:rsid w:val="70812BFB"/>
    <w:rsid w:val="70914805"/>
    <w:rsid w:val="70965CF2"/>
    <w:rsid w:val="70BB0AE7"/>
    <w:rsid w:val="70C109C6"/>
    <w:rsid w:val="70C92F41"/>
    <w:rsid w:val="70CA63DC"/>
    <w:rsid w:val="70D35156"/>
    <w:rsid w:val="71030EBB"/>
    <w:rsid w:val="710E16D0"/>
    <w:rsid w:val="712A6CFC"/>
    <w:rsid w:val="713257FD"/>
    <w:rsid w:val="713338FE"/>
    <w:rsid w:val="713F0105"/>
    <w:rsid w:val="71652B1A"/>
    <w:rsid w:val="71704DBF"/>
    <w:rsid w:val="7182493F"/>
    <w:rsid w:val="719E4A35"/>
    <w:rsid w:val="71B32537"/>
    <w:rsid w:val="71C67322"/>
    <w:rsid w:val="71DD49B3"/>
    <w:rsid w:val="720D3045"/>
    <w:rsid w:val="7213020C"/>
    <w:rsid w:val="721538A5"/>
    <w:rsid w:val="724D2334"/>
    <w:rsid w:val="72520BF8"/>
    <w:rsid w:val="72597670"/>
    <w:rsid w:val="726527D1"/>
    <w:rsid w:val="7288436C"/>
    <w:rsid w:val="72A8722E"/>
    <w:rsid w:val="72F1592E"/>
    <w:rsid w:val="730D1C56"/>
    <w:rsid w:val="73164A1F"/>
    <w:rsid w:val="731D4975"/>
    <w:rsid w:val="732C1482"/>
    <w:rsid w:val="73313462"/>
    <w:rsid w:val="738642C8"/>
    <w:rsid w:val="73A54BCF"/>
    <w:rsid w:val="73AB01D2"/>
    <w:rsid w:val="73E82912"/>
    <w:rsid w:val="73E94D81"/>
    <w:rsid w:val="73F84F59"/>
    <w:rsid w:val="73F95484"/>
    <w:rsid w:val="73F95A40"/>
    <w:rsid w:val="73FC1C7B"/>
    <w:rsid w:val="74011522"/>
    <w:rsid w:val="74115BB5"/>
    <w:rsid w:val="74211A9C"/>
    <w:rsid w:val="745D0BCC"/>
    <w:rsid w:val="749B0247"/>
    <w:rsid w:val="74AA70C3"/>
    <w:rsid w:val="74AF18D1"/>
    <w:rsid w:val="74D037FF"/>
    <w:rsid w:val="751008C7"/>
    <w:rsid w:val="7558024C"/>
    <w:rsid w:val="756D6EDC"/>
    <w:rsid w:val="75722D56"/>
    <w:rsid w:val="7584582E"/>
    <w:rsid w:val="75856C65"/>
    <w:rsid w:val="758D7B90"/>
    <w:rsid w:val="75A0768A"/>
    <w:rsid w:val="75C648BA"/>
    <w:rsid w:val="75CB7BC3"/>
    <w:rsid w:val="75EC5730"/>
    <w:rsid w:val="75F75951"/>
    <w:rsid w:val="76016205"/>
    <w:rsid w:val="76041CFA"/>
    <w:rsid w:val="76197675"/>
    <w:rsid w:val="76224C2C"/>
    <w:rsid w:val="762C1C24"/>
    <w:rsid w:val="764F12A0"/>
    <w:rsid w:val="765F494C"/>
    <w:rsid w:val="76723253"/>
    <w:rsid w:val="76740F48"/>
    <w:rsid w:val="767D1785"/>
    <w:rsid w:val="76855D0E"/>
    <w:rsid w:val="768A211B"/>
    <w:rsid w:val="768F5B89"/>
    <w:rsid w:val="76BF6759"/>
    <w:rsid w:val="76CE1A6D"/>
    <w:rsid w:val="76F807DE"/>
    <w:rsid w:val="7721621A"/>
    <w:rsid w:val="77377EFA"/>
    <w:rsid w:val="77435226"/>
    <w:rsid w:val="778F7C4E"/>
    <w:rsid w:val="779416A9"/>
    <w:rsid w:val="77967314"/>
    <w:rsid w:val="77B25235"/>
    <w:rsid w:val="77CA303F"/>
    <w:rsid w:val="77E10BD1"/>
    <w:rsid w:val="77F959B0"/>
    <w:rsid w:val="780747EC"/>
    <w:rsid w:val="78220307"/>
    <w:rsid w:val="78336E37"/>
    <w:rsid w:val="7834633E"/>
    <w:rsid w:val="78486BB0"/>
    <w:rsid w:val="7851744D"/>
    <w:rsid w:val="78694FB8"/>
    <w:rsid w:val="787651C0"/>
    <w:rsid w:val="79041665"/>
    <w:rsid w:val="790E03C4"/>
    <w:rsid w:val="790F3002"/>
    <w:rsid w:val="791F229F"/>
    <w:rsid w:val="79254B97"/>
    <w:rsid w:val="79330A4E"/>
    <w:rsid w:val="795D673D"/>
    <w:rsid w:val="79870E30"/>
    <w:rsid w:val="79970BB1"/>
    <w:rsid w:val="79972181"/>
    <w:rsid w:val="79AD20A4"/>
    <w:rsid w:val="79B9541A"/>
    <w:rsid w:val="79BC07AF"/>
    <w:rsid w:val="79D1380E"/>
    <w:rsid w:val="79E35FB5"/>
    <w:rsid w:val="79E452D2"/>
    <w:rsid w:val="79F97E37"/>
    <w:rsid w:val="7A0C6F0E"/>
    <w:rsid w:val="7A155D93"/>
    <w:rsid w:val="7A1B2229"/>
    <w:rsid w:val="7A273D0A"/>
    <w:rsid w:val="7A2B637D"/>
    <w:rsid w:val="7A517737"/>
    <w:rsid w:val="7A530DFE"/>
    <w:rsid w:val="7A6B4980"/>
    <w:rsid w:val="7A705E40"/>
    <w:rsid w:val="7A8D0632"/>
    <w:rsid w:val="7A8D1B54"/>
    <w:rsid w:val="7AA0600E"/>
    <w:rsid w:val="7AB931C6"/>
    <w:rsid w:val="7ABC4A73"/>
    <w:rsid w:val="7AC0608D"/>
    <w:rsid w:val="7AF43B98"/>
    <w:rsid w:val="7B125AD7"/>
    <w:rsid w:val="7B1D4521"/>
    <w:rsid w:val="7B2C3FA3"/>
    <w:rsid w:val="7B395F83"/>
    <w:rsid w:val="7B3A1BF7"/>
    <w:rsid w:val="7B73528C"/>
    <w:rsid w:val="7B74440C"/>
    <w:rsid w:val="7B8769A1"/>
    <w:rsid w:val="7B8C649F"/>
    <w:rsid w:val="7B9C6D7F"/>
    <w:rsid w:val="7BBD60D0"/>
    <w:rsid w:val="7BD965DC"/>
    <w:rsid w:val="7BEC32F7"/>
    <w:rsid w:val="7C1077CB"/>
    <w:rsid w:val="7C1A09EA"/>
    <w:rsid w:val="7C1E46C1"/>
    <w:rsid w:val="7C482A62"/>
    <w:rsid w:val="7C583329"/>
    <w:rsid w:val="7C85280C"/>
    <w:rsid w:val="7C940528"/>
    <w:rsid w:val="7CAD7F75"/>
    <w:rsid w:val="7CB87414"/>
    <w:rsid w:val="7CC665AD"/>
    <w:rsid w:val="7CF230ED"/>
    <w:rsid w:val="7D36433B"/>
    <w:rsid w:val="7D3A08A0"/>
    <w:rsid w:val="7D3E3E65"/>
    <w:rsid w:val="7D456FA2"/>
    <w:rsid w:val="7D4D75A8"/>
    <w:rsid w:val="7D622F1F"/>
    <w:rsid w:val="7D6849CF"/>
    <w:rsid w:val="7D7B29C4"/>
    <w:rsid w:val="7D7B46DF"/>
    <w:rsid w:val="7D8E2986"/>
    <w:rsid w:val="7DBB6D3F"/>
    <w:rsid w:val="7DC607A7"/>
    <w:rsid w:val="7DCE4FB5"/>
    <w:rsid w:val="7DDD07CB"/>
    <w:rsid w:val="7DF37D6B"/>
    <w:rsid w:val="7E07746E"/>
    <w:rsid w:val="7E201227"/>
    <w:rsid w:val="7E2C49B1"/>
    <w:rsid w:val="7E3022EF"/>
    <w:rsid w:val="7E4C1D3B"/>
    <w:rsid w:val="7E5A56AB"/>
    <w:rsid w:val="7EA07E5C"/>
    <w:rsid w:val="7EA81038"/>
    <w:rsid w:val="7EB9066B"/>
    <w:rsid w:val="7EBC5896"/>
    <w:rsid w:val="7EF40C80"/>
    <w:rsid w:val="7EF97D03"/>
    <w:rsid w:val="7F31726B"/>
    <w:rsid w:val="7F3C5C1A"/>
    <w:rsid w:val="7F40472A"/>
    <w:rsid w:val="7F4F61E6"/>
    <w:rsid w:val="7F603D82"/>
    <w:rsid w:val="7F683CDE"/>
    <w:rsid w:val="7F851537"/>
    <w:rsid w:val="7FB94DCC"/>
    <w:rsid w:val="7FC6675D"/>
    <w:rsid w:val="7FE01204"/>
    <w:rsid w:val="7FFA08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cs="宋体"/>
      <w:sz w:val="22"/>
      <w:szCs w:val="22"/>
      <w:lang w:val="zh-CN" w:eastAsia="zh-CN" w:bidi="zh-CN"/>
    </w:rPr>
  </w:style>
  <w:style w:type="paragraph" w:styleId="5">
    <w:name w:val="heading 1"/>
    <w:basedOn w:val="1"/>
    <w:next w:val="1"/>
    <w:link w:val="65"/>
    <w:qFormat/>
    <w:uiPriority w:val="0"/>
    <w:pPr>
      <w:spacing w:before="35"/>
      <w:jc w:val="center"/>
      <w:outlineLvl w:val="0"/>
    </w:pPr>
    <w:rPr>
      <w:rFonts w:ascii="宋体" w:hAnsi="宋体" w:eastAsia="宋体" w:cs="宋体"/>
      <w:sz w:val="30"/>
      <w:szCs w:val="30"/>
      <w:lang w:val="zh-CN" w:eastAsia="zh-CN" w:bidi="zh-CN"/>
    </w:rPr>
  </w:style>
  <w:style w:type="paragraph" w:styleId="6">
    <w:name w:val="heading 2"/>
    <w:basedOn w:val="1"/>
    <w:next w:val="1"/>
    <w:link w:val="66"/>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7"/>
    <w:qFormat/>
    <w:uiPriority w:val="0"/>
    <w:pPr>
      <w:keepNext/>
      <w:keepLines/>
      <w:spacing w:before="260" w:after="260" w:line="416" w:lineRule="auto"/>
      <w:jc w:val="center"/>
      <w:outlineLvl w:val="2"/>
    </w:pPr>
    <w:rPr>
      <w:rFonts w:eastAsia="楷体_GB2312"/>
      <w:b/>
      <w:bCs/>
      <w:sz w:val="32"/>
      <w:szCs w:val="32"/>
    </w:rPr>
  </w:style>
  <w:style w:type="paragraph" w:styleId="8">
    <w:name w:val="heading 4"/>
    <w:basedOn w:val="1"/>
    <w:next w:val="1"/>
    <w:link w:val="68"/>
    <w:qFormat/>
    <w:uiPriority w:val="0"/>
    <w:pPr>
      <w:ind w:left="781"/>
      <w:outlineLvl w:val="3"/>
    </w:pPr>
    <w:rPr>
      <w:rFonts w:ascii="宋体" w:hAnsi="宋体" w:eastAsia="宋体" w:cs="宋体"/>
      <w:b/>
      <w:bCs/>
      <w:sz w:val="21"/>
      <w:szCs w:val="21"/>
      <w:lang w:val="zh-CN" w:eastAsia="zh-CN" w:bidi="zh-CN"/>
    </w:rPr>
  </w:style>
  <w:style w:type="paragraph" w:styleId="9">
    <w:name w:val="heading 5"/>
    <w:basedOn w:val="1"/>
    <w:next w:val="1"/>
    <w:qFormat/>
    <w:uiPriority w:val="0"/>
    <w:pPr>
      <w:keepNext/>
      <w:keepLines/>
      <w:numPr>
        <w:ilvl w:val="4"/>
        <w:numId w:val="1"/>
      </w:numPr>
      <w:outlineLvl w:val="4"/>
    </w:pPr>
    <w:rPr>
      <w:rFonts w:ascii="Times New Roman" w:hAnsi="Times New Roman"/>
      <w:szCs w:val="22"/>
    </w:rPr>
  </w:style>
  <w:style w:type="paragraph" w:styleId="10">
    <w:name w:val="heading 6"/>
    <w:basedOn w:val="6"/>
    <w:next w:val="1"/>
    <w:link w:val="69"/>
    <w:qFormat/>
    <w:uiPriority w:val="0"/>
    <w:pPr>
      <w:numPr>
        <w:ilvl w:val="5"/>
        <w:numId w:val="1"/>
      </w:numPr>
      <w:spacing w:before="0" w:after="0" w:line="240" w:lineRule="auto"/>
      <w:outlineLvl w:val="5"/>
    </w:pPr>
    <w:rPr>
      <w:rFonts w:ascii="仿宋" w:hAnsi="仿宋" w:eastAsia="宋体" w:cs="Times New Roman"/>
      <w:b w:val="0"/>
      <w:bCs w:val="0"/>
      <w:sz w:val="20"/>
      <w:szCs w:val="22"/>
      <w:lang w:bidi="ar-SA"/>
    </w:rPr>
  </w:style>
  <w:style w:type="paragraph" w:styleId="11">
    <w:name w:val="heading 7"/>
    <w:basedOn w:val="6"/>
    <w:next w:val="1"/>
    <w:qFormat/>
    <w:uiPriority w:val="0"/>
    <w:pPr>
      <w:numPr>
        <w:ilvl w:val="6"/>
        <w:numId w:val="1"/>
      </w:numPr>
      <w:spacing w:before="0" w:after="0" w:line="317" w:lineRule="auto"/>
      <w:outlineLvl w:val="6"/>
    </w:pPr>
    <w:rPr>
      <w:rFonts w:eastAsia="宋体"/>
      <w:sz w:val="21"/>
    </w:rPr>
  </w:style>
  <w:style w:type="paragraph" w:styleId="12">
    <w:name w:val="heading 8"/>
    <w:basedOn w:val="1"/>
    <w:next w:val="1"/>
    <w:link w:val="70"/>
    <w:qFormat/>
    <w:uiPriority w:val="0"/>
    <w:pPr>
      <w:keepNext/>
      <w:keepLines/>
      <w:autoSpaceDE/>
      <w:autoSpaceDN/>
      <w:spacing w:before="240" w:after="64" w:line="320" w:lineRule="auto"/>
      <w:jc w:val="both"/>
      <w:outlineLvl w:val="7"/>
    </w:pPr>
    <w:rPr>
      <w:rFonts w:ascii="Arial" w:hAnsi="Arial" w:eastAsia="黑体" w:cs="Times New Roman"/>
      <w:kern w:val="2"/>
      <w:sz w:val="24"/>
      <w:szCs w:val="24"/>
      <w:lang w:val="en-US" w:bidi="ar-SA"/>
    </w:rPr>
  </w:style>
  <w:style w:type="paragraph" w:styleId="13">
    <w:name w:val="heading 9"/>
    <w:basedOn w:val="1"/>
    <w:next w:val="1"/>
    <w:link w:val="71"/>
    <w:qFormat/>
    <w:uiPriority w:val="0"/>
    <w:pPr>
      <w:keepNext/>
      <w:keepLines/>
      <w:autoSpaceDE/>
      <w:autoSpaceDN/>
      <w:spacing w:before="240" w:after="64" w:line="320" w:lineRule="auto"/>
      <w:jc w:val="both"/>
      <w:outlineLvl w:val="8"/>
    </w:pPr>
    <w:rPr>
      <w:rFonts w:ascii="Arial" w:hAnsi="Arial" w:eastAsia="黑体" w:cs="Times New Roman"/>
      <w:kern w:val="2"/>
      <w:sz w:val="21"/>
      <w:szCs w:val="21"/>
      <w:lang w:val="en-US" w:bidi="ar-SA"/>
    </w:rPr>
  </w:style>
  <w:style w:type="character" w:default="1" w:styleId="52">
    <w:name w:val="Default Paragraph Font"/>
    <w:semiHidden/>
    <w:uiPriority w:val="0"/>
  </w:style>
  <w:style w:type="table" w:default="1" w:styleId="50">
    <w:name w:val="Normal Table"/>
    <w:semiHidden/>
    <w:qFormat/>
    <w:uiPriority w:val="0"/>
    <w:tblPr>
      <w:tblStyle w:val="50"/>
      <w:tblCellMar>
        <w:top w:w="0" w:type="dxa"/>
        <w:left w:w="108" w:type="dxa"/>
        <w:bottom w:w="0" w:type="dxa"/>
        <w:right w:w="108" w:type="dxa"/>
      </w:tblCellMar>
    </w:tblPr>
  </w:style>
  <w:style w:type="paragraph" w:styleId="2">
    <w:name w:val="Body Text First Indent 2"/>
    <w:basedOn w:val="3"/>
    <w:next w:val="1"/>
    <w:link w:val="64"/>
    <w:unhideWhenUsed/>
    <w:qFormat/>
    <w:uiPriority w:val="0"/>
    <w:pPr>
      <w:ind w:firstLine="420" w:firstLineChars="200"/>
    </w:pPr>
  </w:style>
  <w:style w:type="paragraph" w:styleId="3">
    <w:name w:val="Body Text Indent"/>
    <w:basedOn w:val="1"/>
    <w:next w:val="4"/>
    <w:link w:val="62"/>
    <w:qFormat/>
    <w:uiPriority w:val="0"/>
    <w:pPr>
      <w:spacing w:line="200" w:lineRule="exact"/>
      <w:ind w:firstLine="301"/>
    </w:pPr>
    <w:rPr>
      <w:rFonts w:hAnsi="Courier New"/>
      <w:spacing w:val="-4"/>
      <w:sz w:val="18"/>
      <w:szCs w:val="20"/>
    </w:rPr>
  </w:style>
  <w:style w:type="paragraph" w:styleId="4">
    <w:name w:val="Normal Indent"/>
    <w:basedOn w:val="1"/>
    <w:next w:val="1"/>
    <w:link w:val="63"/>
    <w:qFormat/>
    <w:uiPriority w:val="0"/>
    <w:pPr>
      <w:ind w:firstLine="420"/>
    </w:pPr>
    <w:rPr>
      <w:szCs w:val="20"/>
    </w:rPr>
  </w:style>
  <w:style w:type="paragraph" w:styleId="14">
    <w:name w:val="List 3"/>
    <w:basedOn w:val="1"/>
    <w:qFormat/>
    <w:uiPriority w:val="99"/>
    <w:pPr>
      <w:autoSpaceDE/>
      <w:autoSpaceDN/>
      <w:ind w:left="100" w:leftChars="400" w:hanging="200" w:hangingChars="200"/>
      <w:jc w:val="both"/>
    </w:pPr>
    <w:rPr>
      <w:rFonts w:ascii="Times New Roman" w:hAnsi="Times New Roman" w:cs="Times New Roman"/>
      <w:kern w:val="2"/>
      <w:sz w:val="21"/>
      <w:szCs w:val="20"/>
      <w:lang w:val="en-US" w:bidi="ar-SA"/>
    </w:rPr>
  </w:style>
  <w:style w:type="paragraph" w:styleId="15">
    <w:name w:val="toc 7"/>
    <w:basedOn w:val="1"/>
    <w:next w:val="1"/>
    <w:qFormat/>
    <w:uiPriority w:val="99"/>
    <w:pPr>
      <w:autoSpaceDE/>
      <w:autoSpaceDN/>
      <w:ind w:left="2520" w:leftChars="1200"/>
      <w:jc w:val="both"/>
    </w:pPr>
    <w:rPr>
      <w:rFonts w:ascii="Times New Roman" w:hAnsi="Times New Roman" w:cs="Times New Roman"/>
      <w:kern w:val="2"/>
      <w:sz w:val="21"/>
      <w:szCs w:val="24"/>
      <w:lang w:val="en-US" w:bidi="ar-SA"/>
    </w:rPr>
  </w:style>
  <w:style w:type="paragraph" w:styleId="16">
    <w:name w:val="List Number"/>
    <w:basedOn w:val="1"/>
    <w:qFormat/>
    <w:uiPriority w:val="0"/>
    <w:pPr>
      <w:numPr>
        <w:ilvl w:val="0"/>
        <w:numId w:val="2"/>
      </w:numPr>
    </w:pPr>
  </w:style>
  <w:style w:type="paragraph" w:styleId="17">
    <w:name w:val="caption"/>
    <w:basedOn w:val="1"/>
    <w:next w:val="1"/>
    <w:qFormat/>
    <w:uiPriority w:val="0"/>
    <w:pPr>
      <w:autoSpaceDE/>
      <w:autoSpaceDN/>
      <w:spacing w:before="152" w:after="160"/>
      <w:jc w:val="both"/>
    </w:pPr>
    <w:rPr>
      <w:rFonts w:ascii="Arial" w:hAnsi="Arial" w:eastAsia="黑体" w:cs="Arial"/>
      <w:kern w:val="2"/>
      <w:sz w:val="20"/>
      <w:szCs w:val="20"/>
      <w:lang w:val="en-US" w:bidi="ar-SA"/>
    </w:rPr>
  </w:style>
  <w:style w:type="paragraph" w:styleId="18">
    <w:name w:val="Document Map"/>
    <w:basedOn w:val="1"/>
    <w:link w:val="72"/>
    <w:qFormat/>
    <w:uiPriority w:val="0"/>
    <w:pPr>
      <w:shd w:val="clear" w:color="auto" w:fill="000080"/>
      <w:autoSpaceDE/>
      <w:autoSpaceDN/>
      <w:jc w:val="both"/>
    </w:pPr>
    <w:rPr>
      <w:rFonts w:ascii="Times New Roman" w:hAnsi="Times New Roman" w:cs="Times New Roman"/>
      <w:kern w:val="2"/>
      <w:sz w:val="21"/>
      <w:szCs w:val="20"/>
      <w:lang w:bidi="ar-SA"/>
    </w:rPr>
  </w:style>
  <w:style w:type="paragraph" w:styleId="19">
    <w:name w:val="annotation text"/>
    <w:basedOn w:val="1"/>
    <w:link w:val="73"/>
    <w:qFormat/>
    <w:uiPriority w:val="99"/>
    <w:pPr>
      <w:jc w:val="left"/>
    </w:pPr>
  </w:style>
  <w:style w:type="paragraph" w:styleId="20">
    <w:name w:val="Salutation"/>
    <w:basedOn w:val="1"/>
    <w:next w:val="1"/>
    <w:link w:val="74"/>
    <w:qFormat/>
    <w:uiPriority w:val="0"/>
    <w:pPr>
      <w:tabs>
        <w:tab w:val="left" w:pos="306"/>
        <w:tab w:val="left" w:pos="1078"/>
      </w:tabs>
      <w:autoSpaceDE/>
      <w:autoSpaceDN/>
      <w:jc w:val="both"/>
    </w:pPr>
    <w:rPr>
      <w:rFonts w:hAnsi="Times New Roman" w:cs="Times New Roman"/>
      <w:kern w:val="2"/>
      <w:sz w:val="24"/>
      <w:szCs w:val="20"/>
      <w:lang w:val="en-US" w:bidi="ar-SA"/>
    </w:rPr>
  </w:style>
  <w:style w:type="paragraph" w:styleId="21">
    <w:name w:val="Body Text 3"/>
    <w:basedOn w:val="1"/>
    <w:link w:val="75"/>
    <w:qFormat/>
    <w:uiPriority w:val="0"/>
    <w:pPr>
      <w:autoSpaceDE/>
      <w:autoSpaceDN/>
      <w:jc w:val="center"/>
    </w:pPr>
    <w:rPr>
      <w:rFonts w:hAnsi="Times New Roman" w:cs="Times New Roman"/>
      <w:kern w:val="2"/>
      <w:sz w:val="21"/>
      <w:szCs w:val="20"/>
      <w:lang w:val="en-US" w:bidi="ar-SA"/>
    </w:rPr>
  </w:style>
  <w:style w:type="paragraph" w:styleId="22">
    <w:name w:val="Body Text"/>
    <w:basedOn w:val="1"/>
    <w:next w:val="1"/>
    <w:link w:val="76"/>
    <w:qFormat/>
    <w:uiPriority w:val="0"/>
    <w:rPr>
      <w:rFonts w:ascii="宋体" w:hAnsi="宋体" w:eastAsia="宋体" w:cs="宋体"/>
      <w:sz w:val="21"/>
      <w:szCs w:val="21"/>
      <w:lang w:val="zh-CN" w:eastAsia="zh-CN" w:bidi="zh-CN"/>
    </w:rPr>
  </w:style>
  <w:style w:type="paragraph" w:styleId="23">
    <w:name w:val="List 2"/>
    <w:basedOn w:val="1"/>
    <w:qFormat/>
    <w:uiPriority w:val="0"/>
    <w:pPr>
      <w:ind w:left="100" w:leftChars="200" w:hanging="200" w:hangingChars="200"/>
    </w:pPr>
    <w:rPr>
      <w:sz w:val="28"/>
      <w:szCs w:val="28"/>
    </w:rPr>
  </w:style>
  <w:style w:type="paragraph" w:styleId="24">
    <w:name w:val="Block Text"/>
    <w:basedOn w:val="1"/>
    <w:unhideWhenUsed/>
    <w:qFormat/>
    <w:uiPriority w:val="99"/>
    <w:pPr>
      <w:spacing w:after="120"/>
      <w:ind w:left="1440" w:leftChars="700" w:right="1440" w:rightChars="700"/>
    </w:pPr>
  </w:style>
  <w:style w:type="paragraph" w:styleId="25">
    <w:name w:val="toc 5"/>
    <w:basedOn w:val="1"/>
    <w:next w:val="1"/>
    <w:qFormat/>
    <w:uiPriority w:val="99"/>
    <w:pPr>
      <w:autoSpaceDE/>
      <w:autoSpaceDN/>
      <w:ind w:left="1680" w:leftChars="800"/>
      <w:jc w:val="both"/>
    </w:pPr>
    <w:rPr>
      <w:rFonts w:ascii="Times New Roman" w:hAnsi="Times New Roman" w:cs="Times New Roman"/>
      <w:kern w:val="2"/>
      <w:sz w:val="21"/>
      <w:szCs w:val="24"/>
      <w:lang w:val="en-US" w:bidi="ar-SA"/>
    </w:rPr>
  </w:style>
  <w:style w:type="paragraph" w:styleId="26">
    <w:name w:val="toc 3"/>
    <w:basedOn w:val="1"/>
    <w:next w:val="1"/>
    <w:qFormat/>
    <w:uiPriority w:val="99"/>
    <w:pPr>
      <w:tabs>
        <w:tab w:val="right" w:leader="dot" w:pos="9180"/>
      </w:tabs>
      <w:autoSpaceDE/>
      <w:autoSpaceDN/>
      <w:jc w:val="both"/>
    </w:pPr>
    <w:rPr>
      <w:rFonts w:ascii="Times New Roman" w:hAnsi="Times New Roman" w:cs="Times New Roman"/>
      <w:kern w:val="2"/>
      <w:sz w:val="21"/>
      <w:szCs w:val="24"/>
      <w:lang w:val="en-US" w:bidi="ar-SA"/>
    </w:rPr>
  </w:style>
  <w:style w:type="paragraph" w:styleId="27">
    <w:name w:val="Plain Text"/>
    <w:basedOn w:val="1"/>
    <w:next w:val="1"/>
    <w:link w:val="77"/>
    <w:qFormat/>
    <w:uiPriority w:val="0"/>
    <w:pPr>
      <w:spacing w:before="156" w:beforeLines="50" w:after="156" w:afterLines="50" w:line="400" w:lineRule="exact"/>
    </w:pPr>
    <w:rPr>
      <w:rFonts w:hAnsi="Courier New"/>
      <w:sz w:val="24"/>
    </w:rPr>
  </w:style>
  <w:style w:type="paragraph" w:styleId="28">
    <w:name w:val="toc 8"/>
    <w:basedOn w:val="1"/>
    <w:next w:val="1"/>
    <w:qFormat/>
    <w:uiPriority w:val="99"/>
    <w:pPr>
      <w:autoSpaceDE/>
      <w:autoSpaceDN/>
      <w:ind w:left="2940" w:leftChars="1400"/>
      <w:jc w:val="both"/>
    </w:pPr>
    <w:rPr>
      <w:rFonts w:ascii="Times New Roman" w:hAnsi="Times New Roman" w:cs="Times New Roman"/>
      <w:kern w:val="2"/>
      <w:sz w:val="21"/>
      <w:szCs w:val="24"/>
      <w:lang w:val="en-US" w:bidi="ar-SA"/>
    </w:rPr>
  </w:style>
  <w:style w:type="paragraph" w:styleId="29">
    <w:name w:val="Date"/>
    <w:basedOn w:val="1"/>
    <w:next w:val="1"/>
    <w:link w:val="78"/>
    <w:qFormat/>
    <w:uiPriority w:val="0"/>
    <w:pPr>
      <w:ind w:leftChars="2500"/>
    </w:pPr>
    <w:rPr>
      <w:rFonts w:eastAsia="楷体_GB2312"/>
      <w:sz w:val="32"/>
      <w:szCs w:val="20"/>
    </w:rPr>
  </w:style>
  <w:style w:type="paragraph" w:styleId="30">
    <w:name w:val="Body Text Indent 2"/>
    <w:basedOn w:val="1"/>
    <w:link w:val="79"/>
    <w:qFormat/>
    <w:uiPriority w:val="0"/>
    <w:pPr>
      <w:snapToGrid w:val="0"/>
      <w:ind w:firstLine="542" w:firstLineChars="225"/>
    </w:pPr>
    <w:rPr>
      <w:rFonts w:ascii="仿宋_GB2312" w:hAnsi="宋体" w:cs="Arial"/>
      <w:b/>
      <w:bCs/>
      <w:color w:val="000000"/>
      <w:sz w:val="24"/>
    </w:rPr>
  </w:style>
  <w:style w:type="paragraph" w:styleId="31">
    <w:name w:val="endnote text"/>
    <w:basedOn w:val="1"/>
    <w:link w:val="80"/>
    <w:qFormat/>
    <w:uiPriority w:val="0"/>
    <w:pPr>
      <w:autoSpaceDE/>
      <w:autoSpaceDN/>
      <w:snapToGrid w:val="0"/>
    </w:pPr>
    <w:rPr>
      <w:rFonts w:ascii="Times New Roman" w:hAnsi="Times New Roman" w:cs="Times New Roman"/>
      <w:kern w:val="2"/>
      <w:sz w:val="21"/>
      <w:szCs w:val="24"/>
      <w:lang w:val="en-US" w:bidi="ar-SA"/>
    </w:rPr>
  </w:style>
  <w:style w:type="paragraph" w:styleId="32">
    <w:name w:val="Balloon Text"/>
    <w:basedOn w:val="1"/>
    <w:link w:val="81"/>
    <w:qFormat/>
    <w:uiPriority w:val="0"/>
    <w:pPr>
      <w:autoSpaceDE/>
      <w:autoSpaceDN/>
      <w:jc w:val="both"/>
    </w:pPr>
    <w:rPr>
      <w:rFonts w:ascii="Times New Roman" w:hAnsi="Times New Roman" w:cs="Times New Roman"/>
      <w:kern w:val="2"/>
      <w:sz w:val="18"/>
      <w:szCs w:val="18"/>
      <w:lang w:val="en-US" w:bidi="ar-SA"/>
    </w:rPr>
  </w:style>
  <w:style w:type="paragraph" w:styleId="33">
    <w:name w:val="footer"/>
    <w:basedOn w:val="1"/>
    <w:link w:val="82"/>
    <w:qFormat/>
    <w:uiPriority w:val="0"/>
    <w:pPr>
      <w:tabs>
        <w:tab w:val="center" w:pos="4153"/>
        <w:tab w:val="right" w:pos="8306"/>
      </w:tabs>
      <w:snapToGrid w:val="0"/>
      <w:jc w:val="left"/>
    </w:pPr>
    <w:rPr>
      <w:rFonts w:eastAsia="黑体"/>
      <w:sz w:val="18"/>
      <w:szCs w:val="18"/>
    </w:rPr>
  </w:style>
  <w:style w:type="paragraph" w:styleId="34">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style>
  <w:style w:type="paragraph" w:styleId="36">
    <w:name w:val="toc 4"/>
    <w:basedOn w:val="1"/>
    <w:next w:val="1"/>
    <w:qFormat/>
    <w:uiPriority w:val="99"/>
    <w:pPr>
      <w:autoSpaceDE/>
      <w:autoSpaceDN/>
      <w:ind w:left="1260" w:leftChars="600"/>
      <w:jc w:val="both"/>
    </w:pPr>
    <w:rPr>
      <w:rFonts w:ascii="Times New Roman" w:hAnsi="Times New Roman" w:cs="Times New Roman"/>
      <w:kern w:val="2"/>
      <w:sz w:val="21"/>
      <w:szCs w:val="24"/>
      <w:lang w:val="en-US" w:bidi="ar-SA"/>
    </w:rPr>
  </w:style>
  <w:style w:type="paragraph" w:styleId="37">
    <w:name w:val="Subtitle"/>
    <w:basedOn w:val="1"/>
    <w:next w:val="1"/>
    <w:link w:val="84"/>
    <w:qFormat/>
    <w:uiPriority w:val="0"/>
    <w:pPr>
      <w:autoSpaceDE/>
      <w:autoSpaceDN/>
      <w:spacing w:before="240" w:after="60" w:line="312" w:lineRule="auto"/>
      <w:jc w:val="center"/>
      <w:outlineLvl w:val="1"/>
    </w:pPr>
    <w:rPr>
      <w:rFonts w:ascii="Calibri Light" w:hAnsi="Calibri Light" w:cs="Times New Roman"/>
      <w:b/>
      <w:bCs/>
      <w:kern w:val="28"/>
      <w:sz w:val="32"/>
      <w:szCs w:val="32"/>
      <w:lang w:val="en-US" w:bidi="ar-SA"/>
    </w:rPr>
  </w:style>
  <w:style w:type="paragraph" w:styleId="38">
    <w:name w:val="footnote text"/>
    <w:basedOn w:val="1"/>
    <w:link w:val="85"/>
    <w:qFormat/>
    <w:uiPriority w:val="0"/>
    <w:pPr>
      <w:autoSpaceDE/>
      <w:autoSpaceDN/>
      <w:snapToGrid w:val="0"/>
    </w:pPr>
    <w:rPr>
      <w:rFonts w:ascii="Times New Roman" w:hAnsi="Times New Roman" w:cs="Times New Roman"/>
      <w:kern w:val="2"/>
      <w:sz w:val="18"/>
      <w:szCs w:val="18"/>
      <w:lang w:val="en-US" w:bidi="ar-SA"/>
    </w:rPr>
  </w:style>
  <w:style w:type="paragraph" w:styleId="39">
    <w:name w:val="toc 6"/>
    <w:basedOn w:val="1"/>
    <w:next w:val="1"/>
    <w:qFormat/>
    <w:uiPriority w:val="99"/>
    <w:pPr>
      <w:ind w:left="1050"/>
      <w:jc w:val="left"/>
    </w:pPr>
    <w:rPr>
      <w:kern w:val="0"/>
      <w:sz w:val="18"/>
      <w:szCs w:val="18"/>
    </w:rPr>
  </w:style>
  <w:style w:type="paragraph" w:styleId="40">
    <w:name w:val="Body Text Indent 3"/>
    <w:basedOn w:val="1"/>
    <w:link w:val="86"/>
    <w:qFormat/>
    <w:uiPriority w:val="0"/>
    <w:pPr>
      <w:snapToGrid w:val="0"/>
      <w:ind w:firstLine="480" w:firstLineChars="200"/>
      <w:jc w:val="left"/>
    </w:pPr>
    <w:rPr>
      <w:rFonts w:ascii="仿宋_GB2312" w:hAnsi="宋体" w:eastAsia="仿宋_GB2312"/>
      <w:color w:val="000000"/>
      <w:sz w:val="24"/>
    </w:rPr>
  </w:style>
  <w:style w:type="paragraph" w:styleId="41">
    <w:name w:val="table of figures"/>
    <w:basedOn w:val="1"/>
    <w:next w:val="1"/>
    <w:qFormat/>
    <w:uiPriority w:val="0"/>
    <w:pPr>
      <w:tabs>
        <w:tab w:val="left" w:pos="510"/>
      </w:tabs>
      <w:autoSpaceDE/>
      <w:autoSpaceDN/>
      <w:adjustRightInd w:val="0"/>
      <w:spacing w:line="240" w:lineRule="atLeast"/>
      <w:jc w:val="both"/>
      <w:textAlignment w:val="baseline"/>
    </w:pPr>
    <w:rPr>
      <w:rFonts w:ascii="Times New Roman" w:hAnsi="Times New Roman" w:cs="Times New Roman"/>
      <w:sz w:val="24"/>
      <w:szCs w:val="20"/>
      <w:lang w:val="en-US" w:bidi="ar-SA"/>
    </w:rPr>
  </w:style>
  <w:style w:type="paragraph" w:styleId="42">
    <w:name w:val="toc 2"/>
    <w:basedOn w:val="1"/>
    <w:next w:val="1"/>
    <w:qFormat/>
    <w:uiPriority w:val="99"/>
    <w:pPr>
      <w:tabs>
        <w:tab w:val="right" w:leader="dot" w:pos="9180"/>
      </w:tabs>
      <w:autoSpaceDE/>
      <w:autoSpaceDN/>
    </w:pPr>
    <w:rPr>
      <w:rFonts w:ascii="Times New Roman" w:hAnsi="Times New Roman" w:cs="Times New Roman"/>
      <w:smallCaps/>
      <w:kern w:val="2"/>
      <w:sz w:val="21"/>
      <w:szCs w:val="24"/>
      <w:lang w:val="en-US" w:bidi="ar-SA"/>
    </w:rPr>
  </w:style>
  <w:style w:type="paragraph" w:styleId="43">
    <w:name w:val="toc 9"/>
    <w:basedOn w:val="1"/>
    <w:next w:val="1"/>
    <w:qFormat/>
    <w:uiPriority w:val="99"/>
    <w:pPr>
      <w:autoSpaceDE/>
      <w:autoSpaceDN/>
      <w:ind w:left="3360" w:leftChars="1600"/>
      <w:jc w:val="both"/>
    </w:pPr>
    <w:rPr>
      <w:rFonts w:ascii="Times New Roman" w:hAnsi="Times New Roman" w:cs="Times New Roman"/>
      <w:kern w:val="2"/>
      <w:sz w:val="21"/>
      <w:szCs w:val="24"/>
      <w:lang w:val="en-US" w:bidi="ar-SA"/>
    </w:rPr>
  </w:style>
  <w:style w:type="paragraph" w:styleId="44">
    <w:name w:val="Body Text 2"/>
    <w:basedOn w:val="1"/>
    <w:link w:val="87"/>
    <w:qFormat/>
    <w:uiPriority w:val="0"/>
    <w:pPr>
      <w:widowControl/>
      <w:snapToGrid w:val="0"/>
      <w:spacing w:before="50" w:afterLines="50" w:line="400" w:lineRule="exact"/>
      <w:jc w:val="left"/>
    </w:pPr>
    <w:rPr>
      <w:rFonts w:ascii="宋体" w:hAnsi="宋体" w:cs="宋体"/>
      <w:color w:val="000000"/>
      <w:sz w:val="24"/>
      <w:szCs w:val="24"/>
    </w:rPr>
  </w:style>
  <w:style w:type="paragraph" w:styleId="45">
    <w:name w:val="Normal (Web)"/>
    <w:basedOn w:val="1"/>
    <w:link w:val="88"/>
    <w:qFormat/>
    <w:uiPriority w:val="0"/>
    <w:pPr>
      <w:widowControl/>
      <w:spacing w:before="100" w:beforeAutospacing="1" w:after="100" w:afterAutospacing="1"/>
      <w:jc w:val="left"/>
    </w:pPr>
    <w:rPr>
      <w:sz w:val="24"/>
      <w:szCs w:val="24"/>
    </w:rPr>
  </w:style>
  <w:style w:type="paragraph" w:styleId="46">
    <w:name w:val="index 1"/>
    <w:basedOn w:val="1"/>
    <w:next w:val="1"/>
    <w:qFormat/>
    <w:uiPriority w:val="99"/>
    <w:pPr>
      <w:autoSpaceDE/>
      <w:autoSpaceDN/>
      <w:jc w:val="both"/>
    </w:pPr>
    <w:rPr>
      <w:rFonts w:ascii="Times New Roman" w:hAnsi="Times New Roman" w:cs="Times New Roman"/>
      <w:kern w:val="2"/>
      <w:sz w:val="21"/>
      <w:szCs w:val="24"/>
      <w:lang w:val="en-US" w:bidi="ar-SA"/>
    </w:rPr>
  </w:style>
  <w:style w:type="paragraph" w:styleId="47">
    <w:name w:val="Title"/>
    <w:basedOn w:val="1"/>
    <w:next w:val="1"/>
    <w:link w:val="89"/>
    <w:qFormat/>
    <w:uiPriority w:val="0"/>
    <w:pPr>
      <w:autoSpaceDE w:val="0"/>
      <w:autoSpaceDN w:val="0"/>
      <w:adjustRightInd w:val="0"/>
      <w:spacing w:before="240" w:after="60"/>
      <w:jc w:val="center"/>
      <w:outlineLvl w:val="0"/>
    </w:pPr>
    <w:rPr>
      <w:rFonts w:ascii="Cambria" w:hAnsi="Cambria"/>
      <w:b/>
      <w:color w:val="000000"/>
      <w:kern w:val="0"/>
      <w:sz w:val="32"/>
      <w:szCs w:val="32"/>
    </w:rPr>
  </w:style>
  <w:style w:type="paragraph" w:styleId="48">
    <w:name w:val="annotation subject"/>
    <w:basedOn w:val="19"/>
    <w:next w:val="19"/>
    <w:link w:val="90"/>
    <w:qFormat/>
    <w:uiPriority w:val="99"/>
    <w:rPr>
      <w:b/>
      <w:bCs/>
    </w:rPr>
  </w:style>
  <w:style w:type="paragraph" w:styleId="49">
    <w:name w:val="Body Text First Indent"/>
    <w:basedOn w:val="22"/>
    <w:next w:val="1"/>
    <w:link w:val="91"/>
    <w:qFormat/>
    <w:uiPriority w:val="0"/>
    <w:pPr>
      <w:ind w:firstLine="100" w:firstLineChars="100"/>
    </w:pPr>
    <w:rPr>
      <w:rFonts w:ascii="Calibri" w:hAnsi="Calibri"/>
      <w:sz w:val="21"/>
      <w:szCs w:val="22"/>
    </w:rPr>
  </w:style>
  <w:style w:type="table" w:styleId="51">
    <w:name w:val="Table Grid"/>
    <w:basedOn w:val="50"/>
    <w:qFormat/>
    <w:uiPriority w:val="39"/>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99"/>
    <w:rPr>
      <w:b/>
      <w:color w:val="606266"/>
      <w:sz w:val="21"/>
      <w:szCs w:val="21"/>
      <w:u w:val="none"/>
    </w:rPr>
  </w:style>
  <w:style w:type="character" w:styleId="54">
    <w:name w:val="endnote reference"/>
    <w:qFormat/>
    <w:uiPriority w:val="0"/>
    <w:rPr>
      <w:vertAlign w:val="superscript"/>
    </w:rPr>
  </w:style>
  <w:style w:type="character" w:styleId="55">
    <w:name w:val="page number"/>
    <w:basedOn w:val="52"/>
    <w:qFormat/>
    <w:uiPriority w:val="0"/>
  </w:style>
  <w:style w:type="character" w:styleId="56">
    <w:name w:val="FollowedHyperlink"/>
    <w:qFormat/>
    <w:uiPriority w:val="99"/>
    <w:rPr>
      <w:color w:val="5579A7"/>
      <w:sz w:val="14"/>
      <w:szCs w:val="14"/>
      <w:u w:val="none"/>
      <w:bdr w:val="single" w:color="D0CFCF" w:sz="4" w:space="0"/>
      <w:shd w:val="clear" w:color="auto" w:fill="F3F3F3"/>
    </w:rPr>
  </w:style>
  <w:style w:type="character" w:styleId="57">
    <w:name w:val="line number"/>
    <w:qFormat/>
    <w:uiPriority w:val="99"/>
  </w:style>
  <w:style w:type="character" w:styleId="58">
    <w:name w:val="HTML Typewriter"/>
    <w:qFormat/>
    <w:uiPriority w:val="0"/>
    <w:rPr>
      <w:rFonts w:ascii="黑体" w:hAnsi="Courier New" w:eastAsia="黑体" w:cs="Courier New"/>
      <w:spacing w:val="312"/>
      <w:sz w:val="18"/>
      <w:szCs w:val="18"/>
    </w:rPr>
  </w:style>
  <w:style w:type="character" w:styleId="59">
    <w:name w:val="Hyperlink"/>
    <w:unhideWhenUsed/>
    <w:qFormat/>
    <w:uiPriority w:val="99"/>
    <w:rPr>
      <w:color w:val="3D3D3D"/>
      <w:u w:val="none"/>
    </w:rPr>
  </w:style>
  <w:style w:type="character" w:styleId="60">
    <w:name w:val="annotation reference"/>
    <w:qFormat/>
    <w:uiPriority w:val="99"/>
    <w:rPr>
      <w:sz w:val="21"/>
      <w:szCs w:val="21"/>
    </w:rPr>
  </w:style>
  <w:style w:type="character" w:styleId="61">
    <w:name w:val="footnote reference"/>
    <w:qFormat/>
    <w:uiPriority w:val="0"/>
    <w:rPr>
      <w:vertAlign w:val="superscript"/>
    </w:rPr>
  </w:style>
  <w:style w:type="character" w:customStyle="1" w:styleId="62">
    <w:name w:val="正文文本缩进 字符"/>
    <w:link w:val="3"/>
    <w:qFormat/>
    <w:uiPriority w:val="0"/>
    <w:rPr>
      <w:rFonts w:ascii="宋体" w:hAnsi="Courier New" w:cs="宋体"/>
      <w:spacing w:val="-4"/>
      <w:sz w:val="18"/>
      <w:lang w:val="zh-CN" w:bidi="zh-CN"/>
    </w:rPr>
  </w:style>
  <w:style w:type="character" w:customStyle="1" w:styleId="63">
    <w:name w:val="正文缩进 字符"/>
    <w:link w:val="4"/>
    <w:qFormat/>
    <w:uiPriority w:val="0"/>
    <w:rPr>
      <w:rFonts w:ascii="宋体" w:hAnsi="宋体" w:cs="宋体"/>
      <w:sz w:val="22"/>
      <w:lang w:val="zh-CN" w:bidi="zh-CN"/>
    </w:rPr>
  </w:style>
  <w:style w:type="character" w:customStyle="1" w:styleId="64">
    <w:name w:val="正文文本首行缩进 2 字符"/>
    <w:link w:val="2"/>
    <w:uiPriority w:val="0"/>
    <w:rPr>
      <w:rFonts w:ascii="宋体" w:hAnsi="Courier New" w:cs="宋体"/>
      <w:spacing w:val="-4"/>
      <w:sz w:val="18"/>
      <w:lang w:val="zh-CN" w:bidi="zh-CN"/>
    </w:rPr>
  </w:style>
  <w:style w:type="character" w:customStyle="1" w:styleId="65">
    <w:name w:val="标题 1 字符"/>
    <w:link w:val="5"/>
    <w:qFormat/>
    <w:uiPriority w:val="0"/>
    <w:rPr>
      <w:rFonts w:ascii="宋体" w:hAnsi="宋体" w:cs="宋体"/>
      <w:sz w:val="30"/>
      <w:szCs w:val="30"/>
      <w:lang w:val="zh-CN" w:bidi="zh-CN"/>
    </w:rPr>
  </w:style>
  <w:style w:type="character" w:customStyle="1" w:styleId="66">
    <w:name w:val="标题 2 字符"/>
    <w:link w:val="6"/>
    <w:qFormat/>
    <w:uiPriority w:val="0"/>
    <w:rPr>
      <w:rFonts w:ascii="Arial" w:hAnsi="Arial" w:eastAsia="黑体" w:cs="宋体"/>
      <w:b/>
      <w:bCs/>
      <w:sz w:val="32"/>
      <w:szCs w:val="32"/>
      <w:lang w:val="zh-CN" w:bidi="zh-CN"/>
    </w:rPr>
  </w:style>
  <w:style w:type="character" w:customStyle="1" w:styleId="67">
    <w:name w:val="标题 3 字符1"/>
    <w:link w:val="7"/>
    <w:qFormat/>
    <w:uiPriority w:val="0"/>
    <w:rPr>
      <w:rFonts w:ascii="宋体" w:hAnsi="宋体" w:eastAsia="楷体_GB2312" w:cs="宋体"/>
      <w:b/>
      <w:bCs/>
      <w:sz w:val="32"/>
      <w:szCs w:val="32"/>
      <w:lang w:val="zh-CN" w:bidi="zh-CN"/>
    </w:rPr>
  </w:style>
  <w:style w:type="character" w:customStyle="1" w:styleId="68">
    <w:name w:val="标题 4 字符"/>
    <w:link w:val="8"/>
    <w:qFormat/>
    <w:uiPriority w:val="0"/>
    <w:rPr>
      <w:rFonts w:ascii="宋体" w:hAnsi="宋体" w:cs="宋体"/>
      <w:b/>
      <w:bCs/>
      <w:sz w:val="21"/>
      <w:szCs w:val="21"/>
      <w:lang w:val="zh-CN" w:bidi="zh-CN"/>
    </w:rPr>
  </w:style>
  <w:style w:type="character" w:customStyle="1" w:styleId="69">
    <w:name w:val="标题 6 字符"/>
    <w:link w:val="10"/>
    <w:uiPriority w:val="0"/>
    <w:rPr>
      <w:rFonts w:ascii="仿宋" w:hAnsi="仿宋"/>
      <w:szCs w:val="22"/>
      <w:lang w:val="zh-CN"/>
    </w:rPr>
  </w:style>
  <w:style w:type="character" w:customStyle="1" w:styleId="70">
    <w:name w:val="标题 8 字符"/>
    <w:link w:val="12"/>
    <w:uiPriority w:val="0"/>
    <w:rPr>
      <w:rFonts w:ascii="Arial" w:hAnsi="Arial" w:eastAsia="黑体"/>
      <w:kern w:val="2"/>
      <w:sz w:val="24"/>
      <w:szCs w:val="24"/>
    </w:rPr>
  </w:style>
  <w:style w:type="character" w:customStyle="1" w:styleId="71">
    <w:name w:val="标题 9 字符"/>
    <w:link w:val="13"/>
    <w:uiPriority w:val="0"/>
    <w:rPr>
      <w:rFonts w:ascii="Arial" w:hAnsi="Arial" w:eastAsia="黑体"/>
      <w:kern w:val="2"/>
      <w:sz w:val="21"/>
      <w:szCs w:val="21"/>
    </w:rPr>
  </w:style>
  <w:style w:type="character" w:customStyle="1" w:styleId="72">
    <w:name w:val="文档结构图 字符1"/>
    <w:link w:val="18"/>
    <w:uiPriority w:val="0"/>
    <w:rPr>
      <w:kern w:val="2"/>
      <w:sz w:val="21"/>
      <w:shd w:val="clear" w:color="auto" w:fill="000080"/>
    </w:rPr>
  </w:style>
  <w:style w:type="character" w:customStyle="1" w:styleId="73">
    <w:name w:val="批注文字 字符"/>
    <w:link w:val="19"/>
    <w:qFormat/>
    <w:uiPriority w:val="99"/>
    <w:rPr>
      <w:rFonts w:ascii="宋体" w:hAnsi="宋体" w:cs="宋体"/>
      <w:sz w:val="22"/>
      <w:szCs w:val="22"/>
      <w:lang w:val="zh-CN" w:bidi="zh-CN"/>
    </w:rPr>
  </w:style>
  <w:style w:type="character" w:customStyle="1" w:styleId="74">
    <w:name w:val="称呼 字符"/>
    <w:link w:val="20"/>
    <w:qFormat/>
    <w:uiPriority w:val="0"/>
    <w:rPr>
      <w:rFonts w:ascii="宋体"/>
      <w:kern w:val="2"/>
      <w:sz w:val="24"/>
    </w:rPr>
  </w:style>
  <w:style w:type="character" w:customStyle="1" w:styleId="75">
    <w:name w:val="正文文本 3 字符"/>
    <w:link w:val="21"/>
    <w:uiPriority w:val="0"/>
    <w:rPr>
      <w:rFonts w:ascii="宋体"/>
      <w:kern w:val="2"/>
      <w:sz w:val="21"/>
    </w:rPr>
  </w:style>
  <w:style w:type="character" w:customStyle="1" w:styleId="76">
    <w:name w:val="正文文本 字符"/>
    <w:link w:val="22"/>
    <w:qFormat/>
    <w:uiPriority w:val="0"/>
    <w:rPr>
      <w:rFonts w:ascii="宋体" w:hAnsi="宋体" w:cs="宋体"/>
      <w:sz w:val="21"/>
      <w:szCs w:val="21"/>
      <w:lang w:val="zh-CN" w:bidi="zh-CN"/>
    </w:rPr>
  </w:style>
  <w:style w:type="character" w:customStyle="1" w:styleId="77">
    <w:name w:val="纯文本 字符"/>
    <w:link w:val="27"/>
    <w:qFormat/>
    <w:locked/>
    <w:uiPriority w:val="0"/>
    <w:rPr>
      <w:rFonts w:ascii="宋体" w:hAnsi="Courier New" w:cs="宋体"/>
      <w:sz w:val="24"/>
      <w:szCs w:val="22"/>
      <w:lang w:val="zh-CN" w:bidi="zh-CN"/>
    </w:rPr>
  </w:style>
  <w:style w:type="character" w:customStyle="1" w:styleId="78">
    <w:name w:val="日期 字符"/>
    <w:link w:val="29"/>
    <w:qFormat/>
    <w:uiPriority w:val="0"/>
    <w:rPr>
      <w:rFonts w:ascii="宋体" w:hAnsi="宋体" w:eastAsia="楷体_GB2312" w:cs="宋体"/>
      <w:sz w:val="32"/>
      <w:lang w:val="zh-CN" w:bidi="zh-CN"/>
    </w:rPr>
  </w:style>
  <w:style w:type="character" w:customStyle="1" w:styleId="79">
    <w:name w:val="正文文本缩进 2 字符"/>
    <w:link w:val="30"/>
    <w:qFormat/>
    <w:uiPriority w:val="0"/>
    <w:rPr>
      <w:rFonts w:ascii="仿宋_GB2312" w:hAnsi="宋体" w:cs="Arial"/>
      <w:b/>
      <w:bCs/>
      <w:color w:val="000000"/>
      <w:sz w:val="24"/>
      <w:szCs w:val="22"/>
      <w:lang w:val="zh-CN" w:bidi="zh-CN"/>
    </w:rPr>
  </w:style>
  <w:style w:type="character" w:customStyle="1" w:styleId="80">
    <w:name w:val="尾注文本 字符"/>
    <w:link w:val="31"/>
    <w:qFormat/>
    <w:uiPriority w:val="0"/>
    <w:rPr>
      <w:kern w:val="2"/>
      <w:sz w:val="21"/>
      <w:szCs w:val="24"/>
    </w:rPr>
  </w:style>
  <w:style w:type="character" w:customStyle="1" w:styleId="81">
    <w:name w:val="批注框文本 字符"/>
    <w:link w:val="32"/>
    <w:qFormat/>
    <w:uiPriority w:val="0"/>
    <w:rPr>
      <w:kern w:val="2"/>
      <w:sz w:val="18"/>
      <w:szCs w:val="18"/>
    </w:rPr>
  </w:style>
  <w:style w:type="character" w:customStyle="1" w:styleId="82">
    <w:name w:val="页脚 字符"/>
    <w:link w:val="33"/>
    <w:qFormat/>
    <w:uiPriority w:val="99"/>
    <w:rPr>
      <w:rFonts w:ascii="宋体" w:hAnsi="宋体" w:eastAsia="黑体" w:cs="宋体"/>
      <w:snapToGrid/>
      <w:sz w:val="18"/>
      <w:szCs w:val="18"/>
      <w:lang w:val="zh-CN" w:bidi="zh-CN"/>
    </w:rPr>
  </w:style>
  <w:style w:type="character" w:customStyle="1" w:styleId="83">
    <w:name w:val="页眉 字符1"/>
    <w:link w:val="34"/>
    <w:qFormat/>
    <w:uiPriority w:val="99"/>
    <w:rPr>
      <w:rFonts w:ascii="宋体" w:hAnsi="宋体" w:cs="宋体"/>
      <w:sz w:val="18"/>
      <w:szCs w:val="18"/>
      <w:lang w:val="zh-CN" w:bidi="zh-CN"/>
    </w:rPr>
  </w:style>
  <w:style w:type="character" w:customStyle="1" w:styleId="84">
    <w:name w:val="副标题 字符"/>
    <w:link w:val="37"/>
    <w:qFormat/>
    <w:uiPriority w:val="0"/>
    <w:rPr>
      <w:rFonts w:ascii="Calibri Light" w:hAnsi="Calibri Light"/>
      <w:b/>
      <w:bCs/>
      <w:kern w:val="28"/>
      <w:sz w:val="32"/>
      <w:szCs w:val="32"/>
    </w:rPr>
  </w:style>
  <w:style w:type="character" w:customStyle="1" w:styleId="85">
    <w:name w:val="脚注文本 字符"/>
    <w:link w:val="38"/>
    <w:qFormat/>
    <w:uiPriority w:val="0"/>
    <w:rPr>
      <w:kern w:val="2"/>
      <w:sz w:val="18"/>
      <w:szCs w:val="18"/>
    </w:rPr>
  </w:style>
  <w:style w:type="character" w:customStyle="1" w:styleId="86">
    <w:name w:val="正文文本缩进 3 字符"/>
    <w:link w:val="40"/>
    <w:qFormat/>
    <w:uiPriority w:val="0"/>
    <w:rPr>
      <w:rFonts w:ascii="仿宋_GB2312" w:hAnsi="宋体" w:eastAsia="仿宋_GB2312" w:cs="宋体"/>
      <w:color w:val="000000"/>
      <w:sz w:val="24"/>
      <w:szCs w:val="22"/>
      <w:lang w:val="zh-CN" w:bidi="zh-CN"/>
    </w:rPr>
  </w:style>
  <w:style w:type="character" w:customStyle="1" w:styleId="87">
    <w:name w:val="正文文本 2 字符"/>
    <w:link w:val="44"/>
    <w:qFormat/>
    <w:uiPriority w:val="0"/>
    <w:rPr>
      <w:rFonts w:ascii="宋体" w:hAnsi="宋体" w:cs="宋体"/>
      <w:color w:val="000000"/>
      <w:sz w:val="24"/>
      <w:szCs w:val="24"/>
      <w:lang w:val="zh-CN" w:bidi="zh-CN"/>
    </w:rPr>
  </w:style>
  <w:style w:type="character" w:customStyle="1" w:styleId="88">
    <w:name w:val="普通(网站) 字符"/>
    <w:link w:val="45"/>
    <w:locked/>
    <w:uiPriority w:val="0"/>
    <w:rPr>
      <w:rFonts w:ascii="宋体" w:hAnsi="宋体" w:cs="宋体"/>
      <w:sz w:val="24"/>
      <w:szCs w:val="24"/>
      <w:lang w:val="zh-CN" w:bidi="zh-CN"/>
    </w:rPr>
  </w:style>
  <w:style w:type="character" w:customStyle="1" w:styleId="89">
    <w:name w:val="标题 字符"/>
    <w:link w:val="47"/>
    <w:qFormat/>
    <w:uiPriority w:val="0"/>
    <w:rPr>
      <w:rFonts w:ascii="Cambria" w:hAnsi="Cambria" w:cs="宋体"/>
      <w:b/>
      <w:color w:val="000000"/>
      <w:sz w:val="32"/>
      <w:szCs w:val="32"/>
      <w:lang w:val="zh-CN" w:bidi="zh-CN"/>
    </w:rPr>
  </w:style>
  <w:style w:type="character" w:customStyle="1" w:styleId="90">
    <w:name w:val="批注主题 字符"/>
    <w:link w:val="48"/>
    <w:qFormat/>
    <w:uiPriority w:val="99"/>
    <w:rPr>
      <w:rFonts w:ascii="宋体" w:hAnsi="宋体" w:cs="宋体"/>
      <w:b/>
      <w:bCs/>
      <w:sz w:val="22"/>
      <w:szCs w:val="22"/>
      <w:lang w:val="zh-CN" w:bidi="zh-CN"/>
    </w:rPr>
  </w:style>
  <w:style w:type="character" w:customStyle="1" w:styleId="91">
    <w:name w:val="正文文本首行缩进 字符"/>
    <w:link w:val="49"/>
    <w:qFormat/>
    <w:uiPriority w:val="0"/>
    <w:rPr>
      <w:rFonts w:ascii="Calibri" w:hAnsi="Calibri" w:cs="宋体"/>
      <w:sz w:val="21"/>
      <w:szCs w:val="22"/>
      <w:lang w:val="zh-CN" w:bidi="zh-CN"/>
    </w:rPr>
  </w:style>
  <w:style w:type="paragraph" w:styleId="92">
    <w:name w:val="List Paragraph"/>
    <w:basedOn w:val="1"/>
    <w:link w:val="93"/>
    <w:qFormat/>
    <w:uiPriority w:val="0"/>
    <w:pPr>
      <w:ind w:firstLine="420" w:firstLineChars="200"/>
    </w:pPr>
  </w:style>
  <w:style w:type="character" w:customStyle="1" w:styleId="93">
    <w:name w:val="列表段落 字符"/>
    <w:link w:val="92"/>
    <w:qFormat/>
    <w:locked/>
    <w:uiPriority w:val="0"/>
    <w:rPr>
      <w:rFonts w:ascii="宋体" w:hAnsi="宋体" w:cs="宋体"/>
      <w:sz w:val="22"/>
      <w:szCs w:val="22"/>
      <w:lang w:val="zh-CN" w:bidi="zh-CN"/>
    </w:rPr>
  </w:style>
  <w:style w:type="paragraph" w:customStyle="1" w:styleId="94">
    <w:name w:val="Body Text First Indent 21"/>
    <w:basedOn w:val="95"/>
    <w:qFormat/>
    <w:uiPriority w:val="99"/>
    <w:pPr>
      <w:ind w:firstLine="420"/>
    </w:pPr>
  </w:style>
  <w:style w:type="paragraph" w:customStyle="1" w:styleId="95">
    <w:name w:val="Body Text Indent1"/>
    <w:basedOn w:val="1"/>
    <w:qFormat/>
    <w:uiPriority w:val="99"/>
    <w:pPr>
      <w:ind w:left="420" w:leftChars="200"/>
    </w:pPr>
    <w:rPr>
      <w:rFonts w:ascii="Times New Roman" w:hAnsi="Times New Roman"/>
    </w:rPr>
  </w:style>
  <w:style w:type="character" w:customStyle="1" w:styleId="96">
    <w:name w:val="jbox-icon-warning"/>
    <w:qFormat/>
    <w:uiPriority w:val="0"/>
  </w:style>
  <w:style w:type="character" w:customStyle="1" w:styleId="97">
    <w:name w:val="jbox-icon-question"/>
    <w:qFormat/>
    <w:uiPriority w:val="0"/>
  </w:style>
  <w:style w:type="character" w:customStyle="1" w:styleId="98">
    <w:name w:val="text"/>
    <w:qFormat/>
    <w:uiPriority w:val="0"/>
  </w:style>
  <w:style w:type="character" w:customStyle="1" w:styleId="99">
    <w:name w:val="jbox-icon-none"/>
    <w:qFormat/>
    <w:uiPriority w:val="0"/>
    <w:rPr>
      <w:vanish/>
    </w:rPr>
  </w:style>
  <w:style w:type="character" w:customStyle="1" w:styleId="100">
    <w:name w:val="文档结构图 字符"/>
    <w:uiPriority w:val="0"/>
    <w:rPr>
      <w:rFonts w:ascii="Microsoft YaHei UI" w:hAnsi="宋体" w:eastAsia="Microsoft YaHei UI" w:cs="宋体"/>
      <w:sz w:val="18"/>
      <w:szCs w:val="18"/>
      <w:lang w:val="zh-CN" w:bidi="zh-CN"/>
    </w:rPr>
  </w:style>
  <w:style w:type="character" w:customStyle="1" w:styleId="101">
    <w:name w:val="jbox-icon-error"/>
    <w:qFormat/>
    <w:uiPriority w:val="0"/>
  </w:style>
  <w:style w:type="character" w:customStyle="1" w:styleId="102">
    <w:name w:val="jbox-icon"/>
    <w:qFormat/>
    <w:uiPriority w:val="0"/>
  </w:style>
  <w:style w:type="character" w:customStyle="1" w:styleId="103">
    <w:name w:val="纯文本 字符2"/>
    <w:qFormat/>
    <w:uiPriority w:val="0"/>
    <w:rPr>
      <w:rFonts w:ascii="宋体" w:hAnsi="Courier New"/>
      <w:kern w:val="2"/>
      <w:sz w:val="24"/>
      <w:szCs w:val="24"/>
    </w:rPr>
  </w:style>
  <w:style w:type="character" w:customStyle="1" w:styleId="104">
    <w:name w:val="jbox-icon-success"/>
    <w:qFormat/>
    <w:uiPriority w:val="0"/>
  </w:style>
  <w:style w:type="character" w:customStyle="1" w:styleId="105">
    <w:name w:val="jbox-icon-info"/>
    <w:qFormat/>
    <w:uiPriority w:val="0"/>
  </w:style>
  <w:style w:type="character" w:customStyle="1" w:styleId="106">
    <w:name w:val="jbox-icon-loading"/>
    <w:qFormat/>
    <w:uiPriority w:val="0"/>
  </w:style>
  <w:style w:type="character" w:customStyle="1" w:styleId="107">
    <w:name w:val="layui-laypage-curr"/>
    <w:qFormat/>
    <w:uiPriority w:val="0"/>
  </w:style>
  <w:style w:type="character" w:customStyle="1" w:styleId="108">
    <w:name w:val="font61"/>
    <w:qFormat/>
    <w:uiPriority w:val="0"/>
    <w:rPr>
      <w:rFonts w:hint="default" w:ascii="Times New Roman" w:hAnsi="Times New Roman" w:cs="Times New Roman"/>
      <w:color w:val="000000"/>
      <w:sz w:val="24"/>
      <w:szCs w:val="24"/>
      <w:u w:val="none"/>
    </w:rPr>
  </w:style>
  <w:style w:type="character" w:customStyle="1" w:styleId="109">
    <w:name w:val="font01"/>
    <w:qFormat/>
    <w:uiPriority w:val="0"/>
    <w:rPr>
      <w:rFonts w:hint="default" w:ascii="Tahoma" w:hAnsi="Tahoma" w:eastAsia="Tahoma" w:cs="Tahoma"/>
      <w:color w:val="000000"/>
      <w:sz w:val="22"/>
      <w:szCs w:val="22"/>
      <w:u w:val="none"/>
    </w:rPr>
  </w:style>
  <w:style w:type="character" w:customStyle="1" w:styleId="110">
    <w:name w:val="font71"/>
    <w:qFormat/>
    <w:uiPriority w:val="0"/>
    <w:rPr>
      <w:rFonts w:hint="default" w:ascii="Times New Roman" w:hAnsi="Times New Roman" w:cs="Times New Roman"/>
      <w:b/>
      <w:color w:val="000000"/>
      <w:sz w:val="24"/>
      <w:szCs w:val="24"/>
      <w:u w:val="none"/>
    </w:rPr>
  </w:style>
  <w:style w:type="paragraph" w:customStyle="1" w:styleId="111">
    <w:name w:val="Plain Text"/>
    <w:basedOn w:val="112"/>
    <w:qFormat/>
    <w:uiPriority w:val="0"/>
    <w:pPr>
      <w:widowControl/>
      <w:jc w:val="left"/>
    </w:pPr>
    <w:rPr>
      <w:rFonts w:ascii="宋体" w:hAnsi="Courier New"/>
    </w:rPr>
  </w:style>
  <w:style w:type="paragraph" w:customStyle="1" w:styleId="112">
    <w:name w:val="Normal"/>
    <w:qFormat/>
    <w:uiPriority w:val="0"/>
    <w:pPr>
      <w:widowControl w:val="0"/>
      <w:jc w:val="both"/>
    </w:pPr>
    <w:rPr>
      <w:rFonts w:hint="eastAsia"/>
      <w:kern w:val="2"/>
      <w:sz w:val="21"/>
      <w:lang w:val="en-US" w:eastAsia="zh-CN" w:bidi="ar-SA"/>
    </w:rPr>
  </w:style>
  <w:style w:type="paragraph" w:customStyle="1" w:styleId="113">
    <w:name w:val="_Style 1"/>
    <w:basedOn w:val="1"/>
    <w:qFormat/>
    <w:uiPriority w:val="1"/>
    <w:pPr>
      <w:ind w:left="742" w:firstLine="421"/>
    </w:pPr>
    <w:rPr>
      <w:rFonts w:ascii="宋体" w:hAnsi="宋体" w:eastAsia="宋体" w:cs="宋体"/>
      <w:lang w:val="zh-CN" w:eastAsia="zh-CN" w:bidi="zh-CN"/>
    </w:rPr>
  </w:style>
  <w:style w:type="paragraph" w:customStyle="1" w:styleId="114">
    <w:name w:val="p0"/>
    <w:basedOn w:val="1"/>
    <w:uiPriority w:val="0"/>
    <w:pPr>
      <w:widowControl/>
      <w:autoSpaceDE/>
      <w:autoSpaceDN/>
      <w:jc w:val="both"/>
    </w:pPr>
    <w:rPr>
      <w:rFonts w:ascii="Times New Roman" w:hAnsi="Times New Roman" w:cs="Times New Roman"/>
      <w:sz w:val="21"/>
      <w:szCs w:val="21"/>
      <w:lang w:val="en-US" w:bidi="ar-SA"/>
    </w:rPr>
  </w:style>
  <w:style w:type="paragraph" w:customStyle="1" w:styleId="115">
    <w:name w:val="默认段落字体 Para Char Char Char Char Char Char Char Char Char1 Char Char Char Char"/>
    <w:basedOn w:val="1"/>
    <w:qFormat/>
    <w:uiPriority w:val="0"/>
    <w:rPr>
      <w:rFonts w:ascii="Tahoma" w:hAnsi="Tahoma" w:cs="Tahoma"/>
      <w:sz w:val="24"/>
      <w:szCs w:val="24"/>
    </w:rPr>
  </w:style>
  <w:style w:type="paragraph" w:customStyle="1" w:styleId="116">
    <w:name w:val="正文1"/>
    <w:basedOn w:val="1"/>
    <w:qFormat/>
    <w:uiPriority w:val="99"/>
    <w:pPr>
      <w:adjustRightInd w:val="0"/>
      <w:spacing w:line="318" w:lineRule="atLeast"/>
      <w:ind w:left="369" w:firstLine="369"/>
      <w:textAlignment w:val="baseline"/>
    </w:pPr>
    <w:rPr>
      <w:rFonts w:ascii="宋体"/>
      <w:szCs w:val="20"/>
    </w:rPr>
  </w:style>
  <w:style w:type="paragraph" w:customStyle="1" w:styleId="117">
    <w:name w:val="my正文"/>
    <w:basedOn w:val="1"/>
    <w:qFormat/>
    <w:uiPriority w:val="0"/>
    <w:pPr>
      <w:widowControl/>
      <w:ind w:firstLine="480" w:firstLineChars="200"/>
    </w:pPr>
    <w:rPr>
      <w:rFonts w:ascii="Times New Roman" w:hAnsi="Times New Roman" w:eastAsia="仿宋_GB2312"/>
      <w:sz w:val="28"/>
      <w:lang w:val="zh-CN"/>
    </w:rPr>
  </w:style>
  <w:style w:type="paragraph" w:customStyle="1" w:styleId="118">
    <w:name w:val="Body Text First Indent1"/>
    <w:basedOn w:val="22"/>
    <w:next w:val="34"/>
    <w:qFormat/>
    <w:uiPriority w:val="99"/>
    <w:pPr>
      <w:ind w:firstLine="420" w:firstLineChars="100"/>
    </w:pPr>
    <w:rPr>
      <w:rFonts w:ascii="Times New Roman" w:hAnsi="Times New Roman"/>
    </w:rPr>
  </w:style>
  <w:style w:type="paragraph" w:customStyle="1" w:styleId="119">
    <w:name w:val=" Char Char Char Char Char Char Char"/>
    <w:basedOn w:val="1"/>
    <w:uiPriority w:val="0"/>
    <w:pPr>
      <w:autoSpaceDE/>
      <w:autoSpaceDN/>
      <w:ind w:firstLine="200" w:firstLineChars="200"/>
      <w:jc w:val="both"/>
    </w:pPr>
    <w:rPr>
      <w:rFonts w:ascii="Tahoma" w:hAnsi="Tahoma" w:cs="Times New Roman"/>
      <w:kern w:val="2"/>
      <w:sz w:val="24"/>
      <w:szCs w:val="21"/>
      <w:lang w:val="en-US" w:bidi="ar-SA"/>
    </w:rPr>
  </w:style>
  <w:style w:type="paragraph" w:customStyle="1" w:styleId="120">
    <w:name w:val="1正文"/>
    <w:basedOn w:val="1"/>
    <w:qFormat/>
    <w:uiPriority w:val="0"/>
    <w:pPr>
      <w:spacing w:line="360" w:lineRule="auto"/>
      <w:ind w:firstLine="200" w:firstLineChars="200"/>
    </w:pPr>
    <w:rPr>
      <w:rFonts w:ascii="仿宋_GB2312" w:hAnsi="Arial" w:cs="宋体"/>
      <w:sz w:val="24"/>
      <w:szCs w:val="28"/>
    </w:rPr>
  </w:style>
  <w:style w:type="paragraph" w:customStyle="1" w:styleId="121">
    <w:name w:val="表格文字"/>
    <w:basedOn w:val="1"/>
    <w:next w:val="22"/>
    <w:qFormat/>
    <w:uiPriority w:val="0"/>
    <w:pPr>
      <w:jc w:val="left"/>
    </w:pPr>
    <w:rPr>
      <w:szCs w:val="22"/>
    </w:rPr>
  </w:style>
  <w:style w:type="paragraph" w:customStyle="1" w:styleId="122">
    <w:name w:val="标书正文"/>
    <w:basedOn w:val="1"/>
    <w:link w:val="123"/>
    <w:qFormat/>
    <w:uiPriority w:val="0"/>
    <w:pPr>
      <w:snapToGrid/>
      <w:spacing w:line="240" w:lineRule="auto"/>
      <w:ind w:firstLine="480"/>
    </w:pPr>
    <w:rPr>
      <w:sz w:val="21"/>
      <w:szCs w:val="20"/>
    </w:rPr>
  </w:style>
  <w:style w:type="character" w:customStyle="1" w:styleId="123">
    <w:name w:val="标书正文 Char"/>
    <w:link w:val="122"/>
    <w:qFormat/>
    <w:uiPriority w:val="0"/>
    <w:rPr>
      <w:rFonts w:ascii="宋体" w:hAnsi="宋体" w:cs="宋体"/>
      <w:sz w:val="21"/>
      <w:lang w:val="zh-CN" w:bidi="zh-CN"/>
    </w:rPr>
  </w:style>
  <w:style w:type="paragraph" w:customStyle="1" w:styleId="124">
    <w:name w:val="Table Paragraph"/>
    <w:basedOn w:val="1"/>
    <w:qFormat/>
    <w:uiPriority w:val="1"/>
    <w:rPr>
      <w:rFonts w:ascii="宋体" w:hAnsi="宋体" w:eastAsia="宋体" w:cs="宋体"/>
      <w:lang w:val="zh-CN" w:eastAsia="zh-CN" w:bidi="zh-CN"/>
    </w:rPr>
  </w:style>
  <w:style w:type="paragraph" w:customStyle="1" w:styleId="125">
    <w:name w:val="正文段"/>
    <w:basedOn w:val="1"/>
    <w:qFormat/>
    <w:uiPriority w:val="0"/>
    <w:pPr>
      <w:widowControl/>
      <w:snapToGrid w:val="0"/>
      <w:spacing w:after="50" w:afterLines="50"/>
      <w:ind w:firstLine="200" w:firstLineChars="200"/>
    </w:pPr>
    <w:rPr>
      <w:kern w:val="0"/>
      <w:sz w:val="24"/>
      <w:szCs w:val="20"/>
    </w:rPr>
  </w:style>
  <w:style w:type="paragraph" w:customStyle="1" w:styleId="126">
    <w:name w:val="_Style 4"/>
    <w:qFormat/>
    <w:uiPriority w:val="0"/>
    <w:pPr>
      <w:widowControl w:val="0"/>
      <w:jc w:val="both"/>
    </w:pPr>
    <w:rPr>
      <w:rFonts w:ascii="Calibri" w:hAnsi="Calibri"/>
      <w:kern w:val="2"/>
      <w:sz w:val="21"/>
      <w:szCs w:val="22"/>
      <w:lang w:val="en-US" w:eastAsia="zh-CN" w:bidi="ar-SA"/>
    </w:rPr>
  </w:style>
  <w:style w:type="paragraph" w:styleId="127">
    <w:name w:val=""/>
    <w:unhideWhenUsed/>
    <w:uiPriority w:val="99"/>
    <w:rPr>
      <w:rFonts w:ascii="宋体" w:hAnsi="宋体" w:cs="宋体"/>
      <w:sz w:val="22"/>
      <w:szCs w:val="22"/>
      <w:lang w:val="zh-CN" w:eastAsia="zh-CN" w:bidi="zh-CN"/>
    </w:rPr>
  </w:style>
  <w:style w:type="paragraph" w:customStyle="1" w:styleId="128">
    <w:name w:val="列出段落12"/>
    <w:basedOn w:val="1"/>
    <w:qFormat/>
    <w:uiPriority w:val="0"/>
    <w:pPr>
      <w:autoSpaceDE/>
      <w:autoSpaceDN/>
      <w:ind w:firstLine="420" w:firstLineChars="200"/>
      <w:jc w:val="both"/>
    </w:pPr>
    <w:rPr>
      <w:rFonts w:ascii="Times New Roman" w:hAnsi="Times New Roman" w:cs="Times New Roman"/>
      <w:kern w:val="2"/>
      <w:sz w:val="21"/>
      <w:szCs w:val="24"/>
      <w:lang w:val="en-US" w:bidi="ar-SA"/>
    </w:rPr>
  </w:style>
  <w:style w:type="table" w:customStyle="1" w:styleId="129">
    <w:name w:val="Table Normal"/>
    <w:unhideWhenUsed/>
    <w:qFormat/>
    <w:uiPriority w:val="2"/>
    <w:pPr>
      <w:widowControl w:val="0"/>
      <w:autoSpaceDE w:val="0"/>
      <w:autoSpaceDN w:val="0"/>
    </w:pPr>
    <w:rPr>
      <w:rFonts w:ascii="Calibri" w:hAnsi="Calibri"/>
      <w:sz w:val="22"/>
      <w:szCs w:val="22"/>
      <w:lang w:val="en-US" w:eastAsia="en-US" w:bidi="ar-SA"/>
    </w:rPr>
    <w:tblPr>
      <w:tblStyle w:val="50"/>
      <w:tblCellMar>
        <w:top w:w="0" w:type="dxa"/>
        <w:left w:w="0" w:type="dxa"/>
        <w:bottom w:w="0" w:type="dxa"/>
        <w:right w:w="0" w:type="dxa"/>
      </w:tblCellMar>
    </w:tblPr>
  </w:style>
  <w:style w:type="paragraph" w:customStyle="1" w:styleId="130">
    <w:name w:val="WPSOffice手动目录 1"/>
    <w:uiPriority w:val="0"/>
    <w:rPr>
      <w:lang w:val="en-US" w:eastAsia="zh-CN" w:bidi="ar-SA"/>
    </w:rPr>
  </w:style>
  <w:style w:type="paragraph" w:customStyle="1" w:styleId="131">
    <w:name w:val="style4"/>
    <w:basedOn w:val="1"/>
    <w:next w:val="132"/>
    <w:qFormat/>
    <w:uiPriority w:val="0"/>
    <w:pPr>
      <w:widowControl/>
      <w:spacing w:before="280" w:after="280"/>
    </w:pPr>
    <w:rPr>
      <w:rFonts w:ascii="宋体"/>
      <w:sz w:val="18"/>
    </w:rPr>
  </w:style>
  <w:style w:type="paragraph" w:customStyle="1" w:styleId="132">
    <w:name w:val="2"/>
    <w:next w:val="1"/>
    <w:qFormat/>
    <w:uiPriority w:val="0"/>
    <w:pPr>
      <w:widowControl w:val="0"/>
      <w:jc w:val="both"/>
    </w:pPr>
    <w:rPr>
      <w:sz w:val="21"/>
      <w:szCs w:val="22"/>
      <w:lang w:val="en-US" w:eastAsia="zh-CN" w:bidi="ar-SA"/>
    </w:rPr>
  </w:style>
  <w:style w:type="character" w:customStyle="1" w:styleId="133">
    <w:name w:val="font51"/>
    <w:qFormat/>
    <w:uiPriority w:val="0"/>
    <w:rPr>
      <w:rFonts w:hint="eastAsia" w:ascii="宋体" w:hAnsi="宋体" w:eastAsia="宋体" w:cs="宋体"/>
      <w:color w:val="000000"/>
      <w:sz w:val="22"/>
      <w:szCs w:val="22"/>
      <w:u w:val="none"/>
    </w:rPr>
  </w:style>
  <w:style w:type="character" w:customStyle="1" w:styleId="134">
    <w:name w:val="font41"/>
    <w:qFormat/>
    <w:uiPriority w:val="0"/>
    <w:rPr>
      <w:rFonts w:hint="eastAsia" w:ascii="宋体" w:hAnsi="宋体" w:eastAsia="宋体" w:cs="宋体"/>
      <w:color w:val="FF0000"/>
      <w:sz w:val="21"/>
      <w:szCs w:val="21"/>
      <w:u w:val="none"/>
    </w:rPr>
  </w:style>
  <w:style w:type="character" w:customStyle="1" w:styleId="135">
    <w:name w:val="font31"/>
    <w:qFormat/>
    <w:uiPriority w:val="0"/>
    <w:rPr>
      <w:rFonts w:hint="eastAsia" w:ascii="宋体" w:hAnsi="宋体" w:eastAsia="宋体" w:cs="宋体"/>
      <w:color w:val="FF0000"/>
      <w:sz w:val="21"/>
      <w:szCs w:val="21"/>
      <w:u w:val="none"/>
    </w:rPr>
  </w:style>
  <w:style w:type="character" w:customStyle="1" w:styleId="136">
    <w:name w:val="font21"/>
    <w:qFormat/>
    <w:uiPriority w:val="0"/>
    <w:rPr>
      <w:rFonts w:hint="eastAsia" w:ascii="宋体" w:hAnsi="宋体" w:eastAsia="宋体" w:cs="宋体"/>
      <w:color w:val="000000"/>
      <w:sz w:val="22"/>
      <w:szCs w:val="22"/>
      <w:u w:val="none"/>
    </w:rPr>
  </w:style>
  <w:style w:type="table" w:customStyle="1" w:styleId="137">
    <w:name w:val="TableGrid"/>
    <w:uiPriority w:val="0"/>
    <w:rPr>
      <w:rFonts w:ascii="等线" w:hAnsi="等线" w:eastAsia="等线"/>
      <w:kern w:val="2"/>
      <w:sz w:val="21"/>
      <w:szCs w:val="24"/>
      <w:lang w:val="en-US" w:eastAsia="zh-CN" w:bidi="ar-SA"/>
    </w:rPr>
    <w:tblPr>
      <w:tblStyle w:val="50"/>
    </w:tblPr>
  </w:style>
  <w:style w:type="paragraph" w:customStyle="1" w:styleId="138">
    <w:name w:val="FC正文"/>
    <w:basedOn w:val="1"/>
    <w:qFormat/>
    <w:uiPriority w:val="0"/>
    <w:pPr>
      <w:adjustRightInd w:val="0"/>
      <w:spacing w:line="360" w:lineRule="auto"/>
      <w:ind w:firstLine="200" w:firstLineChars="200"/>
      <w:jc w:val="both"/>
    </w:pPr>
    <w:rPr>
      <w:rFonts w:cs="Times New Roman"/>
      <w:sz w:val="24"/>
      <w:szCs w:val="28"/>
      <w:lang w:val="en-US" w:bidi="ar-SA"/>
    </w:rPr>
  </w:style>
  <w:style w:type="character" w:customStyle="1" w:styleId="139">
    <w:name w:val="三级 Char"/>
    <w:link w:val="140"/>
    <w:qFormat/>
    <w:uiPriority w:val="0"/>
    <w:rPr>
      <w:rFonts w:eastAsia="黑体"/>
      <w:kern w:val="2"/>
      <w:sz w:val="24"/>
      <w:szCs w:val="22"/>
    </w:rPr>
  </w:style>
  <w:style w:type="paragraph" w:customStyle="1" w:styleId="140">
    <w:name w:val="三级"/>
    <w:basedOn w:val="1"/>
    <w:link w:val="139"/>
    <w:qFormat/>
    <w:uiPriority w:val="0"/>
    <w:pPr>
      <w:autoSpaceDE/>
      <w:autoSpaceDN/>
      <w:spacing w:before="120" w:after="120" w:line="400" w:lineRule="exact"/>
      <w:jc w:val="both"/>
    </w:pPr>
    <w:rPr>
      <w:rFonts w:ascii="Times New Roman" w:hAnsi="Times New Roman" w:eastAsia="黑体" w:cs="Times New Roman"/>
      <w:kern w:val="2"/>
      <w:sz w:val="24"/>
      <w:lang w:val="en-US" w:bidi="ar-SA"/>
    </w:rPr>
  </w:style>
  <w:style w:type="character" w:customStyle="1" w:styleId="141">
    <w:name w:val="副标题 Char"/>
    <w:qFormat/>
    <w:uiPriority w:val="0"/>
    <w:rPr>
      <w:rFonts w:ascii="Calibri Light" w:hAnsi="Calibri Light" w:cs="Times New Roman"/>
      <w:b/>
      <w:bCs/>
      <w:kern w:val="28"/>
      <w:sz w:val="32"/>
      <w:szCs w:val="32"/>
    </w:rPr>
  </w:style>
  <w:style w:type="character" w:customStyle="1" w:styleId="142">
    <w:name w:val="标题 1 Char"/>
    <w:qFormat/>
    <w:locked/>
    <w:uiPriority w:val="0"/>
    <w:rPr>
      <w:rFonts w:eastAsia="宋体"/>
      <w:b/>
      <w:bCs/>
      <w:kern w:val="44"/>
      <w:sz w:val="44"/>
      <w:szCs w:val="44"/>
      <w:lang w:val="en-US" w:eastAsia="zh-CN" w:bidi="ar-SA"/>
    </w:rPr>
  </w:style>
  <w:style w:type="character" w:customStyle="1" w:styleId="143">
    <w:name w:val="Footnote Text Char1"/>
    <w:semiHidden/>
    <w:qFormat/>
    <w:uiPriority w:val="99"/>
    <w:rPr>
      <w:sz w:val="18"/>
      <w:szCs w:val="18"/>
    </w:rPr>
  </w:style>
  <w:style w:type="character" w:customStyle="1" w:styleId="144">
    <w:name w:val="Date Char1"/>
    <w:semiHidden/>
    <w:qFormat/>
    <w:uiPriority w:val="99"/>
    <w:rPr>
      <w:szCs w:val="20"/>
    </w:rPr>
  </w:style>
  <w:style w:type="character" w:customStyle="1" w:styleId="145">
    <w:name w:val="Body Text Indent Char1"/>
    <w:semiHidden/>
    <w:qFormat/>
    <w:uiPriority w:val="99"/>
    <w:rPr>
      <w:szCs w:val="20"/>
    </w:rPr>
  </w:style>
  <w:style w:type="character" w:customStyle="1" w:styleId="146">
    <w:name w:val="Body Text Indent 2 Char1"/>
    <w:semiHidden/>
    <w:qFormat/>
    <w:uiPriority w:val="99"/>
    <w:rPr>
      <w:szCs w:val="20"/>
    </w:rPr>
  </w:style>
  <w:style w:type="character" w:customStyle="1" w:styleId="147">
    <w:name w:val="Char Char10"/>
    <w:qFormat/>
    <w:locked/>
    <w:uiPriority w:val="0"/>
    <w:rPr>
      <w:rFonts w:ascii="宋体" w:hAnsi="Courier New" w:eastAsia="宋体" w:cs="宋体"/>
      <w:lang w:val="en-US" w:eastAsia="zh-CN"/>
    </w:rPr>
  </w:style>
  <w:style w:type="character" w:customStyle="1" w:styleId="148">
    <w:name w:val="正文缩进 Char1"/>
    <w:qFormat/>
    <w:uiPriority w:val="0"/>
    <w:rPr>
      <w:sz w:val="21"/>
      <w:szCs w:val="21"/>
    </w:rPr>
  </w:style>
  <w:style w:type="character" w:customStyle="1" w:styleId="149">
    <w:name w:val="z-窗体顶端 Char1"/>
    <w:qFormat/>
    <w:uiPriority w:val="99"/>
    <w:rPr>
      <w:rFonts w:ascii="Arial" w:hAnsi="Arial" w:cs="Arial"/>
      <w:vanish/>
      <w:sz w:val="16"/>
      <w:szCs w:val="16"/>
    </w:rPr>
  </w:style>
  <w:style w:type="character" w:customStyle="1" w:styleId="150">
    <w:name w:val="批注文字 Char1"/>
    <w:qFormat/>
    <w:uiPriority w:val="99"/>
    <w:rPr>
      <w:kern w:val="2"/>
      <w:sz w:val="21"/>
      <w:szCs w:val="24"/>
    </w:rPr>
  </w:style>
  <w:style w:type="character" w:customStyle="1" w:styleId="151">
    <w:name w:val="Body Text Char1"/>
    <w:semiHidden/>
    <w:qFormat/>
    <w:uiPriority w:val="99"/>
    <w:rPr>
      <w:szCs w:val="20"/>
    </w:rPr>
  </w:style>
  <w:style w:type="character" w:customStyle="1" w:styleId="152">
    <w:name w:val="en"/>
    <w:qFormat/>
    <w:uiPriority w:val="0"/>
  </w:style>
  <w:style w:type="character" w:customStyle="1" w:styleId="153">
    <w:name w:val="批注框文本 Char"/>
    <w:qFormat/>
    <w:uiPriority w:val="0"/>
    <w:rPr>
      <w:kern w:val="2"/>
      <w:sz w:val="18"/>
      <w:szCs w:val="18"/>
    </w:rPr>
  </w:style>
  <w:style w:type="character" w:customStyle="1" w:styleId="154">
    <w:name w:val="标题 Char1"/>
    <w:qFormat/>
    <w:uiPriority w:val="0"/>
    <w:rPr>
      <w:rFonts w:ascii="Cambria" w:hAnsi="Cambria" w:cs="Times New Roman"/>
      <w:b/>
      <w:bCs/>
      <w:kern w:val="2"/>
      <w:sz w:val="32"/>
      <w:szCs w:val="32"/>
    </w:rPr>
  </w:style>
  <w:style w:type="character" w:customStyle="1" w:styleId="155">
    <w:name w:val="z-窗体顶端 Char"/>
    <w:semiHidden/>
    <w:qFormat/>
    <w:uiPriority w:val="99"/>
    <w:rPr>
      <w:rFonts w:ascii="Arial" w:hAnsi="Arial" w:cs="Arial"/>
      <w:vanish/>
      <w:kern w:val="2"/>
      <w:sz w:val="16"/>
      <w:szCs w:val="16"/>
    </w:rPr>
  </w:style>
  <w:style w:type="character" w:customStyle="1" w:styleId="156">
    <w:name w:val="Plain Text Char1"/>
    <w:semiHidden/>
    <w:qFormat/>
    <w:uiPriority w:val="99"/>
    <w:rPr>
      <w:rFonts w:ascii="宋体" w:hAnsi="Courier New" w:cs="Courier New"/>
      <w:szCs w:val="21"/>
    </w:rPr>
  </w:style>
  <w:style w:type="character" w:customStyle="1" w:styleId="157">
    <w:name w:val="3级标题 Char"/>
    <w:link w:val="158"/>
    <w:qFormat/>
    <w:uiPriority w:val="0"/>
    <w:rPr>
      <w:rFonts w:ascii="Arial" w:hAnsi="Arial" w:eastAsia="黑体"/>
      <w:b/>
      <w:spacing w:val="4"/>
      <w:kern w:val="2"/>
      <w:sz w:val="21"/>
      <w:szCs w:val="21"/>
    </w:rPr>
  </w:style>
  <w:style w:type="paragraph" w:customStyle="1" w:styleId="158">
    <w:name w:val="3级标题"/>
    <w:basedOn w:val="1"/>
    <w:link w:val="157"/>
    <w:qFormat/>
    <w:uiPriority w:val="0"/>
    <w:pPr>
      <w:autoSpaceDE/>
      <w:autoSpaceDN/>
      <w:snapToGrid w:val="0"/>
      <w:spacing w:before="60" w:after="60" w:line="400" w:lineRule="exact"/>
      <w:jc w:val="both"/>
    </w:pPr>
    <w:rPr>
      <w:rFonts w:ascii="Arial" w:hAnsi="Arial" w:eastAsia="黑体" w:cs="Times New Roman"/>
      <w:b/>
      <w:spacing w:val="4"/>
      <w:kern w:val="2"/>
      <w:sz w:val="21"/>
      <w:szCs w:val="21"/>
      <w:lang w:val="en-US" w:bidi="ar-SA"/>
    </w:rPr>
  </w:style>
  <w:style w:type="character" w:customStyle="1" w:styleId="159">
    <w:name w:val="批注主题 Char"/>
    <w:qFormat/>
    <w:uiPriority w:val="0"/>
    <w:rPr>
      <w:b/>
      <w:bCs/>
      <w:kern w:val="2"/>
      <w:sz w:val="21"/>
      <w:szCs w:val="24"/>
    </w:rPr>
  </w:style>
  <w:style w:type="character" w:customStyle="1" w:styleId="160">
    <w:name w:val="正文2 Char Char"/>
    <w:link w:val="161"/>
    <w:qFormat/>
    <w:uiPriority w:val="0"/>
    <w:rPr>
      <w:kern w:val="2"/>
      <w:sz w:val="24"/>
    </w:rPr>
  </w:style>
  <w:style w:type="paragraph" w:customStyle="1" w:styleId="161">
    <w:name w:val="正文2"/>
    <w:basedOn w:val="1"/>
    <w:link w:val="160"/>
    <w:qFormat/>
    <w:uiPriority w:val="0"/>
    <w:pPr>
      <w:autoSpaceDE/>
      <w:autoSpaceDN/>
      <w:spacing w:before="156" w:line="360" w:lineRule="auto"/>
      <w:ind w:firstLine="510" w:firstLineChars="200"/>
      <w:jc w:val="both"/>
    </w:pPr>
    <w:rPr>
      <w:rFonts w:ascii="Times New Roman" w:hAnsi="Times New Roman" w:cs="Times New Roman"/>
      <w:kern w:val="2"/>
      <w:sz w:val="24"/>
      <w:szCs w:val="20"/>
      <w:lang w:val="en-US" w:bidi="ar-SA"/>
    </w:rPr>
  </w:style>
  <w:style w:type="character" w:customStyle="1" w:styleId="162">
    <w:name w:val="标题 1 Char Char"/>
    <w:qFormat/>
    <w:uiPriority w:val="0"/>
    <w:rPr>
      <w:rFonts w:eastAsia="宋体"/>
      <w:b/>
      <w:spacing w:val="-2"/>
      <w:sz w:val="24"/>
      <w:lang w:val="en-US" w:eastAsia="zh-CN"/>
    </w:rPr>
  </w:style>
  <w:style w:type="character" w:customStyle="1" w:styleId="163">
    <w:name w:val="z-窗体顶端 Char2"/>
    <w:link w:val="164"/>
    <w:qFormat/>
    <w:uiPriority w:val="99"/>
    <w:rPr>
      <w:rFonts w:ascii="Arial" w:hAnsi="Arial" w:cs="Arial"/>
      <w:vanish/>
      <w:sz w:val="16"/>
      <w:szCs w:val="16"/>
    </w:rPr>
  </w:style>
  <w:style w:type="paragraph" w:customStyle="1" w:styleId="164">
    <w:name w:val="z-窗体顶端1"/>
    <w:basedOn w:val="1"/>
    <w:next w:val="1"/>
    <w:link w:val="163"/>
    <w:unhideWhenUsed/>
    <w:qFormat/>
    <w:uiPriority w:val="99"/>
    <w:pPr>
      <w:widowControl/>
      <w:pBdr>
        <w:bottom w:val="single" w:color="auto" w:sz="6" w:space="1"/>
      </w:pBdr>
      <w:autoSpaceDE/>
      <w:autoSpaceDN/>
      <w:jc w:val="center"/>
    </w:pPr>
    <w:rPr>
      <w:rFonts w:ascii="Arial" w:hAnsi="Arial" w:cs="Arial"/>
      <w:vanish/>
      <w:sz w:val="16"/>
      <w:szCs w:val="16"/>
      <w:lang w:val="en-US" w:bidi="ar-SA"/>
    </w:rPr>
  </w:style>
  <w:style w:type="character" w:customStyle="1" w:styleId="165">
    <w:name w:val="标题 3 字符"/>
    <w:qFormat/>
    <w:uiPriority w:val="9"/>
    <w:rPr>
      <w:b/>
      <w:bCs/>
      <w:sz w:val="32"/>
      <w:szCs w:val="32"/>
    </w:rPr>
  </w:style>
  <w:style w:type="character" w:customStyle="1" w:styleId="166">
    <w:name w:val="标题 1 Char2"/>
    <w:qFormat/>
    <w:uiPriority w:val="0"/>
    <w:rPr>
      <w:b/>
      <w:kern w:val="44"/>
      <w:sz w:val="44"/>
    </w:rPr>
  </w:style>
  <w:style w:type="character" w:customStyle="1" w:styleId="167">
    <w:name w:val="纯文本 Char1"/>
    <w:qFormat/>
    <w:uiPriority w:val="0"/>
    <w:rPr>
      <w:rFonts w:ascii="宋体" w:hAnsi="Courier New" w:cs="Courier New"/>
      <w:kern w:val="2"/>
      <w:sz w:val="21"/>
      <w:szCs w:val="21"/>
    </w:rPr>
  </w:style>
  <w:style w:type="character" w:customStyle="1" w:styleId="168">
    <w:name w:val="批注主题 Char1"/>
    <w:qFormat/>
    <w:uiPriority w:val="99"/>
    <w:rPr>
      <w:b/>
      <w:bCs/>
      <w:kern w:val="2"/>
      <w:sz w:val="21"/>
      <w:szCs w:val="24"/>
    </w:rPr>
  </w:style>
  <w:style w:type="character" w:customStyle="1" w:styleId="169">
    <w:name w:val="标题 1 Char1"/>
    <w:qFormat/>
    <w:uiPriority w:val="0"/>
    <w:rPr>
      <w:b/>
      <w:kern w:val="44"/>
      <w:sz w:val="44"/>
    </w:rPr>
  </w:style>
  <w:style w:type="character" w:customStyle="1" w:styleId="170">
    <w:name w:val="z-窗体底端 Char2"/>
    <w:link w:val="171"/>
    <w:qFormat/>
    <w:uiPriority w:val="99"/>
    <w:rPr>
      <w:rFonts w:ascii="Arial" w:hAnsi="Arial" w:cs="Arial"/>
      <w:vanish/>
      <w:sz w:val="16"/>
      <w:szCs w:val="16"/>
    </w:rPr>
  </w:style>
  <w:style w:type="paragraph" w:customStyle="1" w:styleId="171">
    <w:name w:val="z-窗体底端1"/>
    <w:basedOn w:val="1"/>
    <w:next w:val="1"/>
    <w:link w:val="170"/>
    <w:unhideWhenUsed/>
    <w:qFormat/>
    <w:uiPriority w:val="99"/>
    <w:pPr>
      <w:widowControl/>
      <w:pBdr>
        <w:top w:val="single" w:color="auto" w:sz="6" w:space="1"/>
      </w:pBdr>
      <w:autoSpaceDE/>
      <w:autoSpaceDN/>
      <w:jc w:val="center"/>
    </w:pPr>
    <w:rPr>
      <w:rFonts w:ascii="Arial" w:hAnsi="Arial" w:cs="Arial"/>
      <w:vanish/>
      <w:sz w:val="16"/>
      <w:szCs w:val="16"/>
      <w:lang w:val="en-US" w:bidi="ar-SA"/>
    </w:rPr>
  </w:style>
  <w:style w:type="character" w:customStyle="1" w:styleId="172">
    <w:name w:val="纯文本 字符1"/>
    <w:qFormat/>
    <w:uiPriority w:val="0"/>
    <w:rPr>
      <w:rFonts w:ascii="宋体" w:hAnsi="Courier New" w:cs="Courier New"/>
      <w:kern w:val="2"/>
      <w:sz w:val="21"/>
      <w:szCs w:val="21"/>
    </w:rPr>
  </w:style>
  <w:style w:type="character" w:customStyle="1" w:styleId="173">
    <w:name w:val="Footer Char1"/>
    <w:semiHidden/>
    <w:qFormat/>
    <w:uiPriority w:val="99"/>
    <w:rPr>
      <w:sz w:val="18"/>
      <w:szCs w:val="18"/>
    </w:rPr>
  </w:style>
  <w:style w:type="character" w:customStyle="1" w:styleId="174">
    <w:name w:val="z-窗体底端 Char1"/>
    <w:qFormat/>
    <w:uiPriority w:val="99"/>
    <w:rPr>
      <w:rFonts w:ascii="Arial" w:hAnsi="Arial" w:cs="Arial"/>
      <w:vanish/>
      <w:sz w:val="16"/>
      <w:szCs w:val="16"/>
    </w:rPr>
  </w:style>
  <w:style w:type="character" w:customStyle="1" w:styleId="175">
    <w:name w:val="纯文本 Char2"/>
    <w:qFormat/>
    <w:locked/>
    <w:uiPriority w:val="0"/>
    <w:rPr>
      <w:rFonts w:ascii="宋体" w:hAnsi="Courier New" w:eastAsia="宋体" w:cs="宋体"/>
      <w:kern w:val="2"/>
      <w:sz w:val="24"/>
      <w:szCs w:val="24"/>
      <w:lang w:val="en-US" w:eastAsia="zh-CN" w:bidi="ar-SA"/>
    </w:rPr>
  </w:style>
  <w:style w:type="character" w:customStyle="1" w:styleId="176">
    <w:name w:val="标题 4 Char"/>
    <w:qFormat/>
    <w:uiPriority w:val="0"/>
    <w:rPr>
      <w:rFonts w:ascii="Arial" w:hAnsi="Arial" w:eastAsia="黑体"/>
      <w:b/>
      <w:bCs/>
      <w:kern w:val="2"/>
      <w:sz w:val="28"/>
      <w:szCs w:val="28"/>
      <w:lang w:val="en-US" w:eastAsia="zh-CN" w:bidi="ar-SA"/>
    </w:rPr>
  </w:style>
  <w:style w:type="character" w:customStyle="1" w:styleId="177">
    <w:name w:val="正文首行缩进 Char1"/>
    <w:qFormat/>
    <w:uiPriority w:val="0"/>
  </w:style>
  <w:style w:type="character" w:customStyle="1" w:styleId="178">
    <w:name w:val="2级标题 Char"/>
    <w:link w:val="179"/>
    <w:qFormat/>
    <w:uiPriority w:val="0"/>
    <w:rPr>
      <w:rFonts w:ascii="Arial" w:hAnsi="黑体" w:eastAsia="黑体"/>
      <w:b/>
      <w:kern w:val="2"/>
      <w:sz w:val="24"/>
      <w:szCs w:val="24"/>
    </w:rPr>
  </w:style>
  <w:style w:type="paragraph" w:customStyle="1" w:styleId="179">
    <w:name w:val="2级标题"/>
    <w:basedOn w:val="1"/>
    <w:link w:val="178"/>
    <w:qFormat/>
    <w:uiPriority w:val="0"/>
    <w:pPr>
      <w:numPr>
        <w:ilvl w:val="1"/>
        <w:numId w:val="3"/>
      </w:numPr>
      <w:tabs>
        <w:tab w:val="left" w:pos="1710"/>
      </w:tabs>
      <w:autoSpaceDE/>
      <w:autoSpaceDN/>
      <w:spacing w:line="360" w:lineRule="auto"/>
      <w:ind w:left="861" w:hanging="612"/>
      <w:jc w:val="both"/>
      <w:outlineLvl w:val="1"/>
    </w:pPr>
    <w:rPr>
      <w:rFonts w:ascii="Arial" w:hAnsi="黑体" w:eastAsia="黑体" w:cs="Times New Roman"/>
      <w:b/>
      <w:kern w:val="2"/>
      <w:sz w:val="24"/>
      <w:szCs w:val="24"/>
      <w:lang w:val="en-US" w:bidi="ar-SA"/>
    </w:rPr>
  </w:style>
  <w:style w:type="character" w:customStyle="1" w:styleId="180">
    <w:name w:val="Balloon Text Char1"/>
    <w:semiHidden/>
    <w:qFormat/>
    <w:uiPriority w:val="99"/>
    <w:rPr>
      <w:sz w:val="16"/>
      <w:szCs w:val="0"/>
    </w:rPr>
  </w:style>
  <w:style w:type="character" w:customStyle="1" w:styleId="181">
    <w:name w:val="样式 标题 1合同标题卷标题H1h1Level 1 Topic HeadingH11H12H111H13H1... Char Char"/>
    <w:qFormat/>
    <w:uiPriority w:val="0"/>
    <w:rPr>
      <w:rFonts w:ascii="宋体" w:hAnsi="宋体" w:eastAsia="宋体"/>
      <w:b/>
      <w:bCs/>
      <w:kern w:val="44"/>
      <w:sz w:val="24"/>
      <w:szCs w:val="44"/>
      <w:lang w:val="en-US" w:eastAsia="zh-CN" w:bidi="ar-SA"/>
    </w:rPr>
  </w:style>
  <w:style w:type="character" w:customStyle="1" w:styleId="182">
    <w:name w:val="批注文字 Char"/>
    <w:qFormat/>
    <w:uiPriority w:val="0"/>
    <w:rPr>
      <w:kern w:val="2"/>
      <w:sz w:val="21"/>
      <w:szCs w:val="24"/>
    </w:rPr>
  </w:style>
  <w:style w:type="character" w:customStyle="1" w:styleId="183">
    <w:name w:val="z-窗体底端 Char"/>
    <w:semiHidden/>
    <w:qFormat/>
    <w:uiPriority w:val="99"/>
    <w:rPr>
      <w:rFonts w:ascii="Arial" w:hAnsi="Arial" w:cs="Arial"/>
      <w:vanish/>
      <w:kern w:val="2"/>
      <w:sz w:val="16"/>
      <w:szCs w:val="16"/>
    </w:rPr>
  </w:style>
  <w:style w:type="character" w:customStyle="1" w:styleId="184">
    <w:name w:val="1级 Char"/>
    <w:link w:val="185"/>
    <w:qFormat/>
    <w:uiPriority w:val="0"/>
    <w:rPr>
      <w:rFonts w:ascii="Arial" w:hAnsi="Arial" w:eastAsia="黑体"/>
      <w:b/>
      <w:bCs/>
      <w:kern w:val="2"/>
      <w:sz w:val="28"/>
      <w:szCs w:val="24"/>
    </w:rPr>
  </w:style>
  <w:style w:type="paragraph" w:customStyle="1" w:styleId="185">
    <w:name w:val="1级"/>
    <w:basedOn w:val="186"/>
    <w:link w:val="184"/>
    <w:qFormat/>
    <w:uiPriority w:val="0"/>
    <w:pPr>
      <w:tabs>
        <w:tab w:val="left" w:pos="366"/>
        <w:tab w:val="left" w:pos="615"/>
        <w:tab w:val="left" w:pos="1558"/>
      </w:tabs>
      <w:ind w:left="615" w:hanging="615"/>
    </w:pPr>
  </w:style>
  <w:style w:type="paragraph" w:customStyle="1" w:styleId="186">
    <w:name w:val="1级标题"/>
    <w:basedOn w:val="1"/>
    <w:link w:val="187"/>
    <w:qFormat/>
    <w:uiPriority w:val="0"/>
    <w:pPr>
      <w:tabs>
        <w:tab w:val="left" w:pos="366"/>
        <w:tab w:val="left" w:pos="1558"/>
      </w:tabs>
      <w:autoSpaceDE/>
      <w:autoSpaceDN/>
      <w:spacing w:before="60" w:after="60"/>
      <w:ind w:left="612" w:hanging="612"/>
      <w:jc w:val="both"/>
      <w:outlineLvl w:val="0"/>
    </w:pPr>
    <w:rPr>
      <w:rFonts w:ascii="Arial" w:hAnsi="Arial" w:eastAsia="黑体" w:cs="Times New Roman"/>
      <w:b/>
      <w:bCs/>
      <w:kern w:val="2"/>
      <w:sz w:val="28"/>
      <w:szCs w:val="24"/>
      <w:lang w:val="en-US" w:bidi="ar-SA"/>
    </w:rPr>
  </w:style>
  <w:style w:type="character" w:customStyle="1" w:styleId="187">
    <w:name w:val="1级标题 Char"/>
    <w:link w:val="186"/>
    <w:qFormat/>
    <w:uiPriority w:val="0"/>
    <w:rPr>
      <w:rFonts w:ascii="Arial" w:hAnsi="Arial" w:eastAsia="黑体"/>
      <w:b/>
      <w:bCs/>
      <w:kern w:val="2"/>
      <w:sz w:val="28"/>
      <w:szCs w:val="24"/>
    </w:rPr>
  </w:style>
  <w:style w:type="character" w:customStyle="1" w:styleId="188">
    <w:name w:val="无间隔 字符"/>
    <w:link w:val="189"/>
    <w:qFormat/>
    <w:uiPriority w:val="0"/>
    <w:rPr>
      <w:rFonts w:ascii="Calibri" w:hAnsi="Calibri"/>
      <w:sz w:val="22"/>
      <w:szCs w:val="22"/>
    </w:rPr>
  </w:style>
  <w:style w:type="paragraph" w:styleId="189">
    <w:name w:val="No Spacing"/>
    <w:link w:val="188"/>
    <w:qFormat/>
    <w:uiPriority w:val="0"/>
    <w:rPr>
      <w:rFonts w:ascii="Calibri" w:hAnsi="Calibri"/>
      <w:sz w:val="22"/>
      <w:szCs w:val="22"/>
      <w:lang w:val="en-US" w:eastAsia="zh-CN" w:bidi="ar-SA"/>
    </w:rPr>
  </w:style>
  <w:style w:type="character" w:customStyle="1" w:styleId="190">
    <w:name w:val="页眉 字符"/>
    <w:semiHidden/>
    <w:qFormat/>
    <w:uiPriority w:val="99"/>
    <w:rPr>
      <w:rFonts w:ascii="Times New Roman" w:hAnsi="Times New Roman"/>
      <w:kern w:val="2"/>
      <w:sz w:val="18"/>
      <w:szCs w:val="18"/>
    </w:rPr>
  </w:style>
  <w:style w:type="character" w:customStyle="1" w:styleId="191">
    <w:name w:val="Body Text First Indent Char1"/>
    <w:semiHidden/>
    <w:qFormat/>
    <w:uiPriority w:val="99"/>
    <w:rPr>
      <w:rFonts w:ascii="宋体" w:hAnsi="宋体" w:eastAsia="宋体"/>
      <w:sz w:val="24"/>
      <w:szCs w:val="20"/>
      <w:lang w:bidi="ar-SA"/>
    </w:rPr>
  </w:style>
  <w:style w:type="character" w:customStyle="1" w:styleId="192">
    <w:name w:val="Char Char13"/>
    <w:qFormat/>
    <w:locked/>
    <w:uiPriority w:val="0"/>
    <w:rPr>
      <w:rFonts w:ascii="宋体" w:hAnsi="Courier New" w:eastAsia="宋体" w:cs="宋体"/>
      <w:sz w:val="24"/>
      <w:szCs w:val="24"/>
    </w:rPr>
  </w:style>
  <w:style w:type="character" w:customStyle="1" w:styleId="193">
    <w:name w:val="Body Text 2 Char1"/>
    <w:semiHidden/>
    <w:qFormat/>
    <w:uiPriority w:val="99"/>
    <w:rPr>
      <w:szCs w:val="20"/>
    </w:rPr>
  </w:style>
  <w:style w:type="character" w:customStyle="1" w:styleId="194">
    <w:name w:val="页脚 字符1"/>
    <w:qFormat/>
    <w:uiPriority w:val="0"/>
    <w:rPr>
      <w:sz w:val="18"/>
    </w:rPr>
  </w:style>
  <w:style w:type="character" w:customStyle="1" w:styleId="195">
    <w:name w:val="Header Char1"/>
    <w:semiHidden/>
    <w:qFormat/>
    <w:uiPriority w:val="99"/>
    <w:rPr>
      <w:sz w:val="18"/>
      <w:szCs w:val="18"/>
    </w:rPr>
  </w:style>
  <w:style w:type="character" w:customStyle="1" w:styleId="196">
    <w:name w:val="Char Char7"/>
    <w:qFormat/>
    <w:uiPriority w:val="0"/>
    <w:rPr>
      <w:rFonts w:ascii="宋体" w:hAnsi="Courier New" w:eastAsia="宋体"/>
      <w:kern w:val="2"/>
      <w:sz w:val="24"/>
      <w:szCs w:val="24"/>
      <w:lang w:val="en-US" w:eastAsia="zh-CN" w:bidi="ar-SA"/>
    </w:rPr>
  </w:style>
  <w:style w:type="character" w:customStyle="1" w:styleId="197">
    <w:name w:val="font11"/>
    <w:qFormat/>
    <w:uiPriority w:val="0"/>
    <w:rPr>
      <w:rFonts w:hint="default" w:ascii="仿宋_GB2312" w:eastAsia="仿宋_GB2312" w:cs="仿宋_GB2312"/>
      <w:color w:val="000000"/>
      <w:sz w:val="20"/>
      <w:szCs w:val="20"/>
      <w:u w:val="none"/>
    </w:rPr>
  </w:style>
  <w:style w:type="character" w:customStyle="1" w:styleId="198">
    <w:name w:val="Salutation Char1"/>
    <w:semiHidden/>
    <w:qFormat/>
    <w:uiPriority w:val="99"/>
    <w:rPr>
      <w:szCs w:val="20"/>
    </w:rPr>
  </w:style>
  <w:style w:type="character" w:customStyle="1" w:styleId="199">
    <w:name w:val="称呼 Char1"/>
    <w:qFormat/>
    <w:uiPriority w:val="0"/>
    <w:rPr>
      <w:kern w:val="2"/>
      <w:sz w:val="21"/>
      <w:szCs w:val="24"/>
    </w:rPr>
  </w:style>
  <w:style w:type="character" w:customStyle="1" w:styleId="200">
    <w:name w:val="标题 2 Char1"/>
    <w:qFormat/>
    <w:uiPriority w:val="0"/>
    <w:rPr>
      <w:rFonts w:ascii="Arial" w:hAnsi="Arial" w:eastAsia="黑体"/>
      <w:b/>
      <w:bCs/>
      <w:kern w:val="2"/>
      <w:sz w:val="32"/>
      <w:szCs w:val="32"/>
    </w:rPr>
  </w:style>
  <w:style w:type="paragraph" w:customStyle="1" w:styleId="201">
    <w:name w:val="xl54"/>
    <w:basedOn w:val="1"/>
    <w:qFormat/>
    <w:uiPriority w:val="99"/>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Times New Roman"/>
      <w:sz w:val="24"/>
      <w:szCs w:val="20"/>
      <w:lang w:val="en-US" w:bidi="ar-SA"/>
    </w:rPr>
  </w:style>
  <w:style w:type="paragraph" w:customStyle="1" w:styleId="202">
    <w:name w:val="部分1"/>
    <w:basedOn w:val="1"/>
    <w:qFormat/>
    <w:uiPriority w:val="0"/>
    <w:pPr>
      <w:keepNext/>
      <w:pageBreakBefore/>
      <w:tabs>
        <w:tab w:val="left" w:pos="720"/>
      </w:tabs>
      <w:autoSpaceDE/>
      <w:autoSpaceDN/>
      <w:spacing w:line="360" w:lineRule="auto"/>
      <w:jc w:val="center"/>
      <w:outlineLvl w:val="0"/>
    </w:pPr>
    <w:rPr>
      <w:rFonts w:ascii="Times New Roman" w:hAnsi="Times New Roman" w:eastAsia="黑体" w:cs="Times New Roman"/>
      <w:b/>
      <w:kern w:val="44"/>
      <w:sz w:val="36"/>
      <w:szCs w:val="20"/>
      <w:lang w:val="en-US" w:bidi="ar-SA"/>
    </w:rPr>
  </w:style>
  <w:style w:type="paragraph" w:customStyle="1" w:styleId="203">
    <w:name w:val="列出段落1"/>
    <w:basedOn w:val="1"/>
    <w:qFormat/>
    <w:uiPriority w:val="99"/>
    <w:pPr>
      <w:autoSpaceDE/>
      <w:autoSpaceDN/>
      <w:ind w:firstLine="200" w:firstLineChars="200"/>
      <w:jc w:val="both"/>
    </w:pPr>
    <w:rPr>
      <w:rFonts w:ascii="Calibri" w:hAnsi="Calibri" w:cs="Arial"/>
      <w:kern w:val="2"/>
      <w:sz w:val="21"/>
      <w:szCs w:val="24"/>
      <w:lang w:val="en-US" w:bidi="ar-SA"/>
    </w:rPr>
  </w:style>
  <w:style w:type="paragraph" w:customStyle="1" w:styleId="204">
    <w:name w:val="xl2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0"/>
      <w:szCs w:val="20"/>
      <w:lang w:val="en-US" w:bidi="ar-SA"/>
    </w:rPr>
  </w:style>
  <w:style w:type="paragraph" w:customStyle="1" w:styleId="205">
    <w:name w:val="Char1"/>
    <w:basedOn w:val="1"/>
    <w:qFormat/>
    <w:uiPriority w:val="99"/>
    <w:pPr>
      <w:autoSpaceDE/>
      <w:autoSpaceDN/>
      <w:jc w:val="both"/>
    </w:pPr>
    <w:rPr>
      <w:rFonts w:ascii="Tahoma" w:hAnsi="Tahoma" w:cs="Times New Roman"/>
      <w:kern w:val="2"/>
      <w:sz w:val="24"/>
      <w:szCs w:val="20"/>
      <w:lang w:val="en-US" w:bidi="ar-SA"/>
    </w:rPr>
  </w:style>
  <w:style w:type="paragraph" w:customStyle="1" w:styleId="206">
    <w:name w:val="样式1"/>
    <w:basedOn w:val="8"/>
    <w:qFormat/>
    <w:uiPriority w:val="99"/>
    <w:pPr>
      <w:autoSpaceDE/>
      <w:autoSpaceDN/>
      <w:spacing w:before="280" w:after="290" w:line="376" w:lineRule="auto"/>
      <w:ind w:left="0"/>
      <w:jc w:val="both"/>
    </w:pPr>
    <w:rPr>
      <w:rFonts w:ascii="Arial" w:hAnsi="Arial" w:eastAsia="黑体" w:cs="Times New Roman"/>
      <w:kern w:val="2"/>
      <w:sz w:val="28"/>
      <w:szCs w:val="28"/>
      <w:lang w:val="en-US" w:bidi="ar-SA"/>
    </w:rPr>
  </w:style>
  <w:style w:type="paragraph" w:customStyle="1" w:styleId="207">
    <w:name w:val="font5"/>
    <w:basedOn w:val="1"/>
    <w:qFormat/>
    <w:uiPriority w:val="0"/>
    <w:pPr>
      <w:widowControl/>
      <w:autoSpaceDE/>
      <w:autoSpaceDN/>
      <w:spacing w:before="100" w:beforeAutospacing="1" w:after="100" w:afterAutospacing="1"/>
    </w:pPr>
    <w:rPr>
      <w:rFonts w:hint="eastAsia" w:cs="Times New Roman"/>
      <w:sz w:val="18"/>
      <w:szCs w:val="18"/>
      <w:lang w:val="en-US" w:bidi="ar-SA"/>
    </w:rPr>
  </w:style>
  <w:style w:type="paragraph" w:customStyle="1" w:styleId="208">
    <w:name w:val="二级"/>
    <w:basedOn w:val="209"/>
    <w:next w:val="1"/>
    <w:qFormat/>
    <w:uiPriority w:val="0"/>
    <w:pPr>
      <w:spacing w:before="240" w:after="240"/>
      <w:outlineLvl w:val="2"/>
    </w:pPr>
    <w:rPr>
      <w:rFonts w:eastAsia="黑体"/>
      <w:sz w:val="28"/>
    </w:rPr>
  </w:style>
  <w:style w:type="paragraph" w:customStyle="1" w:styleId="209">
    <w:name w:val="要求正文"/>
    <w:basedOn w:val="1"/>
    <w:qFormat/>
    <w:uiPriority w:val="0"/>
    <w:pPr>
      <w:autoSpaceDE/>
      <w:autoSpaceDN/>
      <w:spacing w:line="400" w:lineRule="exact"/>
      <w:jc w:val="both"/>
    </w:pPr>
    <w:rPr>
      <w:rFonts w:ascii="Times New Roman" w:hAnsi="Times New Roman" w:cs="Times New Roman"/>
      <w:kern w:val="2"/>
      <w:sz w:val="24"/>
      <w:lang w:val="en-US" w:bidi="ar-SA"/>
    </w:rPr>
  </w:style>
  <w:style w:type="paragraph" w:customStyle="1" w:styleId="210">
    <w:name w:val="msonormalcxspmiddle"/>
    <w:basedOn w:val="1"/>
    <w:qFormat/>
    <w:uiPriority w:val="0"/>
    <w:pPr>
      <w:widowControl/>
      <w:autoSpaceDE/>
      <w:autoSpaceDN/>
      <w:spacing w:before="100" w:beforeAutospacing="1" w:after="100" w:afterAutospacing="1"/>
    </w:pPr>
    <w:rPr>
      <w:sz w:val="24"/>
      <w:szCs w:val="24"/>
      <w:lang w:val="en-US" w:bidi="ar-SA"/>
    </w:rPr>
  </w:style>
  <w:style w:type="paragraph" w:customStyle="1" w:styleId="211">
    <w:name w:val="表格标题 Char Char Char"/>
    <w:basedOn w:val="1"/>
    <w:qFormat/>
    <w:uiPriority w:val="0"/>
    <w:pPr>
      <w:widowControl/>
      <w:autoSpaceDE/>
      <w:autoSpaceDN/>
      <w:spacing w:beforeLines="50" w:afterLines="50"/>
      <w:jc w:val="center"/>
    </w:pPr>
    <w:rPr>
      <w:rFonts w:ascii="Times New Roman" w:hAnsi="Times New Roman" w:cs="Times New Roman"/>
      <w:b/>
      <w:sz w:val="24"/>
      <w:szCs w:val="20"/>
      <w:lang w:val="en-US" w:bidi="ar-SA"/>
    </w:rPr>
  </w:style>
  <w:style w:type="paragraph" w:customStyle="1" w:styleId="212">
    <w:name w:val="Char Char Char1 Char Char Char Char Char Char Char Char Char Char Char Char Char Char Char Char Char Char Char Char Char Char"/>
    <w:basedOn w:val="1"/>
    <w:qFormat/>
    <w:uiPriority w:val="0"/>
    <w:pPr>
      <w:autoSpaceDE/>
      <w:autoSpaceDN/>
      <w:spacing w:line="360" w:lineRule="auto"/>
      <w:ind w:firstLine="200" w:firstLineChars="200"/>
      <w:jc w:val="both"/>
    </w:pPr>
    <w:rPr>
      <w:rFonts w:ascii="Times New Roman" w:hAnsi="Times New Roman" w:cs="Times New Roman"/>
      <w:kern w:val="2"/>
      <w:sz w:val="21"/>
      <w:szCs w:val="20"/>
      <w:lang w:val="en-US" w:bidi="ar-SA"/>
    </w:rPr>
  </w:style>
  <w:style w:type="paragraph" w:customStyle="1" w:styleId="213">
    <w:name w:val="样式 标题 1 + 长城黑体 小二 非加粗"/>
    <w:basedOn w:val="5"/>
    <w:qFormat/>
    <w:uiPriority w:val="99"/>
    <w:pPr>
      <w:keepNext/>
      <w:keepLines/>
      <w:numPr>
        <w:ilvl w:val="0"/>
        <w:numId w:val="4"/>
      </w:numPr>
      <w:tabs>
        <w:tab w:val="left" w:pos="720"/>
        <w:tab w:val="left" w:pos="5220"/>
      </w:tabs>
      <w:autoSpaceDE/>
      <w:autoSpaceDN/>
      <w:spacing w:before="100" w:beforeAutospacing="1" w:after="100" w:afterAutospacing="1"/>
      <w:ind w:left="4530" w:hanging="1110"/>
    </w:pPr>
    <w:rPr>
      <w:rFonts w:cs="Times New Roman"/>
      <w:b/>
      <w:kern w:val="44"/>
      <w:sz w:val="32"/>
      <w:szCs w:val="32"/>
      <w:lang w:val="en-US" w:bidi="ar-SA"/>
    </w:rPr>
  </w:style>
  <w:style w:type="paragraph" w:customStyle="1" w:styleId="214">
    <w:name w:val="Char"/>
    <w:basedOn w:val="1"/>
    <w:qFormat/>
    <w:uiPriority w:val="0"/>
    <w:pPr>
      <w:autoSpaceDE/>
      <w:autoSpaceDN/>
      <w:ind w:firstLine="200" w:firstLineChars="200"/>
      <w:jc w:val="both"/>
    </w:pPr>
    <w:rPr>
      <w:rFonts w:ascii="Tahoma" w:hAnsi="Tahoma" w:cs="Times New Roman"/>
      <w:kern w:val="2"/>
      <w:sz w:val="24"/>
      <w:szCs w:val="20"/>
      <w:lang w:val="en-US" w:bidi="ar-SA"/>
    </w:rPr>
  </w:style>
  <w:style w:type="paragraph" w:customStyle="1" w:styleId="215">
    <w:name w:val="xl73"/>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b/>
      <w:bCs/>
      <w:lang w:val="en-US" w:bidi="ar-SA"/>
    </w:rPr>
  </w:style>
  <w:style w:type="paragraph" w:customStyle="1" w:styleId="216">
    <w:name w:val="xl7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lang w:val="en-US" w:bidi="ar-SA"/>
    </w:rPr>
  </w:style>
  <w:style w:type="paragraph" w:customStyle="1" w:styleId="217">
    <w:name w:val="Char Char Char Char Char Char Char"/>
    <w:basedOn w:val="1"/>
    <w:qFormat/>
    <w:uiPriority w:val="0"/>
    <w:pPr>
      <w:autoSpaceDE/>
      <w:autoSpaceDN/>
      <w:jc w:val="both"/>
    </w:pPr>
    <w:rPr>
      <w:rFonts w:ascii="仿宋_GB2312" w:hAnsi="Times New Roman" w:eastAsia="仿宋_GB2312" w:cs="Times New Roman"/>
      <w:b/>
      <w:kern w:val="2"/>
      <w:sz w:val="32"/>
      <w:szCs w:val="32"/>
      <w:lang w:val="en-US" w:bidi="ar-SA"/>
    </w:rPr>
  </w:style>
  <w:style w:type="paragraph" w:customStyle="1" w:styleId="218">
    <w:name w:val="333"/>
    <w:basedOn w:val="1"/>
    <w:qFormat/>
    <w:uiPriority w:val="0"/>
    <w:pPr>
      <w:autoSpaceDE/>
      <w:autoSpaceDN/>
      <w:adjustRightInd w:val="0"/>
      <w:spacing w:line="312" w:lineRule="atLeast"/>
      <w:jc w:val="both"/>
      <w:textAlignment w:val="baseline"/>
    </w:pPr>
    <w:rPr>
      <w:rFonts w:ascii="Times New Roman" w:hAnsi="Times New Roman" w:cs="Times New Roman"/>
      <w:sz w:val="21"/>
      <w:szCs w:val="20"/>
      <w:lang w:val="en-US" w:bidi="ar-SA"/>
    </w:rPr>
  </w:style>
  <w:style w:type="paragraph" w:customStyle="1" w:styleId="219">
    <w:name w:val="Char Char Char Char Char Char Char11"/>
    <w:basedOn w:val="1"/>
    <w:qFormat/>
    <w:uiPriority w:val="0"/>
    <w:pPr>
      <w:autoSpaceDE/>
      <w:autoSpaceDN/>
      <w:jc w:val="both"/>
    </w:pPr>
    <w:rPr>
      <w:rFonts w:ascii="仿宋_GB2312" w:hAnsi="Times New Roman" w:eastAsia="仿宋_GB2312" w:cs="Times New Roman"/>
      <w:b/>
      <w:kern w:val="2"/>
      <w:sz w:val="32"/>
      <w:szCs w:val="32"/>
      <w:lang w:val="en-US" w:bidi="ar-SA"/>
    </w:rPr>
  </w:style>
  <w:style w:type="paragraph" w:customStyle="1" w:styleId="220">
    <w:name w:val="一级"/>
    <w:basedOn w:val="1"/>
    <w:next w:val="1"/>
    <w:qFormat/>
    <w:uiPriority w:val="0"/>
    <w:pPr>
      <w:autoSpaceDE/>
      <w:autoSpaceDN/>
      <w:spacing w:before="360" w:after="360" w:line="400" w:lineRule="exact"/>
      <w:jc w:val="both"/>
      <w:outlineLvl w:val="1"/>
    </w:pPr>
    <w:rPr>
      <w:rFonts w:ascii="Times New Roman" w:hAnsi="Times New Roman" w:eastAsia="黑体" w:cs="Times New Roman"/>
      <w:kern w:val="2"/>
      <w:sz w:val="28"/>
      <w:lang w:val="en-US" w:bidi="ar-SA"/>
    </w:rPr>
  </w:style>
  <w:style w:type="paragraph" w:customStyle="1" w:styleId="221">
    <w:name w:val="列出段落2"/>
    <w:basedOn w:val="1"/>
    <w:qFormat/>
    <w:uiPriority w:val="0"/>
    <w:pPr>
      <w:autoSpaceDE/>
      <w:autoSpaceDN/>
      <w:ind w:firstLine="420" w:firstLineChars="200"/>
      <w:jc w:val="both"/>
    </w:pPr>
    <w:rPr>
      <w:rFonts w:ascii="Times New Roman" w:hAnsi="Times New Roman" w:cs="Times New Roman"/>
      <w:kern w:val="2"/>
      <w:sz w:val="21"/>
      <w:szCs w:val="21"/>
      <w:lang w:val="en-US" w:bidi="ar-SA"/>
    </w:rPr>
  </w:style>
  <w:style w:type="paragraph" w:customStyle="1" w:styleId="222">
    <w:name w:val="xl3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cs="Times New Roman"/>
      <w:sz w:val="24"/>
      <w:szCs w:val="24"/>
      <w:lang w:val="en-US" w:bidi="ar-SA"/>
    </w:rPr>
  </w:style>
  <w:style w:type="paragraph" w:customStyle="1" w:styleId="223">
    <w:name w:val="正文空2格  1."/>
    <w:basedOn w:val="1"/>
    <w:qFormat/>
    <w:uiPriority w:val="0"/>
    <w:pPr>
      <w:autoSpaceDE/>
      <w:autoSpaceDN/>
      <w:adjustRightInd w:val="0"/>
      <w:spacing w:line="360" w:lineRule="auto"/>
      <w:ind w:firstLine="480" w:firstLineChars="200"/>
      <w:jc w:val="both"/>
      <w:textAlignment w:val="baseline"/>
    </w:pPr>
    <w:rPr>
      <w:rFonts w:hAnsi="Times New Roman" w:eastAsia="仿宋"/>
      <w:sz w:val="28"/>
      <w:szCs w:val="20"/>
      <w:lang w:val="en-US" w:bidi="ar-SA"/>
    </w:rPr>
  </w:style>
  <w:style w:type="paragraph" w:customStyle="1" w:styleId="224">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0"/>
      <w:szCs w:val="20"/>
      <w:lang w:val="en-US" w:bidi="ar-SA"/>
    </w:rPr>
  </w:style>
  <w:style w:type="paragraph" w:customStyle="1" w:styleId="22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rFonts w:cs="Times New Roman"/>
      <w:sz w:val="24"/>
      <w:szCs w:val="24"/>
      <w:lang w:val="en-US" w:bidi="ar-SA"/>
    </w:rPr>
  </w:style>
  <w:style w:type="paragraph" w:customStyle="1" w:styleId="226">
    <w:name w:val="普通(网站)1"/>
    <w:basedOn w:val="1"/>
    <w:qFormat/>
    <w:uiPriority w:val="0"/>
    <w:pPr>
      <w:widowControl/>
      <w:autoSpaceDE/>
      <w:autoSpaceDN/>
      <w:spacing w:before="100" w:beforeAutospacing="1" w:after="100" w:afterAutospacing="1"/>
    </w:pPr>
    <w:rPr>
      <w:rFonts w:cs="Times New Roman"/>
      <w:sz w:val="24"/>
      <w:szCs w:val="24"/>
      <w:lang w:val="en-US" w:bidi="ar-SA"/>
    </w:rPr>
  </w:style>
  <w:style w:type="paragraph" w:customStyle="1" w:styleId="227">
    <w:name w:val="正文_3"/>
    <w:qFormat/>
    <w:uiPriority w:val="0"/>
    <w:pPr>
      <w:widowControl w:val="0"/>
      <w:jc w:val="both"/>
    </w:pPr>
    <w:rPr>
      <w:kern w:val="2"/>
      <w:sz w:val="21"/>
      <w:szCs w:val="22"/>
      <w:lang w:val="en-US" w:eastAsia="zh-CN" w:bidi="ar-SA"/>
    </w:rPr>
  </w:style>
  <w:style w:type="paragraph" w:customStyle="1" w:styleId="228">
    <w:name w:val="方案正文"/>
    <w:basedOn w:val="1"/>
    <w:qFormat/>
    <w:uiPriority w:val="0"/>
    <w:pPr>
      <w:autoSpaceDE/>
      <w:autoSpaceDN/>
      <w:adjustRightInd w:val="0"/>
      <w:spacing w:line="360" w:lineRule="auto"/>
      <w:jc w:val="both"/>
      <w:textAlignment w:val="baseline"/>
    </w:pPr>
    <w:rPr>
      <w:rFonts w:cs="Times New Roman"/>
      <w:sz w:val="21"/>
      <w:szCs w:val="20"/>
      <w:lang w:val="en-US" w:bidi="ar-SA"/>
    </w:rPr>
  </w:style>
  <w:style w:type="paragraph" w:customStyle="1" w:styleId="229">
    <w:name w:val="编号，小四"/>
    <w:basedOn w:val="1"/>
    <w:qFormat/>
    <w:uiPriority w:val="0"/>
    <w:pPr>
      <w:numPr>
        <w:ilvl w:val="0"/>
        <w:numId w:val="5"/>
      </w:numPr>
      <w:autoSpaceDE/>
      <w:autoSpaceDN/>
      <w:spacing w:line="360" w:lineRule="auto"/>
      <w:jc w:val="both"/>
    </w:pPr>
    <w:rPr>
      <w:rFonts w:ascii="Arial" w:hAnsi="Arial"/>
      <w:kern w:val="2"/>
      <w:sz w:val="24"/>
      <w:szCs w:val="20"/>
      <w:lang w:val="en-US" w:bidi="ar-SA"/>
    </w:rPr>
  </w:style>
  <w:style w:type="paragraph" w:customStyle="1" w:styleId="230">
    <w:name w:val="PI"/>
    <w:basedOn w:val="1"/>
    <w:next w:val="3"/>
    <w:qFormat/>
    <w:uiPriority w:val="0"/>
    <w:pPr>
      <w:autoSpaceDE/>
      <w:autoSpaceDN/>
      <w:spacing w:line="360" w:lineRule="auto"/>
      <w:ind w:left="539" w:firstLine="721"/>
    </w:pPr>
    <w:rPr>
      <w:rFonts w:ascii="Times New Roman" w:hAnsi="Times New Roman" w:cs="Times New Roman"/>
      <w:spacing w:val="20"/>
      <w:kern w:val="2"/>
      <w:sz w:val="21"/>
      <w:szCs w:val="20"/>
      <w:lang w:val="en-US" w:bidi="ar-SA"/>
    </w:rPr>
  </w:style>
  <w:style w:type="paragraph" w:customStyle="1" w:styleId="231">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cs="Times New Roman"/>
      <w:b/>
      <w:bCs/>
      <w:sz w:val="28"/>
      <w:szCs w:val="28"/>
      <w:lang w:val="en-US" w:bidi="ar-SA"/>
    </w:rPr>
  </w:style>
  <w:style w:type="paragraph" w:customStyle="1" w:styleId="232">
    <w:name w:val="正文不缩进"/>
    <w:basedOn w:val="1"/>
    <w:qFormat/>
    <w:uiPriority w:val="0"/>
    <w:pPr>
      <w:autoSpaceDE/>
      <w:autoSpaceDN/>
      <w:adjustRightInd w:val="0"/>
      <w:spacing w:line="360" w:lineRule="auto"/>
      <w:textAlignment w:val="baseline"/>
    </w:pPr>
    <w:rPr>
      <w:rFonts w:ascii="Times New Roman" w:hAnsi="Times New Roman" w:cs="Times New Roman"/>
      <w:sz w:val="24"/>
      <w:szCs w:val="20"/>
      <w:lang w:val="en-US" w:bidi="ar-SA"/>
    </w:rPr>
  </w:style>
  <w:style w:type="paragraph" w:customStyle="1" w:styleId="233">
    <w:name w:val="论文"/>
    <w:basedOn w:val="1"/>
    <w:qFormat/>
    <w:uiPriority w:val="0"/>
    <w:pPr>
      <w:autoSpaceDE/>
      <w:autoSpaceDN/>
      <w:spacing w:line="400" w:lineRule="exact"/>
      <w:jc w:val="both"/>
    </w:pPr>
    <w:rPr>
      <w:rFonts w:ascii="Times New Roman" w:hAnsi="Times New Roman" w:cs="Times New Roman"/>
      <w:kern w:val="2"/>
      <w:sz w:val="24"/>
      <w:lang w:val="en-US" w:bidi="ar-SA"/>
    </w:rPr>
  </w:style>
  <w:style w:type="paragraph" w:customStyle="1" w:styleId="234">
    <w:name w:val="SS正文首行缩进 +"/>
    <w:basedOn w:val="49"/>
    <w:qFormat/>
    <w:uiPriority w:val="99"/>
    <w:pPr>
      <w:autoSpaceDE/>
      <w:autoSpaceDN/>
      <w:spacing w:beforeLines="50" w:afterLines="50" w:line="360" w:lineRule="auto"/>
      <w:ind w:firstLine="480" w:firstLineChars="200"/>
      <w:jc w:val="both"/>
    </w:pPr>
    <w:rPr>
      <w:rFonts w:ascii="宋体" w:hAnsi="宋体" w:cs="Times New Roman"/>
      <w:kern w:val="2"/>
      <w:sz w:val="24"/>
      <w:szCs w:val="20"/>
      <w:lang w:val="en-US" w:bidi="ar-SA"/>
    </w:rPr>
  </w:style>
  <w:style w:type="paragraph" w:customStyle="1" w:styleId="235">
    <w:name w:val="表"/>
    <w:basedOn w:val="27"/>
    <w:qFormat/>
    <w:uiPriority w:val="0"/>
    <w:pPr>
      <w:keepNext/>
      <w:tabs>
        <w:tab w:val="left" w:pos="720"/>
      </w:tabs>
      <w:adjustRightInd w:val="0"/>
      <w:spacing w:before="0" w:beforeLines="0" w:after="0" w:afterLines="0" w:line="240" w:lineRule="exact"/>
      <w:jc w:val="center"/>
      <w:textAlignment w:val="baseline"/>
    </w:pPr>
    <w:rPr>
      <w:rFonts w:ascii="Times New Roman" w:hAnsi="Times New Roman" w:eastAsia="楷体_GB2312" w:cs="Times New Roman"/>
      <w:szCs w:val="20"/>
      <w:lang w:val="en-US" w:bidi="ar-SA"/>
    </w:rPr>
  </w:style>
  <w:style w:type="paragraph" w:customStyle="1" w:styleId="236">
    <w:name w:val="xl2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cs="Times New Roman"/>
      <w:sz w:val="20"/>
      <w:szCs w:val="20"/>
      <w:lang w:val="en-US" w:bidi="ar-SA"/>
    </w:rPr>
  </w:style>
  <w:style w:type="paragraph" w:customStyle="1" w:styleId="237">
    <w:name w:val="xl3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cs="Times New Roman"/>
      <w:sz w:val="24"/>
      <w:szCs w:val="24"/>
      <w:lang w:val="en-US" w:bidi="ar-SA"/>
    </w:rPr>
  </w:style>
  <w:style w:type="paragraph" w:customStyle="1" w:styleId="238">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jc w:val="center"/>
    </w:pPr>
    <w:rPr>
      <w:rFonts w:cs="Times New Roman"/>
      <w:color w:val="000000"/>
      <w:sz w:val="24"/>
      <w:szCs w:val="24"/>
      <w:lang w:val="en-US" w:bidi="ar-SA"/>
    </w:rPr>
  </w:style>
  <w:style w:type="paragraph" w:customStyle="1" w:styleId="239">
    <w:name w:val="xl3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cs="Times New Roman"/>
      <w:sz w:val="24"/>
      <w:szCs w:val="24"/>
      <w:lang w:val="en-US" w:bidi="ar-SA"/>
    </w:rPr>
  </w:style>
  <w:style w:type="paragraph" w:customStyle="1" w:styleId="240">
    <w:name w:val="xl70"/>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b/>
      <w:bCs/>
      <w:lang w:val="en-US" w:bidi="ar-SA"/>
    </w:rPr>
  </w:style>
  <w:style w:type="paragraph" w:customStyle="1" w:styleId="241">
    <w:name w:val="xl65"/>
    <w:basedOn w:val="1"/>
    <w:qFormat/>
    <w:uiPriority w:val="0"/>
    <w:pPr>
      <w:widowControl/>
      <w:autoSpaceDE/>
      <w:autoSpaceDN/>
      <w:spacing w:before="100" w:beforeAutospacing="1" w:after="100" w:afterAutospacing="1"/>
      <w:jc w:val="center"/>
    </w:pPr>
    <w:rPr>
      <w:sz w:val="24"/>
      <w:szCs w:val="24"/>
      <w:lang w:val="en-US" w:bidi="ar-SA"/>
    </w:rPr>
  </w:style>
  <w:style w:type="paragraph" w:customStyle="1" w:styleId="242">
    <w:name w:val="前附表"/>
    <w:basedOn w:val="1"/>
    <w:qFormat/>
    <w:uiPriority w:val="0"/>
    <w:pPr>
      <w:autoSpaceDE/>
      <w:autoSpaceDN/>
      <w:ind w:firstLine="643"/>
      <w:jc w:val="center"/>
    </w:pPr>
    <w:rPr>
      <w:rFonts w:cs="Times New Roman"/>
      <w:b/>
      <w:kern w:val="2"/>
      <w:sz w:val="30"/>
      <w:szCs w:val="30"/>
      <w:lang w:val="en-US" w:bidi="ar-SA"/>
    </w:rPr>
  </w:style>
  <w:style w:type="paragraph" w:customStyle="1" w:styleId="243">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jc w:val="center"/>
    </w:pPr>
    <w:rPr>
      <w:rFonts w:cs="Times New Roman"/>
      <w:sz w:val="24"/>
      <w:szCs w:val="24"/>
      <w:lang w:val="en-US" w:bidi="ar-SA"/>
    </w:rPr>
  </w:style>
  <w:style w:type="paragraph" w:customStyle="1" w:styleId="244">
    <w:name w:val="GP正文(首行缩进)"/>
    <w:basedOn w:val="1"/>
    <w:qFormat/>
    <w:uiPriority w:val="0"/>
    <w:pPr>
      <w:autoSpaceDE/>
      <w:autoSpaceDN/>
      <w:ind w:firstLine="480" w:firstLineChars="200"/>
    </w:pPr>
    <w:rPr>
      <w:rFonts w:ascii="Times New Roman" w:cs="Times New Roman"/>
      <w:kern w:val="2"/>
      <w:sz w:val="21"/>
      <w:szCs w:val="24"/>
      <w:lang w:val="en-US" w:bidi="ar-SA"/>
    </w:rPr>
  </w:style>
  <w:style w:type="paragraph" w:customStyle="1" w:styleId="245">
    <w:name w:val="正文3"/>
    <w:qFormat/>
    <w:uiPriority w:val="0"/>
    <w:pPr>
      <w:widowControl w:val="0"/>
      <w:jc w:val="both"/>
    </w:pPr>
    <w:rPr>
      <w:rFonts w:hint="eastAsia"/>
      <w:kern w:val="2"/>
      <w:sz w:val="21"/>
      <w:lang w:val="en-US" w:eastAsia="zh-CN" w:bidi="ar-SA"/>
    </w:rPr>
  </w:style>
  <w:style w:type="paragraph" w:customStyle="1" w:styleId="246">
    <w:name w:val="修订1"/>
    <w:unhideWhenUsed/>
    <w:qFormat/>
    <w:uiPriority w:val="99"/>
    <w:rPr>
      <w:kern w:val="2"/>
      <w:sz w:val="21"/>
      <w:szCs w:val="24"/>
      <w:lang w:val="en-US" w:eastAsia="zh-CN" w:bidi="ar-SA"/>
    </w:rPr>
  </w:style>
  <w:style w:type="paragraph" w:customStyle="1" w:styleId="247">
    <w:name w:val="纯文本1"/>
    <w:basedOn w:val="245"/>
    <w:qFormat/>
    <w:uiPriority w:val="0"/>
    <w:pPr>
      <w:widowControl/>
      <w:jc w:val="left"/>
    </w:pPr>
    <w:rPr>
      <w:rFonts w:ascii="宋体" w:hAnsi="Courier New"/>
    </w:rPr>
  </w:style>
  <w:style w:type="paragraph" w:customStyle="1" w:styleId="248">
    <w:name w:val="font8"/>
    <w:basedOn w:val="1"/>
    <w:qFormat/>
    <w:uiPriority w:val="0"/>
    <w:pPr>
      <w:widowControl/>
      <w:autoSpaceDE/>
      <w:autoSpaceDN/>
      <w:spacing w:before="100" w:beforeAutospacing="1" w:after="100" w:afterAutospacing="1"/>
    </w:pPr>
    <w:rPr>
      <w:rFonts w:hint="eastAsia" w:cs="Times New Roman"/>
      <w:sz w:val="20"/>
      <w:szCs w:val="20"/>
      <w:lang w:val="en-US" w:bidi="ar-SA"/>
    </w:rPr>
  </w:style>
  <w:style w:type="paragraph" w:customStyle="1" w:styleId="249">
    <w:name w:val="样式 首行缩进:  0 字符"/>
    <w:basedOn w:val="1"/>
    <w:qFormat/>
    <w:uiPriority w:val="0"/>
    <w:pPr>
      <w:autoSpaceDE/>
      <w:autoSpaceDN/>
      <w:adjustRightInd w:val="0"/>
      <w:snapToGrid w:val="0"/>
      <w:spacing w:line="360" w:lineRule="auto"/>
      <w:jc w:val="both"/>
    </w:pPr>
    <w:rPr>
      <w:rFonts w:ascii="Times New Roman" w:hAnsi="Times New Roman" w:cs="Times New Roman"/>
      <w:kern w:val="2"/>
      <w:sz w:val="24"/>
      <w:szCs w:val="20"/>
      <w:lang w:val="en-US" w:bidi="ar-SA"/>
    </w:rPr>
  </w:style>
  <w:style w:type="paragraph" w:customStyle="1" w:styleId="250">
    <w:name w:val="xl2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0"/>
      <w:szCs w:val="20"/>
      <w:lang w:val="en-US" w:bidi="ar-SA"/>
    </w:rPr>
  </w:style>
  <w:style w:type="paragraph" w:customStyle="1" w:styleId="251">
    <w:name w:val="Char Char Char Char Char Char Char1"/>
    <w:basedOn w:val="1"/>
    <w:qFormat/>
    <w:uiPriority w:val="0"/>
    <w:pPr>
      <w:autoSpaceDE/>
      <w:autoSpaceDN/>
      <w:jc w:val="both"/>
    </w:pPr>
    <w:rPr>
      <w:rFonts w:ascii="仿宋_GB2312" w:hAnsi="Times New Roman" w:eastAsia="仿宋_GB2312" w:cs="Times New Roman"/>
      <w:b/>
      <w:kern w:val="2"/>
      <w:sz w:val="32"/>
      <w:szCs w:val="32"/>
      <w:lang w:val="en-US" w:bidi="ar-SA"/>
    </w:rPr>
  </w:style>
  <w:style w:type="paragraph" w:customStyle="1" w:styleId="252">
    <w:name w:val="符号样式"/>
    <w:basedOn w:val="229"/>
    <w:qFormat/>
    <w:uiPriority w:val="0"/>
    <w:pPr>
      <w:numPr>
        <w:ilvl w:val="0"/>
        <w:numId w:val="6"/>
      </w:numPr>
      <w:ind w:firstLine="200" w:firstLineChars="200"/>
      <w:jc w:val="left"/>
    </w:pPr>
  </w:style>
  <w:style w:type="paragraph" w:customStyle="1" w:styleId="253">
    <w:name w:val="font6"/>
    <w:basedOn w:val="1"/>
    <w:qFormat/>
    <w:uiPriority w:val="0"/>
    <w:pPr>
      <w:widowControl/>
      <w:autoSpaceDE/>
      <w:autoSpaceDN/>
      <w:spacing w:before="100" w:beforeAutospacing="1" w:after="100" w:afterAutospacing="1"/>
    </w:pPr>
    <w:rPr>
      <w:rFonts w:ascii="Times New Roman" w:hAnsi="Times New Roman" w:cs="Times New Roman"/>
      <w:sz w:val="20"/>
      <w:szCs w:val="20"/>
      <w:lang w:val="en-US" w:bidi="ar-SA"/>
    </w:rPr>
  </w:style>
  <w:style w:type="paragraph" w:customStyle="1" w:styleId="254">
    <w:name w:val="首行缩进"/>
    <w:basedOn w:val="1"/>
    <w:qFormat/>
    <w:uiPriority w:val="0"/>
    <w:pPr>
      <w:keepNext/>
      <w:autoSpaceDE/>
      <w:autoSpaceDN/>
      <w:spacing w:line="520" w:lineRule="exact"/>
      <w:jc w:val="both"/>
    </w:pPr>
    <w:rPr>
      <w:rFonts w:ascii="Times New Roman" w:hAnsi="Times New Roman" w:cs="Times New Roman"/>
      <w:bCs/>
      <w:sz w:val="24"/>
      <w:szCs w:val="28"/>
      <w:lang w:val="en-US" w:bidi="ar-SA"/>
    </w:rPr>
  </w:style>
  <w:style w:type="paragraph" w:customStyle="1" w:styleId="255">
    <w:name w:val="样式 标题 5 + 右侧:  -0.18 字符"/>
    <w:basedOn w:val="1"/>
    <w:qFormat/>
    <w:uiPriority w:val="99"/>
    <w:pPr>
      <w:tabs>
        <w:tab w:val="left" w:pos="1008"/>
        <w:tab w:val="left" w:pos="5520"/>
      </w:tabs>
      <w:autoSpaceDE/>
      <w:autoSpaceDN/>
      <w:ind w:left="5520" w:hanging="420"/>
      <w:jc w:val="both"/>
    </w:pPr>
    <w:rPr>
      <w:rFonts w:ascii="Times New Roman" w:hAnsi="Times New Roman" w:cs="Times New Roman"/>
      <w:kern w:val="2"/>
      <w:sz w:val="21"/>
      <w:szCs w:val="20"/>
      <w:lang w:val="en-US" w:bidi="ar-SA"/>
    </w:rPr>
  </w:style>
  <w:style w:type="paragraph" w:customStyle="1" w:styleId="256">
    <w:name w:val="_Style 7"/>
    <w:basedOn w:val="22"/>
    <w:next w:val="49"/>
    <w:qFormat/>
    <w:uiPriority w:val="99"/>
    <w:pPr>
      <w:autoSpaceDE/>
      <w:autoSpaceDN/>
      <w:spacing w:after="120"/>
      <w:ind w:firstLine="420" w:firstLineChars="100"/>
      <w:jc w:val="both"/>
    </w:pPr>
    <w:rPr>
      <w:rFonts w:ascii="Calibri" w:hAnsi="Calibri" w:cs="Times New Roman"/>
      <w:kern w:val="2"/>
      <w:szCs w:val="24"/>
      <w:lang w:val="en-US" w:bidi="ar-SA"/>
    </w:rPr>
  </w:style>
  <w:style w:type="paragraph" w:customStyle="1" w:styleId="257">
    <w:name w:val="Char1 Char Char Char Char Char Char"/>
    <w:basedOn w:val="1"/>
    <w:qFormat/>
    <w:uiPriority w:val="0"/>
    <w:pPr>
      <w:autoSpaceDE/>
      <w:autoSpaceDN/>
      <w:jc w:val="both"/>
    </w:pPr>
    <w:rPr>
      <w:rFonts w:ascii="Tahoma" w:hAnsi="Tahoma" w:cs="Times New Roman"/>
      <w:kern w:val="2"/>
      <w:sz w:val="24"/>
      <w:szCs w:val="20"/>
      <w:lang w:val="en-US" w:bidi="ar-SA"/>
    </w:rPr>
  </w:style>
  <w:style w:type="paragraph" w:customStyle="1" w:styleId="258">
    <w:name w:val="表格标题 Char Char Char Char"/>
    <w:basedOn w:val="1"/>
    <w:qFormat/>
    <w:uiPriority w:val="0"/>
    <w:pPr>
      <w:adjustRightInd w:val="0"/>
      <w:jc w:val="center"/>
      <w:textAlignment w:val="baseline"/>
    </w:pPr>
    <w:rPr>
      <w:rFonts w:ascii="Times New Roman" w:hAnsi="Times New Roman" w:cs="Times New Roman"/>
      <w:color w:val="FF0000"/>
      <w:sz w:val="24"/>
      <w:szCs w:val="20"/>
      <w:lang w:val="en-US" w:bidi="ar-SA"/>
    </w:rPr>
  </w:style>
  <w:style w:type="paragraph" w:customStyle="1" w:styleId="259">
    <w:name w:val="_Style 3"/>
    <w:qFormat/>
    <w:uiPriority w:val="1"/>
    <w:pPr>
      <w:widowControl w:val="0"/>
      <w:jc w:val="both"/>
    </w:pPr>
    <w:rPr>
      <w:kern w:val="2"/>
      <w:sz w:val="21"/>
      <w:szCs w:val="22"/>
      <w:lang w:val="en-US" w:eastAsia="zh-CN" w:bidi="ar-SA"/>
    </w:rPr>
  </w:style>
  <w:style w:type="paragraph" w:customStyle="1" w:styleId="260">
    <w:name w:val="xl74"/>
    <w:basedOn w:val="1"/>
    <w:qFormat/>
    <w:uiPriority w:val="0"/>
    <w:pPr>
      <w:widowControl/>
      <w:pBdr>
        <w:top w:val="single" w:color="auto" w:sz="4" w:space="0"/>
        <w:bottom w:val="single" w:color="auto" w:sz="4" w:space="0"/>
      </w:pBdr>
      <w:autoSpaceDE/>
      <w:autoSpaceDN/>
      <w:spacing w:before="100" w:beforeAutospacing="1" w:after="100" w:afterAutospacing="1"/>
      <w:jc w:val="center"/>
    </w:pPr>
    <w:rPr>
      <w:b/>
      <w:bCs/>
      <w:lang w:val="en-US" w:bidi="ar-SA"/>
    </w:rPr>
  </w:style>
  <w:style w:type="paragraph" w:customStyle="1" w:styleId="261">
    <w:name w:val="Char111"/>
    <w:basedOn w:val="1"/>
    <w:qFormat/>
    <w:uiPriority w:val="0"/>
    <w:pPr>
      <w:autoSpaceDE/>
      <w:autoSpaceDN/>
      <w:jc w:val="both"/>
    </w:pPr>
    <w:rPr>
      <w:rFonts w:ascii="Tahoma" w:hAnsi="Tahoma" w:cs="Times New Roman"/>
      <w:kern w:val="2"/>
      <w:sz w:val="24"/>
      <w:szCs w:val="20"/>
      <w:lang w:val="en-US" w:bidi="ar-SA"/>
    </w:rPr>
  </w:style>
  <w:style w:type="paragraph" w:customStyle="1" w:styleId="262">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263">
    <w:name w:val="xl6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264">
    <w:name w:val="xl66"/>
    <w:basedOn w:val="1"/>
    <w:qFormat/>
    <w:uiPriority w:val="0"/>
    <w:pPr>
      <w:widowControl/>
      <w:autoSpaceDE/>
      <w:autoSpaceDN/>
      <w:spacing w:before="100" w:beforeAutospacing="1" w:after="100" w:afterAutospacing="1"/>
    </w:pPr>
    <w:rPr>
      <w:b/>
      <w:bCs/>
      <w:sz w:val="24"/>
      <w:szCs w:val="24"/>
      <w:lang w:val="en-US" w:bidi="ar-SA"/>
    </w:rPr>
  </w:style>
  <w:style w:type="paragraph" w:customStyle="1" w:styleId="265">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0"/>
      <w:szCs w:val="20"/>
      <w:lang w:val="en-US" w:bidi="ar-SA"/>
    </w:rPr>
  </w:style>
  <w:style w:type="paragraph" w:customStyle="1" w:styleId="266">
    <w:name w:val="Default"/>
    <w:qFormat/>
    <w:uiPriority w:val="0"/>
    <w:pPr>
      <w:widowControl w:val="0"/>
      <w:autoSpaceDE w:val="0"/>
      <w:autoSpaceDN w:val="0"/>
      <w:adjustRightInd w:val="0"/>
    </w:pPr>
    <w:rPr>
      <w:rFonts w:ascii="宋体..鍼笁鍼." w:hAnsi="Calibri" w:eastAsia="宋体..鍼笁鍼." w:cs="宋体..鍼笁鍼."/>
      <w:color w:val="000000"/>
      <w:sz w:val="24"/>
      <w:szCs w:val="24"/>
      <w:lang w:val="en-US" w:eastAsia="zh-CN" w:bidi="ar-SA"/>
    </w:rPr>
  </w:style>
  <w:style w:type="paragraph" w:customStyle="1" w:styleId="267">
    <w:name w:val="无间隔1"/>
    <w:qFormat/>
    <w:uiPriority w:val="0"/>
    <w:rPr>
      <w:rFonts w:ascii="Calibri" w:hAnsi="Calibri"/>
      <w:sz w:val="22"/>
      <w:szCs w:val="22"/>
      <w:lang w:val="en-US" w:eastAsia="en-US" w:bidi="ar-SA"/>
    </w:rPr>
  </w:style>
  <w:style w:type="paragraph" w:customStyle="1" w:styleId="268">
    <w:name w:val="font7"/>
    <w:basedOn w:val="1"/>
    <w:qFormat/>
    <w:uiPriority w:val="0"/>
    <w:pPr>
      <w:widowControl/>
      <w:autoSpaceDE/>
      <w:autoSpaceDN/>
      <w:spacing w:before="100" w:beforeAutospacing="1" w:after="100" w:afterAutospacing="1"/>
    </w:pPr>
    <w:rPr>
      <w:rFonts w:ascii="Times New Roman" w:hAnsi="Times New Roman" w:cs="Times New Roman"/>
      <w:sz w:val="20"/>
      <w:szCs w:val="20"/>
      <w:lang w:val="en-US" w:bidi="ar-SA"/>
    </w:rPr>
  </w:style>
  <w:style w:type="paragraph" w:customStyle="1" w:styleId="269">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color w:val="000000"/>
      <w:sz w:val="20"/>
      <w:szCs w:val="20"/>
      <w:lang w:val="en-US" w:bidi="ar-SA"/>
    </w:rPr>
  </w:style>
  <w:style w:type="paragraph" w:customStyle="1" w:styleId="270">
    <w:name w:val="Char1 Char Char Char Char Char Char1"/>
    <w:basedOn w:val="1"/>
    <w:qFormat/>
    <w:uiPriority w:val="99"/>
    <w:pPr>
      <w:autoSpaceDE/>
      <w:autoSpaceDN/>
      <w:jc w:val="both"/>
    </w:pPr>
    <w:rPr>
      <w:rFonts w:ascii="Tahoma" w:hAnsi="Tahoma" w:cs="Times New Roman"/>
      <w:kern w:val="2"/>
      <w:sz w:val="24"/>
      <w:szCs w:val="20"/>
      <w:lang w:val="en-US" w:bidi="ar-SA"/>
    </w:rPr>
  </w:style>
  <w:style w:type="paragraph" w:customStyle="1" w:styleId="271">
    <w:name w:val="xl3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0"/>
      <w:szCs w:val="20"/>
      <w:lang w:val="en-US" w:bidi="ar-SA"/>
    </w:rPr>
  </w:style>
  <w:style w:type="paragraph" w:customStyle="1" w:styleId="272">
    <w:name w:val="Char11"/>
    <w:basedOn w:val="1"/>
    <w:qFormat/>
    <w:uiPriority w:val="99"/>
    <w:pPr>
      <w:widowControl/>
      <w:autoSpaceDE/>
      <w:autoSpaceDN/>
      <w:spacing w:after="160" w:line="240" w:lineRule="exact"/>
    </w:pPr>
    <w:rPr>
      <w:rFonts w:ascii="Verdana" w:hAnsi="Verdana" w:cs="Verdana"/>
      <w:sz w:val="21"/>
      <w:szCs w:val="21"/>
      <w:lang w:val="en-US" w:eastAsia="en-US" w:bidi="ar-SA"/>
    </w:rPr>
  </w:style>
  <w:style w:type="paragraph" w:customStyle="1" w:styleId="273">
    <w:name w:val="中等深浅网格 21"/>
    <w:qFormat/>
    <w:uiPriority w:val="1"/>
    <w:pPr>
      <w:widowControl w:val="0"/>
      <w:autoSpaceDE w:val="0"/>
      <w:autoSpaceDN w:val="0"/>
      <w:adjustRightInd w:val="0"/>
      <w:jc w:val="both"/>
      <w:textAlignment w:val="baseline"/>
    </w:pPr>
    <w:rPr>
      <w:sz w:val="21"/>
      <w:lang w:val="en-US" w:eastAsia="zh-CN" w:bidi="ar-SA"/>
    </w:rPr>
  </w:style>
  <w:style w:type="paragraph" w:customStyle="1" w:styleId="274">
    <w:name w:val="Char Char Char1 Char Char Char Char Char Char Char Char Char Char Char Char Char Char Char Char Char Char Char Char Char Char1"/>
    <w:basedOn w:val="1"/>
    <w:qFormat/>
    <w:uiPriority w:val="99"/>
    <w:pPr>
      <w:autoSpaceDE/>
      <w:autoSpaceDN/>
      <w:spacing w:line="360" w:lineRule="auto"/>
      <w:ind w:firstLine="200" w:firstLineChars="200"/>
      <w:jc w:val="both"/>
    </w:pPr>
    <w:rPr>
      <w:rFonts w:ascii="Times New Roman" w:hAnsi="Times New Roman" w:cs="Times New Roman"/>
      <w:kern w:val="2"/>
      <w:sz w:val="21"/>
      <w:szCs w:val="20"/>
      <w:lang w:val="en-US" w:bidi="ar-SA"/>
    </w:rPr>
  </w:style>
  <w:style w:type="paragraph" w:customStyle="1" w:styleId="275">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lang w:val="en-US" w:bidi="ar-SA"/>
    </w:rPr>
  </w:style>
  <w:style w:type="paragraph" w:customStyle="1" w:styleId="276">
    <w:name w:val="正文空格"/>
    <w:basedOn w:val="1"/>
    <w:next w:val="1"/>
    <w:qFormat/>
    <w:uiPriority w:val="0"/>
    <w:pPr>
      <w:autoSpaceDE/>
      <w:autoSpaceDN/>
      <w:spacing w:line="400" w:lineRule="exact"/>
      <w:ind w:firstLine="200" w:firstLineChars="200"/>
      <w:jc w:val="both"/>
    </w:pPr>
    <w:rPr>
      <w:rFonts w:ascii="Times New Roman" w:hAnsi="Times New Roman" w:cs="Times New Roman"/>
      <w:kern w:val="2"/>
      <w:sz w:val="24"/>
      <w:lang w:val="en-US" w:bidi="ar-SA"/>
    </w:rPr>
  </w:style>
  <w:style w:type="paragraph" w:customStyle="1" w:styleId="277">
    <w:name w:val="Char Char Char Char Char Char"/>
    <w:basedOn w:val="1"/>
    <w:qFormat/>
    <w:uiPriority w:val="0"/>
    <w:pPr>
      <w:autoSpaceDE/>
      <w:autoSpaceDN/>
      <w:ind w:firstLine="200" w:firstLineChars="200"/>
      <w:jc w:val="both"/>
    </w:pPr>
    <w:rPr>
      <w:rFonts w:ascii="Tahoma" w:hAnsi="Tahoma" w:cs="Times New Roman"/>
      <w:kern w:val="2"/>
      <w:sz w:val="24"/>
      <w:szCs w:val="20"/>
      <w:lang w:val="en-US" w:bidi="ar-SA"/>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cs="Times New Roman"/>
      <w:sz w:val="20"/>
      <w:szCs w:val="20"/>
      <w:lang w:val="en-US" w:bidi="ar-SA"/>
    </w:rPr>
  </w:style>
  <w:style w:type="paragraph" w:customStyle="1" w:styleId="279">
    <w:name w:val="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80">
    <w:name w:val="hc正文1.5"/>
    <w:basedOn w:val="1"/>
    <w:qFormat/>
    <w:uiPriority w:val="0"/>
    <w:pPr>
      <w:tabs>
        <w:tab w:val="left" w:pos="3265"/>
      </w:tabs>
      <w:autoSpaceDE/>
      <w:autoSpaceDN/>
      <w:spacing w:beforeLines="20" w:afterLines="20" w:line="460" w:lineRule="exact"/>
      <w:ind w:firstLine="480" w:firstLineChars="200"/>
      <w:jc w:val="both"/>
    </w:pPr>
    <w:rPr>
      <w:rFonts w:cs="仿宋_GB2312"/>
      <w:kern w:val="2"/>
      <w:sz w:val="21"/>
      <w:szCs w:val="24"/>
      <w:lang w:val="en-US" w:bidi="ar-SA"/>
    </w:rPr>
  </w:style>
  <w:style w:type="paragraph" w:customStyle="1" w:styleId="281">
    <w:name w:val="简单回函地址"/>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82">
    <w:name w:val="正文文本缩进1"/>
    <w:basedOn w:val="1"/>
    <w:qFormat/>
    <w:uiPriority w:val="0"/>
    <w:pPr>
      <w:widowControl/>
      <w:autoSpaceDE/>
      <w:autoSpaceDN/>
      <w:snapToGrid w:val="0"/>
      <w:spacing w:line="440" w:lineRule="atLeast"/>
      <w:ind w:left="2400" w:hanging="1980"/>
      <w:jc w:val="center"/>
    </w:pPr>
    <w:rPr>
      <w:rFonts w:hint="eastAsia" w:hAnsi="Times New Roman" w:cs="Times New Roman"/>
      <w:sz w:val="24"/>
      <w:szCs w:val="20"/>
      <w:lang w:val="en-US" w:bidi="ar-SA"/>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lang w:val="en-US" w:bidi="ar-SA"/>
    </w:rPr>
  </w:style>
  <w:style w:type="paragraph" w:customStyle="1" w:styleId="284">
    <w:name w:val="xl3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4"/>
      <w:szCs w:val="24"/>
      <w:lang w:val="en-US" w:bidi="ar-SA"/>
    </w:rPr>
  </w:style>
  <w:style w:type="paragraph" w:customStyle="1" w:styleId="285">
    <w:name w:val="￥正文"/>
    <w:basedOn w:val="1"/>
    <w:qFormat/>
    <w:uiPriority w:val="0"/>
    <w:pPr>
      <w:autoSpaceDE/>
      <w:autoSpaceDN/>
      <w:spacing w:line="360" w:lineRule="auto"/>
      <w:ind w:firstLine="200" w:firstLineChars="200"/>
      <w:jc w:val="both"/>
    </w:pPr>
    <w:rPr>
      <w:rFonts w:ascii="Calibri" w:hAnsi="Calibri" w:cs="Times New Roman"/>
      <w:sz w:val="24"/>
      <w:szCs w:val="24"/>
      <w:lang w:val="en-US" w:eastAsia="en-US" w:bidi="ar-SA"/>
    </w:rPr>
  </w:style>
  <w:style w:type="paragraph" w:customStyle="1" w:styleId="286">
    <w:name w:val="表格1"/>
    <w:basedOn w:val="1"/>
    <w:qFormat/>
    <w:uiPriority w:val="0"/>
    <w:pPr>
      <w:autoSpaceDE/>
      <w:autoSpaceDN/>
      <w:adjustRightInd w:val="0"/>
      <w:spacing w:line="420" w:lineRule="atLeast"/>
      <w:ind w:left="284"/>
      <w:jc w:val="both"/>
      <w:textAlignment w:val="baseline"/>
    </w:pPr>
    <w:rPr>
      <w:rFonts w:ascii="Times New Roman" w:hAnsi="Times New Roman" w:cs="Times New Roman"/>
      <w:sz w:val="21"/>
      <w:szCs w:val="20"/>
      <w:lang w:val="en-US" w:bidi="ar-SA"/>
    </w:rPr>
  </w:style>
  <w:style w:type="paragraph" w:customStyle="1" w:styleId="287">
    <w:name w:val="表格内容"/>
    <w:basedOn w:val="1"/>
    <w:qFormat/>
    <w:uiPriority w:val="0"/>
    <w:pPr>
      <w:widowControl/>
      <w:adjustRightInd w:val="0"/>
      <w:ind w:left="-99" w:leftChars="-37"/>
      <w:jc w:val="center"/>
      <w:textAlignment w:val="baseline"/>
    </w:pPr>
    <w:rPr>
      <w:rFonts w:ascii="Times New Roman" w:cs="Times New Roman"/>
      <w:sz w:val="24"/>
      <w:szCs w:val="21"/>
      <w:lang w:val="en-US" w:bidi="ar-SA"/>
    </w:rPr>
  </w:style>
  <w:style w:type="paragraph" w:customStyle="1" w:styleId="288">
    <w:name w:val="xl2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cs="Times New Roman"/>
      <w:sz w:val="20"/>
      <w:szCs w:val="20"/>
      <w:lang w:val="en-US" w:bidi="ar-SA"/>
    </w:rPr>
  </w:style>
  <w:style w:type="paragraph" w:customStyle="1" w:styleId="289">
    <w:name w:val="TOC 标题2"/>
    <w:basedOn w:val="5"/>
    <w:next w:val="1"/>
    <w:unhideWhenUsed/>
    <w:qFormat/>
    <w:uiPriority w:val="39"/>
    <w:pPr>
      <w:keepNext/>
      <w:keepLines/>
      <w:widowControl/>
      <w:tabs>
        <w:tab w:val="left" w:pos="5220"/>
      </w:tabs>
      <w:autoSpaceDE/>
      <w:autoSpaceDN/>
      <w:spacing w:before="480" w:after="330" w:line="276" w:lineRule="auto"/>
      <w:ind w:hanging="1110"/>
      <w:jc w:val="left"/>
      <w:outlineLvl w:val="9"/>
    </w:pPr>
    <w:rPr>
      <w:rFonts w:ascii="Cambria" w:hAnsi="Cambria" w:cs="Times New Roman"/>
      <w:b/>
      <w:color w:val="366091"/>
      <w:sz w:val="28"/>
      <w:szCs w:val="28"/>
      <w:lang w:val="en-US" w:bidi="ar-SA"/>
    </w:rPr>
  </w:style>
  <w:style w:type="paragraph" w:customStyle="1" w:styleId="290">
    <w:name w:val="公告正文"/>
    <w:basedOn w:val="1"/>
    <w:qFormat/>
    <w:uiPriority w:val="0"/>
    <w:pPr>
      <w:autoSpaceDE/>
      <w:autoSpaceDN/>
      <w:spacing w:line="400" w:lineRule="atLeast"/>
      <w:ind w:firstLine="437"/>
      <w:jc w:val="both"/>
    </w:pPr>
    <w:rPr>
      <w:rFonts w:hAnsi="Times New Roman" w:cs="Times New Roman"/>
      <w:kern w:val="2"/>
      <w:sz w:val="24"/>
      <w:szCs w:val="24"/>
      <w:lang w:val="en-US" w:bidi="ar-SA"/>
    </w:rPr>
  </w:style>
  <w:style w:type="paragraph" w:customStyle="1" w:styleId="291">
    <w:name w:val="自动更正"/>
    <w:qFormat/>
    <w:uiPriority w:val="0"/>
    <w:pPr>
      <w:widowControl w:val="0"/>
      <w:jc w:val="both"/>
    </w:pPr>
    <w:rPr>
      <w:kern w:val="2"/>
      <w:sz w:val="21"/>
      <w:szCs w:val="24"/>
      <w:lang w:val="en-US" w:eastAsia="zh-CN" w:bidi="ar-SA"/>
    </w:rPr>
  </w:style>
  <w:style w:type="character" w:customStyle="1" w:styleId="292">
    <w:name w:val="font121"/>
    <w:qFormat/>
    <w:uiPriority w:val="0"/>
    <w:rPr>
      <w:rFonts w:hint="eastAsia" w:ascii="微软雅黑" w:hAnsi="微软雅黑" w:eastAsia="微软雅黑" w:cs="微软雅黑"/>
      <w:b/>
      <w:bCs/>
      <w:color w:val="000000"/>
      <w:sz w:val="36"/>
      <w:szCs w:val="36"/>
      <w:u w:val="none"/>
    </w:rPr>
  </w:style>
  <w:style w:type="character" w:customStyle="1" w:styleId="293">
    <w:name w:val="font91"/>
    <w:qFormat/>
    <w:uiPriority w:val="0"/>
    <w:rPr>
      <w:rFonts w:hint="eastAsia" w:ascii="微软雅黑" w:hAnsi="微软雅黑" w:eastAsia="微软雅黑" w:cs="微软雅黑"/>
      <w:b/>
      <w:bCs/>
      <w:color w:val="000000"/>
      <w:sz w:val="28"/>
      <w:szCs w:val="28"/>
      <w:u w:val="none"/>
    </w:rPr>
  </w:style>
  <w:style w:type="character" w:customStyle="1" w:styleId="294">
    <w:name w:val="font81"/>
    <w:qFormat/>
    <w:uiPriority w:val="0"/>
    <w:rPr>
      <w:rFonts w:hint="eastAsia" w:ascii="微软雅黑" w:hAnsi="微软雅黑" w:eastAsia="微软雅黑" w:cs="微软雅黑"/>
      <w:b/>
      <w:bCs/>
      <w:color w:val="000000"/>
      <w:sz w:val="28"/>
      <w:szCs w:val="28"/>
      <w:u w:val="none"/>
    </w:rPr>
  </w:style>
  <w:style w:type="character" w:customStyle="1" w:styleId="295">
    <w:name w:val="font131"/>
    <w:qFormat/>
    <w:uiPriority w:val="0"/>
    <w:rPr>
      <w:rFonts w:hint="eastAsia" w:ascii="微软雅黑" w:hAnsi="微软雅黑" w:eastAsia="微软雅黑" w:cs="微软雅黑"/>
      <w:color w:val="000000"/>
      <w:sz w:val="28"/>
      <w:szCs w:val="28"/>
      <w:u w:val="none"/>
    </w:rPr>
  </w:style>
  <w:style w:type="paragraph" w:customStyle="1" w:styleId="296">
    <w:name w:val="*正文"/>
    <w:basedOn w:val="1"/>
    <w:qFormat/>
    <w:uiPriority w:val="0"/>
    <w:pPr>
      <w:widowControl/>
      <w:autoSpaceDE/>
      <w:autoSpaceDN/>
      <w:ind w:firstLine="200"/>
      <w:jc w:val="both"/>
    </w:pPr>
    <w:rPr>
      <w:rFonts w:cs="Times New Roman"/>
      <w:sz w:val="21"/>
      <w:szCs w:val="24"/>
      <w:lang w:val="en-US" w:bidi="ar-SA"/>
    </w:rPr>
  </w:style>
  <w:style w:type="paragraph" w:customStyle="1" w:styleId="297">
    <w:name w:val="表格正文"/>
    <w:qFormat/>
    <w:uiPriority w:val="99"/>
    <w:pPr>
      <w:jc w:val="center"/>
    </w:pPr>
    <w:rPr>
      <w:rFonts w:ascii="宋体" w:hAnsi="宋体" w:cs="宋体"/>
      <w:kern w:val="2"/>
      <w:sz w:val="21"/>
      <w:szCs w:val="21"/>
      <w:lang w:val="en-US" w:eastAsia="zh-CN" w:bidi="ar-SA"/>
    </w:rPr>
  </w:style>
  <w:style w:type="paragraph" w:customStyle="1" w:styleId="298">
    <w:name w:val="表格小4字"/>
    <w:basedOn w:val="1"/>
    <w:next w:val="1"/>
    <w:qFormat/>
    <w:uiPriority w:val="0"/>
    <w:pPr>
      <w:widowControl/>
      <w:autoSpaceDE/>
      <w:autoSpaceDN/>
      <w:spacing w:line="300" w:lineRule="auto"/>
      <w:jc w:val="center"/>
    </w:pPr>
    <w:rPr>
      <w:rFonts w:ascii="Times New Roman" w:hAnsi="Times New Roman" w:cs="Times New Roman"/>
      <w:sz w:val="21"/>
      <w:szCs w:val="28"/>
      <w:lang w:val="en-US" w:bidi="ar-SA"/>
    </w:rPr>
  </w:style>
  <w:style w:type="paragraph" w:customStyle="1" w:styleId="299">
    <w:name w:val="表格"/>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300">
    <w:name w:val="Body text|1"/>
    <w:basedOn w:val="1"/>
    <w:qFormat/>
    <w:uiPriority w:val="0"/>
    <w:pPr>
      <w:widowControl w:val="0"/>
      <w:shd w:val="clear" w:color="auto" w:fill="auto"/>
      <w:spacing w:line="446" w:lineRule="auto"/>
      <w:ind w:firstLine="40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ettings.xml" Type="http://schemas.openxmlformats.org/officeDocument/2006/relationships/setting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emf" Type="http://schemas.openxmlformats.org/officeDocument/2006/relationships/image"/><Relationship Id="rId26" Target="../customXml/item1.xml" Type="http://schemas.openxmlformats.org/officeDocument/2006/relationships/customXml"/><Relationship Id="rId27" Target="numbering.xml" Type="http://schemas.openxmlformats.org/officeDocument/2006/relationships/numbering"/><Relationship Id="rId28"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195</Pages>
  <Words>110436</Words>
  <Characters>123049</Characters>
  <Lines>459</Lines>
  <Paragraphs>129</Paragraphs>
  <TotalTime>1</TotalTime>
  <ScaleCrop>false</ScaleCrop>
  <LinksUpToDate>false</LinksUpToDate>
  <CharactersWithSpaces>127785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2022-07-10T03:57:00Z</dcterms:created>
  <dc:creator>小青</dc:creator>
  <cp:lastModifiedBy>WPS_1701756769</cp:lastModifiedBy>
  <cp:lastPrinted>2022-11-17T06:56:45Z</cp:lastPrinted>
  <dcterms:modified xsi:type="dcterms:W3CDTF">2024-02-22T03:20:22Z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4CB0F71B016541A88CE76D7FEC4464FF_13</vt:lpwstr>
  </property>
</Properties>
</file>