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56" w:beforeLines="50"/>
        <w:jc w:val="right"/>
        <w:rPr>
          <w:rFonts w:hint="default" w:ascii="宋体" w:hAnsi="宋体" w:eastAsia="宋体"/>
          <w:color w:val="auto"/>
          <w:sz w:val="30"/>
          <w:szCs w:val="30"/>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-1014095</wp:posOffset>
            </wp:positionH>
            <wp:positionV relativeFrom="paragraph">
              <wp:posOffset>-738505</wp:posOffset>
            </wp:positionV>
            <wp:extent cx="7454900" cy="10601325"/>
            <wp:effectExtent l="0" t="0" r="12700" b="571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7454900" cy="10601325"/>
                    </a:xfrm>
                    <a:prstGeom prst="rect">
                      <a:avLst/>
                    </a:prstGeom>
                    <a:noFill/>
                    <a:ln>
                      <a:noFill/>
                    </a:ln>
                  </pic:spPr>
                </pic:pic>
              </a:graphicData>
            </a:graphic>
          </wp:anchor>
        </w:drawing>
      </w:r>
      <w:r>
        <w:rPr>
          <w:rFonts w:ascii="仿宋_GB2312" w:eastAsia="仿宋_GB2312"/>
          <w:b/>
          <w:bCs/>
          <w:color w:val="auto"/>
          <w:spacing w:val="-20"/>
          <w:kern w:val="0"/>
          <w:sz w:val="48"/>
          <w:szCs w:val="48"/>
          <w:highlight w:val="none"/>
          <w:u w:val="single"/>
        </w:rPr>
        <w:drawing>
          <wp:anchor distT="0" distB="0" distL="114300" distR="114300" simplePos="0" relativeHeight="251660288" behindDoc="0" locked="0" layoutInCell="1" allowOverlap="1">
            <wp:simplePos x="0" y="0"/>
            <wp:positionH relativeFrom="column">
              <wp:posOffset>-116840</wp:posOffset>
            </wp:positionH>
            <wp:positionV relativeFrom="paragraph">
              <wp:posOffset>419100</wp:posOffset>
            </wp:positionV>
            <wp:extent cx="1537335" cy="989965"/>
            <wp:effectExtent l="0" t="0" r="1905" b="635"/>
            <wp:wrapSquare wrapText="bothSides"/>
            <wp:docPr id="2" name="图片 1" descr="C:\Users\DELL\AppData\Local\Temp\WeChat Files\eac2354c04163b3af708a5e41b81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DELL\AppData\Local\Temp\WeChat Files\eac2354c04163b3af708a5e41b81978.png"/>
                    <pic:cNvPicPr>
                      <a:picLocks noChangeAspect="1"/>
                    </pic:cNvPicPr>
                  </pic:nvPicPr>
                  <pic:blipFill>
                    <a:blip r:embed="rId11"/>
                    <a:stretch>
                      <a:fillRect/>
                    </a:stretch>
                  </pic:blipFill>
                  <pic:spPr>
                    <a:xfrm>
                      <a:off x="0" y="0"/>
                      <a:ext cx="1537335" cy="989965"/>
                    </a:xfrm>
                    <a:prstGeom prst="rect">
                      <a:avLst/>
                    </a:prstGeom>
                    <a:noFill/>
                    <a:ln>
                      <a:noFill/>
                    </a:ln>
                  </pic:spPr>
                </pic:pic>
              </a:graphicData>
            </a:graphic>
          </wp:anchor>
        </w:drawing>
      </w:r>
      <w:r>
        <w:rPr>
          <w:rFonts w:hint="eastAsia" w:ascii="宋体" w:hAnsi="宋体"/>
          <w:b/>
          <w:color w:val="auto"/>
          <w:sz w:val="30"/>
          <w:szCs w:val="30"/>
          <w:highlight w:val="none"/>
        </w:rPr>
        <w:t xml:space="preserve"> </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交易登记号：</w:t>
      </w:r>
      <w:r>
        <w:rPr>
          <w:rFonts w:hint="eastAsia" w:ascii="宋体" w:hAnsi="宋体"/>
          <w:b/>
          <w:color w:val="auto"/>
          <w:sz w:val="30"/>
          <w:szCs w:val="30"/>
          <w:highlight w:val="none"/>
          <w:lang w:val="en-US" w:eastAsia="zh-CN"/>
        </w:rPr>
        <w:t xml:space="preserve">                 </w:t>
      </w:r>
    </w:p>
    <w:p>
      <w:pPr>
        <w:spacing w:before="156" w:beforeLines="50"/>
        <w:jc w:val="right"/>
        <w:rPr>
          <w:rFonts w:ascii="宋体" w:hAnsi="宋体"/>
          <w:color w:val="auto"/>
          <w:sz w:val="30"/>
          <w:szCs w:val="30"/>
          <w:highlight w:val="none"/>
        </w:rPr>
      </w:pPr>
    </w:p>
    <w:p>
      <w:pPr>
        <w:widowControl/>
        <w:spacing w:before="120" w:after="120" w:line="440" w:lineRule="exact"/>
        <w:jc w:val="center"/>
        <w:rPr>
          <w:rFonts w:ascii="仿宋" w:hAnsi="仿宋" w:eastAsia="仿宋"/>
          <w:color w:val="auto"/>
          <w:sz w:val="28"/>
          <w:szCs w:val="28"/>
          <w:highlight w:val="none"/>
        </w:rPr>
      </w:pPr>
    </w:p>
    <w:p>
      <w:pPr>
        <w:widowControl/>
        <w:spacing w:before="120" w:after="120" w:line="440" w:lineRule="exact"/>
        <w:jc w:val="both"/>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spacing w:line="360" w:lineRule="auto"/>
        <w:jc w:val="center"/>
        <w:outlineLvl w:val="0"/>
        <w:rPr>
          <w:rFonts w:ascii="宋体" w:hAnsi="宋体"/>
          <w:b/>
          <w:color w:val="auto"/>
          <w:sz w:val="72"/>
          <w:szCs w:val="72"/>
          <w:highlight w:val="none"/>
        </w:rPr>
      </w:pPr>
      <w:bookmarkStart w:id="0" w:name="_Toc3915"/>
      <w:bookmarkStart w:id="1" w:name="_Toc12997"/>
      <w:r>
        <w:rPr>
          <w:rFonts w:hint="eastAsia" w:ascii="宋体" w:hAnsi="宋体"/>
          <w:b/>
          <w:color w:val="auto"/>
          <w:sz w:val="72"/>
          <w:szCs w:val="72"/>
          <w:highlight w:val="none"/>
        </w:rPr>
        <w:t>政府采购项目</w:t>
      </w:r>
      <w:bookmarkEnd w:id="0"/>
      <w:bookmarkEnd w:id="1"/>
    </w:p>
    <w:p>
      <w:pPr>
        <w:spacing w:line="360" w:lineRule="auto"/>
        <w:jc w:val="center"/>
        <w:outlineLvl w:val="0"/>
        <w:rPr>
          <w:rFonts w:ascii="宋体" w:hAnsi="宋体"/>
          <w:b/>
          <w:color w:val="auto"/>
          <w:sz w:val="72"/>
          <w:highlight w:val="none"/>
        </w:rPr>
      </w:pPr>
      <w:bookmarkStart w:id="2" w:name="_Toc31757"/>
      <w:bookmarkStart w:id="3" w:name="_Toc30721"/>
      <w:r>
        <w:rPr>
          <w:rFonts w:hint="eastAsia" w:ascii="宋体" w:hAnsi="宋体"/>
          <w:b/>
          <w:color w:val="auto"/>
          <w:sz w:val="72"/>
          <w:highlight w:val="none"/>
        </w:rPr>
        <w:t>公开招标采购文件</w:t>
      </w:r>
      <w:bookmarkEnd w:id="2"/>
      <w:bookmarkEnd w:id="3"/>
    </w:p>
    <w:p>
      <w:pPr>
        <w:pStyle w:val="2"/>
        <w:rPr>
          <w:rFonts w:ascii="仿宋" w:hAnsi="仿宋" w:eastAsia="仿宋"/>
          <w:color w:val="auto"/>
          <w:sz w:val="72"/>
          <w:szCs w:val="72"/>
          <w:highlight w:val="none"/>
        </w:rPr>
      </w:pPr>
    </w:p>
    <w:p>
      <w:pPr>
        <w:pStyle w:val="60"/>
        <w:rPr>
          <w:color w:val="auto"/>
          <w:highlight w:val="none"/>
        </w:rPr>
      </w:pPr>
    </w:p>
    <w:p>
      <w:pPr>
        <w:pStyle w:val="60"/>
        <w:rPr>
          <w:color w:val="auto"/>
          <w:highlight w:val="none"/>
        </w:rPr>
      </w:pPr>
    </w:p>
    <w:p>
      <w:pPr>
        <w:widowControl/>
        <w:spacing w:before="120" w:after="120" w:line="440" w:lineRule="exact"/>
        <w:rPr>
          <w:rFonts w:hint="eastAsia" w:asciiTheme="minorEastAsia" w:hAnsiTheme="minorEastAsia" w:eastAsiaTheme="minorEastAsia"/>
          <w:color w:val="auto"/>
          <w:sz w:val="32"/>
          <w:szCs w:val="28"/>
          <w:highlight w:val="none"/>
          <w:lang w:eastAsia="zh-CN"/>
        </w:rPr>
      </w:pPr>
      <w:r>
        <w:rPr>
          <w:rFonts w:hint="eastAsia" w:asciiTheme="minorEastAsia" w:hAnsiTheme="minorEastAsia" w:eastAsiaTheme="minorEastAsia"/>
          <w:color w:val="auto"/>
          <w:sz w:val="32"/>
          <w:szCs w:val="28"/>
          <w:highlight w:val="none"/>
        </w:rPr>
        <w:t>项目编号：</w:t>
      </w:r>
      <w:r>
        <w:rPr>
          <w:rFonts w:hint="eastAsia" w:asciiTheme="minorEastAsia" w:hAnsiTheme="minorEastAsia" w:eastAsiaTheme="minorEastAsia"/>
          <w:color w:val="auto"/>
          <w:sz w:val="32"/>
          <w:szCs w:val="28"/>
          <w:highlight w:val="none"/>
          <w:lang w:eastAsia="zh-CN"/>
        </w:rPr>
        <w:t>HX-2024-1044</w:t>
      </w:r>
    </w:p>
    <w:p>
      <w:pPr>
        <w:widowControl/>
        <w:spacing w:before="120" w:after="120" w:line="440" w:lineRule="exact"/>
        <w:rPr>
          <w:rFonts w:hint="eastAsia" w:asciiTheme="minorEastAsia" w:hAnsiTheme="minorEastAsia" w:eastAsiaTheme="minorEastAsia"/>
          <w:color w:val="auto"/>
          <w:sz w:val="32"/>
          <w:szCs w:val="28"/>
          <w:highlight w:val="none"/>
        </w:rPr>
      </w:pPr>
    </w:p>
    <w:p>
      <w:pPr>
        <w:widowControl/>
        <w:spacing w:before="120" w:after="120" w:line="440" w:lineRule="exact"/>
        <w:rPr>
          <w:rFonts w:hint="eastAsia" w:asciiTheme="minorEastAsia" w:hAnsiTheme="minorEastAsia" w:eastAsiaTheme="minorEastAsia"/>
          <w:color w:val="auto"/>
          <w:sz w:val="32"/>
          <w:szCs w:val="28"/>
          <w:highlight w:val="none"/>
          <w:lang w:eastAsia="zh-CN"/>
        </w:rPr>
      </w:pPr>
      <w:r>
        <w:rPr>
          <w:rFonts w:hint="eastAsia" w:asciiTheme="minorEastAsia" w:hAnsiTheme="minorEastAsia" w:eastAsiaTheme="minorEastAsia"/>
          <w:color w:val="auto"/>
          <w:sz w:val="32"/>
          <w:szCs w:val="28"/>
          <w:highlight w:val="none"/>
        </w:rPr>
        <w:t>项目名称：</w:t>
      </w:r>
      <w:r>
        <w:rPr>
          <w:rFonts w:hint="eastAsia" w:asciiTheme="minorEastAsia" w:hAnsiTheme="minorEastAsia" w:eastAsiaTheme="minorEastAsia"/>
          <w:color w:val="auto"/>
          <w:sz w:val="32"/>
          <w:szCs w:val="28"/>
          <w:highlight w:val="none"/>
          <w:lang w:eastAsia="zh-CN"/>
        </w:rPr>
        <w:t>2024年度前江街道雨污管网养护项目</w:t>
      </w:r>
    </w:p>
    <w:p>
      <w:pPr>
        <w:widowControl/>
        <w:spacing w:before="120" w:after="120" w:line="440" w:lineRule="exact"/>
        <w:rPr>
          <w:rFonts w:asciiTheme="minorEastAsia" w:hAnsiTheme="minorEastAsia" w:eastAsiaTheme="minorEastAsia"/>
          <w:color w:val="auto"/>
          <w:sz w:val="32"/>
          <w:szCs w:val="28"/>
          <w:highlight w:val="none"/>
        </w:rPr>
      </w:pPr>
    </w:p>
    <w:p>
      <w:pPr>
        <w:pStyle w:val="47"/>
        <w:rPr>
          <w:rFonts w:asciiTheme="minorEastAsia" w:hAnsiTheme="minorEastAsia" w:eastAsiaTheme="minorEastAsia"/>
          <w:color w:val="auto"/>
          <w:kern w:val="2"/>
          <w:sz w:val="32"/>
          <w:szCs w:val="28"/>
          <w:highlight w:val="none"/>
        </w:rPr>
      </w:pPr>
    </w:p>
    <w:p>
      <w:pPr>
        <w:pStyle w:val="37"/>
        <w:rPr>
          <w:color w:val="auto"/>
          <w:highlight w:val="none"/>
        </w:rPr>
      </w:pPr>
    </w:p>
    <w:p>
      <w:pPr>
        <w:widowControl/>
        <w:spacing w:before="120" w:after="120" w:line="440" w:lineRule="exact"/>
        <w:rPr>
          <w:rFonts w:hint="eastAsia" w:asciiTheme="minorEastAsia" w:hAnsiTheme="minorEastAsia" w:eastAsiaTheme="minorEastAsia"/>
          <w:color w:val="auto"/>
          <w:sz w:val="32"/>
          <w:szCs w:val="28"/>
          <w:highlight w:val="none"/>
          <w:lang w:eastAsia="zh-CN"/>
        </w:rPr>
      </w:pPr>
      <w:r>
        <w:rPr>
          <w:rFonts w:hint="eastAsia" w:asciiTheme="minorEastAsia" w:hAnsiTheme="minorEastAsia" w:eastAsiaTheme="minorEastAsia"/>
          <w:color w:val="auto"/>
          <w:sz w:val="32"/>
          <w:szCs w:val="28"/>
          <w:highlight w:val="none"/>
        </w:rPr>
        <w:t>采购单位：</w:t>
      </w:r>
      <w:r>
        <w:rPr>
          <w:rFonts w:hint="eastAsia" w:asciiTheme="minorEastAsia" w:hAnsiTheme="minorEastAsia" w:eastAsiaTheme="minorEastAsia"/>
          <w:color w:val="auto"/>
          <w:sz w:val="32"/>
          <w:szCs w:val="28"/>
          <w:highlight w:val="none"/>
          <w:lang w:eastAsia="zh-CN"/>
        </w:rPr>
        <w:tab/>
      </w:r>
      <w:r>
        <w:rPr>
          <w:rFonts w:hint="eastAsia" w:asciiTheme="minorEastAsia" w:hAnsiTheme="minorEastAsia" w:eastAsiaTheme="minorEastAsia"/>
          <w:color w:val="auto"/>
          <w:sz w:val="32"/>
          <w:szCs w:val="28"/>
          <w:highlight w:val="none"/>
          <w:lang w:eastAsia="zh-CN"/>
        </w:rPr>
        <w:t>宁波市江北区人民政府前江街道办事处</w:t>
      </w:r>
    </w:p>
    <w:p>
      <w:pPr>
        <w:widowControl/>
        <w:spacing w:before="120" w:after="120" w:line="440" w:lineRule="exact"/>
        <w:rPr>
          <w:rFonts w:hint="eastAsia" w:asciiTheme="minorEastAsia" w:hAnsiTheme="minorEastAsia" w:eastAsiaTheme="minorEastAsia"/>
          <w:color w:val="auto"/>
          <w:sz w:val="32"/>
          <w:szCs w:val="28"/>
          <w:highlight w:val="none"/>
        </w:rPr>
      </w:pPr>
    </w:p>
    <w:p>
      <w:pPr>
        <w:widowControl/>
        <w:spacing w:before="120" w:after="120" w:line="440" w:lineRule="exact"/>
        <w:rPr>
          <w:rFonts w:asciiTheme="minorEastAsia" w:hAnsiTheme="minorEastAsia" w:eastAsiaTheme="minorEastAsia"/>
          <w:color w:val="auto"/>
          <w:sz w:val="32"/>
          <w:szCs w:val="28"/>
          <w:highlight w:val="none"/>
        </w:rPr>
      </w:pPr>
      <w:r>
        <w:rPr>
          <w:rFonts w:hint="eastAsia" w:asciiTheme="minorEastAsia" w:hAnsiTheme="minorEastAsia" w:eastAsiaTheme="minorEastAsia"/>
          <w:color w:val="auto"/>
          <w:sz w:val="32"/>
          <w:szCs w:val="28"/>
          <w:highlight w:val="none"/>
        </w:rPr>
        <w:t>招标代理机构：宁波华欣建设项目管理有限公司</w:t>
      </w:r>
    </w:p>
    <w:p>
      <w:pPr>
        <w:widowControl/>
        <w:spacing w:before="120" w:after="120" w:line="440" w:lineRule="exact"/>
        <w:jc w:val="center"/>
        <w:rPr>
          <w:rFonts w:asciiTheme="minorEastAsia" w:hAnsiTheme="minorEastAsia" w:eastAsiaTheme="minorEastAsia"/>
          <w:color w:val="auto"/>
          <w:sz w:val="30"/>
          <w:szCs w:val="30"/>
          <w:highlight w:val="none"/>
        </w:rPr>
      </w:pPr>
    </w:p>
    <w:p>
      <w:pPr>
        <w:widowControl/>
        <w:spacing w:before="120" w:after="120" w:line="440" w:lineRule="exact"/>
        <w:jc w:val="center"/>
        <w:rPr>
          <w:rFonts w:asciiTheme="minorEastAsia" w:hAnsiTheme="minorEastAsia" w:eastAsiaTheme="minorEastAsia"/>
          <w:color w:val="auto"/>
          <w:sz w:val="30"/>
          <w:szCs w:val="30"/>
          <w:highlight w:val="none"/>
        </w:rPr>
      </w:pPr>
    </w:p>
    <w:p>
      <w:pPr>
        <w:pStyle w:val="26"/>
        <w:snapToGrid w:val="0"/>
        <w:spacing w:line="360" w:lineRule="auto"/>
        <w:jc w:val="center"/>
        <w:rPr>
          <w:rFonts w:asciiTheme="minorEastAsia" w:hAnsiTheme="minorEastAsia"/>
          <w:b/>
          <w:bCs/>
          <w:color w:val="auto"/>
          <w:w w:val="95"/>
          <w:sz w:val="30"/>
          <w:szCs w:val="30"/>
          <w:highlight w:val="none"/>
        </w:rPr>
      </w:pPr>
      <w:r>
        <w:rPr>
          <w:rFonts w:hint="eastAsia" w:asciiTheme="minorEastAsia" w:hAnsiTheme="minorEastAsia"/>
          <w:color w:val="auto"/>
          <w:sz w:val="30"/>
          <w:szCs w:val="30"/>
          <w:highlight w:val="none"/>
          <w:lang w:eastAsia="zh-CN"/>
        </w:rPr>
        <w:t>2024</w:t>
      </w:r>
      <w:r>
        <w:rPr>
          <w:rFonts w:hint="eastAsia" w:asciiTheme="minorEastAsia" w:hAnsiTheme="minorEastAsia"/>
          <w:color w:val="auto"/>
          <w:sz w:val="30"/>
          <w:szCs w:val="30"/>
          <w:highlight w:val="none"/>
        </w:rPr>
        <w:t>年</w:t>
      </w:r>
      <w:r>
        <w:rPr>
          <w:rFonts w:hint="eastAsia" w:asciiTheme="minorEastAsia" w:hAnsiTheme="minorEastAsia"/>
          <w:color w:val="auto"/>
          <w:sz w:val="30"/>
          <w:szCs w:val="30"/>
          <w:highlight w:val="none"/>
          <w:lang w:val="en-US" w:eastAsia="zh-CN"/>
        </w:rPr>
        <w:t>4</w:t>
      </w:r>
      <w:r>
        <w:rPr>
          <w:rFonts w:hint="eastAsia" w:asciiTheme="minorEastAsia" w:hAnsiTheme="minorEastAsia"/>
          <w:color w:val="auto"/>
          <w:sz w:val="30"/>
          <w:szCs w:val="30"/>
          <w:highlight w:val="none"/>
        </w:rPr>
        <w:t>月</w:t>
      </w:r>
    </w:p>
    <w:p>
      <w:pPr>
        <w:spacing w:line="1200" w:lineRule="exact"/>
        <w:jc w:val="center"/>
        <w:rPr>
          <w:rFonts w:ascii="宋体" w:hAnsi="宋体"/>
          <w:b/>
          <w:color w:val="auto"/>
          <w:sz w:val="56"/>
          <w:szCs w:val="72"/>
          <w:highlight w:val="none"/>
        </w:rPr>
      </w:pPr>
      <w:r>
        <w:rPr>
          <w:rFonts w:hint="eastAsia" w:ascii="宋体" w:hAnsi="宋体"/>
          <w:b/>
          <w:color w:val="auto"/>
          <w:sz w:val="56"/>
          <w:szCs w:val="72"/>
          <w:highlight w:val="none"/>
        </w:rPr>
        <w:t>温馨提醒</w:t>
      </w:r>
    </w:p>
    <w:p>
      <w:pPr>
        <w:spacing w:line="700" w:lineRule="exact"/>
        <w:jc w:val="center"/>
        <w:rPr>
          <w:rFonts w:ascii="宋体" w:hAnsi="宋体"/>
          <w:b/>
          <w:color w:val="auto"/>
          <w:sz w:val="52"/>
          <w:szCs w:val="52"/>
          <w:highlight w:val="none"/>
        </w:rPr>
      </w:pPr>
    </w:p>
    <w:p>
      <w:pPr>
        <w:spacing w:line="1000" w:lineRule="exac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、投标文件应按招标文件要求将“资格文件”、“商务技术文件”、“报价文件”分别编制。</w:t>
      </w:r>
    </w:p>
    <w:p>
      <w:pPr>
        <w:spacing w:line="1000" w:lineRule="exac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、“商务技术文件”中不得出现涉及投标价格的内容，否则作无效标处理。</w:t>
      </w:r>
    </w:p>
    <w:p>
      <w:pPr>
        <w:spacing w:line="1000" w:lineRule="exac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spacing w:line="1000" w:lineRule="exact"/>
        <w:rPr>
          <w:rFonts w:ascii="宋体" w:hAnsi="宋体"/>
          <w:b/>
          <w:color w:val="auto"/>
          <w:sz w:val="30"/>
          <w:szCs w:val="30"/>
          <w:highlight w:val="none"/>
        </w:rPr>
      </w:pPr>
      <w:r>
        <w:rPr>
          <w:rFonts w:hint="eastAsia" w:ascii="宋体" w:hAnsi="宋体"/>
          <w:b/>
          <w:color w:val="auto"/>
          <w:sz w:val="30"/>
          <w:szCs w:val="30"/>
          <w:highlight w:val="none"/>
        </w:rPr>
        <w:t>4、建议供应商自带电脑，以便于开标现场解密投标文件。</w:t>
      </w:r>
    </w:p>
    <w:p>
      <w:pPr>
        <w:jc w:val="center"/>
        <w:rPr>
          <w:rFonts w:ascii="宋体" w:hAnsi="宋体"/>
          <w:b/>
          <w:bCs/>
          <w:color w:val="auto"/>
          <w:sz w:val="32"/>
          <w:szCs w:val="32"/>
          <w:highlight w:val="none"/>
        </w:rPr>
      </w:pPr>
    </w:p>
    <w:p>
      <w:pPr>
        <w:pStyle w:val="47"/>
        <w:rPr>
          <w:color w:val="auto"/>
          <w:highlight w:val="none"/>
        </w:rPr>
      </w:pPr>
    </w:p>
    <w:p>
      <w:pPr>
        <w:pStyle w:val="47"/>
        <w:rPr>
          <w:color w:val="auto"/>
          <w:highlight w:val="none"/>
        </w:rPr>
      </w:pPr>
    </w:p>
    <w:p>
      <w:pPr>
        <w:pStyle w:val="26"/>
        <w:spacing w:line="600" w:lineRule="auto"/>
        <w:jc w:val="center"/>
        <w:rPr>
          <w:rFonts w:ascii="创艺简标宋" w:hAnsi="宋体" w:eastAsia="创艺简标宋"/>
          <w:color w:val="auto"/>
          <w:sz w:val="36"/>
          <w:szCs w:val="36"/>
          <w:highlight w:val="none"/>
        </w:rPr>
      </w:pPr>
    </w:p>
    <w:sdt>
      <w:sdtPr>
        <w:rPr>
          <w:rFonts w:ascii="宋体" w:hAnsi="宋体" w:eastAsia="宋体" w:cs="Times New Roman"/>
          <w:color w:val="auto"/>
          <w:kern w:val="2"/>
          <w:sz w:val="21"/>
          <w:szCs w:val="24"/>
          <w:highlight w:val="none"/>
          <w:lang w:val="en-US" w:eastAsia="zh-CN" w:bidi="ar-SA"/>
        </w:rPr>
        <w:id w:val="14745948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bookmarkStart w:id="4" w:name="_Toc25110"/>
          <w:bookmarkStart w:id="5" w:name="_Toc141878071"/>
        </w:p>
        <w:p>
          <w:pPr>
            <w:rPr>
              <w:rFonts w:ascii="宋体" w:hAnsi="宋体" w:eastAsia="宋体" w:cs="Times New Roman"/>
              <w:color w:val="auto"/>
              <w:kern w:val="2"/>
              <w:sz w:val="21"/>
              <w:szCs w:val="24"/>
              <w:highlight w:val="none"/>
              <w:lang w:val="en-US" w:eastAsia="zh-CN" w:bidi="ar-SA"/>
            </w:rPr>
          </w:pPr>
          <w:r>
            <w:rPr>
              <w:rFonts w:ascii="宋体" w:hAnsi="宋体" w:eastAsia="宋体" w:cs="Times New Roman"/>
              <w:color w:val="auto"/>
              <w:kern w:val="2"/>
              <w:sz w:val="21"/>
              <w:szCs w:val="24"/>
              <w:highlight w:val="none"/>
              <w:lang w:val="en-US" w:eastAsia="zh-CN" w:bidi="ar-SA"/>
            </w:rPr>
            <w:br w:type="page"/>
          </w:r>
        </w:p>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44"/>
              <w:szCs w:val="44"/>
              <w:highlight w:val="none"/>
            </w:rPr>
          </w:pPr>
          <w:r>
            <w:rPr>
              <w:rFonts w:ascii="宋体" w:hAnsi="宋体" w:eastAsia="宋体"/>
              <w:color w:val="auto"/>
              <w:sz w:val="44"/>
              <w:szCs w:val="44"/>
              <w:highlight w:val="none"/>
            </w:rPr>
            <w:t>目录</w:t>
          </w:r>
        </w:p>
        <w:p>
          <w:pPr>
            <w:pStyle w:val="173"/>
            <w:keepNext w:val="0"/>
            <w:keepLines w:val="0"/>
            <w:pageBreakBefore w:val="0"/>
            <w:tabs>
              <w:tab w:val="right" w:leader="dot" w:pos="8789"/>
            </w:tabs>
            <w:kinsoku/>
            <w:wordWrap/>
            <w:overflowPunct/>
            <w:topLinePunct w:val="0"/>
            <w:autoSpaceDE/>
            <w:autoSpaceDN/>
            <w:bidi w:val="0"/>
            <w:adjustRightInd/>
            <w:snapToGrid/>
            <w:spacing w:line="48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TOC \o "1-1" \h \u </w:instrText>
          </w:r>
          <w:r>
            <w:rPr>
              <w:color w:val="auto"/>
              <w:sz w:val="32"/>
              <w:szCs w:val="32"/>
              <w:highlight w:val="none"/>
            </w:rPr>
            <w:fldChar w:fldCharType="separate"/>
          </w:r>
          <w:r>
            <w:rPr>
              <w:color w:val="auto"/>
              <w:sz w:val="32"/>
              <w:szCs w:val="32"/>
              <w:highlight w:val="none"/>
            </w:rPr>
            <w:fldChar w:fldCharType="begin"/>
          </w:r>
          <w:r>
            <w:rPr>
              <w:color w:val="auto"/>
              <w:sz w:val="32"/>
              <w:szCs w:val="32"/>
              <w:highlight w:val="none"/>
            </w:rPr>
            <w:instrText xml:space="preserve"> HYPERLINK \l _Toc23848 </w:instrText>
          </w:r>
          <w:r>
            <w:rPr>
              <w:color w:val="auto"/>
              <w:sz w:val="32"/>
              <w:szCs w:val="32"/>
              <w:highlight w:val="none"/>
            </w:rPr>
            <w:fldChar w:fldCharType="separate"/>
          </w:r>
          <w:r>
            <w:rPr>
              <w:rFonts w:hint="eastAsia"/>
              <w:color w:val="auto"/>
              <w:sz w:val="32"/>
              <w:szCs w:val="32"/>
              <w:highlight w:val="none"/>
            </w:rPr>
            <w:t>第一章  公开招标采购公告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_Toc23848 \h </w:instrText>
          </w:r>
          <w:r>
            <w:rPr>
              <w:color w:val="auto"/>
              <w:sz w:val="32"/>
              <w:szCs w:val="32"/>
              <w:highlight w:val="none"/>
            </w:rPr>
            <w:fldChar w:fldCharType="separate"/>
          </w:r>
          <w:r>
            <w:rPr>
              <w:color w:val="auto"/>
              <w:sz w:val="32"/>
              <w:szCs w:val="32"/>
              <w:highlight w:val="none"/>
            </w:rPr>
            <w:t>4</w:t>
          </w:r>
          <w:r>
            <w:rPr>
              <w:color w:val="auto"/>
              <w:sz w:val="32"/>
              <w:szCs w:val="32"/>
              <w:highlight w:val="none"/>
            </w:rPr>
            <w:fldChar w:fldCharType="end"/>
          </w:r>
          <w:r>
            <w:rPr>
              <w:color w:val="auto"/>
              <w:sz w:val="32"/>
              <w:szCs w:val="32"/>
              <w:highlight w:val="none"/>
            </w:rPr>
            <w:fldChar w:fldCharType="end"/>
          </w:r>
        </w:p>
        <w:p>
          <w:pPr>
            <w:pStyle w:val="173"/>
            <w:keepNext w:val="0"/>
            <w:keepLines w:val="0"/>
            <w:pageBreakBefore w:val="0"/>
            <w:tabs>
              <w:tab w:val="right" w:leader="dot" w:pos="8789"/>
            </w:tabs>
            <w:kinsoku/>
            <w:wordWrap/>
            <w:overflowPunct/>
            <w:topLinePunct w:val="0"/>
            <w:autoSpaceDE/>
            <w:autoSpaceDN/>
            <w:bidi w:val="0"/>
            <w:adjustRightInd/>
            <w:snapToGrid/>
            <w:spacing w:line="48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_Toc23825 </w:instrText>
          </w:r>
          <w:r>
            <w:rPr>
              <w:color w:val="auto"/>
              <w:sz w:val="32"/>
              <w:szCs w:val="32"/>
              <w:highlight w:val="none"/>
            </w:rPr>
            <w:fldChar w:fldCharType="separate"/>
          </w:r>
          <w:r>
            <w:rPr>
              <w:rFonts w:hint="eastAsia"/>
              <w:color w:val="auto"/>
              <w:sz w:val="32"/>
              <w:szCs w:val="32"/>
              <w:highlight w:val="none"/>
            </w:rPr>
            <w:t>第二章  招标需求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_Toc23825 \h </w:instrText>
          </w:r>
          <w:r>
            <w:rPr>
              <w:color w:val="auto"/>
              <w:sz w:val="32"/>
              <w:szCs w:val="32"/>
              <w:highlight w:val="none"/>
            </w:rPr>
            <w:fldChar w:fldCharType="separate"/>
          </w:r>
          <w:r>
            <w:rPr>
              <w:color w:val="auto"/>
              <w:sz w:val="32"/>
              <w:szCs w:val="32"/>
              <w:highlight w:val="none"/>
            </w:rPr>
            <w:t>8</w:t>
          </w:r>
          <w:r>
            <w:rPr>
              <w:color w:val="auto"/>
              <w:sz w:val="32"/>
              <w:szCs w:val="32"/>
              <w:highlight w:val="none"/>
            </w:rPr>
            <w:fldChar w:fldCharType="end"/>
          </w:r>
          <w:r>
            <w:rPr>
              <w:color w:val="auto"/>
              <w:sz w:val="32"/>
              <w:szCs w:val="32"/>
              <w:highlight w:val="none"/>
            </w:rPr>
            <w:fldChar w:fldCharType="end"/>
          </w:r>
        </w:p>
        <w:p>
          <w:pPr>
            <w:pStyle w:val="173"/>
            <w:keepNext w:val="0"/>
            <w:keepLines w:val="0"/>
            <w:pageBreakBefore w:val="0"/>
            <w:tabs>
              <w:tab w:val="right" w:leader="dot" w:pos="8789"/>
            </w:tabs>
            <w:kinsoku/>
            <w:wordWrap/>
            <w:overflowPunct/>
            <w:topLinePunct w:val="0"/>
            <w:autoSpaceDE/>
            <w:autoSpaceDN/>
            <w:bidi w:val="0"/>
            <w:adjustRightInd/>
            <w:snapToGrid/>
            <w:spacing w:line="48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_Toc777 </w:instrText>
          </w:r>
          <w:r>
            <w:rPr>
              <w:color w:val="auto"/>
              <w:sz w:val="32"/>
              <w:szCs w:val="32"/>
              <w:highlight w:val="none"/>
            </w:rPr>
            <w:fldChar w:fldCharType="separate"/>
          </w:r>
          <w:r>
            <w:rPr>
              <w:rFonts w:hint="eastAsia"/>
              <w:color w:val="auto"/>
              <w:sz w:val="32"/>
              <w:szCs w:val="32"/>
              <w:highlight w:val="none"/>
            </w:rPr>
            <w:t>第三章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_Toc777 \h </w:instrText>
          </w:r>
          <w:r>
            <w:rPr>
              <w:color w:val="auto"/>
              <w:sz w:val="32"/>
              <w:szCs w:val="32"/>
              <w:highlight w:val="none"/>
            </w:rPr>
            <w:fldChar w:fldCharType="separate"/>
          </w:r>
          <w:r>
            <w:rPr>
              <w:color w:val="auto"/>
              <w:sz w:val="32"/>
              <w:szCs w:val="32"/>
              <w:highlight w:val="none"/>
            </w:rPr>
            <w:t>15</w:t>
          </w:r>
          <w:r>
            <w:rPr>
              <w:color w:val="auto"/>
              <w:sz w:val="32"/>
              <w:szCs w:val="32"/>
              <w:highlight w:val="none"/>
            </w:rPr>
            <w:fldChar w:fldCharType="end"/>
          </w:r>
          <w:r>
            <w:rPr>
              <w:color w:val="auto"/>
              <w:sz w:val="32"/>
              <w:szCs w:val="32"/>
              <w:highlight w:val="none"/>
            </w:rPr>
            <w:fldChar w:fldCharType="end"/>
          </w:r>
        </w:p>
        <w:p>
          <w:pPr>
            <w:pStyle w:val="173"/>
            <w:keepNext w:val="0"/>
            <w:keepLines w:val="0"/>
            <w:pageBreakBefore w:val="0"/>
            <w:tabs>
              <w:tab w:val="right" w:leader="dot" w:pos="8789"/>
            </w:tabs>
            <w:kinsoku/>
            <w:wordWrap/>
            <w:overflowPunct/>
            <w:topLinePunct w:val="0"/>
            <w:autoSpaceDE/>
            <w:autoSpaceDN/>
            <w:bidi w:val="0"/>
            <w:adjustRightInd/>
            <w:snapToGrid/>
            <w:spacing w:line="48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_Toc16204 </w:instrText>
          </w:r>
          <w:r>
            <w:rPr>
              <w:color w:val="auto"/>
              <w:sz w:val="32"/>
              <w:szCs w:val="32"/>
              <w:highlight w:val="none"/>
            </w:rPr>
            <w:fldChar w:fldCharType="separate"/>
          </w:r>
          <w:r>
            <w:rPr>
              <w:rFonts w:hint="eastAsia"/>
              <w:color w:val="auto"/>
              <w:sz w:val="32"/>
              <w:szCs w:val="32"/>
              <w:highlight w:val="none"/>
            </w:rPr>
            <w:t>第四章  评标办法及评分标准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_Toc16204 \h </w:instrText>
          </w:r>
          <w:r>
            <w:rPr>
              <w:color w:val="auto"/>
              <w:sz w:val="32"/>
              <w:szCs w:val="32"/>
              <w:highlight w:val="none"/>
            </w:rPr>
            <w:fldChar w:fldCharType="separate"/>
          </w:r>
          <w:r>
            <w:rPr>
              <w:color w:val="auto"/>
              <w:sz w:val="32"/>
              <w:szCs w:val="32"/>
              <w:highlight w:val="none"/>
            </w:rPr>
            <w:t>30</w:t>
          </w:r>
          <w:r>
            <w:rPr>
              <w:color w:val="auto"/>
              <w:sz w:val="32"/>
              <w:szCs w:val="32"/>
              <w:highlight w:val="none"/>
            </w:rPr>
            <w:fldChar w:fldCharType="end"/>
          </w:r>
          <w:r>
            <w:rPr>
              <w:color w:val="auto"/>
              <w:sz w:val="32"/>
              <w:szCs w:val="32"/>
              <w:highlight w:val="none"/>
            </w:rPr>
            <w:fldChar w:fldCharType="end"/>
          </w:r>
        </w:p>
        <w:p>
          <w:pPr>
            <w:pStyle w:val="173"/>
            <w:keepNext w:val="0"/>
            <w:keepLines w:val="0"/>
            <w:pageBreakBefore w:val="0"/>
            <w:tabs>
              <w:tab w:val="right" w:leader="dot" w:pos="8789"/>
            </w:tabs>
            <w:kinsoku/>
            <w:wordWrap/>
            <w:overflowPunct/>
            <w:topLinePunct w:val="0"/>
            <w:autoSpaceDE/>
            <w:autoSpaceDN/>
            <w:bidi w:val="0"/>
            <w:adjustRightInd/>
            <w:snapToGrid/>
            <w:spacing w:line="48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_Toc26843 </w:instrText>
          </w:r>
          <w:r>
            <w:rPr>
              <w:color w:val="auto"/>
              <w:sz w:val="32"/>
              <w:szCs w:val="32"/>
              <w:highlight w:val="none"/>
            </w:rPr>
            <w:fldChar w:fldCharType="separate"/>
          </w:r>
          <w:r>
            <w:rPr>
              <w:rFonts w:hint="eastAsia"/>
              <w:color w:val="auto"/>
              <w:sz w:val="32"/>
              <w:szCs w:val="32"/>
              <w:highlight w:val="none"/>
            </w:rPr>
            <w:t>第五章  合同主要条款</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_Toc26843 \h </w:instrText>
          </w:r>
          <w:r>
            <w:rPr>
              <w:color w:val="auto"/>
              <w:sz w:val="32"/>
              <w:szCs w:val="32"/>
              <w:highlight w:val="none"/>
            </w:rPr>
            <w:fldChar w:fldCharType="separate"/>
          </w:r>
          <w:r>
            <w:rPr>
              <w:color w:val="auto"/>
              <w:sz w:val="32"/>
              <w:szCs w:val="32"/>
              <w:highlight w:val="none"/>
            </w:rPr>
            <w:t>39</w:t>
          </w:r>
          <w:r>
            <w:rPr>
              <w:color w:val="auto"/>
              <w:sz w:val="32"/>
              <w:szCs w:val="32"/>
              <w:highlight w:val="none"/>
            </w:rPr>
            <w:fldChar w:fldCharType="end"/>
          </w:r>
          <w:r>
            <w:rPr>
              <w:color w:val="auto"/>
              <w:sz w:val="32"/>
              <w:szCs w:val="32"/>
              <w:highlight w:val="none"/>
            </w:rPr>
            <w:fldChar w:fldCharType="end"/>
          </w:r>
        </w:p>
        <w:p>
          <w:pPr>
            <w:pStyle w:val="173"/>
            <w:keepNext w:val="0"/>
            <w:keepLines w:val="0"/>
            <w:pageBreakBefore w:val="0"/>
            <w:tabs>
              <w:tab w:val="right" w:leader="dot" w:pos="8789"/>
            </w:tabs>
            <w:kinsoku/>
            <w:wordWrap/>
            <w:overflowPunct/>
            <w:topLinePunct w:val="0"/>
            <w:autoSpaceDE/>
            <w:autoSpaceDN/>
            <w:bidi w:val="0"/>
            <w:adjustRightInd/>
            <w:snapToGrid/>
            <w:spacing w:line="48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_Toc30617 </w:instrText>
          </w:r>
          <w:r>
            <w:rPr>
              <w:color w:val="auto"/>
              <w:sz w:val="32"/>
              <w:szCs w:val="32"/>
              <w:highlight w:val="none"/>
            </w:rPr>
            <w:fldChar w:fldCharType="separate"/>
          </w:r>
          <w:r>
            <w:rPr>
              <w:rFonts w:hint="eastAsia"/>
              <w:color w:val="auto"/>
              <w:sz w:val="32"/>
              <w:szCs w:val="32"/>
              <w:highlight w:val="none"/>
            </w:rPr>
            <w:t>第六章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_Toc30617 \h </w:instrText>
          </w:r>
          <w:r>
            <w:rPr>
              <w:color w:val="auto"/>
              <w:sz w:val="32"/>
              <w:szCs w:val="32"/>
              <w:highlight w:val="none"/>
            </w:rPr>
            <w:fldChar w:fldCharType="separate"/>
          </w:r>
          <w:r>
            <w:rPr>
              <w:color w:val="auto"/>
              <w:sz w:val="32"/>
              <w:szCs w:val="32"/>
              <w:highlight w:val="none"/>
            </w:rPr>
            <w:t>43</w:t>
          </w:r>
          <w:r>
            <w:rPr>
              <w:color w:val="auto"/>
              <w:sz w:val="32"/>
              <w:szCs w:val="32"/>
              <w:highlight w:val="none"/>
            </w:rPr>
            <w:fldChar w:fldCharType="end"/>
          </w:r>
          <w:r>
            <w:rPr>
              <w:color w:val="auto"/>
              <w:sz w:val="32"/>
              <w:szCs w:val="32"/>
              <w:highlight w:val="none"/>
            </w:rPr>
            <w:fldChar w:fldCharType="end"/>
          </w:r>
        </w:p>
        <w:p>
          <w:pPr>
            <w:keepNext w:val="0"/>
            <w:keepLines w:val="0"/>
            <w:pageBreakBefore w:val="0"/>
            <w:kinsoku/>
            <w:wordWrap/>
            <w:overflowPunct/>
            <w:topLinePunct w:val="0"/>
            <w:autoSpaceDE/>
            <w:autoSpaceDN/>
            <w:bidi w:val="0"/>
            <w:adjustRightInd/>
            <w:snapToGrid/>
            <w:spacing w:line="480" w:lineRule="auto"/>
            <w:textAlignment w:val="auto"/>
            <w:rPr>
              <w:color w:val="auto"/>
              <w:highlight w:val="none"/>
            </w:rPr>
          </w:pPr>
          <w:r>
            <w:rPr>
              <w:color w:val="auto"/>
              <w:sz w:val="32"/>
              <w:szCs w:val="32"/>
              <w:highlight w:val="none"/>
            </w:rPr>
            <w:fldChar w:fldCharType="end"/>
          </w:r>
        </w:p>
      </w:sdtContent>
    </w:sdt>
    <w:p>
      <w:pPr>
        <w:rPr>
          <w:rFonts w:hint="eastAsia"/>
          <w:color w:val="auto"/>
          <w:highlight w:val="none"/>
        </w:rPr>
      </w:pPr>
      <w:bookmarkStart w:id="6" w:name="_Toc23848"/>
      <w:r>
        <w:rPr>
          <w:rFonts w:hint="eastAsia"/>
          <w:color w:val="auto"/>
          <w:highlight w:val="none"/>
        </w:rPr>
        <w:br w:type="page"/>
      </w:r>
    </w:p>
    <w:p>
      <w:pPr>
        <w:pStyle w:val="4"/>
        <w:bidi w:val="0"/>
        <w:jc w:val="center"/>
        <w:outlineLvl w:val="0"/>
        <w:rPr>
          <w:color w:val="auto"/>
          <w:highlight w:val="none"/>
        </w:rPr>
      </w:pPr>
      <w:r>
        <w:rPr>
          <w:rFonts w:hint="eastAsia"/>
          <w:color w:val="auto"/>
          <w:highlight w:val="none"/>
        </w:rPr>
        <w:t>第一章  公开招标采购公告</w:t>
      </w:r>
      <w:bookmarkEnd w:id="4"/>
      <w:bookmarkEnd w:id="5"/>
      <w:bookmarkEnd w:id="6"/>
      <w:bookmarkStart w:id="7" w:name="_Toc496687407"/>
    </w:p>
    <w:tbl>
      <w:tblPr>
        <w:tblStyle w:val="4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045" w:type="dxa"/>
          </w:tcPr>
          <w:p>
            <w:pPr>
              <w:keepNext w:val="0"/>
              <w:keepLines w:val="0"/>
              <w:pageBreakBefore w:val="0"/>
              <w:kinsoku/>
              <w:wordWrap w:val="0"/>
              <w:overflowPunct/>
              <w:topLinePunct w:val="0"/>
              <w:autoSpaceDE/>
              <w:autoSpaceDN/>
              <w:bidi w:val="0"/>
              <w:adjustRightInd/>
              <w:spacing w:line="360" w:lineRule="auto"/>
              <w:textAlignment w:val="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项目概况</w:t>
            </w:r>
          </w:p>
          <w:p>
            <w:pPr>
              <w:keepNext w:val="0"/>
              <w:keepLines w:val="0"/>
              <w:pageBreakBefore w:val="0"/>
              <w:kinsoku/>
              <w:wordWrap w:val="0"/>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lang w:eastAsia="zh-CN"/>
              </w:rPr>
              <w:t>2024年度前江街道雨污管网养护项目</w:t>
            </w:r>
            <w:r>
              <w:rPr>
                <w:rFonts w:asciiTheme="minorEastAsia" w:hAnsiTheme="minorEastAsia" w:eastAsiaTheme="minorEastAsia"/>
                <w:color w:val="auto"/>
                <w:szCs w:val="21"/>
                <w:highlight w:val="none"/>
              </w:rPr>
              <w:t>招标项目</w:t>
            </w:r>
            <w:r>
              <w:rPr>
                <w:rFonts w:hint="eastAsia" w:asciiTheme="minorEastAsia" w:hAnsiTheme="minorEastAsia" w:eastAsiaTheme="minorEastAsia"/>
                <w:color w:val="auto"/>
                <w:szCs w:val="21"/>
                <w:highlight w:val="none"/>
              </w:rPr>
              <w:t>的潜在投标人应在</w:t>
            </w:r>
            <w:r>
              <w:rPr>
                <w:rFonts w:asciiTheme="minorEastAsia" w:hAnsiTheme="minorEastAsia" w:eastAsiaTheme="minorEastAsia"/>
                <w:color w:val="auto"/>
                <w:szCs w:val="21"/>
                <w:highlight w:val="none"/>
              </w:rPr>
              <w:t>浙江政府采购云平台（www.zcygov.cn）获取（下载）招标文件</w:t>
            </w:r>
            <w:r>
              <w:rPr>
                <w:rFonts w:hint="eastAsia" w:asciiTheme="minorEastAsia" w:hAnsiTheme="minorEastAsia" w:eastAsiaTheme="minorEastAsia"/>
                <w:color w:val="auto"/>
                <w:szCs w:val="21"/>
                <w:highlight w:val="none"/>
              </w:rPr>
              <w:t>，并于</w:t>
            </w:r>
            <w:r>
              <w:rPr>
                <w:rFonts w:hint="eastAsia" w:asciiTheme="minorEastAsia" w:hAnsiTheme="minorEastAsia" w:eastAsiaTheme="minorEastAsia"/>
                <w:b w:val="0"/>
                <w:bCs w:val="0"/>
                <w:color w:val="auto"/>
                <w:szCs w:val="21"/>
                <w:highlight w:val="none"/>
                <w:lang w:eastAsia="zh-CN"/>
              </w:rPr>
              <w:t>2024</w:t>
            </w:r>
            <w:r>
              <w:rPr>
                <w:rFonts w:hint="eastAsia" w:asciiTheme="minorEastAsia" w:hAnsiTheme="minorEastAsia" w:eastAsiaTheme="minorEastAsia"/>
                <w:b w:val="0"/>
                <w:bCs w:val="0"/>
                <w:color w:val="auto"/>
                <w:szCs w:val="21"/>
                <w:highlight w:val="none"/>
              </w:rPr>
              <w:t>年</w:t>
            </w:r>
            <w:r>
              <w:rPr>
                <w:rFonts w:hint="eastAsia" w:cs="Arial" w:asciiTheme="minorEastAsia" w:hAnsiTheme="minorEastAsia" w:eastAsiaTheme="minorEastAsia"/>
                <w:b w:val="0"/>
                <w:bCs w:val="0"/>
                <w:color w:val="auto"/>
                <w:szCs w:val="21"/>
                <w:highlight w:val="none"/>
                <w:u w:val="single"/>
                <w:lang w:val="en-US" w:eastAsia="zh-CN"/>
              </w:rPr>
              <w:t>6</w:t>
            </w:r>
            <w:r>
              <w:rPr>
                <w:rFonts w:hint="eastAsia" w:cs="Arial" w:asciiTheme="minorEastAsia" w:hAnsiTheme="minorEastAsia" w:eastAsiaTheme="minorEastAsia"/>
                <w:b w:val="0"/>
                <w:bCs w:val="0"/>
                <w:color w:val="auto"/>
                <w:szCs w:val="21"/>
                <w:highlight w:val="none"/>
              </w:rPr>
              <w:t>月</w:t>
            </w:r>
            <w:r>
              <w:rPr>
                <w:rFonts w:hint="eastAsia" w:cs="Arial" w:asciiTheme="minorEastAsia" w:hAnsiTheme="minorEastAsia" w:eastAsiaTheme="minorEastAsia"/>
                <w:b w:val="0"/>
                <w:bCs w:val="0"/>
                <w:color w:val="auto"/>
                <w:szCs w:val="21"/>
                <w:highlight w:val="none"/>
                <w:u w:val="single"/>
                <w:lang w:val="en-US" w:eastAsia="zh-CN"/>
              </w:rPr>
              <w:t>4</w:t>
            </w:r>
            <w:r>
              <w:rPr>
                <w:rFonts w:hint="eastAsia" w:cs="Arial" w:asciiTheme="minorEastAsia" w:hAnsiTheme="minorEastAsia" w:eastAsiaTheme="minorEastAsia"/>
                <w:b w:val="0"/>
                <w:bCs w:val="0"/>
                <w:color w:val="auto"/>
                <w:szCs w:val="21"/>
                <w:highlight w:val="none"/>
              </w:rPr>
              <w:t>日</w:t>
            </w:r>
            <w:r>
              <w:rPr>
                <w:rFonts w:hint="eastAsia" w:cs="Arial" w:asciiTheme="minorEastAsia" w:hAnsiTheme="minorEastAsia" w:eastAsiaTheme="minorEastAsia"/>
                <w:b w:val="0"/>
                <w:bCs w:val="0"/>
                <w:color w:val="auto"/>
                <w:szCs w:val="21"/>
                <w:highlight w:val="none"/>
                <w:u w:val="single"/>
                <w:lang w:val="en-US" w:eastAsia="zh-CN"/>
              </w:rPr>
              <w:t xml:space="preserve"> 14 </w:t>
            </w:r>
            <w:r>
              <w:rPr>
                <w:rFonts w:hint="eastAsia" w:cs="Arial" w:asciiTheme="minorEastAsia" w:hAnsiTheme="minorEastAsia" w:eastAsiaTheme="minorEastAsia"/>
                <w:b w:val="0"/>
                <w:bCs w:val="0"/>
                <w:color w:val="auto"/>
                <w:szCs w:val="21"/>
                <w:highlight w:val="none"/>
              </w:rPr>
              <w:t>:</w:t>
            </w:r>
            <w:r>
              <w:rPr>
                <w:rFonts w:hint="eastAsia" w:cs="Arial" w:asciiTheme="minorEastAsia" w:hAnsiTheme="minorEastAsia" w:eastAsiaTheme="minorEastAsia"/>
                <w:b w:val="0"/>
                <w:bCs w:val="0"/>
                <w:color w:val="auto"/>
                <w:szCs w:val="21"/>
                <w:highlight w:val="none"/>
                <w:u w:val="single"/>
                <w:lang w:val="en-US" w:eastAsia="zh-CN"/>
              </w:rPr>
              <w:t xml:space="preserve"> 00 </w:t>
            </w:r>
            <w:r>
              <w:rPr>
                <w:rFonts w:hint="eastAsia" w:asciiTheme="minorEastAsia" w:hAnsiTheme="minorEastAsia" w:eastAsiaTheme="minorEastAsia"/>
                <w:b w:val="0"/>
                <w:bCs w:val="0"/>
                <w:color w:val="auto"/>
                <w:szCs w:val="21"/>
                <w:highlight w:val="none"/>
              </w:rPr>
              <w:t>（北</w:t>
            </w:r>
            <w:r>
              <w:rPr>
                <w:rFonts w:hint="eastAsia" w:asciiTheme="minorEastAsia" w:hAnsiTheme="minorEastAsia" w:eastAsiaTheme="minorEastAsia"/>
                <w:color w:val="auto"/>
                <w:szCs w:val="21"/>
                <w:highlight w:val="none"/>
              </w:rPr>
              <w:t>京时间）前递交（上传）投标文件。</w:t>
            </w:r>
          </w:p>
        </w:tc>
      </w:tr>
    </w:tbl>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w:t>
      </w:r>
      <w:r>
        <w:rPr>
          <w:rFonts w:hint="eastAsia" w:asciiTheme="minorEastAsia" w:hAnsiTheme="minorEastAsia" w:eastAsiaTheme="minorEastAsia"/>
          <w:b/>
          <w:color w:val="auto"/>
          <w:szCs w:val="21"/>
          <w:highlight w:val="none"/>
        </w:rPr>
        <w:t>项目基本情况</w:t>
      </w:r>
    </w:p>
    <w:p>
      <w:pPr>
        <w:keepNext w:val="0"/>
        <w:keepLines w:val="0"/>
        <w:pageBreakBefore w:val="0"/>
        <w:kinsoku/>
        <w:overflowPunct/>
        <w:topLinePunct w:val="0"/>
        <w:autoSpaceDE/>
        <w:autoSpaceDN/>
        <w:bidi w:val="0"/>
        <w:adjustRightInd/>
        <w:spacing w:line="360" w:lineRule="auto"/>
        <w:textAlignment w:val="auto"/>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项目编号：FSCG2024088</w:t>
      </w:r>
      <w:r>
        <w:rPr>
          <w:rFonts w:hint="eastAsia" w:asciiTheme="minorEastAsia" w:hAnsiTheme="minorEastAsia" w:eastAsiaTheme="minorEastAsia"/>
          <w:color w:val="auto"/>
          <w:szCs w:val="21"/>
          <w:highlight w:val="none"/>
          <w:lang w:eastAsia="zh-CN"/>
        </w:rPr>
        <w:t>（</w:t>
      </w:r>
      <w:r>
        <w:rPr>
          <w:rFonts w:hint="eastAsia" w:cs="Arial" w:asciiTheme="minorEastAsia" w:hAnsiTheme="minorEastAsia" w:eastAsiaTheme="minorEastAsia"/>
          <w:color w:val="auto"/>
          <w:szCs w:val="21"/>
          <w:highlight w:val="none"/>
          <w:lang w:eastAsia="zh-CN"/>
        </w:rPr>
        <w:t>HX-2024-1044</w:t>
      </w:r>
      <w:r>
        <w:rPr>
          <w:rFonts w:hint="eastAsia" w:asciiTheme="minorEastAsia" w:hAnsiTheme="minorEastAsia" w:eastAsiaTheme="minorEastAsia"/>
          <w:color w:val="auto"/>
          <w:szCs w:val="21"/>
          <w:highlight w:val="none"/>
          <w:lang w:eastAsia="zh-CN"/>
        </w:rPr>
        <w:t>）</w:t>
      </w:r>
    </w:p>
    <w:p>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2024年度前江街道雨污管网养护项目</w:t>
      </w:r>
    </w:p>
    <w:p>
      <w:pPr>
        <w:keepNext w:val="0"/>
        <w:keepLines w:val="0"/>
        <w:pageBreakBefore w:val="0"/>
        <w:kinsoku/>
        <w:overflowPunct/>
        <w:topLinePunct w:val="0"/>
        <w:autoSpaceDE/>
        <w:autoSpaceDN/>
        <w:bidi w:val="0"/>
        <w:adjustRightInd/>
        <w:spacing w:line="360" w:lineRule="auto"/>
        <w:textAlignment w:val="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预算金额</w:t>
      </w:r>
      <w:r>
        <w:rPr>
          <w:rFonts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1050000</w:t>
      </w:r>
    </w:p>
    <w:p>
      <w:pPr>
        <w:keepNext w:val="0"/>
        <w:keepLines w:val="0"/>
        <w:pageBreakBefore w:val="0"/>
        <w:kinsoku/>
        <w:overflowPunct/>
        <w:topLinePunct w:val="0"/>
        <w:autoSpaceDE/>
        <w:autoSpaceDN/>
        <w:bidi w:val="0"/>
        <w:adjustRightInd/>
        <w:spacing w:line="360" w:lineRule="auto"/>
        <w:textAlignment w:val="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最高限价</w:t>
      </w:r>
      <w:r>
        <w:rPr>
          <w:rFonts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1050000</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w:t>
      </w:r>
    </w:p>
    <w:p>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标项名称:</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eastAsia="zh-CN"/>
        </w:rPr>
        <w:t>2024年度前江街道雨污管网养护项目</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数量:</w:t>
      </w:r>
      <w:r>
        <w:rPr>
          <w:rFonts w:hint="eastAsia" w:asciiTheme="minorEastAsia" w:hAnsiTheme="minorEastAsia" w:eastAsiaTheme="minorEastAsia"/>
          <w:color w:val="auto"/>
          <w:szCs w:val="21"/>
          <w:highlight w:val="none"/>
        </w:rPr>
        <w:t>1</w:t>
      </w:r>
    </w:p>
    <w:p>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预算金额（元）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1050000</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简要规格描述或项目基本概况介绍、用途：</w:t>
      </w:r>
      <w:r>
        <w:rPr>
          <w:rFonts w:cs="Times New Roman" w:asciiTheme="minorEastAsia" w:hAnsiTheme="minorEastAsia" w:eastAsiaTheme="minorEastAsia"/>
          <w:color w:val="auto"/>
          <w:szCs w:val="21"/>
          <w:highlight w:val="none"/>
        </w:rPr>
        <w:t>详见招标文件“第二章 招标需求”</w:t>
      </w:r>
    </w:p>
    <w:p>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备注：</w:t>
      </w:r>
      <w:r>
        <w:rPr>
          <w:rFonts w:hint="eastAsia" w:asciiTheme="minorEastAsia" w:hAnsiTheme="minorEastAsia" w:eastAsiaTheme="minorEastAsia"/>
          <w:color w:val="auto"/>
          <w:szCs w:val="21"/>
          <w:highlight w:val="none"/>
          <w:lang w:val="en-US" w:eastAsia="zh-CN"/>
        </w:rPr>
        <w:t>/</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合同履约期限</w:t>
      </w:r>
      <w:r>
        <w:rPr>
          <w:rFonts w:hint="eastAsia" w:asciiTheme="minorEastAsia" w:hAnsiTheme="minorEastAsia" w:eastAsiaTheme="minorEastAsia"/>
          <w:color w:val="auto"/>
          <w:szCs w:val="21"/>
          <w:highlight w:val="none"/>
        </w:rPr>
        <w:t>：2年，本项目预算</w:t>
      </w:r>
      <w:r>
        <w:rPr>
          <w:rFonts w:hint="eastAsia" w:asciiTheme="minorEastAsia" w:hAnsiTheme="minorEastAsia" w:eastAsiaTheme="minorEastAsia"/>
          <w:color w:val="auto"/>
          <w:szCs w:val="21"/>
          <w:highlight w:val="none"/>
          <w:lang w:val="en-US" w:eastAsia="zh-CN"/>
        </w:rPr>
        <w:t>金额</w:t>
      </w:r>
      <w:r>
        <w:rPr>
          <w:rFonts w:hint="eastAsia" w:asciiTheme="minorEastAsia" w:hAnsiTheme="minorEastAsia" w:eastAsiaTheme="minorEastAsia"/>
          <w:color w:val="auto"/>
          <w:szCs w:val="21"/>
          <w:highlight w:val="none"/>
        </w:rPr>
        <w:t>为人民币</w:t>
      </w:r>
      <w:r>
        <w:rPr>
          <w:rFonts w:hint="eastAsia" w:asciiTheme="minorEastAsia" w:hAnsiTheme="minorEastAsia" w:eastAsiaTheme="minorEastAsia"/>
          <w:color w:val="auto"/>
          <w:szCs w:val="21"/>
          <w:highlight w:val="none"/>
          <w:lang w:val="en-US" w:eastAsia="zh-CN"/>
        </w:rPr>
        <w:t>105</w:t>
      </w:r>
      <w:r>
        <w:rPr>
          <w:rFonts w:hint="eastAsia" w:asciiTheme="minorEastAsia" w:hAnsiTheme="minorEastAsia" w:eastAsiaTheme="minorEastAsia"/>
          <w:color w:val="auto"/>
          <w:szCs w:val="21"/>
          <w:highlight w:val="none"/>
        </w:rPr>
        <w:t>万元/年。合同一年一签，第二年根据中标方服务情况、被考核情况和资金安排情况确定是否续订合同，合同期内服务费用不作调整。</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本项目（否）接受联合体投标。</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申请人的资格要求：</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eastAsia" w:asciiTheme="minorEastAsia" w:hAnsiTheme="minorEastAsia" w:eastAsiaTheme="minorEastAsia"/>
          <w:color w:val="auto"/>
          <w:spacing w:val="-2"/>
          <w:sz w:val="21"/>
          <w:szCs w:val="21"/>
          <w:highlight w:val="none"/>
        </w:rPr>
      </w:pPr>
      <w:r>
        <w:rPr>
          <w:rFonts w:hint="eastAsia" w:asciiTheme="minorEastAsia" w:hAnsiTheme="minorEastAsia" w:eastAsiaTheme="minorEastAsia"/>
          <w:color w:val="auto"/>
          <w:spacing w:val="-2"/>
          <w:sz w:val="21"/>
          <w:szCs w:val="21"/>
          <w:highlight w:val="none"/>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eastAsia" w:asciiTheme="minorEastAsia" w:hAnsiTheme="minorEastAsia" w:eastAsiaTheme="minorEastAsia"/>
          <w:color w:val="auto"/>
          <w:spacing w:val="-2"/>
          <w:sz w:val="21"/>
          <w:szCs w:val="21"/>
          <w:highlight w:val="none"/>
          <w:lang w:eastAsia="zh-CN"/>
        </w:rPr>
      </w:pPr>
      <w:r>
        <w:rPr>
          <w:rFonts w:hint="eastAsia" w:asciiTheme="minorEastAsia" w:hAnsiTheme="minorEastAsia" w:eastAsiaTheme="minorEastAsia"/>
          <w:color w:val="auto"/>
          <w:spacing w:val="-2"/>
          <w:sz w:val="21"/>
          <w:szCs w:val="21"/>
          <w:highlight w:val="none"/>
        </w:rPr>
        <w:t>2.落实政府采购政策需满足的资格要求：本项目属于专门面向中小企业采购的项目（服务全部由符合政策要求的中、小、微企业承接，提供中小企业声明函），供应商应为符合《政府采购促进中小企业发展管理办法》（财库﹝2020﹞46 号）规定的中小企业（其中，小微企业包括视同为小型、微型企业的监狱企业、残疾人福利性单位）</w:t>
      </w:r>
      <w:r>
        <w:rPr>
          <w:rFonts w:hint="eastAsia" w:asciiTheme="minorEastAsia" w:hAnsiTheme="minorEastAsia" w:eastAsiaTheme="minorEastAsia"/>
          <w:color w:val="auto"/>
          <w:spacing w:val="-2"/>
          <w:sz w:val="21"/>
          <w:szCs w:val="21"/>
          <w:highlight w:val="none"/>
          <w:lang w:eastAsia="zh-CN"/>
        </w:rPr>
        <w:t>。</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.本项目的特定资格条件：无</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三、获取招标文件：</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asciiTheme="minorEastAsia" w:hAnsiTheme="minorEastAsia" w:eastAsiaTheme="minorEastAsia"/>
          <w:color w:val="auto"/>
          <w:spacing w:val="-2"/>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时间：/至</w:t>
      </w:r>
      <w:r>
        <w:rPr>
          <w:rFonts w:hint="eastAsia" w:asciiTheme="minorEastAsia" w:hAnsiTheme="minorEastAsia" w:eastAsiaTheme="minorEastAsia"/>
          <w:color w:val="auto"/>
          <w:sz w:val="21"/>
          <w:szCs w:val="21"/>
          <w:highlight w:val="none"/>
          <w:lang w:eastAsia="zh-CN"/>
        </w:rPr>
        <w:t>2024</w:t>
      </w:r>
      <w:r>
        <w:rPr>
          <w:rFonts w:hint="eastAsia" w:asciiTheme="minorEastAsia" w:hAnsiTheme="minorEastAsia" w:eastAsiaTheme="minorEastAsia"/>
          <w:color w:val="auto"/>
          <w:sz w:val="21"/>
          <w:szCs w:val="21"/>
          <w:highlight w:val="none"/>
        </w:rPr>
        <w:t>年</w:t>
      </w:r>
      <w:r>
        <w:rPr>
          <w:rFonts w:hint="eastAsia" w:cs="Arial" w:asciiTheme="minorEastAsia" w:hAnsiTheme="minorEastAsia" w:eastAsiaTheme="minorEastAsia"/>
          <w:color w:val="auto"/>
          <w:sz w:val="21"/>
          <w:szCs w:val="21"/>
          <w:highlight w:val="none"/>
          <w:u w:val="single"/>
          <w:lang w:val="en-US" w:eastAsia="zh-CN"/>
        </w:rPr>
        <w:t>6</w:t>
      </w:r>
      <w:r>
        <w:rPr>
          <w:rFonts w:hint="eastAsia" w:cs="Arial" w:asciiTheme="minorEastAsia" w:hAnsiTheme="minorEastAsia" w:eastAsiaTheme="minorEastAsia"/>
          <w:color w:val="auto"/>
          <w:sz w:val="21"/>
          <w:szCs w:val="21"/>
          <w:highlight w:val="none"/>
        </w:rPr>
        <w:t>月</w:t>
      </w:r>
      <w:r>
        <w:rPr>
          <w:rFonts w:hint="eastAsia" w:cs="Arial" w:asciiTheme="minorEastAsia" w:hAnsiTheme="minorEastAsia" w:eastAsiaTheme="minorEastAsia"/>
          <w:color w:val="auto"/>
          <w:sz w:val="21"/>
          <w:szCs w:val="21"/>
          <w:highlight w:val="none"/>
          <w:u w:val="single"/>
          <w:lang w:val="en-US" w:eastAsia="zh-CN"/>
        </w:rPr>
        <w:t>4</w:t>
      </w:r>
      <w:r>
        <w:rPr>
          <w:rFonts w:hint="eastAsia" w:cs="Arial" w:asciiTheme="minorEastAsia" w:hAnsiTheme="minorEastAsia" w:eastAsiaTheme="minorEastAsia"/>
          <w:color w:val="auto"/>
          <w:sz w:val="21"/>
          <w:szCs w:val="21"/>
          <w:highlight w:val="none"/>
        </w:rPr>
        <w:t>日</w:t>
      </w:r>
      <w:r>
        <w:rPr>
          <w:rFonts w:hint="eastAsia" w:cs="Arial" w:asciiTheme="minorEastAsia" w:hAnsiTheme="minorEastAsia" w:eastAsiaTheme="minorEastAsia"/>
          <w:color w:val="auto"/>
          <w:sz w:val="21"/>
          <w:szCs w:val="21"/>
          <w:highlight w:val="none"/>
          <w:u w:val="single"/>
          <w:lang w:val="en-US" w:eastAsia="zh-CN"/>
        </w:rPr>
        <w:t>14</w:t>
      </w:r>
      <w:r>
        <w:rPr>
          <w:rFonts w:hint="eastAsia" w:cs="Arial" w:asciiTheme="minorEastAsia" w:hAnsiTheme="minorEastAsia" w:eastAsiaTheme="minorEastAsia"/>
          <w:color w:val="auto"/>
          <w:sz w:val="21"/>
          <w:szCs w:val="21"/>
          <w:highlight w:val="none"/>
        </w:rPr>
        <w:t>:</w:t>
      </w:r>
      <w:r>
        <w:rPr>
          <w:rFonts w:hint="eastAsia" w:cs="Arial" w:asciiTheme="minorEastAsia" w:hAnsiTheme="minorEastAsia" w:eastAsiaTheme="minorEastAsia"/>
          <w:color w:val="auto"/>
          <w:sz w:val="21"/>
          <w:szCs w:val="21"/>
          <w:highlight w:val="none"/>
          <w:u w:val="single"/>
          <w:lang w:val="en-US" w:eastAsia="zh-CN"/>
        </w:rPr>
        <w:t>00</w:t>
      </w:r>
      <w:r>
        <w:rPr>
          <w:rFonts w:hint="eastAsia" w:asciiTheme="minorEastAsia" w:hAnsiTheme="minorEastAsia" w:eastAsiaTheme="minorEastAsia"/>
          <w:color w:val="auto"/>
          <w:spacing w:val="-2"/>
          <w:sz w:val="21"/>
          <w:szCs w:val="21"/>
          <w:highlight w:val="none"/>
        </w:rPr>
        <w:t>（北京时间），每天上午00:00至12:00，下午12:00至23:59（北京时间，线上获取法定节假日均可，线下获取文件法定节假日除外）</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asciiTheme="minorEastAsia" w:hAnsiTheme="minorEastAsia" w:eastAsiaTheme="minorEastAsia"/>
          <w:color w:val="auto"/>
          <w:spacing w:val="-2"/>
          <w:sz w:val="21"/>
          <w:szCs w:val="21"/>
          <w:highlight w:val="none"/>
        </w:rPr>
      </w:pPr>
      <w:r>
        <w:rPr>
          <w:rFonts w:hint="eastAsia" w:asciiTheme="minorEastAsia" w:hAnsiTheme="minorEastAsia" w:eastAsiaTheme="minorEastAsia"/>
          <w:color w:val="auto"/>
          <w:spacing w:val="-2"/>
          <w:sz w:val="21"/>
          <w:szCs w:val="21"/>
          <w:highlight w:val="none"/>
        </w:rPr>
        <w:t>2</w:t>
      </w:r>
      <w:r>
        <w:rPr>
          <w:rFonts w:asciiTheme="minorEastAsia" w:hAnsiTheme="minorEastAsia" w:eastAsiaTheme="minorEastAsia"/>
          <w:color w:val="auto"/>
          <w:spacing w:val="-2"/>
          <w:sz w:val="21"/>
          <w:szCs w:val="21"/>
          <w:highlight w:val="none"/>
        </w:rPr>
        <w:t>.地点（网址）：政府采购云平台（www.zcygov.cn）</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2"/>
          <w:sz w:val="21"/>
          <w:szCs w:val="21"/>
          <w:highlight w:val="none"/>
        </w:rPr>
        <w:t>3</w:t>
      </w:r>
      <w:r>
        <w:rPr>
          <w:rFonts w:asciiTheme="minorEastAsia" w:hAnsiTheme="minorEastAsia" w:eastAsiaTheme="minorEastAsia"/>
          <w:color w:val="auto"/>
          <w:spacing w:val="-2"/>
          <w:sz w:val="21"/>
          <w:szCs w:val="21"/>
          <w:highlight w:val="none"/>
        </w:rPr>
        <w:t>.方式：</w:t>
      </w:r>
      <w:r>
        <w:rPr>
          <w:rFonts w:hint="eastAsia" w:asciiTheme="minorEastAsia" w:hAnsiTheme="minorEastAsia" w:eastAsiaTheme="minorEastAsia"/>
          <w:color w:val="auto"/>
          <w:spacing w:val="-2"/>
          <w:sz w:val="21"/>
          <w:szCs w:val="21"/>
          <w:highlight w:val="none"/>
        </w:rPr>
        <w:t>供应商登录政府采购云平台（www.zcygov.cn）的注册账号后，进入政采云系统“项目采购”模块“获取采购文件”菜单，进行网上获取采购文件。如有疑问请及时咨询网站客服，咨询电话：95763。获取采购文件前，供应商应按照《浙江省政府采购供应商注册及诚</w:t>
      </w:r>
      <w:r>
        <w:rPr>
          <w:rFonts w:hint="eastAsia" w:cs="Arial" w:asciiTheme="minorEastAsia" w:hAnsiTheme="minorEastAsia" w:eastAsiaTheme="minorEastAsia"/>
          <w:color w:val="auto"/>
          <w:sz w:val="21"/>
          <w:szCs w:val="21"/>
          <w:highlight w:val="none"/>
        </w:rPr>
        <w:t>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 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keepNext w:val="0"/>
        <w:keepLines w:val="0"/>
        <w:pageBreakBefore w:val="0"/>
        <w:widowControl/>
        <w:kinsoku/>
        <w:overflowPunct/>
        <w:topLinePunct w:val="0"/>
        <w:autoSpaceDE/>
        <w:autoSpaceDN/>
        <w:bidi w:val="0"/>
        <w:adjustRightInd/>
        <w:spacing w:line="360" w:lineRule="auto"/>
        <w:textAlignment w:val="auto"/>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售价（元）：0</w:t>
      </w:r>
    </w:p>
    <w:p>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rPr>
        <w:t>四、提交投标文件截止时间、开标时间和地点：</w:t>
      </w:r>
      <w:r>
        <w:rPr>
          <w:rFonts w:hint="eastAsia" w:asciiTheme="minorEastAsia" w:hAnsiTheme="minorEastAsia" w:eastAsiaTheme="minorEastAsia"/>
          <w:b/>
          <w:color w:val="auto"/>
          <w:szCs w:val="21"/>
          <w:highlight w:val="none"/>
          <w:lang w:eastAsia="zh-CN"/>
        </w:rPr>
        <w:t>、</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1.提交投标文件截止时间：</w:t>
      </w:r>
      <w:r>
        <w:rPr>
          <w:rFonts w:hint="eastAsia" w:asciiTheme="minorEastAsia" w:hAnsiTheme="minorEastAsia" w:eastAsiaTheme="minorEastAsia"/>
          <w:color w:val="auto"/>
          <w:szCs w:val="21"/>
          <w:highlight w:val="none"/>
          <w:lang w:eastAsia="zh-CN"/>
        </w:rPr>
        <w:t>2024</w:t>
      </w:r>
      <w:r>
        <w:rPr>
          <w:rFonts w:hint="eastAsia" w:asciiTheme="minorEastAsia" w:hAnsiTheme="minorEastAsia" w:eastAsiaTheme="minorEastAsia"/>
          <w:color w:val="auto"/>
          <w:szCs w:val="21"/>
          <w:highlight w:val="none"/>
        </w:rPr>
        <w:t>年</w:t>
      </w:r>
      <w:r>
        <w:rPr>
          <w:rFonts w:hint="eastAsia" w:cs="Arial" w:asciiTheme="minorEastAsia" w:hAnsiTheme="minorEastAsia" w:eastAsiaTheme="minorEastAsia"/>
          <w:color w:val="auto"/>
          <w:szCs w:val="21"/>
          <w:highlight w:val="none"/>
          <w:u w:val="single"/>
          <w:lang w:val="en-US" w:eastAsia="zh-CN"/>
        </w:rPr>
        <w:t>6</w:t>
      </w:r>
      <w:r>
        <w:rPr>
          <w:rFonts w:hint="eastAsia" w:cs="Arial" w:asciiTheme="minorEastAsia" w:hAnsiTheme="minorEastAsia" w:eastAsiaTheme="minorEastAsia"/>
          <w:color w:val="auto"/>
          <w:szCs w:val="21"/>
          <w:highlight w:val="none"/>
        </w:rPr>
        <w:t>月</w:t>
      </w:r>
      <w:r>
        <w:rPr>
          <w:rFonts w:hint="eastAsia" w:cs="Arial" w:asciiTheme="minorEastAsia" w:hAnsiTheme="minorEastAsia" w:eastAsiaTheme="minorEastAsia"/>
          <w:color w:val="auto"/>
          <w:szCs w:val="21"/>
          <w:highlight w:val="none"/>
          <w:u w:val="single"/>
          <w:lang w:val="en-US" w:eastAsia="zh-CN"/>
        </w:rPr>
        <w:t>4</w:t>
      </w:r>
      <w:r>
        <w:rPr>
          <w:rFonts w:hint="eastAsia" w:cs="Arial" w:asciiTheme="minorEastAsia" w:hAnsiTheme="minorEastAsia" w:eastAsiaTheme="minorEastAsia"/>
          <w:color w:val="auto"/>
          <w:szCs w:val="21"/>
          <w:highlight w:val="none"/>
        </w:rPr>
        <w:t>日</w:t>
      </w:r>
      <w:r>
        <w:rPr>
          <w:rFonts w:hint="eastAsia" w:cs="Arial" w:asciiTheme="minorEastAsia" w:hAnsiTheme="minorEastAsia" w:eastAsiaTheme="minorEastAsia"/>
          <w:color w:val="auto"/>
          <w:szCs w:val="21"/>
          <w:highlight w:val="none"/>
          <w:u w:val="single"/>
          <w:lang w:val="en-US" w:eastAsia="zh-CN"/>
        </w:rPr>
        <w:t>14</w:t>
      </w:r>
      <w:r>
        <w:rPr>
          <w:rFonts w:hint="eastAsia"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u w:val="single"/>
          <w:lang w:val="en-US" w:eastAsia="zh-CN"/>
        </w:rPr>
        <w:t>00</w:t>
      </w:r>
      <w:r>
        <w:rPr>
          <w:rFonts w:hint="eastAsia" w:asciiTheme="minorEastAsia" w:hAnsiTheme="minorEastAsia" w:eastAsiaTheme="minorEastAsia"/>
          <w:color w:val="auto"/>
          <w:szCs w:val="21"/>
          <w:highlight w:val="none"/>
        </w:rPr>
        <w:t>（北京时间）</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2.投标地点（网址）：宁波市江北区公共资源交易中心开标室（江北区育才路138号北投大厦南楼7楼），本项目通过“政府采购云平台（www.zcygov.cn）”实行在线制作并提交投标文件（电子投标）。</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.开标时间：</w:t>
      </w:r>
      <w:r>
        <w:rPr>
          <w:rFonts w:hint="eastAsia" w:asciiTheme="minorEastAsia" w:hAnsiTheme="minorEastAsia" w:eastAsiaTheme="minorEastAsia"/>
          <w:color w:val="auto"/>
          <w:szCs w:val="21"/>
          <w:highlight w:val="none"/>
          <w:lang w:eastAsia="zh-CN"/>
        </w:rPr>
        <w:t>2024</w:t>
      </w:r>
      <w:r>
        <w:rPr>
          <w:rFonts w:hint="eastAsia" w:asciiTheme="minorEastAsia" w:hAnsiTheme="minorEastAsia" w:eastAsiaTheme="minorEastAsia"/>
          <w:color w:val="auto"/>
          <w:szCs w:val="21"/>
          <w:highlight w:val="none"/>
        </w:rPr>
        <w:t>年</w:t>
      </w:r>
      <w:r>
        <w:rPr>
          <w:rFonts w:hint="eastAsia" w:cs="Arial" w:asciiTheme="minorEastAsia" w:hAnsiTheme="minorEastAsia" w:eastAsiaTheme="minorEastAsia"/>
          <w:color w:val="auto"/>
          <w:szCs w:val="21"/>
          <w:highlight w:val="none"/>
          <w:u w:val="single"/>
          <w:lang w:val="en-US" w:eastAsia="zh-CN"/>
        </w:rPr>
        <w:t>6</w:t>
      </w:r>
      <w:r>
        <w:rPr>
          <w:rFonts w:hint="eastAsia" w:cs="Arial" w:asciiTheme="minorEastAsia" w:hAnsiTheme="minorEastAsia" w:eastAsiaTheme="minorEastAsia"/>
          <w:color w:val="auto"/>
          <w:szCs w:val="21"/>
          <w:highlight w:val="none"/>
        </w:rPr>
        <w:t>月</w:t>
      </w:r>
      <w:r>
        <w:rPr>
          <w:rFonts w:hint="eastAsia" w:cs="Arial" w:asciiTheme="minorEastAsia" w:hAnsiTheme="minorEastAsia" w:eastAsiaTheme="minorEastAsia"/>
          <w:color w:val="auto"/>
          <w:szCs w:val="21"/>
          <w:highlight w:val="none"/>
          <w:u w:val="single"/>
          <w:lang w:val="en-US" w:eastAsia="zh-CN"/>
        </w:rPr>
        <w:t>4</w:t>
      </w:r>
      <w:r>
        <w:rPr>
          <w:rFonts w:hint="eastAsia" w:cs="Arial" w:asciiTheme="minorEastAsia" w:hAnsiTheme="minorEastAsia" w:eastAsiaTheme="minorEastAsia"/>
          <w:color w:val="auto"/>
          <w:szCs w:val="21"/>
          <w:highlight w:val="none"/>
        </w:rPr>
        <w:t>日</w:t>
      </w:r>
      <w:r>
        <w:rPr>
          <w:rFonts w:hint="eastAsia" w:cs="Arial" w:asciiTheme="minorEastAsia" w:hAnsiTheme="minorEastAsia" w:eastAsiaTheme="minorEastAsia"/>
          <w:color w:val="auto"/>
          <w:szCs w:val="21"/>
          <w:highlight w:val="none"/>
          <w:u w:val="single"/>
          <w:lang w:val="en-US" w:eastAsia="zh-CN"/>
        </w:rPr>
        <w:t>14</w:t>
      </w:r>
      <w:r>
        <w:rPr>
          <w:rFonts w:hint="eastAsia"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u w:val="single"/>
          <w:lang w:val="en-US" w:eastAsia="zh-CN"/>
        </w:rPr>
        <w:t>00</w:t>
      </w: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北京时间）</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4.开标地点（网址）：宁波市江北区公共资源交易中心开标室（江北区育才路138号北投大厦南楼7楼），本项目通过“政府采购云平台（www.zcygov.cn）”实行在线制作并提交投标文件（电子投标）。</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五、公告期限 </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自本公告发布之日起5个工作日。</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六、其他补充事宜</w:t>
      </w:r>
    </w:p>
    <w:p>
      <w:pPr>
        <w:keepNext w:val="0"/>
        <w:keepLines w:val="0"/>
        <w:pageBreakBefore w:val="0"/>
        <w:widowControl/>
        <w:kinsoku/>
        <w:overflowPunct/>
        <w:topLinePunct w:val="0"/>
        <w:autoSpaceDE/>
        <w:autoSpaceDN/>
        <w:bidi w:val="0"/>
        <w:adjustRightInd/>
        <w:spacing w:line="360" w:lineRule="auto"/>
        <w:contextualSpacing/>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overflowPunct/>
        <w:topLinePunct w:val="0"/>
        <w:autoSpaceDE/>
        <w:autoSpaceDN/>
        <w:bidi w:val="0"/>
        <w:adjustRightInd/>
        <w:spacing w:line="360" w:lineRule="auto"/>
        <w:contextualSpacing/>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2、其他事项：</w:t>
      </w:r>
    </w:p>
    <w:p>
      <w:pPr>
        <w:keepNext w:val="0"/>
        <w:keepLines w:val="0"/>
        <w:pageBreakBefore w:val="0"/>
        <w:widowControl/>
        <w:kinsoku/>
        <w:overflowPunct/>
        <w:topLinePunct w:val="0"/>
        <w:autoSpaceDE/>
        <w:autoSpaceDN/>
        <w:bidi w:val="0"/>
        <w:adjustRightInd/>
        <w:spacing w:line="360" w:lineRule="auto"/>
        <w:contextualSpacing/>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keepNext w:val="0"/>
        <w:keepLines w:val="0"/>
        <w:pageBreakBefore w:val="0"/>
        <w:widowControl/>
        <w:kinsoku/>
        <w:overflowPunct/>
        <w:topLinePunct w:val="0"/>
        <w:autoSpaceDE/>
        <w:autoSpaceDN/>
        <w:bidi w:val="0"/>
        <w:adjustRightInd/>
        <w:spacing w:line="360" w:lineRule="auto"/>
        <w:contextualSpacing/>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2.2落实的政策：</w:t>
      </w:r>
      <w:r>
        <w:rPr>
          <w:rFonts w:hint="eastAsia" w:cs="宋体" w:asciiTheme="minorEastAsia" w:hAnsiTheme="minorEastAsia" w:eastAsiaTheme="minorEastAsia"/>
          <w:color w:val="auto"/>
          <w:szCs w:val="21"/>
          <w:highlight w:val="none"/>
        </w:rPr>
        <w:t>《政府采购促进中小企业发展管理办法》（财库〔2020〕46号）、《财政部关于进一步加大政府采购支持中小企业力度的通知》(财库〔2023]19号）、《关于促进残疾人就业政府采购政策的通知》（财库[2017]141号）、《关于政府采购支持监狱企</w:t>
      </w:r>
      <w:r>
        <w:rPr>
          <w:rFonts w:hint="eastAsia" w:cs="宋体" w:asciiTheme="minorEastAsia" w:hAnsiTheme="minorEastAsia" w:eastAsiaTheme="minorEastAsia"/>
          <w:color w:val="auto"/>
          <w:kern w:val="0"/>
          <w:szCs w:val="21"/>
          <w:highlight w:val="none"/>
        </w:rPr>
        <w:t>业发展有关问题的通知》(财库[2014]68号)。</w:t>
      </w:r>
    </w:p>
    <w:p>
      <w:pPr>
        <w:keepNext w:val="0"/>
        <w:keepLines w:val="0"/>
        <w:pageBreakBefore w:val="0"/>
        <w:widowControl/>
        <w:kinsoku/>
        <w:overflowPunct/>
        <w:topLinePunct w:val="0"/>
        <w:autoSpaceDE/>
        <w:autoSpaceDN/>
        <w:bidi w:val="0"/>
        <w:adjustRightInd/>
        <w:spacing w:line="360" w:lineRule="auto"/>
        <w:contextualSpacing/>
        <w:textAlignment w:val="auto"/>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2.3、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pPr>
        <w:keepNext w:val="0"/>
        <w:keepLines w:val="0"/>
        <w:pageBreakBefore w:val="0"/>
        <w:widowControl/>
        <w:kinsoku/>
        <w:overflowPunct/>
        <w:topLinePunct w:val="0"/>
        <w:autoSpaceDE/>
        <w:autoSpaceDN/>
        <w:bidi w:val="0"/>
        <w:adjustRightInd/>
        <w:spacing w:line="360" w:lineRule="auto"/>
        <w:contextualSpacing/>
        <w:textAlignment w:val="auto"/>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lang w:val="en-US" w:eastAsia="zh-CN"/>
        </w:rPr>
        <w:t>4</w:t>
      </w:r>
      <w:r>
        <w:rPr>
          <w:rFonts w:cs="宋体" w:asciiTheme="minorEastAsia" w:hAnsiTheme="minorEastAsia" w:eastAsiaTheme="minorEastAsia"/>
          <w:color w:val="auto"/>
          <w:kern w:val="0"/>
          <w:szCs w:val="21"/>
          <w:highlight w:val="none"/>
        </w:rPr>
        <w:t>、投标文件制作： （1）应按照本项目招标文件和政采云平台的要求编制、加密并递交投标文件。投标人在使用系统进行投标的过程中遇到涉及平台使用的任何问题，可致电政采云平台技术支持热线咨询，联系方式：400-881-7190。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w:t>
      </w:r>
      <w:r>
        <w:rPr>
          <w:color w:val="auto"/>
          <w:highlight w:val="none"/>
        </w:rPr>
        <w:fldChar w:fldCharType="begin"/>
      </w:r>
      <w:r>
        <w:rPr>
          <w:color w:val="auto"/>
          <w:highlight w:val="none"/>
        </w:rPr>
        <w:instrText xml:space="preserve"> HYPERLINK "https://www.zcygov.cn/）。开标时间后30" </w:instrText>
      </w:r>
      <w:r>
        <w:rPr>
          <w:color w:val="auto"/>
          <w:highlight w:val="none"/>
        </w:rPr>
        <w:fldChar w:fldCharType="separate"/>
      </w:r>
      <w:r>
        <w:rPr>
          <w:rFonts w:cs="宋体" w:asciiTheme="minorEastAsia" w:hAnsiTheme="minorEastAsia" w:eastAsiaTheme="minorEastAsia"/>
          <w:color w:val="auto"/>
          <w:kern w:val="0"/>
          <w:szCs w:val="21"/>
          <w:highlight w:val="none"/>
        </w:rPr>
        <w:t>https://www.zcygov.cn/）。开标时间后30</w:t>
      </w:r>
      <w:r>
        <w:rPr>
          <w:rFonts w:cs="宋体" w:asciiTheme="minorEastAsia" w:hAnsiTheme="minorEastAsia" w:eastAsiaTheme="minorEastAsia"/>
          <w:color w:val="auto"/>
          <w:kern w:val="0"/>
          <w:szCs w:val="21"/>
          <w:highlight w:val="none"/>
        </w:rPr>
        <w:fldChar w:fldCharType="end"/>
      </w:r>
      <w:r>
        <w:rPr>
          <w:rFonts w:cs="宋体" w:asciiTheme="minorEastAsia" w:hAnsiTheme="minorEastAsia" w:eastAsiaTheme="minorEastAsia"/>
          <w:color w:val="auto"/>
          <w:kern w:val="0"/>
          <w:szCs w:val="21"/>
          <w:highlight w:val="none"/>
        </w:rPr>
        <w:t xml:space="preserve">分钟内投标人登录政府采购云平台https://www.zcygov.cn/，用“项目采购-开标评标”功能成功解密投标文件。若投标人在规定时间内无法解密或解密失败的，视为投标文件撤回。 </w:t>
      </w:r>
    </w:p>
    <w:p>
      <w:pPr>
        <w:keepNext w:val="0"/>
        <w:keepLines w:val="0"/>
        <w:pageBreakBefore w:val="0"/>
        <w:widowControl/>
        <w:kinsoku/>
        <w:overflowPunct/>
        <w:topLinePunct w:val="0"/>
        <w:autoSpaceDE/>
        <w:autoSpaceDN/>
        <w:bidi w:val="0"/>
        <w:adjustRightInd/>
        <w:spacing w:line="360" w:lineRule="auto"/>
        <w:contextualSpacing/>
        <w:textAlignment w:val="auto"/>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lang w:val="en-US" w:eastAsia="zh-CN"/>
        </w:rPr>
        <w:t>5</w:t>
      </w:r>
      <w:r>
        <w:rPr>
          <w:rFonts w:cs="宋体" w:asciiTheme="minorEastAsia" w:hAnsiTheme="minorEastAsia" w:eastAsiaTheme="minorEastAsia"/>
          <w:color w:val="auto"/>
          <w:kern w:val="0"/>
          <w:szCs w:val="21"/>
          <w:highlight w:val="none"/>
        </w:rPr>
        <w:t>、本项目发布媒体：浙江政府采购网、宁波政府采购网</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
        </w:rPr>
        <w:t>宁波市公共资源交易网（江北分区分网）、</w:t>
      </w:r>
      <w:r>
        <w:rPr>
          <w:rFonts w:hint="eastAsia" w:cs="宋体" w:asciiTheme="minorEastAsia" w:hAnsiTheme="minorEastAsia" w:eastAsiaTheme="minorEastAsia"/>
          <w:color w:val="auto"/>
          <w:kern w:val="0"/>
          <w:szCs w:val="21"/>
          <w:highlight w:val="none"/>
        </w:rPr>
        <w:t>宁波华欣建设项目管理有限公司网站</w:t>
      </w:r>
      <w:r>
        <w:rPr>
          <w:rFonts w:cs="宋体" w:asciiTheme="minorEastAsia" w:hAnsiTheme="minorEastAsia" w:eastAsiaTheme="minorEastAsia"/>
          <w:color w:val="auto"/>
          <w:kern w:val="0"/>
          <w:szCs w:val="21"/>
          <w:highlight w:val="none"/>
        </w:rPr>
        <w:t>。投</w:t>
      </w:r>
      <w:bookmarkStart w:id="184" w:name="_GoBack"/>
      <w:bookmarkEnd w:id="184"/>
      <w:r>
        <w:rPr>
          <w:rFonts w:cs="宋体" w:asciiTheme="minorEastAsia" w:hAnsiTheme="minorEastAsia" w:eastAsiaTheme="minorEastAsia"/>
          <w:color w:val="auto"/>
          <w:kern w:val="0"/>
          <w:szCs w:val="21"/>
          <w:highlight w:val="none"/>
        </w:rPr>
        <w:t>标人有义务在采购活动期间浏览上述网站，公布信息视同送达所有潜在投标人，不再采用其它方式传达相关信息，若因未能及时了解到上述网站上发布的相关信息而导致的一切后果自行承担。</w:t>
      </w:r>
    </w:p>
    <w:p>
      <w:pPr>
        <w:keepNext w:val="0"/>
        <w:keepLines w:val="0"/>
        <w:pageBreakBefore w:val="0"/>
        <w:kinsoku/>
        <w:overflowPunct/>
        <w:topLinePunct w:val="0"/>
        <w:autoSpaceDE/>
        <w:autoSpaceDN/>
        <w:bidi w:val="0"/>
        <w:adjustRightInd/>
        <w:spacing w:line="360" w:lineRule="auto"/>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七、对本次采购提出询问、质疑、投诉，请按以下方式联系</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1.采购人信息</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eastAsia" w:cs="Arial" w:asciiTheme="minorEastAsia" w:hAnsiTheme="minorEastAsia" w:eastAsiaTheme="minorEastAsia"/>
          <w:color w:val="auto"/>
          <w:sz w:val="21"/>
          <w:szCs w:val="21"/>
          <w:highlight w:val="none"/>
          <w:lang w:eastAsia="zh-CN"/>
        </w:rPr>
      </w:pPr>
      <w:r>
        <w:rPr>
          <w:rFonts w:hint="eastAsia" w:cs="Arial" w:asciiTheme="minorEastAsia" w:hAnsiTheme="minorEastAsia" w:eastAsiaTheme="minorEastAsia"/>
          <w:color w:val="auto"/>
          <w:sz w:val="21"/>
          <w:szCs w:val="21"/>
          <w:highlight w:val="none"/>
        </w:rPr>
        <w:t>名  称：</w:t>
      </w:r>
      <w:r>
        <w:rPr>
          <w:rFonts w:hint="eastAsia" w:cs="Arial" w:asciiTheme="minorEastAsia" w:hAnsiTheme="minorEastAsia" w:eastAsiaTheme="minorEastAsia"/>
          <w:color w:val="auto"/>
          <w:sz w:val="21"/>
          <w:szCs w:val="21"/>
          <w:highlight w:val="none"/>
          <w:lang w:eastAsia="zh-CN"/>
        </w:rPr>
        <w:t>宁波市江北区人民政府前江街道办事处</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default" w:cs="Arial" w:asciiTheme="minorEastAsia" w:hAnsiTheme="minorEastAsia" w:eastAsiaTheme="minorEastAsia"/>
          <w:color w:val="auto"/>
          <w:sz w:val="21"/>
          <w:szCs w:val="21"/>
          <w:highlight w:val="none"/>
          <w:lang w:val="en-US" w:eastAsia="zh-CN"/>
        </w:rPr>
      </w:pPr>
      <w:r>
        <w:rPr>
          <w:rFonts w:hint="eastAsia" w:cs="Arial" w:asciiTheme="minorEastAsia" w:hAnsiTheme="minorEastAsia" w:eastAsiaTheme="minorEastAsia"/>
          <w:color w:val="auto"/>
          <w:sz w:val="21"/>
          <w:szCs w:val="21"/>
          <w:highlight w:val="none"/>
        </w:rPr>
        <w:t xml:space="preserve">地  </w:t>
      </w:r>
      <w:r>
        <w:rPr>
          <w:rFonts w:hint="eastAsia" w:cs="Arial" w:asciiTheme="minorEastAsia" w:hAnsiTheme="minorEastAsia" w:eastAsiaTheme="minorEastAsia"/>
          <w:color w:val="auto"/>
          <w:sz w:val="21"/>
          <w:szCs w:val="21"/>
          <w:highlight w:val="none"/>
          <w:lang w:eastAsia="zh-CN"/>
        </w:rPr>
        <w:t>址：宁波市江北区金山路776号</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传  真：/</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项目联系人（询问）：马老师</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default" w:cs="Arial" w:asciiTheme="minorEastAsia" w:hAnsiTheme="minorEastAsia" w:eastAsiaTheme="minorEastAsia"/>
          <w:color w:val="auto"/>
          <w:sz w:val="21"/>
          <w:szCs w:val="21"/>
          <w:highlight w:val="none"/>
          <w:lang w:val="en-US" w:eastAsia="zh-CN"/>
        </w:rPr>
      </w:pPr>
      <w:r>
        <w:rPr>
          <w:rFonts w:hint="eastAsia" w:cs="Arial" w:asciiTheme="minorEastAsia" w:hAnsiTheme="minorEastAsia" w:eastAsiaTheme="minorEastAsia"/>
          <w:color w:val="auto"/>
          <w:sz w:val="21"/>
          <w:szCs w:val="21"/>
          <w:highlight w:val="none"/>
        </w:rPr>
        <w:t>项目联系方式（询问）：</w:t>
      </w:r>
      <w:r>
        <w:rPr>
          <w:rFonts w:hint="eastAsia" w:cs="Arial" w:asciiTheme="minorEastAsia" w:hAnsiTheme="minorEastAsia" w:eastAsiaTheme="minorEastAsia"/>
          <w:color w:val="auto"/>
          <w:sz w:val="21"/>
          <w:szCs w:val="21"/>
          <w:highlight w:val="none"/>
          <w:lang w:val="en-US" w:eastAsia="zh-CN"/>
        </w:rPr>
        <w:t xml:space="preserve">0574-87872025 </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eastAsia" w:cs="Arial" w:asciiTheme="minorEastAsia" w:hAnsiTheme="minorEastAsia" w:eastAsiaTheme="minorEastAsia"/>
          <w:b/>
          <w:color w:val="auto"/>
          <w:sz w:val="21"/>
          <w:szCs w:val="21"/>
          <w:highlight w:val="none"/>
          <w:lang w:val="en-US" w:eastAsia="zh-CN"/>
        </w:rPr>
      </w:pPr>
      <w:r>
        <w:rPr>
          <w:rFonts w:hint="eastAsia" w:cs="Arial" w:asciiTheme="minorEastAsia" w:hAnsiTheme="minorEastAsia" w:eastAsiaTheme="minorEastAsia"/>
          <w:color w:val="auto"/>
          <w:sz w:val="21"/>
          <w:szCs w:val="21"/>
          <w:highlight w:val="none"/>
        </w:rPr>
        <w:t>质疑联系人：</w:t>
      </w:r>
      <w:r>
        <w:rPr>
          <w:rFonts w:hint="eastAsia" w:cs="Arial" w:asciiTheme="minorEastAsia" w:hAnsiTheme="minorEastAsia" w:eastAsiaTheme="minorEastAsia"/>
          <w:color w:val="auto"/>
          <w:sz w:val="21"/>
          <w:szCs w:val="21"/>
          <w:highlight w:val="none"/>
          <w:lang w:val="en-US" w:eastAsia="zh-CN"/>
        </w:rPr>
        <w:t>叶超</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eastAsia" w:cs="Arial" w:asciiTheme="minorEastAsia" w:hAnsiTheme="minorEastAsia" w:eastAsiaTheme="minorEastAsia"/>
          <w:color w:val="auto"/>
          <w:sz w:val="21"/>
          <w:szCs w:val="21"/>
          <w:highlight w:val="none"/>
          <w:lang w:val="en-US" w:eastAsia="zh-CN"/>
        </w:rPr>
      </w:pPr>
      <w:r>
        <w:rPr>
          <w:rFonts w:hint="eastAsia" w:cs="Arial" w:asciiTheme="minorEastAsia" w:hAnsiTheme="minorEastAsia" w:eastAsiaTheme="minorEastAsia"/>
          <w:color w:val="auto"/>
          <w:sz w:val="21"/>
          <w:szCs w:val="21"/>
          <w:highlight w:val="none"/>
          <w:lang w:val="en-US" w:eastAsia="zh-CN"/>
        </w:rPr>
        <w:t>质疑联系方式：0574-87872025</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 xml:space="preserve">2.采购代理机构信息 </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名  称：宁波华欣建设项目管理有限公司</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地  址：宁波市江北区长兴路715号恒凯大厦6</w:t>
      </w:r>
      <w:r>
        <w:rPr>
          <w:rFonts w:cs="Arial" w:asciiTheme="minorEastAsia" w:hAnsiTheme="minorEastAsia" w:eastAsiaTheme="minorEastAsia"/>
          <w:color w:val="auto"/>
          <w:sz w:val="21"/>
          <w:szCs w:val="21"/>
          <w:highlight w:val="none"/>
        </w:rPr>
        <w:t>03</w:t>
      </w:r>
      <w:r>
        <w:rPr>
          <w:rFonts w:hint="eastAsia" w:cs="Arial" w:asciiTheme="minorEastAsia" w:hAnsiTheme="minorEastAsia" w:eastAsiaTheme="minorEastAsia"/>
          <w:color w:val="auto"/>
          <w:sz w:val="21"/>
          <w:szCs w:val="21"/>
          <w:highlight w:val="none"/>
        </w:rPr>
        <w:t>室</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传  真：/</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default" w:cs="Arial" w:asciiTheme="minorEastAsia" w:hAnsiTheme="minorEastAsia" w:eastAsiaTheme="minorEastAsia"/>
          <w:color w:val="auto"/>
          <w:sz w:val="21"/>
          <w:szCs w:val="21"/>
          <w:highlight w:val="none"/>
          <w:lang w:val="en-US" w:eastAsia="zh-CN"/>
        </w:rPr>
      </w:pPr>
      <w:r>
        <w:rPr>
          <w:rFonts w:hint="eastAsia" w:cs="Arial" w:asciiTheme="minorEastAsia" w:hAnsiTheme="minorEastAsia" w:eastAsiaTheme="minorEastAsia"/>
          <w:color w:val="auto"/>
          <w:sz w:val="21"/>
          <w:szCs w:val="21"/>
          <w:highlight w:val="none"/>
        </w:rPr>
        <w:t>项目联系人（询问）：</w:t>
      </w:r>
      <w:r>
        <w:rPr>
          <w:rFonts w:hint="eastAsia" w:cs="Arial" w:asciiTheme="minorEastAsia" w:hAnsiTheme="minorEastAsia" w:eastAsiaTheme="minorEastAsia"/>
          <w:color w:val="auto"/>
          <w:sz w:val="21"/>
          <w:szCs w:val="21"/>
          <w:highlight w:val="none"/>
          <w:lang w:val="en-US" w:eastAsia="zh-CN"/>
        </w:rPr>
        <w:t>唐佳萍</w:t>
      </w:r>
      <w:r>
        <w:rPr>
          <w:rFonts w:hint="eastAsia" w:cs="Arial" w:asciiTheme="minorEastAsia" w:hAnsiTheme="minorEastAsia" w:eastAsiaTheme="minorEastAsia"/>
          <w:color w:val="auto"/>
          <w:sz w:val="21"/>
          <w:szCs w:val="21"/>
          <w:highlight w:val="none"/>
        </w:rPr>
        <w:t>、王静、王波、虞礼周</w:t>
      </w:r>
      <w:r>
        <w:rPr>
          <w:rFonts w:hint="eastAsia" w:cs="Arial" w:asciiTheme="minorEastAsia" w:hAnsiTheme="minorEastAsia" w:eastAsiaTheme="minorEastAsia"/>
          <w:color w:val="auto"/>
          <w:sz w:val="21"/>
          <w:szCs w:val="21"/>
          <w:highlight w:val="none"/>
          <w:lang w:eastAsia="zh-CN"/>
        </w:rPr>
        <w:t>、</w:t>
      </w:r>
      <w:r>
        <w:rPr>
          <w:rFonts w:hint="eastAsia" w:cs="Arial" w:asciiTheme="minorEastAsia" w:hAnsiTheme="minorEastAsia" w:eastAsiaTheme="minorEastAsia"/>
          <w:color w:val="auto"/>
          <w:sz w:val="21"/>
          <w:szCs w:val="21"/>
          <w:highlight w:val="none"/>
          <w:lang w:val="en-US" w:eastAsia="zh-CN"/>
        </w:rPr>
        <w:t>董臻源</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default" w:cs="Arial" w:asciiTheme="minorEastAsia" w:hAnsiTheme="minorEastAsia" w:eastAsiaTheme="minorEastAsia"/>
          <w:color w:val="auto"/>
          <w:sz w:val="21"/>
          <w:szCs w:val="21"/>
          <w:highlight w:val="none"/>
          <w:lang w:val="en-US" w:eastAsia="zh-CN"/>
        </w:rPr>
      </w:pPr>
      <w:r>
        <w:rPr>
          <w:rFonts w:hint="eastAsia" w:cs="Arial" w:asciiTheme="minorEastAsia" w:hAnsiTheme="minorEastAsia" w:eastAsiaTheme="minorEastAsia"/>
          <w:color w:val="auto"/>
          <w:sz w:val="21"/>
          <w:szCs w:val="21"/>
          <w:highlight w:val="none"/>
        </w:rPr>
        <w:t>项目联系方式（询问）：</w:t>
      </w:r>
      <w:r>
        <w:rPr>
          <w:rFonts w:cs="Arial" w:asciiTheme="minorEastAsia" w:hAnsiTheme="minorEastAsia" w:eastAsiaTheme="minorEastAsia"/>
          <w:color w:val="auto"/>
          <w:sz w:val="21"/>
          <w:szCs w:val="21"/>
          <w:highlight w:val="none"/>
        </w:rPr>
        <w:t>0574-8</w:t>
      </w:r>
      <w:r>
        <w:rPr>
          <w:rFonts w:hint="eastAsia" w:cs="Arial" w:asciiTheme="minorEastAsia" w:hAnsiTheme="minorEastAsia" w:eastAsiaTheme="minorEastAsia"/>
          <w:color w:val="auto"/>
          <w:sz w:val="21"/>
          <w:szCs w:val="21"/>
          <w:highlight w:val="none"/>
        </w:rPr>
        <w:t>82287</w:t>
      </w:r>
      <w:r>
        <w:rPr>
          <w:rFonts w:hint="eastAsia" w:cs="Arial" w:asciiTheme="minorEastAsia" w:hAnsiTheme="minorEastAsia" w:eastAsiaTheme="minorEastAsia"/>
          <w:color w:val="auto"/>
          <w:sz w:val="21"/>
          <w:szCs w:val="21"/>
          <w:highlight w:val="none"/>
          <w:lang w:val="en-US" w:eastAsia="zh-CN"/>
        </w:rPr>
        <w:t>79</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eastAsia" w:cs="Arial" w:asciiTheme="minorEastAsia" w:hAnsiTheme="minorEastAsia" w:eastAsiaTheme="minorEastAsia"/>
          <w:color w:val="auto"/>
          <w:sz w:val="21"/>
          <w:szCs w:val="21"/>
          <w:highlight w:val="none"/>
          <w:lang w:eastAsia="zh-CN"/>
        </w:rPr>
      </w:pPr>
      <w:r>
        <w:rPr>
          <w:rFonts w:hint="eastAsia" w:cs="Arial" w:asciiTheme="minorEastAsia" w:hAnsiTheme="minorEastAsia" w:eastAsiaTheme="minorEastAsia"/>
          <w:color w:val="auto"/>
          <w:sz w:val="21"/>
          <w:szCs w:val="21"/>
          <w:highlight w:val="none"/>
        </w:rPr>
        <w:t>质疑联系人：</w:t>
      </w:r>
      <w:r>
        <w:rPr>
          <w:rFonts w:hint="eastAsia" w:cs="Arial" w:asciiTheme="minorEastAsia" w:hAnsiTheme="minorEastAsia" w:eastAsiaTheme="minorEastAsia"/>
          <w:color w:val="auto"/>
          <w:sz w:val="21"/>
          <w:szCs w:val="21"/>
          <w:highlight w:val="none"/>
          <w:lang w:val="en-US" w:eastAsia="zh-CN"/>
        </w:rPr>
        <w:t>陈佳妮</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hint="default" w:cs="Arial" w:asciiTheme="minorEastAsia" w:hAnsiTheme="minorEastAsia" w:eastAsiaTheme="minorEastAsia"/>
          <w:color w:val="auto"/>
          <w:sz w:val="21"/>
          <w:szCs w:val="21"/>
          <w:highlight w:val="none"/>
          <w:lang w:val="en-US" w:eastAsia="zh-CN"/>
        </w:rPr>
      </w:pPr>
      <w:r>
        <w:rPr>
          <w:rFonts w:hint="eastAsia" w:cs="Arial" w:asciiTheme="minorEastAsia" w:hAnsiTheme="minorEastAsia" w:eastAsiaTheme="minorEastAsia"/>
          <w:color w:val="auto"/>
          <w:sz w:val="21"/>
          <w:szCs w:val="21"/>
          <w:highlight w:val="none"/>
        </w:rPr>
        <w:t>质疑联系方式：</w:t>
      </w:r>
      <w:r>
        <w:rPr>
          <w:rFonts w:cs="Arial" w:asciiTheme="minorEastAsia" w:hAnsiTheme="minorEastAsia" w:eastAsiaTheme="minorEastAsia"/>
          <w:color w:val="auto"/>
          <w:sz w:val="21"/>
          <w:szCs w:val="21"/>
          <w:highlight w:val="none"/>
        </w:rPr>
        <w:t>0574-8</w:t>
      </w:r>
      <w:r>
        <w:rPr>
          <w:rFonts w:hint="eastAsia" w:cs="Arial" w:asciiTheme="minorEastAsia" w:hAnsiTheme="minorEastAsia" w:eastAsiaTheme="minorEastAsia"/>
          <w:color w:val="auto"/>
          <w:sz w:val="21"/>
          <w:szCs w:val="21"/>
          <w:highlight w:val="none"/>
        </w:rPr>
        <w:t>82287</w:t>
      </w:r>
      <w:r>
        <w:rPr>
          <w:rFonts w:hint="eastAsia" w:cs="Arial" w:asciiTheme="minorEastAsia" w:hAnsiTheme="minorEastAsia" w:eastAsiaTheme="minorEastAsia"/>
          <w:color w:val="auto"/>
          <w:sz w:val="21"/>
          <w:szCs w:val="21"/>
          <w:highlight w:val="none"/>
          <w:lang w:val="en-US" w:eastAsia="zh-CN"/>
        </w:rPr>
        <w:t>80</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 xml:space="preserve">3.同级政府采购监督管理部门 </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名  称：宁波市江北区财政局</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地  址：宁波市江北区大庆南路181号</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 xml:space="preserve">传  真：/             </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联系人：张老师</w:t>
      </w:r>
    </w:p>
    <w:p>
      <w:pPr>
        <w:pStyle w:val="93"/>
        <w:keepNext w:val="0"/>
        <w:keepLines w:val="0"/>
        <w:pageBreakBefore w:val="0"/>
        <w:kinsoku/>
        <w:overflowPunct/>
        <w:topLinePunct w:val="0"/>
        <w:autoSpaceDE/>
        <w:autoSpaceDN/>
        <w:bidi w:val="0"/>
        <w:adjustRightInd/>
        <w:spacing w:after="0" w:afterLines="0" w:line="360" w:lineRule="auto"/>
        <w:ind w:firstLine="0"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监督投诉电话：0574-</w:t>
      </w:r>
      <w:r>
        <w:rPr>
          <w:rFonts w:cs="Arial" w:asciiTheme="minorEastAsia" w:hAnsiTheme="minorEastAsia" w:eastAsiaTheme="minorEastAsia"/>
          <w:color w:val="auto"/>
          <w:sz w:val="21"/>
          <w:szCs w:val="21"/>
          <w:highlight w:val="none"/>
        </w:rPr>
        <w:t>87388061</w:t>
      </w:r>
    </w:p>
    <w:p>
      <w:pPr>
        <w:pStyle w:val="93"/>
        <w:keepNext w:val="0"/>
        <w:keepLines w:val="0"/>
        <w:pageBreakBefore w:val="0"/>
        <w:widowControl w:val="0"/>
        <w:kinsoku/>
        <w:overflowPunct/>
        <w:topLinePunct w:val="0"/>
        <w:autoSpaceDE/>
        <w:autoSpaceDN/>
        <w:bidi w:val="0"/>
        <w:adjustRightInd/>
        <w:spacing w:after="0" w:afterLines="0" w:line="360" w:lineRule="auto"/>
        <w:ind w:firstLine="0" w:firstLineChars="0"/>
        <w:textAlignment w:val="auto"/>
        <w:rPr>
          <w:rFonts w:ascii="宋体" w:hAnsi="宋体" w:cs="Arial"/>
          <w:color w:val="auto"/>
          <w:sz w:val="21"/>
          <w:szCs w:val="21"/>
          <w:highlight w:val="none"/>
        </w:rPr>
      </w:pPr>
    </w:p>
    <w:p>
      <w:pPr>
        <w:keepNext w:val="0"/>
        <w:keepLines w:val="0"/>
        <w:pageBreakBefore w:val="0"/>
        <w:kinsoku/>
        <w:overflowPunct/>
        <w:topLinePunct w:val="0"/>
        <w:autoSpaceDE/>
        <w:autoSpaceDN/>
        <w:bidi w:val="0"/>
        <w:adjustRightInd/>
        <w:spacing w:line="360" w:lineRule="auto"/>
        <w:textAlignment w:val="auto"/>
        <w:rPr>
          <w:rFonts w:ascii="宋体" w:cs="宋体"/>
          <w:color w:val="auto"/>
          <w:highlight w:val="none"/>
        </w:rPr>
      </w:pPr>
      <w:r>
        <w:rPr>
          <w:rFonts w:hint="eastAsia" w:ascii="宋体" w:cs="宋体"/>
          <w:color w:val="auto"/>
          <w:highlight w:val="none"/>
        </w:rPr>
        <w:t>若对项目采购电子交易系统操作有疑问，可登录政采云（https://www.zcygov.cn/），点击右侧咨询小采，获取采小蜜智能服务管家帮助，或拨打政采云服务热线</w:t>
      </w:r>
      <w:r>
        <w:rPr>
          <w:rFonts w:ascii="宋体" w:cs="宋体"/>
          <w:color w:val="auto"/>
          <w:highlight w:val="none"/>
        </w:rPr>
        <w:t>95763</w:t>
      </w:r>
      <w:r>
        <w:rPr>
          <w:rFonts w:hint="eastAsia" w:ascii="宋体" w:cs="宋体"/>
          <w:color w:val="auto"/>
          <w:highlight w:val="none"/>
        </w:rPr>
        <w:t>获取热线服务帮助。</w:t>
      </w:r>
    </w:p>
    <w:p>
      <w:pPr>
        <w:keepNext w:val="0"/>
        <w:keepLines w:val="0"/>
        <w:pageBreakBefore w:val="0"/>
        <w:kinsoku/>
        <w:overflowPunct/>
        <w:topLinePunct w:val="0"/>
        <w:autoSpaceDE/>
        <w:autoSpaceDN/>
        <w:bidi w:val="0"/>
        <w:adjustRightInd/>
        <w:spacing w:line="360" w:lineRule="auto"/>
        <w:textAlignment w:val="auto"/>
        <w:rPr>
          <w:rFonts w:ascii="宋体" w:cs="宋体"/>
          <w:color w:val="auto"/>
          <w:highlight w:val="none"/>
        </w:rPr>
      </w:pPr>
      <w:r>
        <w:rPr>
          <w:rFonts w:hint="eastAsia" w:ascii="宋体" w:cs="宋体"/>
          <w:color w:val="auto"/>
          <w:highlight w:val="none"/>
        </w:rPr>
        <w:t>CA问题联系电话（人工）：汇信CA400-888-4636；天谷CA400-087-8198。</w:t>
      </w:r>
      <w:r>
        <w:rPr>
          <w:rFonts w:hint="eastAsia" w:ascii="宋体" w:cs="宋体"/>
          <w:color w:val="auto"/>
          <w:highlight w:val="none"/>
        </w:rPr>
        <w:br w:type="page"/>
      </w:r>
    </w:p>
    <w:bookmarkEnd w:id="7"/>
    <w:p>
      <w:pPr>
        <w:pStyle w:val="4"/>
        <w:bidi w:val="0"/>
        <w:jc w:val="center"/>
        <w:outlineLvl w:val="0"/>
        <w:rPr>
          <w:rFonts w:hint="eastAsia"/>
          <w:color w:val="auto"/>
          <w:highlight w:val="none"/>
        </w:rPr>
      </w:pPr>
      <w:bookmarkStart w:id="8" w:name="_Toc141878072"/>
      <w:bookmarkStart w:id="9" w:name="_Toc23825"/>
      <w:bookmarkStart w:id="10" w:name="_Toc16700"/>
      <w:r>
        <w:rPr>
          <w:rFonts w:hint="eastAsia"/>
          <w:color w:val="auto"/>
          <w:highlight w:val="none"/>
        </w:rPr>
        <w:t>第二章  招标需求</w:t>
      </w:r>
      <w:bookmarkEnd w:id="8"/>
      <w:bookmarkEnd w:id="9"/>
      <w:bookmarkEnd w:id="10"/>
    </w:p>
    <w:p>
      <w:pPr>
        <w:pStyle w:val="26"/>
        <w:snapToGrid w:val="0"/>
        <w:spacing w:beforeLines="0" w:afterLines="0" w:line="440" w:lineRule="exact"/>
        <w:jc w:val="left"/>
        <w:outlineLvl w:val="0"/>
        <w:rPr>
          <w:rFonts w:hint="eastAsia" w:hAnsi="宋体"/>
          <w:b/>
          <w:color w:val="auto"/>
          <w:sz w:val="21"/>
          <w:szCs w:val="21"/>
          <w:highlight w:val="none"/>
        </w:rPr>
      </w:pPr>
      <w:bookmarkStart w:id="11" w:name="_Toc19114"/>
      <w:bookmarkStart w:id="12" w:name="_Toc141878073"/>
      <w:r>
        <w:rPr>
          <w:rFonts w:hAnsi="宋体"/>
          <w:b/>
          <w:color w:val="auto"/>
          <w:sz w:val="21"/>
          <w:szCs w:val="21"/>
          <w:highlight w:val="none"/>
        </w:rPr>
        <w:t>一、项目要求</w:t>
      </w:r>
    </w:p>
    <w:tbl>
      <w:tblPr>
        <w:tblStyle w:val="49"/>
        <w:tblpPr w:leftFromText="180" w:rightFromText="180" w:vertAnchor="text" w:horzAnchor="page" w:tblpX="1835" w:tblpY="14"/>
        <w:tblOverlap w:val="never"/>
        <w:tblW w:w="898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2040"/>
        <w:gridCol w:w="3015"/>
        <w:gridCol w:w="31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735" w:type="dxa"/>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2040" w:type="dxa"/>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项目名称</w:t>
            </w:r>
          </w:p>
        </w:tc>
        <w:tc>
          <w:tcPr>
            <w:tcW w:w="3015" w:type="dxa"/>
            <w:tcBorders>
              <w:right w:val="single" w:color="auto" w:sz="4" w:space="0"/>
            </w:tcBorders>
            <w:noWrap w:val="0"/>
            <w:vAlign w:val="center"/>
          </w:tcPr>
          <w:p>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采购预算</w:t>
            </w:r>
          </w:p>
        </w:tc>
        <w:tc>
          <w:tcPr>
            <w:tcW w:w="3195" w:type="dxa"/>
            <w:tcBorders>
              <w:left w:val="single" w:color="auto" w:sz="4" w:space="0"/>
            </w:tcBorders>
            <w:noWrap w:val="0"/>
            <w:vAlign w:val="center"/>
          </w:tcPr>
          <w:p>
            <w:pPr>
              <w:widowControl/>
              <w:jc w:val="center"/>
              <w:rPr>
                <w:rFonts w:hint="eastAsia" w:ascii="宋体" w:hAnsi="宋体"/>
                <w:color w:val="auto"/>
                <w:kern w:val="0"/>
                <w:szCs w:val="21"/>
                <w:highlight w:val="none"/>
              </w:rPr>
            </w:pPr>
            <w:r>
              <w:rPr>
                <w:rFonts w:ascii="宋体" w:hAnsi="宋体"/>
                <w:color w:val="auto"/>
                <w:kern w:val="0"/>
                <w:szCs w:val="21"/>
                <w:highlight w:val="none"/>
              </w:rPr>
              <w:t>服务</w:t>
            </w:r>
            <w:r>
              <w:rPr>
                <w:rFonts w:hint="eastAsia" w:ascii="宋体" w:hAnsi="宋体"/>
                <w:color w:val="auto"/>
                <w:kern w:val="0"/>
                <w:szCs w:val="21"/>
                <w:highlight w:val="none"/>
              </w:rPr>
              <w:t>期限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4" w:hRule="atLeast"/>
        </w:trPr>
        <w:tc>
          <w:tcPr>
            <w:tcW w:w="735" w:type="dxa"/>
            <w:noWrap w:val="0"/>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2040" w:type="dxa"/>
            <w:noWrap w:val="0"/>
            <w:vAlign w:val="center"/>
          </w:tcPr>
          <w:p>
            <w:pPr>
              <w:pStyle w:val="17"/>
              <w:spacing w:line="400" w:lineRule="exact"/>
              <w:jc w:val="center"/>
              <w:rPr>
                <w:rFonts w:ascii="宋体" w:hAnsi="宋体"/>
                <w:color w:val="auto"/>
                <w:kern w:val="0"/>
                <w:szCs w:val="21"/>
                <w:highlight w:val="none"/>
                <w:lang w:val="en-US" w:eastAsia="zh-CN"/>
              </w:rPr>
            </w:pPr>
            <w:r>
              <w:rPr>
                <w:rFonts w:hint="eastAsia"/>
                <w:color w:val="auto"/>
                <w:kern w:val="2"/>
                <w:sz w:val="21"/>
                <w:szCs w:val="21"/>
                <w:highlight w:val="none"/>
                <w:lang w:val="en-US" w:eastAsia="zh-CN" w:bidi="ar"/>
              </w:rPr>
              <w:t>江北区前江街道雨污管道养护项目</w:t>
            </w:r>
          </w:p>
        </w:tc>
        <w:tc>
          <w:tcPr>
            <w:tcW w:w="3015" w:type="dxa"/>
            <w:tcBorders>
              <w:right w:val="single" w:color="auto" w:sz="4" w:space="0"/>
            </w:tcBorders>
            <w:noWrap w:val="0"/>
            <w:vAlign w:val="center"/>
          </w:tcPr>
          <w:p>
            <w:pPr>
              <w:pStyle w:val="17"/>
              <w:spacing w:line="400" w:lineRule="exact"/>
              <w:jc w:val="center"/>
              <w:rPr>
                <w:rFonts w:hint="default" w:ascii="宋体" w:hAnsi="宋体"/>
                <w:color w:val="auto"/>
                <w:kern w:val="0"/>
                <w:szCs w:val="21"/>
                <w:highlight w:val="none"/>
                <w:lang w:val="en-US" w:eastAsia="zh-CN"/>
              </w:rPr>
            </w:pPr>
            <w:r>
              <w:rPr>
                <w:rFonts w:hint="eastAsia" w:ascii="宋体" w:hAnsi="宋体"/>
                <w:b w:val="0"/>
                <w:bCs/>
                <w:color w:val="auto"/>
                <w:szCs w:val="21"/>
                <w:highlight w:val="none"/>
                <w:vertAlign w:val="baseline"/>
                <w:lang w:val="en-US" w:eastAsia="zh-CN"/>
              </w:rPr>
              <w:t>本项目预算价为人民币105万元/年</w:t>
            </w:r>
          </w:p>
        </w:tc>
        <w:tc>
          <w:tcPr>
            <w:tcW w:w="3195" w:type="dxa"/>
            <w:tcBorders>
              <w:left w:val="single" w:color="auto" w:sz="4" w:space="0"/>
            </w:tcBorders>
            <w:noWrap w:val="0"/>
            <w:vAlign w:val="center"/>
          </w:tcPr>
          <w:p>
            <w:pPr>
              <w:pStyle w:val="17"/>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2年，合同一年一签，第二年根据中标人服务情况、被考核情况和资金安排情况确定是否续订合同。</w:t>
            </w:r>
          </w:p>
        </w:tc>
      </w:tr>
    </w:tbl>
    <w:p>
      <w:pPr>
        <w:pStyle w:val="26"/>
        <w:snapToGrid w:val="0"/>
        <w:spacing w:beforeLines="0" w:after="0" w:afterLines="0" w:line="360" w:lineRule="auto"/>
        <w:jc w:val="left"/>
        <w:outlineLvl w:val="0"/>
        <w:rPr>
          <w:rFonts w:hint="eastAsia" w:ascii="宋体" w:hAnsi="宋体" w:cs="Tahoma"/>
          <w:b/>
          <w:color w:val="auto"/>
          <w:kern w:val="0"/>
          <w:szCs w:val="21"/>
          <w:highlight w:val="none"/>
        </w:rPr>
      </w:pPr>
      <w:r>
        <w:rPr>
          <w:rFonts w:hAnsi="宋体"/>
          <w:b/>
          <w:color w:val="auto"/>
          <w:sz w:val="21"/>
          <w:szCs w:val="21"/>
          <w:highlight w:val="none"/>
        </w:rPr>
        <w:t>二、技术需求表</w:t>
      </w:r>
    </w:p>
    <w:p>
      <w:pPr>
        <w:spacing w:line="360" w:lineRule="auto"/>
        <w:ind w:right="-643" w:rightChars="-306" w:firstLine="422" w:firstLineChars="200"/>
        <w:jc w:val="left"/>
        <w:rPr>
          <w:rFonts w:ascii="宋体" w:hAnsi="宋体" w:cs="Tahoma"/>
          <w:color w:val="auto"/>
          <w:kern w:val="0"/>
          <w:szCs w:val="21"/>
          <w:highlight w:val="none"/>
        </w:rPr>
      </w:pPr>
      <w:r>
        <w:rPr>
          <w:rFonts w:hint="eastAsia" w:ascii="宋体" w:hAnsi="宋体" w:cs="Tahoma"/>
          <w:b/>
          <w:color w:val="auto"/>
          <w:kern w:val="0"/>
          <w:szCs w:val="21"/>
          <w:highlight w:val="none"/>
        </w:rPr>
        <w:t>1</w:t>
      </w:r>
      <w:r>
        <w:rPr>
          <w:rFonts w:ascii="宋体" w:hAnsi="宋体" w:cs="Tahoma"/>
          <w:b/>
          <w:color w:val="auto"/>
          <w:kern w:val="0"/>
          <w:szCs w:val="21"/>
          <w:highlight w:val="none"/>
        </w:rPr>
        <w:t>、招</w:t>
      </w:r>
      <w:r>
        <w:rPr>
          <w:rFonts w:hint="eastAsia" w:ascii="宋体" w:hAnsi="宋体" w:cs="Tahoma"/>
          <w:b/>
          <w:color w:val="auto"/>
          <w:kern w:val="0"/>
          <w:szCs w:val="21"/>
          <w:highlight w:val="none"/>
        </w:rPr>
        <w:t>标内容：</w:t>
      </w:r>
      <w:r>
        <w:rPr>
          <w:rFonts w:ascii="宋体" w:hAnsi="宋体" w:cs="Tahoma"/>
          <w:color w:val="auto"/>
          <w:kern w:val="0"/>
          <w:szCs w:val="21"/>
          <w:highlight w:val="none"/>
          <w:lang w:val="en-US" w:eastAsia="zh-CN"/>
        </w:rPr>
        <w:t>前江街道辖区范围内开展雨水管、雨水井、污水管、污水井和隔油池等疏通养护服务</w:t>
      </w:r>
      <w:r>
        <w:rPr>
          <w:rFonts w:hint="eastAsia" w:ascii="宋体" w:hAnsi="宋体" w:cs="Tahoma"/>
          <w:color w:val="auto"/>
          <w:kern w:val="0"/>
          <w:szCs w:val="21"/>
          <w:highlight w:val="none"/>
          <w:lang w:val="en-US" w:eastAsia="zh-CN"/>
        </w:rPr>
        <w:t>。</w:t>
      </w:r>
    </w:p>
    <w:p>
      <w:pPr>
        <w:snapToGrid w:val="0"/>
        <w:spacing w:line="360" w:lineRule="auto"/>
        <w:ind w:firstLine="420" w:firstLineChars="200"/>
        <w:outlineLvl w:val="1"/>
        <w:rPr>
          <w:rFonts w:hint="eastAsia" w:ascii="宋体" w:hAnsi="宋体" w:eastAsia="宋体" w:cs="Tahoma"/>
          <w:color w:val="auto"/>
          <w:kern w:val="0"/>
          <w:szCs w:val="21"/>
          <w:highlight w:val="none"/>
          <w:lang w:eastAsia="zh-CN"/>
        </w:rPr>
      </w:pPr>
      <w:r>
        <w:rPr>
          <w:rFonts w:hint="eastAsia" w:ascii="宋体" w:hAnsi="宋体" w:cs="Tahoma"/>
          <w:color w:val="auto"/>
          <w:kern w:val="0"/>
          <w:szCs w:val="21"/>
          <w:highlight w:val="none"/>
          <w:lang w:val="en-US" w:eastAsia="zh-CN"/>
        </w:rPr>
        <w:t>项目清单</w:t>
      </w:r>
      <w:r>
        <w:rPr>
          <w:rFonts w:hint="eastAsia" w:ascii="宋体" w:hAnsi="宋体" w:cs="Tahoma"/>
          <w:color w:val="auto"/>
          <w:kern w:val="0"/>
          <w:szCs w:val="21"/>
          <w:highlight w:val="none"/>
        </w:rPr>
        <w:t>如下：</w:t>
      </w:r>
    </w:p>
    <w:tbl>
      <w:tblPr>
        <w:tblStyle w:val="50"/>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065"/>
        <w:gridCol w:w="1005"/>
        <w:gridCol w:w="975"/>
        <w:gridCol w:w="1155"/>
        <w:gridCol w:w="1110"/>
        <w:gridCol w:w="108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2" w:type="dxa"/>
            <w:vMerge w:val="restart"/>
            <w:noWrap w:val="0"/>
            <w:vAlign w:val="center"/>
          </w:tcPr>
          <w:p>
            <w:pPr>
              <w:snapToGrid w:val="0"/>
              <w:spacing w:before="156" w:beforeLines="50" w:after="156" w:afterLines="50" w:line="440" w:lineRule="exact"/>
              <w:jc w:val="center"/>
              <w:rPr>
                <w:rFonts w:hint="eastAsia" w:ascii="宋体" w:hAnsi="宋体"/>
                <w:b/>
                <w:bCs/>
                <w:color w:val="auto"/>
                <w:highlight w:val="none"/>
                <w:vertAlign w:val="baseline"/>
                <w:lang w:eastAsia="zh-CN"/>
              </w:rPr>
            </w:pPr>
            <w:r>
              <w:rPr>
                <w:rFonts w:hint="eastAsia" w:ascii="宋体" w:hAnsi="宋体"/>
                <w:b/>
                <w:bCs/>
                <w:color w:val="auto"/>
                <w:highlight w:val="none"/>
                <w:vertAlign w:val="baseline"/>
                <w:lang w:eastAsia="zh-CN"/>
              </w:rPr>
              <w:t>道路名称</w:t>
            </w:r>
          </w:p>
        </w:tc>
        <w:tc>
          <w:tcPr>
            <w:tcW w:w="1065" w:type="dxa"/>
            <w:vMerge w:val="restart"/>
            <w:noWrap w:val="0"/>
            <w:vAlign w:val="center"/>
          </w:tcPr>
          <w:p>
            <w:pPr>
              <w:snapToGrid w:val="0"/>
              <w:spacing w:before="156" w:beforeLines="50" w:after="156" w:afterLines="50" w:line="240" w:lineRule="exact"/>
              <w:jc w:val="center"/>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长度（米）</w:t>
            </w:r>
          </w:p>
        </w:tc>
        <w:tc>
          <w:tcPr>
            <w:tcW w:w="1005" w:type="dxa"/>
            <w:vMerge w:val="restart"/>
            <w:noWrap w:val="0"/>
            <w:vAlign w:val="center"/>
          </w:tcPr>
          <w:p>
            <w:pPr>
              <w:snapToGrid w:val="0"/>
              <w:spacing w:before="156" w:beforeLines="50" w:after="156" w:afterLines="50" w:line="240" w:lineRule="exact"/>
              <w:jc w:val="center"/>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宽度（米）</w:t>
            </w:r>
          </w:p>
        </w:tc>
        <w:tc>
          <w:tcPr>
            <w:tcW w:w="3240" w:type="dxa"/>
            <w:gridSpan w:val="3"/>
            <w:noWrap w:val="0"/>
            <w:vAlign w:val="center"/>
          </w:tcPr>
          <w:p>
            <w:pPr>
              <w:snapToGrid w:val="0"/>
              <w:spacing w:before="156" w:beforeLines="50" w:after="156" w:afterLines="50" w:line="440" w:lineRule="exact"/>
              <w:jc w:val="center"/>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雨水</w:t>
            </w:r>
          </w:p>
        </w:tc>
        <w:tc>
          <w:tcPr>
            <w:tcW w:w="2114" w:type="dxa"/>
            <w:gridSpan w:val="2"/>
            <w:noWrap w:val="0"/>
            <w:vAlign w:val="center"/>
          </w:tcPr>
          <w:p>
            <w:pPr>
              <w:snapToGrid w:val="0"/>
              <w:spacing w:before="156" w:beforeLines="50" w:after="156" w:afterLines="50" w:line="440" w:lineRule="exact"/>
              <w:jc w:val="center"/>
              <w:rPr>
                <w:rFonts w:hint="eastAsia" w:ascii="宋体" w:hAnsi="宋体"/>
                <w:b/>
                <w:bCs/>
                <w:color w:val="auto"/>
                <w:highlight w:val="none"/>
                <w:vertAlign w:val="baseline"/>
                <w:lang w:eastAsia="zh-CN"/>
              </w:rPr>
            </w:pPr>
            <w:r>
              <w:rPr>
                <w:rFonts w:hint="eastAsia" w:ascii="宋体" w:hAnsi="宋体"/>
                <w:b/>
                <w:bCs/>
                <w:color w:val="auto"/>
                <w:highlight w:val="none"/>
                <w:vertAlign w:val="baseline"/>
                <w:lang w:eastAsia="zh-CN"/>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2" w:type="dxa"/>
            <w:vMerge w:val="continue"/>
            <w:noWrap w:val="0"/>
            <w:vAlign w:val="center"/>
          </w:tcPr>
          <w:p>
            <w:pPr>
              <w:snapToGrid w:val="0"/>
              <w:spacing w:before="156" w:beforeLines="50" w:after="156" w:afterLines="50" w:line="440" w:lineRule="exact"/>
              <w:jc w:val="center"/>
              <w:rPr>
                <w:b/>
                <w:bCs/>
                <w:color w:val="auto"/>
                <w:highlight w:val="none"/>
              </w:rPr>
            </w:pPr>
          </w:p>
        </w:tc>
        <w:tc>
          <w:tcPr>
            <w:tcW w:w="1065" w:type="dxa"/>
            <w:vMerge w:val="continue"/>
            <w:noWrap w:val="0"/>
            <w:vAlign w:val="center"/>
          </w:tcPr>
          <w:p>
            <w:pPr>
              <w:snapToGrid w:val="0"/>
              <w:spacing w:before="156" w:beforeLines="50" w:after="156" w:afterLines="50" w:line="440" w:lineRule="exact"/>
              <w:jc w:val="center"/>
              <w:rPr>
                <w:b/>
                <w:bCs/>
                <w:color w:val="auto"/>
                <w:highlight w:val="none"/>
              </w:rPr>
            </w:pPr>
          </w:p>
        </w:tc>
        <w:tc>
          <w:tcPr>
            <w:tcW w:w="1005" w:type="dxa"/>
            <w:vMerge w:val="continue"/>
            <w:noWrap w:val="0"/>
            <w:vAlign w:val="center"/>
          </w:tcPr>
          <w:p>
            <w:pPr>
              <w:snapToGrid w:val="0"/>
              <w:spacing w:before="156" w:beforeLines="50" w:after="156" w:afterLines="50" w:line="440" w:lineRule="exact"/>
              <w:jc w:val="center"/>
              <w:rPr>
                <w:b/>
                <w:bCs/>
                <w:color w:val="auto"/>
                <w:highlight w:val="none"/>
              </w:rPr>
            </w:pPr>
          </w:p>
        </w:tc>
        <w:tc>
          <w:tcPr>
            <w:tcW w:w="975" w:type="dxa"/>
            <w:noWrap w:val="0"/>
            <w:vAlign w:val="center"/>
          </w:tcPr>
          <w:p>
            <w:pPr>
              <w:tabs>
                <w:tab w:val="center" w:pos="4153"/>
                <w:tab w:val="right" w:pos="8306"/>
              </w:tabs>
              <w:snapToGrid w:val="0"/>
              <w:spacing w:before="156" w:beforeLines="50" w:after="156" w:afterLines="50" w:line="240" w:lineRule="exact"/>
              <w:ind w:left="0" w:leftChars="0"/>
              <w:jc w:val="center"/>
              <w:rPr>
                <w:rFonts w:hint="eastAsia" w:ascii="宋体" w:hAnsi="宋体" w:eastAsia="宋体"/>
                <w:b/>
                <w:bCs/>
                <w:snapToGrid/>
                <w:color w:val="auto"/>
                <w:sz w:val="21"/>
                <w:szCs w:val="21"/>
                <w:highlight w:val="none"/>
              </w:rPr>
            </w:pPr>
            <w:r>
              <w:rPr>
                <w:rFonts w:hint="eastAsia" w:ascii="宋体" w:hAnsi="宋体" w:eastAsia="宋体"/>
                <w:b/>
                <w:bCs/>
                <w:snapToGrid/>
                <w:color w:val="auto"/>
                <w:sz w:val="21"/>
                <w:szCs w:val="21"/>
                <w:highlight w:val="none"/>
              </w:rPr>
              <w:t>雨水篦</w:t>
            </w:r>
          </w:p>
          <w:p>
            <w:pPr>
              <w:snapToGrid w:val="0"/>
              <w:spacing w:before="156" w:beforeLines="50" w:after="156" w:afterLines="50" w:line="240" w:lineRule="exact"/>
              <w:jc w:val="center"/>
              <w:rPr>
                <w:rFonts w:hint="eastAsia" w:ascii="宋体" w:hAnsi="宋体"/>
                <w:b/>
                <w:bCs/>
                <w:color w:val="auto"/>
                <w:szCs w:val="21"/>
                <w:highlight w:val="none"/>
                <w:vertAlign w:val="baseline"/>
              </w:rPr>
            </w:pPr>
            <w:r>
              <w:rPr>
                <w:rFonts w:hint="eastAsia" w:ascii="宋体" w:hAnsi="宋体" w:eastAsia="宋体"/>
                <w:b/>
                <w:bCs/>
                <w:snapToGrid/>
                <w:color w:val="auto"/>
                <w:sz w:val="21"/>
                <w:szCs w:val="21"/>
                <w:highlight w:val="none"/>
              </w:rPr>
              <w:t>（个）</w:t>
            </w:r>
          </w:p>
        </w:tc>
        <w:tc>
          <w:tcPr>
            <w:tcW w:w="1155" w:type="dxa"/>
            <w:noWrap w:val="0"/>
            <w:vAlign w:val="center"/>
          </w:tcPr>
          <w:p>
            <w:pPr>
              <w:snapToGrid w:val="0"/>
              <w:spacing w:before="156" w:beforeLines="50" w:after="156" w:afterLines="50" w:line="240" w:lineRule="exact"/>
              <w:jc w:val="center"/>
              <w:rPr>
                <w:rFonts w:hint="eastAsia" w:ascii="宋体" w:hAnsi="宋体"/>
                <w:b/>
                <w:bCs/>
                <w:color w:val="auto"/>
                <w:szCs w:val="21"/>
                <w:highlight w:val="none"/>
                <w:vertAlign w:val="baseline"/>
              </w:rPr>
            </w:pPr>
            <w:r>
              <w:rPr>
                <w:rFonts w:hint="eastAsia" w:ascii="宋体" w:hAnsi="宋体"/>
                <w:b/>
                <w:bCs/>
                <w:color w:val="auto"/>
                <w:sz w:val="21"/>
                <w:szCs w:val="21"/>
                <w:highlight w:val="none"/>
              </w:rPr>
              <w:t>雨水检查井（个）</w:t>
            </w:r>
          </w:p>
        </w:tc>
        <w:tc>
          <w:tcPr>
            <w:tcW w:w="1110" w:type="dxa"/>
            <w:noWrap w:val="0"/>
            <w:vAlign w:val="center"/>
          </w:tcPr>
          <w:p>
            <w:pPr>
              <w:snapToGrid w:val="0"/>
              <w:spacing w:before="156" w:beforeLines="50" w:after="156" w:afterLines="50" w:line="240" w:lineRule="exact"/>
              <w:jc w:val="center"/>
              <w:rPr>
                <w:rFonts w:hint="eastAsia" w:ascii="宋体" w:hAnsi="宋体"/>
                <w:b/>
                <w:bCs/>
                <w:color w:val="auto"/>
                <w:szCs w:val="21"/>
                <w:highlight w:val="none"/>
                <w:vertAlign w:val="baseline"/>
                <w:lang w:eastAsia="zh-CN"/>
              </w:rPr>
            </w:pPr>
            <w:r>
              <w:rPr>
                <w:rFonts w:hint="eastAsia" w:ascii="宋体" w:hAnsi="宋体"/>
                <w:b/>
                <w:bCs/>
                <w:color w:val="auto"/>
                <w:szCs w:val="21"/>
                <w:highlight w:val="none"/>
                <w:vertAlign w:val="baseline"/>
                <w:lang w:eastAsia="zh-CN"/>
              </w:rPr>
              <w:t>雨水管道</w:t>
            </w:r>
          </w:p>
          <w:p>
            <w:pPr>
              <w:snapToGrid w:val="0"/>
              <w:spacing w:before="156" w:beforeLines="50" w:after="156" w:afterLines="50" w:line="240" w:lineRule="exact"/>
              <w:jc w:val="center"/>
              <w:rPr>
                <w:rFonts w:hint="eastAsia" w:ascii="宋体" w:hAnsi="宋体"/>
                <w:b/>
                <w:bCs/>
                <w:color w:val="auto"/>
                <w:szCs w:val="21"/>
                <w:highlight w:val="none"/>
                <w:vertAlign w:val="baseline"/>
                <w:lang w:eastAsia="zh-CN"/>
              </w:rPr>
            </w:pPr>
            <w:r>
              <w:rPr>
                <w:rFonts w:hint="eastAsia" w:ascii="宋体" w:hAnsi="宋体"/>
                <w:b/>
                <w:bCs/>
                <w:color w:val="auto"/>
                <w:szCs w:val="21"/>
                <w:highlight w:val="none"/>
                <w:vertAlign w:val="baseline"/>
                <w:lang w:eastAsia="zh-CN"/>
              </w:rPr>
              <w:t>（米）</w:t>
            </w:r>
          </w:p>
        </w:tc>
        <w:tc>
          <w:tcPr>
            <w:tcW w:w="1080" w:type="dxa"/>
            <w:noWrap w:val="0"/>
            <w:vAlign w:val="center"/>
          </w:tcPr>
          <w:p>
            <w:pPr>
              <w:snapToGrid w:val="0"/>
              <w:spacing w:before="156" w:beforeLines="50" w:after="156" w:afterLines="50" w:line="240" w:lineRule="exact"/>
              <w:jc w:val="center"/>
              <w:rPr>
                <w:rFonts w:hint="eastAsia" w:ascii="宋体" w:hAnsi="宋体"/>
                <w:b/>
                <w:bCs/>
                <w:color w:val="auto"/>
                <w:szCs w:val="21"/>
                <w:highlight w:val="none"/>
                <w:vertAlign w:val="baseline"/>
              </w:rPr>
            </w:pPr>
            <w:r>
              <w:rPr>
                <w:rFonts w:hint="eastAsia" w:ascii="宋体" w:hAnsi="宋体" w:eastAsia="宋体"/>
                <w:b/>
                <w:bCs/>
                <w:snapToGrid/>
                <w:color w:val="auto"/>
                <w:sz w:val="21"/>
                <w:szCs w:val="21"/>
                <w:highlight w:val="none"/>
              </w:rPr>
              <w:t>污水检查井（个）</w:t>
            </w:r>
          </w:p>
        </w:tc>
        <w:tc>
          <w:tcPr>
            <w:tcW w:w="1034" w:type="dxa"/>
            <w:noWrap w:val="0"/>
            <w:vAlign w:val="center"/>
          </w:tcPr>
          <w:p>
            <w:pPr>
              <w:snapToGrid w:val="0"/>
              <w:spacing w:before="156" w:beforeLines="50" w:after="156" w:afterLines="50" w:line="440" w:lineRule="exact"/>
              <w:jc w:val="center"/>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污水管道（米）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32" w:type="dxa"/>
            <w:noWrap w:val="0"/>
            <w:vAlign w:val="center"/>
          </w:tcPr>
          <w:p>
            <w:pPr>
              <w:spacing w:line="320" w:lineRule="exact"/>
              <w:ind w:left="0" w:leftChars="0"/>
              <w:jc w:val="center"/>
              <w:rPr>
                <w:rFonts w:hint="eastAsia" w:ascii="宋体" w:hAnsi="宋体"/>
                <w:color w:val="auto"/>
                <w:sz w:val="18"/>
                <w:szCs w:val="18"/>
                <w:highlight w:val="none"/>
              </w:rPr>
            </w:pPr>
            <w:r>
              <w:rPr>
                <w:rFonts w:hint="eastAsia" w:ascii="宋体" w:hAnsi="宋体"/>
                <w:color w:val="auto"/>
                <w:sz w:val="18"/>
                <w:szCs w:val="18"/>
                <w:highlight w:val="none"/>
              </w:rPr>
              <w:t>开元路311弄</w:t>
            </w:r>
          </w:p>
        </w:tc>
        <w:tc>
          <w:tcPr>
            <w:tcW w:w="1065" w:type="dxa"/>
            <w:noWrap w:val="0"/>
            <w:vAlign w:val="center"/>
          </w:tcPr>
          <w:p>
            <w:pPr>
              <w:spacing w:line="320" w:lineRule="exact"/>
              <w:ind w:left="0" w:leftChars="0"/>
              <w:jc w:val="center"/>
              <w:rPr>
                <w:rFonts w:ascii="宋体" w:hAnsi="宋体"/>
                <w:color w:val="auto"/>
                <w:highlight w:val="none"/>
                <w:vertAlign w:val="baseline"/>
              </w:rPr>
            </w:pPr>
            <w:r>
              <w:rPr>
                <w:rFonts w:hint="eastAsia" w:ascii="宋体" w:hAnsi="宋体"/>
                <w:color w:val="auto"/>
                <w:sz w:val="18"/>
                <w:szCs w:val="18"/>
                <w:highlight w:val="none"/>
              </w:rPr>
              <w:t>3650</w:t>
            </w:r>
          </w:p>
        </w:tc>
        <w:tc>
          <w:tcPr>
            <w:tcW w:w="1005" w:type="dxa"/>
            <w:noWrap w:val="0"/>
            <w:vAlign w:val="center"/>
          </w:tcPr>
          <w:p>
            <w:pPr>
              <w:spacing w:line="320" w:lineRule="exact"/>
              <w:ind w:left="0" w:leftChars="0"/>
              <w:jc w:val="center"/>
              <w:rPr>
                <w:rFonts w:ascii="宋体" w:hAnsi="宋体"/>
                <w:color w:val="auto"/>
                <w:highlight w:val="none"/>
                <w:vertAlign w:val="baseline"/>
              </w:rPr>
            </w:pPr>
            <w:r>
              <w:rPr>
                <w:rFonts w:hint="eastAsia" w:ascii="宋体" w:hAnsi="宋体"/>
                <w:color w:val="auto"/>
                <w:sz w:val="18"/>
                <w:szCs w:val="18"/>
                <w:highlight w:val="none"/>
              </w:rPr>
              <w:t>12+12</w:t>
            </w:r>
          </w:p>
        </w:tc>
        <w:tc>
          <w:tcPr>
            <w:tcW w:w="975" w:type="dxa"/>
            <w:noWrap w:val="0"/>
            <w:vAlign w:val="center"/>
          </w:tcPr>
          <w:p>
            <w:pPr>
              <w:widowControl/>
              <w:tabs>
                <w:tab w:val="center" w:pos="4153"/>
                <w:tab w:val="right" w:pos="8306"/>
              </w:tabs>
              <w:snapToGrid/>
              <w:ind w:left="0" w:leftChars="0"/>
              <w:jc w:val="center"/>
              <w:textAlignment w:val="center"/>
              <w:rPr>
                <w:rFonts w:hint="eastAsia" w:ascii="宋体" w:hAnsi="宋体" w:eastAsia="宋体" w:cs="宋体"/>
                <w:color w:val="auto"/>
                <w:kern w:val="0"/>
                <w:sz w:val="20"/>
                <w:szCs w:val="20"/>
                <w:highlight w:val="none"/>
                <w:vertAlign w:val="baseline"/>
                <w:lang w:bidi="ar"/>
              </w:rPr>
            </w:pPr>
            <w:r>
              <w:rPr>
                <w:rFonts w:hint="eastAsia" w:ascii="宋体" w:hAnsi="宋体" w:eastAsia="宋体" w:cs="宋体"/>
                <w:snapToGrid/>
                <w:color w:val="auto"/>
                <w:kern w:val="0"/>
                <w:sz w:val="20"/>
                <w:szCs w:val="20"/>
                <w:highlight w:val="none"/>
                <w:lang w:val="en-US" w:eastAsia="zh-CN" w:bidi="ar"/>
              </w:rPr>
              <w:t>20</w:t>
            </w:r>
          </w:p>
        </w:tc>
        <w:tc>
          <w:tcPr>
            <w:tcW w:w="1155" w:type="dxa"/>
            <w:noWrap w:val="0"/>
            <w:vAlign w:val="center"/>
          </w:tcPr>
          <w:p>
            <w:pPr>
              <w:widowControl/>
              <w:snapToGrid/>
              <w:spacing w:before="0" w:beforeLines="0" w:after="0" w:afterLines="0" w:line="240" w:lineRule="auto"/>
              <w:jc w:val="center"/>
              <w:textAlignment w:val="center"/>
              <w:rPr>
                <w:rFonts w:hint="eastAsia" w:ascii="宋体" w:hAnsi="宋体" w:eastAsia="宋体" w:cs="宋体"/>
                <w:color w:val="auto"/>
                <w:kern w:val="0"/>
                <w:sz w:val="20"/>
                <w:szCs w:val="20"/>
                <w:highlight w:val="none"/>
                <w:vertAlign w:val="baseline"/>
                <w:lang w:val="en-US" w:eastAsia="zh-CN" w:bidi="ar"/>
              </w:rPr>
            </w:pPr>
            <w:r>
              <w:rPr>
                <w:rFonts w:hint="eastAsia" w:ascii="宋体" w:hAnsi="宋体" w:eastAsia="宋体" w:cs="宋体"/>
                <w:color w:val="auto"/>
                <w:kern w:val="0"/>
                <w:sz w:val="20"/>
                <w:szCs w:val="20"/>
                <w:highlight w:val="none"/>
                <w:vertAlign w:val="baseline"/>
                <w:lang w:val="en-US" w:eastAsia="zh-CN" w:bidi="ar"/>
              </w:rPr>
              <w:t>12</w:t>
            </w:r>
          </w:p>
        </w:tc>
        <w:tc>
          <w:tcPr>
            <w:tcW w:w="1110" w:type="dxa"/>
            <w:noWrap w:val="0"/>
            <w:vAlign w:val="center"/>
          </w:tcPr>
          <w:p>
            <w:pPr>
              <w:widowControl/>
              <w:snapToGrid/>
              <w:spacing w:before="0" w:beforeLines="0" w:after="0" w:afterLines="0" w:line="240" w:lineRule="auto"/>
              <w:jc w:val="center"/>
              <w:textAlignment w:val="center"/>
              <w:rPr>
                <w:rFonts w:hint="eastAsia" w:ascii="宋体" w:hAnsi="宋体" w:eastAsia="宋体" w:cs="宋体"/>
                <w:color w:val="auto"/>
                <w:kern w:val="0"/>
                <w:sz w:val="20"/>
                <w:szCs w:val="20"/>
                <w:highlight w:val="none"/>
                <w:vertAlign w:val="baseline"/>
                <w:lang w:val="en-US" w:eastAsia="zh-CN" w:bidi="ar"/>
              </w:rPr>
            </w:pPr>
            <w:r>
              <w:rPr>
                <w:rFonts w:hint="eastAsia" w:ascii="宋体" w:hAnsi="宋体" w:eastAsia="宋体" w:cs="宋体"/>
                <w:color w:val="auto"/>
                <w:kern w:val="0"/>
                <w:sz w:val="20"/>
                <w:szCs w:val="20"/>
                <w:highlight w:val="none"/>
                <w:vertAlign w:val="baseline"/>
                <w:lang w:val="en-US" w:eastAsia="zh-CN" w:bidi="ar"/>
              </w:rPr>
              <w:t>549</w:t>
            </w:r>
          </w:p>
        </w:tc>
        <w:tc>
          <w:tcPr>
            <w:tcW w:w="1080" w:type="dxa"/>
            <w:noWrap w:val="0"/>
            <w:vAlign w:val="center"/>
          </w:tcPr>
          <w:p>
            <w:pPr>
              <w:widowControl/>
              <w:snapToGrid/>
              <w:spacing w:before="0" w:beforeLines="0" w:after="0" w:afterLines="0" w:line="240" w:lineRule="auto"/>
              <w:jc w:val="center"/>
              <w:textAlignment w:val="center"/>
              <w:rPr>
                <w:rFonts w:hint="eastAsia" w:ascii="宋体" w:hAnsi="宋体" w:eastAsia="宋体" w:cs="宋体"/>
                <w:color w:val="auto"/>
                <w:kern w:val="0"/>
                <w:sz w:val="20"/>
                <w:szCs w:val="20"/>
                <w:highlight w:val="none"/>
                <w:vertAlign w:val="baseline"/>
                <w:lang w:val="en-US" w:eastAsia="zh-CN" w:bidi="ar"/>
              </w:rPr>
            </w:pPr>
            <w:r>
              <w:rPr>
                <w:rFonts w:hint="eastAsia" w:ascii="宋体" w:hAnsi="宋体" w:eastAsia="宋体" w:cs="宋体"/>
                <w:color w:val="auto"/>
                <w:kern w:val="0"/>
                <w:sz w:val="20"/>
                <w:szCs w:val="20"/>
                <w:highlight w:val="none"/>
                <w:vertAlign w:val="baseline"/>
                <w:lang w:val="en-US" w:eastAsia="zh-CN" w:bidi="ar"/>
              </w:rPr>
              <w:t>15</w:t>
            </w:r>
          </w:p>
        </w:tc>
        <w:tc>
          <w:tcPr>
            <w:tcW w:w="1034" w:type="dxa"/>
            <w:noWrap w:val="0"/>
            <w:vAlign w:val="center"/>
          </w:tcPr>
          <w:p>
            <w:pPr>
              <w:widowControl/>
              <w:snapToGrid/>
              <w:spacing w:before="0" w:beforeLines="0" w:after="0" w:afterLines="0" w:line="240" w:lineRule="auto"/>
              <w:jc w:val="center"/>
              <w:textAlignment w:val="center"/>
              <w:rPr>
                <w:rFonts w:hint="eastAsia" w:ascii="宋体" w:hAnsi="宋体" w:eastAsia="宋体" w:cs="宋体"/>
                <w:color w:val="auto"/>
                <w:kern w:val="0"/>
                <w:sz w:val="20"/>
                <w:szCs w:val="20"/>
                <w:highlight w:val="none"/>
                <w:vertAlign w:val="baseline"/>
                <w:lang w:val="en-US" w:eastAsia="zh-CN" w:bidi="ar"/>
              </w:rPr>
            </w:pPr>
            <w:r>
              <w:rPr>
                <w:rFonts w:hint="eastAsia" w:ascii="宋体" w:hAnsi="宋体" w:eastAsia="宋体" w:cs="宋体"/>
                <w:color w:val="auto"/>
                <w:kern w:val="0"/>
                <w:sz w:val="20"/>
                <w:szCs w:val="20"/>
                <w:highlight w:val="none"/>
                <w:vertAlign w:val="baseli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长兴路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rPr>
              <w:t>400</w:t>
            </w:r>
            <w:r>
              <w:rPr>
                <w:rFonts w:hint="eastAsia" w:ascii="宋体" w:hAnsi="宋体" w:eastAsia="宋体" w:cs="Times New Roman"/>
                <w:color w:val="auto"/>
                <w:sz w:val="18"/>
                <w:szCs w:val="18"/>
                <w:highlight w:val="none"/>
                <w:lang w:val="en-US" w:eastAsia="zh-CN"/>
              </w:rPr>
              <w:t>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20</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105</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105</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4685</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86</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姜湖路399弄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950</w:t>
            </w:r>
          </w:p>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2650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14</w:t>
            </w:r>
          </w:p>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12+12</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26</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16</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749</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16</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开元路225弄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4300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14</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19</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9</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517</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13</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长阳路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2220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13+13</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161</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95</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6768</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104</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金山路666弄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450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14</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39</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28</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952</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36</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通惠路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1000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10</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149</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105</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4213</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110</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通宁路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1560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14+14</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85</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71</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3413</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69</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金山路380弄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460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w:t>
            </w:r>
          </w:p>
        </w:tc>
        <w:tc>
          <w:tcPr>
            <w:tcW w:w="975"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16</w:t>
            </w:r>
          </w:p>
        </w:tc>
        <w:tc>
          <w:tcPr>
            <w:tcW w:w="1155"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8</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283</w:t>
            </w:r>
          </w:p>
        </w:tc>
        <w:tc>
          <w:tcPr>
            <w:tcW w:w="108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14</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望山路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470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10</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6</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404</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19</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通宁路520弄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1900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12+12</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77</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75</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2095</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57</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金山路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1800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14</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156</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98</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5719</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108</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金山路300弄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2100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12+12</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39</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21</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822</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13</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姜湖路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1900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14</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83</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53</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2451</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65</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通宁路321弄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20</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33</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13</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574</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10</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长兴路478弄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3650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13+13</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21</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15</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610</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15</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宏图路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350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55</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35</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2594</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39</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长兴路398弄</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260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18</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552</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8</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银海路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900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8</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78</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43</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2186</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58</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广元路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420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14</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95</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64</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3405</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76</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开元路</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670</w:t>
            </w:r>
          </w:p>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680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32</w:t>
            </w:r>
          </w:p>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27</w:t>
            </w:r>
          </w:p>
        </w:tc>
        <w:tc>
          <w:tcPr>
            <w:tcW w:w="97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70</w:t>
            </w: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42</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2487</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43</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江北大道</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710</w:t>
            </w: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24</w:t>
            </w:r>
          </w:p>
        </w:tc>
        <w:tc>
          <w:tcPr>
            <w:tcW w:w="975"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p>
        </w:tc>
        <w:tc>
          <w:tcPr>
            <w:tcW w:w="1155"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83</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2752</w:t>
            </w:r>
          </w:p>
        </w:tc>
        <w:tc>
          <w:tcPr>
            <w:tcW w:w="1080"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p>
        </w:tc>
        <w:tc>
          <w:tcPr>
            <w:tcW w:w="1034"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center"/>
          </w:tcPr>
          <w:p>
            <w:pPr>
              <w:spacing w:line="320" w:lineRule="exact"/>
              <w:ind w:left="0" w:left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合计</w:t>
            </w:r>
          </w:p>
        </w:tc>
        <w:tc>
          <w:tcPr>
            <w:tcW w:w="106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p>
        </w:tc>
        <w:tc>
          <w:tcPr>
            <w:tcW w:w="1005" w:type="dxa"/>
            <w:noWrap w:val="0"/>
            <w:vAlign w:val="center"/>
          </w:tcPr>
          <w:p>
            <w:pPr>
              <w:spacing w:line="320" w:lineRule="exact"/>
              <w:ind w:left="0" w:leftChars="0"/>
              <w:jc w:val="center"/>
              <w:rPr>
                <w:rFonts w:hint="eastAsia" w:ascii="宋体" w:hAnsi="宋体" w:eastAsia="宋体" w:cs="Times New Roman"/>
                <w:color w:val="auto"/>
                <w:sz w:val="18"/>
                <w:szCs w:val="18"/>
                <w:highlight w:val="none"/>
              </w:rPr>
            </w:pPr>
          </w:p>
        </w:tc>
        <w:tc>
          <w:tcPr>
            <w:tcW w:w="975"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1355</w:t>
            </w:r>
          </w:p>
        </w:tc>
        <w:tc>
          <w:tcPr>
            <w:tcW w:w="1155"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1007</w:t>
            </w:r>
          </w:p>
        </w:tc>
        <w:tc>
          <w:tcPr>
            <w:tcW w:w="111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48780</w:t>
            </w:r>
          </w:p>
        </w:tc>
        <w:tc>
          <w:tcPr>
            <w:tcW w:w="1080"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974</w:t>
            </w:r>
          </w:p>
        </w:tc>
        <w:tc>
          <w:tcPr>
            <w:tcW w:w="1034" w:type="dxa"/>
            <w:noWrap w:val="0"/>
            <w:vAlign w:val="center"/>
          </w:tcPr>
          <w:p>
            <w:pPr>
              <w:spacing w:line="320" w:lineRule="exact"/>
              <w:ind w:left="0" w:leftChars="0"/>
              <w:jc w:val="center"/>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29233</w:t>
            </w:r>
          </w:p>
        </w:tc>
      </w:tr>
    </w:tbl>
    <w:p>
      <w:pPr>
        <w:spacing w:line="480" w:lineRule="exact"/>
        <w:ind w:firstLine="422" w:firstLineChars="200"/>
        <w:rPr>
          <w:rFonts w:hint="eastAsia" w:ascii="宋体" w:hAnsi="宋体"/>
          <w:b/>
          <w:color w:val="auto"/>
          <w:szCs w:val="21"/>
          <w:highlight w:val="none"/>
        </w:rPr>
      </w:pPr>
    </w:p>
    <w:p>
      <w:pPr>
        <w:pStyle w:val="19"/>
        <w:rPr>
          <w:rFonts w:hint="eastAsia" w:ascii="宋体" w:hAnsi="宋体"/>
          <w:b/>
          <w:color w:val="auto"/>
          <w:szCs w:val="21"/>
          <w:highlight w:val="none"/>
        </w:rPr>
      </w:pPr>
    </w:p>
    <w:tbl>
      <w:tblPr>
        <w:tblStyle w:val="49"/>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940"/>
        <w:gridCol w:w="1237"/>
        <w:gridCol w:w="1045"/>
        <w:gridCol w:w="1063"/>
        <w:gridCol w:w="1119"/>
        <w:gridCol w:w="98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6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b/>
                <w:bCs/>
                <w:color w:val="auto"/>
                <w:highlight w:val="none"/>
                <w:vertAlign w:val="baseline"/>
                <w:lang w:eastAsia="zh-CN"/>
              </w:rPr>
            </w:pPr>
            <w:r>
              <w:rPr>
                <w:rFonts w:hint="eastAsia" w:ascii="宋体" w:hAnsi="宋体"/>
                <w:b/>
                <w:bCs/>
                <w:color w:val="auto"/>
                <w:highlight w:val="none"/>
                <w:vertAlign w:val="baseline"/>
                <w:lang w:eastAsia="zh-CN"/>
              </w:rPr>
              <w:t>道路名称</w:t>
            </w:r>
          </w:p>
        </w:tc>
        <w:tc>
          <w:tcPr>
            <w:tcW w:w="94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长度（米）</w:t>
            </w:r>
          </w:p>
        </w:tc>
        <w:tc>
          <w:tcPr>
            <w:tcW w:w="123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宽度（米）</w:t>
            </w:r>
          </w:p>
        </w:tc>
        <w:tc>
          <w:tcPr>
            <w:tcW w:w="322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雨水</w:t>
            </w:r>
          </w:p>
        </w:tc>
        <w:tc>
          <w:tcPr>
            <w:tcW w:w="21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b/>
                <w:bCs/>
                <w:color w:val="auto"/>
                <w:highlight w:val="none"/>
                <w:vertAlign w:val="baseline"/>
                <w:lang w:eastAsia="zh-CN"/>
              </w:rPr>
            </w:pPr>
            <w:r>
              <w:rPr>
                <w:rFonts w:hint="eastAsia" w:ascii="宋体" w:hAnsi="宋体"/>
                <w:b/>
                <w:bCs/>
                <w:color w:val="auto"/>
                <w:highlight w:val="none"/>
                <w:vertAlign w:val="baseline"/>
                <w:lang w:eastAsia="zh-CN"/>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b/>
                <w:bCs/>
                <w:color w:val="auto"/>
                <w:highlight w:val="none"/>
              </w:rPr>
            </w:pPr>
          </w:p>
        </w:tc>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b/>
                <w:bCs/>
                <w:color w:val="auto"/>
                <w:highlight w:val="none"/>
              </w:rPr>
            </w:pPr>
          </w:p>
        </w:tc>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b/>
                <w:bCs/>
                <w:color w:val="auto"/>
                <w:highlight w:val="none"/>
              </w:rPr>
            </w:pPr>
          </w:p>
        </w:tc>
        <w:tc>
          <w:tcPr>
            <w:tcW w:w="104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after="156" w:afterLines="50" w:line="200" w:lineRule="exact"/>
              <w:ind w:left="0" w:leftChars="0"/>
              <w:jc w:val="center"/>
              <w:textAlignment w:val="auto"/>
              <w:rPr>
                <w:rFonts w:hint="eastAsia" w:ascii="宋体" w:hAnsi="宋体" w:eastAsia="宋体"/>
                <w:b/>
                <w:bCs/>
                <w:snapToGrid/>
                <w:color w:val="auto"/>
                <w:sz w:val="21"/>
                <w:szCs w:val="21"/>
                <w:highlight w:val="none"/>
              </w:rPr>
            </w:pPr>
            <w:r>
              <w:rPr>
                <w:rFonts w:hint="eastAsia" w:ascii="宋体" w:hAnsi="宋体" w:eastAsia="宋体"/>
                <w:b/>
                <w:bCs/>
                <w:snapToGrid/>
                <w:color w:val="auto"/>
                <w:sz w:val="21"/>
                <w:szCs w:val="21"/>
                <w:highlight w:val="none"/>
              </w:rPr>
              <w:t>雨水篦</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b/>
                <w:bCs/>
                <w:color w:val="auto"/>
                <w:szCs w:val="21"/>
                <w:highlight w:val="none"/>
                <w:vertAlign w:val="baseline"/>
              </w:rPr>
            </w:pPr>
            <w:r>
              <w:rPr>
                <w:rFonts w:hint="eastAsia" w:ascii="宋体" w:hAnsi="宋体" w:eastAsia="宋体"/>
                <w:b/>
                <w:bCs/>
                <w:snapToGrid/>
                <w:color w:val="auto"/>
                <w:sz w:val="21"/>
                <w:szCs w:val="21"/>
                <w:highlight w:val="none"/>
              </w:rPr>
              <w:t>（个）</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b/>
                <w:bCs/>
                <w:color w:val="auto"/>
                <w:szCs w:val="21"/>
                <w:highlight w:val="none"/>
                <w:vertAlign w:val="baseline"/>
              </w:rPr>
            </w:pPr>
            <w:r>
              <w:rPr>
                <w:rFonts w:hint="eastAsia" w:ascii="宋体" w:hAnsi="宋体"/>
                <w:b/>
                <w:bCs/>
                <w:color w:val="auto"/>
                <w:sz w:val="21"/>
                <w:szCs w:val="21"/>
                <w:highlight w:val="none"/>
              </w:rPr>
              <w:t>雨水检查井（个）</w:t>
            </w:r>
          </w:p>
        </w:tc>
        <w:tc>
          <w:tcPr>
            <w:tcW w:w="1119"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b/>
                <w:bCs/>
                <w:color w:val="auto"/>
                <w:szCs w:val="21"/>
                <w:highlight w:val="none"/>
                <w:vertAlign w:val="baseline"/>
                <w:lang w:eastAsia="zh-CN"/>
              </w:rPr>
            </w:pPr>
            <w:r>
              <w:rPr>
                <w:rFonts w:hint="eastAsia" w:ascii="宋体" w:hAnsi="宋体"/>
                <w:b/>
                <w:bCs/>
                <w:color w:val="auto"/>
                <w:szCs w:val="21"/>
                <w:highlight w:val="none"/>
                <w:vertAlign w:val="baseline"/>
                <w:lang w:eastAsia="zh-CN"/>
              </w:rPr>
              <w:t>雨水管道</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b/>
                <w:bCs/>
                <w:color w:val="auto"/>
                <w:szCs w:val="21"/>
                <w:highlight w:val="none"/>
                <w:vertAlign w:val="baseline"/>
                <w:lang w:eastAsia="zh-CN"/>
              </w:rPr>
            </w:pPr>
            <w:r>
              <w:rPr>
                <w:rFonts w:hint="eastAsia" w:ascii="宋体" w:hAnsi="宋体"/>
                <w:b/>
                <w:bCs/>
                <w:color w:val="auto"/>
                <w:szCs w:val="21"/>
                <w:highlight w:val="none"/>
                <w:vertAlign w:val="baseline"/>
                <w:lang w:eastAsia="zh-CN"/>
              </w:rPr>
              <w:t>（米）</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b/>
                <w:bCs/>
                <w:color w:val="auto"/>
                <w:szCs w:val="21"/>
                <w:highlight w:val="none"/>
                <w:vertAlign w:val="baseline"/>
              </w:rPr>
            </w:pPr>
            <w:r>
              <w:rPr>
                <w:rFonts w:hint="eastAsia" w:ascii="宋体" w:hAnsi="宋体" w:eastAsia="宋体"/>
                <w:b/>
                <w:bCs/>
                <w:snapToGrid/>
                <w:color w:val="auto"/>
                <w:sz w:val="21"/>
                <w:szCs w:val="21"/>
                <w:highlight w:val="none"/>
              </w:rPr>
              <w:t>污水检查井（个）</w:t>
            </w:r>
          </w:p>
        </w:tc>
        <w:tc>
          <w:tcPr>
            <w:tcW w:w="1214"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jc w:val="center"/>
              <w:textAlignment w:val="auto"/>
              <w:rPr>
                <w:rFonts w:hint="eastAsia" w:ascii="宋体" w:hAnsi="宋体" w:eastAsia="宋体"/>
                <w:b/>
                <w:bCs/>
                <w:color w:val="auto"/>
                <w:highlight w:val="none"/>
                <w:vertAlign w:val="baseline"/>
                <w:lang w:eastAsia="zh-CN"/>
              </w:rPr>
            </w:pPr>
            <w:r>
              <w:rPr>
                <w:rFonts w:hint="eastAsia" w:ascii="宋体" w:hAnsi="宋体"/>
                <w:b/>
                <w:bCs/>
                <w:color w:val="auto"/>
                <w:highlight w:val="none"/>
                <w:vertAlign w:val="baseline"/>
                <w:lang w:eastAsia="zh-CN"/>
              </w:rPr>
              <w:t>污水管道（米）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金山路786弄</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520</w:t>
            </w:r>
          </w:p>
        </w:tc>
        <w:tc>
          <w:tcPr>
            <w:tcW w:w="981"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长兴路</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48</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35</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1885</w:t>
            </w:r>
          </w:p>
        </w:tc>
        <w:tc>
          <w:tcPr>
            <w:tcW w:w="981"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43</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同济路350弄</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1063"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221</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同济路280弄</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w:t>
            </w:r>
          </w:p>
        </w:tc>
        <w:tc>
          <w:tcPr>
            <w:tcW w:w="1063"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283</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长阳路</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65</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47</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1882</w:t>
            </w:r>
          </w:p>
        </w:tc>
        <w:tc>
          <w:tcPr>
            <w:tcW w:w="981"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57</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慈孝南路</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54</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75</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2708</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通惠路</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w:t>
            </w:r>
          </w:p>
        </w:tc>
        <w:tc>
          <w:tcPr>
            <w:tcW w:w="1063"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174</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1214"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同济路</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37</w:t>
            </w:r>
          </w:p>
        </w:tc>
        <w:tc>
          <w:tcPr>
            <w:tcW w:w="1063"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1265</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22</w:t>
            </w:r>
          </w:p>
        </w:tc>
        <w:tc>
          <w:tcPr>
            <w:tcW w:w="1214"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长兴路788弄</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27</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516</w:t>
            </w:r>
          </w:p>
        </w:tc>
        <w:tc>
          <w:tcPr>
            <w:tcW w:w="981"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w:t>
            </w:r>
          </w:p>
        </w:tc>
        <w:tc>
          <w:tcPr>
            <w:tcW w:w="1214"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望山路</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30</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26</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933</w:t>
            </w:r>
          </w:p>
        </w:tc>
        <w:tc>
          <w:tcPr>
            <w:tcW w:w="981"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14</w:t>
            </w:r>
          </w:p>
        </w:tc>
        <w:tc>
          <w:tcPr>
            <w:tcW w:w="1214"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金山路</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26</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1067</w:t>
            </w:r>
          </w:p>
        </w:tc>
        <w:tc>
          <w:tcPr>
            <w:tcW w:w="981"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22</w:t>
            </w:r>
          </w:p>
        </w:tc>
        <w:tc>
          <w:tcPr>
            <w:tcW w:w="1214"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合计</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318</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282</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11454</w:t>
            </w:r>
          </w:p>
        </w:tc>
        <w:tc>
          <w:tcPr>
            <w:tcW w:w="981"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204</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沿街商铺</w:t>
            </w:r>
          </w:p>
        </w:tc>
        <w:tc>
          <w:tcPr>
            <w:tcW w:w="940" w:type="dxa"/>
            <w:noWrap w:val="0"/>
            <w:vAlign w:val="center"/>
          </w:tcPr>
          <w:p>
            <w:pPr>
              <w:spacing w:line="320" w:lineRule="exact"/>
              <w:ind w:left="0" w:leftChars="0"/>
              <w:jc w:val="center"/>
              <w:rPr>
                <w:rFonts w:hint="eastAsia" w:ascii="宋体" w:hAnsi="宋体" w:eastAsia="宋体"/>
                <w:b/>
                <w:bCs/>
                <w:color w:val="auto"/>
                <w:sz w:val="18"/>
                <w:szCs w:val="18"/>
                <w:highlight w:val="none"/>
                <w:lang w:eastAsia="zh-CN"/>
              </w:rPr>
            </w:pPr>
            <w:r>
              <w:rPr>
                <w:rFonts w:hint="eastAsia" w:ascii="宋体" w:hAnsi="宋体"/>
                <w:b/>
                <w:bCs/>
                <w:color w:val="auto"/>
                <w:sz w:val="18"/>
                <w:szCs w:val="18"/>
                <w:highlight w:val="none"/>
                <w:lang w:eastAsia="zh-CN"/>
              </w:rPr>
              <w:t>污水管网（米）</w:t>
            </w:r>
          </w:p>
        </w:tc>
        <w:tc>
          <w:tcPr>
            <w:tcW w:w="1237" w:type="dxa"/>
            <w:noWrap w:val="0"/>
            <w:vAlign w:val="center"/>
          </w:tcPr>
          <w:p>
            <w:pPr>
              <w:spacing w:line="320" w:lineRule="exact"/>
              <w:ind w:left="0" w:leftChars="0"/>
              <w:jc w:val="center"/>
              <w:rPr>
                <w:rFonts w:hint="eastAsia" w:ascii="宋体" w:hAnsi="宋体" w:eastAsia="宋体"/>
                <w:b/>
                <w:bCs/>
                <w:color w:val="auto"/>
                <w:sz w:val="18"/>
                <w:szCs w:val="18"/>
                <w:highlight w:val="none"/>
                <w:lang w:eastAsia="zh-CN"/>
              </w:rPr>
            </w:pPr>
            <w:r>
              <w:rPr>
                <w:rFonts w:hint="eastAsia" w:ascii="宋体" w:hAnsi="宋体"/>
                <w:b/>
                <w:bCs/>
                <w:color w:val="auto"/>
                <w:sz w:val="18"/>
                <w:szCs w:val="18"/>
                <w:highlight w:val="none"/>
                <w:lang w:eastAsia="zh-CN"/>
              </w:rPr>
              <w:t>污水井（只）</w:t>
            </w:r>
          </w:p>
        </w:tc>
        <w:tc>
          <w:tcPr>
            <w:tcW w:w="1045" w:type="dxa"/>
            <w:noWrap w:val="0"/>
            <w:vAlign w:val="center"/>
          </w:tcPr>
          <w:p>
            <w:pPr>
              <w:keepNext w:val="0"/>
              <w:keepLines w:val="0"/>
              <w:widowControl/>
              <w:suppressLineNumbers w:val="0"/>
              <w:ind w:left="0" w:leftChars="0"/>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雨水管网（米）</w:t>
            </w:r>
          </w:p>
        </w:tc>
        <w:tc>
          <w:tcPr>
            <w:tcW w:w="1063" w:type="dxa"/>
            <w:noWrap w:val="0"/>
            <w:vAlign w:val="center"/>
          </w:tcPr>
          <w:p>
            <w:pPr>
              <w:keepNext w:val="0"/>
              <w:keepLines w:val="0"/>
              <w:widowControl/>
              <w:suppressLineNumbers w:val="0"/>
              <w:ind w:left="0" w:leftChars="0"/>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雨水井（只）</w:t>
            </w:r>
          </w:p>
        </w:tc>
        <w:tc>
          <w:tcPr>
            <w:tcW w:w="2100" w:type="dxa"/>
            <w:gridSpan w:val="2"/>
            <w:noWrap w:val="0"/>
            <w:vAlign w:val="center"/>
          </w:tcPr>
          <w:p>
            <w:pPr>
              <w:widowControl/>
              <w:snapToGrid/>
              <w:spacing w:before="0" w:beforeLines="0" w:after="0" w:afterLines="0" w:line="240" w:lineRule="auto"/>
              <w:jc w:val="center"/>
              <w:textAlignment w:val="center"/>
              <w:rPr>
                <w:rFonts w:hint="eastAsia" w:ascii="宋体" w:hAnsi="宋体" w:eastAsia="宋体" w:cs="宋体"/>
                <w:b/>
                <w:bCs/>
                <w:color w:val="auto"/>
                <w:kern w:val="0"/>
                <w:sz w:val="20"/>
                <w:szCs w:val="20"/>
                <w:highlight w:val="none"/>
                <w:vertAlign w:val="baseline"/>
                <w:lang w:val="en-US" w:eastAsia="zh-CN" w:bidi="ar"/>
              </w:rPr>
            </w:pPr>
            <w:r>
              <w:rPr>
                <w:rFonts w:hint="eastAsia" w:ascii="宋体" w:hAnsi="宋体" w:eastAsia="宋体" w:cs="宋体"/>
                <w:b/>
                <w:bCs/>
                <w:color w:val="auto"/>
                <w:kern w:val="0"/>
                <w:sz w:val="20"/>
                <w:szCs w:val="20"/>
                <w:highlight w:val="none"/>
                <w:vertAlign w:val="baseline"/>
                <w:lang w:val="en-US" w:eastAsia="zh-CN" w:bidi="ar"/>
              </w:rPr>
              <w:t>隔油池（座）</w:t>
            </w:r>
          </w:p>
        </w:tc>
        <w:tc>
          <w:tcPr>
            <w:tcW w:w="1214" w:type="dxa"/>
            <w:noWrap w:val="0"/>
            <w:vAlign w:val="center"/>
          </w:tcPr>
          <w:p>
            <w:pPr>
              <w:widowControl/>
              <w:snapToGrid/>
              <w:spacing w:before="0" w:beforeLines="0" w:after="0" w:afterLines="0" w:line="240" w:lineRule="auto"/>
              <w:jc w:val="center"/>
              <w:textAlignment w:val="center"/>
              <w:rPr>
                <w:rFonts w:hint="eastAsia" w:ascii="宋体" w:hAnsi="宋体" w:eastAsia="宋体" w:cs="宋体"/>
                <w:b/>
                <w:bCs/>
                <w:color w:val="auto"/>
                <w:kern w:val="0"/>
                <w:sz w:val="20"/>
                <w:szCs w:val="20"/>
                <w:highlight w:val="none"/>
                <w:vertAlign w:val="baseline"/>
                <w:lang w:val="en-US" w:eastAsia="zh-CN" w:bidi="ar"/>
              </w:rPr>
            </w:pPr>
            <w:r>
              <w:rPr>
                <w:rFonts w:hint="eastAsia" w:ascii="宋体" w:hAnsi="宋体" w:eastAsia="宋体" w:cs="宋体"/>
                <w:b/>
                <w:bCs/>
                <w:color w:val="auto"/>
                <w:kern w:val="0"/>
                <w:sz w:val="20"/>
                <w:szCs w:val="20"/>
                <w:highlight w:val="none"/>
                <w:vertAlign w:val="baseline"/>
                <w:lang w:val="en-US" w:eastAsia="zh-CN" w:bidi="ar"/>
              </w:rPr>
              <w:t>化粪池（座）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盛世又一村</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176</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176</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w:t>
            </w:r>
          </w:p>
        </w:tc>
        <w:tc>
          <w:tcPr>
            <w:tcW w:w="210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盛世嘉苑</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460</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25</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460</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25</w:t>
            </w:r>
          </w:p>
        </w:tc>
        <w:tc>
          <w:tcPr>
            <w:tcW w:w="210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乐筑良品</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190</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190</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w:t>
            </w:r>
          </w:p>
        </w:tc>
        <w:tc>
          <w:tcPr>
            <w:tcW w:w="210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人才公寓</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w:t>
            </w:r>
          </w:p>
        </w:tc>
        <w:tc>
          <w:tcPr>
            <w:tcW w:w="210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立方寓</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230</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13</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230</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13</w:t>
            </w:r>
          </w:p>
        </w:tc>
        <w:tc>
          <w:tcPr>
            <w:tcW w:w="210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裘市菜场</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200</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c>
          <w:tcPr>
            <w:tcW w:w="210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合计</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1176</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66</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1376</w:t>
            </w:r>
          </w:p>
        </w:tc>
        <w:tc>
          <w:tcPr>
            <w:tcW w:w="106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66</w:t>
            </w:r>
          </w:p>
        </w:tc>
        <w:tc>
          <w:tcPr>
            <w:tcW w:w="210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w:t>
            </w:r>
          </w:p>
        </w:tc>
        <w:tc>
          <w:tcPr>
            <w:tcW w:w="1214"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w:t>
            </w:r>
          </w:p>
        </w:tc>
      </w:tr>
    </w:tbl>
    <w:p>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、招</w:t>
      </w:r>
      <w:r>
        <w:rPr>
          <w:rFonts w:hint="eastAsia" w:ascii="宋体" w:hAnsi="宋体"/>
          <w:b/>
          <w:color w:val="auto"/>
          <w:szCs w:val="21"/>
          <w:highlight w:val="none"/>
        </w:rPr>
        <w:t>标要求：</w:t>
      </w:r>
    </w:p>
    <w:p>
      <w:pPr>
        <w:spacing w:line="480" w:lineRule="exact"/>
        <w:ind w:firstLine="422" w:firstLineChars="200"/>
        <w:rPr>
          <w:rFonts w:hint="eastAsia" w:ascii="宋体" w:hAnsi="宋体"/>
          <w:b/>
          <w:color w:val="auto"/>
          <w:szCs w:val="21"/>
          <w:highlight w:val="none"/>
        </w:rPr>
      </w:pPr>
      <w:r>
        <w:rPr>
          <w:rFonts w:ascii="宋体" w:hAnsi="宋体"/>
          <w:b/>
          <w:color w:val="auto"/>
          <w:szCs w:val="21"/>
          <w:highlight w:val="none"/>
        </w:rPr>
        <w:t>（一）</w:t>
      </w:r>
      <w:r>
        <w:rPr>
          <w:rFonts w:hint="eastAsia" w:ascii="宋体" w:hAnsi="宋体"/>
          <w:b/>
          <w:color w:val="auto"/>
          <w:szCs w:val="21"/>
          <w:highlight w:val="none"/>
        </w:rPr>
        <w:t>投标报价：</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投标报价</w:t>
      </w:r>
      <w:r>
        <w:rPr>
          <w:rFonts w:hint="eastAsia" w:ascii="宋体" w:hAnsi="宋体"/>
          <w:color w:val="auto"/>
          <w:szCs w:val="21"/>
          <w:highlight w:val="none"/>
          <w:lang w:val="en-US" w:eastAsia="zh-CN"/>
        </w:rPr>
        <w:t>包括但不限于</w:t>
      </w:r>
      <w:r>
        <w:rPr>
          <w:rFonts w:ascii="宋体" w:hAnsi="宋体"/>
          <w:color w:val="auto"/>
          <w:szCs w:val="21"/>
          <w:highlight w:val="none"/>
        </w:rPr>
        <w:t>人</w:t>
      </w:r>
      <w:r>
        <w:rPr>
          <w:rFonts w:hint="eastAsia" w:ascii="宋体" w:hAnsi="宋体"/>
          <w:color w:val="auto"/>
          <w:szCs w:val="21"/>
          <w:highlight w:val="none"/>
        </w:rPr>
        <w:t>员基本工资、各类福利和补贴（如加班补贴等）、社保（五金）、各种保险，人员工作服、人员所使用作业工具等各类耗材费，设施设备管理维护费用，配备的设备设施和作业车辆的折旧费及运行维护费，管理费，税金，利润及其他与本次采购相关的一切费用。</w:t>
      </w:r>
    </w:p>
    <w:p>
      <w:pPr>
        <w:spacing w:line="480" w:lineRule="exact"/>
        <w:ind w:firstLine="420" w:firstLineChars="200"/>
        <w:rPr>
          <w:rFonts w:hint="eastAsia" w:ascii="宋体" w:hAnsi="宋体" w:eastAsia="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其中人</w:t>
      </w:r>
      <w:r>
        <w:rPr>
          <w:rFonts w:hint="eastAsia" w:ascii="宋体" w:hAnsi="宋体"/>
          <w:color w:val="auto"/>
          <w:szCs w:val="21"/>
          <w:highlight w:val="none"/>
        </w:rPr>
        <w:t>员基本工资不得低于本年度宁波市最低劳动工资，否则作无效报价处理。人员</w:t>
      </w:r>
      <w:r>
        <w:rPr>
          <w:rFonts w:hint="eastAsia" w:ascii="宋体" w:hAnsi="宋体" w:eastAsia="宋体"/>
          <w:color w:val="auto"/>
          <w:szCs w:val="21"/>
          <w:highlight w:val="none"/>
        </w:rPr>
        <w:t>工资报价应考虑周边及县市区同类人员的工资水平。</w:t>
      </w:r>
    </w:p>
    <w:p>
      <w:pPr>
        <w:spacing w:line="48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本项目投标报价为包干价，合同期内服务费用不因市场和政策等因素的变动而调整。上述所列数量为近似数量，与实际准确数量可能会有出入。各投标人在投标报价时应予以充分考虑，投标人如有需要自行组织现场踏勘，以充分了解项目实施位置、养护范围、周边情况及任何其他足以影响报价的情况，任何因忽视或误解现场情况而导致的索赔或养护费用申请将不予受理。</w:t>
      </w:r>
    </w:p>
    <w:p>
      <w:pPr>
        <w:spacing w:line="48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合同履行期间，如发生养护范围的增加或减少，原则上由</w:t>
      </w:r>
      <w:r>
        <w:rPr>
          <w:rFonts w:hint="eastAsia" w:ascii="宋体" w:hAnsi="宋体" w:eastAsia="宋体"/>
          <w:color w:val="auto"/>
          <w:szCs w:val="21"/>
          <w:highlight w:val="none"/>
          <w:lang w:val="en-US"/>
        </w:rPr>
        <w:t>采购人</w:t>
      </w:r>
      <w:r>
        <w:rPr>
          <w:rFonts w:hint="eastAsia" w:ascii="宋体" w:hAnsi="宋体" w:eastAsia="宋体"/>
          <w:color w:val="auto"/>
          <w:szCs w:val="21"/>
          <w:highlight w:val="none"/>
        </w:rPr>
        <w:t>统一调配并以签证认可的联系单为准，产生的费用变化根据中标单位投标报价按日折算。</w:t>
      </w:r>
    </w:p>
    <w:p>
      <w:pPr>
        <w:spacing w:line="480" w:lineRule="exact"/>
        <w:ind w:firstLine="420" w:firstLineChars="200"/>
        <w:rPr>
          <w:rFonts w:hint="eastAsia" w:ascii="宋体" w:hAnsi="宋体" w:eastAsia="宋体"/>
          <w:color w:val="auto"/>
          <w:szCs w:val="21"/>
          <w:highlight w:val="none"/>
          <w:lang w:val="en-US"/>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rPr>
        <w:t>因政策因素调整，若在服务期内本项目移交给区相关部门管辖，合同自然终止，</w:t>
      </w:r>
      <w:r>
        <w:rPr>
          <w:rFonts w:hint="eastAsia" w:ascii="宋体" w:hAnsi="宋体" w:eastAsia="宋体"/>
          <w:color w:val="auto"/>
          <w:szCs w:val="21"/>
          <w:highlight w:val="none"/>
          <w:lang w:val="en-US" w:eastAsia="zh-CN"/>
        </w:rPr>
        <w:t>服务费用按实结算，</w:t>
      </w:r>
      <w:r>
        <w:rPr>
          <w:rFonts w:hint="eastAsia" w:ascii="宋体" w:hAnsi="宋体" w:eastAsia="宋体"/>
          <w:color w:val="auto"/>
          <w:szCs w:val="21"/>
          <w:highlight w:val="none"/>
          <w:lang w:val="en-US"/>
        </w:rPr>
        <w:t>中标单位须配合做好相应的交接工作。</w:t>
      </w:r>
    </w:p>
    <w:p>
      <w:pPr>
        <w:spacing w:line="480" w:lineRule="exact"/>
        <w:ind w:firstLine="422" w:firstLineChars="200"/>
        <w:rPr>
          <w:rFonts w:hint="eastAsia" w:ascii="宋体" w:hAnsi="宋体"/>
          <w:b/>
          <w:color w:val="auto"/>
          <w:szCs w:val="21"/>
          <w:highlight w:val="none"/>
        </w:rPr>
      </w:pPr>
      <w:r>
        <w:rPr>
          <w:rFonts w:ascii="宋体" w:hAnsi="宋体"/>
          <w:b/>
          <w:color w:val="auto"/>
          <w:szCs w:val="21"/>
          <w:highlight w:val="none"/>
        </w:rPr>
        <w:t>（二）人</w:t>
      </w:r>
      <w:r>
        <w:rPr>
          <w:rFonts w:hint="eastAsia" w:ascii="宋体" w:hAnsi="宋体"/>
          <w:b/>
          <w:color w:val="auto"/>
          <w:szCs w:val="21"/>
          <w:highlight w:val="none"/>
        </w:rPr>
        <w:t>员要求：</w:t>
      </w:r>
    </w:p>
    <w:p>
      <w:pPr>
        <w:spacing w:line="4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（1）人员数量：</w:t>
      </w:r>
      <w:r>
        <w:rPr>
          <w:rFonts w:hint="eastAsia" w:ascii="宋体" w:hAnsi="宋体"/>
          <w:b/>
          <w:color w:val="auto"/>
          <w:szCs w:val="21"/>
          <w:highlight w:val="none"/>
          <w:lang w:val="en-US" w:eastAsia="zh-CN"/>
        </w:rPr>
        <w:t>根据项目作业需求合理安排人数</w:t>
      </w:r>
      <w:r>
        <w:rPr>
          <w:rFonts w:hint="eastAsia" w:ascii="宋体" w:hAnsi="宋体"/>
          <w:b/>
          <w:color w:val="auto"/>
          <w:szCs w:val="21"/>
          <w:highlight w:val="none"/>
        </w:rPr>
        <w:t>（</w:t>
      </w:r>
      <w:r>
        <w:rPr>
          <w:rFonts w:hint="eastAsia" w:ascii="宋体" w:hAnsi="宋体"/>
          <w:b/>
          <w:color w:val="auto"/>
          <w:szCs w:val="21"/>
          <w:highlight w:val="none"/>
          <w:lang w:val="en-US" w:eastAsia="zh-CN"/>
        </w:rPr>
        <w:t>投标人须承诺配备</w:t>
      </w:r>
      <w:r>
        <w:rPr>
          <w:rFonts w:hint="eastAsia" w:ascii="宋体" w:hAnsi="宋体"/>
          <w:b/>
          <w:color w:val="auto"/>
          <w:szCs w:val="21"/>
          <w:highlight w:val="none"/>
        </w:rPr>
        <w:t>1～2个管理人员）。</w:t>
      </w:r>
      <w:r>
        <w:rPr>
          <w:rFonts w:ascii="宋体" w:hAnsi="宋体"/>
          <w:b/>
          <w:color w:val="auto"/>
          <w:szCs w:val="21"/>
          <w:highlight w:val="none"/>
        </w:rPr>
        <w:t xml:space="preserve"> </w:t>
      </w:r>
    </w:p>
    <w:p>
      <w:pPr>
        <w:spacing w:line="4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（2）人员年龄：要求男性60周岁以内，女性50周岁以内。</w:t>
      </w:r>
    </w:p>
    <w:p>
      <w:pPr>
        <w:spacing w:line="4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（3）特殊岗位人员要求：进入下水道养护工作人员必须具有中华人民共和国人力资源和社会保障部颁发的《下水道养护工》上岗证。</w:t>
      </w:r>
    </w:p>
    <w:p>
      <w:pPr>
        <w:spacing w:line="4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（三）设备要求：</w:t>
      </w:r>
    </w:p>
    <w:p>
      <w:pPr>
        <w:spacing w:line="4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本项目投标单位中标后必须配备的机器设备如下：</w:t>
      </w:r>
    </w:p>
    <w:tbl>
      <w:tblPr>
        <w:tblStyle w:val="49"/>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809"/>
        <w:gridCol w:w="1650"/>
        <w:gridCol w:w="115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序号</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机器设备名称</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单位</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数量</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自卸车</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辆</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4方以上吸污车</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辆</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电动专用自卸三轮车</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辆</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8</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4寸泥浆泵</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3寸泥浆泵</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6寸电动排水泵</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4寸电动排水泵</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8</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污泥绞车</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辆</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9</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30KV以上柴油发电机</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10</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2.5KV以上汽油发电机</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11</w:t>
            </w:r>
          </w:p>
        </w:tc>
        <w:tc>
          <w:tcPr>
            <w:tcW w:w="3809" w:type="dxa"/>
            <w:noWrap w:val="0"/>
            <w:vAlign w:val="center"/>
          </w:tcPr>
          <w:p>
            <w:pPr>
              <w:tabs>
                <w:tab w:val="center" w:pos="4153"/>
                <w:tab w:val="right" w:pos="8306"/>
              </w:tabs>
              <w:snapToGrid w:val="0"/>
              <w:jc w:val="center"/>
              <w:rPr>
                <w:rFonts w:hint="default" w:ascii="宋体" w:hAnsi="宋体" w:eastAsia="宋体"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Q2400堵水气囊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2</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12</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Q1500堵水气囊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13</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Q1200堵水气囊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16</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14</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Q1000堵水气囊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8</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15</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Q800堵水气囊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8</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16</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Q600堵水气囊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10</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17</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Q400堵水气囊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10</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18</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Q300堵水气囊</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666</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19</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3寸汽油排水泵</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20</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轴流通风机1.5KW</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21</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防毒面具</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套</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22</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双管路制氧机</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23</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有毒气体探测仪</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24</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潜水服</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套</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25</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管道检测机器人</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个</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26</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无油高压气泵</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台</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exact"/>
        </w:trPr>
        <w:tc>
          <w:tcPr>
            <w:tcW w:w="805" w:type="dxa"/>
            <w:noWrap w:val="0"/>
            <w:vAlign w:val="center"/>
          </w:tcPr>
          <w:p>
            <w:pPr>
              <w:tabs>
                <w:tab w:val="center" w:pos="4153"/>
                <w:tab w:val="right" w:pos="8306"/>
              </w:tabs>
              <w:snapToGrid w:val="0"/>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lang w:val="en-US" w:eastAsia="zh-CN"/>
              </w:rPr>
              <w:t>27</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高压管道</w:t>
            </w:r>
            <w:r>
              <w:rPr>
                <w:rFonts w:hint="eastAsia" w:ascii="宋体" w:hAnsi="宋体" w:eastAsia="宋体" w:cs="宋体"/>
                <w:snapToGrid w:val="0"/>
                <w:color w:val="auto"/>
                <w:sz w:val="22"/>
                <w:szCs w:val="22"/>
                <w:highlight w:val="none"/>
                <w:lang w:eastAsia="zh-CN"/>
              </w:rPr>
              <w:t>清洗</w:t>
            </w:r>
            <w:r>
              <w:rPr>
                <w:rFonts w:hint="eastAsia" w:ascii="宋体" w:hAnsi="宋体" w:eastAsia="宋体" w:cs="宋体"/>
                <w:snapToGrid w:val="0"/>
                <w:color w:val="auto"/>
                <w:sz w:val="22"/>
                <w:szCs w:val="22"/>
                <w:highlight w:val="none"/>
              </w:rPr>
              <w:t>车</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辆</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5" w:type="dxa"/>
            <w:noWrap w:val="0"/>
            <w:vAlign w:val="center"/>
          </w:tcPr>
          <w:p>
            <w:pPr>
              <w:tabs>
                <w:tab w:val="center" w:pos="4153"/>
                <w:tab w:val="right" w:pos="8306"/>
              </w:tabs>
              <w:snapToGrid w:val="0"/>
              <w:jc w:val="center"/>
              <w:rPr>
                <w:rFonts w:hint="default"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28</w:t>
            </w:r>
          </w:p>
        </w:tc>
        <w:tc>
          <w:tcPr>
            <w:tcW w:w="3809"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强排车</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辆</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5" w:type="dxa"/>
            <w:noWrap w:val="0"/>
            <w:vAlign w:val="center"/>
          </w:tcPr>
          <w:p>
            <w:pPr>
              <w:tabs>
                <w:tab w:val="center" w:pos="4153"/>
                <w:tab w:val="right" w:pos="8306"/>
              </w:tabs>
              <w:snapToGrid w:val="0"/>
              <w:jc w:val="center"/>
              <w:rPr>
                <w:rFonts w:hint="default" w:ascii="宋体" w:hAnsi="宋体" w:eastAsia="宋体"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29</w:t>
            </w:r>
          </w:p>
        </w:tc>
        <w:tc>
          <w:tcPr>
            <w:tcW w:w="3809" w:type="dxa"/>
            <w:noWrap w:val="0"/>
            <w:vAlign w:val="center"/>
          </w:tcPr>
          <w:p>
            <w:pPr>
              <w:tabs>
                <w:tab w:val="center" w:pos="4153"/>
                <w:tab w:val="right" w:pos="8306"/>
              </w:tabs>
              <w:snapToGrid w:val="0"/>
              <w:jc w:val="center"/>
              <w:rPr>
                <w:rFonts w:hint="default" w:ascii="宋体" w:hAnsi="宋体" w:eastAsia="宋体"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工程救险车</w:t>
            </w:r>
          </w:p>
        </w:tc>
        <w:tc>
          <w:tcPr>
            <w:tcW w:w="1650" w:type="dxa"/>
            <w:noWrap w:val="0"/>
            <w:vAlign w:val="center"/>
          </w:tcPr>
          <w:p>
            <w:pPr>
              <w:tabs>
                <w:tab w:val="center" w:pos="4153"/>
                <w:tab w:val="right" w:pos="8306"/>
              </w:tabs>
              <w:snapToGrid w:val="0"/>
              <w:jc w:val="center"/>
              <w:rPr>
                <w:rFonts w:hint="default" w:ascii="宋体" w:hAnsi="宋体" w:eastAsia="宋体"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辆</w:t>
            </w:r>
          </w:p>
        </w:tc>
        <w:tc>
          <w:tcPr>
            <w:tcW w:w="1155" w:type="dxa"/>
            <w:noWrap w:val="0"/>
            <w:vAlign w:val="center"/>
          </w:tcPr>
          <w:p>
            <w:pPr>
              <w:tabs>
                <w:tab w:val="center" w:pos="4153"/>
                <w:tab w:val="right" w:pos="8306"/>
              </w:tabs>
              <w:snapToGrid w:val="0"/>
              <w:jc w:val="center"/>
              <w:rPr>
                <w:rFonts w:hint="default" w:ascii="宋体" w:hAnsi="宋体" w:eastAsia="宋体"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5" w:type="dxa"/>
            <w:noWrap w:val="0"/>
            <w:vAlign w:val="center"/>
          </w:tcPr>
          <w:p>
            <w:pPr>
              <w:tabs>
                <w:tab w:val="center" w:pos="4153"/>
                <w:tab w:val="right" w:pos="8306"/>
              </w:tabs>
              <w:snapToGrid w:val="0"/>
              <w:jc w:val="center"/>
              <w:rPr>
                <w:rFonts w:hint="default"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30</w:t>
            </w:r>
          </w:p>
        </w:tc>
        <w:tc>
          <w:tcPr>
            <w:tcW w:w="3809" w:type="dxa"/>
            <w:noWrap w:val="0"/>
            <w:vAlign w:val="center"/>
          </w:tcPr>
          <w:p>
            <w:pPr>
              <w:tabs>
                <w:tab w:val="center" w:pos="4153"/>
                <w:tab w:val="right" w:pos="8306"/>
              </w:tabs>
              <w:snapToGrid w:val="0"/>
              <w:jc w:val="center"/>
              <w:rPr>
                <w:rFonts w:hint="default" w:cs="宋体"/>
                <w:snapToGrid w:val="0"/>
                <w:color w:val="auto"/>
                <w:sz w:val="22"/>
                <w:szCs w:val="22"/>
                <w:highlight w:val="none"/>
                <w:lang w:val="en-US" w:eastAsia="zh-CN"/>
              </w:rPr>
            </w:pPr>
            <w:r>
              <w:rPr>
                <w:rFonts w:hint="eastAsia" w:cs="宋体"/>
                <w:snapToGrid w:val="0"/>
                <w:color w:val="auto"/>
                <w:sz w:val="22"/>
                <w:szCs w:val="22"/>
                <w:highlight w:val="none"/>
                <w:lang w:val="en-US" w:eastAsia="zh-CN"/>
              </w:rPr>
              <w:t>吸污净化车</w:t>
            </w:r>
          </w:p>
        </w:tc>
        <w:tc>
          <w:tcPr>
            <w:tcW w:w="1650"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lang w:val="en-US" w:eastAsia="zh-CN" w:bidi="zh-CN"/>
              </w:rPr>
            </w:pPr>
            <w:r>
              <w:rPr>
                <w:rFonts w:hint="eastAsia" w:cs="宋体"/>
                <w:snapToGrid w:val="0"/>
                <w:color w:val="auto"/>
                <w:sz w:val="22"/>
                <w:szCs w:val="22"/>
                <w:highlight w:val="none"/>
                <w:lang w:val="en-US" w:eastAsia="zh-CN"/>
              </w:rPr>
              <w:t>辆</w:t>
            </w:r>
          </w:p>
        </w:tc>
        <w:tc>
          <w:tcPr>
            <w:tcW w:w="115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lang w:val="en-US" w:eastAsia="zh-CN" w:bidi="zh-CN"/>
              </w:rPr>
            </w:pPr>
            <w:r>
              <w:rPr>
                <w:rFonts w:hint="eastAsia" w:cs="宋体"/>
                <w:snapToGrid w:val="0"/>
                <w:color w:val="auto"/>
                <w:sz w:val="22"/>
                <w:szCs w:val="22"/>
                <w:highlight w:val="none"/>
                <w:lang w:val="en-US" w:eastAsia="zh-CN"/>
              </w:rPr>
              <w:t>1</w:t>
            </w:r>
          </w:p>
        </w:tc>
        <w:tc>
          <w:tcPr>
            <w:tcW w:w="1485" w:type="dxa"/>
            <w:noWrap w:val="0"/>
            <w:vAlign w:val="center"/>
          </w:tcPr>
          <w:p>
            <w:pPr>
              <w:tabs>
                <w:tab w:val="center" w:pos="4153"/>
                <w:tab w:val="right" w:pos="8306"/>
              </w:tabs>
              <w:snapToGrid w:val="0"/>
              <w:jc w:val="center"/>
              <w:rPr>
                <w:rFonts w:hint="eastAsia" w:ascii="宋体" w:hAnsi="宋体" w:eastAsia="宋体" w:cs="宋体"/>
                <w:snapToGrid w:val="0"/>
                <w:color w:val="auto"/>
                <w:sz w:val="22"/>
                <w:szCs w:val="22"/>
                <w:highlight w:val="none"/>
              </w:rPr>
            </w:pPr>
          </w:p>
        </w:tc>
      </w:tr>
    </w:tbl>
    <w:p>
      <w:pPr>
        <w:spacing w:line="520" w:lineRule="exact"/>
        <w:ind w:firstLine="422" w:firstLineChars="20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四</w:t>
      </w:r>
      <w:r>
        <w:rPr>
          <w:rFonts w:ascii="宋体" w:hAnsi="宋体"/>
          <w:b/>
          <w:color w:val="auto"/>
          <w:szCs w:val="21"/>
          <w:highlight w:val="none"/>
        </w:rPr>
        <w:t>）</w:t>
      </w:r>
      <w:r>
        <w:rPr>
          <w:rFonts w:hint="eastAsia" w:ascii="宋体" w:hAnsi="宋体"/>
          <w:b/>
          <w:color w:val="auto"/>
          <w:szCs w:val="21"/>
          <w:highlight w:val="none"/>
        </w:rPr>
        <w:t>质量要求：</w:t>
      </w:r>
    </w:p>
    <w:p>
      <w:pPr>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1、雨污管道养护：要求参考城区考核标准以及《</w:t>
      </w:r>
      <w:r>
        <w:rPr>
          <w:rFonts w:hint="eastAsia" w:ascii="宋体" w:hAnsi="宋体"/>
          <w:color w:val="auto"/>
          <w:szCs w:val="21"/>
          <w:highlight w:val="none"/>
          <w:lang w:val="en-US" w:eastAsia="zh-CN"/>
        </w:rPr>
        <w:t>江北区前江街道雨污管道养护</w:t>
      </w:r>
      <w:r>
        <w:rPr>
          <w:rFonts w:hint="eastAsia" w:ascii="宋体" w:hAnsi="宋体"/>
          <w:color w:val="auto"/>
          <w:szCs w:val="21"/>
          <w:highlight w:val="none"/>
        </w:rPr>
        <w:t>考核细则》。江北</w:t>
      </w:r>
      <w:r>
        <w:rPr>
          <w:rFonts w:hint="eastAsia" w:ascii="宋体" w:hAnsi="宋体"/>
          <w:color w:val="auto"/>
          <w:szCs w:val="21"/>
          <w:highlight w:val="none"/>
          <w:lang w:eastAsia="zh-CN"/>
        </w:rPr>
        <w:t>区前江街道范围内</w:t>
      </w:r>
      <w:r>
        <w:rPr>
          <w:rFonts w:hint="eastAsia" w:ascii="宋体" w:hAnsi="宋体"/>
          <w:color w:val="auto"/>
          <w:szCs w:val="21"/>
          <w:highlight w:val="none"/>
        </w:rPr>
        <w:t>所有的雨水井、污水井及管道疏通，其中雨水井每月清理不少于1次（即全年清理不少于12次），污水井每两个月清理不少于1次（即全年清理不少于6次）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同时做好清理记录</w:t>
      </w:r>
      <w:r>
        <w:rPr>
          <w:rFonts w:hint="eastAsia" w:ascii="宋体" w:hAnsi="宋体"/>
          <w:color w:val="auto"/>
          <w:szCs w:val="21"/>
          <w:highlight w:val="none"/>
        </w:rPr>
        <w:t>。</w:t>
      </w:r>
    </w:p>
    <w:p>
      <w:pPr>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2、做到窨井和雨污排水口必须保持完好通畅，不得阻塞，周边不得有明显积水；每天滚动巡查各作业部位，发现问题及时处理。遇到设施遭遇人为破坏，要及时上报。作业完成后，须及时盖好窨井。</w:t>
      </w:r>
    </w:p>
    <w:p>
      <w:pPr>
        <w:snapToGrid w:val="0"/>
        <w:spacing w:line="4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3、全年必须对区域内所有污水管网疏通一遍确保管道畅通</w:t>
      </w:r>
      <w:r>
        <w:rPr>
          <w:rFonts w:hint="eastAsia" w:ascii="宋体" w:hAnsi="宋体"/>
          <w:color w:val="auto"/>
          <w:szCs w:val="21"/>
          <w:highlight w:val="none"/>
          <w:lang w:eastAsia="zh-CN"/>
        </w:rPr>
        <w:t>。</w:t>
      </w:r>
    </w:p>
    <w:p>
      <w:pPr>
        <w:snapToGrid w:val="0"/>
        <w:spacing w:line="420" w:lineRule="exact"/>
        <w:ind w:firstLine="420" w:firstLineChars="200"/>
        <w:jc w:val="left"/>
        <w:rPr>
          <w:rFonts w:hint="eastAsia" w:ascii="宋体" w:hAnsi="宋体"/>
          <w:color w:val="auto"/>
          <w:szCs w:val="21"/>
          <w:highlight w:val="none"/>
        </w:rPr>
      </w:pPr>
      <w:r>
        <w:rPr>
          <w:rFonts w:hint="eastAsia"/>
          <w:color w:val="auto"/>
          <w:szCs w:val="21"/>
          <w:highlight w:val="none"/>
          <w:lang w:val="en-US" w:eastAsia="zh-CN"/>
        </w:rPr>
        <w:t>4、</w:t>
      </w:r>
      <w:r>
        <w:rPr>
          <w:rFonts w:hint="eastAsia" w:ascii="宋体" w:hAnsi="宋体"/>
          <w:color w:val="auto"/>
          <w:szCs w:val="21"/>
          <w:highlight w:val="none"/>
        </w:rPr>
        <w:t>前江街道</w:t>
      </w:r>
      <w:r>
        <w:rPr>
          <w:rFonts w:hint="eastAsia" w:ascii="宋体" w:hAnsi="宋体"/>
          <w:color w:val="auto"/>
          <w:szCs w:val="21"/>
          <w:highlight w:val="none"/>
          <w:lang w:val="en-US" w:eastAsia="zh-CN"/>
        </w:rPr>
        <w:t>隔油池（除</w:t>
      </w:r>
      <w:r>
        <w:rPr>
          <w:rFonts w:hint="eastAsia" w:ascii="宋体" w:hAnsi="宋体"/>
          <w:color w:val="auto"/>
          <w:szCs w:val="21"/>
          <w:highlight w:val="none"/>
        </w:rPr>
        <w:t>裘市菜场</w:t>
      </w:r>
      <w:r>
        <w:rPr>
          <w:rFonts w:hint="eastAsia" w:ascii="宋体" w:hAnsi="宋体"/>
          <w:color w:val="auto"/>
          <w:szCs w:val="21"/>
          <w:highlight w:val="none"/>
          <w:lang w:val="en-US" w:eastAsia="zh-CN"/>
        </w:rPr>
        <w:t>2</w:t>
      </w:r>
      <w:r>
        <w:rPr>
          <w:rFonts w:hint="eastAsia" w:ascii="宋体" w:hAnsi="宋体"/>
          <w:color w:val="auto"/>
          <w:szCs w:val="21"/>
          <w:highlight w:val="none"/>
        </w:rPr>
        <w:t>个隔油池</w:t>
      </w:r>
      <w:r>
        <w:rPr>
          <w:rFonts w:hint="eastAsia" w:ascii="宋体" w:hAnsi="宋体"/>
          <w:color w:val="auto"/>
          <w:szCs w:val="21"/>
          <w:highlight w:val="none"/>
          <w:lang w:val="en-US" w:eastAsia="zh-CN"/>
        </w:rPr>
        <w:t>外）两个月清掏1次；</w:t>
      </w:r>
      <w:r>
        <w:rPr>
          <w:rFonts w:hint="eastAsia" w:ascii="宋体" w:hAnsi="宋体"/>
          <w:color w:val="auto"/>
          <w:szCs w:val="21"/>
          <w:highlight w:val="none"/>
        </w:rPr>
        <w:t>裘市菜场</w:t>
      </w:r>
      <w:r>
        <w:rPr>
          <w:rFonts w:hint="eastAsia"/>
          <w:color w:val="auto"/>
          <w:szCs w:val="21"/>
          <w:highlight w:val="none"/>
          <w:lang w:val="en-US" w:eastAsia="zh-CN"/>
        </w:rPr>
        <w:t>的</w:t>
      </w:r>
      <w:r>
        <w:rPr>
          <w:rFonts w:hint="eastAsia" w:ascii="宋体" w:hAnsi="宋体"/>
          <w:color w:val="auto"/>
          <w:szCs w:val="21"/>
          <w:highlight w:val="none"/>
        </w:rPr>
        <w:t>2个隔油池（每个隔油池容积为5m³），每</w:t>
      </w:r>
      <w:r>
        <w:rPr>
          <w:rFonts w:hint="eastAsia" w:ascii="宋体" w:hAnsi="宋体"/>
          <w:color w:val="auto"/>
          <w:szCs w:val="21"/>
          <w:highlight w:val="none"/>
          <w:lang w:val="en-US" w:eastAsia="zh-CN"/>
        </w:rPr>
        <w:t>月</w:t>
      </w:r>
      <w:r>
        <w:rPr>
          <w:rFonts w:hint="eastAsia" w:ascii="宋体" w:hAnsi="宋体"/>
          <w:color w:val="auto"/>
          <w:szCs w:val="21"/>
          <w:highlight w:val="none"/>
        </w:rPr>
        <w:t>清掏</w:t>
      </w:r>
      <w:r>
        <w:rPr>
          <w:rFonts w:hint="eastAsia" w:ascii="宋体" w:hAnsi="宋体"/>
          <w:color w:val="auto"/>
          <w:szCs w:val="21"/>
          <w:highlight w:val="none"/>
          <w:lang w:val="en-US" w:eastAsia="zh-CN"/>
        </w:rPr>
        <w:t>4</w:t>
      </w:r>
      <w:r>
        <w:rPr>
          <w:rFonts w:hint="eastAsia" w:ascii="宋体" w:hAnsi="宋体"/>
          <w:color w:val="auto"/>
          <w:szCs w:val="21"/>
          <w:highlight w:val="none"/>
        </w:rPr>
        <w:t>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同时做好清掏记录</w:t>
      </w:r>
      <w:r>
        <w:rPr>
          <w:rFonts w:hint="eastAsia" w:ascii="宋体" w:hAnsi="宋体"/>
          <w:color w:val="auto"/>
          <w:szCs w:val="21"/>
          <w:highlight w:val="none"/>
        </w:rPr>
        <w:t>。</w:t>
      </w:r>
    </w:p>
    <w:p>
      <w:pPr>
        <w:snapToGrid w:val="0"/>
        <w:spacing w:line="420" w:lineRule="exact"/>
        <w:ind w:firstLine="420" w:firstLineChars="200"/>
        <w:jc w:val="left"/>
        <w:rPr>
          <w:rFonts w:hint="eastAsia" w:ascii="宋体" w:hAnsi="宋体"/>
          <w:color w:val="auto"/>
          <w:szCs w:val="21"/>
          <w:highlight w:val="none"/>
        </w:rPr>
      </w:pPr>
      <w:r>
        <w:rPr>
          <w:rFonts w:hint="eastAsia"/>
          <w:color w:val="auto"/>
          <w:szCs w:val="21"/>
          <w:highlight w:val="none"/>
          <w:lang w:val="en-US" w:eastAsia="zh-CN"/>
        </w:rPr>
        <w:t>5</w:t>
      </w:r>
      <w:r>
        <w:rPr>
          <w:rFonts w:hint="eastAsia" w:ascii="宋体" w:hAnsi="宋体"/>
          <w:color w:val="auto"/>
          <w:szCs w:val="21"/>
          <w:highlight w:val="none"/>
        </w:rPr>
        <w:t>、免费承担业主方提出的管网疏通、企业预留井检测定位、现场管网排摸、雨污管网封堵的等涉及管网的应急工作任务。</w:t>
      </w:r>
    </w:p>
    <w:p>
      <w:pPr>
        <w:snapToGrid w:val="0"/>
        <w:spacing w:line="420" w:lineRule="exact"/>
        <w:ind w:firstLine="420" w:firstLineChars="200"/>
        <w:jc w:val="left"/>
        <w:rPr>
          <w:rFonts w:hint="eastAsia" w:ascii="宋体" w:hAnsi="宋体" w:eastAsia="宋体"/>
          <w:color w:val="auto"/>
          <w:szCs w:val="21"/>
          <w:highlight w:val="none"/>
        </w:rPr>
      </w:pPr>
      <w:r>
        <w:rPr>
          <w:rFonts w:hint="eastAsia"/>
          <w:color w:val="auto"/>
          <w:szCs w:val="21"/>
          <w:highlight w:val="none"/>
          <w:lang w:val="en-US" w:eastAsia="zh-CN"/>
        </w:rPr>
        <w:t>6</w:t>
      </w:r>
      <w:r>
        <w:rPr>
          <w:rFonts w:hint="eastAsia" w:ascii="宋体" w:hAnsi="宋体"/>
          <w:color w:val="auto"/>
          <w:szCs w:val="21"/>
          <w:highlight w:val="none"/>
        </w:rPr>
        <w:t>、如遇特殊情况，例如突击检查，上级部门考核，各类创建、迎检活动，以及恶劣天气应急</w:t>
      </w:r>
      <w:r>
        <w:rPr>
          <w:rFonts w:hint="eastAsia" w:ascii="宋体" w:hAnsi="宋体" w:eastAsia="宋体"/>
          <w:color w:val="auto"/>
          <w:szCs w:val="21"/>
          <w:highlight w:val="none"/>
        </w:rPr>
        <w:t>保障措施时，乙方应无条件服从甲方的指挥，配合做好各项配合服务工作，甲方不再额外支付服务费。</w:t>
      </w:r>
    </w:p>
    <w:p>
      <w:pPr>
        <w:snapToGrid w:val="0"/>
        <w:spacing w:line="42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、雨污管道养护合同期内，如遇部分道路施工等因素需长期停止养护的，其费用按雨污管道长度比例进行相应扣减。</w:t>
      </w:r>
    </w:p>
    <w:p>
      <w:pPr>
        <w:snapToGrid w:val="0"/>
        <w:spacing w:line="42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8、需按采购人要求安排人员进行24小时值班，应对突发事件。</w:t>
      </w:r>
    </w:p>
    <w:p>
      <w:pPr>
        <w:tabs>
          <w:tab w:val="center" w:pos="4153"/>
        </w:tabs>
        <w:spacing w:line="460" w:lineRule="exact"/>
        <w:ind w:firstLine="422" w:firstLineChars="200"/>
        <w:rPr>
          <w:rFonts w:hint="default" w:ascii="宋体" w:hAnsi="宋体" w:eastAsia="宋体" w:cs="仿宋"/>
          <w:b/>
          <w:color w:val="auto"/>
          <w:szCs w:val="21"/>
          <w:highlight w:val="none"/>
          <w:lang w:val="en-US" w:eastAsia="zh-CN"/>
        </w:rPr>
      </w:pPr>
      <w:r>
        <w:rPr>
          <w:rFonts w:hint="eastAsia" w:cs="仿宋"/>
          <w:b/>
          <w:color w:val="auto"/>
          <w:szCs w:val="21"/>
          <w:highlight w:val="none"/>
          <w:lang w:val="en-US" w:eastAsia="zh-CN"/>
        </w:rPr>
        <w:t>三、其他要求</w:t>
      </w:r>
    </w:p>
    <w:p>
      <w:pPr>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合同履行期间，如发生养护范围的增加或减少，原则上由</w:t>
      </w:r>
      <w:r>
        <w:rPr>
          <w:rFonts w:hint="eastAsia" w:ascii="宋体" w:hAnsi="宋体" w:eastAsia="宋体" w:cs="宋体"/>
          <w:color w:val="auto"/>
          <w:szCs w:val="21"/>
          <w:highlight w:val="none"/>
          <w:lang w:val="en-US"/>
        </w:rPr>
        <w:t>采购人</w:t>
      </w:r>
      <w:r>
        <w:rPr>
          <w:rFonts w:hint="eastAsia" w:ascii="宋体" w:hAnsi="宋体" w:eastAsia="宋体" w:cs="宋体"/>
          <w:color w:val="auto"/>
          <w:szCs w:val="21"/>
          <w:highlight w:val="none"/>
        </w:rPr>
        <w:t>统一调配并以签证认可的联系单为准，产生的费用变化根据中标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投标报价按日折算。</w:t>
      </w:r>
    </w:p>
    <w:p>
      <w:pPr>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rPr>
        <w:t>.因政策因素调整，若在服务期内本项目移交给区相关部门管辖，合同自然终止，</w:t>
      </w:r>
      <w:r>
        <w:rPr>
          <w:rFonts w:hint="eastAsia" w:ascii="宋体" w:hAnsi="宋体" w:eastAsia="宋体" w:cs="宋体"/>
          <w:color w:val="auto"/>
          <w:szCs w:val="21"/>
          <w:highlight w:val="none"/>
          <w:lang w:val="en-US" w:eastAsia="zh-CN"/>
        </w:rPr>
        <w:t>服务费用按实结算，</w:t>
      </w:r>
      <w:r>
        <w:rPr>
          <w:rFonts w:hint="eastAsia" w:ascii="宋体" w:hAnsi="宋体" w:eastAsia="宋体" w:cs="宋体"/>
          <w:color w:val="auto"/>
          <w:szCs w:val="21"/>
          <w:highlight w:val="none"/>
          <w:lang w:val="en-US"/>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en-US"/>
        </w:rPr>
        <w:t>须配合做好相应的交接工作。</w:t>
      </w:r>
    </w:p>
    <w:p>
      <w:pPr>
        <w:snapToGrid w:val="0"/>
        <w:spacing w:line="42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3.技术规范</w:t>
      </w:r>
    </w:p>
    <w:p>
      <w:pPr>
        <w:snapToGrid w:val="0"/>
        <w:spacing w:line="42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污水排入城市下水道水质标准</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GB/T31962-2015</w:t>
      </w:r>
    </w:p>
    <w:p>
      <w:pPr>
        <w:snapToGrid w:val="0"/>
        <w:spacing w:line="42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(2)城镇排水管渠与泵站运行、维护及安全技术规程 CJJ 68-2016</w:t>
      </w:r>
    </w:p>
    <w:p>
      <w:pPr>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(3)给水排水管道工程施工及验收规范 GB50268-2008 </w:t>
      </w:r>
    </w:p>
    <w:p>
      <w:pPr>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合同履行期间，中标人须做好安全</w:t>
      </w:r>
      <w:r>
        <w:rPr>
          <w:rFonts w:hint="eastAsia" w:ascii="宋体" w:hAnsi="宋体" w:eastAsia="宋体" w:cs="宋体"/>
          <w:color w:val="auto"/>
          <w:szCs w:val="21"/>
          <w:highlight w:val="none"/>
          <w:lang w:val="en-US" w:eastAsia="zh-CN"/>
        </w:rPr>
        <w:t>保护措施</w:t>
      </w:r>
      <w:r>
        <w:rPr>
          <w:rFonts w:hint="eastAsia" w:ascii="宋体" w:hAnsi="宋体" w:eastAsia="宋体" w:cs="宋体"/>
          <w:color w:val="auto"/>
          <w:szCs w:val="21"/>
          <w:highlight w:val="none"/>
        </w:rPr>
        <w:t>，发生安全事故</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责任</w:t>
      </w:r>
      <w:r>
        <w:rPr>
          <w:rFonts w:hint="eastAsia" w:ascii="宋体" w:hAnsi="宋体" w:eastAsia="宋体" w:cs="宋体"/>
          <w:color w:val="auto"/>
          <w:szCs w:val="21"/>
          <w:highlight w:val="none"/>
          <w:lang w:val="en-US" w:eastAsia="zh-CN"/>
        </w:rPr>
        <w:t>均</w:t>
      </w:r>
      <w:r>
        <w:rPr>
          <w:rFonts w:hint="eastAsia" w:ascii="宋体" w:hAnsi="宋体" w:eastAsia="宋体" w:cs="宋体"/>
          <w:color w:val="auto"/>
          <w:szCs w:val="21"/>
          <w:highlight w:val="none"/>
        </w:rPr>
        <w:t>由中标人承担，与采购人无涉。</w:t>
      </w:r>
    </w:p>
    <w:p>
      <w:pPr>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中标人应制定完整、详细的养护计划、台账资料等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按照法律规定和</w:t>
      </w:r>
      <w:r>
        <w:rPr>
          <w:rFonts w:hint="eastAsia" w:ascii="宋体" w:hAnsi="宋体" w:eastAsia="宋体" w:cs="宋体"/>
          <w:color w:val="auto"/>
          <w:szCs w:val="21"/>
          <w:highlight w:val="none"/>
          <w:lang w:val="en-US" w:eastAsia="zh-CN"/>
        </w:rPr>
        <w:t>采购人要求</w:t>
      </w:r>
      <w:r>
        <w:rPr>
          <w:rFonts w:hint="eastAsia" w:ascii="宋体" w:hAnsi="宋体" w:eastAsia="宋体" w:cs="宋体"/>
          <w:color w:val="auto"/>
          <w:szCs w:val="21"/>
          <w:highlight w:val="none"/>
        </w:rPr>
        <w:t>编制资料，并按</w:t>
      </w:r>
      <w:r>
        <w:rPr>
          <w:rFonts w:hint="eastAsia" w:ascii="宋体" w:hAnsi="宋体" w:eastAsia="宋体" w:cs="宋体"/>
          <w:color w:val="auto"/>
          <w:szCs w:val="21"/>
          <w:highlight w:val="none"/>
          <w:lang w:val="en-US" w:eastAsia="zh-CN"/>
        </w:rPr>
        <w:t>采购人要求</w:t>
      </w:r>
      <w:r>
        <w:rPr>
          <w:rFonts w:hint="eastAsia" w:ascii="宋体" w:hAnsi="宋体" w:eastAsia="宋体" w:cs="宋体"/>
          <w:color w:val="auto"/>
          <w:szCs w:val="21"/>
          <w:highlight w:val="none"/>
        </w:rPr>
        <w:t>的套数、内容、时间等要求移交</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配合</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w:t>
      </w:r>
      <w:r>
        <w:rPr>
          <w:rFonts w:hint="eastAsia" w:ascii="宋体" w:hAnsi="宋体" w:eastAsia="宋体" w:cs="宋体"/>
          <w:color w:val="auto"/>
          <w:szCs w:val="21"/>
          <w:highlight w:val="none"/>
          <w:lang w:val="en-US" w:eastAsia="zh-CN"/>
        </w:rPr>
        <w:t>完成工作验收</w:t>
      </w:r>
      <w:r>
        <w:rPr>
          <w:rFonts w:hint="eastAsia" w:ascii="宋体" w:hAnsi="宋体" w:eastAsia="宋体" w:cs="宋体"/>
          <w:color w:val="auto"/>
          <w:szCs w:val="21"/>
          <w:highlight w:val="none"/>
        </w:rPr>
        <w:t>。</w:t>
      </w:r>
    </w:p>
    <w:p>
      <w:pPr>
        <w:snapToGrid w:val="0"/>
        <w:spacing w:line="42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本项目在养护过程中所需的各种类工具、车辆等由中标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自行提供，采购人不提供任何工具。</w:t>
      </w:r>
    </w:p>
    <w:p>
      <w:pPr>
        <w:snapToGrid w:val="0"/>
        <w:spacing w:line="42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7、合同履行期间，中标人须为工作人员办理</w:t>
      </w:r>
      <w:r>
        <w:rPr>
          <w:rFonts w:hint="eastAsia" w:ascii="宋体" w:hAnsi="宋体" w:eastAsia="宋体" w:cs="宋体"/>
          <w:color w:val="auto"/>
          <w:szCs w:val="21"/>
          <w:highlight w:val="none"/>
        </w:rPr>
        <w:t>工人人身意外保险</w:t>
      </w:r>
      <w:r>
        <w:rPr>
          <w:rFonts w:hint="eastAsia" w:ascii="宋体" w:hAnsi="宋体" w:eastAsia="宋体" w:cs="宋体"/>
          <w:color w:val="auto"/>
          <w:szCs w:val="21"/>
          <w:highlight w:val="none"/>
          <w:lang w:eastAsia="zh-CN"/>
        </w:rPr>
        <w:t>。</w:t>
      </w:r>
    </w:p>
    <w:p>
      <w:pPr>
        <w:snapToGrid w:val="0"/>
        <w:spacing w:line="42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因违反国家法律法规或作业标准</w:t>
      </w:r>
      <w:r>
        <w:rPr>
          <w:rFonts w:hint="eastAsia" w:ascii="宋体" w:hAnsi="宋体" w:eastAsia="宋体" w:cs="宋体"/>
          <w:color w:val="auto"/>
          <w:szCs w:val="21"/>
          <w:highlight w:val="none"/>
        </w:rPr>
        <w:t>发生安全事故、廉政事项、发生安全隐患</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被警告三次及以上的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采购人有权终止合同</w:t>
      </w:r>
      <w:r>
        <w:rPr>
          <w:rFonts w:hint="eastAsia" w:ascii="宋体" w:hAnsi="宋体" w:cs="宋体"/>
          <w:color w:val="auto"/>
          <w:szCs w:val="21"/>
          <w:highlight w:val="none"/>
          <w:lang w:eastAsia="zh-CN"/>
        </w:rPr>
        <w:t>。</w:t>
      </w:r>
    </w:p>
    <w:p>
      <w:pPr>
        <w:snapToGrid w:val="0"/>
        <w:spacing w:line="42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考核经费支付</w:t>
      </w:r>
    </w:p>
    <w:p>
      <w:pPr>
        <w:tabs>
          <w:tab w:val="center" w:pos="4153"/>
        </w:tabs>
        <w:spacing w:line="460" w:lineRule="exact"/>
        <w:ind w:firstLine="422" w:firstLineChars="200"/>
        <w:rPr>
          <w:rFonts w:hint="default" w:eastAsia="宋体"/>
          <w:b/>
          <w:iCs/>
          <w:color w:val="auto"/>
          <w:szCs w:val="21"/>
          <w:highlight w:val="none"/>
          <w:lang w:val="en-US" w:eastAsia="zh-CN"/>
        </w:rPr>
      </w:pPr>
      <w:r>
        <w:rPr>
          <w:rFonts w:hint="eastAsia"/>
          <w:b/>
          <w:iCs/>
          <w:color w:val="auto"/>
          <w:szCs w:val="21"/>
          <w:highlight w:val="none"/>
          <w:lang w:val="en-US" w:eastAsia="zh-CN"/>
        </w:rPr>
        <w:t>经费拨付：养护费根据月考评分逐月计算，在次月末进行支付。月考评分在95分以上（含95分），全额支付当月养护费；月考评分在95分以下的，考评分每降低1分，则扣除月养护费的1%。【例如：养护费用根据总价折算为10万元/月，月考核成绩93分，则实际支付养护费用为10万元-10万元*（95-93）%=9.8万元】</w:t>
      </w:r>
    </w:p>
    <w:p>
      <w:pPr>
        <w:ind w:firstLine="517" w:firstLineChars="245"/>
        <w:jc w:val="center"/>
        <w:rPr>
          <w:rFonts w:hint="eastAsia" w:ascii="宋体" w:hAnsi="宋体" w:cs="仿宋"/>
          <w:b/>
          <w:color w:val="auto"/>
          <w:szCs w:val="21"/>
          <w:highlight w:val="none"/>
        </w:rPr>
      </w:pPr>
    </w:p>
    <w:p>
      <w:pPr>
        <w:pStyle w:val="3"/>
        <w:tabs>
          <w:tab w:val="left" w:pos="1199"/>
        </w:tabs>
        <w:ind w:right="297"/>
        <w:rPr>
          <w:rFonts w:hint="eastAsia" w:ascii="黑体" w:eastAsia="黑体"/>
          <w:color w:val="auto"/>
          <w:highlight w:val="none"/>
        </w:rPr>
      </w:pPr>
    </w:p>
    <w:p>
      <w:pPr>
        <w:rPr>
          <w:rFonts w:hint="eastAsia" w:ascii="宋体" w:hAnsi="宋体"/>
          <w:b/>
          <w:color w:val="auto"/>
          <w:szCs w:val="21"/>
          <w:highlight w:val="none"/>
        </w:rPr>
      </w:pPr>
      <w:r>
        <w:rPr>
          <w:rFonts w:hint="eastAsia" w:ascii="宋体" w:hAnsi="宋体"/>
          <w:b/>
          <w:color w:val="auto"/>
          <w:szCs w:val="21"/>
          <w:highlight w:val="none"/>
        </w:rPr>
        <w:br w:type="page"/>
      </w:r>
    </w:p>
    <w:p>
      <w:pPr>
        <w:jc w:val="center"/>
        <w:rPr>
          <w:rFonts w:hint="eastAsia" w:ascii="宋体" w:hAnsi="宋体" w:cs="仿宋"/>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江北区前江街道雨污管道养护</w:t>
      </w:r>
      <w:r>
        <w:rPr>
          <w:rFonts w:hint="eastAsia" w:ascii="宋体" w:hAnsi="宋体"/>
          <w:b/>
          <w:color w:val="auto"/>
          <w:szCs w:val="21"/>
          <w:highlight w:val="none"/>
        </w:rPr>
        <w:t>考核细则》</w:t>
      </w:r>
      <w:r>
        <w:rPr>
          <w:rFonts w:hint="eastAsia" w:ascii="宋体" w:hAnsi="宋体" w:cs="仿宋"/>
          <w:b/>
          <w:color w:val="auto"/>
          <w:szCs w:val="21"/>
          <w:highlight w:val="none"/>
        </w:rPr>
        <w:t>（100分制）</w:t>
      </w:r>
    </w:p>
    <w:p>
      <w:pPr>
        <w:jc w:val="center"/>
        <w:rPr>
          <w:rFonts w:hint="eastAsia" w:ascii="宋体" w:hAnsi="宋体" w:cs="仿宋"/>
          <w:b/>
          <w:color w:val="auto"/>
          <w:szCs w:val="21"/>
          <w:highlight w:val="none"/>
        </w:rPr>
      </w:pPr>
    </w:p>
    <w:p>
      <w:pPr>
        <w:jc w:val="both"/>
        <w:rPr>
          <w:rFonts w:hint="default" w:ascii="宋体" w:hAnsi="宋体" w:eastAsia="宋体"/>
          <w:b/>
          <w:color w:val="auto"/>
          <w:szCs w:val="21"/>
          <w:highlight w:val="none"/>
          <w:u w:val="single"/>
          <w:lang w:eastAsia="zh-CN"/>
        </w:rPr>
      </w:pPr>
      <w:r>
        <w:rPr>
          <w:rFonts w:hint="eastAsia" w:ascii="宋体" w:hAnsi="宋体"/>
          <w:b/>
          <w:color w:val="auto"/>
          <w:szCs w:val="21"/>
          <w:highlight w:val="none"/>
          <w:u w:val="none"/>
          <w:lang w:val="en-US" w:eastAsia="zh-CN"/>
        </w:rPr>
        <w:t>被考核单位：</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none"/>
          <w:lang w:val="en-US" w:eastAsia="zh-CN"/>
        </w:rPr>
        <w:t xml:space="preserve">                                    本月总分：</w:t>
      </w:r>
      <w:r>
        <w:rPr>
          <w:rFonts w:hint="eastAsia" w:ascii="宋体" w:hAnsi="宋体"/>
          <w:b/>
          <w:color w:val="auto"/>
          <w:szCs w:val="21"/>
          <w:highlight w:val="none"/>
          <w:u w:val="single"/>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853"/>
        <w:gridCol w:w="704"/>
        <w:gridCol w:w="2652"/>
        <w:gridCol w:w="2715"/>
        <w:gridCol w:w="75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eastAsia="宋体"/>
                <w:b/>
                <w:color w:val="auto"/>
                <w:szCs w:val="21"/>
                <w:highlight w:val="none"/>
                <w:vertAlign w:val="baseline"/>
                <w:lang w:eastAsia="zh-CN"/>
              </w:rPr>
            </w:pPr>
            <w:r>
              <w:rPr>
                <w:rFonts w:hint="eastAsia" w:ascii="宋体" w:hAnsi="宋体"/>
                <w:b/>
                <w:color w:val="auto"/>
                <w:szCs w:val="21"/>
                <w:highlight w:val="none"/>
                <w:vertAlign w:val="baseline"/>
                <w:lang w:eastAsia="zh-CN"/>
              </w:rPr>
              <w:t>序号</w:t>
            </w:r>
          </w:p>
        </w:tc>
        <w:tc>
          <w:tcPr>
            <w:tcW w:w="853" w:type="dxa"/>
            <w:noWrap w:val="0"/>
            <w:vAlign w:val="center"/>
          </w:tcPr>
          <w:p>
            <w:pPr>
              <w:jc w:val="center"/>
              <w:rPr>
                <w:rFonts w:hint="eastAsia" w:ascii="宋体" w:hAnsi="宋体" w:eastAsia="宋体"/>
                <w:b/>
                <w:color w:val="auto"/>
                <w:szCs w:val="21"/>
                <w:highlight w:val="none"/>
                <w:vertAlign w:val="baseline"/>
                <w:lang w:eastAsia="zh-CN"/>
              </w:rPr>
            </w:pPr>
            <w:r>
              <w:rPr>
                <w:rFonts w:hint="eastAsia" w:ascii="宋体" w:hAnsi="宋体"/>
                <w:b/>
                <w:color w:val="auto"/>
                <w:szCs w:val="21"/>
                <w:highlight w:val="none"/>
                <w:vertAlign w:val="baseline"/>
                <w:lang w:eastAsia="zh-CN"/>
              </w:rPr>
              <w:t>分类</w:t>
            </w:r>
          </w:p>
        </w:tc>
        <w:tc>
          <w:tcPr>
            <w:tcW w:w="704" w:type="dxa"/>
            <w:noWrap w:val="0"/>
            <w:vAlign w:val="center"/>
          </w:tcPr>
          <w:p>
            <w:pPr>
              <w:jc w:val="center"/>
              <w:rPr>
                <w:rFonts w:hint="eastAsia" w:ascii="宋体" w:hAnsi="宋体" w:eastAsia="宋体"/>
                <w:b/>
                <w:color w:val="auto"/>
                <w:szCs w:val="21"/>
                <w:highlight w:val="none"/>
                <w:vertAlign w:val="baseline"/>
                <w:lang w:eastAsia="zh-CN"/>
              </w:rPr>
            </w:pPr>
            <w:r>
              <w:rPr>
                <w:rFonts w:hint="eastAsia" w:ascii="宋体" w:hAnsi="宋体"/>
                <w:b/>
                <w:color w:val="auto"/>
                <w:szCs w:val="21"/>
                <w:highlight w:val="none"/>
                <w:vertAlign w:val="baseline"/>
                <w:lang w:eastAsia="zh-CN"/>
              </w:rPr>
              <w:t>分值</w:t>
            </w:r>
          </w:p>
        </w:tc>
        <w:tc>
          <w:tcPr>
            <w:tcW w:w="2652" w:type="dxa"/>
            <w:noWrap w:val="0"/>
            <w:vAlign w:val="center"/>
          </w:tcPr>
          <w:p>
            <w:pPr>
              <w:jc w:val="center"/>
              <w:rPr>
                <w:rFonts w:hint="eastAsia" w:ascii="宋体" w:hAnsi="宋体" w:eastAsia="宋体"/>
                <w:b/>
                <w:color w:val="auto"/>
                <w:szCs w:val="21"/>
                <w:highlight w:val="none"/>
                <w:vertAlign w:val="baseline"/>
                <w:lang w:eastAsia="zh-CN"/>
              </w:rPr>
            </w:pPr>
            <w:r>
              <w:rPr>
                <w:rFonts w:hint="eastAsia" w:ascii="宋体" w:hAnsi="宋体"/>
                <w:b/>
                <w:color w:val="auto"/>
                <w:szCs w:val="21"/>
                <w:highlight w:val="none"/>
                <w:vertAlign w:val="baseline"/>
                <w:lang w:eastAsia="zh-CN"/>
              </w:rPr>
              <w:t>考核内容</w:t>
            </w:r>
          </w:p>
        </w:tc>
        <w:tc>
          <w:tcPr>
            <w:tcW w:w="2715" w:type="dxa"/>
            <w:noWrap w:val="0"/>
            <w:vAlign w:val="center"/>
          </w:tcPr>
          <w:p>
            <w:pPr>
              <w:jc w:val="center"/>
              <w:rPr>
                <w:rFonts w:hint="eastAsia" w:ascii="宋体" w:hAnsi="宋体" w:eastAsia="宋体"/>
                <w:b/>
                <w:color w:val="auto"/>
                <w:szCs w:val="21"/>
                <w:highlight w:val="none"/>
                <w:vertAlign w:val="baseline"/>
                <w:lang w:eastAsia="zh-CN"/>
              </w:rPr>
            </w:pPr>
            <w:r>
              <w:rPr>
                <w:rFonts w:hint="eastAsia" w:ascii="宋体" w:hAnsi="宋体"/>
                <w:b/>
                <w:color w:val="auto"/>
                <w:szCs w:val="21"/>
                <w:highlight w:val="none"/>
                <w:vertAlign w:val="baseline"/>
                <w:lang w:eastAsia="zh-CN"/>
              </w:rPr>
              <w:t>评分标准</w:t>
            </w:r>
          </w:p>
        </w:tc>
        <w:tc>
          <w:tcPr>
            <w:tcW w:w="750" w:type="dxa"/>
            <w:noWrap w:val="0"/>
            <w:vAlign w:val="center"/>
          </w:tcPr>
          <w:p>
            <w:pPr>
              <w:jc w:val="center"/>
              <w:rPr>
                <w:rFonts w:hint="eastAsia" w:ascii="宋体" w:hAnsi="宋体" w:eastAsia="宋体"/>
                <w:b/>
                <w:color w:val="auto"/>
                <w:szCs w:val="21"/>
                <w:highlight w:val="none"/>
                <w:vertAlign w:val="baseline"/>
                <w:lang w:eastAsia="zh-CN"/>
              </w:rPr>
            </w:pPr>
            <w:r>
              <w:rPr>
                <w:rFonts w:hint="eastAsia" w:ascii="宋体" w:hAnsi="宋体"/>
                <w:b/>
                <w:color w:val="auto"/>
                <w:szCs w:val="21"/>
                <w:highlight w:val="none"/>
                <w:vertAlign w:val="baseline"/>
                <w:lang w:eastAsia="zh-CN"/>
              </w:rPr>
              <w:t>得分</w:t>
            </w:r>
          </w:p>
        </w:tc>
        <w:tc>
          <w:tcPr>
            <w:tcW w:w="810" w:type="dxa"/>
            <w:noWrap w:val="0"/>
            <w:vAlign w:val="center"/>
          </w:tcPr>
          <w:p>
            <w:pPr>
              <w:jc w:val="center"/>
              <w:rPr>
                <w:rFonts w:hint="eastAsia" w:ascii="宋体" w:hAnsi="宋体" w:eastAsia="宋体"/>
                <w:b/>
                <w:color w:val="auto"/>
                <w:szCs w:val="21"/>
                <w:highlight w:val="none"/>
                <w:vertAlign w:val="baseline"/>
                <w:lang w:eastAsia="zh-CN"/>
              </w:rPr>
            </w:pPr>
            <w:r>
              <w:rPr>
                <w:rFonts w:hint="eastAsia" w:ascii="宋体" w:hAnsi="宋体"/>
                <w:b/>
                <w:color w:val="auto"/>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0" w:type="dxa"/>
            <w:noWrap w:val="0"/>
            <w:vAlign w:val="center"/>
          </w:tcPr>
          <w:p>
            <w:pPr>
              <w:jc w:val="center"/>
              <w:rPr>
                <w:rFonts w:hint="eastAsia"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w:t>
            </w:r>
          </w:p>
        </w:tc>
        <w:tc>
          <w:tcPr>
            <w:tcW w:w="853" w:type="dxa"/>
            <w:vMerge w:val="restart"/>
            <w:noWrap w:val="0"/>
            <w:vAlign w:val="center"/>
          </w:tcPr>
          <w:p>
            <w:pPr>
              <w:jc w:val="center"/>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日常管理</w:t>
            </w:r>
          </w:p>
        </w:tc>
        <w:tc>
          <w:tcPr>
            <w:tcW w:w="704" w:type="dxa"/>
            <w:noWrap w:val="0"/>
            <w:vAlign w:val="center"/>
          </w:tcPr>
          <w:p>
            <w:pPr>
              <w:jc w:val="center"/>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4</w:t>
            </w:r>
          </w:p>
        </w:tc>
        <w:tc>
          <w:tcPr>
            <w:tcW w:w="2652" w:type="dxa"/>
            <w:noWrap w:val="0"/>
            <w:vAlign w:val="center"/>
          </w:tcPr>
          <w:p>
            <w:pPr>
              <w:jc w:val="left"/>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养护单位按投标书配备机械设备</w:t>
            </w:r>
          </w:p>
        </w:tc>
        <w:tc>
          <w:tcPr>
            <w:tcW w:w="2715"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主要机械设备少一台扣2分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2</w:t>
            </w: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4</w:t>
            </w:r>
          </w:p>
        </w:tc>
        <w:tc>
          <w:tcPr>
            <w:tcW w:w="2652" w:type="dxa"/>
            <w:noWrap w:val="0"/>
            <w:vAlign w:val="center"/>
          </w:tcPr>
          <w:p>
            <w:pPr>
              <w:jc w:val="left"/>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养护车辆及设备按规范停放</w:t>
            </w:r>
          </w:p>
        </w:tc>
        <w:tc>
          <w:tcPr>
            <w:tcW w:w="2715"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未按要求停放车辆及设备的每车每次扣</w:t>
            </w:r>
            <w:r>
              <w:rPr>
                <w:rFonts w:hint="eastAsia" w:ascii="宋体" w:hAnsi="宋体"/>
                <w:b w:val="0"/>
                <w:bCs/>
                <w:color w:val="auto"/>
                <w:szCs w:val="21"/>
                <w:highlight w:val="none"/>
                <w:vertAlign w:val="baseline"/>
                <w:lang w:val="en-US" w:eastAsia="zh-CN"/>
              </w:rPr>
              <w:t>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3</w:t>
            </w: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eastAsia"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4</w:t>
            </w:r>
          </w:p>
        </w:tc>
        <w:tc>
          <w:tcPr>
            <w:tcW w:w="2652" w:type="dxa"/>
            <w:noWrap w:val="0"/>
            <w:vAlign w:val="center"/>
          </w:tcPr>
          <w:p>
            <w:pPr>
              <w:jc w:val="left"/>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工作时统一着装，佩证上岗，雨天穿带反光条雨衣等做好安全工作</w:t>
            </w:r>
          </w:p>
        </w:tc>
        <w:tc>
          <w:tcPr>
            <w:tcW w:w="2715"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抽查不符合要求的，每一人扣</w:t>
            </w:r>
            <w:r>
              <w:rPr>
                <w:rFonts w:hint="eastAsia" w:ascii="宋体" w:hAnsi="宋体"/>
                <w:b w:val="0"/>
                <w:bCs/>
                <w:color w:val="auto"/>
                <w:szCs w:val="21"/>
                <w:highlight w:val="none"/>
                <w:vertAlign w:val="baseline"/>
                <w:lang w:val="en-US" w:eastAsia="zh-CN"/>
              </w:rPr>
              <w:t>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4</w:t>
            </w: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eastAsia"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4</w:t>
            </w:r>
          </w:p>
        </w:tc>
        <w:tc>
          <w:tcPr>
            <w:tcW w:w="2652" w:type="dxa"/>
            <w:noWrap w:val="0"/>
            <w:vAlign w:val="center"/>
          </w:tcPr>
          <w:p>
            <w:pPr>
              <w:jc w:val="left"/>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疏通清理的污物及时清理，转运途中不落地，无抛洒</w:t>
            </w:r>
          </w:p>
        </w:tc>
        <w:tc>
          <w:tcPr>
            <w:tcW w:w="2715"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现场污物未及时清理的，每处扣</w:t>
            </w:r>
            <w:r>
              <w:rPr>
                <w:rFonts w:hint="eastAsia" w:ascii="宋体" w:hAnsi="宋体"/>
                <w:b w:val="0"/>
                <w:bCs/>
                <w:color w:val="auto"/>
                <w:szCs w:val="21"/>
                <w:highlight w:val="none"/>
                <w:vertAlign w:val="baseline"/>
                <w:lang w:val="en-US" w:eastAsia="zh-CN"/>
              </w:rPr>
              <w:t>2分，沿途有抛洒痕迹的，每处扣1分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5</w:t>
            </w:r>
          </w:p>
        </w:tc>
        <w:tc>
          <w:tcPr>
            <w:tcW w:w="853" w:type="dxa"/>
            <w:vMerge w:val="restart"/>
            <w:noWrap w:val="0"/>
            <w:vAlign w:val="center"/>
          </w:tcPr>
          <w:p>
            <w:pPr>
              <w:jc w:val="center"/>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养护效果</w:t>
            </w:r>
          </w:p>
        </w:tc>
        <w:tc>
          <w:tcPr>
            <w:tcW w:w="704" w:type="dxa"/>
            <w:noWrap w:val="0"/>
            <w:vAlign w:val="center"/>
          </w:tcPr>
          <w:p>
            <w:pPr>
              <w:jc w:val="center"/>
              <w:rPr>
                <w:rFonts w:hint="eastAsia"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4</w:t>
            </w:r>
          </w:p>
        </w:tc>
        <w:tc>
          <w:tcPr>
            <w:tcW w:w="2652" w:type="dxa"/>
            <w:noWrap w:val="0"/>
            <w:vAlign w:val="center"/>
          </w:tcPr>
          <w:p>
            <w:pPr>
              <w:jc w:val="left"/>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排水管道畅通，不积水</w:t>
            </w:r>
          </w:p>
        </w:tc>
        <w:tc>
          <w:tcPr>
            <w:tcW w:w="2715"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排水管道不畅通导致路面出现水渍，大于</w:t>
            </w:r>
            <w:r>
              <w:rPr>
                <w:rFonts w:hint="eastAsia" w:ascii="宋体" w:hAnsi="宋体"/>
                <w:b w:val="0"/>
                <w:bCs/>
                <w:color w:val="auto"/>
                <w:szCs w:val="21"/>
                <w:highlight w:val="none"/>
                <w:vertAlign w:val="baseline"/>
                <w:lang w:val="en-US" w:eastAsia="zh-CN"/>
              </w:rPr>
              <w:t>5平方米每处扣1分，大于15平方米每处扣2分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6</w:t>
            </w:r>
          </w:p>
        </w:tc>
        <w:tc>
          <w:tcPr>
            <w:tcW w:w="853" w:type="dxa"/>
            <w:vMerge w:val="continue"/>
            <w:noWrap w:val="0"/>
            <w:vAlign w:val="top"/>
          </w:tcPr>
          <w:p>
            <w:pPr>
              <w:jc w:val="left"/>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10</w:t>
            </w:r>
          </w:p>
        </w:tc>
        <w:tc>
          <w:tcPr>
            <w:tcW w:w="2652" w:type="dxa"/>
            <w:noWrap w:val="0"/>
            <w:vAlign w:val="center"/>
          </w:tcPr>
          <w:p>
            <w:pPr>
              <w:jc w:val="left"/>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检查井内淤泥不超过允许值</w:t>
            </w:r>
          </w:p>
        </w:tc>
        <w:tc>
          <w:tcPr>
            <w:tcW w:w="2715"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抽查检查井，有沉泥槽的淤泥超过管底以下</w:t>
            </w:r>
            <w:r>
              <w:rPr>
                <w:rFonts w:hint="eastAsia" w:ascii="宋体" w:hAnsi="宋体"/>
                <w:b w:val="0"/>
                <w:bCs/>
                <w:color w:val="auto"/>
                <w:szCs w:val="21"/>
                <w:highlight w:val="none"/>
                <w:vertAlign w:val="baseline"/>
                <w:lang w:val="en-US" w:eastAsia="zh-CN"/>
              </w:rPr>
              <w:t>50mm，或无沉泥槽的，淤泥超过主管管径1/5的，每处扣2分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0" w:type="dxa"/>
            <w:noWrap w:val="0"/>
            <w:vAlign w:val="center"/>
          </w:tcPr>
          <w:p>
            <w:pPr>
              <w:jc w:val="center"/>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7</w:t>
            </w:r>
          </w:p>
        </w:tc>
        <w:tc>
          <w:tcPr>
            <w:tcW w:w="853" w:type="dxa"/>
            <w:vMerge w:val="continue"/>
            <w:noWrap w:val="0"/>
            <w:vAlign w:val="top"/>
          </w:tcPr>
          <w:p>
            <w:pPr>
              <w:jc w:val="left"/>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10</w:t>
            </w:r>
          </w:p>
        </w:tc>
        <w:tc>
          <w:tcPr>
            <w:tcW w:w="2652" w:type="dxa"/>
            <w:noWrap w:val="0"/>
            <w:vAlign w:val="center"/>
          </w:tcPr>
          <w:p>
            <w:pPr>
              <w:jc w:val="left"/>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eastAsia="zh-CN"/>
              </w:rPr>
              <w:t>管道内淤泥不超过允许值</w:t>
            </w:r>
          </w:p>
        </w:tc>
        <w:tc>
          <w:tcPr>
            <w:tcW w:w="2715" w:type="dxa"/>
            <w:noWrap w:val="0"/>
            <w:vAlign w:val="center"/>
          </w:tcPr>
          <w:p>
            <w:pPr>
              <w:jc w:val="left"/>
              <w:rPr>
                <w:rFonts w:hint="default" w:ascii="宋体" w:hAnsi="宋体"/>
                <w:b w:val="0"/>
                <w:bCs/>
                <w:color w:val="auto"/>
                <w:szCs w:val="21"/>
                <w:highlight w:val="none"/>
                <w:vertAlign w:val="baseline"/>
              </w:rPr>
            </w:pPr>
            <w:r>
              <w:rPr>
                <w:rFonts w:hint="eastAsia" w:ascii="宋体" w:hAnsi="宋体"/>
                <w:b w:val="0"/>
                <w:bCs/>
                <w:color w:val="auto"/>
                <w:szCs w:val="21"/>
                <w:highlight w:val="none"/>
                <w:vertAlign w:val="baseline"/>
                <w:lang w:eastAsia="zh-CN"/>
              </w:rPr>
              <w:t>抽查排水管道，淤泥厚度超过管径</w:t>
            </w:r>
            <w:r>
              <w:rPr>
                <w:rFonts w:hint="eastAsia" w:ascii="宋体" w:hAnsi="宋体"/>
                <w:b w:val="0"/>
                <w:bCs/>
                <w:color w:val="auto"/>
                <w:szCs w:val="21"/>
                <w:highlight w:val="none"/>
                <w:vertAlign w:val="baseline"/>
                <w:lang w:val="en-US" w:eastAsia="zh-CN"/>
              </w:rPr>
              <w:t>1/5的，每处扣2分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8</w:t>
            </w:r>
          </w:p>
        </w:tc>
        <w:tc>
          <w:tcPr>
            <w:tcW w:w="853" w:type="dxa"/>
            <w:vMerge w:val="continue"/>
            <w:noWrap w:val="0"/>
            <w:vAlign w:val="top"/>
          </w:tcPr>
          <w:p>
            <w:pPr>
              <w:jc w:val="left"/>
              <w:rPr>
                <w:rFonts w:hint="eastAsia" w:ascii="宋体" w:hAnsi="宋体"/>
                <w:b w:val="0"/>
                <w:bCs/>
                <w:color w:val="auto"/>
                <w:szCs w:val="21"/>
                <w:highlight w:val="none"/>
                <w:vertAlign w:val="baseline"/>
              </w:rPr>
            </w:pPr>
          </w:p>
        </w:tc>
        <w:tc>
          <w:tcPr>
            <w:tcW w:w="704" w:type="dxa"/>
            <w:noWrap w:val="0"/>
            <w:vAlign w:val="center"/>
          </w:tcPr>
          <w:p>
            <w:pPr>
              <w:jc w:val="center"/>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4</w:t>
            </w:r>
          </w:p>
        </w:tc>
        <w:tc>
          <w:tcPr>
            <w:tcW w:w="2652" w:type="dxa"/>
            <w:noWrap w:val="0"/>
            <w:vAlign w:val="center"/>
          </w:tcPr>
          <w:p>
            <w:pPr>
              <w:jc w:val="left"/>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eastAsia="zh-CN"/>
              </w:rPr>
              <w:t>雨水口淤泥不超过允许值</w:t>
            </w:r>
          </w:p>
        </w:tc>
        <w:tc>
          <w:tcPr>
            <w:tcW w:w="2715" w:type="dxa"/>
            <w:noWrap w:val="0"/>
            <w:vAlign w:val="center"/>
          </w:tcPr>
          <w:p>
            <w:pPr>
              <w:jc w:val="left"/>
              <w:rPr>
                <w:rFonts w:hint="default" w:ascii="宋体" w:hAnsi="宋体"/>
                <w:b w:val="0"/>
                <w:bCs/>
                <w:color w:val="auto"/>
                <w:szCs w:val="21"/>
                <w:highlight w:val="none"/>
                <w:vertAlign w:val="baseline"/>
              </w:rPr>
            </w:pPr>
            <w:r>
              <w:rPr>
                <w:rFonts w:hint="eastAsia" w:ascii="宋体" w:hAnsi="宋体"/>
                <w:b w:val="0"/>
                <w:bCs/>
                <w:color w:val="auto"/>
                <w:szCs w:val="21"/>
                <w:highlight w:val="none"/>
                <w:vertAlign w:val="baseline"/>
                <w:lang w:eastAsia="zh-CN"/>
              </w:rPr>
              <w:t>抽查雨水口，有沉泥槽的淤泥超过管底以下</w:t>
            </w:r>
            <w:r>
              <w:rPr>
                <w:rFonts w:hint="eastAsia" w:ascii="宋体" w:hAnsi="宋体"/>
                <w:b w:val="0"/>
                <w:bCs/>
                <w:color w:val="auto"/>
                <w:szCs w:val="21"/>
                <w:highlight w:val="none"/>
                <w:vertAlign w:val="baseline"/>
                <w:lang w:val="en-US" w:eastAsia="zh-CN"/>
              </w:rPr>
              <w:t>50mm，或无沉泥槽的，淤泥超过管底以上50mm的，每处扣2分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9</w:t>
            </w:r>
          </w:p>
        </w:tc>
        <w:tc>
          <w:tcPr>
            <w:tcW w:w="853" w:type="dxa"/>
            <w:vMerge w:val="continue"/>
            <w:noWrap w:val="0"/>
            <w:vAlign w:val="top"/>
          </w:tcPr>
          <w:p>
            <w:pPr>
              <w:jc w:val="left"/>
              <w:rPr>
                <w:rFonts w:hint="eastAsia" w:ascii="宋体" w:hAnsi="宋体"/>
                <w:b w:val="0"/>
                <w:bCs/>
                <w:color w:val="auto"/>
                <w:szCs w:val="21"/>
                <w:highlight w:val="none"/>
                <w:vertAlign w:val="baseline"/>
              </w:rPr>
            </w:pPr>
          </w:p>
        </w:tc>
        <w:tc>
          <w:tcPr>
            <w:tcW w:w="704" w:type="dxa"/>
            <w:noWrap w:val="0"/>
            <w:vAlign w:val="center"/>
          </w:tcPr>
          <w:p>
            <w:pPr>
              <w:jc w:val="center"/>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val="en-US" w:eastAsia="zh-CN"/>
              </w:rPr>
              <w:t>4</w:t>
            </w:r>
          </w:p>
        </w:tc>
        <w:tc>
          <w:tcPr>
            <w:tcW w:w="2652" w:type="dxa"/>
            <w:noWrap w:val="0"/>
            <w:vAlign w:val="center"/>
          </w:tcPr>
          <w:p>
            <w:pPr>
              <w:jc w:val="left"/>
              <w:rPr>
                <w:rFonts w:hint="eastAsia" w:ascii="宋体" w:hAnsi="宋体"/>
                <w:b w:val="0"/>
                <w:bCs/>
                <w:color w:val="auto"/>
                <w:szCs w:val="21"/>
                <w:highlight w:val="none"/>
                <w:vertAlign w:val="baseline"/>
              </w:rPr>
            </w:pPr>
            <w:r>
              <w:rPr>
                <w:rFonts w:hint="eastAsia" w:ascii="宋体" w:hAnsi="宋体"/>
                <w:b w:val="0"/>
                <w:bCs/>
                <w:color w:val="auto"/>
                <w:szCs w:val="21"/>
                <w:highlight w:val="none"/>
                <w:vertAlign w:val="baseline"/>
                <w:lang w:eastAsia="zh-CN"/>
              </w:rPr>
              <w:t>截污井内垃圾杂物清理及时，淤泥不超过允许值</w:t>
            </w:r>
          </w:p>
        </w:tc>
        <w:tc>
          <w:tcPr>
            <w:tcW w:w="2715" w:type="dxa"/>
            <w:noWrap w:val="0"/>
            <w:vAlign w:val="center"/>
          </w:tcPr>
          <w:p>
            <w:pPr>
              <w:jc w:val="left"/>
              <w:rPr>
                <w:rFonts w:hint="default" w:ascii="宋体" w:hAnsi="宋体"/>
                <w:b w:val="0"/>
                <w:bCs/>
                <w:color w:val="auto"/>
                <w:szCs w:val="21"/>
                <w:highlight w:val="none"/>
                <w:vertAlign w:val="baseline"/>
              </w:rPr>
            </w:pPr>
            <w:r>
              <w:rPr>
                <w:rFonts w:hint="eastAsia" w:ascii="宋体" w:hAnsi="宋体"/>
                <w:b w:val="0"/>
                <w:bCs/>
                <w:color w:val="auto"/>
                <w:szCs w:val="21"/>
                <w:highlight w:val="none"/>
                <w:vertAlign w:val="baseline"/>
                <w:lang w:eastAsia="zh-CN"/>
              </w:rPr>
              <w:t>垃圾杂物未及时清理导致滤网堵塞，每处扣</w:t>
            </w:r>
            <w:r>
              <w:rPr>
                <w:rFonts w:hint="eastAsia" w:ascii="宋体" w:hAnsi="宋体"/>
                <w:b w:val="0"/>
                <w:bCs/>
                <w:color w:val="auto"/>
                <w:szCs w:val="21"/>
                <w:highlight w:val="none"/>
                <w:vertAlign w:val="baseline"/>
                <w:lang w:val="en-US" w:eastAsia="zh-CN"/>
              </w:rPr>
              <w:t>2分；截污井内淤泥超过200mm的，每处扣2分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0" w:type="dxa"/>
            <w:vMerge w:val="restart"/>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10</w:t>
            </w:r>
          </w:p>
        </w:tc>
        <w:tc>
          <w:tcPr>
            <w:tcW w:w="853" w:type="dxa"/>
            <w:vMerge w:val="restart"/>
            <w:noWrap w:val="0"/>
            <w:vAlign w:val="center"/>
          </w:tcPr>
          <w:p>
            <w:pPr>
              <w:jc w:val="center"/>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设施维护</w:t>
            </w: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5</w:t>
            </w:r>
          </w:p>
        </w:tc>
        <w:tc>
          <w:tcPr>
            <w:tcW w:w="2652"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井盖维护、保持井盖完整，做好降噪措施</w:t>
            </w:r>
          </w:p>
        </w:tc>
        <w:tc>
          <w:tcPr>
            <w:tcW w:w="2715"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每项不达标扣</w:t>
            </w:r>
            <w:r>
              <w:rPr>
                <w:rFonts w:hint="eastAsia" w:ascii="宋体" w:hAnsi="宋体"/>
                <w:b w:val="0"/>
                <w:bCs/>
                <w:color w:val="auto"/>
                <w:szCs w:val="21"/>
                <w:highlight w:val="none"/>
                <w:vertAlign w:val="baseline"/>
                <w:lang w:val="en-US" w:eastAsia="zh-CN"/>
              </w:rPr>
              <w:t>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noWrap w:val="0"/>
            <w:vAlign w:val="top"/>
          </w:tcPr>
          <w:p>
            <w:pPr>
              <w:jc w:val="left"/>
              <w:rPr>
                <w:rFonts w:hint="eastAsia" w:ascii="宋体" w:hAnsi="宋体"/>
                <w:b w:val="0"/>
                <w:bCs/>
                <w:color w:val="auto"/>
                <w:szCs w:val="21"/>
                <w:highlight w:val="none"/>
                <w:vertAlign w:val="baseline"/>
                <w:lang w:val="en-US" w:eastAsia="zh-CN"/>
              </w:rPr>
            </w:pPr>
          </w:p>
        </w:tc>
        <w:tc>
          <w:tcPr>
            <w:tcW w:w="853" w:type="dxa"/>
            <w:vMerge w:val="continue"/>
            <w:noWrap w:val="0"/>
            <w:vAlign w:val="top"/>
          </w:tcPr>
          <w:p>
            <w:pPr>
              <w:jc w:val="left"/>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5</w:t>
            </w:r>
          </w:p>
        </w:tc>
        <w:tc>
          <w:tcPr>
            <w:tcW w:w="2652"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阀门井养护、及时更护如橡胶类易耗品，螺丝杆及时上油</w:t>
            </w:r>
          </w:p>
        </w:tc>
        <w:tc>
          <w:tcPr>
            <w:tcW w:w="2715"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每项不达标扣</w:t>
            </w:r>
            <w:r>
              <w:rPr>
                <w:rFonts w:hint="eastAsia" w:ascii="宋体" w:hAnsi="宋体"/>
                <w:b w:val="0"/>
                <w:bCs/>
                <w:color w:val="auto"/>
                <w:szCs w:val="21"/>
                <w:highlight w:val="none"/>
                <w:vertAlign w:val="baseline"/>
                <w:lang w:val="en-US" w:eastAsia="zh-CN"/>
              </w:rPr>
              <w:t>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11</w:t>
            </w:r>
          </w:p>
        </w:tc>
        <w:tc>
          <w:tcPr>
            <w:tcW w:w="853" w:type="dxa"/>
            <w:vMerge w:val="restart"/>
            <w:noWrap w:val="0"/>
            <w:vAlign w:val="center"/>
          </w:tcPr>
          <w:p>
            <w:pPr>
              <w:jc w:val="center"/>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安全生产</w:t>
            </w: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3</w:t>
            </w:r>
          </w:p>
        </w:tc>
        <w:tc>
          <w:tcPr>
            <w:tcW w:w="2652"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市政排水管网窨井盖、雨水口篦子等，损坏或丢失的应及时上报业主，由业主进行另行安排维修</w:t>
            </w:r>
          </w:p>
        </w:tc>
        <w:tc>
          <w:tcPr>
            <w:tcW w:w="2715"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市政排水雨、污井盖、雨篦等排水设施破坏或丢失未及时上报的每处扣</w:t>
            </w:r>
            <w:r>
              <w:rPr>
                <w:rFonts w:hint="eastAsia" w:ascii="宋体" w:hAnsi="宋体"/>
                <w:b w:val="0"/>
                <w:bCs/>
                <w:color w:val="auto"/>
                <w:szCs w:val="21"/>
                <w:highlight w:val="none"/>
                <w:vertAlign w:val="baseline"/>
                <w:lang w:val="en-US" w:eastAsia="zh-CN"/>
              </w:rPr>
              <w:t>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12</w:t>
            </w: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3</w:t>
            </w:r>
          </w:p>
        </w:tc>
        <w:tc>
          <w:tcPr>
            <w:tcW w:w="2652"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维护作业前，应对作业人员进行安全交底，告知作业内容、安全注意事项及采取的安全措施的</w:t>
            </w:r>
          </w:p>
        </w:tc>
        <w:tc>
          <w:tcPr>
            <w:tcW w:w="2715"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未执行安全交底的扣</w:t>
            </w:r>
            <w:r>
              <w:rPr>
                <w:rFonts w:hint="eastAsia" w:ascii="宋体" w:hAnsi="宋体"/>
                <w:b w:val="0"/>
                <w:bCs/>
                <w:color w:val="auto"/>
                <w:szCs w:val="21"/>
                <w:highlight w:val="none"/>
                <w:vertAlign w:val="baseline"/>
                <w:lang w:val="en-US" w:eastAsia="zh-CN"/>
              </w:rPr>
              <w:t>3分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13</w:t>
            </w: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6</w:t>
            </w:r>
          </w:p>
        </w:tc>
        <w:tc>
          <w:tcPr>
            <w:tcW w:w="2652"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维护作业区域应采取设置安全警示标志等防护措施；夜间作业时，应在作业区域周边明显处设置警示灯；作业完毕，应及时清楚障碍物，挂好防坠网，井盖闭合严密</w:t>
            </w:r>
          </w:p>
        </w:tc>
        <w:tc>
          <w:tcPr>
            <w:tcW w:w="2715"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每项不达标扣</w:t>
            </w:r>
            <w:r>
              <w:rPr>
                <w:rFonts w:hint="eastAsia" w:ascii="宋体" w:hAnsi="宋体"/>
                <w:b w:val="0"/>
                <w:bCs/>
                <w:color w:val="auto"/>
                <w:szCs w:val="21"/>
                <w:highlight w:val="none"/>
                <w:vertAlign w:val="baseline"/>
                <w:lang w:val="en-US" w:eastAsia="zh-CN"/>
              </w:rPr>
              <w:t>2分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10"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14</w:t>
            </w: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3</w:t>
            </w:r>
          </w:p>
        </w:tc>
        <w:tc>
          <w:tcPr>
            <w:tcW w:w="2652"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维护作业现场严禁吸烟，未经许可严禁动用明火</w:t>
            </w:r>
          </w:p>
        </w:tc>
        <w:tc>
          <w:tcPr>
            <w:tcW w:w="2715"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发现一次扣</w:t>
            </w:r>
            <w:r>
              <w:rPr>
                <w:rFonts w:hint="eastAsia" w:ascii="宋体" w:hAnsi="宋体"/>
                <w:b w:val="0"/>
                <w:bCs/>
                <w:color w:val="auto"/>
                <w:szCs w:val="21"/>
                <w:highlight w:val="none"/>
                <w:vertAlign w:val="baseline"/>
                <w:lang w:val="en-US" w:eastAsia="zh-CN"/>
              </w:rPr>
              <w:t>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15</w:t>
            </w:r>
          </w:p>
        </w:tc>
        <w:tc>
          <w:tcPr>
            <w:tcW w:w="853" w:type="dxa"/>
            <w:vMerge w:val="restart"/>
            <w:noWrap w:val="0"/>
            <w:vAlign w:val="center"/>
          </w:tcPr>
          <w:p>
            <w:pPr>
              <w:jc w:val="center"/>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应急响应</w:t>
            </w: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3</w:t>
            </w:r>
          </w:p>
        </w:tc>
        <w:tc>
          <w:tcPr>
            <w:tcW w:w="2652"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养护范围内排水管线紧急情况需处理的，接业主通知后</w:t>
            </w:r>
            <w:r>
              <w:rPr>
                <w:rFonts w:hint="eastAsia" w:ascii="宋体" w:hAnsi="宋体"/>
                <w:b w:val="0"/>
                <w:bCs/>
                <w:color w:val="auto"/>
                <w:szCs w:val="21"/>
                <w:highlight w:val="none"/>
                <w:vertAlign w:val="baseline"/>
                <w:lang w:val="en-US" w:eastAsia="zh-CN"/>
              </w:rPr>
              <w:t>30分钟内派专人到现场进行紧急处理</w:t>
            </w:r>
          </w:p>
        </w:tc>
        <w:tc>
          <w:tcPr>
            <w:tcW w:w="2715"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30分钟未到现场的，每延后5分钟（不足5分钟的按5分钟计），扣1分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16</w:t>
            </w: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3</w:t>
            </w:r>
          </w:p>
        </w:tc>
        <w:tc>
          <w:tcPr>
            <w:tcW w:w="2652"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遇台风、暴雨等特殊天气，应及时开展应急排水工作</w:t>
            </w:r>
          </w:p>
        </w:tc>
        <w:tc>
          <w:tcPr>
            <w:tcW w:w="2715" w:type="dxa"/>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应急响应不及时造成不良后果的，扣</w:t>
            </w:r>
            <w:r>
              <w:rPr>
                <w:rFonts w:hint="eastAsia" w:ascii="宋体" w:hAnsi="宋体"/>
                <w:b w:val="0"/>
                <w:bCs/>
                <w:color w:val="auto"/>
                <w:szCs w:val="21"/>
                <w:highlight w:val="none"/>
                <w:vertAlign w:val="baseline"/>
                <w:lang w:val="en-US" w:eastAsia="zh-CN"/>
              </w:rPr>
              <w:t>3分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17</w:t>
            </w:r>
          </w:p>
        </w:tc>
        <w:tc>
          <w:tcPr>
            <w:tcW w:w="853" w:type="dxa"/>
            <w:vMerge w:val="restart"/>
            <w:noWrap w:val="0"/>
            <w:vAlign w:val="center"/>
          </w:tcPr>
          <w:p>
            <w:pPr>
              <w:jc w:val="center"/>
              <w:rPr>
                <w:rFonts w:hint="default" w:ascii="宋体" w:hAnsi="宋体" w:eastAsia="宋体"/>
                <w:b w:val="0"/>
                <w:bCs/>
                <w:color w:val="auto"/>
                <w:szCs w:val="21"/>
                <w:highlight w:val="none"/>
                <w:vertAlign w:val="baseline"/>
                <w:lang w:val="en-US" w:eastAsia="zh-CN"/>
              </w:rPr>
            </w:pPr>
            <w:r>
              <w:rPr>
                <w:rFonts w:hint="eastAsia" w:ascii="宋体" w:hAnsi="宋体"/>
                <w:color w:val="auto"/>
                <w:szCs w:val="21"/>
                <w:highlight w:val="none"/>
                <w:lang w:val="en-US" w:eastAsia="zh-CN"/>
              </w:rPr>
              <w:t>作业</w:t>
            </w:r>
            <w:r>
              <w:rPr>
                <w:rFonts w:hint="eastAsia" w:ascii="宋体" w:hAnsi="宋体"/>
                <w:color w:val="auto"/>
                <w:szCs w:val="21"/>
                <w:highlight w:val="none"/>
              </w:rPr>
              <w:t>台账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日常记录</w:t>
            </w: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5</w:t>
            </w:r>
          </w:p>
        </w:tc>
        <w:tc>
          <w:tcPr>
            <w:tcW w:w="2652" w:type="dxa"/>
            <w:noWrap w:val="0"/>
            <w:vAlign w:val="center"/>
          </w:tcPr>
          <w:p>
            <w:pPr>
              <w:rPr>
                <w:rFonts w:hint="eastAsia" w:ascii="宋体" w:hAnsi="宋体" w:eastAsia="宋体"/>
                <w:b w:val="0"/>
                <w:bCs/>
                <w:color w:val="auto"/>
                <w:szCs w:val="21"/>
                <w:highlight w:val="none"/>
                <w:vertAlign w:val="baseline"/>
                <w:lang w:eastAsia="zh-CN"/>
              </w:rPr>
            </w:pPr>
            <w:r>
              <w:rPr>
                <w:rFonts w:hint="eastAsia" w:ascii="宋体" w:hAnsi="宋体"/>
                <w:color w:val="auto"/>
                <w:szCs w:val="21"/>
                <w:highlight w:val="none"/>
              </w:rPr>
              <w:t>雨水井</w:t>
            </w:r>
            <w:r>
              <w:rPr>
                <w:rFonts w:hint="eastAsia" w:ascii="宋体" w:hAnsi="宋体"/>
                <w:color w:val="auto"/>
                <w:szCs w:val="21"/>
                <w:highlight w:val="none"/>
                <w:lang w:eastAsia="zh-CN"/>
              </w:rPr>
              <w:t>、</w:t>
            </w:r>
            <w:r>
              <w:rPr>
                <w:rFonts w:hint="eastAsia" w:ascii="宋体" w:hAnsi="宋体"/>
                <w:color w:val="auto"/>
                <w:szCs w:val="21"/>
                <w:highlight w:val="none"/>
              </w:rPr>
              <w:t>污水井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隔油池须按要求做好清理清掏工作，并</w:t>
            </w:r>
            <w:r>
              <w:rPr>
                <w:rFonts w:hint="eastAsia" w:ascii="宋体" w:hAnsi="宋体" w:eastAsia="宋体" w:cs="Times New Roman"/>
                <w:color w:val="auto"/>
                <w:szCs w:val="21"/>
                <w:highlight w:val="none"/>
              </w:rPr>
              <w:t>记录完整、准确</w:t>
            </w:r>
            <w:r>
              <w:rPr>
                <w:rFonts w:hint="eastAsia" w:ascii="宋体" w:hAnsi="宋体" w:eastAsia="宋体" w:cs="Times New Roman"/>
                <w:color w:val="auto"/>
                <w:szCs w:val="21"/>
                <w:highlight w:val="none"/>
                <w:lang w:eastAsia="zh-CN"/>
              </w:rPr>
              <w:t>。</w:t>
            </w:r>
          </w:p>
        </w:tc>
        <w:tc>
          <w:tcPr>
            <w:tcW w:w="2715"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eastAsia="宋体" w:cs="Times New Roman"/>
                <w:color w:val="auto"/>
                <w:szCs w:val="21"/>
                <w:highlight w:val="none"/>
              </w:rPr>
              <w:t>记录不完整</w:t>
            </w:r>
            <w:r>
              <w:rPr>
                <w:rFonts w:hint="eastAsia" w:ascii="宋体" w:hAnsi="宋体" w:eastAsia="宋体" w:cs="Times New Roman"/>
                <w:color w:val="auto"/>
                <w:szCs w:val="21"/>
                <w:highlight w:val="none"/>
                <w:lang w:val="en-US" w:eastAsia="zh-CN"/>
              </w:rPr>
              <w:t>或未按要求次数进行作业的，每发现一处</w:t>
            </w:r>
            <w:r>
              <w:rPr>
                <w:rFonts w:hint="eastAsia" w:ascii="宋体" w:hAnsi="宋体"/>
                <w:b w:val="0"/>
                <w:bCs/>
                <w:color w:val="auto"/>
                <w:szCs w:val="21"/>
                <w:highlight w:val="none"/>
                <w:vertAlign w:val="baseline"/>
                <w:lang w:val="en-US" w:eastAsia="zh-CN"/>
              </w:rPr>
              <w:t>扣1分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noWrap w:val="0"/>
            <w:vAlign w:val="center"/>
          </w:tcPr>
          <w:p>
            <w:pPr>
              <w:jc w:val="center"/>
              <w:rPr>
                <w:rFonts w:hint="eastAsia" w:ascii="宋体" w:hAnsi="宋体"/>
                <w:b w:val="0"/>
                <w:bCs/>
                <w:color w:val="auto"/>
                <w:szCs w:val="21"/>
                <w:highlight w:val="none"/>
                <w:vertAlign w:val="baseline"/>
                <w:lang w:val="en-US" w:eastAsia="zh-CN"/>
              </w:rPr>
            </w:pPr>
          </w:p>
        </w:tc>
        <w:tc>
          <w:tcPr>
            <w:tcW w:w="853" w:type="dxa"/>
            <w:vMerge w:val="continue"/>
            <w:noWrap w:val="0"/>
            <w:vAlign w:val="center"/>
          </w:tcPr>
          <w:p>
            <w:pPr>
              <w:jc w:val="center"/>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5</w:t>
            </w:r>
          </w:p>
        </w:tc>
        <w:tc>
          <w:tcPr>
            <w:tcW w:w="2652" w:type="dxa"/>
            <w:noWrap w:val="0"/>
            <w:vAlign w:val="center"/>
          </w:tcPr>
          <w:p>
            <w:pPr>
              <w:jc w:val="left"/>
              <w:rPr>
                <w:rFonts w:hint="default" w:ascii="宋体" w:hAnsi="宋体" w:eastAsia="宋体"/>
                <w:b w:val="0"/>
                <w:bCs/>
                <w:color w:val="auto"/>
                <w:szCs w:val="21"/>
                <w:highlight w:val="none"/>
                <w:vertAlign w:val="baseline"/>
                <w:lang w:val="en-US" w:eastAsia="zh-CN"/>
              </w:rPr>
            </w:pPr>
            <w:r>
              <w:rPr>
                <w:rFonts w:hint="eastAsia" w:ascii="宋体" w:hAnsi="宋体" w:eastAsia="宋体" w:cs="Times New Roman"/>
                <w:color w:val="auto"/>
                <w:szCs w:val="21"/>
                <w:highlight w:val="none"/>
              </w:rPr>
              <w:t>日常</w:t>
            </w:r>
            <w:r>
              <w:rPr>
                <w:rFonts w:hint="eastAsia" w:ascii="宋体" w:hAnsi="宋体" w:eastAsia="宋体" w:cs="Times New Roman"/>
                <w:color w:val="auto"/>
                <w:szCs w:val="21"/>
                <w:highlight w:val="none"/>
                <w:lang w:val="en-US" w:eastAsia="zh-CN"/>
              </w:rPr>
              <w:t>滚动作业记录</w:t>
            </w:r>
            <w:r>
              <w:rPr>
                <w:rFonts w:hint="eastAsia" w:ascii="宋体" w:hAnsi="宋体" w:eastAsia="宋体" w:cs="Times New Roman"/>
                <w:color w:val="auto"/>
                <w:szCs w:val="21"/>
                <w:highlight w:val="none"/>
              </w:rPr>
              <w:t>齐全</w:t>
            </w:r>
          </w:p>
        </w:tc>
        <w:tc>
          <w:tcPr>
            <w:tcW w:w="2715" w:type="dxa"/>
            <w:noWrap w:val="0"/>
            <w:vAlign w:val="center"/>
          </w:tcPr>
          <w:p>
            <w:pPr>
              <w:jc w:val="left"/>
              <w:rPr>
                <w:rFonts w:hint="eastAsia" w:ascii="宋体" w:hAnsi="宋体"/>
                <w:b w:val="0"/>
                <w:bCs/>
                <w:color w:val="auto"/>
                <w:szCs w:val="21"/>
                <w:highlight w:val="none"/>
                <w:vertAlign w:val="baseline"/>
                <w:lang w:eastAsia="zh-CN"/>
              </w:rPr>
            </w:pPr>
            <w:r>
              <w:rPr>
                <w:rFonts w:hint="eastAsia" w:ascii="宋体" w:hAnsi="宋体" w:eastAsia="宋体" w:cs="Times New Roman"/>
                <w:color w:val="auto"/>
                <w:szCs w:val="21"/>
                <w:highlight w:val="none"/>
              </w:rPr>
              <w:t>记录齐全的得</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分，基本齐全的得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分，无记录得0分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10" w:type="dxa"/>
            <w:vMerge w:val="restart"/>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18</w:t>
            </w:r>
          </w:p>
        </w:tc>
        <w:tc>
          <w:tcPr>
            <w:tcW w:w="853" w:type="dxa"/>
            <w:vMerge w:val="restart"/>
            <w:noWrap w:val="0"/>
            <w:vAlign w:val="center"/>
          </w:tcPr>
          <w:p>
            <w:pPr>
              <w:jc w:val="center"/>
              <w:rPr>
                <w:rFonts w:hint="eastAsia" w:ascii="宋体" w:hAnsi="宋体" w:eastAsia="宋体"/>
                <w:b w:val="0"/>
                <w:bCs/>
                <w:color w:val="auto"/>
                <w:szCs w:val="21"/>
                <w:highlight w:val="none"/>
                <w:vertAlign w:val="baseline"/>
                <w:lang w:eastAsia="zh-CN"/>
              </w:rPr>
            </w:pPr>
            <w:r>
              <w:rPr>
                <w:rFonts w:hint="eastAsia" w:ascii="宋体" w:hAnsi="宋体"/>
                <w:b w:val="0"/>
                <w:bCs/>
                <w:color w:val="auto"/>
                <w:szCs w:val="21"/>
                <w:highlight w:val="none"/>
                <w:vertAlign w:val="baseline"/>
                <w:lang w:eastAsia="zh-CN"/>
              </w:rPr>
              <w:t>其他</w:t>
            </w: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5</w:t>
            </w:r>
          </w:p>
        </w:tc>
        <w:tc>
          <w:tcPr>
            <w:tcW w:w="5367" w:type="dxa"/>
            <w:gridSpan w:val="2"/>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受到上级领导批评、媒体曝光、群众举报属实、通报批评的每次扣除</w:t>
            </w:r>
            <w:r>
              <w:rPr>
                <w:rFonts w:hint="eastAsia" w:ascii="宋体" w:hAnsi="宋体"/>
                <w:b w:val="0"/>
                <w:bCs/>
                <w:color w:val="auto"/>
                <w:szCs w:val="21"/>
                <w:highlight w:val="none"/>
                <w:vertAlign w:val="baseline"/>
                <w:lang w:val="en-US" w:eastAsia="zh-CN"/>
              </w:rPr>
              <w:t>5分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10" w:type="dxa"/>
            <w:vMerge w:val="continue"/>
            <w:noWrap w:val="0"/>
            <w:vAlign w:val="top"/>
          </w:tcPr>
          <w:p>
            <w:pPr>
              <w:jc w:val="left"/>
              <w:rPr>
                <w:rFonts w:hint="eastAsia" w:ascii="宋体" w:hAnsi="宋体"/>
                <w:b w:val="0"/>
                <w:bCs/>
                <w:color w:val="auto"/>
                <w:szCs w:val="21"/>
                <w:highlight w:val="none"/>
                <w:vertAlign w:val="baseline"/>
                <w:lang w:val="en-US" w:eastAsia="zh-CN"/>
              </w:rPr>
            </w:pPr>
          </w:p>
        </w:tc>
        <w:tc>
          <w:tcPr>
            <w:tcW w:w="853" w:type="dxa"/>
            <w:vMerge w:val="continue"/>
            <w:noWrap w:val="0"/>
            <w:vAlign w:val="top"/>
          </w:tcPr>
          <w:p>
            <w:pPr>
              <w:jc w:val="left"/>
              <w:rPr>
                <w:rFonts w:hint="eastAsia" w:ascii="宋体" w:hAnsi="宋体"/>
                <w:b w:val="0"/>
                <w:bCs/>
                <w:color w:val="auto"/>
                <w:szCs w:val="21"/>
                <w:highlight w:val="none"/>
                <w:vertAlign w:val="baseline"/>
              </w:rPr>
            </w:pPr>
          </w:p>
        </w:tc>
        <w:tc>
          <w:tcPr>
            <w:tcW w:w="704" w:type="dxa"/>
            <w:noWrap w:val="0"/>
            <w:vAlign w:val="center"/>
          </w:tcPr>
          <w:p>
            <w:pPr>
              <w:jc w:val="center"/>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val="en-US" w:eastAsia="zh-CN"/>
              </w:rPr>
              <w:t>6</w:t>
            </w:r>
          </w:p>
        </w:tc>
        <w:tc>
          <w:tcPr>
            <w:tcW w:w="5367" w:type="dxa"/>
            <w:gridSpan w:val="2"/>
            <w:noWrap w:val="0"/>
            <w:vAlign w:val="center"/>
          </w:tcPr>
          <w:p>
            <w:pPr>
              <w:jc w:val="left"/>
              <w:rPr>
                <w:rFonts w:hint="default" w:ascii="宋体" w:hAnsi="宋体"/>
                <w:b w:val="0"/>
                <w:bCs/>
                <w:color w:val="auto"/>
                <w:szCs w:val="21"/>
                <w:highlight w:val="none"/>
                <w:vertAlign w:val="baseline"/>
                <w:lang w:val="en-US" w:eastAsia="zh-CN"/>
              </w:rPr>
            </w:pPr>
            <w:r>
              <w:rPr>
                <w:rFonts w:hint="eastAsia" w:ascii="宋体" w:hAnsi="宋体"/>
                <w:b w:val="0"/>
                <w:bCs/>
                <w:color w:val="auto"/>
                <w:szCs w:val="21"/>
                <w:highlight w:val="none"/>
                <w:vertAlign w:val="baseline"/>
                <w:lang w:eastAsia="zh-CN"/>
              </w:rPr>
              <w:t>采购人日常巡查提出的问题应及时整改，未能及时整改的，每次扣</w:t>
            </w:r>
            <w:r>
              <w:rPr>
                <w:rFonts w:hint="eastAsia" w:ascii="宋体" w:hAnsi="宋体"/>
                <w:b w:val="0"/>
                <w:bCs/>
                <w:color w:val="auto"/>
                <w:szCs w:val="21"/>
                <w:highlight w:val="none"/>
                <w:vertAlign w:val="baseline"/>
                <w:lang w:val="en-US" w:eastAsia="zh-CN"/>
              </w:rPr>
              <w:t>3分</w:t>
            </w:r>
          </w:p>
        </w:tc>
        <w:tc>
          <w:tcPr>
            <w:tcW w:w="750" w:type="dxa"/>
            <w:noWrap w:val="0"/>
            <w:vAlign w:val="top"/>
          </w:tcPr>
          <w:p>
            <w:pPr>
              <w:jc w:val="left"/>
              <w:rPr>
                <w:rFonts w:hint="eastAsia" w:ascii="宋体" w:hAnsi="宋体"/>
                <w:b w:val="0"/>
                <w:bCs/>
                <w:color w:val="auto"/>
                <w:szCs w:val="21"/>
                <w:highlight w:val="none"/>
                <w:vertAlign w:val="baseline"/>
              </w:rPr>
            </w:pPr>
          </w:p>
        </w:tc>
        <w:tc>
          <w:tcPr>
            <w:tcW w:w="810" w:type="dxa"/>
            <w:noWrap w:val="0"/>
            <w:vAlign w:val="top"/>
          </w:tcPr>
          <w:p>
            <w:pPr>
              <w:jc w:val="left"/>
              <w:rPr>
                <w:rFonts w:hint="eastAsia" w:ascii="宋体" w:hAnsi="宋体"/>
                <w:b w:val="0"/>
                <w:bCs/>
                <w:color w:val="auto"/>
                <w:szCs w:val="21"/>
                <w:highlight w:val="none"/>
                <w:vertAlign w:val="baseline"/>
              </w:rPr>
            </w:pPr>
          </w:p>
        </w:tc>
      </w:tr>
    </w:tbl>
    <w:p>
      <w:pPr>
        <w:jc w:val="center"/>
        <w:rPr>
          <w:rFonts w:hint="eastAsia" w:ascii="宋体" w:hAnsi="宋体"/>
          <w:b/>
          <w:color w:val="auto"/>
          <w:szCs w:val="21"/>
          <w:highlight w:val="none"/>
        </w:rPr>
      </w:pPr>
    </w:p>
    <w:p>
      <w:pPr>
        <w:jc w:val="left"/>
        <w:rPr>
          <w:rFonts w:hint="default" w:ascii="宋体" w:hAnsi="宋体" w:eastAsia="宋体"/>
          <w:b/>
          <w:color w:val="auto"/>
          <w:szCs w:val="21"/>
          <w:highlight w:val="none"/>
          <w:lang w:val="en-US" w:eastAsia="zh-CN"/>
        </w:rPr>
      </w:pPr>
      <w:r>
        <w:rPr>
          <w:rFonts w:hint="eastAsia" w:ascii="宋体" w:hAnsi="宋体"/>
          <w:b/>
          <w:color w:val="auto"/>
          <w:szCs w:val="21"/>
          <w:highlight w:val="none"/>
          <w:lang w:eastAsia="zh-CN"/>
        </w:rPr>
        <w:t>注：每月考核总分低于</w:t>
      </w:r>
      <w:r>
        <w:rPr>
          <w:rFonts w:hint="eastAsia" w:ascii="宋体" w:hAnsi="宋体"/>
          <w:b/>
          <w:color w:val="auto"/>
          <w:szCs w:val="21"/>
          <w:highlight w:val="none"/>
          <w:lang w:val="en-US" w:eastAsia="zh-CN"/>
        </w:rPr>
        <w:t>80分的为不合格，每月考核不合格的</w:t>
      </w:r>
      <w:r>
        <w:rPr>
          <w:rFonts w:hint="eastAsia"/>
          <w:b/>
          <w:color w:val="auto"/>
          <w:szCs w:val="21"/>
          <w:highlight w:val="none"/>
          <w:lang w:val="en-US" w:eastAsia="zh-CN"/>
        </w:rPr>
        <w:t>采购人</w:t>
      </w:r>
      <w:r>
        <w:rPr>
          <w:rFonts w:hint="eastAsia" w:ascii="宋体" w:hAnsi="宋体"/>
          <w:b/>
          <w:color w:val="auto"/>
          <w:szCs w:val="21"/>
          <w:highlight w:val="none"/>
          <w:lang w:val="en-US" w:eastAsia="zh-CN"/>
        </w:rPr>
        <w:t>有权扣除当月全额养护经费；每月考核不足90分的，</w:t>
      </w:r>
      <w:r>
        <w:rPr>
          <w:rFonts w:hint="eastAsia"/>
          <w:b/>
          <w:color w:val="auto"/>
          <w:szCs w:val="21"/>
          <w:highlight w:val="none"/>
          <w:lang w:val="en-US" w:eastAsia="zh-CN"/>
        </w:rPr>
        <w:t>采购人</w:t>
      </w:r>
      <w:r>
        <w:rPr>
          <w:rFonts w:hint="eastAsia" w:ascii="宋体" w:hAnsi="宋体"/>
          <w:b/>
          <w:color w:val="auto"/>
          <w:szCs w:val="21"/>
          <w:highlight w:val="none"/>
          <w:lang w:val="en-US" w:eastAsia="zh-CN"/>
        </w:rPr>
        <w:t>有权扣除月养护经费5000元。若中标人在服务期内累计三次考核不合格，则中标人在服务期内累计三次考核不合格，则</w:t>
      </w:r>
      <w:r>
        <w:rPr>
          <w:rFonts w:hint="eastAsia"/>
          <w:b/>
          <w:color w:val="auto"/>
          <w:szCs w:val="21"/>
          <w:highlight w:val="none"/>
          <w:lang w:val="en-US" w:eastAsia="zh-CN"/>
        </w:rPr>
        <w:t>采购人</w:t>
      </w:r>
      <w:r>
        <w:rPr>
          <w:rFonts w:hint="eastAsia" w:ascii="宋体" w:hAnsi="宋体"/>
          <w:b/>
          <w:color w:val="auto"/>
          <w:szCs w:val="21"/>
          <w:highlight w:val="none"/>
          <w:lang w:val="en-US" w:eastAsia="zh-CN"/>
        </w:rPr>
        <w:t>有权终止合同。每月考核两次总分取平均分，提前15分钟通知。</w:t>
      </w:r>
    </w:p>
    <w:p>
      <w:pPr>
        <w:keepNext w:val="0"/>
        <w:keepLines w:val="0"/>
        <w:pageBreakBefore w:val="0"/>
        <w:tabs>
          <w:tab w:val="left" w:pos="0"/>
        </w:tabs>
        <w:kinsoku/>
        <w:wordWrap/>
        <w:overflowPunct/>
        <w:topLinePunct w:val="0"/>
        <w:autoSpaceDE/>
        <w:autoSpaceDN/>
        <w:bidi w:val="0"/>
        <w:spacing w:line="360" w:lineRule="auto"/>
        <w:rPr>
          <w:rFonts w:hint="default" w:cs="Times New Roman"/>
          <w:color w:val="auto"/>
          <w:highlight w:val="none"/>
          <w:lang w:val="en-US"/>
        </w:rPr>
      </w:pPr>
      <w:r>
        <w:rPr>
          <w:rFonts w:hint="eastAsia" w:ascii="宋体" w:hAnsi="宋体"/>
          <w:b/>
          <w:color w:val="auto"/>
          <w:szCs w:val="21"/>
          <w:highlight w:val="none"/>
          <w:lang w:val="en-US" w:eastAsia="zh-CN"/>
        </w:rPr>
        <w:t xml:space="preserve">  </w:t>
      </w:r>
    </w:p>
    <w:p>
      <w:pPr>
        <w:rPr>
          <w:rFonts w:hint="eastAsia" w:cs="Times New Roman"/>
          <w:color w:val="auto"/>
          <w:highlight w:val="none"/>
        </w:rPr>
      </w:pPr>
      <w:r>
        <w:rPr>
          <w:rFonts w:hint="eastAsia" w:cs="Times New Roman"/>
          <w:color w:val="auto"/>
          <w:highlight w:val="none"/>
        </w:rPr>
        <w:br w:type="page"/>
      </w:r>
    </w:p>
    <w:p>
      <w:pPr>
        <w:pStyle w:val="4"/>
        <w:bidi w:val="0"/>
        <w:jc w:val="center"/>
        <w:outlineLvl w:val="0"/>
        <w:rPr>
          <w:rFonts w:hint="eastAsia"/>
          <w:color w:val="auto"/>
          <w:highlight w:val="none"/>
        </w:rPr>
      </w:pPr>
      <w:bookmarkStart w:id="13" w:name="_Toc777"/>
      <w:r>
        <w:rPr>
          <w:rFonts w:hint="eastAsia"/>
          <w:color w:val="auto"/>
          <w:highlight w:val="none"/>
        </w:rPr>
        <w:t>第三章  投标人须知</w:t>
      </w:r>
      <w:bookmarkEnd w:id="11"/>
      <w:bookmarkEnd w:id="12"/>
      <w:bookmarkEnd w:id="13"/>
    </w:p>
    <w:p>
      <w:pPr>
        <w:keepNext w:val="0"/>
        <w:keepLines w:val="0"/>
        <w:pageBreakBefore w:val="0"/>
        <w:widowControl w:val="0"/>
        <w:kinsoku/>
        <w:wordWrap/>
        <w:overflowPunct/>
        <w:topLinePunct w:val="0"/>
        <w:autoSpaceDE/>
        <w:autoSpaceDN/>
        <w:bidi w:val="0"/>
        <w:adjustRightInd/>
        <w:spacing w:line="360" w:lineRule="auto"/>
        <w:jc w:val="center"/>
        <w:textAlignment w:val="auto"/>
        <w:rPr>
          <w:b/>
          <w:color w:val="auto"/>
          <w:sz w:val="24"/>
          <w:highlight w:val="none"/>
        </w:rPr>
      </w:pPr>
      <w:r>
        <w:rPr>
          <w:rFonts w:hint="eastAsia"/>
          <w:b/>
          <w:color w:val="auto"/>
          <w:sz w:val="24"/>
          <w:highlight w:val="none"/>
        </w:rPr>
        <w:t>前附表</w:t>
      </w:r>
    </w:p>
    <w:tbl>
      <w:tblPr>
        <w:tblStyle w:val="49"/>
        <w:tblW w:w="90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7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项目名称：2024年度前江街道雨污管网养护项目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宁波市江北区人民政府前江街道办事处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采购代理机构：宁波华欣建设项目管理有限公司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发布媒体：</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 xml:space="preserve">浙江政府采购网                </w:t>
            </w:r>
            <w:r>
              <w:rPr>
                <w:rFonts w:hint="eastAsia" w:ascii="宋体" w:hAnsi="宋体" w:cs="宋体"/>
                <w:color w:val="auto"/>
                <w:szCs w:val="21"/>
                <w:highlight w:val="none"/>
              </w:rPr>
              <w:t xml:space="preserve">    </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cs="宋体"/>
                <w:color w:val="auto"/>
                <w:szCs w:val="21"/>
                <w:highlight w:val="none"/>
              </w:rPr>
              <w:t>http://zfcg.czt.zj.gov.cn/</w:t>
            </w:r>
            <w:r>
              <w:rPr>
                <w:rFonts w:ascii="宋体" w:hAnsi="宋体" w:cs="宋体"/>
                <w:color w:val="auto"/>
                <w:szCs w:val="21"/>
                <w:highlight w:val="none"/>
              </w:rPr>
              <w:fldChar w:fldCharType="end"/>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kern w:val="0"/>
                <w:szCs w:val="21"/>
                <w:highlight w:val="none"/>
                <w:lang w:val="en"/>
              </w:rPr>
            </w:pPr>
            <w:r>
              <w:rPr>
                <w:rFonts w:ascii="宋体" w:hAnsi="宋体" w:cs="宋体"/>
                <w:color w:val="auto"/>
                <w:kern w:val="0"/>
                <w:szCs w:val="21"/>
                <w:highlight w:val="none"/>
                <w:lang w:val="en"/>
              </w:rPr>
              <w:t>宁波</w:t>
            </w:r>
            <w:r>
              <w:rPr>
                <w:rFonts w:hint="eastAsia" w:ascii="宋体" w:hAnsi="宋体" w:cs="宋体"/>
                <w:color w:val="auto"/>
                <w:kern w:val="0"/>
                <w:szCs w:val="21"/>
                <w:highlight w:val="none"/>
                <w:lang w:val="en"/>
              </w:rPr>
              <w:t xml:space="preserve">政府采购网 </w:t>
            </w:r>
            <w:r>
              <w:rPr>
                <w:rFonts w:ascii="宋体" w:hAnsi="宋体" w:cs="宋体"/>
                <w:color w:val="auto"/>
                <w:kern w:val="0"/>
                <w:szCs w:val="21"/>
                <w:highlight w:val="none"/>
                <w:lang w:val="en"/>
              </w:rPr>
              <w:t xml:space="preserve">                   http://www.nbzfcg.cn/</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kern w:val="0"/>
                <w:szCs w:val="21"/>
                <w:highlight w:val="none"/>
                <w:lang w:val="en"/>
              </w:rPr>
              <w:t>宁波市公共资源交易网（江北分区分网）</w:t>
            </w:r>
            <w:r>
              <w:rPr>
                <w:rFonts w:hint="eastAsia" w:ascii="宋体" w:hAnsi="宋体" w:cs="宋体"/>
                <w:color w:val="auto"/>
                <w:szCs w:val="21"/>
                <w:highlight w:val="none"/>
              </w:rPr>
              <w:t xml:space="preserve">    </w:t>
            </w:r>
            <w:r>
              <w:rPr>
                <w:color w:val="auto"/>
                <w:highlight w:val="none"/>
              </w:rPr>
              <w:fldChar w:fldCharType="begin"/>
            </w:r>
            <w:r>
              <w:rPr>
                <w:color w:val="auto"/>
                <w:highlight w:val="none"/>
              </w:rPr>
              <w:instrText xml:space="preserve"> HYPERLINK "http://jiangbei.nbggzy.cn/" </w:instrText>
            </w:r>
            <w:r>
              <w:rPr>
                <w:color w:val="auto"/>
                <w:highlight w:val="none"/>
              </w:rPr>
              <w:fldChar w:fldCharType="separate"/>
            </w:r>
            <w:r>
              <w:rPr>
                <w:rFonts w:ascii="宋体" w:hAnsi="宋体" w:cs="宋体"/>
                <w:color w:val="auto"/>
                <w:szCs w:val="21"/>
                <w:highlight w:val="none"/>
              </w:rPr>
              <w:t>http://jiangbei.nbggzy.cn/</w:t>
            </w:r>
            <w:r>
              <w:rPr>
                <w:rFonts w:ascii="宋体" w:hAnsi="宋体" w:cs="宋体"/>
                <w:color w:val="auto"/>
                <w:szCs w:val="21"/>
                <w:highlight w:val="none"/>
              </w:rPr>
              <w:fldChar w:fldCharType="end"/>
            </w:r>
          </w:p>
          <w:p>
            <w:pPr>
              <w:keepNext w:val="0"/>
              <w:keepLines w:val="0"/>
              <w:pageBreakBefore w:val="0"/>
              <w:widowControl w:val="0"/>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21"/>
                <w:highlight w:val="none"/>
              </w:rPr>
              <w:t xml:space="preserve">宁波华欣建设项目管理有限公司 </w:t>
            </w:r>
            <w:r>
              <w:rPr>
                <w:rFonts w:ascii="宋体" w:hAnsi="宋体" w:cs="宋体"/>
                <w:color w:val="auto"/>
                <w:szCs w:val="21"/>
                <w:highlight w:val="none"/>
              </w:rPr>
              <w:t xml:space="preserve">     http://www.hxjsxmgl.com/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现场考察（踏勘）或开标前答疑会：不组织。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备选投标方案：不允许。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color w:val="auto"/>
                <w:highlight w:val="none"/>
              </w:rPr>
            </w:pPr>
            <w:r>
              <w:rPr>
                <w:rFonts w:hint="eastAsia"/>
                <w:color w:val="auto"/>
                <w:highlight w:val="none"/>
              </w:rPr>
              <w:t>投标报价及费用：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（1）投标报价应按招标文件中相关附表格式填写。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本项目最高限价</w:t>
            </w:r>
            <w:r>
              <w:rPr>
                <w:rFonts w:hint="eastAsia" w:ascii="Times New Roman" w:hAnsi="Times New Roman" w:eastAsia="宋体" w:cs="Times New Roman"/>
                <w:color w:val="auto"/>
                <w:highlight w:val="none"/>
                <w:lang w:val="en-US" w:eastAsia="zh-CN"/>
              </w:rPr>
              <w:t>详见采购公告</w:t>
            </w:r>
            <w:r>
              <w:rPr>
                <w:rFonts w:hint="eastAsia" w:ascii="Times New Roman" w:hAnsi="Times New Roman" w:eastAsia="宋体" w:cs="Times New Roman"/>
                <w:color w:val="auto"/>
                <w:highlight w:val="none"/>
              </w:rPr>
              <w:t>。投标报价超过最高限价的作无效投标处理</w:t>
            </w:r>
            <w:r>
              <w:rPr>
                <w:rFonts w:hint="eastAsia" w:ascii="Times New Roman" w:hAnsi="Times New Roman" w:eastAsia="宋体"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）投标报价以人民币为结算货币，</w:t>
            </w:r>
            <w:r>
              <w:rPr>
                <w:rFonts w:hint="eastAsia" w:ascii="Times New Roman" w:hAnsi="Times New Roman" w:eastAsia="宋体" w:cs="Times New Roman"/>
                <w:color w:val="auto"/>
                <w:highlight w:val="none"/>
                <w:lang w:val="en-US" w:eastAsia="zh-CN"/>
              </w:rPr>
              <w:t>应包含</w:t>
            </w:r>
            <w:r>
              <w:rPr>
                <w:rFonts w:hint="eastAsia" w:cs="Times New Roman"/>
                <w:color w:val="auto"/>
                <w:highlight w:val="none"/>
                <w:lang w:val="en-US" w:eastAsia="zh-CN"/>
              </w:rPr>
              <w:t>但不限于人员基本工资、各类福利和补贴（如加班补贴、高温补贴、早餐补贴等）、社保（五金）的缴纳，暂住费、各种保险及处理一切伤亡事故等的支付，人员各季节工作服（含帽、衣、裤、鞋、雨衣、雨裤，雨鞋）的配置，人员所使用作业工具等各类耗材费，设施设备管理维护费用，税金、利润</w:t>
            </w:r>
            <w:r>
              <w:rPr>
                <w:rFonts w:hint="eastAsia" w:ascii="Times New Roman" w:hAnsi="Times New Roman" w:eastAsia="宋体" w:cs="Times New Roman"/>
                <w:color w:val="auto"/>
                <w:highlight w:val="none"/>
                <w:lang w:val="en-US" w:eastAsia="zh-CN"/>
              </w:rPr>
              <w:t>等</w:t>
            </w:r>
            <w:r>
              <w:rPr>
                <w:rFonts w:hint="eastAsia" w:cs="Times New Roman"/>
                <w:color w:val="auto"/>
                <w:highlight w:val="none"/>
                <w:lang w:val="en-US" w:eastAsia="zh-CN"/>
              </w:rPr>
              <w:t>完成本项目所需的</w:t>
            </w:r>
            <w:r>
              <w:rPr>
                <w:rFonts w:hint="eastAsia" w:ascii="Times New Roman" w:hAnsi="Times New Roman" w:eastAsia="宋体" w:cs="Times New Roman"/>
                <w:color w:val="auto"/>
                <w:highlight w:val="none"/>
                <w:lang w:val="en-US" w:eastAsia="zh-CN"/>
              </w:rPr>
              <w:t>一切费用</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采购人不再另行支付其他任何形式的费用。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）投标文件只允许有一个报价，有选择的或有条件的报价将不予接受。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color w:val="auto"/>
                <w:highlight w:val="none"/>
              </w:rPr>
              <w:t>（6）本项目投标应以人民币进行报价。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color w:val="auto"/>
                <w:highlight w:val="none"/>
              </w:rPr>
            </w:pPr>
            <w:r>
              <w:rPr>
                <w:rFonts w:hint="eastAsia"/>
                <w:color w:val="auto"/>
                <w:highlight w:val="none"/>
              </w:rPr>
              <w:t>服务地点：采购人指定地点。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color w:val="auto"/>
                <w:highlight w:val="none"/>
                <w:lang w:eastAsia="zh-CN"/>
              </w:rPr>
            </w:pPr>
            <w:r>
              <w:rPr>
                <w:rFonts w:hint="eastAsia" w:ascii="Times New Roman" w:hAnsi="Times New Roman" w:eastAsia="宋体" w:cs="Times New Roman"/>
                <w:color w:val="auto"/>
                <w:highlight w:val="none"/>
              </w:rPr>
              <w:t>服务期限</w:t>
            </w:r>
            <w:r>
              <w:rPr>
                <w:rFonts w:hint="eastAsia" w:ascii="Times New Roman" w:hAnsi="Times New Roman" w:eastAsia="宋体" w:cs="Times New Roman"/>
                <w:color w:val="auto"/>
                <w:highlight w:val="none"/>
                <w:lang w:eastAsia="zh-CN"/>
              </w:rPr>
              <w:t>：</w:t>
            </w:r>
            <w:r>
              <w:rPr>
                <w:rFonts w:hint="eastAsia" w:cs="Times New Roman"/>
                <w:color w:val="auto"/>
                <w:highlight w:val="none"/>
                <w:lang w:val="en-US" w:eastAsia="zh-CN"/>
              </w:rPr>
              <w:t>2年，合同一年一签，第二年根据中标方服务情况、被考核情况和资金安排情况确定是否续订合同，合同期内服务费用不作调整</w:t>
            </w:r>
            <w:r>
              <w:rPr>
                <w:rFonts w:hint="eastAsia" w:ascii="Times New Roman" w:hAnsi="Times New Roman" w:eastAsia="宋体"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779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hint="default" w:eastAsia="宋体"/>
                <w:color w:val="auto"/>
                <w:sz w:val="21"/>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付款方法：详见第二章招标需求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color w:val="auto"/>
                <w:highlight w:val="none"/>
                <w:lang w:val="en-US" w:eastAsia="zh-CN"/>
              </w:rPr>
            </w:pPr>
            <w:r>
              <w:rPr>
                <w:rFonts w:hint="eastAsia"/>
                <w:color w:val="auto"/>
                <w:highlight w:val="none"/>
              </w:rPr>
              <w:t>履约保证金：</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投标有效期：</w:t>
            </w:r>
            <w:r>
              <w:rPr>
                <w:rFonts w:hint="eastAsia" w:ascii="宋体" w:hAnsi="宋体" w:cs="宋体"/>
                <w:color w:val="auto"/>
                <w:szCs w:val="21"/>
                <w:highlight w:val="none"/>
                <w:u w:val="single"/>
              </w:rPr>
              <w:t>90</w:t>
            </w:r>
            <w:r>
              <w:rPr>
                <w:rFonts w:hint="eastAsia" w:ascii="宋体" w:hAnsi="宋体" w:cs="宋体"/>
                <w:color w:val="auto"/>
                <w:szCs w:val="21"/>
                <w:highlight w:val="none"/>
              </w:rPr>
              <w:t>天</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（1）上传到政府采购云平台的电子投标文件（含资格文件、商务技术文件、报价文件）1份。</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（2）以U盘存储的电子备份投标文件（含资格文件、商务技术文件、报价文件）1份（</w:t>
            </w:r>
            <w:r>
              <w:rPr>
                <w:rFonts w:hint="eastAsia" w:ascii="宋体" w:hAnsi="宋体" w:cs="宋体"/>
                <w:b/>
                <w:bCs/>
                <w:color w:val="auto"/>
                <w:szCs w:val="21"/>
                <w:highlight w:val="none"/>
              </w:rPr>
              <w:t>自愿提供，用于异常情况处理</w:t>
            </w:r>
            <w:r>
              <w:rPr>
                <w:rFonts w:hint="eastAsia" w:ascii="宋体" w:hAnsi="宋体" w:cs="宋体"/>
                <w:color w:val="auto"/>
                <w:szCs w:val="21"/>
                <w:highlight w:val="none"/>
              </w:rPr>
              <w:t>）。</w:t>
            </w:r>
          </w:p>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备注：中标人须在中标后3个工作日内提供资格文件、商务技术文件、报价文件正副本各1份，纸质投标文件需与电子投标文件一致。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签订合同时间：中标通知书发出之日起30日内。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rPr>
              <w:t>招标代理机构按照宁波市中介超市网就本项目竞报价格</w:t>
            </w:r>
            <w:r>
              <w:rPr>
                <w:rFonts w:hint="eastAsia" w:ascii="宋体" w:hAnsi="宋体" w:cs="宋体"/>
                <w:b w:val="0"/>
                <w:bCs w:val="0"/>
                <w:color w:val="auto"/>
                <w:szCs w:val="21"/>
                <w:highlight w:val="none"/>
                <w:lang w:val="en-US" w:eastAsia="zh-CN"/>
              </w:rPr>
              <w:t>向中标人收取中标服务费；中标服务费收费标准：</w:t>
            </w:r>
            <w:r>
              <w:rPr>
                <w:rFonts w:hint="eastAsia" w:ascii="宋体" w:hAnsi="宋体" w:eastAsia="宋体" w:cs="宋体"/>
                <w:b w:val="0"/>
                <w:bCs w:val="0"/>
                <w:color w:val="auto"/>
                <w:sz w:val="21"/>
                <w:szCs w:val="21"/>
                <w:highlight w:val="none"/>
                <w:lang w:val="en-US" w:eastAsia="zh-CN"/>
              </w:rPr>
              <w:t>以中</w:t>
            </w:r>
            <w:r>
              <w:rPr>
                <w:rFonts w:hint="eastAsia" w:ascii="宋体" w:hAnsi="宋体" w:eastAsia="宋体" w:cs="宋体"/>
                <w:color w:val="auto"/>
                <w:sz w:val="21"/>
                <w:szCs w:val="21"/>
                <w:highlight w:val="none"/>
                <w:lang w:val="en-US" w:eastAsia="zh-CN"/>
              </w:rPr>
              <w:t>标价</w:t>
            </w:r>
            <w:r>
              <w:rPr>
                <w:rFonts w:hint="eastAsia" w:ascii="宋体" w:hAnsi="宋体" w:cs="宋体"/>
                <w:color w:val="auto"/>
                <w:sz w:val="21"/>
                <w:szCs w:val="21"/>
                <w:highlight w:val="none"/>
                <w:lang w:val="en-US" w:eastAsia="zh-CN"/>
              </w:rPr>
              <w:t>（单年度）</w:t>
            </w:r>
            <w:r>
              <w:rPr>
                <w:rFonts w:hint="eastAsia" w:ascii="宋体" w:hAnsi="宋体" w:eastAsia="宋体" w:cs="宋体"/>
                <w:color w:val="auto"/>
                <w:sz w:val="21"/>
                <w:szCs w:val="21"/>
                <w:highlight w:val="none"/>
                <w:lang w:val="en-US" w:eastAsia="zh-CN"/>
              </w:rPr>
              <w:t>为计价基数，根据《宁波市招标(采购)代理服务收费指导意见》</w:t>
            </w:r>
            <w:r>
              <w:rPr>
                <w:rFonts w:hint="eastAsia" w:ascii="宋体" w:hAnsi="宋体" w:cs="宋体"/>
                <w:b w:val="0"/>
                <w:bCs w:val="0"/>
                <w:color w:val="auto"/>
                <w:szCs w:val="21"/>
                <w:highlight w:val="none"/>
                <w:lang w:val="en-US" w:eastAsia="zh-CN"/>
              </w:rPr>
              <w:t>的服务招标费率下浮30%计取</w:t>
            </w:r>
            <w:r>
              <w:rPr>
                <w:rFonts w:hint="eastAsia" w:ascii="宋体" w:hAnsi="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2.中标人在接到通知时向招标代理公司支付中标服务费，并领取中标通知书。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3.招标代理服务费只收现金、银行票汇款、电汇款。</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4.服务费缴纳：</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账户名称：宁波华欣建设项目管理有限公司</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开户银行：宁波银行股份有限公司慈城支行</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账号：40070122000123279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7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解释：本招标文件的解释权属于招标采购单位。</w:t>
            </w:r>
          </w:p>
        </w:tc>
      </w:tr>
    </w:tbl>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jc w:val="center"/>
        <w:textAlignment w:val="auto"/>
        <w:rPr>
          <w:rFonts w:hint="eastAsia" w:ascii="宋体" w:hAnsi="宋体" w:eastAsia="宋体" w:cs="宋体"/>
          <w:b/>
          <w:color w:val="auto"/>
          <w:sz w:val="30"/>
          <w:szCs w:val="30"/>
          <w:highlight w:val="none"/>
        </w:rPr>
      </w:pPr>
      <w:r>
        <w:rPr>
          <w:rFonts w:hAnsi="宋体"/>
          <w:b/>
          <w:color w:val="auto"/>
          <w:sz w:val="30"/>
          <w:szCs w:val="30"/>
          <w:highlight w:val="none"/>
        </w:rPr>
        <w:br w:type="page"/>
      </w:r>
      <w:r>
        <w:rPr>
          <w:rFonts w:hint="eastAsia" w:ascii="宋体" w:hAnsi="宋体" w:eastAsia="宋体" w:cs="宋体"/>
          <w:b/>
          <w:color w:val="auto"/>
          <w:sz w:val="28"/>
          <w:szCs w:val="30"/>
          <w:highlight w:val="none"/>
        </w:rPr>
        <w:t>投标人须知正文</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14" w:name="_Toc505353781"/>
      <w:bookmarkStart w:id="15" w:name="_Toc425780268"/>
      <w:bookmarkStart w:id="16" w:name="_Toc430790205"/>
      <w:bookmarkStart w:id="17" w:name="_Toc496003202"/>
      <w:bookmarkStart w:id="18" w:name="_Toc429407684"/>
      <w:bookmarkStart w:id="19" w:name="_Toc467683125"/>
      <w:bookmarkStart w:id="20" w:name="_Toc498429630"/>
      <w:bookmarkStart w:id="21" w:name="_Toc425151724"/>
      <w:r>
        <w:rPr>
          <w:rFonts w:hint="eastAsia" w:ascii="宋体" w:hAnsi="宋体" w:eastAsia="宋体" w:cs="宋体"/>
          <w:b/>
          <w:color w:val="auto"/>
          <w:sz w:val="21"/>
          <w:szCs w:val="21"/>
          <w:highlight w:val="none"/>
        </w:rPr>
        <w:t>一、说明</w:t>
      </w:r>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22" w:name="_Toc425780269"/>
      <w:bookmarkStart w:id="23" w:name="_Toc425151725"/>
      <w:bookmarkStart w:id="24" w:name="_Toc162252738"/>
      <w:bookmarkStart w:id="25" w:name="_Toc430790206"/>
      <w:bookmarkStart w:id="26" w:name="_Toc429407685"/>
      <w:r>
        <w:rPr>
          <w:rFonts w:hint="eastAsia" w:ascii="宋体" w:hAnsi="宋体" w:eastAsia="宋体" w:cs="宋体"/>
          <w:color w:val="auto"/>
          <w:sz w:val="21"/>
          <w:szCs w:val="21"/>
          <w:highlight w:val="none"/>
        </w:rPr>
        <w:t>1、项目概况</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的项目（载明在《投标人须知》中）已经政府采购行政管理部门批准。采购人委托宁波华欣建设项目管理有限公司代理本次招标采购工作。有关采购人、采购代理机构的名称、联系人、电话等信息载明在《投标人须知》中。</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1.2经批准的本次采购方式载明在《投标人须知》中。</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27" w:name="_Toc425780270"/>
      <w:bookmarkStart w:id="28" w:name="_Toc496003203"/>
      <w:bookmarkStart w:id="29" w:name="_Toc429407686"/>
      <w:bookmarkStart w:id="30" w:name="_Toc505353782"/>
      <w:bookmarkStart w:id="31" w:name="_Toc430790207"/>
      <w:bookmarkStart w:id="32" w:name="_Toc498429631"/>
      <w:bookmarkStart w:id="33" w:name="_Toc467683126"/>
      <w:bookmarkStart w:id="34" w:name="_Toc425151726"/>
      <w:r>
        <w:rPr>
          <w:rFonts w:hint="eastAsia" w:ascii="宋体" w:hAnsi="宋体" w:eastAsia="宋体" w:cs="宋体"/>
          <w:b/>
          <w:color w:val="auto"/>
          <w:sz w:val="21"/>
          <w:szCs w:val="21"/>
          <w:highlight w:val="none"/>
        </w:rPr>
        <w:t>二、投标人</w:t>
      </w:r>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35" w:name="_Toc425151727"/>
      <w:bookmarkStart w:id="36" w:name="_Toc429407687"/>
      <w:bookmarkStart w:id="37" w:name="_Toc430790208"/>
      <w:bookmarkStart w:id="38" w:name="_Toc425780271"/>
      <w:r>
        <w:rPr>
          <w:rFonts w:hint="eastAsia" w:ascii="宋体" w:hAnsi="宋体" w:eastAsia="宋体" w:cs="宋体"/>
          <w:color w:val="auto"/>
          <w:sz w:val="21"/>
          <w:szCs w:val="21"/>
          <w:highlight w:val="none"/>
        </w:rPr>
        <w:t>2、合格的投标人</w:t>
      </w:r>
      <w:bookmarkEnd w:id="35"/>
      <w:bookmarkEnd w:id="36"/>
      <w:bookmarkEnd w:id="37"/>
      <w:bookmarkEnd w:id="38"/>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2.1投标人应该是符合第一章公开招标采购公告中《投标人须知》的报名条件，符合、承认并承诺履行本采购文件各项要求的具有独立法人资格的中国境内企业或组织。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pacing w:val="-4"/>
          <w:sz w:val="21"/>
          <w:szCs w:val="21"/>
          <w:highlight w:val="none"/>
        </w:rPr>
        <w:t>参加本次投标活动的投标人应具备以下条件，并遵守国家有关的法律、法令和条例的规定：</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bookmarkStart w:id="39" w:name="_Toc430790209"/>
      <w:bookmarkStart w:id="40" w:name="_Toc425780272"/>
      <w:bookmarkStart w:id="41" w:name="_Toc429407688"/>
      <w:bookmarkStart w:id="42" w:name="_Toc425151728"/>
      <w:r>
        <w:rPr>
          <w:rFonts w:hint="eastAsia" w:ascii="宋体" w:hAnsi="宋体" w:eastAsia="宋体" w:cs="宋体"/>
          <w:color w:val="auto"/>
          <w:sz w:val="21"/>
          <w:szCs w:val="21"/>
          <w:highlight w:val="none"/>
        </w:rPr>
        <w:t>（1）具有良好的商业信誉和健全的财务会计制度；</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（2）具有履行合同要求提供服务所必须的设备、人员和专业技术能力；</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（3）有依法缴纳税收和社会保障资金的良好纪录；</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（4）参加本次投标活动之前三年内经营活动无重大违法纪录；</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（5）满足采购人为获得满意服务供应而提出的其他要求。（见采购文件中资格要求，如有，须符合）</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（6）单位负责人为同一人或者存在直接控股、管理关系的不同供应商，不得参加同一合同项下的政府采购活动；</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（7）除单一来源采购项目外，为采购项目提供整体设计、规范编制或者项目管理、监理、检测等服务的供应商，不得再参加该采购项目的其他采购活动。</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（8）满足落实政府采购政策需满足的资格要求。（如有，须符合）</w:t>
      </w:r>
    </w:p>
    <w:p>
      <w:pPr>
        <w:pStyle w:val="2"/>
        <w:keepNext w:val="0"/>
        <w:keepLines w:val="0"/>
        <w:pageBreakBefore w:val="0"/>
        <w:widowControl w:val="0"/>
        <w:kinsoku/>
        <w:wordWrap/>
        <w:overflowPunct/>
        <w:topLinePunct w:val="0"/>
        <w:autoSpaceDE/>
        <w:autoSpaceDN/>
        <w:bidi w:val="0"/>
        <w:adjustRightInd/>
        <w:spacing w:after="0"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（9）满足本项目的特定资格条件。（如有，须符合）</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3、投标人代表</w:t>
      </w:r>
      <w:bookmarkEnd w:id="39"/>
      <w:bookmarkEnd w:id="40"/>
      <w:bookmarkEnd w:id="41"/>
      <w:bookmarkEnd w:id="42"/>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bookmarkStart w:id="43" w:name="_Toc430790210"/>
      <w:bookmarkStart w:id="44" w:name="_Toc425151729"/>
      <w:bookmarkStart w:id="45" w:name="_Toc429407689"/>
      <w:bookmarkStart w:id="46" w:name="_Toc425780273"/>
      <w:r>
        <w:rPr>
          <w:rFonts w:hint="eastAsia" w:ascii="宋体" w:hAnsi="宋体" w:eastAsia="宋体" w:cs="宋体"/>
          <w:color w:val="auto"/>
          <w:sz w:val="21"/>
          <w:szCs w:val="21"/>
          <w:highlight w:val="none"/>
        </w:rPr>
        <w:t>若投标人为具有独立法人资格的中国境内企业或组织必须为该企业或组织的人员，若投标人为自然人必须为中国合法公民。</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4、投标费用</w:t>
      </w:r>
      <w:bookmarkEnd w:id="43"/>
      <w:bookmarkEnd w:id="44"/>
      <w:bookmarkEnd w:id="45"/>
      <w:bookmarkEnd w:id="46"/>
    </w:p>
    <w:p>
      <w:pPr>
        <w:keepNext w:val="0"/>
        <w:keepLines w:val="0"/>
        <w:pageBreakBefore w:val="0"/>
        <w:widowControl w:val="0"/>
        <w:kinsoku/>
        <w:wordWrap/>
        <w:overflowPunct/>
        <w:topLinePunct w:val="0"/>
        <w:autoSpaceDE/>
        <w:autoSpaceDN/>
        <w:bidi w:val="0"/>
        <w:adjustRightInd/>
        <w:spacing w:line="360" w:lineRule="auto"/>
        <w:ind w:righ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不论招标的结果如何，投标人自行承担其参加本次投标有关的全部费用。</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5、特别说明（针对货物采购）：不适用。</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47" w:name="_Toc505353783"/>
      <w:bookmarkStart w:id="48" w:name="_Toc498429632"/>
      <w:bookmarkStart w:id="49" w:name="_Toc496003204"/>
      <w:r>
        <w:rPr>
          <w:rFonts w:hint="eastAsia" w:ascii="宋体" w:hAnsi="宋体" w:eastAsia="宋体" w:cs="宋体"/>
          <w:b/>
          <w:color w:val="auto"/>
          <w:sz w:val="21"/>
          <w:szCs w:val="21"/>
          <w:highlight w:val="none"/>
        </w:rPr>
        <w:t>三、采购文件</w:t>
      </w:r>
      <w:bookmarkEnd w:id="47"/>
      <w:bookmarkEnd w:id="48"/>
      <w:bookmarkEnd w:id="49"/>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50" w:name="_Toc429407691"/>
      <w:bookmarkStart w:id="51" w:name="_Toc425780275"/>
      <w:bookmarkStart w:id="52" w:name="_Toc430790212"/>
      <w:bookmarkStart w:id="53" w:name="_Toc425151731"/>
      <w:r>
        <w:rPr>
          <w:rFonts w:hint="eastAsia" w:ascii="宋体" w:hAnsi="宋体" w:eastAsia="宋体" w:cs="宋体"/>
          <w:color w:val="auto"/>
          <w:sz w:val="21"/>
          <w:szCs w:val="21"/>
          <w:highlight w:val="none"/>
        </w:rPr>
        <w:t>6、采购文件的构成</w:t>
      </w:r>
      <w:bookmarkEnd w:id="50"/>
      <w:bookmarkEnd w:id="51"/>
      <w:bookmarkEnd w:id="52"/>
      <w:bookmarkEnd w:id="53"/>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采购文件含有以下部分，文本条款装订成册。内容如下：</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公开招标采购公告</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招标需求</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投标人须知</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评标办法及评分标准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合同主要条款</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投标文件格式</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投标人应详细阅读采购文件的全部内容和要求，不按采购文件的要求递交投标文件和资料导致的风险由投标人承担。</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7、质疑与投诉</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投标人认为采购文件、采购过程和中标、成交结果使自己的权益受到损害的，可以在知道或者应知其权益受到损害之日起七个工作日内，以书面形式或者通过政采云平台在线向采购人和采购代理机构提出质疑</w:t>
      </w:r>
      <w:r>
        <w:rPr>
          <w:rFonts w:hint="eastAsia" w:ascii="宋体" w:hAnsi="宋体" w:eastAsia="宋体" w:cs="宋体"/>
          <w:b/>
          <w:color w:val="auto"/>
          <w:sz w:val="21"/>
          <w:szCs w:val="21"/>
          <w:highlight w:val="none"/>
        </w:rPr>
        <w:t>（注：投标人须在法定质疑期内一次性提出针对同一采购程序环节的质疑）</w:t>
      </w:r>
      <w:r>
        <w:rPr>
          <w:rFonts w:hint="eastAsia" w:ascii="宋体" w:hAnsi="宋体" w:eastAsia="宋体" w:cs="宋体"/>
          <w:color w:val="auto"/>
          <w:sz w:val="21"/>
          <w:szCs w:val="21"/>
          <w:highlight w:val="none"/>
        </w:rPr>
        <w:t>。潜在投标人的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采购代理机构发送的答疑文件是采购文件的组成部分，对投标人具有约束力。</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bookmarkStart w:id="54" w:name="_Hlk49407732"/>
      <w:r>
        <w:rPr>
          <w:rFonts w:hint="eastAsia" w:ascii="宋体" w:hAnsi="宋体" w:eastAsia="宋体" w:cs="宋体"/>
          <w:color w:val="auto"/>
          <w:sz w:val="21"/>
          <w:szCs w:val="21"/>
          <w:highlight w:val="none"/>
        </w:rPr>
        <w:t>7.4 未尽事宜，见《政府采购质疑和投诉办法》（中华人民共和国财政部令第94号）。</w:t>
      </w:r>
    </w:p>
    <w:bookmarkEnd w:id="54"/>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8、采购文件的澄清与修改</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bookmarkStart w:id="55" w:name="_Toc445193545"/>
      <w:bookmarkStart w:id="56" w:name="_Toc456853670"/>
      <w:bookmarkStart w:id="57" w:name="_Toc496003205"/>
      <w:r>
        <w:rPr>
          <w:rFonts w:hint="eastAsia" w:ascii="宋体" w:hAnsi="宋体" w:eastAsia="宋体" w:cs="宋体"/>
          <w:color w:val="auto"/>
          <w:sz w:val="21"/>
          <w:szCs w:val="21"/>
          <w:highlight w:val="none"/>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8.2采购代理机构必须以书面形式答复投标人要求澄清的问题，并将不包含问题来源的答复书面通知所有获取采购文件的投标人；除书面答复以外的其他澄清方式及澄清内容均无效。</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8.3采购文件澄清、答复、修改、补充的内容为采购文件的组成部分。当采购文件与采购文件的答复、澄清、修改、补充通知就同一内容的表述不一致时，以最后发出的书面文件为准。</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8.4采购文件的澄清、答复、修改或补充都应该通过本代理机构以法定形式发布，采购人非通过本机构，不得擅自澄清、答复、修改或补充采购文件。</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9、关于分公司投标</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除银行、保险、石油石化、电力、电信、移动、联通等特殊行业外。法人的分支机构由于不能独立承担民事责任，不能以分支机构的身份参加政府采购，只能法人身份参加。 </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10、关于知识产权</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10.2投标报价应包含所有应向所有权人支付的专利权、商标权或其它知识产权的一切相关费用。</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10.3系统软件、通用软件必须是具有在中国境内的合法使用权或版权的正版软件，涉及到第三方提出侵权或知识产权的起诉及支付版税等费用由供应商承担所有责任及费用。</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58" w:name="_Toc505353784"/>
      <w:bookmarkStart w:id="59" w:name="_Toc498429633"/>
      <w:r>
        <w:rPr>
          <w:rFonts w:hint="eastAsia" w:ascii="宋体" w:hAnsi="宋体" w:eastAsia="宋体" w:cs="宋体"/>
          <w:b/>
          <w:color w:val="auto"/>
          <w:sz w:val="21"/>
          <w:szCs w:val="21"/>
          <w:highlight w:val="none"/>
        </w:rPr>
        <w:t>四、投标文件</w:t>
      </w:r>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rPr>
      </w:pPr>
      <w:bookmarkStart w:id="60" w:name="_Toc336528584"/>
      <w:r>
        <w:rPr>
          <w:rFonts w:hint="eastAsia" w:ascii="宋体" w:hAnsi="宋体" w:eastAsia="宋体" w:cs="宋体"/>
          <w:color w:val="auto"/>
          <w:sz w:val="21"/>
          <w:szCs w:val="21"/>
          <w:highlight w:val="none"/>
        </w:rPr>
        <w:t>11、投标文件的组成</w:t>
      </w:r>
      <w:bookmarkEnd w:id="60"/>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11.1投标文件分为资格文件、商务技术文件、报价文件三部分；</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b/>
          <w:color w:val="auto"/>
          <w:sz w:val="21"/>
          <w:szCs w:val="21"/>
          <w:highlight w:val="none"/>
        </w:rPr>
      </w:pPr>
      <w:bookmarkStart w:id="61" w:name="_Toc430790217"/>
      <w:bookmarkStart w:id="62" w:name="_Toc425151736"/>
      <w:bookmarkStart w:id="63" w:name="_Toc425780280"/>
      <w:bookmarkStart w:id="64" w:name="_Toc429407696"/>
      <w:bookmarkStart w:id="65" w:name="_Toc336528601"/>
      <w:r>
        <w:rPr>
          <w:rFonts w:hint="eastAsia" w:ascii="宋体" w:hAnsi="宋体" w:eastAsia="宋体" w:cs="宋体"/>
          <w:b/>
          <w:color w:val="auto"/>
          <w:sz w:val="21"/>
          <w:szCs w:val="21"/>
          <w:highlight w:val="none"/>
        </w:rPr>
        <w:t>资格文件格式（包括但不限于以下内容）：</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rPr>
      </w:pPr>
      <w:bookmarkStart w:id="66" w:name="_Hlk49407807"/>
      <w:r>
        <w:rPr>
          <w:rFonts w:hint="eastAsia" w:ascii="宋体" w:hAnsi="宋体" w:eastAsia="宋体" w:cs="宋体"/>
          <w:color w:val="auto"/>
          <w:sz w:val="21"/>
          <w:szCs w:val="21"/>
          <w:highlight w:val="none"/>
        </w:rPr>
        <w:t>（1）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复印件盖单位公章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tabs>
          <w:tab w:val="left" w:pos="1418"/>
        </w:tabs>
        <w:kinsoku/>
        <w:wordWrap/>
        <w:overflowPunct/>
        <w:topLinePunct w:val="0"/>
        <w:autoSpaceDE/>
        <w:autoSpaceDN/>
        <w:bidi w:val="0"/>
        <w:adjustRightInd/>
        <w:spacing w:line="360" w:lineRule="auto"/>
        <w:ind w:right="0"/>
        <w:contextualSpacing/>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）符合参加政府采购活动应当具备的一般条件的承诺函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格式见第六章</w:t>
      </w:r>
      <w:r>
        <w:rPr>
          <w:rFonts w:hint="eastAsia" w:ascii="宋体" w:hAnsi="宋体"/>
          <w:color w:val="auto"/>
          <w:szCs w:val="21"/>
          <w:highlight w:val="none"/>
          <w:lang w:eastAsia="zh-CN"/>
        </w:rPr>
        <w:t>）</w:t>
      </w:r>
      <w:r>
        <w:rPr>
          <w:rFonts w:hint="eastAsia" w:ascii="宋体" w:hAnsi="宋体"/>
          <w:color w:val="auto"/>
          <w:szCs w:val="21"/>
          <w:highlight w:val="none"/>
        </w:rPr>
        <w:t>；</w:t>
      </w:r>
    </w:p>
    <w:p>
      <w:pPr>
        <w:tabs>
          <w:tab w:val="left" w:pos="1418"/>
        </w:tabs>
        <w:spacing w:line="360" w:lineRule="auto"/>
        <w:contextualSpacing/>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中小企业声明函；</w:t>
      </w:r>
      <w:r>
        <w:rPr>
          <w:rFonts w:hint="eastAsia" w:ascii="宋体" w:hAnsi="宋体"/>
          <w:color w:val="auto"/>
          <w:szCs w:val="21"/>
          <w:highlight w:val="none"/>
          <w:lang w:val="en-US" w:eastAsia="zh-CN"/>
        </w:rPr>
        <w:t>（格式见第六章）</w:t>
      </w:r>
    </w:p>
    <w:p>
      <w:pPr>
        <w:spacing w:line="360" w:lineRule="auto"/>
        <w:jc w:val="lef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olor w:val="auto"/>
          <w:szCs w:val="21"/>
          <w:highlight w:val="none"/>
        </w:rPr>
        <w:t>残疾人福利性单位声明函；</w:t>
      </w:r>
      <w:r>
        <w:rPr>
          <w:rFonts w:hint="eastAsia" w:ascii="宋体" w:hAnsi="宋体"/>
          <w:color w:val="auto"/>
          <w:szCs w:val="21"/>
          <w:highlight w:val="none"/>
          <w:lang w:val="en-US" w:eastAsia="zh-CN"/>
        </w:rPr>
        <w:t>（格式见第六章）</w:t>
      </w:r>
    </w:p>
    <w:p>
      <w:pPr>
        <w:spacing w:line="360" w:lineRule="auto"/>
        <w:jc w:val="lef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olor w:val="auto"/>
          <w:szCs w:val="21"/>
          <w:highlight w:val="none"/>
        </w:rPr>
        <w:t>由省级以上监狱管理局、戒毒管理局（含新疆生产建设兵团）出具的属于监狱企业的证明文件；（如有请提供）</w:t>
      </w:r>
    </w:p>
    <w:p>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）供应商认为需要的其他资料（如有需提供）。</w:t>
      </w:r>
    </w:p>
    <w:p>
      <w:pPr>
        <w:keepNext w:val="0"/>
        <w:keepLines w:val="0"/>
        <w:pageBreakBefore w:val="0"/>
        <w:widowControl w:val="0"/>
        <w:tabs>
          <w:tab w:val="left" w:pos="1418"/>
        </w:tabs>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注：采购人或采购代理机</w:t>
      </w:r>
      <w:r>
        <w:rPr>
          <w:rFonts w:hint="eastAsia" w:ascii="宋体" w:hAnsi="宋体"/>
          <w:color w:val="auto"/>
          <w:szCs w:val="21"/>
          <w:highlight w:val="none"/>
        </w:rPr>
        <w:t>落实政府采购政策需满足的资格要求：本项目属于专门面向中小企业采购的项目（服务全部由符合政策要求的中、小、微企业承接，提供中小企业声明函），供应商应为符合《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 xml:space="preserve">46 </w:t>
      </w:r>
      <w:r>
        <w:rPr>
          <w:rFonts w:hint="eastAsia" w:ascii="宋体" w:hAnsi="宋体"/>
          <w:color w:val="auto"/>
          <w:szCs w:val="21"/>
          <w:highlight w:val="none"/>
        </w:rPr>
        <w:t>号）规定的中小企业（其中，小微企业包括视同为小型、微型企业的监狱企业、残疾人福利性单位）</w:t>
      </w:r>
      <w:r>
        <w:rPr>
          <w:rFonts w:hint="eastAsia" w:ascii="宋体" w:hAnsi="宋体"/>
          <w:color w:val="auto"/>
          <w:szCs w:val="21"/>
          <w:highlight w:val="none"/>
          <w:lang w:eastAsia="zh-CN"/>
        </w:rPr>
        <w:t>。</w:t>
      </w:r>
      <w:r>
        <w:rPr>
          <w:rFonts w:hint="eastAsia" w:ascii="宋体" w:hAnsi="宋体" w:eastAsia="宋体" w:cs="宋体"/>
          <w:color w:val="auto"/>
          <w:spacing w:val="-2"/>
          <w:sz w:val="21"/>
          <w:szCs w:val="21"/>
          <w:highlight w:val="none"/>
        </w:rPr>
        <w:t>在资格审查时，通过“信用中国”网站(www.creditchina.gov.cn)、中国政府采购网(www.ccgp.gov.cn) 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商务技术文件格式（包括但不限于以下内容）：</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(1)符合性自查表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(2)投标书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(3)法定代表人身份证明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(4)法定代表人授权书（投标文件由授权代表签字的须提供）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投标人基本情况表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(6)技术条款响应表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(7)商务条款响应表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(8)本项目组人员配备情况表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(9)拟投入设备情况表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(10)评分索引表（格式自拟）</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(11)第四章“评标办法及评分标准”中“附表3商务和技术评分表”要求提供的资料（如有需提供）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zh-CN" w:eastAsia="zh-CN"/>
        </w:rPr>
        <w:t>政府采购供应商廉洁自律承诺书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(13)投标人认为需要提供的其他相关资料；（如有需提供）；</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报价文件格式（包含但不限于以下内容）</w:t>
      </w:r>
    </w:p>
    <w:bookmarkEnd w:id="66"/>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(1)开标一览表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(2)政府采购统计基础信息表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)供应商自觉抵制政府采购领域商业贿赂行为承诺书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)供应商认为需要提供的其他资料；（如有需提供）</w:t>
      </w:r>
    </w:p>
    <w:p>
      <w:pPr>
        <w:pStyle w:val="2"/>
        <w:keepNext w:val="0"/>
        <w:keepLines w:val="0"/>
        <w:pageBreakBefore w:val="0"/>
        <w:widowControl w:val="0"/>
        <w:kinsoku/>
        <w:wordWrap/>
        <w:overflowPunct/>
        <w:topLinePunct w:val="0"/>
        <w:autoSpaceDE/>
        <w:autoSpaceDN/>
        <w:bidi w:val="0"/>
        <w:adjustRightInd/>
        <w:spacing w:after="0" w:line="360" w:lineRule="auto"/>
        <w:ind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以上格式详见招标文件第六章 投标文件格式</w:t>
      </w:r>
    </w:p>
    <w:p>
      <w:pPr>
        <w:keepNext w:val="0"/>
        <w:keepLines w:val="0"/>
        <w:pageBreakBefore w:val="0"/>
        <w:widowControl w:val="0"/>
        <w:tabs>
          <w:tab w:val="left" w:pos="1418"/>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11.2本次招标对投标文件组成要求，表述在《投标人须知》中。</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12、投标报价</w:t>
      </w:r>
      <w:bookmarkEnd w:id="61"/>
      <w:bookmarkEnd w:id="62"/>
      <w:bookmarkEnd w:id="63"/>
      <w:bookmarkEnd w:id="64"/>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12.1投标人应全面充分了解本招标项目的全部内容及要求以及服务现场的基本条件，按照《投标人须知》规定与要求报价，并包含服务过程中可能涉及的所有费用。</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12.2所有投标报价必须以人民币报价，不接受外币报价。</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投标报价每项只有一个，而且一经开标，投标价不得变更。如果出现有两个及以上的报价又未声明以哪一报价方案为主，则投标将被拒绝。投标声明应载明在“开标一览表”中，供开标时唱出。未经唱出的投标声明在评标时不作考虑。</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12.4投标报价在合同执行过程中是固定不变的，投标人不得以任何理由予以变更。任何包含价格调整要求的投标，将被认为是非实质性响应的投标而导致投标无效。</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67" w:name="_Toc425780281"/>
      <w:bookmarkStart w:id="68" w:name="_Toc430790218"/>
      <w:bookmarkStart w:id="69" w:name="_Toc429407697"/>
      <w:bookmarkStart w:id="70" w:name="_Toc425151737"/>
      <w:r>
        <w:rPr>
          <w:rFonts w:hint="eastAsia" w:ascii="宋体" w:hAnsi="宋体" w:eastAsia="宋体" w:cs="宋体"/>
          <w:color w:val="auto"/>
          <w:sz w:val="21"/>
          <w:szCs w:val="21"/>
          <w:highlight w:val="none"/>
        </w:rPr>
        <w:t>13、投标文件编写</w:t>
      </w:r>
      <w:bookmarkEnd w:id="67"/>
      <w:bookmarkEnd w:id="68"/>
      <w:bookmarkEnd w:id="69"/>
      <w:bookmarkEnd w:id="70"/>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13.1投标文件应表述准确、完整、详细，并按统一格式填写。开标一览表系开标仪式上唱标的内容，应按格式完整填写。投标文件因表达不清楚所引起的后果由投标人负责。</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13.2投标语言：中文。除签名、盖章、专用名称等特殊情形外，以中文汉语以外的文字表述的投标文件视同未提供。</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13.3投标文件中所使用的计量单位，除非本采购文件“招标内容及要求”有特殊要求，应采用国家法定计量单位。</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71" w:name="_Toc430790219"/>
      <w:bookmarkStart w:id="72" w:name="_Toc425780282"/>
      <w:bookmarkStart w:id="73" w:name="_Toc425151738"/>
      <w:bookmarkStart w:id="74" w:name="_Toc429407698"/>
      <w:r>
        <w:rPr>
          <w:rFonts w:hint="eastAsia" w:ascii="宋体" w:hAnsi="宋体" w:eastAsia="宋体" w:cs="宋体"/>
          <w:color w:val="auto"/>
          <w:sz w:val="21"/>
          <w:szCs w:val="21"/>
          <w:highlight w:val="none"/>
        </w:rPr>
        <w:t>14、投标文件的有效期</w:t>
      </w:r>
      <w:bookmarkEnd w:id="71"/>
      <w:bookmarkEnd w:id="72"/>
      <w:bookmarkEnd w:id="73"/>
      <w:bookmarkEnd w:id="74"/>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14.1投标文件应在《投标人须知》规定的投标有效期内保持有效。有效期短于规定期限的，将导致投标无效而被拒绝。</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14.2在特殊情况下，在原投标有效期截止之前，应采购人的要求，采购代理机构可要求投标人延长投标文件的有效期，这种要求的提出和投标人的答复都应以书面（含传真）的形式进行。</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14.3中标人的投标文件自开标之日起至合同履行完毕止均应保持有效。</w:t>
      </w:r>
      <w:bookmarkStart w:id="75" w:name="_Toc430790221"/>
      <w:bookmarkStart w:id="76" w:name="_Toc425780284"/>
      <w:bookmarkStart w:id="77" w:name="_Toc425151740"/>
      <w:bookmarkStart w:id="78" w:name="_Toc445193546"/>
      <w:bookmarkStart w:id="79" w:name="_Toc505353785"/>
      <w:bookmarkStart w:id="80" w:name="_Toc498429634"/>
      <w:bookmarkStart w:id="81" w:name="_Toc429407700"/>
      <w:bookmarkStart w:id="82" w:name="_Toc456853671"/>
      <w:bookmarkStart w:id="83" w:name="_Toc496003206"/>
      <w:bookmarkStart w:id="84" w:name="_Toc425780285"/>
      <w:bookmarkStart w:id="85" w:name="_Toc425151741"/>
      <w:bookmarkStart w:id="86" w:name="_Toc429407701"/>
      <w:bookmarkStart w:id="87" w:name="_Toc430790222"/>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五、投标文件的递交</w:t>
      </w:r>
      <w:bookmarkEnd w:id="75"/>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15、投标文件的签署及装订</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15.1对本采购文件相关部分提供的各种文件、表格、格式，投标人应按采购文件要求填写、签署和加盖公章。</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15.2投标文件必须按采购文件规定的格式加盖公章、法定代表人签字（或盖章或电子章）、投标代表人签字（或盖章或电子章）。</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15.3投标文件应按各组成部分内容进行整理、编排、立目、索引、注明页码，以有利阅读评审。</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15.4投标文件的组成与份数</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bookmarkStart w:id="88" w:name="_Toc429407702"/>
      <w:bookmarkStart w:id="89" w:name="_Toc425151742"/>
      <w:bookmarkStart w:id="90" w:name="_Toc425780286"/>
      <w:bookmarkStart w:id="91" w:name="_Toc430790223"/>
      <w:r>
        <w:rPr>
          <w:rFonts w:hint="eastAsia" w:ascii="宋体" w:hAnsi="宋体" w:eastAsia="宋体" w:cs="宋体"/>
          <w:color w:val="auto"/>
          <w:sz w:val="21"/>
          <w:szCs w:val="21"/>
          <w:highlight w:val="none"/>
        </w:rPr>
        <w:t>本项目实行网上投标，供应商应准备以下投标文件：</w:t>
      </w:r>
    </w:p>
    <w:p>
      <w:pPr>
        <w:keepNext w:val="0"/>
        <w:keepLines w:val="0"/>
        <w:pageBreakBefore w:val="0"/>
        <w:widowControl w:val="0"/>
        <w:kinsoku/>
        <w:wordWrap/>
        <w:overflowPunct/>
        <w:topLinePunct w:val="0"/>
        <w:autoSpaceDE/>
        <w:autoSpaceDN/>
        <w:bidi w:val="0"/>
        <w:adjustRightInd/>
        <w:spacing w:line="360" w:lineRule="auto"/>
        <w:ind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（1）上传到政府采购云平台的电子投标文件（含资格文件、商务技术文件、报价文件）1份。</w:t>
      </w:r>
    </w:p>
    <w:p>
      <w:pPr>
        <w:keepNext w:val="0"/>
        <w:keepLines w:val="0"/>
        <w:pageBreakBefore w:val="0"/>
        <w:widowControl w:val="0"/>
        <w:kinsoku/>
        <w:wordWrap/>
        <w:overflowPunct/>
        <w:topLinePunct w:val="0"/>
        <w:autoSpaceDE/>
        <w:autoSpaceDN/>
        <w:bidi w:val="0"/>
        <w:adjustRightInd/>
        <w:spacing w:line="360" w:lineRule="auto"/>
        <w:ind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（2）以U盘存储的电子备份投标文件（含资格文件、商务技术文件、报价文件）1份（自愿提供，用于异常情况处理）。</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备注：中标人须在中标后3个工作日内提供资格文件、商务技术文件、报价文件正副本各1份，纸质投标文件需与电子投标文件一致。</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15.5电子投标文件应根据政府采购云平台的要求及本采购文件规定的格式和顺序编制电子投标文件并进行关联定位。</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15.6电子备份投标文件应保证同上传至政府采购云平台的电子投标文件内容相一致。</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15.7纸质版投标文件</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（1）投标文件应按采购文件要求由资格文件、商务技术文件和报价文件三部分组成。三部分分别编制并单独装订成册。投标文件的封面应注明“正本”、“副本”字样。</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（2）投标文件的正本必须打印，在封面加盖公章并注明“正本”字样。副本可以提交正本的复印件，在封面加盖公章并注明“副本”字样。若正本与副本不符，以正本为准。</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（3）投标文件一般不得涂改和增删，如发现有错漏必需修改，在涂改或增删之处必须有投标人法定代表人或授权代表的签字或盖章。否则，评标委员会将不接受该修改。</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（4）投标文件因字迹潦草或表达不清楚所引起的后果由投标人负责。</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16、投标文件的密封、标记和递送</w:t>
      </w:r>
      <w:bookmarkEnd w:id="88"/>
      <w:bookmarkEnd w:id="89"/>
      <w:bookmarkEnd w:id="90"/>
      <w:bookmarkEnd w:id="91"/>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16.1以U盘存储的电子备份投标文件用分带密封后递交。</w:t>
      </w:r>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16.2</w:t>
      </w:r>
      <w:r>
        <w:rPr>
          <w:rFonts w:hint="eastAsia" w:ascii="宋体" w:hAnsi="宋体" w:eastAsia="宋体" w:cs="宋体"/>
          <w:color w:val="auto"/>
          <w:kern w:val="0"/>
          <w:sz w:val="21"/>
          <w:szCs w:val="21"/>
          <w:highlight w:val="none"/>
        </w:rPr>
        <w:t>纸质备份投标文件</w:t>
      </w:r>
      <w:r>
        <w:rPr>
          <w:rFonts w:hint="eastAsia" w:ascii="宋体" w:hAnsi="宋体" w:eastAsia="宋体" w:cs="宋体"/>
          <w:bCs/>
          <w:color w:val="auto"/>
          <w:sz w:val="21"/>
          <w:szCs w:val="21"/>
          <w:highlight w:val="none"/>
        </w:rPr>
        <w:t>，要求分别按</w:t>
      </w:r>
      <w:r>
        <w:rPr>
          <w:rFonts w:hint="eastAsia" w:ascii="宋体" w:hAnsi="宋体" w:eastAsia="宋体" w:cs="宋体"/>
          <w:color w:val="auto"/>
          <w:sz w:val="21"/>
          <w:szCs w:val="21"/>
          <w:highlight w:val="none"/>
        </w:rPr>
        <w:t>资格文件（正本、副本）、商务技术文件（正本、副本）和报价文件（正本、副本）三部分</w:t>
      </w:r>
      <w:r>
        <w:rPr>
          <w:rFonts w:hint="eastAsia" w:ascii="宋体" w:hAnsi="宋体" w:eastAsia="宋体" w:cs="宋体"/>
          <w:bCs/>
          <w:color w:val="auto"/>
          <w:sz w:val="21"/>
          <w:szCs w:val="21"/>
          <w:highlight w:val="none"/>
        </w:rPr>
        <w:t>分开包</w:t>
      </w:r>
      <w:r>
        <w:rPr>
          <w:rFonts w:hint="eastAsia" w:ascii="宋体" w:hAnsi="宋体" w:eastAsia="宋体" w:cs="宋体"/>
          <w:color w:val="auto"/>
          <w:kern w:val="0"/>
          <w:sz w:val="21"/>
          <w:szCs w:val="21"/>
          <w:highlight w:val="none"/>
        </w:rPr>
        <w:t>装。</w:t>
      </w:r>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16.3投标文件的包装封面上应注明投标人名称、投标人地址、投标文件名称(电子备份投标文件/资格文件/商务技术文件/报价文件)、投标项目名称、项目编号，并加盖投标人公章。</w:t>
      </w:r>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16.4未按规定密封或标记的投标文件将被拒绝，由此造成投标文件被误投或提前拆封的风险由供应商承担。</w:t>
      </w:r>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16.5供应商在投标截止时间之前，可以对已提交的</w:t>
      </w:r>
      <w:r>
        <w:rPr>
          <w:rFonts w:hint="eastAsia" w:ascii="宋体" w:hAnsi="宋体" w:eastAsia="宋体" w:cs="宋体"/>
          <w:color w:val="auto"/>
          <w:kern w:val="0"/>
          <w:sz w:val="21"/>
          <w:szCs w:val="21"/>
          <w:highlight w:val="none"/>
        </w:rPr>
        <w:t>电子备份投标文件和纸质备份投标文件</w:t>
      </w:r>
      <w:r>
        <w:rPr>
          <w:rFonts w:hint="eastAsia" w:ascii="宋体" w:hAnsi="宋体" w:eastAsia="宋体" w:cs="宋体"/>
          <w:color w:val="auto"/>
          <w:sz w:val="21"/>
          <w:szCs w:val="21"/>
          <w:highlight w:val="none"/>
        </w:rPr>
        <w:t>进行修改或撤回，并书面通知招标采购单位；投标截止时间后，供应商不得撤回、修改投标文件。修改后重新递交的</w:t>
      </w:r>
      <w:r>
        <w:rPr>
          <w:rFonts w:hint="eastAsia" w:ascii="宋体" w:hAnsi="宋体" w:eastAsia="宋体" w:cs="宋体"/>
          <w:color w:val="auto"/>
          <w:kern w:val="0"/>
          <w:sz w:val="21"/>
          <w:szCs w:val="21"/>
          <w:highlight w:val="none"/>
        </w:rPr>
        <w:t>电子备份投标文件和纸质备份投标文件</w:t>
      </w:r>
      <w:r>
        <w:rPr>
          <w:rFonts w:hint="eastAsia" w:ascii="宋体" w:hAnsi="宋体" w:eastAsia="宋体" w:cs="宋体"/>
          <w:color w:val="auto"/>
          <w:sz w:val="21"/>
          <w:szCs w:val="21"/>
          <w:highlight w:val="none"/>
        </w:rPr>
        <w:t>应当按本采购文件的要求签署、盖章和密封。</w:t>
      </w:r>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color w:val="auto"/>
          <w:sz w:val="21"/>
          <w:szCs w:val="21"/>
          <w:highlight w:val="none"/>
        </w:rPr>
      </w:pPr>
      <w:bookmarkStart w:id="92" w:name="_Toc425780287"/>
      <w:bookmarkStart w:id="93" w:name="_Toc430790224"/>
      <w:bookmarkStart w:id="94" w:name="_Toc425151743"/>
      <w:bookmarkStart w:id="95" w:name="_Toc429407703"/>
      <w:r>
        <w:rPr>
          <w:rFonts w:hint="eastAsia" w:ascii="宋体" w:hAnsi="宋体" w:eastAsia="宋体" w:cs="宋体"/>
          <w:color w:val="auto"/>
          <w:sz w:val="21"/>
          <w:szCs w:val="21"/>
          <w:highlight w:val="none"/>
        </w:rPr>
        <w:t>17、</w:t>
      </w:r>
      <w:bookmarkEnd w:id="92"/>
      <w:bookmarkEnd w:id="93"/>
      <w:bookmarkEnd w:id="94"/>
      <w:bookmarkEnd w:id="95"/>
      <w:r>
        <w:rPr>
          <w:rFonts w:hint="eastAsia" w:ascii="宋体" w:hAnsi="宋体" w:eastAsia="宋体" w:cs="宋体"/>
          <w:color w:val="auto"/>
          <w:sz w:val="21"/>
          <w:szCs w:val="21"/>
          <w:highlight w:val="none"/>
        </w:rPr>
        <w:t>投标文件的效力：</w:t>
      </w:r>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投标文件的启用，按先后顺位分别为电子投标文件、以U盘存储的电子备份投标文件。在下一顺位的投标文件启用时，前一顺位的投标文件自动失效。</w:t>
      </w:r>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color w:val="auto"/>
          <w:sz w:val="21"/>
          <w:szCs w:val="21"/>
          <w:highlight w:val="none"/>
        </w:rPr>
      </w:pPr>
      <w:bookmarkStart w:id="96" w:name="_Toc425151744"/>
      <w:bookmarkStart w:id="97" w:name="_Toc425780288"/>
      <w:bookmarkStart w:id="98" w:name="_Toc429407704"/>
      <w:bookmarkStart w:id="99" w:name="_Toc430790225"/>
      <w:r>
        <w:rPr>
          <w:rFonts w:hint="eastAsia" w:ascii="宋体" w:hAnsi="宋体" w:eastAsia="宋体" w:cs="宋体"/>
          <w:color w:val="auto"/>
          <w:sz w:val="21"/>
          <w:szCs w:val="21"/>
          <w:highlight w:val="none"/>
        </w:rPr>
        <w:t>18、投标文件的修改和撤回</w:t>
      </w:r>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val="0"/>
        <w:spacing w:line="360" w:lineRule="auto"/>
        <w:ind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18.1投标文件递交以后，在投标截止时间之前，投标人可以要求修改或撤回已上传的电子档投标文件。</w:t>
      </w:r>
    </w:p>
    <w:p>
      <w:pPr>
        <w:keepNext w:val="0"/>
        <w:keepLines w:val="0"/>
        <w:pageBreakBefore w:val="0"/>
        <w:widowControl w:val="0"/>
        <w:tabs>
          <w:tab w:val="left" w:pos="709"/>
        </w:tabs>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18.2在投标截止时间之后，投标人不得对其投标文件进行修改。</w:t>
      </w:r>
    </w:p>
    <w:bookmarkEnd w:id="84"/>
    <w:bookmarkEnd w:id="85"/>
    <w:bookmarkEnd w:id="86"/>
    <w:bookmarkEnd w:id="87"/>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100" w:name="_Toc445193547"/>
      <w:bookmarkStart w:id="101" w:name="_Toc505353786"/>
      <w:bookmarkStart w:id="102" w:name="_Toc430790226"/>
      <w:bookmarkStart w:id="103" w:name="_Toc425151745"/>
      <w:bookmarkStart w:id="104" w:name="_Toc496003207"/>
      <w:bookmarkStart w:id="105" w:name="_Toc498429635"/>
      <w:bookmarkStart w:id="106" w:name="_Toc456853672"/>
      <w:bookmarkStart w:id="107" w:name="_Toc429407705"/>
      <w:bookmarkStart w:id="108" w:name="_Toc425780289"/>
      <w:r>
        <w:rPr>
          <w:rFonts w:hint="eastAsia" w:ascii="宋体" w:hAnsi="宋体" w:eastAsia="宋体" w:cs="宋体"/>
          <w:b/>
          <w:color w:val="auto"/>
          <w:sz w:val="21"/>
          <w:szCs w:val="21"/>
          <w:highlight w:val="none"/>
        </w:rPr>
        <w:t>六、开标</w:t>
      </w:r>
      <w:bookmarkEnd w:id="100"/>
      <w:bookmarkEnd w:id="101"/>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rPr>
      </w:pPr>
      <w:bookmarkStart w:id="109" w:name="_Toc456853673"/>
      <w:bookmarkStart w:id="110" w:name="_Toc498429636"/>
      <w:bookmarkStart w:id="111" w:name="_Toc425151747"/>
      <w:bookmarkStart w:id="112" w:name="_Toc505353787"/>
      <w:bookmarkStart w:id="113" w:name="_Toc429407707"/>
      <w:bookmarkStart w:id="114" w:name="_Toc430790228"/>
      <w:bookmarkStart w:id="115" w:name="_Toc496003208"/>
      <w:bookmarkStart w:id="116" w:name="_Toc445193548"/>
      <w:bookmarkStart w:id="117" w:name="_Toc425780291"/>
      <w:r>
        <w:rPr>
          <w:rFonts w:hint="eastAsia" w:ascii="宋体" w:hAnsi="宋体" w:eastAsia="宋体" w:cs="宋体"/>
          <w:color w:val="auto"/>
          <w:sz w:val="21"/>
          <w:szCs w:val="21"/>
          <w:highlight w:val="none"/>
        </w:rPr>
        <w:t>19、开标准备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采购代理机构将组织各投标人法定代表人或其授权代表分别登记、签到，无关人员不得进入现场。投标人的法定代表人或其授权代表应确保手机畅通并及时关注加入的政采云项目情况。投标人未参加开标的，视同认可开标结果。</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19.2采购代理机构接收投标文件并登记，各投标人法定代表人或其授权代表对投标文件的递交记录情况进行签字确认。</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keepNext w:val="0"/>
        <w:keepLines w:val="0"/>
        <w:pageBreakBefore w:val="0"/>
        <w:widowControl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20、开标程序：</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20.1电子招投标开标程序：</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（1）投标截止时间后，供应商登录政府采购云平台，用“项目采购-开标评标”功能对电子投标文件进行在线解密，在线解密电子投标文件时间为开标时间后30分钟内。</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政府采购云平台开启已解密投标人的“资格文件、商务技术文件”，待评标委员会资格审查、技术商务评审结束并公布资格审查、技术商务评分结果后，再开启已解密投标人的“报价文件”并做开标记录；</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（3）在政府采购云平台公布评审结果。</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（4）开标会议结束。</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20.2线下开标程序：</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20.3开标程序：分两阶段开标。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第一阶段开标：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（2）介绍开标现场的人员情况；</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（3）宣读递交投标文件的供应商名单、开标纪律、应当回避的情形等注意事项；</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（4）供应商签署不存在影响公平竞争的《政府采购活动现场确认声明书》；</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（5）供应商代表查验投标文件密封情况；确认无误后按照供应商提交投标文件的先后顺序，先拆封“资格文件、商务技术文件”，宣读供应商名称、投标文件份数等内容，并做开标记录；</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（6）第一阶段开标记录签字确认；</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（7）告知供应商第二阶段开标的有关事宜；</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（8）第一阶段开标结束。</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第二阶段开标：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（1）宣告资格文件、商务技术文件评审无效供应商名单及理由，供应商代表收回未拆封的报价文件并签字确认；</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（2）公布经资格文件、商务技术文件评审符合招标文件要求的供应商名单及其商务和技术得分情况；</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代表查验“报价文件”密封情况，确认无误后按第一阶段开标顺序拆封除无效标外的供应商的“报价文件”，宣读投标文件正本中“开标一览表”内容，以及采购人认为必要的其他内容与记录，并做开标记录；</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（4）第二阶段开标记录签字确认；</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休会，评标委员会对“报价文件”进行评审；</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（5）主持人宣布复会，公布中标候选人名单及采购人最终确定中标供应商名单的时间和公告方式等；</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（6）第二阶段开标结束。</w:t>
      </w:r>
    </w:p>
    <w:p>
      <w:pPr>
        <w:keepNext w:val="0"/>
        <w:keepLines w:val="0"/>
        <w:pageBreakBefore w:val="0"/>
        <w:widowControl w:val="0"/>
        <w:kinsoku/>
        <w:wordWrap/>
        <w:overflowPunct/>
        <w:topLinePunct w:val="0"/>
        <w:autoSpaceDE/>
        <w:autoSpaceDN/>
        <w:bidi w:val="0"/>
        <w:adjustRightInd/>
        <w:spacing w:line="360" w:lineRule="auto"/>
        <w:ind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投标截止时间止，有效供应商不足3家的，不得开标，本次采购活动终止。</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七、评标和定标</w:t>
      </w:r>
      <w:bookmarkEnd w:id="109"/>
      <w:bookmarkEnd w:id="110"/>
      <w:bookmarkEnd w:id="111"/>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118" w:name="_Toc430790229"/>
      <w:bookmarkStart w:id="119" w:name="_Toc425151748"/>
      <w:bookmarkStart w:id="120" w:name="_Toc425780292"/>
      <w:bookmarkStart w:id="121" w:name="_Toc429407708"/>
      <w:r>
        <w:rPr>
          <w:rFonts w:hint="eastAsia" w:ascii="宋体" w:hAnsi="宋体" w:eastAsia="宋体" w:cs="宋体"/>
          <w:color w:val="auto"/>
          <w:sz w:val="21"/>
          <w:szCs w:val="21"/>
          <w:highlight w:val="none"/>
        </w:rPr>
        <w:t>21、评标委员会</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受采购人的委托，采购代理机构根据有关的法律法规组建评标委员会，评标委员会负责评标工作。评标委员会由采购人代表和评审专家组成，如采购人代表不参加，则全部由评审专家组成。评审专家将在开标日之前在管理部门的评标专家库中随机抽取。评标委员会成员名单在招标结果确定之前依法保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21.2评标委员会将遵循公平、公正、科学择优的原则和规定的程序进行评标，并且只依据投标文件本身对招标文件的响应情况进行评审。</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21.3评标委员会将核对投标价格和服务内容，对发现的价格计算错误按下述原则处理：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（2）投标文件的大写金额和小写金额不一致的，以大写金额为准；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pacing w:val="-4"/>
          <w:sz w:val="21"/>
          <w:szCs w:val="21"/>
          <w:highlight w:val="none"/>
        </w:rPr>
        <w:t>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同时出现两种以上不一致的，按照前款规定的顺序修正。修正后的报价经投标人确认后产生约束力，投标人不确认的，其投标无效。</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21.4评标委员会根据采购文件中所列的具体标准，对投标文件进行评审和比较。</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21.5在评审过程中若发现投标文件的正本与副本不一致，则以正本为准。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21.6评审小组成员个人主观打分偏离所有评审小组成员主观打分平均值30%以上的，由评审委员会启动评分畸高、畸低行为认定程序，限制专家自由裁量权。</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22、澄清问题的形式</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表人或其授权的代表签字，书面澄清、说明或者补正将作为投标内容的一部分。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23、评标办法</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23.1本项目采用综合评分法。本次招标采用的评标方法具体说明载明在采购文件“评标办法”部分中。</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23.2综合评分法：</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投标文件满足采购文件全部实质性要求，且按照评审因素的量化指标评审得分最高的投标人为中标候选人的评标方法。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24、评标程序和原则</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24.1评标程序：遵循初步审查、澄清有关问题、比较与评价、推荐中标候选人的程序依次进行。</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24.2初步审查：包含资格性审查和符合性审查。初步审查不合格者投标无效。</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（1）资格性审查：</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依据法律法规和采购文件的规定，采购人或采购代理机构对各投标人的投标资格合格性、资格文件完整性和有效性等方面进行审查，以确定投标人是否具备投标资格。</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（2）符合性检查：</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依据采购文件的规定，评标委员会从投标文件的有效性、完整性和对采购文件的响应程度进行审查，以确定是否对采购文件的要求作出实质性响应。</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24.3澄清有关问题：按第22条规定进行。</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24.4比较与评价：</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24.4.1技术商务评价：按照采购文件的要求和《评标标准》对照投标文件的响应进行技术商务评价，评定其偏差程度，并计算其相应的技术商务评分分值。</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24.4.2综合评价：对经过技术商务评价的投标，按《评标标准》规定的评价办法进行综合评价，并按以下原则进行评审计算：</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综合评分法的最终得分计算：综合得分=报价得分+商务和技术得分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综合评价结束，按照上述第23条规定，列出进入最终评审各投标人排序次序。</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24.5推荐中标候选人：按25条规定推荐中标候选人。</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25、推荐中标候选人</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评标委员会根据各有效投标人的综合得分由高到低排定顺序，推荐本项目的中标候选人。</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26、招标方式转换</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公开招标数额标准以上的招标项目，投标截止后投标人不足3家或者通过资格审查或符合性审查的投标人不足3家的，除招标任务取消情形外，按照以下方式处理： </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26.1采购文件存在不合理条款或者招标程序不符合规定的，采购人、采购代理机构改正后依法重新招标; </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26.2采购文件没有不合理条款、招标程序符合规定，需要采用其他招标方式招标的，采购人依法报监管部门批准。 </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27、评标过程的监控与保密</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27.2开标后到中标通知书发出之前，所有涉及评标委员会名单以及对投标文件的澄清、评价、比较等情况，评标委员会成员、采购人和采购代理机构的有关人员均不得向投标人或其他无关人员透露。</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28、确定中标人、评标结果公示与质疑</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28.1采购代理机构在评标结束后2个工作日内将评标报告交采购人确认，采购人在收到评标报告之日起5个工作日内在评标报告确定的中标候选人中按顺序确定中标人。</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28.2代理机构自中标人确定之日起2个工作日内，在发布招标公告的网站上对中标结果进行公示，中标结果公告期限为1个工作日。</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118"/>
    <w:bookmarkEnd w:id="119"/>
    <w:bookmarkEnd w:id="120"/>
    <w:bookmarkEnd w:id="121"/>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122" w:name="_Toc422996819"/>
      <w:bookmarkEnd w:id="122"/>
      <w:bookmarkStart w:id="123" w:name="_Toc422996818"/>
      <w:bookmarkEnd w:id="123"/>
      <w:bookmarkStart w:id="124" w:name="_Toc422996749"/>
      <w:bookmarkEnd w:id="124"/>
      <w:bookmarkStart w:id="125" w:name="_Toc422996750"/>
      <w:bookmarkEnd w:id="125"/>
      <w:bookmarkStart w:id="126" w:name="_Toc429407716"/>
      <w:bookmarkStart w:id="127" w:name="_Toc496003209"/>
      <w:bookmarkStart w:id="128" w:name="_Toc430790237"/>
      <w:bookmarkStart w:id="129" w:name="_Toc498429637"/>
      <w:bookmarkStart w:id="130" w:name="_Toc505353788"/>
      <w:bookmarkStart w:id="131" w:name="_Toc445193549"/>
      <w:bookmarkStart w:id="132" w:name="_Toc425780300"/>
      <w:bookmarkStart w:id="133" w:name="_Toc456853674"/>
      <w:bookmarkStart w:id="134" w:name="_Toc425151756"/>
      <w:r>
        <w:rPr>
          <w:rFonts w:hint="eastAsia" w:ascii="宋体" w:hAnsi="宋体" w:eastAsia="宋体" w:cs="宋体"/>
          <w:b/>
          <w:color w:val="auto"/>
          <w:sz w:val="21"/>
          <w:szCs w:val="21"/>
          <w:highlight w:val="none"/>
        </w:rPr>
        <w:t>八、无效投标认定</w:t>
      </w:r>
      <w:bookmarkEnd w:id="126"/>
      <w:bookmarkEnd w:id="127"/>
      <w:bookmarkEnd w:id="128"/>
      <w:bookmarkEnd w:id="129"/>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135" w:name="_Toc429407717"/>
      <w:bookmarkStart w:id="136" w:name="_Toc425780301"/>
      <w:bookmarkStart w:id="137" w:name="_Toc430790238"/>
      <w:bookmarkStart w:id="138" w:name="_Toc425151757"/>
      <w:r>
        <w:rPr>
          <w:rFonts w:hint="eastAsia" w:ascii="宋体" w:hAnsi="宋体" w:eastAsia="宋体" w:cs="宋体"/>
          <w:color w:val="auto"/>
          <w:sz w:val="21"/>
          <w:szCs w:val="21"/>
          <w:highlight w:val="none"/>
        </w:rPr>
        <w:t>29、实质上没有响应采购文件要求的投标将被视为无效投标。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29.1在资格审查时，不具备采购文件中规定的资格要求的，或者资格文件不全的，投标文件将被视为无效。</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29.2在符合性审查时，如发现下列情形之一的，投标文件将被视为无效：</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（1）投标文件未按采购文件要求签署、签章的；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（2）投标有效期不满足采购文件要求的；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（3）明显不符合采购文件要求的，或者与采购文件中标注“▲”的条款发生实质性偏离的；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（4）投标文件中含有采购人不能接受的附加条件的；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（5）投标声明书无法定代表人签名，或委托人未提供法定代表人授权委托书、填写项目不齐全的；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（6）投标文件格式不规范、提供资料不齐全或者内容虚假的；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（7）投标文件的实质性内容未使用中文表述、表述不明确、前后矛盾或者使用计量单位不符合采购文件要求的（经评标委员会认定并允许其当场更正的笔误除外）；</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（8）投标文件的关键内容字迹模糊、无法辨认的，或者投标文件中经修正的内容字迹模糊难以辨认或者修改处未按规定签署、盖章的；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（9）法律、法规和采购文件规定的其他无效情形。</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29.3在技术商务评审时，如发现下列情形之一的，投标文件将被视为无效：</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（1）未提供或未如实提供投标货物的技术参数，或者投标文件标明的响应或偏离与事实不符或虚假投标的；</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（2）明显不符合采购文件要求的规格型号、质量标准，或者与采购文件中标“▲”的技术指标、主要功能项目发生实质性偏离的；</w:t>
      </w:r>
    </w:p>
    <w:p>
      <w:pPr>
        <w:pStyle w:val="19"/>
        <w:keepNext w:val="0"/>
        <w:keepLines w:val="0"/>
        <w:pageBreakBefore w:val="0"/>
        <w:widowControl w:val="0"/>
        <w:kinsoku/>
        <w:wordWrap/>
        <w:overflowPunct/>
        <w:topLinePunct w:val="0"/>
        <w:autoSpaceDE/>
        <w:autoSpaceDN/>
        <w:bidi w:val="0"/>
        <w:adjustRightInd/>
        <w:spacing w:line="360" w:lineRule="auto"/>
        <w:ind w:right="0" w:firstLine="404"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29.4在报价评审时，如发现下列情形之一的，投标文件将被视为无效：</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报价超过采购文件中规定的预算金额或者最高限价的</w:t>
      </w:r>
      <w:r>
        <w:rPr>
          <w:rFonts w:hint="eastAsia" w:ascii="宋体" w:hAnsi="宋体" w:eastAsia="宋体" w:cs="宋体"/>
          <w:color w:val="auto"/>
          <w:sz w:val="21"/>
          <w:szCs w:val="21"/>
          <w:highlight w:val="none"/>
        </w:rPr>
        <w:t>；</w:t>
      </w:r>
    </w:p>
    <w:p>
      <w:pPr>
        <w:pStyle w:val="19"/>
        <w:keepNext w:val="0"/>
        <w:keepLines w:val="0"/>
        <w:pageBreakBefore w:val="0"/>
        <w:widowControl w:val="0"/>
        <w:kinsoku/>
        <w:wordWrap/>
        <w:overflowPunct/>
        <w:topLinePunct w:val="0"/>
        <w:autoSpaceDE/>
        <w:autoSpaceDN/>
        <w:bidi w:val="0"/>
        <w:adjustRightInd/>
        <w:spacing w:line="360" w:lineRule="auto"/>
        <w:ind w:right="0" w:firstLine="395" w:firstLineChars="196"/>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未采用采购文件要求的报价形式报价的</w:t>
      </w:r>
      <w:r>
        <w:rPr>
          <w:rFonts w:hint="eastAsia" w:ascii="宋体" w:hAnsi="宋体" w:eastAsia="宋体" w:cs="宋体"/>
          <w:color w:val="auto"/>
          <w:sz w:val="21"/>
          <w:szCs w:val="21"/>
          <w:highlight w:val="none"/>
        </w:rPr>
        <w:t>；</w:t>
      </w:r>
    </w:p>
    <w:p>
      <w:pPr>
        <w:pStyle w:val="19"/>
        <w:keepNext w:val="0"/>
        <w:keepLines w:val="0"/>
        <w:pageBreakBefore w:val="0"/>
        <w:widowControl w:val="0"/>
        <w:kinsoku/>
        <w:wordWrap/>
        <w:overflowPunct/>
        <w:topLinePunct w:val="0"/>
        <w:autoSpaceDE/>
        <w:autoSpaceDN/>
        <w:bidi w:val="0"/>
        <w:adjustRightInd/>
        <w:spacing w:line="360" w:lineRule="auto"/>
        <w:ind w:right="0" w:firstLine="404"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（3）投标报价具有选择性的；</w:t>
      </w:r>
    </w:p>
    <w:p>
      <w:pPr>
        <w:pStyle w:val="19"/>
        <w:keepNext w:val="0"/>
        <w:keepLines w:val="0"/>
        <w:pageBreakBefore w:val="0"/>
        <w:widowControl w:val="0"/>
        <w:kinsoku/>
        <w:wordWrap/>
        <w:overflowPunct/>
        <w:topLinePunct w:val="0"/>
        <w:autoSpaceDE/>
        <w:autoSpaceDN/>
        <w:bidi w:val="0"/>
        <w:adjustRightInd/>
        <w:spacing w:line="360" w:lineRule="auto"/>
        <w:ind w:right="0" w:firstLine="404"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（4）投标报价中出现重大缺项、漏项的；</w:t>
      </w:r>
    </w:p>
    <w:p>
      <w:pPr>
        <w:pStyle w:val="19"/>
        <w:keepNext w:val="0"/>
        <w:keepLines w:val="0"/>
        <w:pageBreakBefore w:val="0"/>
        <w:widowControl w:val="0"/>
        <w:kinsoku/>
        <w:wordWrap/>
        <w:overflowPunct/>
        <w:topLinePunct w:val="0"/>
        <w:autoSpaceDE/>
        <w:autoSpaceDN/>
        <w:bidi w:val="0"/>
        <w:adjustRightInd/>
        <w:spacing w:line="360" w:lineRule="auto"/>
        <w:ind w:right="0" w:firstLine="404"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采购文件规定的其他无效情形。</w:t>
      </w:r>
    </w:p>
    <w:p>
      <w:pPr>
        <w:pStyle w:val="19"/>
        <w:keepNext w:val="0"/>
        <w:keepLines w:val="0"/>
        <w:pageBreakBefore w:val="0"/>
        <w:widowControl w:val="0"/>
        <w:kinsoku/>
        <w:wordWrap/>
        <w:overflowPunct/>
        <w:topLinePunct w:val="0"/>
        <w:autoSpaceDE/>
        <w:autoSpaceDN/>
        <w:bidi w:val="0"/>
        <w:adjustRightInd/>
        <w:spacing w:line="360" w:lineRule="auto"/>
        <w:ind w:right="0" w:firstLine="404"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29.5不同投标人的投标文件出自同一终端设备或在相同Internet主机分配地址（相同IP地址）网上报名投标的。</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29.6被拒绝的投标文件为无效。</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29.7有行贿犯罪记录的投标人将被视为无效或取消中标资格。</w:t>
      </w:r>
    </w:p>
    <w:bookmarkEnd w:id="135"/>
    <w:bookmarkEnd w:id="136"/>
    <w:bookmarkEnd w:id="137"/>
    <w:bookmarkEnd w:id="138"/>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139" w:name="_Toc456853675"/>
      <w:bookmarkStart w:id="140" w:name="_Toc498429638"/>
      <w:bookmarkStart w:id="141" w:name="_Toc425780302"/>
      <w:bookmarkStart w:id="142" w:name="_Toc496003210"/>
      <w:bookmarkStart w:id="143" w:name="_Toc430790239"/>
      <w:bookmarkStart w:id="144" w:name="_Toc445193550"/>
      <w:bookmarkStart w:id="145" w:name="_Toc429407718"/>
      <w:bookmarkStart w:id="146" w:name="_Toc505353789"/>
      <w:bookmarkStart w:id="147" w:name="_Toc425151758"/>
      <w:r>
        <w:rPr>
          <w:rFonts w:hint="eastAsia" w:ascii="宋体" w:hAnsi="宋体" w:eastAsia="宋体" w:cs="宋体"/>
          <w:b/>
          <w:color w:val="auto"/>
          <w:sz w:val="21"/>
          <w:szCs w:val="21"/>
          <w:highlight w:val="none"/>
        </w:rPr>
        <w:t>九、授予合同</w:t>
      </w:r>
      <w:bookmarkEnd w:id="139"/>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148" w:name="_Toc425151759"/>
      <w:bookmarkStart w:id="149" w:name="_Toc425780303"/>
      <w:bookmarkStart w:id="150" w:name="_Toc429407719"/>
      <w:bookmarkStart w:id="151" w:name="_Toc430790240"/>
      <w:r>
        <w:rPr>
          <w:rFonts w:hint="eastAsia" w:ascii="宋体" w:hAnsi="宋体" w:eastAsia="宋体" w:cs="宋体"/>
          <w:color w:val="auto"/>
          <w:sz w:val="21"/>
          <w:szCs w:val="21"/>
          <w:highlight w:val="none"/>
        </w:rPr>
        <w:t>30、中标通知</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30.1在发布中标结果公告同时，本采购代理公司向中标供应商发出中标通知书，中标通知书对采购人和中标供应商具有同等法律效力。</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30.2中标人按下述第31条规定与采购人签订合同，中标通知书是合同的组成部分。</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31、签订合同</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31.1中标人在本采购代理机构发出中标通知书的30日内，应与采购人按照采购文件和中标人的投标文件的约定内容签订书面合同。</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31.2采购文件、中标人的投标文件及在评标过程中提交的澄清文件均应作为合同附件。</w:t>
      </w:r>
    </w:p>
    <w:p>
      <w:pPr>
        <w:pStyle w:val="26"/>
        <w:widowControl w:val="0"/>
        <w:numPr>
          <w:ilvl w:val="0"/>
          <w:numId w:val="3"/>
        </w:numPr>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r>
        <w:rPr>
          <w:rFonts w:hint="eastAsia" w:hAnsi="宋体" w:eastAsia="宋体" w:cs="宋体"/>
          <w:color w:val="auto"/>
          <w:sz w:val="21"/>
          <w:szCs w:val="21"/>
          <w:highlight w:val="none"/>
          <w:lang w:val="en-US" w:eastAsia="zh-CN"/>
        </w:rPr>
        <w:t>/</w:t>
      </w:r>
    </w:p>
    <w:bookmarkEnd w:id="148"/>
    <w:bookmarkEnd w:id="149"/>
    <w:bookmarkEnd w:id="150"/>
    <w:bookmarkEnd w:id="151"/>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152" w:name="_Hlk49412371"/>
      <w:r>
        <w:rPr>
          <w:rFonts w:hint="eastAsia" w:ascii="宋体" w:hAnsi="宋体" w:eastAsia="宋体" w:cs="宋体"/>
          <w:b/>
          <w:color w:val="auto"/>
          <w:sz w:val="21"/>
          <w:szCs w:val="21"/>
          <w:highlight w:val="none"/>
        </w:rPr>
        <w:t>十、履约验收</w:t>
      </w:r>
    </w:p>
    <w:p>
      <w:pPr>
        <w:pStyle w:val="2"/>
        <w:keepNext w:val="0"/>
        <w:keepLines w:val="0"/>
        <w:pageBreakBefore w:val="0"/>
        <w:widowControl w:val="0"/>
        <w:kinsoku/>
        <w:wordWrap/>
        <w:overflowPunct/>
        <w:topLinePunct w:val="0"/>
        <w:autoSpaceDE/>
        <w:autoSpaceDN/>
        <w:bidi w:val="0"/>
        <w:adjustRightInd/>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33、采购人负责对中标供应商的履约行为进行验收。政府向社会公众提供的公共服务项目，验收时应当邀请服务对象参与并出具意见，验收结果应当向社会公告。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十一、招标服务费用</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34、招标服务费</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中标人应向本采购代理机构支付招标服务费。招标服务费的收费依据及相关规定载明在采购文件《投标人须知》中。</w:t>
      </w:r>
    </w:p>
    <w:bookmarkEnd w:id="152"/>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b/>
          <w:color w:val="auto"/>
          <w:sz w:val="21"/>
          <w:szCs w:val="21"/>
          <w:highlight w:val="none"/>
        </w:rPr>
      </w:pPr>
      <w:bookmarkStart w:id="153" w:name="_Hlk49412452"/>
      <w:bookmarkStart w:id="154" w:name="_Toc456853677"/>
      <w:bookmarkStart w:id="155" w:name="_Toc425780309"/>
      <w:bookmarkStart w:id="156" w:name="_Toc429407725"/>
      <w:bookmarkStart w:id="157" w:name="_Toc425151765"/>
      <w:bookmarkStart w:id="158" w:name="_Toc505353791"/>
      <w:bookmarkStart w:id="159" w:name="_Toc430790246"/>
      <w:bookmarkStart w:id="160" w:name="_Toc445193552"/>
      <w:bookmarkStart w:id="161" w:name="_Toc496003211"/>
      <w:bookmarkStart w:id="162" w:name="_Toc498429640"/>
      <w:r>
        <w:rPr>
          <w:rFonts w:hint="eastAsia" w:ascii="宋体" w:hAnsi="宋体" w:eastAsia="宋体" w:cs="宋体"/>
          <w:b/>
          <w:color w:val="auto"/>
          <w:sz w:val="21"/>
          <w:szCs w:val="21"/>
          <w:highlight w:val="none"/>
        </w:rPr>
        <w:t>十二、政府采购活动中有关中小企业的相关规定</w:t>
      </w:r>
    </w:p>
    <w:bookmarkEnd w:id="65"/>
    <w:bookmarkEnd w:id="153"/>
    <w:bookmarkEnd w:id="154"/>
    <w:bookmarkEnd w:id="155"/>
    <w:bookmarkEnd w:id="156"/>
    <w:bookmarkEnd w:id="157"/>
    <w:bookmarkEnd w:id="158"/>
    <w:bookmarkEnd w:id="159"/>
    <w:bookmarkEnd w:id="160"/>
    <w:bookmarkEnd w:id="161"/>
    <w:bookmarkEnd w:id="162"/>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35、执行财政部、工业和信息化部《政府采购促进中小企业发展管理办法》（财库〔2020〕46号）。政府采购活动中有关中小企业的相关规定如下：</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35.2、在政府采购活动中，供应商提供的货物、工程或者服务符合下列情形的，享受《政府采购促进中小企业发展管理办法》规定的中小企业扶持政策：</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（3）、在服务采购项目中，服务由中小企业承接，即提供服务的人员为中小企业依照《中华人民共和国劳动民法典》订立劳动合同的从业人员。 </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36、中小企业参加政府采购活动，应当出具《政府采购促进中小企业发展管理办法》规定的《中小企业声明函》（格式见本采购文件附件），否则不得享受相关中小企业扶持政策。</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适用招标投标法的政府采购工程建设项目，投标人提供声明函内容不实的，属于弄虚作假骗取中标，依照《中华人民共和国招标投标法》等国家有关规定追究相应责任。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38、《中小企业声明函》由参加投标的供应商提交，如供应商为代理商，须自行采集制造商的中小企业划分类型信息填入相应栏目并对其真实性负责。</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keepNext w:val="0"/>
        <w:keepLines w:val="0"/>
        <w:pageBreakBefore w:val="0"/>
        <w:widowControl w:val="0"/>
        <w:kinsoku/>
        <w:wordWrap/>
        <w:overflowPunct/>
        <w:topLinePunct w:val="0"/>
        <w:autoSpaceDE/>
        <w:autoSpaceDN/>
        <w:bidi w:val="0"/>
        <w:adjustRightInd/>
        <w:spacing w:line="360" w:lineRule="auto"/>
        <w:ind w:right="0"/>
        <w:contextualSpacing/>
        <w:textAlignment w:val="auto"/>
        <w:rPr>
          <w:rFonts w:hint="eastAsia" w:ascii="宋体" w:hAnsi="宋体" w:eastAsia="宋体" w:cs="宋体"/>
          <w:color w:val="auto"/>
          <w:sz w:val="21"/>
          <w:szCs w:val="21"/>
          <w:highlight w:val="none"/>
        </w:rPr>
      </w:pPr>
      <w:bookmarkStart w:id="163" w:name="_Toc21541016"/>
      <w:r>
        <w:rPr>
          <w:rFonts w:hint="eastAsia" w:ascii="宋体" w:hAnsi="宋体" w:eastAsia="宋体" w:cs="宋体"/>
          <w:color w:val="auto"/>
          <w:sz w:val="21"/>
          <w:szCs w:val="21"/>
          <w:highlight w:val="none"/>
        </w:rPr>
        <w:t>40、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bookmarkEnd w:id="163"/>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bookmarkStart w:id="164" w:name="_Toc490748641"/>
    </w:p>
    <w:bookmarkEnd w:id="164"/>
    <w:p>
      <w:pPr>
        <w:pStyle w:val="4"/>
        <w:bidi w:val="0"/>
        <w:jc w:val="center"/>
        <w:outlineLvl w:val="0"/>
        <w:rPr>
          <w:rFonts w:hint="eastAsia"/>
          <w:color w:val="auto"/>
          <w:highlight w:val="none"/>
        </w:rPr>
      </w:pPr>
      <w:bookmarkStart w:id="165" w:name="_Toc10383"/>
      <w:bookmarkStart w:id="166" w:name="_Toc141878074"/>
      <w:bookmarkStart w:id="167" w:name="_Toc16204"/>
      <w:bookmarkStart w:id="168" w:name="_Toc27132"/>
      <w:r>
        <w:rPr>
          <w:rFonts w:hint="eastAsia"/>
          <w:color w:val="auto"/>
          <w:highlight w:val="none"/>
        </w:rPr>
        <w:t>第四章  评标办法及评分标准</w:t>
      </w:r>
      <w:bookmarkEnd w:id="165"/>
      <w:bookmarkEnd w:id="166"/>
      <w:bookmarkEnd w:id="167"/>
      <w:bookmarkEnd w:id="168"/>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为公正、公平、科学地选择中标人，根据《中华人民共和国政府采购法》等有关法律法规的规定，并结合本项目的实际，制定本评标方法及评标标准。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1.1、本项目评标方法：综合评分法。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1.2、综合评分总分为100分，由商务和技术得分、报价得分两部分组成，具体分值见评标标准。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1.3、评标委员会成员根据采购文件规定的评标程序、评标方法和评标标准对各投标人进行独立评审，对各投标人的综合评分=商务和技术得分+报价得分。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1.4、各投标人最终得分：计算各评标委员会成员对各投标人的综合评分的算术平均值（保留小数点后二位）。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1.5、评标结果排序：</w:t>
      </w:r>
      <w:r>
        <w:rPr>
          <w:rFonts w:hint="eastAsia" w:ascii="宋体" w:hAnsi="宋体" w:eastAsia="宋体" w:cs="宋体"/>
          <w:color w:val="auto"/>
          <w:highlight w:val="none"/>
        </w:rPr>
        <w:t>按综合得分由高到低的排序，推荐中标候选人。若供应商的综合得分相等，则投标报价低者列前；若投标报价也相同时，采取随机抽签的方式确定排序。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1.6、确定中标候选人名单：按照采购文件规定的中标候选人数量确定中标候选人名单，按照评标结果排序，最终得分排名第一的候选人为中标人。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1.7、本次采购为专门面向中小企业，</w:t>
      </w:r>
      <w:r>
        <w:rPr>
          <w:rFonts w:hint="eastAsia" w:ascii="宋体" w:hAnsi="宋体" w:eastAsia="宋体" w:cs="宋体"/>
          <w:b/>
          <w:color w:val="auto"/>
          <w:szCs w:val="21"/>
          <w:highlight w:val="none"/>
        </w:rPr>
        <w:t>采购标的对应的中小企业划分标准所属行业：标项1为</w:t>
      </w:r>
      <w:r>
        <w:rPr>
          <w:rFonts w:hint="eastAsia" w:ascii="宋体" w:hAnsi="宋体" w:eastAsia="宋体" w:cs="宋体"/>
          <w:b/>
          <w:color w:val="auto"/>
          <w:szCs w:val="21"/>
          <w:highlight w:val="none"/>
          <w:u w:val="single"/>
        </w:rPr>
        <w:t>其他未列明行业</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1.8、评标委员会成员对需要共同认定的事项存在争议的，应当按照少数服从多数的原则作出结论。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2.1第一阶段评审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2.1.1资格文件、商务技术文件初步审查：包含资格性审查和符合性审查。资格性审查是指采购人或代理机构根据“附表1资格性审查表”的要求对投标文件逐一进行评审。符合性审查是指评标委员会根据“附表2符合性审查表”、“附表4报价文件初步审查表”的要求对投标文件逐一进行评审。</w:t>
      </w:r>
      <w:r>
        <w:rPr>
          <w:rFonts w:hint="eastAsia" w:ascii="宋体" w:hAnsi="宋体" w:eastAsia="宋体" w:cs="宋体"/>
          <w:b/>
          <w:color w:val="auto"/>
          <w:szCs w:val="21"/>
          <w:highlight w:val="none"/>
        </w:rPr>
        <w:t>资格性审查、符合性审查、报价文件初步审查表中，有任意一项审查结论不合格的，作无效标处理。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eastAsia="宋体" w:cs="宋体"/>
          <w:color w:val="auto"/>
          <w:szCs w:val="21"/>
          <w:highlight w:val="none"/>
          <w:lang w:val="zh-CN"/>
        </w:rPr>
        <w:t>比较与评价：</w:t>
      </w:r>
      <w:r>
        <w:rPr>
          <w:rFonts w:hint="eastAsia" w:ascii="宋体" w:hAnsi="宋体" w:eastAsia="宋体" w:cs="宋体"/>
          <w:color w:val="auto"/>
          <w:szCs w:val="21"/>
          <w:highlight w:val="none"/>
        </w:rPr>
        <w:t>评标委员会根据“附表3商务和技术评分表”的要求，</w:t>
      </w:r>
      <w:r>
        <w:rPr>
          <w:rFonts w:hint="eastAsia" w:ascii="宋体" w:hAnsi="宋体" w:eastAsia="宋体" w:cs="宋体"/>
          <w:color w:val="auto"/>
          <w:szCs w:val="21"/>
          <w:highlight w:val="none"/>
          <w:lang w:val="zh-CN"/>
        </w:rPr>
        <w:t>对照投标文件的应答进行比较，判定其偏差性质和程度，</w:t>
      </w:r>
      <w:r>
        <w:rPr>
          <w:rFonts w:hint="eastAsia" w:ascii="宋体" w:hAnsi="宋体" w:eastAsia="宋体" w:cs="宋体"/>
          <w:color w:val="auto"/>
          <w:szCs w:val="21"/>
          <w:highlight w:val="none"/>
        </w:rPr>
        <w:t>由评标委员会成员在分值范围内自行评分。供应商商务和技术得分为各评标委员会成员有效评分的算术平均值（小数点后保留二位数）。</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2.2第二阶段评审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2.2.1报价文件初步审查：报价文件初步审查是指评标委员会根据“附表4初步审查表”的要求对投标文件逐一进行评审。</w:t>
      </w:r>
      <w:r>
        <w:rPr>
          <w:rFonts w:hint="eastAsia" w:ascii="宋体" w:hAnsi="宋体" w:eastAsia="宋体" w:cs="宋体"/>
          <w:b/>
          <w:color w:val="auto"/>
          <w:szCs w:val="21"/>
          <w:highlight w:val="none"/>
        </w:rPr>
        <w:t>初步审查中，审查结论不合格的，作无效标处理。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2.2.2在评标过程中，发现的价格计算错误按下述原则修正：</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（1）投标文件中开标一览表内容与政采云系统“开标一览表”中录入的内容不一致的，以投标文件中开标一览表为准；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（2）投标文件中开标一览表内容与投标文件中相应内容不一致的，以开标一览表为准；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（3）大写金额和小写金额不一致的，以大写金额为准；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同时出现两种以上不一致的，按照前款规定的顺序修正。修正后的报价经供应商确认后产生约束力，供应商不确认的，其投标无效。</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2.2.3</w:t>
      </w:r>
      <w:r>
        <w:rPr>
          <w:rFonts w:hint="eastAsia" w:ascii="宋体" w:hAnsi="宋体" w:eastAsia="宋体" w:cs="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eastAsia="宋体" w:cs="宋体"/>
          <w:color w:val="auto"/>
          <w:szCs w:val="21"/>
          <w:highlight w:val="none"/>
        </w:rPr>
        <w:t>候选</w:t>
      </w:r>
      <w:r>
        <w:rPr>
          <w:rFonts w:hint="eastAsia" w:ascii="宋体" w:hAnsi="宋体" w:eastAsia="宋体" w:cs="宋体"/>
          <w:color w:val="auto"/>
          <w:highlight w:val="none"/>
        </w:rPr>
        <w:t>人推荐资格；综合得分相同的，由评标委员会采取随机抽取方式确定，其他同品牌供应商不作为中标候选人。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非单一产品采购项目，多家供应商提供的核心产品品牌相同的，按上述规定处理。（本项目不适用）</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2.2.4评标委员会根据“附表5价格评分表”的规定，计算供应商报价得分（小数点后保留二位数）。</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2.2.5综合评估：供应商的综合得分为商务和技术得分与报价得分之和。</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2.2.6推荐中标候选人：按综合得分由高到低的排序，推荐中标候选人。若供应商的综合得分相等，则投标报价低者列前；若投标报价也相同时，采取随机抽签的方式确定排序。</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2.3确定中标供应商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三、投标的澄清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3.2政采云具体操作如下：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路径：用户中心—项目采购—询标澄清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（1）政采云平台通过待办事项和短信提醒供应商在截止时间前完成澄清。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（2）供应商在“询标澄清-待办理”标签页下选择状态为“待澄清”的项目，点击操作栏【澄清】。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（3）查看函内容，在澄清截止时间前上传澄清文件并对澄清文件进行签章。（注：澄清文件必须以PDF格式上传，文件大小：50M）</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（4）签章完成，文件名称处显示“已签章”，供应商可“撤回签章”修改澄清函和“查看文件”。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（6）完成状态：供应商澄清文件提交成功后，在“询标澄清-全部”标签页下显示状态为“已澄清”。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3.3开标现场，供应商安排</w:t>
      </w:r>
      <w:r>
        <w:rPr>
          <w:rFonts w:hint="eastAsia" w:ascii="宋体" w:hAnsi="宋体" w:eastAsia="宋体" w:cs="宋体"/>
          <w:color w:val="auto"/>
          <w:szCs w:val="21"/>
          <w:highlight w:val="none"/>
        </w:rPr>
        <w:t>法定代表人或授权代表到场的，则由</w:t>
      </w:r>
      <w:r>
        <w:rPr>
          <w:rFonts w:hint="eastAsia" w:ascii="宋体" w:hAnsi="宋体" w:eastAsia="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eastAsia="宋体" w:cs="宋体"/>
          <w:color w:val="auto"/>
          <w:szCs w:val="21"/>
          <w:highlight w:val="none"/>
        </w:rPr>
        <w:t>供应商的法定代表人或授权代表签字</w:t>
      </w:r>
      <w:r>
        <w:rPr>
          <w:rFonts w:hint="eastAsia" w:ascii="宋体" w:hAnsi="宋体" w:eastAsia="宋体" w:cs="宋体"/>
          <w:color w:val="auto"/>
          <w:highlight w:val="none"/>
        </w:rPr>
        <w:t>或者加盖供应商公章。书面澄清将作为投标文件内容的一部分，具有相应的法律效力。</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3.4供应商未在截止时间前完成澄清，将被视作自动放弃。</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四、特别声明：价格是评标的重要因素之一，但最低价不是中标的唯一依据。</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五、重新招标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有下列情形之一的，采购人将重新招标：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5.1投标截止时间止，供应商少于3个的；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5.2评标委员会评标过程中，有效供应商少于3个的；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p>
    <w:p>
      <w:pPr>
        <w:spacing w:line="360" w:lineRule="auto"/>
        <w:rPr>
          <w:rFonts w:hint="eastAsia" w:ascii="宋体" w:hAnsi="宋体" w:cs="宋体"/>
          <w:b/>
          <w:bCs/>
          <w:color w:val="auto"/>
          <w:szCs w:val="21"/>
          <w:highlight w:val="none"/>
        </w:rPr>
      </w:pPr>
    </w:p>
    <w:p>
      <w:pPr>
        <w:spacing w:line="360" w:lineRule="auto"/>
        <w:rPr>
          <w:rFonts w:hint="eastAsia" w:ascii="宋体" w:hAnsi="宋体" w:cs="宋体"/>
          <w:b/>
          <w:bCs/>
          <w:color w:val="auto"/>
          <w:szCs w:val="21"/>
          <w:highlight w:val="none"/>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（一）、资格性审查</w:t>
      </w:r>
    </w:p>
    <w:p>
      <w:pPr>
        <w:spacing w:line="360" w:lineRule="auto"/>
        <w:jc w:val="center"/>
        <w:rPr>
          <w:rFonts w:ascii="宋体" w:hAnsi="宋体"/>
          <w:b/>
          <w:color w:val="auto"/>
          <w:sz w:val="22"/>
          <w:szCs w:val="21"/>
          <w:highlight w:val="none"/>
        </w:rPr>
      </w:pPr>
    </w:p>
    <w:p>
      <w:pPr>
        <w:spacing w:line="360" w:lineRule="auto"/>
        <w:jc w:val="center"/>
        <w:rPr>
          <w:rFonts w:ascii="宋体" w:hAnsi="宋体" w:cs="宋体"/>
          <w:b/>
          <w:color w:val="auto"/>
          <w:sz w:val="22"/>
          <w:szCs w:val="21"/>
          <w:highlight w:val="none"/>
        </w:rPr>
      </w:pPr>
      <w:r>
        <w:rPr>
          <w:rFonts w:hint="eastAsia" w:ascii="宋体" w:hAnsi="宋体"/>
          <w:b/>
          <w:color w:val="auto"/>
          <w:sz w:val="22"/>
          <w:szCs w:val="21"/>
          <w:highlight w:val="none"/>
        </w:rPr>
        <w:t>附表</w:t>
      </w:r>
      <w:r>
        <w:rPr>
          <w:rFonts w:ascii="宋体" w:hAnsi="宋体"/>
          <w:b/>
          <w:color w:val="auto"/>
          <w:sz w:val="22"/>
          <w:szCs w:val="21"/>
          <w:highlight w:val="none"/>
        </w:rPr>
        <w:t>1</w:t>
      </w:r>
      <w:r>
        <w:rPr>
          <w:rFonts w:hint="eastAsia" w:ascii="宋体" w:hAnsi="宋体"/>
          <w:b/>
          <w:color w:val="auto"/>
          <w:sz w:val="22"/>
          <w:szCs w:val="21"/>
          <w:highlight w:val="none"/>
        </w:rPr>
        <w:t>资格性审查表</w:t>
      </w:r>
    </w:p>
    <w:tbl>
      <w:tblPr>
        <w:tblStyle w:val="49"/>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600"/>
        <w:gridCol w:w="4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83"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600"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审查要求</w:t>
            </w:r>
          </w:p>
        </w:tc>
        <w:tc>
          <w:tcPr>
            <w:tcW w:w="4918"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783"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0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满足《中华人民共和国政府采购法》第二十二条规定；未被“信用中国”（www.creditchina.gov.cn)、中国政府采购网（www.ccgp.gov.cn）列入失信被执行人、重大税收违法案件当事人名单（重大税收违法失信主体）、政府采购严重违法失信行为记录名单。 </w:t>
            </w:r>
          </w:p>
        </w:tc>
        <w:tc>
          <w:tcPr>
            <w:tcW w:w="4918" w:type="dxa"/>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复印件盖单位公章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(2)符合参加政府采购活动应当具备的一般条件的承诺函；【格式见第六章】</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(3)未被信用中国网站（</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"http://www.creditchina.gov.cn"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www.creditchina.gov.cn</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列入失信被执行人、重大税收违法案件当事人名单，未被中国政府采购网（www.ccgp.gov.cn）列入政府采购严重违法失信行为记录名单。（以采购代理机构于投标截止日当天在信用中国网站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83"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60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落实政府采购政策需满足的资格要求：本项目属于专门面向中小企业采购的项目（服务全部由符合政策要求的中、小、微企业承接，提供中小企业声明函），供应商应为符合《政府采购促进中小企业发展管理办法》（财库﹝2020﹞46 号）规定的中小企业（其中，小微企业包括视同为小型、微型企业的监狱企业、残疾人福利性单位）</w:t>
            </w:r>
            <w:r>
              <w:rPr>
                <w:rFonts w:hint="eastAsia" w:ascii="宋体" w:hAnsi="宋体" w:eastAsia="宋体" w:cs="宋体"/>
                <w:color w:val="auto"/>
                <w:highlight w:val="none"/>
                <w:lang w:eastAsia="zh-CN"/>
              </w:rPr>
              <w:t>。</w:t>
            </w:r>
          </w:p>
        </w:tc>
        <w:tc>
          <w:tcPr>
            <w:tcW w:w="4918"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本项目属于专门面向中小企业采购的项目（服务全部由符合政策要求的中、小、微企业承接，提供中小企业声明函），供应商应为符合《政府采购促进中小企业发展管理办法》（财库﹝2020﹞46 号）规定的中小企业（其中，小微企业包括视同为小型、微型企业的监狱企业、残疾人福利性单位）。落实政府采购政策需满足的资格要求；（必须提供满足下列清单之一）；（1）中小企业声明函；（2）残疾人福利性单位声明函；（3）监狱企业的证明文件；【格式见第六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3"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0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本项目不接受联合体投标。</w:t>
            </w:r>
          </w:p>
        </w:tc>
        <w:tc>
          <w:tcPr>
            <w:tcW w:w="4918"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本项目不接受联合体投标，供应商不得为联合体。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资格性审查结论</w:t>
            </w:r>
          </w:p>
        </w:tc>
        <w:tc>
          <w:tcPr>
            <w:tcW w:w="4918"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tc>
      </w:tr>
    </w:tbl>
    <w:p>
      <w:pPr>
        <w:spacing w:line="360" w:lineRule="exact"/>
        <w:rPr>
          <w:rFonts w:ascii="宋体" w:hAnsi="宋体" w:cs="宋体"/>
          <w:b/>
          <w:color w:val="auto"/>
          <w:sz w:val="20"/>
          <w:szCs w:val="21"/>
          <w:highlight w:val="none"/>
        </w:rPr>
      </w:pPr>
      <w:r>
        <w:rPr>
          <w:rFonts w:hint="eastAsia" w:ascii="宋体" w:hAnsi="宋体" w:cs="宋体"/>
          <w:b/>
          <w:color w:val="auto"/>
          <w:sz w:val="20"/>
          <w:szCs w:val="21"/>
          <w:highlight w:val="none"/>
        </w:rPr>
        <w:t>注：1.上述资格文件未按招标文件要求附入投标文件中的，资格性审查不合格。</w:t>
      </w:r>
    </w:p>
    <w:p>
      <w:pPr>
        <w:spacing w:line="360" w:lineRule="exact"/>
        <w:rPr>
          <w:rFonts w:ascii="宋体" w:hAnsi="宋体" w:cs="宋体"/>
          <w:b/>
          <w:color w:val="auto"/>
          <w:sz w:val="20"/>
          <w:szCs w:val="21"/>
          <w:highlight w:val="none"/>
        </w:rPr>
      </w:pPr>
      <w:r>
        <w:rPr>
          <w:rFonts w:hint="eastAsia" w:ascii="宋体" w:hAnsi="宋体" w:cs="宋体"/>
          <w:b/>
          <w:color w:val="auto"/>
          <w:sz w:val="20"/>
          <w:szCs w:val="21"/>
          <w:highlight w:val="none"/>
        </w:rPr>
        <w:t>2.上述审查项目中，任意一项不符合的，资格性审查不合格。</w:t>
      </w:r>
    </w:p>
    <w:p>
      <w:pPr>
        <w:spacing w:line="360" w:lineRule="exact"/>
        <w:rPr>
          <w:rFonts w:ascii="宋体" w:hAnsi="宋体" w:cs="宋体"/>
          <w:b/>
          <w:color w:val="auto"/>
          <w:sz w:val="20"/>
          <w:szCs w:val="21"/>
          <w:highlight w:val="none"/>
        </w:rPr>
      </w:pPr>
      <w:r>
        <w:rPr>
          <w:rFonts w:hint="eastAsia" w:ascii="宋体" w:hAnsi="宋体" w:cs="宋体"/>
          <w:b/>
          <w:color w:val="auto"/>
          <w:sz w:val="20"/>
          <w:szCs w:val="21"/>
          <w:highlight w:val="none"/>
        </w:rPr>
        <w:t>3.采购人、代理机构将于开标当天通过“信用中国”网站查询供应商、联合体成员（如有）失信被执行人、重大税收违法案件当事人信用记录，通过中国政府采购网查询供应商、联合体成员（如有）政府采购严重违法失信行为信用记录。若供应商、联合体成员（如有）被列入失信被执行人、重大税收违法案件当事人名单、政府采购严重违法失信行为记录名单，其资格审查为不合格，其投标将被认定为无效投标。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（二）、符合性审查</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由评标委员会对符合资格要求的投标人的投标文件进行符合性审查，以确定其是否满足采购文件的商务、技术等实质性要求。符合性审查不合格的投标人，不得进入下一步评审。符合性审查后，有效投标人不足三家的，不得继续评标。</w:t>
      </w:r>
    </w:p>
    <w:p>
      <w:pPr>
        <w:widowControl/>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附表2符合性审查表</w:t>
      </w:r>
    </w:p>
    <w:tbl>
      <w:tblPr>
        <w:tblStyle w:val="49"/>
        <w:tblW w:w="91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6"/>
        <w:gridCol w:w="63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tcPr>
          <w:p>
            <w:pPr>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26" w:type="dxa"/>
          </w:tcPr>
          <w:p>
            <w:pPr>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审查项目</w:t>
            </w:r>
          </w:p>
        </w:tc>
        <w:tc>
          <w:tcPr>
            <w:tcW w:w="6379" w:type="dxa"/>
          </w:tcPr>
          <w:p>
            <w:pPr>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26"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6379" w:type="dxa"/>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与有效的企业法人营业执照（或事业法人登记证）、其他组织（个体工商户）的营业执照或者民办非企业单位登记证书一致。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26"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26"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法定代表人身份证明和法定代表人授权书</w:t>
            </w: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投标文件由法定代表人签字的，提供“法定代表人身份证明”；</w:t>
            </w:r>
          </w:p>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投标文件由授权代表签字的，提供“法定代表人身份证明”和“法定代表人授权书”。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26"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投标文件的签署盖章</w:t>
            </w: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126" w:type="dxa"/>
            <w:vAlign w:val="center"/>
          </w:tcPr>
          <w:p>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内容表述</w:t>
            </w: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投标文件的实质性内容使用中文表述且意思表述明确，前后无矛盾且使用计量单位符合采购文件要求的；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2126" w:type="dxa"/>
            <w:vMerge w:val="restart"/>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对同个标项或项目不允许提供两个投标方案。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2126" w:type="dxa"/>
            <w:vMerge w:val="continue"/>
            <w:vAlign w:val="center"/>
          </w:tcPr>
          <w:p>
            <w:pPr>
              <w:spacing w:line="320" w:lineRule="exact"/>
              <w:rPr>
                <w:rFonts w:hint="eastAsia" w:ascii="宋体" w:hAnsi="宋体" w:eastAsia="宋体" w:cs="宋体"/>
                <w:color w:val="auto"/>
                <w:sz w:val="21"/>
                <w:szCs w:val="21"/>
                <w:highlight w:val="none"/>
              </w:rPr>
            </w:pP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不允许出现与招标文件有重大偏离的投标文件。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2126" w:type="dxa"/>
            <w:vMerge w:val="continue"/>
            <w:vAlign w:val="center"/>
          </w:tcPr>
          <w:p>
            <w:pPr>
              <w:spacing w:line="320" w:lineRule="exact"/>
              <w:rPr>
                <w:rFonts w:hint="eastAsia" w:ascii="宋体" w:hAnsi="宋体" w:eastAsia="宋体" w:cs="宋体"/>
                <w:color w:val="auto"/>
                <w:sz w:val="21"/>
                <w:szCs w:val="21"/>
                <w:highlight w:val="none"/>
              </w:rPr>
            </w:pP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供应商不得在投标活动中提供任何虚假材料或从事其他违法活动的。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4" w:type="dxa"/>
            <w:vAlign w:val="center"/>
          </w:tcPr>
          <w:p>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2126" w:type="dxa"/>
            <w:vMerge w:val="continue"/>
            <w:vAlign w:val="center"/>
          </w:tcPr>
          <w:p>
            <w:pPr>
              <w:spacing w:line="320" w:lineRule="exact"/>
              <w:rPr>
                <w:rFonts w:hint="eastAsia" w:ascii="宋体" w:hAnsi="宋体" w:eastAsia="宋体" w:cs="宋体"/>
                <w:color w:val="auto"/>
                <w:sz w:val="21"/>
                <w:szCs w:val="21"/>
                <w:highlight w:val="none"/>
              </w:rPr>
            </w:pP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评标委员会经过审查，未认定供应商虚假应标、串通投标的</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有下列情形之一的，视为供应商串通投标：</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（1）不同供应商的投标文件由同一单位或者个人编制；</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（2）不同供应商委托同一单位或者个人办理投标事宜；</w:t>
            </w:r>
          </w:p>
          <w:p>
            <w:pPr>
              <w:widowControl/>
              <w:spacing w:line="320" w:lineRule="exact"/>
              <w:jc w:val="left"/>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pacing w:val="-10"/>
                <w:sz w:val="21"/>
                <w:szCs w:val="21"/>
                <w:highlight w:val="none"/>
              </w:rPr>
              <w:t>不同供应商的投标文件载明的项目管理成员或者联系人员为同一人；</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（4）不同供应商的投标文件异常一致或者投标报价呈规律性差异；</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（5）不同供应商的投标文件相互混装；</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单位负责人为同一人或者存在直接控股、管理关系的不同供应商,参加同一合同项下的政府采购活动。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4" w:type="dxa"/>
            <w:vAlign w:val="center"/>
          </w:tcPr>
          <w:p>
            <w:pPr>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126" w:type="dxa"/>
            <w:vMerge w:val="continue"/>
            <w:vAlign w:val="center"/>
          </w:tcPr>
          <w:p>
            <w:pPr>
              <w:spacing w:line="320" w:lineRule="exact"/>
              <w:rPr>
                <w:rFonts w:hint="eastAsia" w:ascii="宋体" w:hAnsi="宋体" w:eastAsia="宋体" w:cs="宋体"/>
                <w:color w:val="auto"/>
                <w:sz w:val="21"/>
                <w:szCs w:val="21"/>
                <w:highlight w:val="none"/>
              </w:rPr>
            </w:pPr>
          </w:p>
        </w:tc>
        <w:tc>
          <w:tcPr>
            <w:tcW w:w="6379" w:type="dxa"/>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符合法律、法规和招标文件中规定的其他实质性要求（实质性要求招标文件中“▲”标记）。</w:t>
            </w:r>
          </w:p>
        </w:tc>
      </w:tr>
    </w:tbl>
    <w:p>
      <w:pPr>
        <w:spacing w:before="120" w:beforeLines="50" w:after="120" w:afterLines="50" w:line="360" w:lineRule="auto"/>
        <w:rPr>
          <w:rFonts w:ascii="宋体" w:hAnsi="宋体" w:cs="宋体"/>
          <w:b/>
          <w:color w:val="auto"/>
          <w:highlight w:val="none"/>
        </w:rPr>
      </w:pPr>
      <w:r>
        <w:rPr>
          <w:rFonts w:hint="eastAsia" w:ascii="宋体" w:hAnsi="宋体" w:cs="宋体"/>
          <w:b/>
          <w:color w:val="auto"/>
          <w:highlight w:val="none"/>
        </w:rPr>
        <w:t>注：1、上述审查项目中，任意一项不符合的，符合性审查不合格。</w:t>
      </w:r>
    </w:p>
    <w:p>
      <w:pPr>
        <w:widowControl/>
        <w:snapToGrid w:val="0"/>
        <w:jc w:val="center"/>
        <w:rPr>
          <w:rFonts w:ascii="宋体" w:hAnsi="宋体" w:cs="宋体"/>
          <w:b/>
          <w:color w:val="auto"/>
          <w:szCs w:val="21"/>
          <w:highlight w:val="none"/>
        </w:rPr>
      </w:pPr>
    </w:p>
    <w:p>
      <w:pPr>
        <w:widowControl/>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附表3商务和技术评分表</w:t>
      </w:r>
    </w:p>
    <w:tbl>
      <w:tblPr>
        <w:tblStyle w:val="50"/>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807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39" w:type="dxa"/>
            <w:gridSpan w:val="2"/>
          </w:tcPr>
          <w:p>
            <w:pPr>
              <w:pStyle w:val="63"/>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lang w:val="en-US" w:eastAsia="zh-CN"/>
              </w:rPr>
              <w:t>评审内容</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color w:val="auto"/>
                <w:sz w:val="21"/>
                <w:szCs w:val="21"/>
                <w:highlight w:val="none"/>
              </w:rPr>
              <w:t>商务和技术得分</w:t>
            </w:r>
          </w:p>
        </w:tc>
        <w:tc>
          <w:tcPr>
            <w:tcW w:w="80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需求响应</w:t>
            </w:r>
            <w:r>
              <w:rPr>
                <w:rFonts w:hint="eastAsia" w:ascii="宋体" w:hAnsi="宋体" w:cs="宋体"/>
                <w:b/>
                <w:bCs/>
                <w:color w:val="auto"/>
                <w:kern w:val="2"/>
                <w:sz w:val="21"/>
                <w:szCs w:val="21"/>
                <w:highlight w:val="none"/>
                <w:lang w:val="en-US" w:eastAsia="zh-CN" w:bidi="ar-SA"/>
              </w:rPr>
              <w:t>（6分）</w:t>
            </w:r>
          </w:p>
          <w:p>
            <w:pPr>
              <w:pStyle w:val="174"/>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评标委员会根据招标文件第二章 招标需求的响应情况进行打分，全部满足或者优于招标需求的得6分，每负偏离</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条扣0.5分</w:t>
            </w:r>
            <w:r>
              <w:rPr>
                <w:rFonts w:hint="eastAsia" w:ascii="宋体" w:hAnsi="宋体" w:cs="宋体"/>
                <w:b w:val="0"/>
                <w:bCs w:val="0"/>
                <w:color w:val="auto"/>
                <w:sz w:val="21"/>
                <w:szCs w:val="21"/>
                <w:highlight w:val="none"/>
                <w:lang w:val="en-US" w:eastAsia="zh-CN"/>
              </w:rPr>
              <w:t>，扣完为止</w:t>
            </w:r>
            <w:r>
              <w:rPr>
                <w:rFonts w:hint="eastAsia" w:ascii="宋体" w:hAnsi="宋体" w:eastAsia="宋体" w:cs="宋体"/>
                <w:b w:val="0"/>
                <w:bCs w:val="0"/>
                <w:color w:val="auto"/>
                <w:sz w:val="21"/>
                <w:szCs w:val="21"/>
                <w:highlight w:val="none"/>
                <w:lang w:val="en-US" w:eastAsia="zh-CN"/>
              </w:rPr>
              <w:t>。</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6</w:t>
            </w:r>
            <w:r>
              <w:rPr>
                <w:rFonts w:hint="eastAsia" w:ascii="宋体" w:hAnsi="宋体" w:eastAsia="宋体" w:cs="宋体"/>
                <w:b w:val="0"/>
                <w:bCs/>
                <w:color w:val="auto"/>
                <w:kern w:val="2"/>
                <w:sz w:val="21"/>
                <w:szCs w:val="21"/>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、管道疏通方案</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根据投标人提供的管道疏通方案</w:t>
            </w:r>
            <w:r>
              <w:rPr>
                <w:rFonts w:hint="eastAsia" w:ascii="宋体" w:hAnsi="宋体" w:eastAsia="宋体" w:cs="宋体"/>
                <w:b w:val="0"/>
                <w:bCs w:val="0"/>
                <w:color w:val="auto"/>
                <w:sz w:val="21"/>
                <w:szCs w:val="21"/>
                <w:highlight w:val="none"/>
                <w:lang w:val="en-US" w:eastAsia="zh-CN"/>
              </w:rPr>
              <w:t>进行</w:t>
            </w:r>
            <w:r>
              <w:rPr>
                <w:rFonts w:hint="eastAsia" w:ascii="宋体" w:hAnsi="宋体" w:eastAsia="宋体" w:cs="宋体"/>
                <w:b w:val="0"/>
                <w:bCs w:val="0"/>
                <w:color w:val="auto"/>
                <w:sz w:val="21"/>
                <w:szCs w:val="21"/>
                <w:highlight w:val="none"/>
              </w:rPr>
              <w:t>综合评议。</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1.方案具有完整性、</w:t>
            </w:r>
            <w:r>
              <w:rPr>
                <w:rFonts w:hint="eastAsia" w:ascii="宋体" w:hAnsi="宋体" w:cs="宋体"/>
                <w:b w:val="0"/>
                <w:bCs w:val="0"/>
                <w:color w:val="auto"/>
                <w:sz w:val="21"/>
                <w:szCs w:val="21"/>
                <w:highlight w:val="none"/>
                <w:lang w:val="en-US" w:eastAsia="zh-CN"/>
              </w:rPr>
              <w:t>针对</w:t>
            </w:r>
            <w:r>
              <w:rPr>
                <w:rFonts w:hint="eastAsia" w:ascii="宋体" w:hAnsi="宋体" w:eastAsia="宋体" w:cs="宋体"/>
                <w:b w:val="0"/>
                <w:bCs w:val="0"/>
                <w:color w:val="auto"/>
                <w:sz w:val="21"/>
                <w:szCs w:val="21"/>
                <w:highlight w:val="none"/>
                <w:lang w:val="en-US" w:eastAsia="zh-CN"/>
              </w:rPr>
              <w:t>性，</w:t>
            </w:r>
            <w:r>
              <w:rPr>
                <w:rFonts w:hint="eastAsia" w:ascii="宋体" w:hAnsi="宋体" w:cs="宋体"/>
                <w:b w:val="0"/>
                <w:bCs w:val="0"/>
                <w:color w:val="auto"/>
                <w:sz w:val="21"/>
                <w:szCs w:val="21"/>
                <w:highlight w:val="none"/>
                <w:lang w:val="en-US" w:eastAsia="zh-CN"/>
              </w:rPr>
              <w:t>有突出点</w:t>
            </w:r>
            <w:r>
              <w:rPr>
                <w:rFonts w:hint="eastAsia" w:ascii="宋体" w:hAnsi="宋体" w:eastAsia="宋体" w:cs="宋体"/>
                <w:b w:val="0"/>
                <w:bCs w:val="0"/>
                <w:color w:val="auto"/>
                <w:sz w:val="21"/>
                <w:szCs w:val="21"/>
                <w:highlight w:val="none"/>
                <w:lang w:val="en-US" w:eastAsia="zh-CN"/>
              </w:rPr>
              <w:t>，贴合</w:t>
            </w:r>
            <w:r>
              <w:rPr>
                <w:rFonts w:hint="eastAsia" w:ascii="宋体" w:hAnsi="宋体" w:eastAsia="宋体" w:cs="宋体"/>
                <w:b w:val="0"/>
                <w:bCs w:val="0"/>
                <w:color w:val="auto"/>
                <w:sz w:val="21"/>
                <w:szCs w:val="21"/>
                <w:highlight w:val="none"/>
              </w:rPr>
              <w:t>实际情</w:t>
            </w:r>
            <w:r>
              <w:rPr>
                <w:rFonts w:hint="eastAsia" w:ascii="宋体" w:hAnsi="宋体" w:eastAsia="宋体" w:cs="宋体"/>
                <w:b w:val="0"/>
                <w:bCs w:val="0"/>
                <w:color w:val="auto"/>
                <w:sz w:val="21"/>
                <w:szCs w:val="21"/>
                <w:highlight w:val="none"/>
                <w:lang w:val="en-US" w:eastAsia="zh-CN"/>
              </w:rPr>
              <w:t>况的得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2.方案基本完善，</w:t>
            </w:r>
            <w:r>
              <w:rPr>
                <w:rFonts w:hint="eastAsia" w:ascii="宋体" w:hAnsi="宋体" w:cs="宋体"/>
                <w:b w:val="0"/>
                <w:bCs w:val="0"/>
                <w:color w:val="auto"/>
                <w:sz w:val="21"/>
                <w:szCs w:val="21"/>
                <w:highlight w:val="none"/>
                <w:lang w:val="en-US" w:eastAsia="zh-CN"/>
              </w:rPr>
              <w:t>有参考性，</w:t>
            </w:r>
            <w:r>
              <w:rPr>
                <w:rFonts w:hint="eastAsia" w:ascii="宋体" w:hAnsi="宋体" w:eastAsia="宋体" w:cs="宋体"/>
                <w:b w:val="0"/>
                <w:bCs w:val="0"/>
                <w:color w:val="auto"/>
                <w:sz w:val="21"/>
                <w:szCs w:val="21"/>
                <w:highlight w:val="none"/>
                <w:lang w:val="en-US" w:eastAsia="zh-CN"/>
              </w:rPr>
              <w:t>基本符合采购需求的得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3.方案有所欠缺，理解较欠缺，勉强符合采购需求的，得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pPr>
              <w:pStyle w:val="174"/>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4.与本项目不匹配或缺项的不得分。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6</w:t>
            </w:r>
            <w:r>
              <w:rPr>
                <w:rFonts w:hint="eastAsia" w:ascii="宋体" w:hAnsi="宋体" w:eastAsia="宋体" w:cs="宋体"/>
                <w:b w:val="0"/>
                <w:bCs/>
                <w:color w:val="auto"/>
                <w:kern w:val="2"/>
                <w:sz w:val="21"/>
                <w:szCs w:val="21"/>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1"/>
                <w:szCs w:val="21"/>
                <w:highlight w:val="none"/>
                <w:vertAlign w:val="baseline"/>
                <w:lang w:val="en-US" w:eastAsia="zh-CN" w:bidi="ar-SA"/>
              </w:rPr>
            </w:pPr>
          </w:p>
        </w:tc>
        <w:tc>
          <w:tcPr>
            <w:tcW w:w="8076"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、管道疏通质量保障</w:t>
            </w:r>
            <w:r>
              <w:rPr>
                <w:rFonts w:hint="eastAsia" w:ascii="宋体" w:hAnsi="宋体" w:cs="宋体"/>
                <w:b/>
                <w:bCs/>
                <w:color w:val="auto"/>
                <w:sz w:val="21"/>
                <w:szCs w:val="21"/>
                <w:highlight w:val="none"/>
                <w:lang w:val="en-US" w:eastAsia="zh-CN"/>
              </w:rPr>
              <w:t>措施及承诺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根据投标人提供的</w:t>
            </w:r>
            <w:r>
              <w:rPr>
                <w:rFonts w:hint="eastAsia" w:ascii="宋体" w:hAnsi="宋体" w:eastAsia="宋体" w:cs="宋体"/>
                <w:b w:val="0"/>
                <w:bCs w:val="0"/>
                <w:color w:val="auto"/>
                <w:sz w:val="21"/>
                <w:szCs w:val="21"/>
                <w:highlight w:val="none"/>
                <w:lang w:val="en-US" w:eastAsia="zh-CN"/>
              </w:rPr>
              <w:t>针对本项目制定的管道疏通质量保障措施及承诺</w:t>
            </w:r>
            <w:r>
              <w:rPr>
                <w:rFonts w:hint="eastAsia" w:ascii="宋体" w:hAnsi="宋体" w:eastAsia="宋体" w:cs="宋体"/>
                <w:b w:val="0"/>
                <w:bCs w:val="0"/>
                <w:color w:val="auto"/>
                <w:sz w:val="21"/>
                <w:szCs w:val="21"/>
                <w:highlight w:val="none"/>
              </w:rPr>
              <w:t>进行综合评议</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1.保障措施及承诺</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全面完善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具有可靠性，贴合实际情况，操作性强</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方案内容</w:t>
            </w:r>
            <w:r>
              <w:rPr>
                <w:rFonts w:hint="eastAsia" w:ascii="宋体" w:hAnsi="宋体" w:eastAsia="宋体" w:cs="宋体"/>
                <w:b w:val="0"/>
                <w:bCs w:val="0"/>
                <w:color w:val="auto"/>
                <w:sz w:val="21"/>
                <w:szCs w:val="21"/>
                <w:highlight w:val="none"/>
                <w:lang w:val="en-US" w:eastAsia="zh-CN"/>
              </w:rPr>
              <w:t>完整，具有参考性</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基本符合实际情况的</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方案内容</w:t>
            </w:r>
            <w:r>
              <w:rPr>
                <w:rFonts w:hint="eastAsia" w:ascii="宋体" w:hAnsi="宋体" w:eastAsia="宋体" w:cs="宋体"/>
                <w:b w:val="0"/>
                <w:bCs w:val="0"/>
                <w:color w:val="auto"/>
                <w:sz w:val="21"/>
                <w:szCs w:val="21"/>
                <w:highlight w:val="none"/>
                <w:lang w:val="en-US" w:eastAsia="zh-CN"/>
              </w:rPr>
              <w:t>有所欠缺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操作性一般</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pStyle w:val="174"/>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4.与本项目不匹配及缺项的不得分。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pStyle w:val="174"/>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项目（管道疏通）</w:t>
            </w:r>
            <w:r>
              <w:rPr>
                <w:rFonts w:hint="eastAsia" w:ascii="宋体" w:hAnsi="宋体" w:eastAsia="宋体" w:cs="宋体"/>
                <w:b/>
                <w:bCs/>
                <w:color w:val="auto"/>
                <w:sz w:val="21"/>
                <w:szCs w:val="21"/>
                <w:highlight w:val="none"/>
                <w:lang w:val="en-US" w:eastAsia="zh-CN"/>
              </w:rPr>
              <w:t>管理</w:t>
            </w:r>
            <w:r>
              <w:rPr>
                <w:rFonts w:hint="eastAsia" w:ascii="宋体" w:hAnsi="宋体" w:cs="宋体"/>
                <w:b/>
                <w:bCs/>
                <w:color w:val="auto"/>
                <w:sz w:val="21"/>
                <w:szCs w:val="21"/>
                <w:highlight w:val="none"/>
                <w:lang w:val="en-US" w:eastAsia="zh-CN"/>
              </w:rPr>
              <w:t>制度</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pPr>
              <w:pStyle w:val="174"/>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b w:val="0"/>
                <w:bCs w:val="0"/>
                <w:color w:val="auto"/>
                <w:sz w:val="21"/>
                <w:szCs w:val="21"/>
                <w:highlight w:val="none"/>
              </w:rPr>
              <w:t>据投标人提供的</w:t>
            </w:r>
            <w:r>
              <w:rPr>
                <w:rFonts w:hint="eastAsia" w:ascii="宋体" w:hAnsi="宋体" w:eastAsia="宋体" w:cs="宋体"/>
                <w:b w:val="0"/>
                <w:bCs w:val="0"/>
                <w:color w:val="auto"/>
                <w:sz w:val="21"/>
                <w:szCs w:val="21"/>
                <w:highlight w:val="none"/>
                <w:lang w:val="en-US" w:eastAsia="zh-CN"/>
              </w:rPr>
              <w:t>管理</w:t>
            </w:r>
            <w:r>
              <w:rPr>
                <w:rFonts w:hint="eastAsia" w:ascii="宋体" w:hAnsi="宋体" w:cs="宋体"/>
                <w:b w:val="0"/>
                <w:bCs w:val="0"/>
                <w:color w:val="auto"/>
                <w:sz w:val="21"/>
                <w:szCs w:val="21"/>
                <w:highlight w:val="none"/>
                <w:lang w:val="en-US" w:eastAsia="zh-CN"/>
              </w:rPr>
              <w:t>制度</w:t>
            </w:r>
            <w:r>
              <w:rPr>
                <w:rFonts w:hint="eastAsia" w:ascii="宋体" w:hAnsi="宋体" w:eastAsia="宋体" w:cs="宋体"/>
                <w:b w:val="0"/>
                <w:bCs w:val="0"/>
                <w:color w:val="auto"/>
                <w:sz w:val="21"/>
                <w:szCs w:val="21"/>
                <w:highlight w:val="none"/>
                <w:lang w:val="en-US" w:eastAsia="zh-CN"/>
              </w:rPr>
              <w:t>进行</w:t>
            </w:r>
            <w:r>
              <w:rPr>
                <w:rFonts w:hint="eastAsia" w:ascii="宋体" w:hAnsi="宋体" w:eastAsia="宋体" w:cs="宋体"/>
                <w:b w:val="0"/>
                <w:bCs w:val="0"/>
                <w:color w:val="auto"/>
                <w:sz w:val="21"/>
                <w:szCs w:val="21"/>
                <w:highlight w:val="none"/>
              </w:rPr>
              <w:t>综合评议。</w:t>
            </w:r>
          </w:p>
          <w:p>
            <w:pPr>
              <w:pStyle w:val="174"/>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b w:val="0"/>
                <w:bCs w:val="0"/>
                <w:color w:val="auto"/>
                <w:sz w:val="21"/>
                <w:szCs w:val="21"/>
                <w:highlight w:val="none"/>
                <w:lang w:val="en-US" w:eastAsia="zh-CN"/>
              </w:rPr>
              <w:t>1.管理制度体系完善、</w:t>
            </w:r>
            <w:r>
              <w:rPr>
                <w:rFonts w:hint="eastAsia" w:ascii="宋体" w:hAnsi="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lang w:val="en-US" w:eastAsia="zh-CN"/>
              </w:rPr>
              <w:t>保障</w:t>
            </w:r>
            <w:r>
              <w:rPr>
                <w:rFonts w:hint="eastAsia" w:ascii="宋体" w:hAnsi="宋体" w:cs="宋体"/>
                <w:b w:val="0"/>
                <w:bCs w:val="0"/>
                <w:color w:val="auto"/>
                <w:sz w:val="21"/>
                <w:szCs w:val="21"/>
                <w:highlight w:val="none"/>
                <w:lang w:val="en-US" w:eastAsia="zh-CN"/>
              </w:rPr>
              <w:t>；操作规程齐全</w:t>
            </w:r>
            <w:r>
              <w:rPr>
                <w:rFonts w:hint="eastAsia" w:ascii="宋体" w:hAnsi="宋体" w:eastAsia="宋体" w:cs="宋体"/>
                <w:color w:val="auto"/>
                <w:szCs w:val="21"/>
                <w:highlight w:val="none"/>
                <w:lang w:val="en-US" w:eastAsia="zh-CN" w:bidi="ar"/>
              </w:rPr>
              <w:t>的得</w:t>
            </w:r>
            <w:r>
              <w:rPr>
                <w:rFonts w:hint="eastAsia" w:ascii="宋体" w:hAnsi="宋体" w:cs="宋体"/>
                <w:color w:val="auto"/>
                <w:szCs w:val="21"/>
                <w:highlight w:val="none"/>
                <w:lang w:val="en-US" w:eastAsia="zh-CN" w:bidi="ar"/>
              </w:rPr>
              <w:t>6</w:t>
            </w:r>
            <w:r>
              <w:rPr>
                <w:rFonts w:hint="eastAsia" w:ascii="宋体" w:hAnsi="宋体" w:eastAsia="宋体" w:cs="宋体"/>
                <w:color w:val="auto"/>
                <w:szCs w:val="21"/>
                <w:highlight w:val="none"/>
                <w:lang w:val="en-US" w:eastAsia="zh-CN" w:bidi="ar"/>
              </w:rPr>
              <w:t>分；</w:t>
            </w:r>
          </w:p>
          <w:p>
            <w:pPr>
              <w:pStyle w:val="174"/>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r>
              <w:rPr>
                <w:rFonts w:hint="eastAsia" w:ascii="宋体" w:hAnsi="宋体" w:eastAsia="宋体" w:cs="宋体"/>
                <w:b w:val="0"/>
                <w:bCs w:val="0"/>
                <w:color w:val="auto"/>
                <w:sz w:val="21"/>
                <w:szCs w:val="21"/>
                <w:highlight w:val="none"/>
                <w:lang w:val="en-US" w:eastAsia="zh-CN"/>
              </w:rPr>
              <w:t>管理制度体系</w:t>
            </w:r>
            <w:r>
              <w:rPr>
                <w:rFonts w:hint="eastAsia" w:ascii="宋体" w:hAnsi="宋体" w:eastAsia="宋体" w:cs="宋体"/>
                <w:color w:val="auto"/>
                <w:szCs w:val="21"/>
                <w:highlight w:val="none"/>
                <w:lang w:val="en-US" w:eastAsia="zh-CN" w:bidi="ar"/>
              </w:rPr>
              <w:t>较完善，</w:t>
            </w:r>
            <w:r>
              <w:rPr>
                <w:rFonts w:hint="eastAsia" w:ascii="宋体" w:hAnsi="宋体" w:cs="宋体"/>
                <w:b w:val="0"/>
                <w:bCs w:val="0"/>
                <w:color w:val="auto"/>
                <w:sz w:val="21"/>
                <w:szCs w:val="21"/>
                <w:highlight w:val="none"/>
                <w:lang w:val="en-US" w:eastAsia="zh-CN"/>
              </w:rPr>
              <w:t>操作规程</w:t>
            </w:r>
            <w:r>
              <w:rPr>
                <w:rFonts w:hint="eastAsia" w:ascii="宋体" w:hAnsi="宋体" w:eastAsia="宋体" w:cs="宋体"/>
                <w:color w:val="auto"/>
                <w:szCs w:val="21"/>
                <w:highlight w:val="none"/>
                <w:lang w:val="en-US" w:eastAsia="zh-CN" w:bidi="ar"/>
              </w:rPr>
              <w:t>具有一定参考性的得</w:t>
            </w:r>
            <w:r>
              <w:rPr>
                <w:rFonts w:hint="eastAsia" w:ascii="宋体" w:hAnsi="宋体" w:cs="宋体"/>
                <w:color w:val="auto"/>
                <w:szCs w:val="21"/>
                <w:highlight w:val="none"/>
                <w:lang w:val="en-US" w:eastAsia="zh-CN" w:bidi="ar"/>
              </w:rPr>
              <w:t>4</w:t>
            </w:r>
            <w:r>
              <w:rPr>
                <w:rFonts w:hint="eastAsia" w:ascii="宋体" w:hAnsi="宋体" w:eastAsia="宋体" w:cs="宋体"/>
                <w:color w:val="auto"/>
                <w:szCs w:val="21"/>
                <w:highlight w:val="none"/>
                <w:lang w:val="en-US" w:eastAsia="zh-CN" w:bidi="ar"/>
              </w:rPr>
              <w:t>分；</w:t>
            </w:r>
          </w:p>
          <w:p>
            <w:pPr>
              <w:pStyle w:val="174"/>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w:t>
            </w:r>
            <w:r>
              <w:rPr>
                <w:rFonts w:hint="eastAsia" w:ascii="宋体" w:hAnsi="宋体" w:eastAsia="宋体" w:cs="宋体"/>
                <w:b w:val="0"/>
                <w:bCs w:val="0"/>
                <w:color w:val="auto"/>
                <w:sz w:val="21"/>
                <w:szCs w:val="21"/>
                <w:highlight w:val="none"/>
                <w:lang w:val="en-US" w:eastAsia="zh-CN"/>
              </w:rPr>
              <w:t>管理制度体系、</w:t>
            </w:r>
            <w:r>
              <w:rPr>
                <w:rFonts w:hint="eastAsia" w:ascii="宋体" w:hAnsi="宋体" w:cs="宋体"/>
                <w:b w:val="0"/>
                <w:bCs w:val="0"/>
                <w:color w:val="auto"/>
                <w:sz w:val="21"/>
                <w:szCs w:val="21"/>
                <w:highlight w:val="none"/>
                <w:lang w:val="en-US" w:eastAsia="zh-CN"/>
              </w:rPr>
              <w:t>操作规程等</w:t>
            </w:r>
            <w:r>
              <w:rPr>
                <w:rFonts w:hint="eastAsia" w:ascii="宋体" w:hAnsi="宋体" w:eastAsia="宋体" w:cs="宋体"/>
                <w:color w:val="auto"/>
                <w:szCs w:val="21"/>
                <w:highlight w:val="none"/>
                <w:lang w:val="en-US" w:eastAsia="zh-CN" w:bidi="ar"/>
              </w:rPr>
              <w:t>内容有所欠缺，参考性一般的得2分。</w:t>
            </w:r>
          </w:p>
          <w:p>
            <w:pPr>
              <w:pStyle w:val="174"/>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
              </w:rPr>
              <w:t>4.与本项目不匹配或缺项的不得分。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保障项目</w:t>
            </w:r>
            <w:r>
              <w:rPr>
                <w:rFonts w:hint="eastAsia" w:ascii="宋体" w:hAnsi="宋体" w:eastAsia="宋体" w:cs="宋体"/>
                <w:b/>
                <w:bCs/>
                <w:color w:val="auto"/>
                <w:sz w:val="21"/>
                <w:szCs w:val="21"/>
                <w:highlight w:val="none"/>
              </w:rPr>
              <w:t>落实计划的具体措施（</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 xml:space="preserve">分） </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w:t>
            </w:r>
            <w:r>
              <w:rPr>
                <w:rFonts w:hint="eastAsia" w:ascii="宋体" w:hAnsi="宋体" w:eastAsia="宋体" w:cs="宋体"/>
                <w:b w:val="0"/>
                <w:bCs w:val="0"/>
                <w:color w:val="auto"/>
                <w:sz w:val="21"/>
                <w:szCs w:val="21"/>
                <w:highlight w:val="none"/>
                <w:lang w:val="en-US" w:eastAsia="zh-CN"/>
              </w:rPr>
              <w:t>提供的保障项目</w:t>
            </w:r>
            <w:r>
              <w:rPr>
                <w:rFonts w:hint="eastAsia" w:ascii="宋体" w:hAnsi="宋体" w:eastAsia="宋体" w:cs="宋体"/>
                <w:b w:val="0"/>
                <w:bCs w:val="0"/>
                <w:color w:val="auto"/>
                <w:sz w:val="21"/>
                <w:szCs w:val="21"/>
                <w:highlight w:val="none"/>
              </w:rPr>
              <w:t>落实计划的具体措施</w:t>
            </w:r>
            <w:r>
              <w:rPr>
                <w:rFonts w:hint="eastAsia" w:ascii="宋体" w:hAnsi="宋体" w:eastAsia="宋体" w:cs="宋体"/>
                <w:b w:val="0"/>
                <w:bCs w:val="0"/>
                <w:color w:val="auto"/>
                <w:sz w:val="21"/>
                <w:szCs w:val="21"/>
                <w:highlight w:val="none"/>
                <w:lang w:val="en-US" w:eastAsia="zh-CN"/>
              </w:rPr>
              <w:t>进行</w:t>
            </w:r>
            <w:r>
              <w:rPr>
                <w:rFonts w:hint="eastAsia" w:ascii="宋体" w:hAnsi="宋体" w:eastAsia="宋体" w:cs="宋体"/>
                <w:b w:val="0"/>
                <w:bCs w:val="0"/>
                <w:color w:val="auto"/>
                <w:sz w:val="21"/>
                <w:szCs w:val="21"/>
                <w:highlight w:val="none"/>
              </w:rPr>
              <w:t>综合评议</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1.保障措施完善</w:t>
            </w:r>
            <w:r>
              <w:rPr>
                <w:rFonts w:hint="eastAsia" w:ascii="宋体" w:hAnsi="宋体" w:cs="宋体"/>
                <w:color w:val="auto"/>
                <w:kern w:val="2"/>
                <w:sz w:val="21"/>
                <w:szCs w:val="21"/>
                <w:highlight w:val="none"/>
                <w:lang w:val="en-US" w:eastAsia="zh-CN" w:bidi="ar-SA"/>
              </w:rPr>
              <w:t>有效</w:t>
            </w:r>
            <w:r>
              <w:rPr>
                <w:rFonts w:hint="eastAsia" w:ascii="宋体" w:hAnsi="宋体" w:eastAsia="宋体" w:cs="宋体"/>
                <w:color w:val="auto"/>
                <w:kern w:val="2"/>
                <w:sz w:val="21"/>
                <w:szCs w:val="21"/>
                <w:highlight w:val="none"/>
                <w:lang w:val="en-US" w:eastAsia="zh-CN" w:bidi="ar-SA"/>
              </w:rPr>
              <w:t>、贴合实际情况，</w:t>
            </w:r>
            <w:r>
              <w:rPr>
                <w:rFonts w:hint="eastAsia" w:ascii="宋体" w:hAnsi="宋体" w:cs="宋体"/>
                <w:color w:val="auto"/>
                <w:kern w:val="2"/>
                <w:sz w:val="21"/>
                <w:szCs w:val="21"/>
                <w:highlight w:val="none"/>
                <w:lang w:val="en-US" w:eastAsia="zh-CN" w:bidi="ar-SA"/>
              </w:rPr>
              <w:t>可执行力、</w:t>
            </w:r>
            <w:r>
              <w:rPr>
                <w:rFonts w:hint="eastAsia" w:ascii="宋体" w:hAnsi="宋体" w:eastAsia="宋体" w:cs="宋体"/>
                <w:color w:val="auto"/>
                <w:kern w:val="2"/>
                <w:sz w:val="21"/>
                <w:szCs w:val="21"/>
                <w:highlight w:val="none"/>
                <w:lang w:val="en-US" w:eastAsia="zh-CN" w:bidi="ar-SA"/>
              </w:rPr>
              <w:t>操作性强的得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2.保障措施基本完善、基本符合项目需求的得4分。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3.保障措施有所欠缺，不够合理的得2分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lang w:val="en-US" w:eastAsia="zh-CN"/>
              </w:rPr>
              <w:t>与本项目不匹配或缺项的不得分。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、安全生产、文明生产措施（</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根据投标人提供的</w:t>
            </w:r>
            <w:r>
              <w:rPr>
                <w:rFonts w:hint="eastAsia" w:ascii="宋体" w:hAnsi="宋体" w:eastAsia="宋体" w:cs="宋体"/>
                <w:b w:val="0"/>
                <w:bCs w:val="0"/>
                <w:color w:val="auto"/>
                <w:sz w:val="21"/>
                <w:szCs w:val="21"/>
                <w:highlight w:val="none"/>
                <w:lang w:val="en-US" w:eastAsia="zh-CN"/>
              </w:rPr>
              <w:t>针对本项目制定的安全生产、文明生产措施</w:t>
            </w:r>
            <w:r>
              <w:rPr>
                <w:rFonts w:hint="eastAsia" w:ascii="宋体" w:hAnsi="宋体" w:eastAsia="宋体" w:cs="宋体"/>
                <w:b w:val="0"/>
                <w:bCs w:val="0"/>
                <w:color w:val="auto"/>
                <w:sz w:val="21"/>
                <w:szCs w:val="21"/>
                <w:highlight w:val="none"/>
              </w:rPr>
              <w:t>进行综合评议</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1.措施</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全面完善合理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贴合实际情况，操作性强</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2.措施</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完整，基本符合实际情况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具有参考性</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3.措施</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有所欠缺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操作性强一般</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4.与本项目不匹配及缺项的不得分。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针对特殊情况（如突击检查、创优评优等）的应急保障措施（</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根据投标人提供的针对特殊情况（如突击检查、创优评优等）的应急保障措施进行综合评议</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1.应急保障措施全面完善，可操作性强，具有前瞻性与参考性得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2.应急保障措施内容完整，具有一定前瞻性的得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3.应急保障措施有所欠缺，参考性欠缺的得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4.与本项目不匹配及缺项的不得分。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针对突发情况（如遇特大台风、暴雨等）的应急保障措施（</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根据投标人提供的针对突发情况（如遇特大台风、暴雨等）的应急保障措施进行综合评议</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1.应急保障措施全面完善，可操作性强，具有前瞻性与参考性得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2.应急保障措施内容完整，具有一定前瞻性的得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3.应急保障措施有所欠缺，参考性欠缺的得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4.与本项目不匹配及缺项的不得分。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、项目负责人及管理人员配备情况</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根据投标人拟投入本项目的项目负责人及管理人员配备情况等进行</w:t>
            </w:r>
            <w:r>
              <w:rPr>
                <w:rFonts w:hint="eastAsia" w:ascii="宋体" w:hAnsi="宋体" w:eastAsia="宋体" w:cs="宋体"/>
                <w:b w:val="0"/>
                <w:bCs w:val="0"/>
                <w:color w:val="auto"/>
                <w:sz w:val="21"/>
                <w:szCs w:val="21"/>
                <w:highlight w:val="none"/>
              </w:rPr>
              <w:t>综合评议</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1.项目负责人及管理人员配备齐全合理、类似项目业务经验能力丰富、技能水平高，业主评价好的得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2.人员配备比较齐全、具有一定类似项目业务经验以及技能水平的得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3.人员配备基本项目需求，类似项目业务经验不充分，技能水平所欠缺的得2分；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4.与本项目不匹配或缺项的不得分。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、团队成员配备情况</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根据投标人拟投入本项目的作业人员数量、技能水平、工作经验及特殊岗位人员配备等进行</w:t>
            </w:r>
            <w:r>
              <w:rPr>
                <w:rFonts w:hint="eastAsia" w:ascii="宋体" w:hAnsi="宋体" w:eastAsia="宋体" w:cs="宋体"/>
                <w:b w:val="0"/>
                <w:bCs w:val="0"/>
                <w:color w:val="auto"/>
                <w:sz w:val="21"/>
                <w:szCs w:val="21"/>
                <w:highlight w:val="none"/>
              </w:rPr>
              <w:t>综合评议</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1.团队人员配备齐全，配置结构情况合理、分工明确、类似项目业务经验能力丰富的得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2.团队人员配备比较齐全、分工合理、具有一定类似项目业务经验的得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3.团队人员分工基本明确，人员配备基本项目需求，类似项目业务经验不充分，团队配置情况有所欠缺的得2分；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4.与本项目不匹配或缺项的不得分。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、人员培训</w:t>
            </w:r>
            <w:r>
              <w:rPr>
                <w:rFonts w:hint="eastAsia" w:ascii="宋体" w:hAnsi="宋体" w:cs="宋体"/>
                <w:b/>
                <w:bCs/>
                <w:color w:val="auto"/>
                <w:kern w:val="2"/>
                <w:sz w:val="21"/>
                <w:szCs w:val="21"/>
                <w:highlight w:val="none"/>
                <w:lang w:val="en-US" w:eastAsia="zh-CN" w:bidi="ar-SA"/>
              </w:rPr>
              <w:t>考核</w:t>
            </w:r>
            <w:r>
              <w:rPr>
                <w:rFonts w:hint="eastAsia" w:ascii="宋体" w:hAnsi="宋体" w:eastAsia="宋体" w:cs="宋体"/>
                <w:b/>
                <w:bCs/>
                <w:color w:val="auto"/>
                <w:kern w:val="2"/>
                <w:sz w:val="21"/>
                <w:szCs w:val="21"/>
                <w:highlight w:val="none"/>
                <w:lang w:val="en-US" w:eastAsia="zh-CN" w:bidi="ar-SA"/>
              </w:rPr>
              <w:t>方案（6分）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根据投标人的人员培训考核方案进行</w:t>
            </w:r>
            <w:r>
              <w:rPr>
                <w:rFonts w:hint="eastAsia" w:ascii="宋体" w:hAnsi="宋体" w:eastAsia="宋体" w:cs="宋体"/>
                <w:b w:val="0"/>
                <w:bCs w:val="0"/>
                <w:color w:val="auto"/>
                <w:sz w:val="21"/>
                <w:szCs w:val="21"/>
                <w:highlight w:val="none"/>
              </w:rPr>
              <w:t>综合评议</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培训考核制度完善，培训</w:t>
            </w:r>
            <w:r>
              <w:rPr>
                <w:rFonts w:hint="eastAsia" w:ascii="宋体" w:hAnsi="宋体" w:eastAsia="宋体" w:cs="宋体"/>
                <w:color w:val="auto"/>
                <w:kern w:val="2"/>
                <w:sz w:val="21"/>
                <w:szCs w:val="21"/>
                <w:highlight w:val="none"/>
                <w:lang w:val="en-US" w:eastAsia="zh-CN" w:bidi="ar-SA"/>
              </w:rPr>
              <w:t>内容全面，</w:t>
            </w:r>
            <w:r>
              <w:rPr>
                <w:rFonts w:hint="eastAsia" w:ascii="宋体" w:hAnsi="宋体" w:cs="宋体"/>
                <w:color w:val="auto"/>
                <w:kern w:val="2"/>
                <w:sz w:val="21"/>
                <w:szCs w:val="21"/>
                <w:highlight w:val="none"/>
                <w:lang w:val="en-US" w:eastAsia="zh-CN" w:bidi="ar-SA"/>
              </w:rPr>
              <w:t>切合本项目需求，具有</w:t>
            </w:r>
            <w:r>
              <w:rPr>
                <w:rFonts w:hint="eastAsia" w:ascii="宋体" w:hAnsi="宋体" w:eastAsia="宋体" w:cs="宋体"/>
                <w:color w:val="auto"/>
                <w:kern w:val="2"/>
                <w:sz w:val="21"/>
                <w:szCs w:val="21"/>
                <w:highlight w:val="none"/>
                <w:lang w:val="en-US" w:eastAsia="zh-CN" w:bidi="ar-SA"/>
              </w:rPr>
              <w:t>针对性</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得6分；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培训考核</w:t>
            </w:r>
            <w:r>
              <w:rPr>
                <w:rFonts w:hint="eastAsia" w:ascii="宋体" w:hAnsi="宋体" w:eastAsia="宋体" w:cs="宋体"/>
                <w:color w:val="auto"/>
                <w:kern w:val="2"/>
                <w:sz w:val="21"/>
                <w:szCs w:val="21"/>
                <w:highlight w:val="none"/>
                <w:lang w:val="en-US" w:eastAsia="zh-CN" w:bidi="ar-SA"/>
              </w:rPr>
              <w:t>内容基本符合</w:t>
            </w:r>
            <w:r>
              <w:rPr>
                <w:rFonts w:hint="eastAsia" w:ascii="宋体"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实际情况，具有一定参考性</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得4分；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培训考核</w:t>
            </w:r>
            <w:r>
              <w:rPr>
                <w:rFonts w:hint="eastAsia" w:ascii="宋体" w:hAnsi="宋体" w:eastAsia="宋体" w:cs="宋体"/>
                <w:color w:val="auto"/>
                <w:kern w:val="2"/>
                <w:sz w:val="21"/>
                <w:szCs w:val="21"/>
                <w:highlight w:val="none"/>
                <w:lang w:val="en-US" w:eastAsia="zh-CN" w:bidi="ar-SA"/>
              </w:rPr>
              <w:t>内容有所欠缺，参考性、针对性一般的，得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4.与本项目不匹配及缺项的不得分。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kern w:val="2"/>
                <w:sz w:val="21"/>
                <w:szCs w:val="21"/>
                <w:highlight w:val="none"/>
                <w:lang w:val="en-US" w:eastAsia="zh-CN" w:bidi="ar-SA"/>
              </w:rPr>
              <w:t>12、</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方案</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根据投标人针对本项目服务承诺方案、服务便捷性、</w:t>
            </w:r>
            <w:r>
              <w:rPr>
                <w:rFonts w:hint="eastAsia" w:ascii="宋体" w:hAnsi="宋体"/>
                <w:color w:val="auto"/>
                <w:szCs w:val="21"/>
                <w:highlight w:val="none"/>
                <w:lang w:eastAsia="zh-CN"/>
              </w:rPr>
              <w:t>快速应急能力、有效响应时间</w:t>
            </w:r>
            <w:r>
              <w:rPr>
                <w:rFonts w:hint="eastAsia" w:ascii="宋体" w:hAnsi="宋体" w:eastAsia="宋体" w:cs="宋体"/>
                <w:color w:val="auto"/>
                <w:kern w:val="2"/>
                <w:sz w:val="21"/>
                <w:szCs w:val="21"/>
                <w:highlight w:val="none"/>
                <w:lang w:val="en-US" w:eastAsia="zh-CN" w:bidi="ar-SA"/>
              </w:rPr>
              <w:t>等进行综合评议：</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1.方案内容完善，服务便捷性、响应及时性上具有优势，</w:t>
            </w:r>
            <w:r>
              <w:rPr>
                <w:rFonts w:hint="eastAsia" w:ascii="宋体" w:hAnsi="宋体"/>
                <w:color w:val="auto"/>
                <w:szCs w:val="21"/>
                <w:highlight w:val="none"/>
                <w:lang w:eastAsia="zh-CN"/>
              </w:rPr>
              <w:t>快速应急能力</w:t>
            </w:r>
            <w:r>
              <w:rPr>
                <w:rFonts w:hint="eastAsia" w:ascii="宋体" w:hAnsi="宋体"/>
                <w:color w:val="auto"/>
                <w:szCs w:val="21"/>
                <w:highlight w:val="none"/>
                <w:lang w:val="en-US" w:eastAsia="zh-CN"/>
              </w:rPr>
              <w:t>强</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2.方案具有一定的优势，响应及时有效的得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3.方案优势不明显或响应及时性有欠缺的得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4.与本项目不匹配及缺项的不得分。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kern w:val="2"/>
                <w:sz w:val="21"/>
                <w:szCs w:val="21"/>
                <w:highlight w:val="none"/>
                <w:lang w:val="en-US" w:eastAsia="zh-CN" w:bidi="ar-SA"/>
              </w:rPr>
              <w:t>13、重难点分析及相应的对策措施</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w:t>
            </w:r>
            <w:r>
              <w:rPr>
                <w:rFonts w:hint="eastAsia" w:ascii="宋体" w:hAnsi="宋体" w:eastAsia="宋体" w:cs="宋体"/>
                <w:color w:val="auto"/>
                <w:kern w:val="2"/>
                <w:sz w:val="21"/>
                <w:szCs w:val="21"/>
                <w:highlight w:val="none"/>
                <w:lang w:val="zh-CN" w:eastAsia="zh-CN" w:bidi="ar-SA"/>
              </w:rPr>
              <w:t>针对本项目实施过程中</w:t>
            </w:r>
            <w:r>
              <w:rPr>
                <w:rFonts w:hint="eastAsia" w:ascii="宋体" w:hAnsi="宋体" w:eastAsia="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zh-CN" w:eastAsia="zh-CN" w:bidi="ar-SA"/>
              </w:rPr>
              <w:t>重难点</w:t>
            </w:r>
            <w:r>
              <w:rPr>
                <w:rFonts w:hint="eastAsia" w:ascii="宋体" w:hAnsi="宋体" w:eastAsia="宋体" w:cs="宋体"/>
                <w:color w:val="auto"/>
                <w:kern w:val="2"/>
                <w:sz w:val="21"/>
                <w:szCs w:val="21"/>
                <w:highlight w:val="none"/>
                <w:lang w:val="en-US" w:eastAsia="zh-CN" w:bidi="ar-SA"/>
              </w:rPr>
              <w:t>分析及相应的对策措施进行综合评议：</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1.重难点分析及相应的对策措施剖析精准、全面、详尽的，得6分；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重难点</w:t>
            </w:r>
            <w:r>
              <w:rPr>
                <w:rFonts w:hint="eastAsia" w:ascii="宋体" w:hAnsi="宋体" w:eastAsia="宋体" w:cs="宋体"/>
                <w:color w:val="auto"/>
                <w:kern w:val="2"/>
                <w:sz w:val="21"/>
                <w:szCs w:val="21"/>
                <w:highlight w:val="none"/>
                <w:lang w:val="en-US" w:eastAsia="zh-CN" w:bidi="ar-SA"/>
              </w:rPr>
              <w:t>分析及相应的对策措施基本符合项目情况的得4分；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重难点</w:t>
            </w:r>
            <w:r>
              <w:rPr>
                <w:rFonts w:hint="eastAsia" w:ascii="宋体" w:hAnsi="宋体" w:eastAsia="宋体" w:cs="宋体"/>
                <w:color w:val="auto"/>
                <w:kern w:val="2"/>
                <w:sz w:val="21"/>
                <w:szCs w:val="21"/>
                <w:highlight w:val="none"/>
                <w:lang w:val="en-US" w:eastAsia="zh-CN" w:bidi="ar-SA"/>
              </w:rPr>
              <w:t>分析及相应的对策措施有欠缺的得2分。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4.与本项目不匹配及缺项的不得分。</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3" w:type="dxa"/>
            <w:vMerge w:val="continue"/>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c>
          <w:tcPr>
            <w:tcW w:w="8076"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、类似业绩（2分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自20</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年1月1日至今</w:t>
            </w:r>
            <w:r>
              <w:rPr>
                <w:rFonts w:hint="eastAsia" w:ascii="宋体" w:hAnsi="宋体" w:cs="宋体"/>
                <w:color w:val="auto"/>
                <w:kern w:val="2"/>
                <w:sz w:val="21"/>
                <w:szCs w:val="21"/>
                <w:highlight w:val="none"/>
                <w:lang w:val="en-US" w:eastAsia="zh-CN" w:bidi="ar-SA"/>
              </w:rPr>
              <w:t>（以合同签订日期为准）</w:t>
            </w:r>
            <w:r>
              <w:rPr>
                <w:rFonts w:hint="eastAsia" w:ascii="宋体" w:hAnsi="宋体" w:eastAsia="宋体" w:cs="宋体"/>
                <w:color w:val="auto"/>
                <w:kern w:val="2"/>
                <w:sz w:val="21"/>
                <w:szCs w:val="21"/>
                <w:highlight w:val="none"/>
                <w:lang w:val="en-US" w:eastAsia="zh-CN" w:bidi="ar-SA"/>
              </w:rPr>
              <w:t>，投标人</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类似</w:t>
            </w:r>
            <w:r>
              <w:rPr>
                <w:rFonts w:hint="eastAsia" w:ascii="宋体"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业绩的，每提供一个得1分，最高得2分。（</w:t>
            </w:r>
            <w:r>
              <w:rPr>
                <w:rFonts w:hint="eastAsia" w:ascii="宋体" w:hAnsi="宋体" w:cs="宋体"/>
                <w:color w:val="auto"/>
                <w:kern w:val="2"/>
                <w:sz w:val="21"/>
                <w:szCs w:val="21"/>
                <w:highlight w:val="none"/>
                <w:lang w:val="en-US" w:eastAsia="zh-CN" w:bidi="ar-SA"/>
              </w:rPr>
              <w:t>投标文件中</w:t>
            </w:r>
            <w:r>
              <w:rPr>
                <w:rFonts w:hint="eastAsia" w:ascii="宋体" w:hAnsi="宋体" w:eastAsia="宋体" w:cs="宋体"/>
                <w:color w:val="auto"/>
                <w:kern w:val="2"/>
                <w:sz w:val="21"/>
                <w:szCs w:val="21"/>
                <w:highlight w:val="none"/>
                <w:lang w:val="en-US" w:eastAsia="zh-CN" w:bidi="ar-SA"/>
              </w:rPr>
              <w:t>提供合同复印件并加盖公章）</w:t>
            </w:r>
          </w:p>
        </w:tc>
        <w:tc>
          <w:tcPr>
            <w:tcW w:w="874" w:type="dxa"/>
            <w:vAlign w:val="center"/>
          </w:tcPr>
          <w:p>
            <w:pPr>
              <w:pStyle w:val="63"/>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2</w:t>
            </w:r>
            <w:r>
              <w:rPr>
                <w:rFonts w:hint="eastAsia" w:ascii="宋体" w:hAnsi="宋体" w:eastAsia="宋体" w:cs="宋体"/>
                <w:b w:val="0"/>
                <w:bCs/>
                <w:color w:val="auto"/>
                <w:sz w:val="21"/>
                <w:szCs w:val="21"/>
                <w:highlight w:val="none"/>
                <w:vertAlign w:val="baseline"/>
                <w:lang w:val="en-US" w:eastAsia="zh-CN"/>
              </w:rPr>
              <w:t>分</w:t>
            </w:r>
          </w:p>
        </w:tc>
      </w:tr>
    </w:tbl>
    <w:p>
      <w:pPr>
        <w:pStyle w:val="61"/>
        <w:rPr>
          <w:rFonts w:hint="eastAsia" w:ascii="宋体" w:hAnsi="宋体" w:cs="宋体"/>
          <w:b/>
          <w:color w:val="auto"/>
          <w:szCs w:val="21"/>
          <w:highlight w:val="none"/>
        </w:rPr>
      </w:pPr>
    </w:p>
    <w:p>
      <w:pPr>
        <w:pStyle w:val="63"/>
        <w:rPr>
          <w:rFonts w:hint="eastAsia" w:ascii="宋体" w:hAnsi="宋体" w:cs="宋体"/>
          <w:b/>
          <w:color w:val="auto"/>
          <w:szCs w:val="21"/>
          <w:highlight w:val="none"/>
        </w:rPr>
      </w:pPr>
    </w:p>
    <w:p>
      <w:pPr>
        <w:pStyle w:val="63"/>
        <w:rPr>
          <w:rFonts w:hint="eastAsia"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附表4报价文件初步审查表</w:t>
      </w:r>
    </w:p>
    <w:p>
      <w:pPr>
        <w:rPr>
          <w:color w:val="auto"/>
          <w:highlight w:val="none"/>
        </w:rPr>
      </w:pPr>
    </w:p>
    <w:tbl>
      <w:tblPr>
        <w:tblStyle w:val="49"/>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15"/>
        <w:gridCol w:w="1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715"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156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20" w:lineRule="exact"/>
              <w:jc w:val="center"/>
              <w:rPr>
                <w:rFonts w:ascii="宋体" w:hAnsi="宋体" w:cs="宋体"/>
                <w:color w:val="auto"/>
                <w:szCs w:val="21"/>
                <w:highlight w:val="none"/>
              </w:rPr>
            </w:pPr>
            <w:bookmarkStart w:id="169" w:name="_Toc1519"/>
            <w:bookmarkStart w:id="170" w:name="_Toc28886"/>
            <w:r>
              <w:rPr>
                <w:rFonts w:hint="eastAsia" w:ascii="宋体" w:hAnsi="宋体" w:cs="宋体"/>
                <w:color w:val="auto"/>
                <w:szCs w:val="21"/>
                <w:highlight w:val="none"/>
              </w:rPr>
              <w:t>1</w:t>
            </w:r>
            <w:bookmarkEnd w:id="169"/>
            <w:bookmarkEnd w:id="170"/>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按照采购文件规定要求签署或盖章；</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投标文件项目齐全；</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采用人民币报价或者按照采购文件标明的币种报价的；</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1"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不存在报价超出最高限价，或者超出采购预算金额，采购人不能支付的情形；</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不存在投标报价具有选择性的情形；</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投标报价中未出现重大缺项、漏项；</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41"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7</w:t>
            </w:r>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投标文件（报价文件）内容与投标文件（商务技术文件）内容不存在重大差异的；</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20" w:lineRule="exact"/>
              <w:jc w:val="center"/>
              <w:rPr>
                <w:rFonts w:ascii="宋体" w:hAnsi="宋体" w:cs="宋体"/>
                <w:color w:val="auto"/>
                <w:szCs w:val="21"/>
                <w:highlight w:val="none"/>
              </w:rPr>
            </w:pPr>
            <w:r>
              <w:rPr>
                <w:rFonts w:ascii="宋体" w:hAnsi="宋体" w:cs="宋体"/>
                <w:color w:val="auto"/>
                <w:szCs w:val="21"/>
                <w:highlight w:val="none"/>
              </w:rPr>
              <w:t>8</w:t>
            </w:r>
          </w:p>
        </w:tc>
        <w:tc>
          <w:tcPr>
            <w:tcW w:w="6715"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不存在法律、法规和采购文件规定的其他无效情形；</w:t>
            </w:r>
          </w:p>
        </w:tc>
        <w:tc>
          <w:tcPr>
            <w:tcW w:w="156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6" w:type="dxa"/>
            <w:gridSpan w:val="2"/>
            <w:vAlign w:val="center"/>
          </w:tcPr>
          <w:p>
            <w:pPr>
              <w:spacing w:line="320" w:lineRule="exact"/>
              <w:jc w:val="center"/>
              <w:rPr>
                <w:rFonts w:ascii="宋体" w:hAnsi="宋体" w:cs="宋体"/>
                <w:color w:val="auto"/>
                <w:szCs w:val="21"/>
                <w:highlight w:val="none"/>
              </w:rPr>
            </w:pPr>
            <w:r>
              <w:rPr>
                <w:rFonts w:hint="eastAsia" w:ascii="宋体" w:hAnsi="宋体" w:cs="宋体"/>
                <w:b/>
                <w:color w:val="auto"/>
                <w:szCs w:val="21"/>
                <w:highlight w:val="none"/>
              </w:rPr>
              <w:t>初步审查结论</w:t>
            </w:r>
          </w:p>
        </w:tc>
        <w:tc>
          <w:tcPr>
            <w:tcW w:w="1560" w:type="dxa"/>
            <w:vAlign w:val="center"/>
          </w:tcPr>
          <w:p>
            <w:pPr>
              <w:spacing w:line="320" w:lineRule="exact"/>
              <w:jc w:val="left"/>
              <w:rPr>
                <w:rFonts w:ascii="宋体" w:hAnsi="宋体" w:cs="宋体"/>
                <w:color w:val="auto"/>
                <w:szCs w:val="21"/>
                <w:highlight w:val="none"/>
              </w:rPr>
            </w:pPr>
          </w:p>
        </w:tc>
      </w:tr>
    </w:tbl>
    <w:p>
      <w:pPr>
        <w:pStyle w:val="2"/>
        <w:spacing w:line="320" w:lineRule="exact"/>
        <w:rPr>
          <w:rFonts w:ascii="宋体" w:hAnsi="宋体" w:cs="宋体"/>
          <w:color w:val="auto"/>
          <w:sz w:val="21"/>
          <w:szCs w:val="21"/>
          <w:highlight w:val="none"/>
        </w:rPr>
      </w:pPr>
      <w:r>
        <w:rPr>
          <w:rFonts w:hint="eastAsia" w:ascii="宋体" w:hAnsi="宋体" w:cs="宋体"/>
          <w:b/>
          <w:color w:val="auto"/>
          <w:sz w:val="21"/>
          <w:szCs w:val="21"/>
          <w:highlight w:val="none"/>
        </w:rPr>
        <w:t>注：上述审查项目中，任意一项不符合的，报价审查不合格。</w:t>
      </w:r>
    </w:p>
    <w:p>
      <w:pPr>
        <w:spacing w:line="320" w:lineRule="exact"/>
        <w:jc w:val="center"/>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附表5价格评分表</w:t>
      </w:r>
    </w:p>
    <w:p>
      <w:pPr>
        <w:rPr>
          <w:color w:val="auto"/>
          <w:highlight w:val="none"/>
        </w:rPr>
      </w:pPr>
    </w:p>
    <w:tbl>
      <w:tblPr>
        <w:tblStyle w:val="4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7" w:type="dxa"/>
            <w:vAlign w:val="center"/>
          </w:tcPr>
          <w:p>
            <w:pPr>
              <w:spacing w:line="360" w:lineRule="auto"/>
              <w:jc w:val="center"/>
              <w:rPr>
                <w:rFonts w:ascii="宋体" w:hAnsi="宋体" w:cs="宋体"/>
                <w:b/>
                <w:color w:val="auto"/>
                <w:kern w:val="0"/>
                <w:szCs w:val="18"/>
                <w:highlight w:val="none"/>
              </w:rPr>
            </w:pPr>
            <w:r>
              <w:rPr>
                <w:rFonts w:hint="eastAsia" w:ascii="宋体" w:hAnsi="宋体" w:cs="宋体"/>
                <w:b/>
                <w:color w:val="auto"/>
                <w:kern w:val="0"/>
                <w:szCs w:val="18"/>
                <w:highlight w:val="none"/>
              </w:rPr>
              <w:t>报价得分（</w:t>
            </w:r>
            <w:r>
              <w:rPr>
                <w:rFonts w:hint="eastAsia" w:ascii="宋体" w:hAnsi="宋体" w:cs="宋体"/>
                <w:b/>
                <w:color w:val="auto"/>
                <w:kern w:val="0"/>
                <w:szCs w:val="18"/>
                <w:highlight w:val="none"/>
                <w:lang w:val="en-US" w:eastAsia="zh-CN"/>
              </w:rPr>
              <w:t>20</w:t>
            </w:r>
            <w:r>
              <w:rPr>
                <w:rFonts w:hint="eastAsia" w:ascii="宋体" w:hAnsi="宋体" w:cs="宋体"/>
                <w:b/>
                <w:color w:val="auto"/>
                <w:kern w:val="0"/>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9067" w:type="dxa"/>
            <w:vAlign w:val="center"/>
          </w:tcPr>
          <w:p>
            <w:pPr>
              <w:spacing w:line="360" w:lineRule="auto"/>
              <w:rPr>
                <w:rFonts w:ascii="宋体" w:hAnsi="宋体" w:cs="宋体"/>
                <w:color w:val="auto"/>
                <w:kern w:val="0"/>
                <w:szCs w:val="18"/>
                <w:highlight w:val="none"/>
              </w:rPr>
            </w:pPr>
            <w:r>
              <w:rPr>
                <w:rFonts w:hint="eastAsia" w:ascii="宋体" w:hAnsi="宋体" w:cs="宋体"/>
                <w:color w:val="auto"/>
                <w:kern w:val="0"/>
                <w:szCs w:val="18"/>
                <w:highlight w:val="none"/>
              </w:rPr>
              <w:t>投标报价得分（</w:t>
            </w:r>
            <w:r>
              <w:rPr>
                <w:rFonts w:hint="eastAsia" w:ascii="宋体" w:hAnsi="宋体" w:cs="宋体"/>
                <w:color w:val="auto"/>
                <w:kern w:val="0"/>
                <w:szCs w:val="18"/>
                <w:highlight w:val="none"/>
                <w:lang w:val="en-US" w:eastAsia="zh-CN"/>
              </w:rPr>
              <w:t>20</w:t>
            </w:r>
            <w:r>
              <w:rPr>
                <w:rFonts w:hint="eastAsia" w:ascii="宋体" w:hAnsi="宋体" w:cs="宋体"/>
                <w:color w:val="auto"/>
                <w:kern w:val="0"/>
                <w:szCs w:val="18"/>
                <w:highlight w:val="none"/>
              </w:rPr>
              <w:t>分）：</w:t>
            </w:r>
          </w:p>
          <w:p>
            <w:pPr>
              <w:spacing w:line="360" w:lineRule="auto"/>
              <w:rPr>
                <w:rFonts w:ascii="宋体" w:hAnsi="宋体" w:cs="宋体"/>
                <w:color w:val="auto"/>
                <w:kern w:val="0"/>
                <w:szCs w:val="18"/>
                <w:highlight w:val="none"/>
              </w:rPr>
            </w:pPr>
            <w:r>
              <w:rPr>
                <w:rFonts w:hint="eastAsia" w:ascii="宋体" w:hAnsi="宋体" w:cs="宋体"/>
                <w:color w:val="auto"/>
                <w:kern w:val="0"/>
                <w:szCs w:val="18"/>
                <w:highlight w:val="none"/>
              </w:rPr>
              <w:t>投标评审价=有效投标报价</w:t>
            </w:r>
          </w:p>
          <w:p>
            <w:pPr>
              <w:spacing w:line="360" w:lineRule="auto"/>
              <w:rPr>
                <w:rFonts w:ascii="宋体" w:hAnsi="宋体" w:cs="宋体"/>
                <w:color w:val="auto"/>
                <w:spacing w:val="-4"/>
                <w:kern w:val="0"/>
                <w:szCs w:val="18"/>
                <w:highlight w:val="none"/>
              </w:rPr>
            </w:pPr>
            <w:r>
              <w:rPr>
                <w:rFonts w:hint="eastAsia" w:ascii="宋体" w:hAnsi="宋体" w:cs="宋体"/>
                <w:color w:val="auto"/>
                <w:kern w:val="0"/>
                <w:szCs w:val="18"/>
                <w:highlight w:val="none"/>
              </w:rPr>
              <w:t>满足招标文件要求有效投标报价且投标评审价最低的投标评审价为评标基准价，其他投标人的报价得分按下列公式计算：报价得分=（评标基准价/投标评审价）×</w:t>
            </w:r>
            <w:r>
              <w:rPr>
                <w:rFonts w:hint="eastAsia" w:ascii="宋体" w:hAnsi="宋体" w:cs="宋体"/>
                <w:color w:val="auto"/>
                <w:kern w:val="0"/>
                <w:szCs w:val="18"/>
                <w:highlight w:val="none"/>
                <w:lang w:val="en-US" w:eastAsia="zh-CN"/>
              </w:rPr>
              <w:t>20</w:t>
            </w:r>
            <w:r>
              <w:rPr>
                <w:rFonts w:hint="eastAsia" w:ascii="宋体" w:hAnsi="宋体" w:cs="宋体"/>
                <w:color w:val="auto"/>
                <w:kern w:val="0"/>
                <w:szCs w:val="18"/>
                <w:highlight w:val="none"/>
              </w:rPr>
              <w:t>%×100</w:t>
            </w:r>
          </w:p>
          <w:p>
            <w:pPr>
              <w:spacing w:line="360" w:lineRule="auto"/>
              <w:rPr>
                <w:rFonts w:hint="eastAsia" w:ascii="宋体" w:hAnsi="宋体" w:cs="宋体"/>
                <w:color w:val="auto"/>
                <w:spacing w:val="-4"/>
                <w:kern w:val="0"/>
                <w:szCs w:val="18"/>
                <w:highlight w:val="none"/>
              </w:rPr>
            </w:pPr>
            <w:r>
              <w:rPr>
                <w:rFonts w:hint="eastAsia" w:ascii="宋体" w:hAnsi="宋体" w:cs="宋体"/>
                <w:color w:val="auto"/>
                <w:kern w:val="0"/>
                <w:szCs w:val="18"/>
                <w:highlight w:val="none"/>
              </w:rPr>
              <w:t xml:space="preserve"> </w:t>
            </w:r>
            <w:r>
              <w:rPr>
                <w:rFonts w:hint="eastAsia" w:ascii="宋体" w:hAnsi="宋体" w:cs="宋体"/>
                <w:color w:val="auto"/>
                <w:spacing w:val="-4"/>
                <w:kern w:val="0"/>
                <w:szCs w:val="18"/>
                <w:highlight w:val="none"/>
              </w:rPr>
              <w:t>(报价得分以四舍五入方法整合到小数点后两位)</w:t>
            </w:r>
          </w:p>
          <w:p>
            <w:pPr>
              <w:pStyle w:val="64"/>
              <w:ind w:left="0" w:leftChars="0" w:firstLine="0" w:firstLineChars="0"/>
              <w:rPr>
                <w:color w:val="auto"/>
                <w:highlight w:val="none"/>
              </w:rPr>
            </w:pPr>
            <w:r>
              <w:rPr>
                <w:rFonts w:hint="eastAsia" w:ascii="宋体" w:hAnsi="宋体" w:eastAsia="宋体" w:cs="宋体"/>
                <w:color w:val="auto"/>
                <w:kern w:val="0"/>
                <w:sz w:val="21"/>
                <w:szCs w:val="18"/>
                <w:highlight w:val="none"/>
                <w:lang w:val="en-US" w:eastAsia="zh-CN" w:bidi="ar-SA"/>
              </w:rPr>
              <w:t>注：投标报价超过最高限价</w:t>
            </w:r>
            <w:r>
              <w:rPr>
                <w:rFonts w:hint="eastAsia" w:ascii="宋体" w:hAnsi="宋体" w:cs="宋体"/>
                <w:color w:val="auto"/>
                <w:kern w:val="0"/>
                <w:sz w:val="21"/>
                <w:szCs w:val="18"/>
                <w:highlight w:val="none"/>
                <w:lang w:val="en-US" w:eastAsia="zh-CN" w:bidi="ar-SA"/>
              </w:rPr>
              <w:t>（预算价）</w:t>
            </w:r>
            <w:r>
              <w:rPr>
                <w:rFonts w:hint="eastAsia" w:ascii="宋体" w:hAnsi="宋体" w:eastAsia="宋体" w:cs="宋体"/>
                <w:color w:val="auto"/>
                <w:kern w:val="0"/>
                <w:sz w:val="21"/>
                <w:szCs w:val="18"/>
                <w:highlight w:val="none"/>
                <w:lang w:val="en-US" w:eastAsia="zh-CN" w:bidi="ar-SA"/>
              </w:rPr>
              <w:t>的作无效标处理。</w:t>
            </w:r>
          </w:p>
        </w:tc>
      </w:tr>
    </w:tbl>
    <w:p>
      <w:pPr>
        <w:spacing w:line="400" w:lineRule="exact"/>
        <w:jc w:val="left"/>
        <w:rPr>
          <w:rFonts w:ascii="宋体"/>
          <w:color w:val="auto"/>
          <w:szCs w:val="21"/>
          <w:highlight w:val="none"/>
        </w:rPr>
      </w:pPr>
      <w:bookmarkStart w:id="171" w:name="_Toc17069"/>
      <w:r>
        <w:rPr>
          <w:rFonts w:hint="eastAsia" w:ascii="宋体" w:hAnsi="宋体"/>
          <w:b/>
          <w:color w:val="auto"/>
          <w:sz w:val="18"/>
          <w:szCs w:val="18"/>
          <w:highlight w:val="none"/>
        </w:rPr>
        <w:t>注：</w:t>
      </w:r>
      <w:r>
        <w:rPr>
          <w:rFonts w:ascii="宋体" w:hAnsi="宋体"/>
          <w:b/>
          <w:color w:val="auto"/>
          <w:sz w:val="18"/>
          <w:szCs w:val="18"/>
          <w:highlight w:val="none"/>
        </w:rPr>
        <w:t>1</w:t>
      </w:r>
      <w:r>
        <w:rPr>
          <w:rFonts w:hint="eastAsia" w:ascii="宋体" w:hAnsi="宋体"/>
          <w:b/>
          <w:color w:val="auto"/>
          <w:sz w:val="18"/>
          <w:szCs w:val="18"/>
          <w:highlight w:val="none"/>
        </w:rPr>
        <w:t>、本项目为专门面向中小企业的采购项目。符合要求的监狱企业和残疾人福利性单位视作小微企业</w:t>
      </w:r>
      <w:r>
        <w:rPr>
          <w:rFonts w:ascii="宋体" w:hAnsi="宋体"/>
          <w:b/>
          <w:color w:val="auto"/>
          <w:sz w:val="18"/>
          <w:szCs w:val="18"/>
          <w:highlight w:val="none"/>
        </w:rPr>
        <w:t>:</w:t>
      </w:r>
      <w:r>
        <w:rPr>
          <w:rFonts w:hint="eastAsia" w:ascii="宋体" w:hAnsi="宋体"/>
          <w:b/>
          <w:color w:val="auto"/>
          <w:sz w:val="18"/>
          <w:szCs w:val="18"/>
          <w:highlight w:val="none"/>
        </w:rPr>
        <w:t>根据《财政部司法部关于政府采购支持监狱企业发展有关问题的通知》（财库〔</w:t>
      </w:r>
      <w:r>
        <w:rPr>
          <w:rFonts w:ascii="宋体" w:hAnsi="宋体"/>
          <w:b/>
          <w:color w:val="auto"/>
          <w:sz w:val="18"/>
          <w:szCs w:val="18"/>
          <w:highlight w:val="none"/>
        </w:rPr>
        <w:t>2014</w:t>
      </w:r>
      <w:r>
        <w:rPr>
          <w:rFonts w:hint="eastAsia" w:ascii="宋体" w:hAnsi="宋体"/>
          <w:b/>
          <w:color w:val="auto"/>
          <w:sz w:val="18"/>
          <w:szCs w:val="18"/>
          <w:highlight w:val="none"/>
        </w:rPr>
        <w:t>〕</w:t>
      </w:r>
      <w:r>
        <w:rPr>
          <w:rFonts w:ascii="宋体" w:hAnsi="宋体"/>
          <w:b/>
          <w:color w:val="auto"/>
          <w:sz w:val="18"/>
          <w:szCs w:val="18"/>
          <w:highlight w:val="none"/>
        </w:rPr>
        <w:t>68</w:t>
      </w:r>
      <w:r>
        <w:rPr>
          <w:rFonts w:hint="eastAsia" w:ascii="宋体" w:hAnsi="宋体"/>
          <w:b/>
          <w:color w:val="auto"/>
          <w:sz w:val="18"/>
          <w:szCs w:val="18"/>
          <w:highlight w:val="none"/>
        </w:rPr>
        <w:t>号）规定，监狱企业视同小型、微型企业。监狱企业参加政府采购活动时，应当提供由省级以上监狱管理局、戒毒管理局（含新疆生产建设兵团）出具的属于监狱企业的证明文件。根据《关于促进残疾人就业政府采购政策的通知》（财库</w:t>
      </w:r>
      <w:r>
        <w:rPr>
          <w:rFonts w:ascii="宋体" w:hAnsi="宋体"/>
          <w:b/>
          <w:color w:val="auto"/>
          <w:sz w:val="18"/>
          <w:szCs w:val="18"/>
          <w:highlight w:val="none"/>
        </w:rPr>
        <w:t>[2017]141</w:t>
      </w:r>
      <w:r>
        <w:rPr>
          <w:rFonts w:hint="eastAsia" w:ascii="宋体" w:hAnsi="宋体"/>
          <w:b/>
          <w:color w:val="auto"/>
          <w:sz w:val="18"/>
          <w:szCs w:val="18"/>
          <w:highlight w:val="none"/>
        </w:rPr>
        <w:t>号）规定，残疾人福利性单位视同小型、微型企业（残疾人福利性单位属于小型、微型企业的，不重复享受政策）。</w:t>
      </w:r>
    </w:p>
    <w:p>
      <w:pPr>
        <w:spacing w:line="360" w:lineRule="exact"/>
        <w:jc w:val="center"/>
        <w:rPr>
          <w:rFonts w:ascii="宋体" w:hAnsi="宋体"/>
          <w:color w:val="auto"/>
          <w:sz w:val="18"/>
          <w:szCs w:val="1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spacing w:line="360" w:lineRule="exact"/>
        <w:jc w:val="center"/>
        <w:rPr>
          <w:rStyle w:val="68"/>
          <w:color w:val="auto"/>
          <w:sz w:val="28"/>
          <w:szCs w:val="28"/>
          <w:highlight w:val="none"/>
        </w:rPr>
      </w:pPr>
    </w:p>
    <w:p>
      <w:pPr>
        <w:rPr>
          <w:rFonts w:hint="eastAsia" w:cs="Times New Roman"/>
          <w:color w:val="auto"/>
          <w:highlight w:val="none"/>
        </w:rPr>
      </w:pPr>
      <w:bookmarkStart w:id="172" w:name="_Toc141878075"/>
      <w:bookmarkStart w:id="173" w:name="_Toc16615"/>
      <w:r>
        <w:rPr>
          <w:rFonts w:hint="eastAsia" w:cs="Times New Roman"/>
          <w:color w:val="auto"/>
          <w:highlight w:val="none"/>
        </w:rPr>
        <w:br w:type="page"/>
      </w:r>
    </w:p>
    <w:p>
      <w:pPr>
        <w:pStyle w:val="4"/>
        <w:bidi w:val="0"/>
        <w:jc w:val="center"/>
        <w:outlineLvl w:val="0"/>
        <w:rPr>
          <w:rFonts w:hint="eastAsia"/>
          <w:color w:val="auto"/>
          <w:highlight w:val="none"/>
        </w:rPr>
      </w:pPr>
      <w:bookmarkStart w:id="174" w:name="_Toc26843"/>
      <w:r>
        <w:rPr>
          <w:rFonts w:hint="eastAsia"/>
          <w:color w:val="auto"/>
          <w:highlight w:val="none"/>
        </w:rPr>
        <w:t>第五章  合同主要条款</w:t>
      </w:r>
      <w:bookmarkEnd w:id="171"/>
      <w:bookmarkEnd w:id="172"/>
      <w:bookmarkEnd w:id="173"/>
      <w:bookmarkEnd w:id="174"/>
    </w:p>
    <w:p>
      <w:pPr>
        <w:pStyle w:val="2"/>
        <w:spacing w:line="160" w:lineRule="exact"/>
        <w:rPr>
          <w:color w:val="auto"/>
          <w:highlight w:val="none"/>
        </w:rPr>
      </w:pPr>
    </w:p>
    <w:p>
      <w:pPr>
        <w:adjustRightInd w:val="0"/>
        <w:spacing w:line="384" w:lineRule="auto"/>
        <w:jc w:val="center"/>
        <w:textAlignment w:val="bottom"/>
        <w:rPr>
          <w:b/>
          <w:color w:val="auto"/>
          <w:sz w:val="22"/>
          <w:szCs w:val="21"/>
          <w:highlight w:val="none"/>
        </w:rPr>
      </w:pPr>
      <w:bookmarkStart w:id="175" w:name="_Toc5767"/>
      <w:bookmarkStart w:id="176" w:name="_Toc496687423"/>
      <w:r>
        <w:rPr>
          <w:rFonts w:hint="eastAsia"/>
          <w:b/>
          <w:color w:val="auto"/>
          <w:sz w:val="22"/>
          <w:szCs w:val="21"/>
          <w:highlight w:val="none"/>
        </w:rPr>
        <w:t>浙江省政府采购合同指引（服务）</w:t>
      </w:r>
    </w:p>
    <w:p>
      <w:pPr>
        <w:adjustRightInd w:val="0"/>
        <w:spacing w:line="384" w:lineRule="auto"/>
        <w:jc w:val="center"/>
        <w:textAlignment w:val="bottom"/>
        <w:rPr>
          <w:b/>
          <w:color w:val="auto"/>
          <w:szCs w:val="21"/>
          <w:highlight w:val="none"/>
        </w:rPr>
      </w:pPr>
      <w:r>
        <w:rPr>
          <w:rFonts w:hint="eastAsia"/>
          <w:b/>
          <w:color w:val="auto"/>
          <w:szCs w:val="21"/>
          <w:highlight w:val="none"/>
        </w:rPr>
        <w:t>（合同指引文本为参考文本，采购人和中标人经过协商后签署最终合同）</w:t>
      </w:r>
    </w:p>
    <w:p>
      <w:pPr>
        <w:spacing w:line="400" w:lineRule="exact"/>
        <w:rPr>
          <w:b/>
          <w:color w:val="auto"/>
          <w:szCs w:val="21"/>
          <w:highlight w:val="none"/>
        </w:rPr>
      </w:pPr>
    </w:p>
    <w:p>
      <w:pPr>
        <w:pStyle w:val="26"/>
        <w:keepNext w:val="0"/>
        <w:keepLines w:val="0"/>
        <w:pageBreakBefore w:val="0"/>
        <w:widowControl w:val="0"/>
        <w:kinsoku/>
        <w:wordWrap/>
        <w:topLinePunct w:val="0"/>
        <w:bidi w:val="0"/>
        <w:spacing w:before="0" w:beforeLines="0" w:after="0" w:afterLines="0" w:line="360" w:lineRule="auto"/>
        <w:ind w:right="0" w:rightChars="0"/>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项目名称：                                     项目编号：</w:t>
      </w:r>
    </w:p>
    <w:p>
      <w:pPr>
        <w:pStyle w:val="26"/>
        <w:keepNext w:val="0"/>
        <w:keepLines w:val="0"/>
        <w:pageBreakBefore w:val="0"/>
        <w:widowControl w:val="0"/>
        <w:kinsoku/>
        <w:wordWrap/>
        <w:topLinePunct w:val="0"/>
        <w:bidi w:val="0"/>
        <w:spacing w:before="0" w:beforeLines="0" w:after="0" w:afterLines="0" w:line="360" w:lineRule="auto"/>
        <w:ind w:right="0" w:rightChars="0"/>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采购人：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lang w:val="zh-CN"/>
        </w:rPr>
        <w:t>（甲方）</w:t>
      </w:r>
    </w:p>
    <w:p>
      <w:pPr>
        <w:pStyle w:val="26"/>
        <w:keepNext w:val="0"/>
        <w:keepLines w:val="0"/>
        <w:pageBreakBefore w:val="0"/>
        <w:widowControl w:val="0"/>
        <w:kinsoku/>
        <w:wordWrap/>
        <w:topLinePunct w:val="0"/>
        <w:bidi w:val="0"/>
        <w:spacing w:before="0" w:beforeLines="0" w:after="0" w:afterLines="0" w:line="360" w:lineRule="auto"/>
        <w:ind w:right="0" w:rightChars="0"/>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供应商：</w:t>
      </w:r>
      <w:r>
        <w:rPr>
          <w:rFonts w:hint="eastAsia" w:hAnsi="宋体" w:cs="宋体"/>
          <w:color w:val="auto"/>
          <w:sz w:val="21"/>
          <w:szCs w:val="21"/>
          <w:highlight w:val="none"/>
          <w:u w:val="single"/>
        </w:rPr>
        <w:t xml:space="preserve">                  </w:t>
      </w:r>
      <w:r>
        <w:rPr>
          <w:rFonts w:hint="eastAsia" w:hAnsi="宋体" w:cs="宋体"/>
          <w:color w:val="auto"/>
          <w:sz w:val="21"/>
          <w:szCs w:val="21"/>
          <w:highlight w:val="none"/>
          <w:lang w:val="zh-CN"/>
        </w:rPr>
        <w:t>（乙方）</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日，在</w:t>
      </w:r>
      <w:r>
        <w:rPr>
          <w:rFonts w:hint="eastAsia" w:ascii="宋体" w:hAnsi="宋体"/>
          <w:color w:val="auto"/>
          <w:szCs w:val="21"/>
          <w:highlight w:val="none"/>
        </w:rPr>
        <w:t>宁波市江北区公共资源交易中心</w:t>
      </w:r>
      <w:r>
        <w:rPr>
          <w:rFonts w:hint="eastAsia" w:ascii="宋体" w:hAnsi="宋体" w:cs="宋体"/>
          <w:color w:val="auto"/>
          <w:szCs w:val="21"/>
          <w:highlight w:val="none"/>
        </w:rPr>
        <w:t>进行公开招标，经结果公告确定由乙方中标。按照《中华人民共和国民法典》的有关规定，在自愿、平等、公平、诚信的基础上，经双方协商一致，签订本合同。</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下述文件作为附件，是合同的组成部分，并与本合同一起阅读和解释：</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a.采购文件；</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b.投标文件及澄清文件；</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c.中标通知书；</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上述文件与合同若有不一致之处，优先次序第一应为合同、第二应为附件（附件的优先次序为c，b，a）。</w:t>
      </w:r>
    </w:p>
    <w:p>
      <w:pPr>
        <w:keepNext w:val="0"/>
        <w:keepLines w:val="0"/>
        <w:pageBreakBefore w:val="0"/>
        <w:widowControl w:val="0"/>
        <w:kinsoku/>
        <w:wordWrap/>
        <w:topLinePunct w:val="0"/>
        <w:autoSpaceDE/>
        <w:autoSpaceDN/>
        <w:bidi w:val="0"/>
        <w:adjustRightInd/>
        <w:snapToGrid/>
        <w:spacing w:line="360" w:lineRule="auto"/>
        <w:ind w:right="0" w:rightChars="0" w:firstLine="422" w:firstLineChars="200"/>
        <w:textAlignment w:val="auto"/>
        <w:rPr>
          <w:rFonts w:ascii="宋体" w:hAnsi="宋体"/>
          <w:b/>
          <w:iCs/>
          <w:color w:val="auto"/>
          <w:szCs w:val="21"/>
          <w:highlight w:val="none"/>
        </w:rPr>
      </w:pPr>
      <w:r>
        <w:rPr>
          <w:rFonts w:hint="eastAsia" w:ascii="宋体" w:hAnsi="宋体"/>
          <w:b/>
          <w:iCs/>
          <w:color w:val="auto"/>
          <w:szCs w:val="21"/>
          <w:highlight w:val="none"/>
        </w:rPr>
        <w:t>第一条</w:t>
      </w:r>
      <w:r>
        <w:rPr>
          <w:rFonts w:ascii="宋体" w:hAnsi="宋体"/>
          <w:b/>
          <w:iCs/>
          <w:color w:val="auto"/>
          <w:szCs w:val="21"/>
          <w:highlight w:val="none"/>
        </w:rPr>
        <w:t xml:space="preserve">  </w:t>
      </w:r>
      <w:r>
        <w:rPr>
          <w:rFonts w:hint="eastAsia" w:ascii="宋体" w:hAnsi="宋体"/>
          <w:b/>
          <w:iCs/>
          <w:color w:val="auto"/>
          <w:szCs w:val="21"/>
          <w:highlight w:val="none"/>
        </w:rPr>
        <w:t>项目基本情况</w:t>
      </w:r>
    </w:p>
    <w:p>
      <w:pPr>
        <w:keepNext w:val="0"/>
        <w:keepLines w:val="0"/>
        <w:pageBreakBefore w:val="0"/>
        <w:widowControl w:val="0"/>
        <w:kinsoku/>
        <w:wordWrap/>
        <w:topLinePunct w:val="0"/>
        <w:autoSpaceDE/>
        <w:autoSpaceDN/>
        <w:bidi w:val="0"/>
        <w:adjustRightInd/>
        <w:snapToGrid/>
        <w:spacing w:line="360" w:lineRule="auto"/>
        <w:ind w:right="0" w:rightChars="0" w:firstLine="315" w:firstLineChars="150"/>
        <w:textAlignment w:val="auto"/>
        <w:rPr>
          <w:rFonts w:ascii="宋体" w:hAnsi="宋体"/>
          <w:iCs/>
          <w:color w:val="auto"/>
          <w:szCs w:val="21"/>
          <w:highlight w:val="none"/>
        </w:rPr>
      </w:pPr>
      <w:r>
        <w:rPr>
          <w:rFonts w:hint="eastAsia" w:ascii="宋体" w:hAnsi="宋体"/>
          <w:iCs/>
          <w:color w:val="auto"/>
          <w:szCs w:val="21"/>
          <w:highlight w:val="none"/>
        </w:rPr>
        <w:t>（</w:t>
      </w:r>
      <w:r>
        <w:rPr>
          <w:rFonts w:ascii="宋体" w:hAnsi="宋体"/>
          <w:iCs/>
          <w:color w:val="auto"/>
          <w:szCs w:val="21"/>
          <w:highlight w:val="none"/>
        </w:rPr>
        <w:t>1</w:t>
      </w:r>
      <w:r>
        <w:rPr>
          <w:rFonts w:hint="eastAsia" w:ascii="宋体" w:hAnsi="宋体"/>
          <w:iCs/>
          <w:color w:val="auto"/>
          <w:szCs w:val="21"/>
          <w:highlight w:val="none"/>
        </w:rPr>
        <w:t>）项目名称：</w:t>
      </w:r>
      <w:r>
        <w:rPr>
          <w:rFonts w:ascii="宋体" w:hAnsi="宋体"/>
          <w:iCs/>
          <w:color w:val="auto"/>
          <w:szCs w:val="21"/>
          <w:highlight w:val="none"/>
        </w:rPr>
        <w:t xml:space="preserve"> </w:t>
      </w:r>
    </w:p>
    <w:p>
      <w:pPr>
        <w:keepNext w:val="0"/>
        <w:keepLines w:val="0"/>
        <w:pageBreakBefore w:val="0"/>
        <w:widowControl w:val="0"/>
        <w:kinsoku/>
        <w:wordWrap/>
        <w:overflowPunct w:val="0"/>
        <w:topLinePunct w:val="0"/>
        <w:autoSpaceDE/>
        <w:autoSpaceDN/>
        <w:bidi w:val="0"/>
        <w:adjustRightInd/>
        <w:snapToGrid/>
        <w:spacing w:line="360" w:lineRule="auto"/>
        <w:ind w:right="0" w:rightChars="0" w:firstLine="315" w:firstLineChars="150"/>
        <w:textAlignment w:val="auto"/>
        <w:rPr>
          <w:rFonts w:ascii="宋体" w:hAnsi="宋体"/>
          <w:iCs/>
          <w:color w:val="auto"/>
          <w:szCs w:val="21"/>
          <w:highlight w:val="none"/>
        </w:rPr>
      </w:pPr>
      <w:r>
        <w:rPr>
          <w:rFonts w:hint="eastAsia" w:ascii="宋体" w:hAnsi="宋体"/>
          <w:iCs/>
          <w:color w:val="auto"/>
          <w:szCs w:val="21"/>
          <w:highlight w:val="none"/>
        </w:rPr>
        <w:t>（</w:t>
      </w:r>
      <w:r>
        <w:rPr>
          <w:rFonts w:ascii="宋体" w:hAnsi="宋体"/>
          <w:iCs/>
          <w:color w:val="auto"/>
          <w:szCs w:val="21"/>
          <w:highlight w:val="none"/>
        </w:rPr>
        <w:t>2</w:t>
      </w:r>
      <w:r>
        <w:rPr>
          <w:rFonts w:hint="eastAsia" w:ascii="宋体" w:hAnsi="宋体"/>
          <w:iCs/>
          <w:color w:val="auto"/>
          <w:szCs w:val="21"/>
          <w:highlight w:val="none"/>
        </w:rPr>
        <w:t>）服务范围：</w:t>
      </w:r>
      <w:r>
        <w:rPr>
          <w:rFonts w:ascii="宋体" w:hAnsi="宋体"/>
          <w:iCs/>
          <w:color w:val="auto"/>
          <w:szCs w:val="21"/>
          <w:highlight w:val="none"/>
        </w:rPr>
        <w:t xml:space="preserve"> </w:t>
      </w:r>
    </w:p>
    <w:p>
      <w:pPr>
        <w:keepNext w:val="0"/>
        <w:keepLines w:val="0"/>
        <w:pageBreakBefore w:val="0"/>
        <w:widowControl w:val="0"/>
        <w:kinsoku/>
        <w:wordWrap/>
        <w:overflowPunct w:val="0"/>
        <w:topLinePunct w:val="0"/>
        <w:autoSpaceDE/>
        <w:autoSpaceDN/>
        <w:bidi w:val="0"/>
        <w:adjustRightInd/>
        <w:snapToGrid/>
        <w:spacing w:line="360" w:lineRule="auto"/>
        <w:ind w:right="0" w:rightChars="0" w:firstLine="422" w:firstLineChars="200"/>
        <w:textAlignment w:val="auto"/>
        <w:rPr>
          <w:rFonts w:ascii="宋体" w:hAnsi="宋体"/>
          <w:b/>
          <w:iCs/>
          <w:color w:val="auto"/>
          <w:szCs w:val="21"/>
          <w:highlight w:val="none"/>
        </w:rPr>
      </w:pPr>
      <w:r>
        <w:rPr>
          <w:rFonts w:hint="eastAsia" w:ascii="宋体" w:hAnsi="宋体"/>
          <w:b/>
          <w:iCs/>
          <w:color w:val="auto"/>
          <w:szCs w:val="21"/>
          <w:highlight w:val="none"/>
        </w:rPr>
        <w:t>第二条</w:t>
      </w:r>
      <w:r>
        <w:rPr>
          <w:rFonts w:ascii="宋体" w:hAnsi="宋体"/>
          <w:b/>
          <w:iCs/>
          <w:color w:val="auto"/>
          <w:szCs w:val="21"/>
          <w:highlight w:val="none"/>
        </w:rPr>
        <w:t xml:space="preserve">  </w:t>
      </w:r>
      <w:r>
        <w:rPr>
          <w:rFonts w:hint="eastAsia" w:ascii="宋体" w:hAnsi="宋体"/>
          <w:b/>
          <w:iCs/>
          <w:color w:val="auto"/>
          <w:szCs w:val="21"/>
          <w:highlight w:val="none"/>
        </w:rPr>
        <w:t>服务内容及执行的技术规范</w:t>
      </w:r>
    </w:p>
    <w:p>
      <w:pPr>
        <w:keepNext w:val="0"/>
        <w:keepLines w:val="0"/>
        <w:pageBreakBefore w:val="0"/>
        <w:widowControl w:val="0"/>
        <w:kinsoku/>
        <w:wordWrap/>
        <w:overflowPunct w:val="0"/>
        <w:topLinePunct w:val="0"/>
        <w:autoSpaceDE/>
        <w:autoSpaceDN/>
        <w:bidi w:val="0"/>
        <w:adjustRightInd/>
        <w:snapToGrid/>
        <w:spacing w:line="360" w:lineRule="auto"/>
        <w:ind w:right="0" w:rightChars="0" w:firstLine="315" w:firstLineChars="150"/>
        <w:textAlignment w:val="auto"/>
        <w:rPr>
          <w:rFonts w:ascii="宋体" w:hAnsi="宋体"/>
          <w:iCs/>
          <w:color w:val="auto"/>
          <w:szCs w:val="21"/>
          <w:highlight w:val="none"/>
        </w:rPr>
      </w:pPr>
      <w:r>
        <w:rPr>
          <w:rFonts w:hint="eastAsia" w:ascii="宋体" w:hAnsi="宋体"/>
          <w:iCs/>
          <w:color w:val="auto"/>
          <w:szCs w:val="21"/>
          <w:highlight w:val="none"/>
        </w:rPr>
        <w:t>（</w:t>
      </w:r>
      <w:r>
        <w:rPr>
          <w:rFonts w:ascii="宋体" w:hAnsi="宋体"/>
          <w:iCs/>
          <w:color w:val="auto"/>
          <w:szCs w:val="21"/>
          <w:highlight w:val="none"/>
        </w:rPr>
        <w:t>1</w:t>
      </w:r>
      <w:r>
        <w:rPr>
          <w:rFonts w:hint="eastAsia" w:ascii="宋体" w:hAnsi="宋体"/>
          <w:iCs/>
          <w:color w:val="auto"/>
          <w:szCs w:val="21"/>
          <w:highlight w:val="none"/>
        </w:rPr>
        <w:t>）服务内容：</w:t>
      </w:r>
    </w:p>
    <w:p>
      <w:pPr>
        <w:keepNext w:val="0"/>
        <w:keepLines w:val="0"/>
        <w:pageBreakBefore w:val="0"/>
        <w:widowControl w:val="0"/>
        <w:kinsoku/>
        <w:wordWrap/>
        <w:overflowPunct w:val="0"/>
        <w:topLinePunct w:val="0"/>
        <w:autoSpaceDE/>
        <w:autoSpaceDN/>
        <w:bidi w:val="0"/>
        <w:adjustRightInd/>
        <w:snapToGrid/>
        <w:spacing w:line="360" w:lineRule="auto"/>
        <w:ind w:right="0" w:rightChars="0" w:firstLine="315" w:firstLineChars="150"/>
        <w:textAlignment w:val="auto"/>
        <w:rPr>
          <w:rFonts w:ascii="宋体" w:hAnsi="宋体"/>
          <w:iCs/>
          <w:color w:val="auto"/>
          <w:szCs w:val="21"/>
          <w:highlight w:val="none"/>
        </w:rPr>
      </w:pPr>
      <w:r>
        <w:rPr>
          <w:rFonts w:hint="eastAsia" w:ascii="宋体" w:hAnsi="宋体"/>
          <w:iCs/>
          <w:color w:val="auto"/>
          <w:szCs w:val="21"/>
          <w:highlight w:val="none"/>
        </w:rPr>
        <w:t>（</w:t>
      </w:r>
      <w:r>
        <w:rPr>
          <w:rFonts w:ascii="宋体" w:hAnsi="宋体"/>
          <w:iCs/>
          <w:color w:val="auto"/>
          <w:szCs w:val="21"/>
          <w:highlight w:val="none"/>
        </w:rPr>
        <w:t>2</w:t>
      </w:r>
      <w:r>
        <w:rPr>
          <w:rFonts w:hint="eastAsia" w:ascii="宋体" w:hAnsi="宋体"/>
          <w:iCs/>
          <w:color w:val="auto"/>
          <w:szCs w:val="21"/>
          <w:highlight w:val="none"/>
        </w:rPr>
        <w:t>）执行技术规范：</w:t>
      </w:r>
    </w:p>
    <w:p>
      <w:pPr>
        <w:keepNext w:val="0"/>
        <w:keepLines w:val="0"/>
        <w:pageBreakBefore w:val="0"/>
        <w:widowControl w:val="0"/>
        <w:kinsoku/>
        <w:wordWrap/>
        <w:topLinePunct w:val="0"/>
        <w:autoSpaceDE/>
        <w:autoSpaceDN/>
        <w:bidi w:val="0"/>
        <w:adjustRightInd/>
        <w:snapToGrid/>
        <w:spacing w:line="360" w:lineRule="auto"/>
        <w:ind w:right="0" w:rightChars="0" w:firstLine="422" w:firstLineChars="200"/>
        <w:textAlignment w:val="auto"/>
        <w:rPr>
          <w:rFonts w:ascii="宋体" w:hAnsi="宋体"/>
          <w:b/>
          <w:iCs/>
          <w:color w:val="auto"/>
          <w:szCs w:val="21"/>
          <w:highlight w:val="none"/>
        </w:rPr>
      </w:pPr>
      <w:r>
        <w:rPr>
          <w:rFonts w:hint="eastAsia" w:ascii="宋体" w:hAnsi="宋体"/>
          <w:b/>
          <w:iCs/>
          <w:color w:val="auto"/>
          <w:szCs w:val="21"/>
          <w:highlight w:val="none"/>
        </w:rPr>
        <w:t>第三条</w:t>
      </w:r>
      <w:r>
        <w:rPr>
          <w:rFonts w:ascii="宋体" w:hAnsi="宋体"/>
          <w:b/>
          <w:iCs/>
          <w:color w:val="auto"/>
          <w:szCs w:val="21"/>
          <w:highlight w:val="none"/>
        </w:rPr>
        <w:t xml:space="preserve"> </w:t>
      </w:r>
      <w:r>
        <w:rPr>
          <w:rFonts w:hint="eastAsia" w:ascii="宋体" w:hAnsi="宋体"/>
          <w:b/>
          <w:iCs/>
          <w:color w:val="auto"/>
          <w:szCs w:val="21"/>
          <w:highlight w:val="none"/>
        </w:rPr>
        <w:t>人员和设备安排</w:t>
      </w:r>
    </w:p>
    <w:p>
      <w:pPr>
        <w:keepNext w:val="0"/>
        <w:keepLines w:val="0"/>
        <w:pageBreakBefore w:val="0"/>
        <w:widowControl w:val="0"/>
        <w:tabs>
          <w:tab w:val="left" w:pos="6945"/>
        </w:tabs>
        <w:kinsoku/>
        <w:wordWrap/>
        <w:topLinePunct w:val="0"/>
        <w:bidi w:val="0"/>
        <w:spacing w:line="360" w:lineRule="auto"/>
        <w:ind w:right="0" w:rightChars="0" w:firstLine="422" w:firstLineChars="200"/>
        <w:textAlignment w:val="auto"/>
        <w:rPr>
          <w:rFonts w:hint="eastAsia" w:ascii="宋体" w:hAnsi="宋体"/>
          <w:b/>
          <w:iCs/>
          <w:color w:val="auto"/>
          <w:szCs w:val="21"/>
          <w:highlight w:val="none"/>
        </w:rPr>
      </w:pPr>
      <w:r>
        <w:rPr>
          <w:rFonts w:hint="eastAsia" w:ascii="宋体" w:hAnsi="宋体"/>
          <w:b/>
          <w:iCs/>
          <w:color w:val="auto"/>
          <w:szCs w:val="21"/>
          <w:highlight w:val="none"/>
        </w:rPr>
        <w:t>第四条</w:t>
      </w:r>
      <w:r>
        <w:rPr>
          <w:rFonts w:ascii="宋体" w:hAnsi="宋体"/>
          <w:b/>
          <w:iCs/>
          <w:color w:val="auto"/>
          <w:szCs w:val="21"/>
          <w:highlight w:val="none"/>
        </w:rPr>
        <w:t xml:space="preserve">  </w:t>
      </w:r>
      <w:r>
        <w:rPr>
          <w:rFonts w:hint="eastAsia" w:ascii="宋体" w:hAnsi="宋体"/>
          <w:b/>
          <w:iCs/>
          <w:color w:val="auto"/>
          <w:szCs w:val="21"/>
          <w:highlight w:val="none"/>
        </w:rPr>
        <w:t>合同期限及其费用支付</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hint="eastAsia" w:ascii="宋体" w:hAnsi="宋体"/>
          <w:iCs/>
          <w:color w:val="auto"/>
          <w:szCs w:val="21"/>
          <w:highlight w:val="none"/>
        </w:rPr>
        <w:t>1、委托服务期限为：自     年</w:t>
      </w:r>
      <w:r>
        <w:rPr>
          <w:rFonts w:ascii="宋体" w:hAnsi="宋体"/>
          <w:iCs/>
          <w:color w:val="auto"/>
          <w:szCs w:val="21"/>
          <w:highlight w:val="none"/>
        </w:rPr>
        <w:t xml:space="preserve"> </w:t>
      </w:r>
      <w:r>
        <w:rPr>
          <w:rFonts w:hint="eastAsia" w:ascii="宋体" w:hAnsi="宋体"/>
          <w:iCs/>
          <w:color w:val="auto"/>
          <w:szCs w:val="21"/>
          <w:highlight w:val="none"/>
        </w:rPr>
        <w:t xml:space="preserve">   </w:t>
      </w:r>
      <w:r>
        <w:rPr>
          <w:rFonts w:ascii="宋体" w:hAnsi="宋体"/>
          <w:iCs/>
          <w:color w:val="auto"/>
          <w:szCs w:val="21"/>
          <w:highlight w:val="none"/>
        </w:rPr>
        <w:t xml:space="preserve"> </w:t>
      </w:r>
      <w:r>
        <w:rPr>
          <w:rFonts w:hint="eastAsia" w:ascii="宋体" w:hAnsi="宋体"/>
          <w:iCs/>
          <w:color w:val="auto"/>
          <w:szCs w:val="21"/>
          <w:highlight w:val="none"/>
        </w:rPr>
        <w:t>月</w:t>
      </w:r>
      <w:r>
        <w:rPr>
          <w:rFonts w:ascii="宋体" w:hAnsi="宋体"/>
          <w:iCs/>
          <w:color w:val="auto"/>
          <w:szCs w:val="21"/>
          <w:highlight w:val="none"/>
        </w:rPr>
        <w:t xml:space="preserve"> </w:t>
      </w:r>
      <w:r>
        <w:rPr>
          <w:rFonts w:hint="eastAsia" w:ascii="宋体" w:hAnsi="宋体"/>
          <w:iCs/>
          <w:color w:val="auto"/>
          <w:szCs w:val="21"/>
          <w:highlight w:val="none"/>
        </w:rPr>
        <w:t xml:space="preserve">   </w:t>
      </w:r>
      <w:r>
        <w:rPr>
          <w:rFonts w:ascii="宋体" w:hAnsi="宋体"/>
          <w:iCs/>
          <w:color w:val="auto"/>
          <w:szCs w:val="21"/>
          <w:highlight w:val="none"/>
        </w:rPr>
        <w:t xml:space="preserve"> </w:t>
      </w:r>
      <w:r>
        <w:rPr>
          <w:rFonts w:hint="eastAsia" w:ascii="宋体" w:hAnsi="宋体"/>
          <w:iCs/>
          <w:color w:val="auto"/>
          <w:szCs w:val="21"/>
          <w:highlight w:val="none"/>
        </w:rPr>
        <w:t>日至</w:t>
      </w:r>
      <w:r>
        <w:rPr>
          <w:rFonts w:ascii="宋体" w:hAnsi="宋体"/>
          <w:iCs/>
          <w:color w:val="auto"/>
          <w:szCs w:val="21"/>
          <w:highlight w:val="none"/>
        </w:rPr>
        <w:t xml:space="preserve"> </w:t>
      </w:r>
      <w:r>
        <w:rPr>
          <w:rFonts w:hint="eastAsia" w:ascii="宋体" w:hAnsi="宋体"/>
          <w:iCs/>
          <w:color w:val="auto"/>
          <w:szCs w:val="21"/>
          <w:highlight w:val="none"/>
        </w:rPr>
        <w:t xml:space="preserve">   年</w:t>
      </w:r>
      <w:r>
        <w:rPr>
          <w:rFonts w:ascii="宋体" w:hAnsi="宋体"/>
          <w:iCs/>
          <w:color w:val="auto"/>
          <w:szCs w:val="21"/>
          <w:highlight w:val="none"/>
        </w:rPr>
        <w:t xml:space="preserve"> </w:t>
      </w:r>
      <w:r>
        <w:rPr>
          <w:rFonts w:hint="eastAsia" w:ascii="宋体" w:hAnsi="宋体"/>
          <w:iCs/>
          <w:color w:val="auto"/>
          <w:szCs w:val="21"/>
          <w:highlight w:val="none"/>
        </w:rPr>
        <w:t xml:space="preserve">   月</w:t>
      </w:r>
      <w:r>
        <w:rPr>
          <w:rFonts w:ascii="宋体" w:hAnsi="宋体"/>
          <w:iCs/>
          <w:color w:val="auto"/>
          <w:szCs w:val="21"/>
          <w:highlight w:val="none"/>
        </w:rPr>
        <w:t xml:space="preserve"> </w:t>
      </w:r>
      <w:r>
        <w:rPr>
          <w:rFonts w:hint="eastAsia" w:ascii="宋体" w:hAnsi="宋体"/>
          <w:iCs/>
          <w:color w:val="auto"/>
          <w:szCs w:val="21"/>
          <w:highlight w:val="none"/>
        </w:rPr>
        <w:t xml:space="preserve">   </w:t>
      </w:r>
      <w:r>
        <w:rPr>
          <w:rFonts w:ascii="宋体" w:hAnsi="宋体"/>
          <w:iCs/>
          <w:color w:val="auto"/>
          <w:szCs w:val="21"/>
          <w:highlight w:val="none"/>
        </w:rPr>
        <w:t xml:space="preserve"> </w:t>
      </w:r>
      <w:r>
        <w:rPr>
          <w:rFonts w:hint="eastAsia" w:ascii="宋体" w:hAnsi="宋体"/>
          <w:iCs/>
          <w:color w:val="auto"/>
          <w:szCs w:val="21"/>
          <w:highlight w:val="none"/>
        </w:rPr>
        <w:t>日止。在此期间未履行合同，不遵守承诺或达不到甲方要求，甲方有权解除合同，其一切责任由乙方负责，不得以任何理由向甲方提出任何索赔要求。</w:t>
      </w:r>
      <w:r>
        <w:rPr>
          <w:rFonts w:ascii="宋体" w:hAnsi="宋体"/>
          <w:iCs/>
          <w:color w:val="auto"/>
          <w:szCs w:val="21"/>
          <w:highlight w:val="none"/>
        </w:rPr>
        <w:tab/>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hint="eastAsia" w:ascii="宋体" w:hAnsi="宋体"/>
          <w:iCs/>
          <w:color w:val="auto"/>
          <w:szCs w:val="21"/>
          <w:highlight w:val="none"/>
        </w:rPr>
        <w:t>2、本合同所指的费用是指乙方根据本《招标文件》中招标项目要求所投报的项目中标价，即人民币</w:t>
      </w:r>
      <w:r>
        <w:rPr>
          <w:rFonts w:hint="eastAsia" w:ascii="宋体" w:hAnsi="宋体"/>
          <w:iCs/>
          <w:color w:val="auto"/>
          <w:szCs w:val="21"/>
          <w:highlight w:val="none"/>
          <w:u w:val="single"/>
        </w:rPr>
        <w:t xml:space="preserve">           元/年（¥         元/年）</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lang w:val="en-US" w:eastAsia="zh-CN"/>
        </w:rPr>
      </w:pPr>
      <w:r>
        <w:rPr>
          <w:rFonts w:hint="eastAsia" w:ascii="宋体" w:hAnsi="宋体"/>
          <w:iCs/>
          <w:color w:val="auto"/>
          <w:szCs w:val="21"/>
          <w:highlight w:val="none"/>
        </w:rPr>
        <w:t>3、</w:t>
      </w:r>
      <w:r>
        <w:rPr>
          <w:rFonts w:hint="eastAsia" w:ascii="宋体" w:hAnsi="宋体"/>
          <w:iCs/>
          <w:color w:val="auto"/>
          <w:szCs w:val="21"/>
          <w:highlight w:val="none"/>
          <w:lang w:val="en-US" w:eastAsia="zh-CN"/>
        </w:rPr>
        <w:t>养护费根据月考评分逐月计算，在次月末进行支付。月考评分在95分以上（含95分），全额支付当月养护费；月考评分在95分以下的，考评分每降低1分，则扣除月养护费的1%。【例如：养护费用根据总价折算为10万元/月，月考核成绩93分，则实际支付养护费用为10万元-10万元*（95-93）%=9.8万元】</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lang w:val="en-US" w:eastAsia="zh-CN"/>
        </w:rPr>
        <w:t>4、</w:t>
      </w:r>
      <w:r>
        <w:rPr>
          <w:rFonts w:hint="eastAsia" w:ascii="宋体" w:hAnsi="宋体"/>
          <w:iCs/>
          <w:color w:val="auto"/>
          <w:szCs w:val="21"/>
          <w:highlight w:val="none"/>
        </w:rPr>
        <w:t>本项目投标报价为包干价，合同期内服务费用不因市场和政策等因素的变动而调整。上述所列数量为近似数量，与实际准确数量可能会有出入。各投标人在投标报价时应予以充分考虑，投标人如有需要自行组织现场踏勘，以充分了解项目实施位置、养护范围、周边情况及任何其他足以影响报价的情况，任何因忽视或误解现场情况而导致的索赔或养护费用申请将不予受理。</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lang w:val="en-US" w:eastAsia="zh-CN"/>
        </w:rPr>
        <w:t>5、</w:t>
      </w:r>
      <w:r>
        <w:rPr>
          <w:rFonts w:hint="eastAsia" w:ascii="宋体" w:hAnsi="宋体"/>
          <w:iCs/>
          <w:color w:val="auto"/>
          <w:szCs w:val="21"/>
          <w:highlight w:val="none"/>
        </w:rPr>
        <w:t>合同履行期间，如发生养护范围的增加或减少，原则上由</w:t>
      </w:r>
      <w:r>
        <w:rPr>
          <w:rFonts w:hint="eastAsia" w:ascii="宋体" w:hAnsi="宋体"/>
          <w:iCs/>
          <w:color w:val="auto"/>
          <w:szCs w:val="21"/>
          <w:highlight w:val="none"/>
          <w:lang w:val="en-US"/>
        </w:rPr>
        <w:t>采购人</w:t>
      </w:r>
      <w:r>
        <w:rPr>
          <w:rFonts w:hint="eastAsia" w:ascii="宋体" w:hAnsi="宋体"/>
          <w:iCs/>
          <w:color w:val="auto"/>
          <w:szCs w:val="21"/>
          <w:highlight w:val="none"/>
        </w:rPr>
        <w:t>统一调配并以签证认可的联系单为准，产生的费用变化根据中标单位投标报价按日折算。</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lang w:val="en-US"/>
        </w:rPr>
      </w:pPr>
      <w:r>
        <w:rPr>
          <w:rFonts w:hint="eastAsia" w:ascii="宋体" w:hAnsi="宋体"/>
          <w:iCs/>
          <w:color w:val="auto"/>
          <w:szCs w:val="21"/>
          <w:highlight w:val="none"/>
          <w:lang w:val="en-US" w:eastAsia="zh-CN"/>
        </w:rPr>
        <w:t>6、</w:t>
      </w:r>
      <w:r>
        <w:rPr>
          <w:rFonts w:hint="eastAsia" w:ascii="宋体" w:hAnsi="宋体"/>
          <w:iCs/>
          <w:color w:val="auto"/>
          <w:szCs w:val="21"/>
          <w:highlight w:val="none"/>
          <w:lang w:val="en-US"/>
        </w:rPr>
        <w:t>因政策因素调整，若在服务期内本项目移交给区相关部门管辖，合同自然终止，</w:t>
      </w:r>
      <w:r>
        <w:rPr>
          <w:rFonts w:hint="eastAsia" w:ascii="宋体" w:hAnsi="宋体"/>
          <w:iCs/>
          <w:color w:val="auto"/>
          <w:szCs w:val="21"/>
          <w:highlight w:val="none"/>
          <w:lang w:val="en-US" w:eastAsia="zh-CN"/>
        </w:rPr>
        <w:t>服务费用按实结算，</w:t>
      </w:r>
      <w:r>
        <w:rPr>
          <w:rFonts w:hint="eastAsia" w:ascii="宋体" w:hAnsi="宋体"/>
          <w:iCs/>
          <w:color w:val="auto"/>
          <w:szCs w:val="21"/>
          <w:highlight w:val="none"/>
          <w:lang w:val="en-US"/>
        </w:rPr>
        <w:t>中标单位须配合做好相应的交接工作。</w:t>
      </w:r>
    </w:p>
    <w:p>
      <w:pPr>
        <w:keepNext w:val="0"/>
        <w:keepLines w:val="0"/>
        <w:pageBreakBefore w:val="0"/>
        <w:widowControl w:val="0"/>
        <w:kinsoku/>
        <w:wordWrap/>
        <w:topLinePunct w:val="0"/>
        <w:bidi w:val="0"/>
        <w:spacing w:line="360" w:lineRule="auto"/>
        <w:ind w:right="0" w:rightChars="0" w:firstLine="422" w:firstLineChars="200"/>
        <w:textAlignment w:val="auto"/>
        <w:rPr>
          <w:rFonts w:ascii="宋体" w:hAnsi="宋体"/>
          <w:b/>
          <w:iCs/>
          <w:color w:val="auto"/>
          <w:szCs w:val="21"/>
          <w:highlight w:val="none"/>
        </w:rPr>
      </w:pPr>
      <w:r>
        <w:rPr>
          <w:rFonts w:hint="eastAsia" w:ascii="宋体" w:hAnsi="宋体"/>
          <w:b/>
          <w:iCs/>
          <w:color w:val="auto"/>
          <w:szCs w:val="21"/>
          <w:highlight w:val="none"/>
        </w:rPr>
        <w:t>第五条</w:t>
      </w:r>
      <w:r>
        <w:rPr>
          <w:rFonts w:ascii="宋体" w:hAnsi="宋体"/>
          <w:b/>
          <w:iCs/>
          <w:color w:val="auto"/>
          <w:szCs w:val="21"/>
          <w:highlight w:val="none"/>
        </w:rPr>
        <w:t xml:space="preserve">  </w:t>
      </w:r>
      <w:r>
        <w:rPr>
          <w:rFonts w:hint="eastAsia" w:ascii="宋体" w:hAnsi="宋体"/>
          <w:b/>
          <w:iCs/>
          <w:color w:val="auto"/>
          <w:szCs w:val="21"/>
          <w:highlight w:val="none"/>
        </w:rPr>
        <w:t>甲方的权利和义务</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1</w:t>
      </w:r>
      <w:r>
        <w:rPr>
          <w:rFonts w:hint="eastAsia" w:ascii="宋体" w:hAnsi="宋体"/>
          <w:iCs/>
          <w:color w:val="auto"/>
          <w:szCs w:val="21"/>
          <w:highlight w:val="none"/>
        </w:rPr>
        <w:t>、代表和维护产权人的合法权益。</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2</w:t>
      </w:r>
      <w:r>
        <w:rPr>
          <w:rFonts w:hint="eastAsia" w:ascii="宋体" w:hAnsi="宋体"/>
          <w:iCs/>
          <w:color w:val="auto"/>
          <w:szCs w:val="21"/>
          <w:highlight w:val="none"/>
        </w:rPr>
        <w:t>、审定乙方制定的服务制度及实施细则。</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3</w:t>
      </w:r>
      <w:r>
        <w:rPr>
          <w:rFonts w:hint="eastAsia" w:ascii="宋体" w:hAnsi="宋体"/>
          <w:iCs/>
          <w:color w:val="auto"/>
          <w:szCs w:val="21"/>
          <w:highlight w:val="none"/>
        </w:rPr>
        <w:t>、甲方对乙方的服务效果实施监督检查，评分标准由甲方根据考核办法细则制订。</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4</w:t>
      </w:r>
      <w:r>
        <w:rPr>
          <w:rFonts w:hint="eastAsia" w:ascii="宋体" w:hAnsi="宋体"/>
          <w:iCs/>
          <w:color w:val="auto"/>
          <w:szCs w:val="21"/>
          <w:highlight w:val="none"/>
        </w:rPr>
        <w:t>、如因乙方管理不善，造成重大经济损失或管理严重失误，甲方有权终止本合同，并追究乙方的经济责任。</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5</w:t>
      </w:r>
      <w:r>
        <w:rPr>
          <w:rFonts w:hint="eastAsia" w:ascii="宋体" w:hAnsi="宋体"/>
          <w:iCs/>
          <w:color w:val="auto"/>
          <w:szCs w:val="21"/>
          <w:highlight w:val="none"/>
        </w:rPr>
        <w:t>、甲方按规定向乙方提供所需的原始资料和技术档案，并在乙方服务期满时予以收回。</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6</w:t>
      </w:r>
      <w:r>
        <w:rPr>
          <w:rFonts w:hint="eastAsia" w:ascii="宋体" w:hAnsi="宋体"/>
          <w:iCs/>
          <w:color w:val="auto"/>
          <w:szCs w:val="21"/>
          <w:highlight w:val="none"/>
        </w:rPr>
        <w:t>、甲方依照本合同约定，按时支付费用。</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7</w:t>
      </w:r>
      <w:r>
        <w:rPr>
          <w:rFonts w:hint="eastAsia" w:ascii="宋体" w:hAnsi="宋体"/>
          <w:iCs/>
          <w:color w:val="auto"/>
          <w:szCs w:val="21"/>
          <w:highlight w:val="none"/>
        </w:rPr>
        <w:t>、积极协助乙方做好区域内管道疏通等工作。</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8</w:t>
      </w:r>
      <w:r>
        <w:rPr>
          <w:rFonts w:hint="eastAsia" w:ascii="宋体" w:hAnsi="宋体"/>
          <w:iCs/>
          <w:color w:val="auto"/>
          <w:szCs w:val="21"/>
          <w:highlight w:val="none"/>
        </w:rPr>
        <w:t>、甲方有权抽查管理经费的使用情况。</w:t>
      </w:r>
    </w:p>
    <w:p>
      <w:pPr>
        <w:keepNext w:val="0"/>
        <w:keepLines w:val="0"/>
        <w:pageBreakBefore w:val="0"/>
        <w:widowControl w:val="0"/>
        <w:kinsoku/>
        <w:wordWrap/>
        <w:topLinePunct w:val="0"/>
        <w:bidi w:val="0"/>
        <w:spacing w:line="360" w:lineRule="auto"/>
        <w:ind w:right="0" w:rightChars="0" w:firstLine="422" w:firstLineChars="200"/>
        <w:textAlignment w:val="auto"/>
        <w:rPr>
          <w:rFonts w:ascii="宋体" w:hAnsi="宋体"/>
          <w:b/>
          <w:iCs/>
          <w:color w:val="auto"/>
          <w:szCs w:val="21"/>
          <w:highlight w:val="none"/>
        </w:rPr>
      </w:pPr>
      <w:r>
        <w:rPr>
          <w:rFonts w:hint="eastAsia" w:ascii="宋体" w:hAnsi="宋体"/>
          <w:b/>
          <w:iCs/>
          <w:color w:val="auto"/>
          <w:szCs w:val="21"/>
          <w:highlight w:val="none"/>
        </w:rPr>
        <w:t>第六条</w:t>
      </w:r>
      <w:r>
        <w:rPr>
          <w:rFonts w:ascii="宋体" w:hAnsi="宋体"/>
          <w:b/>
          <w:iCs/>
          <w:color w:val="auto"/>
          <w:szCs w:val="21"/>
          <w:highlight w:val="none"/>
        </w:rPr>
        <w:t xml:space="preserve">  </w:t>
      </w:r>
      <w:r>
        <w:rPr>
          <w:rFonts w:hint="eastAsia" w:ascii="宋体" w:hAnsi="宋体"/>
          <w:b/>
          <w:iCs/>
          <w:color w:val="auto"/>
          <w:szCs w:val="21"/>
          <w:highlight w:val="none"/>
        </w:rPr>
        <w:t>乙方的权利和义务</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1</w:t>
      </w:r>
      <w:r>
        <w:rPr>
          <w:rFonts w:hint="eastAsia" w:ascii="宋体" w:hAnsi="宋体"/>
          <w:iCs/>
          <w:color w:val="auto"/>
          <w:szCs w:val="21"/>
          <w:highlight w:val="none"/>
        </w:rPr>
        <w:t>、严格遵守国家、省、市的法律法规和《投标文件》中的相关工作要求及标准，对招标方实行专业、规范、安全、高质量的管道疏通服务。</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2</w:t>
      </w:r>
      <w:r>
        <w:rPr>
          <w:rFonts w:hint="eastAsia" w:ascii="宋体" w:hAnsi="宋体"/>
          <w:iCs/>
          <w:color w:val="auto"/>
          <w:szCs w:val="21"/>
          <w:highlight w:val="none"/>
        </w:rPr>
        <w:t>、根据有关法律法规及本合同的约定，制定各项管理办法、规章制度及岗位责任。</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3</w:t>
      </w:r>
      <w:r>
        <w:rPr>
          <w:rFonts w:hint="eastAsia" w:ascii="宋体" w:hAnsi="宋体"/>
          <w:iCs/>
          <w:color w:val="auto"/>
          <w:szCs w:val="21"/>
          <w:highlight w:val="none"/>
        </w:rPr>
        <w:t>、乙方不得将整体或部分管理责任及利益对外转让或发包，不得将未征得甲方同意的服务内容对外分包或转包。</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4</w:t>
      </w:r>
      <w:r>
        <w:rPr>
          <w:rFonts w:hint="eastAsia" w:ascii="宋体" w:hAnsi="宋体"/>
          <w:iCs/>
          <w:color w:val="auto"/>
          <w:szCs w:val="21"/>
          <w:highlight w:val="none"/>
        </w:rPr>
        <w:t>、建立健全本项目的管理档案，并负责及时记载有关变动情况。</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5</w:t>
      </w:r>
      <w:r>
        <w:rPr>
          <w:rFonts w:hint="eastAsia" w:ascii="宋体" w:hAnsi="宋体"/>
          <w:iCs/>
          <w:color w:val="auto"/>
          <w:szCs w:val="21"/>
          <w:highlight w:val="none"/>
        </w:rPr>
        <w:t>、本合同终止时，乙方必须向甲方移交原委托管理的全部管理档案、财务等资料；移交其管理范围内的全部公共财产，并接受甲方或甲方指定专业机构的移交审核。向甲方移交时，要确保各项设施的性能良好。</w:t>
      </w:r>
    </w:p>
    <w:p>
      <w:pPr>
        <w:keepNext w:val="0"/>
        <w:keepLines w:val="0"/>
        <w:pageBreakBefore w:val="0"/>
        <w:widowControl w:val="0"/>
        <w:kinsoku/>
        <w:wordWrap/>
        <w:topLinePunct w:val="0"/>
        <w:bidi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6</w:t>
      </w:r>
      <w:r>
        <w:rPr>
          <w:rFonts w:hint="eastAsia" w:ascii="宋体" w:hAnsi="宋体"/>
          <w:iCs/>
          <w:color w:val="auto"/>
          <w:szCs w:val="21"/>
          <w:highlight w:val="none"/>
        </w:rPr>
        <w:t>、有权按时从甲方处支取中标的费用。</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r>
        <w:rPr>
          <w:rFonts w:ascii="宋体" w:hAnsi="宋体"/>
          <w:iCs/>
          <w:color w:val="auto"/>
          <w:szCs w:val="21"/>
          <w:highlight w:val="none"/>
        </w:rPr>
        <w:t>7</w:t>
      </w:r>
      <w:r>
        <w:rPr>
          <w:rFonts w:hint="eastAsia" w:ascii="宋体" w:hAnsi="宋体"/>
          <w:iCs/>
          <w:color w:val="auto"/>
          <w:szCs w:val="21"/>
          <w:highlight w:val="none"/>
        </w:rPr>
        <w:t>、接受有关部门的监督指导和考核。</w:t>
      </w:r>
    </w:p>
    <w:p>
      <w:pPr>
        <w:keepNext w:val="0"/>
        <w:keepLines w:val="0"/>
        <w:pageBreakBefore w:val="0"/>
        <w:widowControl w:val="0"/>
        <w:kinsoku/>
        <w:wordWrap/>
        <w:topLinePunct w:val="0"/>
        <w:bidi w:val="0"/>
        <w:spacing w:line="360" w:lineRule="auto"/>
        <w:ind w:right="0" w:rightChars="0" w:firstLine="422" w:firstLineChars="200"/>
        <w:textAlignment w:val="auto"/>
        <w:rPr>
          <w:rFonts w:hint="eastAsia" w:ascii="宋体" w:hAnsi="宋体"/>
          <w:b/>
          <w:iCs/>
          <w:color w:val="auto"/>
          <w:szCs w:val="21"/>
          <w:highlight w:val="none"/>
        </w:rPr>
      </w:pPr>
      <w:r>
        <w:rPr>
          <w:rFonts w:hint="eastAsia" w:ascii="宋体" w:hAnsi="宋体"/>
          <w:b/>
          <w:iCs/>
          <w:color w:val="auto"/>
          <w:szCs w:val="21"/>
          <w:highlight w:val="none"/>
        </w:rPr>
        <w:t>第七条</w:t>
      </w:r>
      <w:r>
        <w:rPr>
          <w:rFonts w:ascii="宋体" w:hAnsi="宋体"/>
          <w:b/>
          <w:iCs/>
          <w:color w:val="auto"/>
          <w:szCs w:val="21"/>
          <w:highlight w:val="none"/>
        </w:rPr>
        <w:t xml:space="preserve">  </w:t>
      </w:r>
      <w:r>
        <w:rPr>
          <w:rFonts w:hint="eastAsia" w:ascii="宋体" w:hAnsi="宋体"/>
          <w:b/>
          <w:iCs/>
          <w:color w:val="auto"/>
          <w:szCs w:val="21"/>
          <w:highlight w:val="none"/>
        </w:rPr>
        <w:t>质量管理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1、雨污管道养护：要求参考城区考核标准以及《</w:t>
      </w:r>
      <w:r>
        <w:rPr>
          <w:rFonts w:hint="eastAsia" w:ascii="宋体" w:hAnsi="宋体"/>
          <w:color w:val="auto"/>
          <w:szCs w:val="21"/>
          <w:highlight w:val="none"/>
          <w:lang w:val="en-US" w:eastAsia="zh-CN"/>
        </w:rPr>
        <w:t>江北区前江街道雨污管道养护</w:t>
      </w:r>
      <w:r>
        <w:rPr>
          <w:rFonts w:hint="eastAsia" w:ascii="宋体" w:hAnsi="宋体"/>
          <w:color w:val="auto"/>
          <w:szCs w:val="21"/>
          <w:highlight w:val="none"/>
        </w:rPr>
        <w:t>考核细则》。江北</w:t>
      </w:r>
      <w:r>
        <w:rPr>
          <w:rFonts w:hint="eastAsia" w:ascii="宋体" w:hAnsi="宋体"/>
          <w:color w:val="auto"/>
          <w:szCs w:val="21"/>
          <w:highlight w:val="none"/>
          <w:lang w:eastAsia="zh-CN"/>
        </w:rPr>
        <w:t>区前江街道范围内</w:t>
      </w:r>
      <w:r>
        <w:rPr>
          <w:rFonts w:hint="eastAsia" w:ascii="宋体" w:hAnsi="宋体"/>
          <w:color w:val="auto"/>
          <w:szCs w:val="21"/>
          <w:highlight w:val="none"/>
        </w:rPr>
        <w:t>所有的雨水井、污水井及管道疏通，其中雨水井每月清理不少于1次（即全年清理不少于12次），污水井每两个月清理不少于1次（即全年清理不少于6次）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同时做好清理记录</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2、做到窨井和雨污排水口必须保持完好通畅，不得阻塞，周边不得有明显积水；每天滚动巡查各作业部位，发现问题及时处理。遇到设施遭遇人为破坏，要及时上报。作业完成后，须及时盖好窨井。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3、全年必须对区域内所有污水管网疏通一遍确保管道畅通</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auto"/>
          <w:szCs w:val="21"/>
          <w:highlight w:val="none"/>
        </w:rPr>
      </w:pPr>
      <w:r>
        <w:rPr>
          <w:rFonts w:hint="eastAsia"/>
          <w:color w:val="auto"/>
          <w:szCs w:val="21"/>
          <w:highlight w:val="none"/>
          <w:lang w:val="en-US" w:eastAsia="zh-CN"/>
        </w:rPr>
        <w:t>4、</w:t>
      </w:r>
      <w:r>
        <w:rPr>
          <w:rFonts w:hint="eastAsia" w:ascii="宋体" w:hAnsi="宋体"/>
          <w:color w:val="auto"/>
          <w:szCs w:val="21"/>
          <w:highlight w:val="none"/>
        </w:rPr>
        <w:t>前江街道</w:t>
      </w:r>
      <w:r>
        <w:rPr>
          <w:rFonts w:hint="eastAsia" w:ascii="宋体" w:hAnsi="宋体"/>
          <w:color w:val="auto"/>
          <w:szCs w:val="21"/>
          <w:highlight w:val="none"/>
          <w:lang w:val="en-US" w:eastAsia="zh-CN"/>
        </w:rPr>
        <w:t>隔油池（除</w:t>
      </w:r>
      <w:r>
        <w:rPr>
          <w:rFonts w:hint="eastAsia" w:ascii="宋体" w:hAnsi="宋体"/>
          <w:color w:val="auto"/>
          <w:szCs w:val="21"/>
          <w:highlight w:val="none"/>
        </w:rPr>
        <w:t>裘市菜场</w:t>
      </w:r>
      <w:r>
        <w:rPr>
          <w:rFonts w:hint="eastAsia" w:ascii="宋体" w:hAnsi="宋体"/>
          <w:color w:val="auto"/>
          <w:szCs w:val="21"/>
          <w:highlight w:val="none"/>
          <w:lang w:val="en-US" w:eastAsia="zh-CN"/>
        </w:rPr>
        <w:t>2</w:t>
      </w:r>
      <w:r>
        <w:rPr>
          <w:rFonts w:hint="eastAsia" w:ascii="宋体" w:hAnsi="宋体"/>
          <w:color w:val="auto"/>
          <w:szCs w:val="21"/>
          <w:highlight w:val="none"/>
        </w:rPr>
        <w:t>个隔油池</w:t>
      </w:r>
      <w:r>
        <w:rPr>
          <w:rFonts w:hint="eastAsia" w:ascii="宋体" w:hAnsi="宋体"/>
          <w:color w:val="auto"/>
          <w:szCs w:val="21"/>
          <w:highlight w:val="none"/>
          <w:lang w:val="en-US" w:eastAsia="zh-CN"/>
        </w:rPr>
        <w:t>外）两个月清掏1次；</w:t>
      </w:r>
      <w:r>
        <w:rPr>
          <w:rFonts w:hint="eastAsia" w:ascii="宋体" w:hAnsi="宋体"/>
          <w:color w:val="auto"/>
          <w:szCs w:val="21"/>
          <w:highlight w:val="none"/>
        </w:rPr>
        <w:t>裘市菜场</w:t>
      </w:r>
      <w:r>
        <w:rPr>
          <w:rFonts w:hint="eastAsia"/>
          <w:color w:val="auto"/>
          <w:szCs w:val="21"/>
          <w:highlight w:val="none"/>
          <w:lang w:val="en-US" w:eastAsia="zh-CN"/>
        </w:rPr>
        <w:t>的</w:t>
      </w:r>
      <w:r>
        <w:rPr>
          <w:rFonts w:hint="eastAsia" w:ascii="宋体" w:hAnsi="宋体"/>
          <w:color w:val="auto"/>
          <w:szCs w:val="21"/>
          <w:highlight w:val="none"/>
        </w:rPr>
        <w:t>2个隔油池（每个隔油池容积为5m³），每</w:t>
      </w:r>
      <w:r>
        <w:rPr>
          <w:rFonts w:hint="eastAsia" w:ascii="宋体" w:hAnsi="宋体"/>
          <w:color w:val="auto"/>
          <w:szCs w:val="21"/>
          <w:highlight w:val="none"/>
          <w:lang w:val="en-US" w:eastAsia="zh-CN"/>
        </w:rPr>
        <w:t>月</w:t>
      </w:r>
      <w:r>
        <w:rPr>
          <w:rFonts w:hint="eastAsia" w:ascii="宋体" w:hAnsi="宋体"/>
          <w:color w:val="auto"/>
          <w:szCs w:val="21"/>
          <w:highlight w:val="none"/>
        </w:rPr>
        <w:t>清掏</w:t>
      </w:r>
      <w:r>
        <w:rPr>
          <w:rFonts w:hint="eastAsia" w:ascii="宋体" w:hAnsi="宋体"/>
          <w:color w:val="auto"/>
          <w:szCs w:val="21"/>
          <w:highlight w:val="none"/>
          <w:lang w:val="en-US" w:eastAsia="zh-CN"/>
        </w:rPr>
        <w:t>4</w:t>
      </w:r>
      <w:r>
        <w:rPr>
          <w:rFonts w:hint="eastAsia" w:ascii="宋体" w:hAnsi="宋体"/>
          <w:color w:val="auto"/>
          <w:szCs w:val="21"/>
          <w:highlight w:val="none"/>
        </w:rPr>
        <w:t>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同时做好清掏记录</w:t>
      </w:r>
      <w:r>
        <w:rPr>
          <w:rFonts w:hint="eastAsia" w:ascii="宋体" w:hAnsi="宋体"/>
          <w:color w:val="auto"/>
          <w:szCs w:val="21"/>
          <w:highlight w:val="none"/>
        </w:rPr>
        <w:t>。</w:t>
      </w:r>
    </w:p>
    <w:p>
      <w:pPr>
        <w:pStyle w:val="19"/>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hint="eastAsia" w:hAnsi="宋体"/>
          <w:iCs/>
          <w:color w:val="auto"/>
          <w:spacing w:val="0"/>
          <w:sz w:val="21"/>
          <w:szCs w:val="21"/>
          <w:highlight w:val="none"/>
        </w:rPr>
      </w:pPr>
      <w:r>
        <w:rPr>
          <w:rFonts w:hint="eastAsia" w:hAnsi="宋体"/>
          <w:iCs/>
          <w:color w:val="auto"/>
          <w:spacing w:val="0"/>
          <w:sz w:val="21"/>
          <w:szCs w:val="21"/>
          <w:highlight w:val="none"/>
          <w:lang w:val="en-US" w:eastAsia="zh-CN"/>
        </w:rPr>
        <w:t>5</w:t>
      </w:r>
      <w:r>
        <w:rPr>
          <w:rFonts w:hint="eastAsia" w:hAnsi="宋体"/>
          <w:iCs/>
          <w:color w:val="auto"/>
          <w:spacing w:val="0"/>
          <w:sz w:val="21"/>
          <w:szCs w:val="21"/>
          <w:highlight w:val="none"/>
        </w:rPr>
        <w:t>、免费承担业主方提出的管网疏通、企业预留井检测定位、现场管网排摸、雨污管网封堵的等涉及管网的应急工作任务。</w:t>
      </w:r>
    </w:p>
    <w:p>
      <w:pPr>
        <w:pStyle w:val="19"/>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hint="eastAsia" w:hAnsi="宋体"/>
          <w:iCs/>
          <w:color w:val="auto"/>
          <w:spacing w:val="0"/>
          <w:sz w:val="21"/>
          <w:szCs w:val="21"/>
          <w:highlight w:val="none"/>
        </w:rPr>
      </w:pPr>
      <w:r>
        <w:rPr>
          <w:rFonts w:hint="eastAsia" w:hAnsi="宋体"/>
          <w:iCs/>
          <w:color w:val="auto"/>
          <w:spacing w:val="0"/>
          <w:sz w:val="21"/>
          <w:szCs w:val="21"/>
          <w:highlight w:val="none"/>
          <w:lang w:val="en-US" w:eastAsia="zh-CN"/>
        </w:rPr>
        <w:t>6</w:t>
      </w:r>
      <w:r>
        <w:rPr>
          <w:rFonts w:hint="eastAsia" w:hAnsi="宋体"/>
          <w:iCs/>
          <w:color w:val="auto"/>
          <w:spacing w:val="0"/>
          <w:sz w:val="21"/>
          <w:szCs w:val="21"/>
          <w:highlight w:val="none"/>
        </w:rPr>
        <w:t>、如遇特殊情况，例如突击检查，上级部门考核，各类创建、迎检活动，以及恶劣天气应急保障措施时，乙方应无条件服从甲方的指挥，配合做好各项配合服务工作，甲方不再额外支付服务费。</w:t>
      </w:r>
    </w:p>
    <w:p>
      <w:pPr>
        <w:pStyle w:val="19"/>
        <w:keepNext w:val="0"/>
        <w:keepLines w:val="0"/>
        <w:pageBreakBefore w:val="0"/>
        <w:widowControl w:val="0"/>
        <w:kinsoku/>
        <w:wordWrap/>
        <w:topLinePunct w:val="0"/>
        <w:bidi w:val="0"/>
        <w:spacing w:line="360" w:lineRule="auto"/>
        <w:ind w:right="0" w:rightChars="0" w:firstLine="420" w:firstLineChars="200"/>
        <w:textAlignment w:val="auto"/>
        <w:rPr>
          <w:rFonts w:hint="eastAsia" w:hAnsi="宋体"/>
          <w:iCs/>
          <w:color w:val="auto"/>
          <w:spacing w:val="0"/>
          <w:sz w:val="21"/>
          <w:szCs w:val="21"/>
          <w:highlight w:val="none"/>
        </w:rPr>
      </w:pPr>
      <w:r>
        <w:rPr>
          <w:rFonts w:hint="eastAsia" w:hAnsi="宋体"/>
          <w:iCs/>
          <w:color w:val="auto"/>
          <w:spacing w:val="0"/>
          <w:sz w:val="21"/>
          <w:szCs w:val="21"/>
          <w:highlight w:val="none"/>
          <w:lang w:val="en-US" w:eastAsia="zh-CN"/>
        </w:rPr>
        <w:t>7</w:t>
      </w:r>
      <w:r>
        <w:rPr>
          <w:rFonts w:hint="eastAsia" w:hAnsi="宋体"/>
          <w:iCs/>
          <w:color w:val="auto"/>
          <w:spacing w:val="0"/>
          <w:sz w:val="21"/>
          <w:szCs w:val="21"/>
          <w:highlight w:val="none"/>
        </w:rPr>
        <w:t>、雨污管道养护合同期内，如遇部分道路施工等因素需长期停止养护的，其费用按雨污管道长度比例进行相应扣减。</w:t>
      </w:r>
    </w:p>
    <w:p>
      <w:pPr>
        <w:pStyle w:val="19"/>
        <w:keepNext w:val="0"/>
        <w:keepLines w:val="0"/>
        <w:pageBreakBefore w:val="0"/>
        <w:widowControl w:val="0"/>
        <w:kinsoku/>
        <w:wordWrap/>
        <w:topLinePunct w:val="0"/>
        <w:bidi w:val="0"/>
        <w:spacing w:line="360" w:lineRule="auto"/>
        <w:ind w:right="0" w:rightChars="0" w:firstLine="420" w:firstLineChars="200"/>
        <w:textAlignment w:val="auto"/>
        <w:rPr>
          <w:rFonts w:hint="eastAsia" w:hAnsi="宋体"/>
          <w:iCs/>
          <w:color w:val="auto"/>
          <w:spacing w:val="0"/>
          <w:sz w:val="21"/>
          <w:szCs w:val="21"/>
          <w:highlight w:val="none"/>
        </w:rPr>
      </w:pPr>
      <w:r>
        <w:rPr>
          <w:rFonts w:hint="eastAsia" w:hAnsi="宋体"/>
          <w:iCs/>
          <w:color w:val="auto"/>
          <w:spacing w:val="0"/>
          <w:sz w:val="21"/>
          <w:szCs w:val="21"/>
          <w:highlight w:val="none"/>
          <w:lang w:val="en-US" w:eastAsia="zh-CN"/>
        </w:rPr>
        <w:t>8、需按采购人要求安排人员进行24小时值班，应对突发事件。</w:t>
      </w:r>
    </w:p>
    <w:p>
      <w:pPr>
        <w:keepNext w:val="0"/>
        <w:keepLines w:val="0"/>
        <w:pageBreakBefore w:val="0"/>
        <w:widowControl w:val="0"/>
        <w:kinsoku/>
        <w:wordWrap/>
        <w:topLinePunct w:val="0"/>
        <w:autoSpaceDE w:val="0"/>
        <w:autoSpaceDN w:val="0"/>
        <w:bidi w:val="0"/>
        <w:adjustRightInd w:val="0"/>
        <w:spacing w:line="360" w:lineRule="auto"/>
        <w:ind w:right="0" w:rightChars="0" w:firstLine="422" w:firstLineChars="200"/>
        <w:textAlignment w:val="auto"/>
        <w:rPr>
          <w:rFonts w:hint="eastAsia" w:ascii="宋体" w:hAnsi="宋体"/>
          <w:b/>
          <w:iCs/>
          <w:color w:val="auto"/>
          <w:szCs w:val="21"/>
          <w:highlight w:val="none"/>
        </w:rPr>
      </w:pPr>
      <w:r>
        <w:rPr>
          <w:rFonts w:hint="eastAsia" w:ascii="宋体" w:hAnsi="宋体"/>
          <w:b/>
          <w:iCs/>
          <w:color w:val="auto"/>
          <w:szCs w:val="21"/>
          <w:highlight w:val="none"/>
        </w:rPr>
        <w:t>第八条  违约责任</w:t>
      </w:r>
    </w:p>
    <w:p>
      <w:pPr>
        <w:pStyle w:val="19"/>
        <w:keepNext w:val="0"/>
        <w:keepLines w:val="0"/>
        <w:pageBreakBefore w:val="0"/>
        <w:widowControl w:val="0"/>
        <w:kinsoku/>
        <w:wordWrap/>
        <w:topLinePunct w:val="0"/>
        <w:bidi w:val="0"/>
        <w:spacing w:line="360" w:lineRule="auto"/>
        <w:ind w:right="0" w:rightChars="0" w:firstLine="420" w:firstLineChars="200"/>
        <w:textAlignment w:val="auto"/>
        <w:rPr>
          <w:rFonts w:hint="eastAsia" w:hAnsi="宋体"/>
          <w:iCs/>
          <w:color w:val="auto"/>
          <w:spacing w:val="0"/>
          <w:sz w:val="21"/>
          <w:szCs w:val="21"/>
          <w:highlight w:val="none"/>
        </w:rPr>
      </w:pPr>
      <w:r>
        <w:rPr>
          <w:rFonts w:hint="eastAsia" w:hAnsi="宋体"/>
          <w:iCs/>
          <w:color w:val="auto"/>
          <w:spacing w:val="0"/>
          <w:sz w:val="21"/>
          <w:szCs w:val="21"/>
          <w:highlight w:val="none"/>
        </w:rPr>
        <w:t>1、乙方必须随时接受甲方或上级管理部门的监督检查和指导，必须无条件服从甲方和上级管理部门组织的一些突击性任务及检查活动，按时、按标准、按要求完成所分配的工作。</w:t>
      </w:r>
    </w:p>
    <w:p>
      <w:pPr>
        <w:pStyle w:val="19"/>
        <w:keepNext w:val="0"/>
        <w:keepLines w:val="0"/>
        <w:pageBreakBefore w:val="0"/>
        <w:widowControl w:val="0"/>
        <w:kinsoku/>
        <w:wordWrap/>
        <w:topLinePunct w:val="0"/>
        <w:bidi w:val="0"/>
        <w:spacing w:line="360" w:lineRule="auto"/>
        <w:ind w:right="0" w:rightChars="0" w:firstLine="420" w:firstLineChars="200"/>
        <w:textAlignment w:val="auto"/>
        <w:rPr>
          <w:rFonts w:hint="eastAsia" w:hAnsi="宋体"/>
          <w:iCs/>
          <w:color w:val="auto"/>
          <w:spacing w:val="0"/>
          <w:sz w:val="21"/>
          <w:szCs w:val="21"/>
          <w:highlight w:val="none"/>
        </w:rPr>
      </w:pPr>
      <w:r>
        <w:rPr>
          <w:rFonts w:hint="eastAsia" w:hAnsi="宋体"/>
          <w:iCs/>
          <w:color w:val="auto"/>
          <w:spacing w:val="0"/>
          <w:sz w:val="21"/>
          <w:szCs w:val="21"/>
          <w:highlight w:val="none"/>
          <w:lang w:val="en-US" w:eastAsia="zh-CN"/>
        </w:rPr>
        <w:t>2</w:t>
      </w:r>
      <w:r>
        <w:rPr>
          <w:rFonts w:hint="eastAsia" w:hAnsi="宋体"/>
          <w:iCs/>
          <w:color w:val="auto"/>
          <w:spacing w:val="0"/>
          <w:sz w:val="21"/>
          <w:szCs w:val="21"/>
          <w:highlight w:val="none"/>
        </w:rPr>
        <w:t>、因乙方原因，造成甲方未完成规定服务目标或直接造成甲方经济损失的，乙方应给予甲方相应补偿，甲方有权要求乙方限期整改，并有权终止合同。</w:t>
      </w:r>
    </w:p>
    <w:p>
      <w:pPr>
        <w:pStyle w:val="19"/>
        <w:keepNext w:val="0"/>
        <w:keepLines w:val="0"/>
        <w:pageBreakBefore w:val="0"/>
        <w:widowControl w:val="0"/>
        <w:kinsoku/>
        <w:wordWrap/>
        <w:topLinePunct w:val="0"/>
        <w:bidi w:val="0"/>
        <w:spacing w:line="360" w:lineRule="auto"/>
        <w:ind w:right="0" w:rightChars="0" w:firstLine="420" w:firstLineChars="200"/>
        <w:textAlignment w:val="auto"/>
        <w:rPr>
          <w:rFonts w:hint="eastAsia" w:hAnsi="宋体"/>
          <w:iCs/>
          <w:color w:val="auto"/>
          <w:spacing w:val="0"/>
          <w:sz w:val="21"/>
          <w:szCs w:val="21"/>
          <w:highlight w:val="none"/>
        </w:rPr>
      </w:pPr>
      <w:r>
        <w:rPr>
          <w:rFonts w:hint="eastAsia" w:hAnsi="宋体"/>
          <w:iCs/>
          <w:color w:val="auto"/>
          <w:spacing w:val="0"/>
          <w:sz w:val="21"/>
          <w:szCs w:val="21"/>
          <w:highlight w:val="none"/>
          <w:lang w:val="en-US" w:eastAsia="zh-CN"/>
        </w:rPr>
        <w:t>3</w:t>
      </w:r>
      <w:r>
        <w:rPr>
          <w:rFonts w:hint="eastAsia" w:hAnsi="宋体"/>
          <w:iCs/>
          <w:color w:val="auto"/>
          <w:spacing w:val="0"/>
          <w:sz w:val="21"/>
          <w:szCs w:val="21"/>
          <w:highlight w:val="none"/>
        </w:rPr>
        <w:t>、乙方如不能履行投标书内的责任的，则视为违约，甲方有权终止本合同，重新进行招标，并追究乙方的违约责任，要求其承担赔偿责任。</w:t>
      </w:r>
    </w:p>
    <w:p>
      <w:pPr>
        <w:pStyle w:val="19"/>
        <w:keepNext w:val="0"/>
        <w:keepLines w:val="0"/>
        <w:pageBreakBefore w:val="0"/>
        <w:widowControl w:val="0"/>
        <w:kinsoku/>
        <w:wordWrap/>
        <w:topLinePunct w:val="0"/>
        <w:bidi w:val="0"/>
        <w:spacing w:line="360" w:lineRule="auto"/>
        <w:ind w:right="0" w:rightChars="0" w:firstLine="420" w:firstLineChars="200"/>
        <w:textAlignment w:val="auto"/>
        <w:rPr>
          <w:rFonts w:hint="eastAsia" w:hAnsi="宋体"/>
          <w:iCs/>
          <w:color w:val="auto"/>
          <w:spacing w:val="0"/>
          <w:sz w:val="21"/>
          <w:szCs w:val="21"/>
          <w:highlight w:val="none"/>
          <w:lang w:val="en-US" w:eastAsia="zh-CN"/>
        </w:rPr>
      </w:pPr>
      <w:r>
        <w:rPr>
          <w:rFonts w:hint="eastAsia" w:hAnsi="宋体"/>
          <w:iCs/>
          <w:color w:val="auto"/>
          <w:spacing w:val="0"/>
          <w:sz w:val="21"/>
          <w:szCs w:val="21"/>
          <w:highlight w:val="none"/>
          <w:lang w:val="en-US" w:eastAsia="zh-CN"/>
        </w:rPr>
        <w:t>4、因乙方违反国家法律法规或作业标准发生安全事故、廉政事项、发生安全隐患等被警告三次及以上的，乙方须</w:t>
      </w:r>
      <w:r>
        <w:rPr>
          <w:rFonts w:hint="eastAsia" w:hAnsi="宋体"/>
          <w:iCs/>
          <w:color w:val="auto"/>
          <w:spacing w:val="0"/>
          <w:sz w:val="21"/>
          <w:szCs w:val="21"/>
          <w:highlight w:val="none"/>
        </w:rPr>
        <w:t>承担赔偿责任</w:t>
      </w:r>
      <w:r>
        <w:rPr>
          <w:rFonts w:hint="eastAsia" w:hAnsi="宋体"/>
          <w:iCs/>
          <w:color w:val="auto"/>
          <w:spacing w:val="0"/>
          <w:sz w:val="21"/>
          <w:szCs w:val="21"/>
          <w:highlight w:val="none"/>
          <w:lang w:eastAsia="zh-CN"/>
        </w:rPr>
        <w:t>，</w:t>
      </w:r>
      <w:r>
        <w:rPr>
          <w:rFonts w:hint="eastAsia" w:hAnsi="宋体"/>
          <w:iCs/>
          <w:color w:val="auto"/>
          <w:spacing w:val="0"/>
          <w:sz w:val="21"/>
          <w:szCs w:val="21"/>
          <w:highlight w:val="none"/>
          <w:lang w:val="en-US" w:eastAsia="zh-CN"/>
        </w:rPr>
        <w:t>甲方有权终止合同。</w:t>
      </w:r>
    </w:p>
    <w:p>
      <w:pPr>
        <w:keepNext w:val="0"/>
        <w:keepLines w:val="0"/>
        <w:pageBreakBefore w:val="0"/>
        <w:widowControl w:val="0"/>
        <w:kinsoku/>
        <w:wordWrap/>
        <w:topLinePunct w:val="0"/>
        <w:autoSpaceDE w:val="0"/>
        <w:autoSpaceDN w:val="0"/>
        <w:bidi w:val="0"/>
        <w:adjustRightInd w:val="0"/>
        <w:spacing w:line="360" w:lineRule="auto"/>
        <w:ind w:right="0" w:rightChars="0" w:firstLine="422" w:firstLineChars="200"/>
        <w:textAlignment w:val="auto"/>
        <w:rPr>
          <w:rFonts w:ascii="宋体" w:hAnsi="宋体"/>
          <w:b/>
          <w:iCs/>
          <w:color w:val="auto"/>
          <w:szCs w:val="21"/>
          <w:highlight w:val="none"/>
        </w:rPr>
      </w:pPr>
      <w:r>
        <w:rPr>
          <w:rFonts w:hint="eastAsia" w:ascii="宋体" w:hAnsi="宋体"/>
          <w:b/>
          <w:iCs/>
          <w:color w:val="auto"/>
          <w:szCs w:val="21"/>
          <w:highlight w:val="none"/>
        </w:rPr>
        <w:t>第九条</w:t>
      </w:r>
      <w:r>
        <w:rPr>
          <w:rFonts w:ascii="宋体" w:hAnsi="宋体"/>
          <w:b/>
          <w:iCs/>
          <w:color w:val="auto"/>
          <w:szCs w:val="21"/>
          <w:highlight w:val="none"/>
        </w:rPr>
        <w:t xml:space="preserve">  </w:t>
      </w:r>
      <w:r>
        <w:rPr>
          <w:rFonts w:hint="eastAsia" w:ascii="宋体" w:hAnsi="宋体"/>
          <w:b/>
          <w:iCs/>
          <w:color w:val="auto"/>
          <w:szCs w:val="21"/>
          <w:highlight w:val="none"/>
        </w:rPr>
        <w:t>其他事项</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1</w:t>
      </w:r>
      <w:r>
        <w:rPr>
          <w:rFonts w:hint="eastAsia" w:ascii="宋体" w:hAnsi="宋体"/>
          <w:iCs/>
          <w:color w:val="auto"/>
          <w:szCs w:val="21"/>
          <w:highlight w:val="none"/>
        </w:rPr>
        <w:t>、自本合同生效之日起</w:t>
      </w:r>
      <w:r>
        <w:rPr>
          <w:rFonts w:ascii="宋体" w:hAnsi="宋体"/>
          <w:iCs/>
          <w:color w:val="auto"/>
          <w:szCs w:val="21"/>
          <w:highlight w:val="none"/>
        </w:rPr>
        <w:t>7</w:t>
      </w:r>
      <w:r>
        <w:rPr>
          <w:rFonts w:hint="eastAsia" w:ascii="宋体" w:hAnsi="宋体"/>
          <w:iCs/>
          <w:color w:val="auto"/>
          <w:szCs w:val="21"/>
          <w:highlight w:val="none"/>
        </w:rPr>
        <w:t>天内，根据甲方服务内容，办理完交接验收手续。</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2</w:t>
      </w:r>
      <w:r>
        <w:rPr>
          <w:rFonts w:hint="eastAsia" w:ascii="宋体" w:hAnsi="宋体"/>
          <w:iCs/>
          <w:color w:val="auto"/>
          <w:szCs w:val="21"/>
          <w:highlight w:val="none"/>
        </w:rPr>
        <w:t>、甲、乙方对《招标文件》以外的服务项目，可根据实际情况另行签订补充协议。补充协议和本合同的附件与本合同具有同等效力。</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3</w:t>
      </w:r>
      <w:r>
        <w:rPr>
          <w:rFonts w:hint="eastAsia" w:ascii="宋体" w:hAnsi="宋体"/>
          <w:iCs/>
          <w:color w:val="auto"/>
          <w:szCs w:val="21"/>
          <w:highlight w:val="none"/>
        </w:rPr>
        <w:t>、本合同执行期间，如遇不可抗力，致使合同无法履行时，双方应按有关法律法规及时协商处理。</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4</w:t>
      </w:r>
      <w:r>
        <w:rPr>
          <w:rFonts w:hint="eastAsia" w:ascii="宋体" w:hAnsi="宋体"/>
          <w:iCs/>
          <w:color w:val="auto"/>
          <w:szCs w:val="21"/>
          <w:highlight w:val="none"/>
        </w:rPr>
        <w:t>、本合同在履行中如发生争议，双方应协商解决或报请上级主管部门调解，协商或调解不成的，可以向当地法院起诉。</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5</w:t>
      </w:r>
      <w:r>
        <w:rPr>
          <w:rFonts w:hint="eastAsia" w:ascii="宋体" w:hAnsi="宋体"/>
          <w:iCs/>
          <w:color w:val="auto"/>
          <w:szCs w:val="21"/>
          <w:highlight w:val="none"/>
        </w:rPr>
        <w:t>、如遇突发或重大事件，乙方服务人员应在第一时间报告有关部门，乙方项目负责人应在第一时间到达现场，适时处理或协助处理有关问题，甲方如认为情况危及到内部人员的安定管理，乙方应无条件同意甲方直接调配乙方资源直至危机结束。</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ascii="宋体" w:hAnsi="宋体"/>
          <w:iCs/>
          <w:color w:val="auto"/>
          <w:szCs w:val="21"/>
          <w:highlight w:val="none"/>
        </w:rPr>
        <w:t>6</w:t>
      </w:r>
      <w:r>
        <w:rPr>
          <w:rFonts w:hint="eastAsia" w:ascii="宋体" w:hAnsi="宋体"/>
          <w:iCs/>
          <w:color w:val="auto"/>
          <w:szCs w:val="21"/>
          <w:highlight w:val="none"/>
        </w:rPr>
        <w:t>、乙方员工的劳动报酬、养老医疗等各类保险及发生的各种工伤事故、意外事故及纠纷等，均由乙方负责，与甲方无涉。</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hint="eastAsia" w:ascii="宋体" w:hAnsi="宋体"/>
          <w:iCs/>
          <w:color w:val="auto"/>
          <w:szCs w:val="21"/>
          <w:highlight w:val="none"/>
        </w:rPr>
      </w:pPr>
      <w:r>
        <w:rPr>
          <w:rFonts w:ascii="宋体" w:hAnsi="宋体"/>
          <w:iCs/>
          <w:color w:val="auto"/>
          <w:szCs w:val="21"/>
          <w:highlight w:val="none"/>
        </w:rPr>
        <w:t>7</w:t>
      </w:r>
      <w:r>
        <w:rPr>
          <w:rFonts w:hint="eastAsia" w:ascii="宋体" w:hAnsi="宋体"/>
          <w:iCs/>
          <w:color w:val="auto"/>
          <w:szCs w:val="21"/>
          <w:highlight w:val="none"/>
        </w:rPr>
        <w:t>、若需增加或减少服务内容，可另行签订补充协议，费用单价可参考乙方投标文件《投标分项报价表》中的投标单价。</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rPr>
        <w:t>8、</w:t>
      </w:r>
      <w:r>
        <w:rPr>
          <w:rFonts w:hint="eastAsia" w:ascii="宋体" w:hAnsi="宋体"/>
          <w:color w:val="auto"/>
          <w:szCs w:val="21"/>
          <w:highlight w:val="none"/>
        </w:rPr>
        <w:t>乙方对施工现场而造成的死亡、人身伤害、财产损失、损害以及任何其它损失、损害和引起的费用和开支承担责任。</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hint="eastAsia" w:ascii="宋体" w:hAnsi="宋体"/>
          <w:iCs/>
          <w:color w:val="auto"/>
          <w:szCs w:val="21"/>
          <w:highlight w:val="none"/>
        </w:rPr>
        <w:t>第十条、本合同未尽事宜，以招标文件、乙方的投标文件及投标澄清和承诺或以双方签订的补充协议为准，均与本合同具有同等效力。</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ascii="宋体" w:hAnsi="宋体"/>
          <w:iCs/>
          <w:color w:val="auto"/>
          <w:szCs w:val="21"/>
          <w:highlight w:val="none"/>
        </w:rPr>
      </w:pPr>
      <w:r>
        <w:rPr>
          <w:rFonts w:hint="eastAsia" w:ascii="宋体" w:hAnsi="宋体"/>
          <w:iCs/>
          <w:color w:val="auto"/>
          <w:szCs w:val="21"/>
          <w:highlight w:val="none"/>
        </w:rPr>
        <w:t>第十一条、本合同甲乙双方法定代表人或委托代理人签字、盖章之日起生效。</w:t>
      </w:r>
    </w:p>
    <w:p>
      <w:pPr>
        <w:keepNext w:val="0"/>
        <w:keepLines w:val="0"/>
        <w:pageBreakBefore w:val="0"/>
        <w:widowControl w:val="0"/>
        <w:kinsoku/>
        <w:wordWrap/>
        <w:topLinePunct w:val="0"/>
        <w:autoSpaceDE w:val="0"/>
        <w:autoSpaceDN w:val="0"/>
        <w:bidi w:val="0"/>
        <w:adjustRightInd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rPr>
        <w:t>第十二条、本合同一式四份，甲、乙双方各持二份，均具有同等法律效力。</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rPr>
        <w:t xml:space="preserve">甲方：                                   乙方： </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rPr>
        <w:t xml:space="preserve">地址：                                   地址： </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rPr>
        <w:t>法定代表：                               法定代表：</w:t>
      </w:r>
    </w:p>
    <w:p>
      <w:pPr>
        <w:keepNext w:val="0"/>
        <w:keepLines w:val="0"/>
        <w:pageBreakBefore w:val="0"/>
        <w:widowControl w:val="0"/>
        <w:kinsoku/>
        <w:wordWrap/>
        <w:topLinePunct w:val="0"/>
        <w:bidi w:val="0"/>
        <w:spacing w:line="360" w:lineRule="auto"/>
        <w:ind w:right="0" w:rightChars="0" w:firstLine="420" w:firstLineChars="200"/>
        <w:textAlignment w:val="auto"/>
        <w:rPr>
          <w:rFonts w:hint="eastAsia" w:ascii="宋体" w:hAnsi="宋体"/>
          <w:iCs/>
          <w:color w:val="auto"/>
          <w:szCs w:val="21"/>
          <w:highlight w:val="none"/>
        </w:rPr>
      </w:pPr>
      <w:r>
        <w:rPr>
          <w:rFonts w:hint="eastAsia" w:ascii="宋体" w:hAnsi="宋体"/>
          <w:iCs/>
          <w:color w:val="auto"/>
          <w:szCs w:val="21"/>
          <w:highlight w:val="none"/>
        </w:rPr>
        <w:t>代表 ：                                  代表 ：</w:t>
      </w:r>
    </w:p>
    <w:p>
      <w:pPr>
        <w:keepNext w:val="0"/>
        <w:keepLines w:val="0"/>
        <w:pageBreakBefore w:val="0"/>
        <w:widowControl w:val="0"/>
        <w:kinsoku/>
        <w:wordWrap/>
        <w:topLinePunct w:val="0"/>
        <w:bidi w:val="0"/>
        <w:spacing w:line="360" w:lineRule="auto"/>
        <w:ind w:right="0" w:rightChars="0" w:firstLine="315" w:firstLineChars="150"/>
        <w:textAlignment w:val="auto"/>
        <w:rPr>
          <w:color w:val="auto"/>
          <w:highlight w:val="none"/>
        </w:rPr>
      </w:pPr>
      <w:r>
        <w:rPr>
          <w:rFonts w:hint="eastAsia" w:ascii="宋体" w:hAnsi="宋体"/>
          <w:iCs/>
          <w:color w:val="auto"/>
          <w:szCs w:val="21"/>
          <w:highlight w:val="none"/>
        </w:rPr>
        <w:t>签字日期：      年    月    日           签字日期：      年    月   日</w:t>
      </w:r>
      <w:r>
        <w:rPr>
          <w:rFonts w:hint="eastAsia" w:ascii="宋体" w:hAnsi="宋体" w:cs="宋体"/>
          <w:color w:val="auto"/>
          <w:szCs w:val="21"/>
          <w:highlight w:val="none"/>
        </w:rPr>
        <w:br w:type="page"/>
      </w:r>
    </w:p>
    <w:p>
      <w:pPr>
        <w:pStyle w:val="4"/>
        <w:bidi w:val="0"/>
        <w:jc w:val="center"/>
        <w:outlineLvl w:val="0"/>
        <w:rPr>
          <w:rFonts w:hint="eastAsia"/>
          <w:color w:val="auto"/>
          <w:highlight w:val="none"/>
        </w:rPr>
      </w:pPr>
      <w:bookmarkStart w:id="177" w:name="_Toc141878076"/>
      <w:bookmarkStart w:id="178" w:name="_Toc4271"/>
      <w:bookmarkStart w:id="179" w:name="_Toc30617"/>
      <w:r>
        <w:rPr>
          <w:rFonts w:hint="eastAsia"/>
          <w:color w:val="auto"/>
          <w:highlight w:val="none"/>
        </w:rPr>
        <w:t>第六章　投标文件格式</w:t>
      </w:r>
      <w:bookmarkEnd w:id="175"/>
      <w:bookmarkEnd w:id="176"/>
      <w:bookmarkEnd w:id="177"/>
      <w:bookmarkEnd w:id="178"/>
      <w:bookmarkEnd w:id="179"/>
    </w:p>
    <w:p>
      <w:pPr>
        <w:ind w:firstLine="883" w:firstLineChars="400"/>
        <w:rPr>
          <w:b/>
          <w:color w:val="auto"/>
          <w:sz w:val="22"/>
          <w:highlight w:val="none"/>
        </w:rPr>
      </w:pPr>
      <w:r>
        <w:rPr>
          <w:rFonts w:hint="eastAsia"/>
          <w:b/>
          <w:color w:val="auto"/>
          <w:sz w:val="22"/>
          <w:highlight w:val="none"/>
        </w:rPr>
        <w:t>一、投标文件外层包装封面格式</w:t>
      </w:r>
    </w:p>
    <w:p>
      <w:pPr>
        <w:snapToGrid w:val="0"/>
        <w:spacing w:before="120" w:beforeLines="50" w:after="50" w:line="440" w:lineRule="exact"/>
        <w:jc w:val="center"/>
        <w:rPr>
          <w:rFonts w:ascii="宋体" w:hAnsi="宋体"/>
          <w:color w:val="auto"/>
          <w:szCs w:val="21"/>
          <w:highlight w:val="none"/>
        </w:rPr>
      </w:pPr>
    </w:p>
    <w:p>
      <w:pPr>
        <w:snapToGrid w:val="0"/>
        <w:spacing w:before="120" w:beforeLines="50" w:after="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20" w:beforeLines="50" w:after="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spacing w:before="120" w:beforeLines="50" w:after="50" w:line="440" w:lineRule="exact"/>
        <w:rPr>
          <w:rFonts w:ascii="宋体" w:hAnsi="宋体"/>
          <w:bCs/>
          <w:color w:val="auto"/>
          <w:szCs w:val="21"/>
          <w:highlight w:val="none"/>
        </w:rPr>
      </w:pPr>
    </w:p>
    <w:p>
      <w:pPr>
        <w:snapToGrid w:val="0"/>
        <w:spacing w:before="120"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项目名称：</w:t>
      </w:r>
    </w:p>
    <w:p>
      <w:pPr>
        <w:snapToGrid w:val="0"/>
        <w:spacing w:before="120"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项目编号：</w:t>
      </w:r>
    </w:p>
    <w:p>
      <w:pPr>
        <w:snapToGrid w:val="0"/>
        <w:spacing w:before="120"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标项：/</w:t>
      </w:r>
    </w:p>
    <w:p>
      <w:pPr>
        <w:snapToGrid w:val="0"/>
        <w:spacing w:before="120"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投标文件名称：资格文件/商务技术文件/报价文件/电子备份投标文件</w:t>
      </w:r>
    </w:p>
    <w:p>
      <w:pPr>
        <w:snapToGrid w:val="0"/>
        <w:spacing w:before="120" w:beforeLines="50" w:after="50" w:line="440" w:lineRule="exact"/>
        <w:ind w:firstLine="932" w:firstLineChars="444"/>
        <w:rPr>
          <w:rFonts w:ascii="宋体" w:hAnsi="宋体"/>
          <w:bCs/>
          <w:color w:val="auto"/>
          <w:szCs w:val="21"/>
          <w:highlight w:val="none"/>
        </w:rPr>
      </w:pPr>
    </w:p>
    <w:p>
      <w:pPr>
        <w:pStyle w:val="14"/>
        <w:snapToGrid w:val="0"/>
        <w:spacing w:before="50" w:after="50" w:line="440" w:lineRule="exact"/>
        <w:ind w:firstLine="932" w:firstLineChars="444"/>
        <w:rPr>
          <w:rFonts w:ascii="宋体" w:hAnsi="宋体"/>
          <w:bCs/>
          <w:color w:val="auto"/>
          <w:szCs w:val="21"/>
          <w:highlight w:val="none"/>
        </w:rPr>
      </w:pPr>
    </w:p>
    <w:p>
      <w:pPr>
        <w:pStyle w:val="14"/>
        <w:snapToGrid w:val="0"/>
        <w:spacing w:before="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14"/>
        <w:snapToGrid w:val="0"/>
        <w:spacing w:before="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14"/>
        <w:snapToGrid w:val="0"/>
        <w:spacing w:before="50" w:after="50" w:line="440" w:lineRule="exact"/>
        <w:ind w:firstLine="932" w:firstLineChars="444"/>
        <w:jc w:val="center"/>
        <w:rPr>
          <w:rFonts w:ascii="宋体" w:hAnsi="宋体"/>
          <w:bCs/>
          <w:color w:val="auto"/>
          <w:szCs w:val="21"/>
          <w:highlight w:val="none"/>
        </w:rPr>
      </w:pPr>
    </w:p>
    <w:p>
      <w:pPr>
        <w:pStyle w:val="14"/>
        <w:snapToGrid w:val="0"/>
        <w:spacing w:before="50" w:after="50" w:line="440" w:lineRule="exact"/>
        <w:ind w:firstLine="932" w:firstLineChars="444"/>
        <w:jc w:val="center"/>
        <w:rPr>
          <w:rFonts w:ascii="宋体" w:hAnsi="宋体"/>
          <w:bCs/>
          <w:color w:val="auto"/>
          <w:szCs w:val="21"/>
          <w:highlight w:val="none"/>
        </w:rPr>
      </w:pPr>
      <w:r>
        <w:rPr>
          <w:rFonts w:hint="eastAsia" w:ascii="宋体" w:hAnsi="宋体"/>
          <w:bCs/>
          <w:color w:val="auto"/>
          <w:szCs w:val="21"/>
          <w:highlight w:val="none"/>
        </w:rPr>
        <w:t>开标时启封</w:t>
      </w:r>
    </w:p>
    <w:p>
      <w:pPr>
        <w:snapToGrid w:val="0"/>
        <w:spacing w:before="120" w:beforeLines="50" w:after="50" w:line="440" w:lineRule="exact"/>
        <w:ind w:firstLine="3570" w:firstLineChars="1700"/>
        <w:rPr>
          <w:rFonts w:ascii="宋体" w:hAnsi="宋体"/>
          <w:bCs/>
          <w:color w:val="auto"/>
          <w:szCs w:val="21"/>
          <w:highlight w:val="none"/>
        </w:rPr>
      </w:pPr>
    </w:p>
    <w:p>
      <w:pPr>
        <w:pStyle w:val="14"/>
        <w:snapToGrid w:val="0"/>
        <w:spacing w:before="50" w:after="50" w:line="440" w:lineRule="exact"/>
        <w:ind w:firstLine="840" w:firstLineChars="400"/>
        <w:rPr>
          <w:rFonts w:ascii="宋体" w:hAnsi="宋体"/>
          <w:bCs/>
          <w:color w:val="auto"/>
          <w:szCs w:val="21"/>
          <w:highlight w:val="none"/>
        </w:rPr>
      </w:pPr>
    </w:p>
    <w:p>
      <w:pPr>
        <w:pStyle w:val="14"/>
        <w:snapToGrid w:val="0"/>
        <w:spacing w:before="50" w:after="50" w:line="440" w:lineRule="exact"/>
        <w:ind w:firstLine="873" w:firstLineChars="416"/>
        <w:rPr>
          <w:rFonts w:ascii="宋体" w:hAnsi="宋体"/>
          <w:color w:val="auto"/>
          <w:szCs w:val="21"/>
          <w:highlight w:val="none"/>
        </w:rPr>
      </w:pPr>
    </w:p>
    <w:p>
      <w:pPr>
        <w:snapToGrid w:val="0"/>
        <w:spacing w:before="120" w:beforeLines="50" w:after="50" w:line="440" w:lineRule="exact"/>
        <w:ind w:firstLine="645"/>
        <w:jc w:val="center"/>
        <w:rPr>
          <w:rFonts w:ascii="宋体" w:hAnsi="宋体"/>
          <w:color w:val="auto"/>
          <w:szCs w:val="21"/>
          <w:highlight w:val="none"/>
        </w:rPr>
      </w:pPr>
      <w:r>
        <w:rPr>
          <w:rFonts w:hint="eastAsia" w:ascii="宋体" w:hAnsi="宋体"/>
          <w:color w:val="auto"/>
          <w:szCs w:val="21"/>
          <w:highlight w:val="none"/>
        </w:rPr>
        <w:t>投标单位全称（公章）</w:t>
      </w:r>
    </w:p>
    <w:p>
      <w:pPr>
        <w:snapToGrid w:val="0"/>
        <w:spacing w:before="120" w:beforeLines="50" w:after="50" w:line="440" w:lineRule="exact"/>
        <w:ind w:firstLine="645"/>
        <w:jc w:val="center"/>
        <w:rPr>
          <w:rFonts w:ascii="宋体" w:hAnsi="宋体"/>
          <w:color w:val="auto"/>
          <w:szCs w:val="21"/>
          <w:highlight w:val="none"/>
        </w:rPr>
      </w:pPr>
      <w:r>
        <w:rPr>
          <w:rFonts w:hint="eastAsia" w:ascii="宋体" w:hAnsi="宋体"/>
          <w:color w:val="auto"/>
          <w:szCs w:val="21"/>
          <w:highlight w:val="none"/>
        </w:rPr>
        <w:t>年   月   日</w:t>
      </w:r>
    </w:p>
    <w:p>
      <w:pPr>
        <w:rPr>
          <w:color w:val="auto"/>
          <w:sz w:val="24"/>
          <w:highlight w:val="none"/>
        </w:rPr>
      </w:pPr>
      <w:r>
        <w:rPr>
          <w:rFonts w:hint="eastAsia"/>
          <w:color w:val="auto"/>
          <w:sz w:val="24"/>
          <w:highlight w:val="none"/>
        </w:rPr>
        <w:br w:type="page"/>
      </w:r>
    </w:p>
    <w:p>
      <w:pPr>
        <w:ind w:firstLine="883" w:firstLineChars="400"/>
        <w:rPr>
          <w:b/>
          <w:color w:val="auto"/>
          <w:sz w:val="22"/>
          <w:highlight w:val="none"/>
        </w:rPr>
      </w:pPr>
      <w:r>
        <w:rPr>
          <w:rFonts w:hint="eastAsia"/>
          <w:b/>
          <w:color w:val="auto"/>
          <w:sz w:val="22"/>
          <w:highlight w:val="none"/>
        </w:rPr>
        <w:t>二、投标文件封面格式</w:t>
      </w:r>
    </w:p>
    <w:p>
      <w:pPr>
        <w:spacing w:line="300" w:lineRule="auto"/>
        <w:ind w:right="240"/>
        <w:jc w:val="right"/>
        <w:rPr>
          <w:rFonts w:ascii="宋体" w:hAnsi="宋体"/>
          <w:b/>
          <w:bCs/>
          <w:color w:val="auto"/>
          <w:sz w:val="24"/>
          <w:highlight w:val="none"/>
        </w:rPr>
      </w:pPr>
    </w:p>
    <w:p>
      <w:pPr>
        <w:spacing w:line="300" w:lineRule="auto"/>
        <w:ind w:right="240"/>
        <w:jc w:val="right"/>
        <w:rPr>
          <w:rFonts w:ascii="宋体" w:hAnsi="宋体"/>
          <w:color w:val="auto"/>
          <w:sz w:val="24"/>
          <w:highlight w:val="none"/>
        </w:rPr>
      </w:pPr>
      <w:r>
        <w:rPr>
          <w:rFonts w:hint="eastAsia" w:ascii="宋体" w:hAnsi="宋体"/>
          <w:b/>
          <w:bCs/>
          <w:color w:val="auto"/>
          <w:sz w:val="24"/>
          <w:highlight w:val="none"/>
        </w:rPr>
        <w:t>正本/副本</w:t>
      </w:r>
    </w:p>
    <w:p>
      <w:pPr>
        <w:spacing w:line="300" w:lineRule="auto"/>
        <w:jc w:val="center"/>
        <w:rPr>
          <w:rFonts w:ascii="宋体" w:hAnsi="宋体"/>
          <w:color w:val="auto"/>
          <w:szCs w:val="21"/>
          <w:highlight w:val="none"/>
        </w:rPr>
      </w:pPr>
    </w:p>
    <w:p>
      <w:pPr>
        <w:spacing w:line="300" w:lineRule="auto"/>
        <w:ind w:firstLine="2951" w:firstLineChars="1050"/>
        <w:rPr>
          <w:rFonts w:ascii="宋体" w:hAnsi="宋体"/>
          <w:b/>
          <w:bCs/>
          <w:color w:val="auto"/>
          <w:sz w:val="28"/>
          <w:szCs w:val="28"/>
          <w:highlight w:val="none"/>
        </w:rPr>
      </w:pPr>
    </w:p>
    <w:p>
      <w:pPr>
        <w:spacing w:line="30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资格文件/商务技术文件/报价文件</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color w:val="auto"/>
          <w:szCs w:val="21"/>
          <w:highlight w:val="none"/>
        </w:rPr>
        <w:t>项目名称：</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color w:val="auto"/>
          <w:szCs w:val="21"/>
          <w:highlight w:val="none"/>
        </w:rPr>
        <w:t>项目编号：</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color w:val="auto"/>
          <w:szCs w:val="21"/>
          <w:highlight w:val="none"/>
        </w:rPr>
        <w:t>标项：/</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color w:val="auto"/>
          <w:szCs w:val="21"/>
          <w:highlight w:val="none"/>
        </w:rPr>
        <w:t>供应商名称：</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color w:val="auto"/>
          <w:szCs w:val="21"/>
          <w:highlight w:val="none"/>
        </w:rPr>
        <w:t>供应商地址：</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pStyle w:val="14"/>
        <w:snapToGrid w:val="0"/>
        <w:spacing w:before="50" w:after="50" w:line="440" w:lineRule="exact"/>
        <w:ind w:firstLine="873" w:firstLineChars="416"/>
        <w:jc w:val="right"/>
        <w:rPr>
          <w:rFonts w:ascii="宋体" w:hAnsi="宋体"/>
          <w:color w:val="auto"/>
          <w:szCs w:val="21"/>
          <w:highlight w:val="none"/>
        </w:rPr>
      </w:pPr>
    </w:p>
    <w:p>
      <w:pPr>
        <w:pStyle w:val="14"/>
        <w:snapToGrid w:val="0"/>
        <w:spacing w:before="50" w:after="50" w:line="440" w:lineRule="exact"/>
        <w:ind w:firstLine="873" w:firstLineChars="416"/>
        <w:jc w:val="right"/>
        <w:rPr>
          <w:rFonts w:ascii="宋体" w:hAnsi="宋体"/>
          <w:color w:val="auto"/>
          <w:szCs w:val="21"/>
          <w:highlight w:val="none"/>
        </w:rPr>
      </w:pPr>
    </w:p>
    <w:p>
      <w:pPr>
        <w:pStyle w:val="14"/>
        <w:snapToGrid w:val="0"/>
        <w:spacing w:before="50" w:after="50" w:line="440" w:lineRule="exact"/>
        <w:ind w:right="840" w:firstLine="4620" w:firstLineChars="2200"/>
        <w:rPr>
          <w:rFonts w:ascii="宋体" w:hAnsi="宋体"/>
          <w:color w:val="auto"/>
          <w:szCs w:val="21"/>
          <w:highlight w:val="none"/>
        </w:rPr>
      </w:pPr>
      <w:r>
        <w:rPr>
          <w:rFonts w:hint="eastAsia" w:ascii="宋体" w:hAnsi="宋体"/>
          <w:color w:val="auto"/>
          <w:szCs w:val="21"/>
          <w:highlight w:val="none"/>
        </w:rPr>
        <w:t>投标单位全称（盖章）</w:t>
      </w:r>
    </w:p>
    <w:p>
      <w:pPr>
        <w:snapToGrid w:val="0"/>
        <w:spacing w:before="120" w:beforeLines="50" w:after="50" w:line="440" w:lineRule="exact"/>
        <w:ind w:firstLine="645"/>
        <w:jc w:val="center"/>
        <w:rPr>
          <w:rFonts w:hint="eastAsia" w:ascii="宋体" w:hAnsi="宋体" w:eastAsia="宋体" w:cs="宋体"/>
          <w:color w:val="auto"/>
          <w:sz w:val="32"/>
          <w:szCs w:val="32"/>
          <w:highlight w:val="none"/>
        </w:rPr>
      </w:pPr>
      <w:r>
        <w:rPr>
          <w:rFonts w:hint="eastAsia" w:ascii="宋体" w:hAnsi="宋体"/>
          <w:color w:val="auto"/>
          <w:szCs w:val="21"/>
          <w:highlight w:val="none"/>
        </w:rPr>
        <w:t>年  月  日</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napToGrid w:val="0"/>
        <w:spacing w:line="360" w:lineRule="auto"/>
        <w:jc w:val="left"/>
        <w:rPr>
          <w:rFonts w:ascii="Arial" w:hAnsi="宋体" w:cs="Arial"/>
          <w:b/>
          <w:color w:val="auto"/>
          <w:sz w:val="21"/>
          <w:szCs w:val="21"/>
          <w:highlight w:val="none"/>
        </w:rPr>
      </w:pPr>
      <w:bookmarkStart w:id="180" w:name="_Toc21976"/>
      <w:bookmarkStart w:id="181" w:name="_Toc28612"/>
      <w:r>
        <w:rPr>
          <w:rFonts w:hint="eastAsia" w:ascii="Arial" w:hAnsi="宋体" w:cs="Arial"/>
          <w:b/>
          <w:color w:val="auto"/>
          <w:sz w:val="21"/>
          <w:szCs w:val="21"/>
          <w:highlight w:val="none"/>
        </w:rPr>
        <w:t>三、资格文件格式：</w:t>
      </w:r>
    </w:p>
    <w:bookmarkEnd w:id="180"/>
    <w:bookmarkEnd w:id="18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复印件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2.符合参加政府采购活动应当具备的一般条件的承诺函（格式见第六章）；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3.中小企业声明函；（格式见第六章）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4.残疾人福利性单位声明函；（格式见第六章）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5.由省级以上监狱管理局、戒毒管理局（含新疆生产建设兵团）出具的属于监狱企业的证明文件；（如有请提供）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color w:val="auto"/>
          <w:kern w:val="44"/>
          <w:sz w:val="21"/>
          <w:szCs w:val="21"/>
          <w:highlight w:val="none"/>
        </w:rPr>
      </w:pPr>
      <w:r>
        <w:rPr>
          <w:rFonts w:hint="eastAsia" w:ascii="宋体" w:hAnsi="宋体" w:eastAsia="宋体" w:cs="宋体"/>
          <w:color w:val="auto"/>
          <w:sz w:val="21"/>
          <w:szCs w:val="21"/>
          <w:highlight w:val="none"/>
          <w:lang w:val="en-US" w:eastAsia="zh-CN"/>
        </w:rPr>
        <w:t>6.供应商认为需要的其他资料（如有需提供）。</w:t>
      </w:r>
      <w:r>
        <w:rPr>
          <w:rFonts w:hAnsi="宋体"/>
          <w:b/>
          <w:bCs/>
          <w:color w:val="auto"/>
          <w:kern w:val="44"/>
          <w:sz w:val="21"/>
          <w:szCs w:val="21"/>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u w:val="single"/>
        </w:rPr>
      </w:pPr>
      <w:r>
        <w:rPr>
          <w:rFonts w:hint="eastAsia" w:ascii="宋体" w:hAnsi="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735" w:firstLineChars="3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eastAsia="zh-CN"/>
        </w:rPr>
        <w:t>（项目名称）【项目编号：FSCG2024088（</w:t>
      </w:r>
      <w:r>
        <w:rPr>
          <w:rFonts w:hint="eastAsia" w:ascii="宋体" w:hAnsi="宋体" w:cs="宋体"/>
          <w:color w:val="auto"/>
          <w:sz w:val="21"/>
          <w:szCs w:val="21"/>
          <w:highlight w:val="none"/>
          <w:u w:val="single"/>
          <w:lang w:eastAsia="zh-CN"/>
        </w:rPr>
        <w:t>HX-2024-1044</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政府采购活动，郑重承诺：</w:t>
      </w:r>
    </w:p>
    <w:p>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snapToGrid w:val="0"/>
        <w:spacing w:line="360" w:lineRule="auto"/>
        <w:ind w:firstLine="4830" w:firstLineChars="2300"/>
        <w:textAlignment w:val="auto"/>
        <w:rPr>
          <w:rFonts w:hint="eastAsia" w:ascii="宋体" w:hAnsi="宋体" w:eastAsia="宋体" w:cs="宋体"/>
          <w:color w:val="auto"/>
          <w:kern w:val="0"/>
          <w:sz w:val="21"/>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4830" w:firstLineChars="2300"/>
        <w:textAlignment w:val="auto"/>
        <w:rPr>
          <w:rFonts w:hint="eastAsia" w:ascii="宋体" w:hAnsi="宋体" w:eastAsia="宋体" w:cs="宋体"/>
          <w:color w:val="auto"/>
          <w:kern w:val="0"/>
          <w:sz w:val="21"/>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（盖章）：</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仿宋" w:hAnsi="仿宋" w:eastAsia="仿宋" w:cs="仿宋"/>
          <w:color w:val="auto"/>
          <w:sz w:val="24"/>
          <w:highlight w:val="none"/>
        </w:rPr>
      </w:pPr>
      <w:r>
        <w:rPr>
          <w:rFonts w:hint="eastAsia" w:ascii="宋体" w:hAnsi="宋体" w:eastAsia="宋体" w:cs="宋体"/>
          <w:color w:val="auto"/>
          <w:sz w:val="21"/>
          <w:szCs w:val="21"/>
          <w:highlight w:val="none"/>
        </w:rPr>
        <w:t xml:space="preserve">日期：年 月 </w:t>
      </w:r>
      <w:r>
        <w:rPr>
          <w:rFonts w:hint="eastAsia" w:ascii="仿宋" w:hAnsi="仿宋" w:eastAsia="仿宋" w:cs="仿宋"/>
          <w:color w:val="auto"/>
          <w:sz w:val="24"/>
          <w:highlight w:val="none"/>
        </w:rPr>
        <w:t>日</w:t>
      </w:r>
    </w:p>
    <w:p>
      <w:pPr>
        <w:rPr>
          <w:rFonts w:hint="eastAsia"/>
          <w:b/>
          <w:color w:val="auto"/>
          <w:sz w:val="24"/>
          <w:szCs w:val="28"/>
          <w:highlight w:val="none"/>
          <w:lang w:val="en-US" w:eastAsia="zh-CN"/>
        </w:rPr>
      </w:pPr>
      <w:r>
        <w:rPr>
          <w:rFonts w:hint="eastAsia"/>
          <w:b/>
          <w:color w:val="auto"/>
          <w:sz w:val="24"/>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2、中小企业声明函</w:t>
      </w:r>
    </w:p>
    <w:p>
      <w:pPr>
        <w:pStyle w:val="60"/>
        <w:rPr>
          <w:color w:val="auto"/>
          <w:highlight w:val="none"/>
        </w:rPr>
      </w:pPr>
    </w:p>
    <w:p>
      <w:pPr>
        <w:spacing w:line="400" w:lineRule="exact"/>
        <w:ind w:firstLine="420" w:firstLineChars="200"/>
        <w:rPr>
          <w:color w:val="auto"/>
          <w:szCs w:val="21"/>
          <w:highlight w:val="none"/>
        </w:rPr>
      </w:pPr>
      <w:r>
        <w:rPr>
          <w:rFonts w:hint="eastAsia"/>
          <w:color w:val="auto"/>
          <w:szCs w:val="21"/>
          <w:highlight w:val="none"/>
        </w:rPr>
        <w:t>本公司郑重声明，根据《政府采购促进中小企业发展管理办法》（财库﹝2020﹞46 号）的规定，本公司参加</w:t>
      </w:r>
      <w:r>
        <w:rPr>
          <w:rFonts w:hint="eastAsia"/>
          <w:color w:val="auto"/>
          <w:szCs w:val="21"/>
          <w:highlight w:val="none"/>
          <w:u w:val="single"/>
        </w:rPr>
        <w:t xml:space="preserve"> （</w:t>
      </w:r>
      <w:r>
        <w:rPr>
          <w:rFonts w:hint="eastAsia"/>
          <w:color w:val="auto"/>
          <w:szCs w:val="21"/>
          <w:highlight w:val="none"/>
          <w:u w:val="single"/>
          <w:lang w:eastAsia="zh-CN"/>
        </w:rPr>
        <w:t>宁波市江北区人民政府前江街道办事处</w:t>
      </w:r>
      <w:r>
        <w:rPr>
          <w:rFonts w:hint="eastAsia"/>
          <w:color w:val="auto"/>
          <w:szCs w:val="21"/>
          <w:highlight w:val="none"/>
          <w:u w:val="single"/>
        </w:rPr>
        <w:t xml:space="preserve">） </w:t>
      </w:r>
      <w:r>
        <w:rPr>
          <w:rFonts w:hint="eastAsia"/>
          <w:color w:val="auto"/>
          <w:szCs w:val="21"/>
          <w:highlight w:val="none"/>
        </w:rPr>
        <w:t xml:space="preserve"> 的</w:t>
      </w:r>
      <w:r>
        <w:rPr>
          <w:rFonts w:hint="eastAsia"/>
          <w:color w:val="auto"/>
          <w:szCs w:val="21"/>
          <w:highlight w:val="none"/>
          <w:u w:val="single"/>
        </w:rPr>
        <w:t xml:space="preserve">  </w:t>
      </w:r>
      <w:r>
        <w:rPr>
          <w:rFonts w:hint="eastAsia"/>
          <w:color w:val="auto"/>
          <w:szCs w:val="21"/>
          <w:highlight w:val="none"/>
          <w:u w:val="single"/>
          <w:lang w:eastAsia="zh-CN"/>
        </w:rPr>
        <w:t>2024年度前江街道雨污管网养护项目</w:t>
      </w:r>
      <w:r>
        <w:rPr>
          <w:rFonts w:hint="eastAsia"/>
          <w:color w:val="auto"/>
          <w:szCs w:val="21"/>
          <w:highlight w:val="none"/>
          <w:u w:val="single"/>
        </w:rPr>
        <w:t xml:space="preserve">  </w:t>
      </w:r>
      <w:r>
        <w:rPr>
          <w:rFonts w:hint="eastAsia"/>
          <w:color w:val="auto"/>
          <w:szCs w:val="21"/>
          <w:highlight w:val="none"/>
        </w:rPr>
        <w:t>采购活动，服务全部由符合政策要求的中小企业承接。相关企业（含联合体中的中小企业、签订分包意向协议的中小企业）的具体情况如下：</w:t>
      </w:r>
    </w:p>
    <w:p>
      <w:pPr>
        <w:spacing w:line="400" w:lineRule="exact"/>
        <w:ind w:firstLine="420" w:firstLineChars="200"/>
        <w:rPr>
          <w:color w:val="auto"/>
          <w:szCs w:val="21"/>
          <w:highlight w:val="none"/>
        </w:rPr>
      </w:pPr>
      <w:r>
        <w:rPr>
          <w:rFonts w:hint="eastAsia"/>
          <w:color w:val="auto"/>
          <w:szCs w:val="21"/>
          <w:highlight w:val="none"/>
        </w:rPr>
        <w:t>1、</w:t>
      </w:r>
      <w:r>
        <w:rPr>
          <w:rFonts w:hint="eastAsia"/>
          <w:color w:val="auto"/>
          <w:szCs w:val="21"/>
          <w:highlight w:val="none"/>
          <w:u w:val="single"/>
          <w:lang w:eastAsia="zh-CN"/>
        </w:rPr>
        <w:t>2024年度前江街道雨污管网养护项目</w:t>
      </w:r>
      <w:r>
        <w:rPr>
          <w:rFonts w:hint="eastAsia"/>
          <w:color w:val="auto"/>
          <w:szCs w:val="21"/>
          <w:highlight w:val="none"/>
          <w:u w:val="single"/>
        </w:rPr>
        <w:t xml:space="preserve"> </w:t>
      </w:r>
      <w:r>
        <w:rPr>
          <w:rFonts w:hint="eastAsia"/>
          <w:color w:val="auto"/>
          <w:szCs w:val="21"/>
          <w:highlight w:val="none"/>
        </w:rPr>
        <w:t>，属于</w:t>
      </w:r>
      <w:r>
        <w:rPr>
          <w:rFonts w:hint="eastAsia"/>
          <w:color w:val="auto"/>
          <w:szCs w:val="21"/>
          <w:highlight w:val="none"/>
          <w:u w:val="single"/>
        </w:rPr>
        <w:t>其他未列明行业</w:t>
      </w:r>
      <w:r>
        <w:rPr>
          <w:rFonts w:hint="eastAsia"/>
          <w:color w:val="auto"/>
          <w:szCs w:val="21"/>
          <w:highlight w:val="none"/>
        </w:rPr>
        <w:t>；承接企业为</w:t>
      </w:r>
      <w:r>
        <w:rPr>
          <w:rFonts w:hint="eastAsia"/>
          <w:color w:val="auto"/>
          <w:szCs w:val="21"/>
          <w:highlight w:val="none"/>
          <w:u w:val="single"/>
        </w:rPr>
        <w:t>（企业名称）</w:t>
      </w:r>
      <w:r>
        <w:rPr>
          <w:rFonts w:hint="eastAsia"/>
          <w:color w:val="auto"/>
          <w:szCs w:val="21"/>
          <w:highlight w:val="none"/>
        </w:rPr>
        <w:t>，从业人员</w:t>
      </w:r>
      <w:r>
        <w:rPr>
          <w:rFonts w:hint="eastAsia"/>
          <w:color w:val="auto"/>
          <w:szCs w:val="21"/>
          <w:highlight w:val="none"/>
          <w:u w:val="single"/>
        </w:rPr>
        <w:t xml:space="preserve">     </w:t>
      </w:r>
      <w:r>
        <w:rPr>
          <w:rFonts w:hint="eastAsia"/>
          <w:color w:val="auto"/>
          <w:szCs w:val="21"/>
          <w:highlight w:val="none"/>
        </w:rPr>
        <w:t>人，营业收入为</w:t>
      </w:r>
      <w:r>
        <w:rPr>
          <w:rFonts w:hint="eastAsia"/>
          <w:color w:val="auto"/>
          <w:szCs w:val="21"/>
          <w:highlight w:val="none"/>
          <w:u w:val="single"/>
        </w:rPr>
        <w:t xml:space="preserve">   </w:t>
      </w:r>
      <w:r>
        <w:rPr>
          <w:rFonts w:hint="eastAsia"/>
          <w:color w:val="auto"/>
          <w:szCs w:val="21"/>
          <w:highlight w:val="none"/>
        </w:rPr>
        <w:t>万元，资产总额为</w:t>
      </w:r>
      <w:r>
        <w:rPr>
          <w:rFonts w:hint="eastAsia"/>
          <w:color w:val="auto"/>
          <w:szCs w:val="21"/>
          <w:highlight w:val="none"/>
          <w:u w:val="single"/>
        </w:rPr>
        <w:t xml:space="preserve">     </w:t>
      </w:r>
      <w:r>
        <w:rPr>
          <w:rFonts w:hint="eastAsia"/>
          <w:color w:val="auto"/>
          <w:szCs w:val="21"/>
          <w:highlight w:val="none"/>
        </w:rPr>
        <w:t>万元，属于</w:t>
      </w:r>
      <w:r>
        <w:rPr>
          <w:rFonts w:hint="eastAsia"/>
          <w:color w:val="auto"/>
          <w:szCs w:val="21"/>
          <w:highlight w:val="none"/>
          <w:u w:val="single"/>
        </w:rPr>
        <w:t>（中型企业、小型企业、微型企业）</w:t>
      </w:r>
      <w:r>
        <w:rPr>
          <w:rFonts w:hint="eastAsia"/>
          <w:color w:val="auto"/>
          <w:szCs w:val="21"/>
          <w:highlight w:val="none"/>
        </w:rPr>
        <w:t xml:space="preserve">； </w:t>
      </w:r>
    </w:p>
    <w:p>
      <w:pPr>
        <w:spacing w:line="400" w:lineRule="exact"/>
        <w:ind w:firstLine="420" w:firstLineChars="200"/>
        <w:rPr>
          <w:color w:val="auto"/>
          <w:szCs w:val="21"/>
          <w:highlight w:val="none"/>
        </w:rPr>
      </w:pPr>
      <w:r>
        <w:rPr>
          <w:rFonts w:hint="eastAsia"/>
          <w:color w:val="auto"/>
          <w:szCs w:val="21"/>
          <w:highlight w:val="none"/>
        </w:rPr>
        <w:t>以上企业，不属于大企业的分支机构，不存在控股股东为大企业的情形，也不存在与大企业的负责人为同一人的情形。</w:t>
      </w:r>
    </w:p>
    <w:p>
      <w:pPr>
        <w:spacing w:line="400" w:lineRule="exact"/>
        <w:ind w:firstLine="420" w:firstLineChars="200"/>
        <w:rPr>
          <w:color w:val="auto"/>
          <w:szCs w:val="21"/>
          <w:highlight w:val="none"/>
        </w:rPr>
      </w:pPr>
      <w:r>
        <w:rPr>
          <w:rFonts w:hint="eastAsia"/>
          <w:color w:val="auto"/>
          <w:szCs w:val="21"/>
          <w:highlight w:val="none"/>
        </w:rPr>
        <w:t xml:space="preserve">本企业对上述声明内容的真实性负责。如有虚假，将依法承担相应责任。 </w:t>
      </w:r>
    </w:p>
    <w:p>
      <w:pPr>
        <w:spacing w:line="400" w:lineRule="exact"/>
        <w:ind w:firstLine="420" w:firstLineChars="200"/>
        <w:jc w:val="center"/>
        <w:rPr>
          <w:color w:val="auto"/>
          <w:szCs w:val="21"/>
          <w:highlight w:val="none"/>
        </w:rPr>
      </w:pPr>
    </w:p>
    <w:p>
      <w:pPr>
        <w:spacing w:line="400" w:lineRule="exact"/>
        <w:ind w:firstLine="420" w:firstLineChars="200"/>
        <w:jc w:val="center"/>
        <w:rPr>
          <w:color w:val="auto"/>
          <w:szCs w:val="21"/>
          <w:highlight w:val="none"/>
        </w:rPr>
      </w:pPr>
    </w:p>
    <w:p>
      <w:pPr>
        <w:pStyle w:val="19"/>
        <w:ind w:left="840" w:hanging="420"/>
        <w:rPr>
          <w:rFonts w:ascii="Times New Roman" w:hAnsi="Times New Roman" w:cs="Times New Roman"/>
          <w:color w:val="auto"/>
          <w:sz w:val="21"/>
          <w:szCs w:val="21"/>
          <w:highlight w:val="none"/>
        </w:rPr>
      </w:pPr>
    </w:p>
    <w:p>
      <w:pPr>
        <w:pStyle w:val="19"/>
        <w:ind w:left="840" w:hanging="420"/>
        <w:rPr>
          <w:rFonts w:ascii="Times New Roman" w:hAnsi="Times New Roman" w:cs="Times New Roman"/>
          <w:color w:val="auto"/>
          <w:sz w:val="21"/>
          <w:szCs w:val="21"/>
          <w:highlight w:val="none"/>
        </w:rPr>
      </w:pPr>
    </w:p>
    <w:p>
      <w:pPr>
        <w:spacing w:line="400" w:lineRule="exact"/>
        <w:ind w:firstLine="420" w:firstLineChars="200"/>
        <w:jc w:val="center"/>
        <w:rPr>
          <w:color w:val="auto"/>
          <w:szCs w:val="21"/>
          <w:highlight w:val="none"/>
        </w:rPr>
      </w:pPr>
      <w:r>
        <w:rPr>
          <w:rFonts w:hint="eastAsia"/>
          <w:color w:val="auto"/>
          <w:szCs w:val="21"/>
          <w:highlight w:val="none"/>
        </w:rPr>
        <w:t xml:space="preserve">           企业名称（盖章）：</w:t>
      </w:r>
    </w:p>
    <w:p>
      <w:pPr>
        <w:spacing w:line="400" w:lineRule="exact"/>
        <w:ind w:firstLine="420" w:firstLineChars="200"/>
        <w:jc w:val="center"/>
        <w:rPr>
          <w:color w:val="auto"/>
          <w:szCs w:val="21"/>
          <w:highlight w:val="none"/>
        </w:rPr>
      </w:pPr>
      <w:r>
        <w:rPr>
          <w:rFonts w:hint="eastAsia"/>
          <w:color w:val="auto"/>
          <w:szCs w:val="21"/>
          <w:highlight w:val="none"/>
        </w:rPr>
        <w:t>日 期：</w:t>
      </w:r>
    </w:p>
    <w:p>
      <w:pPr>
        <w:spacing w:line="400" w:lineRule="exact"/>
        <w:ind w:firstLine="420" w:firstLineChars="200"/>
        <w:rPr>
          <w:color w:val="auto"/>
          <w:szCs w:val="21"/>
          <w:highlight w:val="none"/>
        </w:rPr>
      </w:pPr>
    </w:p>
    <w:p>
      <w:pPr>
        <w:pStyle w:val="19"/>
        <w:ind w:left="840" w:hanging="420"/>
        <w:rPr>
          <w:rFonts w:ascii="Times New Roman" w:hAnsi="Times New Roman" w:cs="Times New Roman"/>
          <w:color w:val="auto"/>
          <w:sz w:val="21"/>
          <w:szCs w:val="21"/>
          <w:highlight w:val="none"/>
        </w:rPr>
      </w:pPr>
    </w:p>
    <w:p>
      <w:pPr>
        <w:spacing w:line="400" w:lineRule="exact"/>
        <w:rPr>
          <w:rFonts w:eastAsiaTheme="minorEastAsia"/>
          <w:color w:val="auto"/>
          <w:spacing w:val="-4"/>
          <w:szCs w:val="21"/>
          <w:highlight w:val="none"/>
        </w:rPr>
      </w:pPr>
    </w:p>
    <w:p>
      <w:pPr>
        <w:spacing w:line="400" w:lineRule="exact"/>
        <w:rPr>
          <w:rFonts w:eastAsiaTheme="minorEastAsia"/>
          <w:color w:val="auto"/>
          <w:spacing w:val="-4"/>
          <w:szCs w:val="21"/>
          <w:highlight w:val="none"/>
        </w:rPr>
      </w:pPr>
    </w:p>
    <w:p>
      <w:pPr>
        <w:spacing w:line="400" w:lineRule="exact"/>
        <w:rPr>
          <w:color w:val="auto"/>
          <w:spacing w:val="-6"/>
          <w:szCs w:val="21"/>
          <w:highlight w:val="none"/>
        </w:rPr>
      </w:pPr>
      <w:r>
        <w:rPr>
          <w:rFonts w:hint="eastAsia"/>
          <w:color w:val="auto"/>
          <w:spacing w:val="-6"/>
          <w:szCs w:val="21"/>
          <w:highlight w:val="none"/>
        </w:rPr>
        <w:t>注：1、</w:t>
      </w:r>
      <w:r>
        <w:rPr>
          <w:color w:val="auto"/>
          <w:spacing w:val="-6"/>
          <w:szCs w:val="21"/>
          <w:highlight w:val="none"/>
        </w:rPr>
        <w:t>从业人员、营业收入、资产总额填报上一年度数据，无上一年度数据的新成立企业可不填报。</w:t>
      </w:r>
    </w:p>
    <w:p>
      <w:pPr>
        <w:spacing w:line="400" w:lineRule="exact"/>
        <w:rPr>
          <w:color w:val="auto"/>
          <w:szCs w:val="21"/>
          <w:highlight w:val="none"/>
        </w:rPr>
      </w:pPr>
      <w:r>
        <w:rPr>
          <w:rFonts w:hint="eastAsia"/>
          <w:color w:val="auto"/>
          <w:szCs w:val="21"/>
          <w:highlight w:val="none"/>
        </w:rPr>
        <w:t>2、行业划分参照工信部联企业[2011]300号规定。</w:t>
      </w:r>
    </w:p>
    <w:p>
      <w:pPr>
        <w:widowControl/>
        <w:rPr>
          <w:color w:val="auto"/>
          <w:highlight w:val="none"/>
        </w:rPr>
      </w:pPr>
    </w:p>
    <w:p>
      <w:pPr>
        <w:spacing w:line="400" w:lineRule="exact"/>
        <w:jc w:val="center"/>
        <w:rPr>
          <w:b/>
          <w:color w:val="auto"/>
          <w:sz w:val="22"/>
          <w:highlight w:val="none"/>
        </w:rPr>
      </w:pPr>
      <w:r>
        <w:rPr>
          <w:rFonts w:hint="eastAsia" w:ascii="宋体" w:hAnsi="宋体" w:cs="宋体"/>
          <w:b/>
          <w:bCs/>
          <w:color w:val="auto"/>
          <w:sz w:val="32"/>
          <w:szCs w:val="32"/>
          <w:highlight w:val="none"/>
        </w:rPr>
        <w:br w:type="page"/>
      </w:r>
      <w:r>
        <w:rPr>
          <w:rFonts w:hint="eastAsia" w:ascii="宋体" w:hAnsi="宋体" w:eastAsia="宋体" w:cs="宋体"/>
          <w:b/>
          <w:color w:val="auto"/>
          <w:kern w:val="0"/>
          <w:sz w:val="24"/>
          <w:szCs w:val="24"/>
          <w:highlight w:val="none"/>
          <w:lang w:val="en-US" w:eastAsia="zh-CN"/>
        </w:rPr>
        <w:t>3、残疾人福利性单位声明函（如符合请提供）</w:t>
      </w:r>
    </w:p>
    <w:p>
      <w:pPr>
        <w:pStyle w:val="2"/>
        <w:rPr>
          <w:color w:val="auto"/>
          <w:highlight w:val="none"/>
        </w:rPr>
      </w:pPr>
    </w:p>
    <w:p>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s="宋体"/>
          <w:color w:val="auto"/>
          <w:spacing w:val="6"/>
          <w:szCs w:val="21"/>
          <w:highlight w:val="none"/>
        </w:rPr>
      </w:pPr>
    </w:p>
    <w:p>
      <w:pPr>
        <w:tabs>
          <w:tab w:val="left" w:pos="4860"/>
        </w:tabs>
        <w:spacing w:line="360" w:lineRule="auto"/>
        <w:ind w:firstLine="3552" w:firstLineChars="1600"/>
        <w:rPr>
          <w:rFonts w:ascii="宋体" w:hAnsi="宋体" w:cs="宋体"/>
          <w:color w:val="auto"/>
          <w:spacing w:val="6"/>
          <w:szCs w:val="21"/>
          <w:highlight w:val="none"/>
        </w:rPr>
      </w:pPr>
      <w:r>
        <w:rPr>
          <w:rFonts w:hint="eastAsia" w:ascii="宋体" w:hAnsi="宋体" w:cs="宋体"/>
          <w:color w:val="auto"/>
          <w:spacing w:val="6"/>
          <w:szCs w:val="21"/>
          <w:highlight w:val="none"/>
        </w:rPr>
        <w:t>单位名称（盖章）：</w:t>
      </w:r>
    </w:p>
    <w:p>
      <w:pPr>
        <w:tabs>
          <w:tab w:val="left" w:pos="4860"/>
        </w:tabs>
        <w:spacing w:line="360" w:lineRule="auto"/>
        <w:ind w:firstLine="3552" w:firstLineChars="1600"/>
        <w:rPr>
          <w:rFonts w:ascii="宋体" w:hAnsi="宋体" w:cs="宋体"/>
          <w:color w:val="auto"/>
          <w:szCs w:val="21"/>
          <w:highlight w:val="none"/>
        </w:rPr>
      </w:pPr>
      <w:r>
        <w:rPr>
          <w:rFonts w:hint="eastAsia" w:ascii="宋体" w:hAnsi="宋体" w:cs="宋体"/>
          <w:color w:val="auto"/>
          <w:spacing w:val="6"/>
          <w:szCs w:val="21"/>
          <w:highlight w:val="none"/>
        </w:rPr>
        <w:t>日  期：</w:t>
      </w:r>
    </w:p>
    <w:p>
      <w:pPr>
        <w:tabs>
          <w:tab w:val="left" w:pos="4860"/>
        </w:tabs>
        <w:spacing w:line="360" w:lineRule="auto"/>
        <w:ind w:firstLine="420" w:firstLineChars="200"/>
        <w:rPr>
          <w:rFonts w:ascii="宋体" w:hAnsi="宋体" w:cs="宋体"/>
          <w:color w:val="auto"/>
          <w:szCs w:val="21"/>
          <w:highlight w:val="none"/>
        </w:rPr>
      </w:pPr>
    </w:p>
    <w:p>
      <w:pPr>
        <w:pStyle w:val="2"/>
        <w:rPr>
          <w:color w:val="auto"/>
          <w:highlight w:val="none"/>
        </w:rPr>
      </w:pPr>
    </w:p>
    <w:p>
      <w:pPr>
        <w:tabs>
          <w:tab w:val="left" w:pos="4860"/>
        </w:tabs>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hint="eastAsia" w:ascii="宋体" w:hAnsi="宋体" w:eastAsia="宋体" w:cs="宋体"/>
          <w:color w:val="auto"/>
          <w:spacing w:val="6"/>
          <w:szCs w:val="21"/>
          <w:highlight w:val="none"/>
          <w:lang w:eastAsia="zh-CN"/>
        </w:rPr>
        <w:sectPr>
          <w:headerReference r:id="rId3" w:type="default"/>
          <w:footerReference r:id="rId4" w:type="default"/>
          <w:footerReference r:id="rId5" w:type="even"/>
          <w:pgSz w:w="11906" w:h="16838"/>
          <w:pgMar w:top="1276" w:right="1416" w:bottom="1588" w:left="1701" w:header="567" w:footer="567" w:gutter="0"/>
          <w:pgNumType w:start="1"/>
          <w:cols w:space="720" w:num="1"/>
          <w:docGrid w:linePitch="602" w:charSpace="-1675"/>
        </w:sect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rPr>
          <w:rFonts w:ascii="Times New Roman" w:hAnsi="Times New Roman" w:cs="宋体"/>
          <w:b/>
          <w:bCs/>
          <w:color w:val="auto"/>
          <w:sz w:val="30"/>
          <w:szCs w:val="30"/>
          <w:highlight w:val="none"/>
        </w:rPr>
      </w:pPr>
      <w:r>
        <w:rPr>
          <w:rFonts w:hint="eastAsia" w:ascii="Times New Roman" w:hAnsi="Times New Roman" w:cs="宋体"/>
          <w:b/>
          <w:bCs/>
          <w:color w:val="auto"/>
          <w:sz w:val="30"/>
          <w:szCs w:val="30"/>
          <w:highlight w:val="none"/>
        </w:rPr>
        <w:t>中小企业划型标准规定（工信部联企业[2011]300号）</w:t>
      </w:r>
    </w:p>
    <w:p>
      <w:pPr>
        <w:pStyle w:val="177"/>
        <w:snapToGrid w:val="0"/>
        <w:spacing w:before="120" w:after="120" w:line="500" w:lineRule="exact"/>
        <w:rPr>
          <w:color w:val="auto"/>
          <w:highlight w:val="none"/>
        </w:rPr>
      </w:pPr>
      <w:r>
        <w:rPr>
          <w:rFonts w:ascii="Times New Roman" w:hAnsi="Times New Roman"/>
          <w:color w:val="auto"/>
          <w:highlight w:val="none"/>
        </w:rPr>
        <w:drawing>
          <wp:anchor distT="0" distB="0" distL="114300" distR="114300" simplePos="0" relativeHeight="251661312" behindDoc="0" locked="0" layoutInCell="1" allowOverlap="1">
            <wp:simplePos x="0" y="0"/>
            <wp:positionH relativeFrom="column">
              <wp:posOffset>-7620</wp:posOffset>
            </wp:positionH>
            <wp:positionV relativeFrom="paragraph">
              <wp:posOffset>101600</wp:posOffset>
            </wp:positionV>
            <wp:extent cx="9095740" cy="5556250"/>
            <wp:effectExtent l="0" t="0" r="2540" b="635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9095740" cy="5556250"/>
                    </a:xfrm>
                    <a:prstGeom prst="rect">
                      <a:avLst/>
                    </a:prstGeom>
                    <a:noFill/>
                    <a:ln>
                      <a:noFill/>
                    </a:ln>
                  </pic:spPr>
                </pic:pic>
              </a:graphicData>
            </a:graphic>
          </wp:anchor>
        </w:drawing>
      </w:r>
    </w:p>
    <w:p>
      <w:pPr>
        <w:pStyle w:val="26"/>
        <w:rPr>
          <w:rFonts w:hint="eastAsia"/>
          <w:color w:val="auto"/>
          <w:highlight w:val="none"/>
        </w:rPr>
      </w:pPr>
    </w:p>
    <w:p>
      <w:pPr>
        <w:pStyle w:val="39"/>
        <w:rPr>
          <w:color w:val="auto"/>
          <w:highlight w:val="none"/>
        </w:rPr>
        <w:sectPr>
          <w:pgSz w:w="16838" w:h="11906" w:orient="landscape"/>
          <w:pgMar w:top="1701" w:right="1276" w:bottom="1416" w:left="1588" w:header="567" w:footer="567" w:gutter="0"/>
          <w:pgNumType w:start="1"/>
          <w:cols w:space="720" w:num="1"/>
          <w:docGrid w:linePitch="602" w:charSpace="-1675"/>
        </w:sectPr>
      </w:pPr>
    </w:p>
    <w:p>
      <w:pPr>
        <w:rPr>
          <w:rFonts w:hint="eastAsia" w:ascii="Arial" w:hAnsi="宋体" w:cs="Arial"/>
          <w:b/>
          <w:color w:val="auto"/>
          <w:sz w:val="21"/>
          <w:szCs w:val="21"/>
          <w:highlight w:val="none"/>
        </w:rPr>
      </w:pPr>
    </w:p>
    <w:p>
      <w:pPr>
        <w:snapToGrid w:val="0"/>
        <w:spacing w:line="360" w:lineRule="auto"/>
        <w:jc w:val="left"/>
        <w:rPr>
          <w:rFonts w:hint="eastAsia" w:ascii="Arial" w:hAnsi="宋体" w:eastAsia="宋体" w:cs="Arial"/>
          <w:b/>
          <w:color w:val="auto"/>
          <w:sz w:val="21"/>
          <w:szCs w:val="21"/>
          <w:highlight w:val="none"/>
          <w:lang w:val="en-US" w:eastAsia="zh-CN"/>
        </w:rPr>
      </w:pPr>
      <w:bookmarkStart w:id="182" w:name="_Toc25254"/>
      <w:bookmarkStart w:id="183" w:name="_Toc22515"/>
      <w:r>
        <w:rPr>
          <w:rFonts w:hint="eastAsia" w:ascii="Arial" w:hAnsi="宋体" w:eastAsia="宋体" w:cs="Arial"/>
          <w:b/>
          <w:color w:val="auto"/>
          <w:sz w:val="21"/>
          <w:szCs w:val="21"/>
          <w:highlight w:val="none"/>
          <w:lang w:val="en-US" w:eastAsia="zh-CN"/>
        </w:rPr>
        <w:t>四</w:t>
      </w:r>
      <w:r>
        <w:rPr>
          <w:rFonts w:hint="eastAsia" w:ascii="Arial" w:hAnsi="宋体" w:eastAsia="宋体" w:cs="Arial"/>
          <w:b/>
          <w:color w:val="auto"/>
          <w:sz w:val="21"/>
          <w:szCs w:val="21"/>
          <w:highlight w:val="none"/>
        </w:rPr>
        <w:t>、商务和技术文件</w:t>
      </w:r>
      <w:bookmarkEnd w:id="182"/>
      <w:bookmarkEnd w:id="183"/>
      <w:r>
        <w:rPr>
          <w:rFonts w:hint="eastAsia" w:ascii="Arial" w:hAnsi="宋体" w:eastAsia="宋体" w:cs="Arial"/>
          <w:b/>
          <w:color w:val="auto"/>
          <w:sz w:val="21"/>
          <w:szCs w:val="21"/>
          <w:highlight w:val="none"/>
          <w:lang w:val="en-US" w:eastAsia="zh-CN"/>
        </w:rPr>
        <w:t>格式</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1.符合性自查表；</w:t>
      </w:r>
    </w:p>
    <w:p>
      <w:pPr>
        <w:spacing w:line="360" w:lineRule="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en-US" w:eastAsia="zh-CN"/>
        </w:rPr>
        <w:t>2.投标书；</w:t>
      </w:r>
      <w:r>
        <w:rPr>
          <w:rFonts w:hint="eastAsia" w:ascii="宋体" w:hAnsi="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3.法定代表人身份证明；</w:t>
      </w:r>
      <w:r>
        <w:rPr>
          <w:rFonts w:hint="eastAsia" w:ascii="宋体" w:hAnsi="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4.法定代表人授权书（投标文件由授权代表签字的须提供）；</w:t>
      </w:r>
      <w:r>
        <w:rPr>
          <w:rFonts w:hint="eastAsia" w:ascii="宋体" w:hAnsi="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eastAsia="zh-CN"/>
        </w:rPr>
        <w:t>投标人基本情况表；</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6.技术条款响应表；</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7.商务条款响应表；</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8.本项目组人员配备情况表；</w:t>
      </w:r>
    </w:p>
    <w:p>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9.拟投入设备情况表；</w:t>
      </w:r>
    </w:p>
    <w:p>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9.评分索引表（格式自拟）；</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10.第四章“评标办法及评分标准”中“附表3商务和技术评分表”要求提供的资料（如有需提供）；</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val="zh-CN" w:eastAsia="zh-CN"/>
        </w:rPr>
        <w:t>政府采购供应商廉洁自律承诺书；</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12.投标人认为需要提供的其他相关资料；（如有需提供）；</w:t>
      </w:r>
    </w:p>
    <w:p>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pPr>
        <w:pStyle w:val="63"/>
        <w:numPr>
          <w:ilvl w:val="0"/>
          <w:numId w:val="0"/>
        </w:numPr>
        <w:rPr>
          <w:rFonts w:hint="eastAsia"/>
          <w:color w:val="auto"/>
          <w:highlight w:val="none"/>
          <w:lang w:val="en-US" w:eastAsia="zh-CN"/>
        </w:rPr>
      </w:pPr>
    </w:p>
    <w:p>
      <w:pPr>
        <w:pStyle w:val="63"/>
        <w:numPr>
          <w:ilvl w:val="0"/>
          <w:numId w:val="0"/>
        </w:numPr>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1、符合性自查表</w:t>
      </w:r>
    </w:p>
    <w:p>
      <w:pPr>
        <w:pStyle w:val="63"/>
        <w:rPr>
          <w:rFonts w:hint="eastAsia"/>
          <w:color w:val="auto"/>
          <w:highlight w:val="none"/>
          <w:lang w:val="en-US" w:eastAsia="zh-CN"/>
        </w:rPr>
      </w:pPr>
    </w:p>
    <w:tbl>
      <w:tblPr>
        <w:tblStyle w:val="49"/>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53"/>
        <w:gridCol w:w="4291"/>
        <w:gridCol w:w="12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noWrap w:val="0"/>
            <w:vAlign w:val="center"/>
          </w:tcPr>
          <w:p>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br w:type="page"/>
            </w:r>
            <w:r>
              <w:rPr>
                <w:rFonts w:hint="eastAsia" w:ascii="宋体" w:hAnsi="宋体" w:eastAsia="宋体" w:cs="宋体"/>
                <w:b/>
                <w:color w:val="auto"/>
                <w:sz w:val="18"/>
                <w:szCs w:val="18"/>
                <w:highlight w:val="none"/>
              </w:rPr>
              <w:t>序号</w:t>
            </w:r>
          </w:p>
        </w:tc>
        <w:tc>
          <w:tcPr>
            <w:tcW w:w="4944" w:type="dxa"/>
            <w:gridSpan w:val="2"/>
            <w:noWrap w:val="0"/>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审查项目及要求</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z w:val="18"/>
                <w:szCs w:val="18"/>
                <w:highlight w:val="none"/>
                <w:lang w:val="en-US" w:eastAsia="zh-CN"/>
              </w:rPr>
              <w:t>自查结论</w:t>
            </w:r>
          </w:p>
        </w:tc>
        <w:tc>
          <w:tcPr>
            <w:tcW w:w="1700" w:type="dxa"/>
            <w:noWrap w:val="0"/>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投标文件中的</w:t>
            </w:r>
          </w:p>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944" w:type="dxa"/>
            <w:gridSpan w:val="2"/>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供应商名称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与有效的企业法人营业执照（或事业法人登记证）、其他组织（个体工商户）的营业执照或者民办非企业单位登记证书一致。</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2"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44" w:type="dxa"/>
            <w:gridSpan w:val="2"/>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投标有效期符合招标文件要求。</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Style w:val="4"/>
              <w:pageBreakBefore w:val="0"/>
              <w:tabs>
                <w:tab w:val="left" w:pos="432"/>
              </w:tabs>
              <w:kinsoku/>
              <w:wordWrap/>
              <w:overflowPunct/>
              <w:topLinePunct w:val="0"/>
              <w:autoSpaceDE/>
              <w:autoSpaceDN/>
              <w:bidi w:val="0"/>
              <w:adjustRightInd/>
              <w:spacing w:before="0" w:after="0" w:line="360" w:lineRule="auto"/>
              <w:jc w:val="both"/>
              <w:textAlignment w:val="auto"/>
              <w:rPr>
                <w:rFonts w:hint="eastAsia" w:ascii="宋体" w:hAnsi="宋体" w:eastAsia="宋体" w:cs="宋体"/>
                <w:color w:val="auto"/>
                <w:sz w:val="18"/>
                <w:szCs w:val="18"/>
                <w:highlight w:val="none"/>
                <w:lang w:val="en-US"/>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44" w:type="dxa"/>
            <w:gridSpan w:val="2"/>
            <w:noWrap w:val="0"/>
            <w:vAlign w:val="center"/>
          </w:tcPr>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法定代表人身份证明和法定代表人授权书</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投标文件由法定代表人签字的，提供“法定代表人身份证明”；投标文件由授权代表签字的，提供“法定代表人身份证明”和“法定代表人授权书”。</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944" w:type="dxa"/>
            <w:gridSpan w:val="2"/>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投标文件的签署盖章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符合招标文件要求。</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4944" w:type="dxa"/>
            <w:gridSpan w:val="2"/>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内容表述：</w:t>
            </w:r>
            <w:r>
              <w:rPr>
                <w:rFonts w:hint="eastAsia" w:ascii="宋体" w:hAnsi="宋体" w:eastAsia="宋体" w:cs="宋体"/>
                <w:bCs/>
                <w:color w:val="auto"/>
                <w:sz w:val="18"/>
                <w:szCs w:val="18"/>
                <w:highlight w:val="none"/>
              </w:rPr>
              <w:t>投标文件的实质性内容使用中文表述且意思表述明确，前后无矛盾且使用计量单位符合采购文件要求的；</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02" w:type="dxa"/>
            <w:vMerge w:val="restar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653" w:type="dxa"/>
            <w:vMerge w:val="restart"/>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其他</w:t>
            </w:r>
          </w:p>
        </w:tc>
        <w:tc>
          <w:tcPr>
            <w:tcW w:w="429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对同个标项或项目不允许提供两个投标方案。</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02" w:type="dxa"/>
            <w:vMerge w:val="continue"/>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p>
        </w:tc>
        <w:tc>
          <w:tcPr>
            <w:tcW w:w="653" w:type="dxa"/>
            <w:vMerge w:val="continue"/>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p>
        </w:tc>
        <w:tc>
          <w:tcPr>
            <w:tcW w:w="429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不允许出现与招标文件有重大偏离的投标文件。</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02" w:type="dxa"/>
            <w:vMerge w:val="continue"/>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p>
        </w:tc>
        <w:tc>
          <w:tcPr>
            <w:tcW w:w="653" w:type="dxa"/>
            <w:vMerge w:val="continue"/>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p>
        </w:tc>
        <w:tc>
          <w:tcPr>
            <w:tcW w:w="429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供应商不得在投标活动中提供任何虚假材料或从事其他违法活动的。</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02" w:type="dxa"/>
            <w:vMerge w:val="continue"/>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p>
        </w:tc>
        <w:tc>
          <w:tcPr>
            <w:tcW w:w="653" w:type="dxa"/>
            <w:vMerge w:val="continue"/>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lang w:val="en-US" w:eastAsia="zh-CN"/>
              </w:rPr>
            </w:pPr>
          </w:p>
        </w:tc>
        <w:tc>
          <w:tcPr>
            <w:tcW w:w="4291" w:type="dxa"/>
            <w:noWrap w:val="0"/>
            <w:vAlign w:val="center"/>
          </w:tcPr>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评标委员会经过审查，未认定供应商虚假应标、串通投标的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有下列情形之一的，视为供应商串通投标：</w:t>
            </w:r>
          </w:p>
          <w:p>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（1）不同供应商的投标文件由同一单位或者个人编制；（2）不同供应商委托同一单位或者个人办理投标事宜；（3）</w:t>
            </w:r>
            <w:r>
              <w:rPr>
                <w:rFonts w:hint="eastAsia" w:ascii="宋体" w:hAnsi="宋体" w:eastAsia="宋体" w:cs="宋体"/>
                <w:color w:val="auto"/>
                <w:spacing w:val="-10"/>
                <w:sz w:val="18"/>
                <w:szCs w:val="18"/>
                <w:highlight w:val="none"/>
              </w:rPr>
              <w:t>不同供应商的投标文件载明的项目管理成员或者联系人员为同一人；</w:t>
            </w:r>
            <w:r>
              <w:rPr>
                <w:rFonts w:hint="eastAsia" w:ascii="宋体" w:hAnsi="宋体" w:eastAsia="宋体" w:cs="宋体"/>
                <w:color w:val="auto"/>
                <w:sz w:val="18"/>
                <w:szCs w:val="18"/>
                <w:highlight w:val="none"/>
              </w:rPr>
              <w:t>（4）不同供应商的投标文件异常一致或者投标报价呈规律性差异；（5）不同供应商的投标文件相互混装；（6) 单位负责人为同一人或者存在直接控股、管理关系的不同供应商,参加同一合同项下的政府采购活动。</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4944" w:type="dxa"/>
            <w:gridSpan w:val="2"/>
            <w:noWrap w:val="0"/>
            <w:vAlign w:val="center"/>
          </w:tcPr>
          <w:p>
            <w:pPr>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color w:val="auto"/>
                <w:sz w:val="18"/>
                <w:szCs w:val="18"/>
                <w:highlight w:val="none"/>
                <w:lang w:eastAsia="zh-CN"/>
              </w:rPr>
            </w:pPr>
            <w:r>
              <w:rPr>
                <w:rFonts w:hint="eastAsia" w:ascii="宋体" w:hAnsi="宋体" w:eastAsia="宋体" w:cs="宋体"/>
                <w:color w:val="auto"/>
                <w:sz w:val="18"/>
                <w:szCs w:val="18"/>
                <w:highlight w:val="none"/>
              </w:rPr>
              <w:t>符合法律、法规和招标文件中规定的其他实质性要求（实质性要求招标文件中“▲”标记）。</w:t>
            </w:r>
          </w:p>
        </w:tc>
        <w:tc>
          <w:tcPr>
            <w:tcW w:w="1234"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□通过 </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□不通过</w:t>
            </w:r>
          </w:p>
        </w:tc>
        <w:tc>
          <w:tcPr>
            <w:tcW w:w="1700"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见投标文件</w:t>
            </w:r>
          </w:p>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rPr>
              <w:t>第</w:t>
            </w:r>
            <w:r>
              <w:rPr>
                <w:rFonts w:hint="eastAsia" w:ascii="宋体" w:hAnsi="宋体" w:eastAsia="宋体" w:cs="宋体"/>
                <w:b w:val="0"/>
                <w:bCs w:val="0"/>
                <w:color w:val="auto"/>
                <w:sz w:val="18"/>
                <w:szCs w:val="18"/>
                <w:highlight w:val="none"/>
                <w:u w:val="single"/>
                <w:lang w:val="en-US"/>
              </w:rPr>
              <w:t xml:space="preserve">  </w:t>
            </w:r>
            <w:r>
              <w:rPr>
                <w:rFonts w:hint="eastAsia" w:ascii="宋体" w:hAnsi="宋体" w:eastAsia="宋体" w:cs="宋体"/>
                <w:b w:val="0"/>
                <w:bCs w:val="0"/>
                <w:color w:val="auto"/>
                <w:sz w:val="18"/>
                <w:szCs w:val="18"/>
                <w:highlight w:val="none"/>
                <w:lang w:val="en-US"/>
              </w:rPr>
              <w:t>页</w:t>
            </w: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Arial" w:hAnsi="宋体" w:cs="Arial"/>
          <w:b/>
          <w:color w:val="auto"/>
          <w:szCs w:val="21"/>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日期：年 月 日</w:t>
      </w:r>
    </w:p>
    <w:p>
      <w:pPr>
        <w:snapToGrid w:val="0"/>
        <w:spacing w:line="360" w:lineRule="auto"/>
        <w:jc w:val="left"/>
        <w:rPr>
          <w:rFonts w:hint="eastAsia" w:ascii="Arial" w:hAnsi="宋体" w:cs="Arial"/>
          <w:b/>
          <w:color w:val="auto"/>
          <w:szCs w:val="21"/>
          <w:highlight w:val="none"/>
        </w:rPr>
      </w:pPr>
    </w:p>
    <w:p>
      <w:pPr>
        <w:snapToGrid w:val="0"/>
        <w:spacing w:line="360" w:lineRule="auto"/>
        <w:jc w:val="left"/>
        <w:rPr>
          <w:rFonts w:hint="eastAsia" w:ascii="Arial" w:hAnsi="宋体" w:cs="Arial"/>
          <w:b/>
          <w:color w:val="auto"/>
          <w:szCs w:val="21"/>
          <w:highlight w:val="none"/>
        </w:rPr>
      </w:pPr>
    </w:p>
    <w:p>
      <w:pPr>
        <w:snapToGrid w:val="0"/>
        <w:spacing w:line="360" w:lineRule="auto"/>
        <w:jc w:val="left"/>
        <w:rPr>
          <w:rFonts w:hint="eastAsia" w:ascii="Arial" w:hAnsi="宋体" w:cs="Arial"/>
          <w:b/>
          <w:color w:val="auto"/>
          <w:szCs w:val="21"/>
          <w:highlight w:val="none"/>
        </w:rPr>
      </w:pPr>
    </w:p>
    <w:p>
      <w:pPr>
        <w:snapToGrid w:val="0"/>
        <w:spacing w:line="360" w:lineRule="auto"/>
        <w:jc w:val="left"/>
        <w:rPr>
          <w:rFonts w:hint="eastAsia" w:ascii="Arial" w:hAnsi="宋体" w:cs="Arial"/>
          <w:b/>
          <w:color w:val="auto"/>
          <w:szCs w:val="21"/>
          <w:highlight w:val="none"/>
        </w:rPr>
      </w:pPr>
    </w:p>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pPr>
        <w:spacing w:line="360" w:lineRule="auto"/>
        <w:jc w:val="center"/>
        <w:rPr>
          <w:rFonts w:hint="eastAsia" w:ascii="宋体" w:hAnsi="宋体" w:eastAsia="宋体" w:cs="Times New Roman"/>
          <w:b/>
          <w:color w:val="auto"/>
          <w:sz w:val="24"/>
          <w:szCs w:val="21"/>
          <w:highlight w:val="none"/>
        </w:rPr>
      </w:pPr>
      <w:r>
        <w:rPr>
          <w:rFonts w:hint="eastAsia" w:ascii="宋体" w:hAnsi="宋体" w:eastAsia="宋体" w:cs="Times New Roman"/>
          <w:b/>
          <w:color w:val="auto"/>
          <w:sz w:val="24"/>
          <w:szCs w:val="21"/>
          <w:highlight w:val="none"/>
          <w:lang w:val="en-US" w:eastAsia="zh-CN"/>
        </w:rPr>
        <w:t>2、</w:t>
      </w:r>
      <w:r>
        <w:rPr>
          <w:rFonts w:hint="eastAsia" w:ascii="宋体" w:hAnsi="宋体" w:eastAsia="宋体" w:cs="Times New Roman"/>
          <w:b/>
          <w:color w:val="auto"/>
          <w:sz w:val="24"/>
          <w:szCs w:val="21"/>
          <w:highlight w:val="none"/>
        </w:rPr>
        <w:t>投标书</w:t>
      </w:r>
    </w:p>
    <w:p>
      <w:pPr>
        <w:spacing w:after="120" w:line="380" w:lineRule="exact"/>
        <w:rPr>
          <w:rFonts w:ascii="宋体"/>
          <w:b/>
          <w:color w:val="auto"/>
          <w:szCs w:val="20"/>
          <w:highlight w:val="none"/>
        </w:rPr>
      </w:pPr>
      <w:r>
        <w:rPr>
          <w:rFonts w:hint="eastAsia" w:ascii="宋体"/>
          <w:b/>
          <w:color w:val="auto"/>
          <w:szCs w:val="20"/>
          <w:highlight w:val="none"/>
          <w:u w:val="single"/>
        </w:rPr>
        <w:t>致采购人</w:t>
      </w:r>
      <w:r>
        <w:rPr>
          <w:rFonts w:hint="eastAsia" w:ascii="宋体"/>
          <w:b/>
          <w:color w:val="auto"/>
          <w:szCs w:val="20"/>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u w:val="single"/>
        </w:rPr>
        <w:t>供应商全称</w:t>
      </w:r>
      <w:r>
        <w:rPr>
          <w:rFonts w:ascii="宋体" w:hAnsi="宋体"/>
          <w:color w:val="auto"/>
          <w:szCs w:val="21"/>
          <w:highlight w:val="none"/>
          <w:u w:val="single"/>
        </w:rPr>
        <w:t>）</w:t>
      </w:r>
      <w:r>
        <w:rPr>
          <w:rFonts w:hint="eastAsia" w:ascii="宋体" w:hAnsi="宋体"/>
          <w:color w:val="auto"/>
          <w:szCs w:val="21"/>
          <w:highlight w:val="none"/>
          <w:u w:val="single"/>
        </w:rPr>
        <w:t>　</w:t>
      </w:r>
      <w:r>
        <w:rPr>
          <w:rFonts w:hint="eastAsia" w:ascii="宋体" w:hAnsi="宋体"/>
          <w:color w:val="auto"/>
          <w:szCs w:val="21"/>
          <w:highlight w:val="none"/>
        </w:rPr>
        <w:t>授权</w:t>
      </w:r>
      <w:r>
        <w:rPr>
          <w:rFonts w:ascii="宋体" w:hAnsi="宋体"/>
          <w:color w:val="auto"/>
          <w:szCs w:val="21"/>
          <w:highlight w:val="none"/>
          <w:u w:val="single"/>
        </w:rPr>
        <w:t xml:space="preserve">  </w:t>
      </w:r>
      <w:r>
        <w:rPr>
          <w:rFonts w:hint="eastAsia" w:ascii="宋体" w:hAnsi="宋体"/>
          <w:color w:val="auto"/>
          <w:szCs w:val="21"/>
          <w:highlight w:val="none"/>
          <w:u w:val="single"/>
        </w:rPr>
        <w:t>（全名、职务）</w:t>
      </w:r>
      <w:r>
        <w:rPr>
          <w:rFonts w:ascii="宋体" w:hAnsi="宋体"/>
          <w:color w:val="auto"/>
          <w:szCs w:val="21"/>
          <w:highlight w:val="none"/>
          <w:u w:val="single"/>
        </w:rPr>
        <w:t xml:space="preserve">  </w:t>
      </w:r>
      <w:r>
        <w:rPr>
          <w:rFonts w:hint="eastAsia" w:ascii="宋体" w:hAnsi="宋体"/>
          <w:color w:val="auto"/>
          <w:szCs w:val="21"/>
          <w:highlight w:val="none"/>
        </w:rPr>
        <w:t>为全权代表，参加贵方组织的</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rPr>
        <w:t>）招标活动并投标，为便于贵方公正、择优地确定中标供应商及其投标产品和服务，我方就本次投标有关事项郑重声明如下：</w:t>
      </w:r>
    </w:p>
    <w:p>
      <w:pPr>
        <w:snapToGrid w:val="0"/>
        <w:spacing w:line="400" w:lineRule="atLeas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、我方向贵方提交的所有投标文件、资料都是准确的和真实的。如有虚假或隐瞒，我方愿意承担一切后果，并不再寻求任何旨在减轻或免除法律责任的辩解。</w:t>
      </w:r>
    </w:p>
    <w:p>
      <w:pPr>
        <w:snapToGrid w:val="0"/>
        <w:spacing w:line="400" w:lineRule="atLeas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、我们已详细审查全部招标文件及有关的澄清/修改文件(若有)，我们完全理解并同意放弃对这方面提出任何异议的权利。</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、保证遵守招标文件有关条款规定。</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、本项目的投标报价详见“开标一览表”。</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、响应文件有效期为自开标之日起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、保证在中标后忠实地执行与采购人所签署的合同，并承担合同规定的责任义务。</w:t>
      </w:r>
    </w:p>
    <w:p>
      <w:pPr>
        <w:snapToGrid w:val="0"/>
        <w:spacing w:line="420" w:lineRule="exact"/>
        <w:ind w:firstLine="420" w:firstLineChars="200"/>
        <w:rPr>
          <w:rFonts w:ascii="宋体" w:hAnsi="宋体" w:cs="宋体"/>
          <w:color w:val="auto"/>
          <w:highlight w:val="none"/>
        </w:rPr>
      </w:pPr>
      <w:r>
        <w:rPr>
          <w:rFonts w:ascii="宋体" w:hAnsi="宋体"/>
          <w:color w:val="auto"/>
          <w:szCs w:val="21"/>
          <w:highlight w:val="none"/>
        </w:rPr>
        <w:t>7、</w:t>
      </w:r>
      <w:r>
        <w:rPr>
          <w:rFonts w:hint="eastAsia" w:ascii="宋体" w:hAnsi="宋体" w:cs="宋体"/>
          <w:color w:val="auto"/>
          <w:highlight w:val="none"/>
        </w:rPr>
        <w:t>我单位符合以下条件：</w:t>
      </w:r>
    </w:p>
    <w:p>
      <w:pPr>
        <w:snapToGrid w:val="0"/>
        <w:spacing w:line="420" w:lineRule="exact"/>
        <w:ind w:firstLine="420" w:firstLineChars="200"/>
        <w:rPr>
          <w:rFonts w:ascii="宋体" w:hAnsi="宋体" w:cs="宋体"/>
          <w:color w:val="auto"/>
          <w:highlight w:val="none"/>
        </w:rPr>
      </w:pPr>
      <w:r>
        <w:rPr>
          <w:rFonts w:hint="eastAsia" w:ascii="宋体" w:hAnsi="宋体" w:cs="宋体"/>
          <w:color w:val="auto"/>
          <w:highlight w:val="none"/>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napToGrid w:val="0"/>
        <w:spacing w:line="420" w:lineRule="exact"/>
        <w:ind w:firstLine="420" w:firstLineChars="200"/>
        <w:rPr>
          <w:rFonts w:ascii="宋体" w:hAnsi="宋体" w:cs="宋体"/>
          <w:color w:val="auto"/>
          <w:highlight w:val="none"/>
        </w:rPr>
      </w:pPr>
      <w:r>
        <w:rPr>
          <w:rFonts w:hint="eastAsia" w:ascii="宋体" w:hAnsi="宋体" w:cs="宋体"/>
          <w:color w:val="auto"/>
          <w:highlight w:val="none"/>
        </w:rPr>
        <w:t>2）我单位及我单位法定代表人均无行贿犯罪记录。</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9、与本投标有关的一切正式来往通讯请寄：</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pacing w:line="400" w:lineRule="atLeast"/>
        <w:jc w:val="left"/>
        <w:rPr>
          <w:rFonts w:ascii="宋体" w:hAnsi="宋体"/>
          <w:color w:val="auto"/>
          <w:szCs w:val="21"/>
          <w:highlight w:val="none"/>
        </w:rPr>
      </w:pPr>
    </w:p>
    <w:p>
      <w:pPr>
        <w:spacing w:line="400" w:lineRule="atLeas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法定代表人或授权代表（签字或盖章）： </w:t>
      </w:r>
    </w:p>
    <w:p>
      <w:pPr>
        <w:spacing w:line="400" w:lineRule="atLeas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投标人</w:t>
      </w:r>
      <w:r>
        <w:rPr>
          <w:rFonts w:hint="eastAsia" w:ascii="宋体" w:hAnsi="宋体" w:eastAsia="宋体" w:cs="Times New Roman"/>
          <w:color w:val="auto"/>
          <w:szCs w:val="21"/>
          <w:highlight w:val="none"/>
        </w:rPr>
        <w:t>名称（盖章）：</w:t>
      </w:r>
    </w:p>
    <w:p>
      <w:pPr>
        <w:spacing w:line="400" w:lineRule="atLeast"/>
        <w:jc w:val="left"/>
        <w:rPr>
          <w:rFonts w:hint="eastAsia" w:ascii="宋体" w:hAnsi="宋体" w:eastAsia="宋体" w:cs="宋体"/>
          <w:b/>
          <w:color w:val="auto"/>
          <w:sz w:val="21"/>
          <w:szCs w:val="21"/>
          <w:highlight w:val="none"/>
          <w:u w:val="single"/>
        </w:rPr>
      </w:pPr>
      <w:r>
        <w:rPr>
          <w:rFonts w:hint="eastAsia" w:ascii="宋体" w:hAnsi="宋体" w:eastAsia="宋体" w:cs="Times New Roman"/>
          <w:color w:val="auto"/>
          <w:szCs w:val="21"/>
          <w:highlight w:val="none"/>
        </w:rPr>
        <w:t>日期：年 月 日</w:t>
      </w:r>
      <w:r>
        <w:rPr>
          <w:rFonts w:hint="eastAsia" w:ascii="宋体" w:hAnsi="宋体" w:eastAsia="宋体" w:cs="宋体"/>
          <w:b/>
          <w:color w:val="auto"/>
          <w:sz w:val="21"/>
          <w:szCs w:val="21"/>
          <w:highlight w:val="none"/>
          <w:u w:val="single"/>
        </w:rPr>
        <w:br w:type="page"/>
      </w:r>
    </w:p>
    <w:p>
      <w:pPr>
        <w:pStyle w:val="63"/>
        <w:numPr>
          <w:ilvl w:val="0"/>
          <w:numId w:val="0"/>
        </w:numPr>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3、法定代表人身份证明</w:t>
      </w:r>
    </w:p>
    <w:p>
      <w:pPr>
        <w:spacing w:after="120" w:afterLines="50" w:line="400" w:lineRule="exact"/>
        <w:rPr>
          <w:rFonts w:ascii="宋体" w:hAnsi="宋体"/>
          <w:color w:val="auto"/>
          <w:szCs w:val="21"/>
          <w:highlight w:val="none"/>
        </w:rPr>
      </w:pPr>
    </w:p>
    <w:p>
      <w:pPr>
        <w:spacing w:after="120" w:afterLines="50" w:line="400" w:lineRule="exact"/>
        <w:rPr>
          <w:rFonts w:ascii="宋体" w:hAnsi="宋体"/>
          <w:color w:val="auto"/>
          <w:szCs w:val="21"/>
          <w:highlight w:val="none"/>
          <w:u w:val="single"/>
        </w:rPr>
      </w:pPr>
      <w:r>
        <w:rPr>
          <w:rFonts w:ascii="宋体" w:hAnsi="宋体"/>
          <w:color w:val="auto"/>
          <w:szCs w:val="21"/>
          <w:highlight w:val="none"/>
        </w:rPr>
        <w:t>供应商名称：</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ascii="宋体" w:hAnsi="宋体"/>
          <w:color w:val="auto"/>
          <w:szCs w:val="21"/>
          <w:highlight w:val="none"/>
        </w:rPr>
        <w:t>单位性质：</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ascii="宋体" w:hAnsi="宋体"/>
          <w:color w:val="auto"/>
          <w:szCs w:val="21"/>
          <w:highlight w:val="none"/>
        </w:rPr>
        <w:t>地址：</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after="120" w:afterLines="50" w:line="400" w:lineRule="exact"/>
        <w:rPr>
          <w:rFonts w:ascii="宋体" w:hAnsi="宋体"/>
          <w:color w:val="auto"/>
          <w:szCs w:val="21"/>
          <w:highlight w:val="none"/>
          <w:u w:val="singl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 xml:space="preserve">  职务：</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after="120" w:afterLines="50" w:line="400" w:lineRule="exact"/>
        <w:rPr>
          <w:rFonts w:ascii="宋体" w:hAnsi="宋体"/>
          <w:color w:val="auto"/>
          <w:szCs w:val="21"/>
          <w:highlight w:val="none"/>
          <w:u w:val="single"/>
        </w:rPr>
      </w:pPr>
      <w:r>
        <w:rPr>
          <w:rFonts w:ascii="宋体" w:hAnsi="宋体"/>
          <w:color w:val="auto"/>
          <w:szCs w:val="21"/>
          <w:highlight w:val="none"/>
        </w:rPr>
        <w:t>身份证号码：</w:t>
      </w:r>
      <w:r>
        <w:rPr>
          <w:rFonts w:ascii="宋体" w:hAnsi="宋体"/>
          <w:color w:val="auto"/>
          <w:szCs w:val="21"/>
          <w:highlight w:val="none"/>
          <w:u w:val="single"/>
        </w:rPr>
        <w:t xml:space="preserve">                           </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 xml:space="preserve">    系</w:t>
      </w:r>
      <w:r>
        <w:rPr>
          <w:rFonts w:ascii="宋体" w:hAnsi="宋体"/>
          <w:color w:val="auto"/>
          <w:szCs w:val="21"/>
          <w:highlight w:val="none"/>
          <w:u w:val="single"/>
        </w:rPr>
        <w:t xml:space="preserve">                          </w:t>
      </w:r>
      <w:r>
        <w:rPr>
          <w:rFonts w:ascii="宋体" w:hAnsi="宋体"/>
          <w:color w:val="auto"/>
          <w:szCs w:val="21"/>
          <w:highlight w:val="none"/>
        </w:rPr>
        <w:t>（供应商名称）的法定代表人。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特此证明。</w:t>
      </w:r>
    </w:p>
    <w:p>
      <w:pPr>
        <w:spacing w:line="400" w:lineRule="exact"/>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日期：年 月 日</w:t>
      </w:r>
    </w:p>
    <w:p>
      <w:pPr>
        <w:spacing w:line="400" w:lineRule="atLeast"/>
        <w:rPr>
          <w:rFonts w:hint="eastAsia" w:ascii="宋体" w:hAnsi="宋体"/>
          <w:color w:val="auto"/>
          <w:szCs w:val="21"/>
          <w:highlight w:val="none"/>
          <w:u w:val="single"/>
        </w:rPr>
      </w:pPr>
    </w:p>
    <w:p>
      <w:pPr>
        <w:spacing w:line="400" w:lineRule="atLeast"/>
        <w:rPr>
          <w:rFonts w:hint="eastAsia" w:ascii="宋体" w:hAnsi="宋体"/>
          <w:color w:val="auto"/>
          <w:szCs w:val="21"/>
          <w:highlight w:val="none"/>
          <w:u w:val="single"/>
        </w:rPr>
      </w:pP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后附：（如不在同页，须加盖供应商公章）</w:t>
      </w:r>
    </w:p>
    <w:p>
      <w:pPr>
        <w:spacing w:line="360" w:lineRule="auto"/>
        <w:ind w:firstLine="527" w:firstLineChars="250"/>
        <w:rPr>
          <w:rFonts w:hint="eastAsia" w:ascii="宋体" w:hAnsi="宋体"/>
          <w:b/>
          <w:bCs/>
          <w:color w:val="auto"/>
          <w:szCs w:val="21"/>
          <w:highlight w:val="none"/>
        </w:rPr>
      </w:pPr>
      <w:r>
        <w:rPr>
          <w:rFonts w:hint="eastAsia" w:ascii="宋体" w:hAnsi="宋体"/>
          <w:b/>
          <w:bCs/>
          <w:color w:val="auto"/>
          <w:szCs w:val="21"/>
          <w:highlight w:val="none"/>
        </w:rPr>
        <w:t>1、法定代表人身份证复印件。</w:t>
      </w:r>
    </w:p>
    <w:p>
      <w:pPr>
        <w:pStyle w:val="63"/>
        <w:numPr>
          <w:ilvl w:val="0"/>
          <w:numId w:val="0"/>
        </w:numPr>
        <w:jc w:val="center"/>
        <w:rPr>
          <w:rFonts w:hint="eastAsia" w:ascii="宋体" w:hAnsi="宋体" w:cs="宋体"/>
          <w:color w:val="auto"/>
          <w:sz w:val="24"/>
          <w:szCs w:val="24"/>
          <w:highlight w:val="none"/>
          <w:lang w:val="en-US" w:eastAsia="zh-CN"/>
        </w:rPr>
      </w:pPr>
      <w:r>
        <w:rPr>
          <w:rFonts w:hint="eastAsia" w:ascii="Arial" w:hAnsi="宋体" w:cs="Arial"/>
          <w:b/>
          <w:color w:val="auto"/>
          <w:szCs w:val="21"/>
          <w:highlight w:val="none"/>
        </w:rPr>
        <w:br w:type="page"/>
      </w:r>
      <w:r>
        <w:rPr>
          <w:rFonts w:hint="eastAsia" w:ascii="宋体" w:hAnsi="宋体" w:eastAsia="宋体" w:cs="宋体"/>
          <w:b/>
          <w:color w:val="auto"/>
          <w:kern w:val="0"/>
          <w:sz w:val="24"/>
          <w:szCs w:val="24"/>
          <w:highlight w:val="none"/>
          <w:lang w:val="en-US" w:eastAsia="zh-CN" w:bidi="ar-SA"/>
        </w:rPr>
        <w:t>4、法定代表人授权书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采购人：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（采购人全称）</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（法定代表人姓名）</w:t>
      </w:r>
      <w:r>
        <w:rPr>
          <w:rFonts w:hint="eastAsia" w:ascii="宋体" w:hAnsi="宋体" w:eastAsia="宋体" w:cs="宋体"/>
          <w:color w:val="auto"/>
          <w:szCs w:val="21"/>
          <w:highlight w:val="none"/>
        </w:rPr>
        <w:t>授权本单位</w:t>
      </w:r>
      <w:r>
        <w:rPr>
          <w:rFonts w:hint="eastAsia" w:ascii="宋体" w:hAnsi="宋体" w:eastAsia="宋体" w:cs="宋体"/>
          <w:color w:val="auto"/>
          <w:szCs w:val="21"/>
          <w:highlight w:val="none"/>
          <w:u w:val="single"/>
        </w:rPr>
        <w:t>（授权代表任职部门）（授权代表姓名）</w:t>
      </w:r>
      <w:r>
        <w:rPr>
          <w:rFonts w:hint="eastAsia" w:ascii="宋体" w:hAnsi="宋体" w:eastAsia="宋体" w:cs="宋体"/>
          <w:color w:val="auto"/>
          <w:szCs w:val="21"/>
          <w:highlight w:val="none"/>
        </w:rPr>
        <w:t>为本公司的合法授权代表，参加贵处组织的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【项目编号：FSCG2024088</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HX-2024-1044</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公开招标项目的投标活动，并代表我方全权办理针对上述项目的投标、开标、评标、签约等具体事务和签署相关文件。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我方对授权代表的签名事项负全部责任。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在撤销授权的书面通知以前，本授权书一直有效。授权代表在授权书有效期内签署的所有文件不因授权的撤销而失效。</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授权代表无转委托权，特此委托。</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投标人（加盖公章）</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w:t>
      </w:r>
      <w:r>
        <w:rPr>
          <w:rFonts w:hint="eastAsia" w:ascii="宋体" w:hAnsi="宋体" w:eastAsia="宋体" w:cs="宋体"/>
          <w:color w:val="auto"/>
          <w:highlight w:val="none"/>
        </w:rPr>
        <w:t>（签字</w:t>
      </w:r>
      <w:r>
        <w:rPr>
          <w:rFonts w:hint="eastAsia" w:ascii="宋体" w:hAnsi="宋体" w:eastAsia="宋体" w:cs="宋体"/>
          <w:color w:val="auto"/>
          <w:highlight w:val="none"/>
          <w:lang w:val="en-US" w:eastAsia="zh-CN"/>
        </w:rPr>
        <w:t>或盖章</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授权代表姓名：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部门：      职务：        联系电话：</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color w:val="auto"/>
          <w:szCs w:val="21"/>
          <w:highlight w:val="none"/>
          <w:u w:val="single"/>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color w:val="auto"/>
          <w:szCs w:val="21"/>
          <w:highlight w:val="none"/>
          <w:u w:val="single"/>
        </w:rPr>
      </w:pPr>
    </w:p>
    <w:p>
      <w:pPr>
        <w:pStyle w:val="19"/>
        <w:keepNext w:val="0"/>
        <w:keepLines w:val="0"/>
        <w:pageBreakBefore w:val="0"/>
        <w:widowControl w:val="0"/>
        <w:kinsoku/>
        <w:wordWrap/>
        <w:overflowPunct/>
        <w:topLinePunct w:val="0"/>
        <w:autoSpaceDE/>
        <w:autoSpaceDN/>
        <w:bidi w:val="0"/>
        <w:adjustRightInd/>
        <w:spacing w:line="360" w:lineRule="auto"/>
        <w:jc w:val="center"/>
        <w:textAlignment w:val="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（※此处请粘贴被授权人身份证正反面复印件※）</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color w:val="auto"/>
          <w:kern w:val="44"/>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color w:val="auto"/>
          <w:kern w:val="44"/>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color w:val="auto"/>
          <w:kern w:val="44"/>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color w:val="auto"/>
          <w:kern w:val="44"/>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kern w:val="12"/>
          <w:szCs w:val="21"/>
          <w:highlight w:val="none"/>
        </w:rPr>
        <w:t>说明：授权代表参加本招标项目投标的，仅须提供此证明书。</w:t>
      </w:r>
    </w:p>
    <w:p>
      <w:pPr>
        <w:pStyle w:val="63"/>
        <w:rPr>
          <w:rFonts w:hint="eastAsia" w:ascii="宋体" w:hAnsi="宋体" w:cs="宋体"/>
          <w:color w:val="auto"/>
          <w:sz w:val="28"/>
          <w:szCs w:val="28"/>
          <w:highlight w:val="none"/>
          <w:lang w:val="en-US" w:eastAsia="zh-CN"/>
        </w:rPr>
      </w:pPr>
    </w:p>
    <w:p>
      <w:pPr>
        <w:pStyle w:val="63"/>
        <w:rPr>
          <w:rFonts w:hint="eastAsia" w:ascii="宋体" w:hAnsi="宋体" w:cs="宋体"/>
          <w:color w:val="auto"/>
          <w:sz w:val="28"/>
          <w:szCs w:val="28"/>
          <w:highlight w:val="none"/>
          <w:lang w:val="en-US" w:eastAsia="zh-CN"/>
        </w:rPr>
      </w:pPr>
    </w:p>
    <w:p>
      <w:pPr>
        <w:pStyle w:val="63"/>
        <w:rPr>
          <w:rFonts w:hint="eastAsia" w:ascii="宋体" w:hAnsi="宋体" w:cs="宋体"/>
          <w:color w:val="auto"/>
          <w:sz w:val="28"/>
          <w:szCs w:val="28"/>
          <w:highlight w:val="none"/>
          <w:lang w:val="en-US" w:eastAsia="zh-CN"/>
        </w:rPr>
      </w:pPr>
    </w:p>
    <w:p>
      <w:pPr>
        <w:rPr>
          <w:rFonts w:hint="eastAsia" w:ascii="Arial" w:hAnsi="宋体" w:cs="Arial"/>
          <w:b/>
          <w:color w:val="auto"/>
          <w:szCs w:val="21"/>
          <w:highlight w:val="none"/>
        </w:rPr>
      </w:pPr>
      <w:r>
        <w:rPr>
          <w:rFonts w:hint="eastAsia" w:ascii="Arial" w:hAnsi="宋体" w:cs="Arial"/>
          <w:b/>
          <w:color w:val="auto"/>
          <w:szCs w:val="21"/>
          <w:highlight w:val="none"/>
        </w:rPr>
        <w:br w:type="page"/>
      </w:r>
    </w:p>
    <w:p>
      <w:pPr>
        <w:pStyle w:val="63"/>
        <w:numPr>
          <w:ilvl w:val="0"/>
          <w:numId w:val="0"/>
        </w:numPr>
        <w:jc w:val="center"/>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val="zh-CN" w:eastAsia="zh-CN" w:bidi="ar-SA"/>
        </w:rPr>
        <w:t>投标人基本情况表</w:t>
      </w:r>
    </w:p>
    <w:p>
      <w:pPr>
        <w:rPr>
          <w:rFonts w:hint="eastAsia" w:ascii="宋体" w:hAnsi="宋体" w:cs="宋体"/>
          <w:color w:val="auto"/>
          <w:sz w:val="24"/>
          <w:szCs w:val="24"/>
          <w:highlight w:val="none"/>
          <w:lang w:val="zh-CN" w:eastAsia="zh-CN"/>
        </w:rPr>
      </w:pPr>
    </w:p>
    <w:tbl>
      <w:tblPr>
        <w:tblStyle w:val="4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注册地址</w:t>
            </w:r>
          </w:p>
        </w:tc>
        <w:tc>
          <w:tcPr>
            <w:tcW w:w="280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成立时间</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统一信用代码</w:t>
            </w:r>
          </w:p>
        </w:tc>
        <w:tc>
          <w:tcPr>
            <w:tcW w:w="280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注册资金</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投标联系人姓名</w:t>
            </w:r>
          </w:p>
        </w:tc>
        <w:tc>
          <w:tcPr>
            <w:tcW w:w="1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电话</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手机</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法定代表人姓名</w:t>
            </w:r>
          </w:p>
        </w:tc>
        <w:tc>
          <w:tcPr>
            <w:tcW w:w="1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电话</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手机</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项目负责人姓名</w:t>
            </w:r>
          </w:p>
        </w:tc>
        <w:tc>
          <w:tcPr>
            <w:tcW w:w="1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电话</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技术职称</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员工总人数：</w:t>
            </w:r>
          </w:p>
        </w:tc>
        <w:tc>
          <w:tcPr>
            <w:tcW w:w="19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87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其中</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高级职称</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1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中级职称</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1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各类注册人员</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基本账户开户银行</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基本账户账号</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经营范围</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0"/>
                <w:sz w:val="21"/>
                <w:szCs w:val="21"/>
                <w:highlight w:val="none"/>
                <w:lang w:val="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兹证明上述声明是真实、正确的，并提供了全部能提供的资料和数据，我们同意遵照贵方要求出示有关证明文件。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p>
      <w:pPr>
        <w:pStyle w:val="63"/>
        <w:spacing w:line="360" w:lineRule="auto"/>
        <w:rPr>
          <w:rFonts w:hint="eastAsia" w:ascii="仿宋" w:hAnsi="仿宋" w:eastAsia="仿宋" w:cs="仿宋"/>
          <w:color w:val="auto"/>
          <w:highlight w:val="none"/>
          <w:lang w:val="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日期：年 月 日</w:t>
      </w:r>
    </w:p>
    <w:p>
      <w:pPr>
        <w:rPr>
          <w:rFonts w:hint="eastAsia"/>
          <w:color w:val="auto"/>
          <w:highlight w:val="none"/>
          <w:lang w:val="zh-CN" w:eastAsia="zh-CN"/>
        </w:rPr>
      </w:pPr>
      <w:r>
        <w:rPr>
          <w:rFonts w:hint="eastAsia"/>
          <w:color w:val="auto"/>
          <w:highlight w:val="none"/>
          <w:lang w:val="zh-CN" w:eastAsia="zh-CN"/>
        </w:rPr>
        <w:br w:type="page"/>
      </w:r>
    </w:p>
    <w:p>
      <w:pPr>
        <w:pStyle w:val="63"/>
        <w:numPr>
          <w:ilvl w:val="0"/>
          <w:numId w:val="0"/>
        </w:numPr>
        <w:jc w:val="center"/>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en-US" w:eastAsia="zh-CN" w:bidi="ar-SA"/>
        </w:rPr>
        <w:t>6、技术条款</w:t>
      </w:r>
      <w:r>
        <w:rPr>
          <w:rFonts w:hint="eastAsia" w:ascii="宋体" w:hAnsi="宋体" w:eastAsia="宋体" w:cs="宋体"/>
          <w:b/>
          <w:color w:val="auto"/>
          <w:kern w:val="0"/>
          <w:sz w:val="24"/>
          <w:szCs w:val="24"/>
          <w:highlight w:val="none"/>
          <w:lang w:val="zh-CN" w:eastAsia="zh-CN" w:bidi="ar-SA"/>
        </w:rPr>
        <w:t>响应表</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项目编号：</w:t>
      </w:r>
      <w:r>
        <w:rPr>
          <w:rFonts w:hint="eastAsia" w:ascii="宋体" w:hAnsi="宋体" w:eastAsia="宋体" w:cs="宋体"/>
          <w:color w:val="auto"/>
          <w:sz w:val="21"/>
          <w:szCs w:val="21"/>
          <w:highlight w:val="none"/>
        </w:rPr>
        <w:t>FSCG2024088</w:t>
      </w:r>
      <w:r>
        <w:rPr>
          <w:rFonts w:hint="eastAsia" w:asciiTheme="minorEastAsia" w:hAnsiTheme="minorEastAsia" w:eastAsiaTheme="minorEastAsia"/>
          <w:color w:val="auto"/>
          <w:szCs w:val="21"/>
          <w:highlight w:val="none"/>
          <w:lang w:eastAsia="zh-CN"/>
        </w:rPr>
        <w:t>（</w:t>
      </w:r>
      <w:r>
        <w:rPr>
          <w:rFonts w:hint="eastAsia" w:cs="Arial" w:asciiTheme="minorEastAsia" w:hAnsiTheme="minorEastAsia" w:eastAsiaTheme="minorEastAsia"/>
          <w:color w:val="auto"/>
          <w:szCs w:val="21"/>
          <w:highlight w:val="none"/>
          <w:lang w:eastAsia="zh-CN"/>
        </w:rPr>
        <w:t>HX-2024-1044</w:t>
      </w:r>
      <w:r>
        <w:rPr>
          <w:rFonts w:hint="eastAsia" w:asciiTheme="minorEastAsia" w:hAnsiTheme="minorEastAsia" w:eastAsiaTheme="minorEastAsia"/>
          <w:color w:val="auto"/>
          <w:szCs w:val="21"/>
          <w:highlight w:val="none"/>
          <w:lang w:eastAsia="zh-CN"/>
        </w:rPr>
        <w:t>）</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Cs w:val="21"/>
                <w:highlight w:val="none"/>
                <w:lang w:val="en-US"/>
              </w:rPr>
            </w:pPr>
            <w:r>
              <w:rPr>
                <w:rFonts w:hint="eastAsia" w:ascii="宋体" w:hAnsi="宋体"/>
                <w:color w:val="auto"/>
                <w:szCs w:val="21"/>
                <w:highlight w:val="none"/>
                <w:lang w:val="en-US" w:eastAsia="zh-CN"/>
              </w:rPr>
              <w:t>采购文件的采购需求</w:t>
            </w: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投标文件响应情况</w:t>
            </w: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bl>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注：根据招标文件第</w:t>
      </w: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lang w:val="en-US" w:eastAsia="zh-CN"/>
        </w:rPr>
        <w:t>章的技术需求</w:t>
      </w:r>
      <w:r>
        <w:rPr>
          <w:rFonts w:hint="eastAsia" w:ascii="宋体" w:hAnsi="宋体" w:eastAsia="宋体" w:cs="宋体"/>
          <w:color w:val="auto"/>
          <w:kern w:val="0"/>
          <w:sz w:val="21"/>
          <w:szCs w:val="21"/>
          <w:highlight w:val="none"/>
          <w:lang w:eastAsia="zh-CN"/>
        </w:rPr>
        <w:t>逐项比较，如有偏离的，须在本表中列明，并提供详细的偏离说明。如</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lang w:eastAsia="zh-CN"/>
        </w:rPr>
        <w:t>未在本表中列出偏离说明，即使其在</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eastAsia="zh-CN"/>
        </w:rPr>
        <w:t>文件的其他部分说明与</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eastAsia="zh-CN"/>
        </w:rPr>
        <w:t>文件要求有所不同或回避不答，亦视为完全符合</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eastAsia="zh-CN"/>
        </w:rPr>
        <w:t>文件中所要求的最佳值并写入合同。若</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lang w:eastAsia="zh-CN"/>
        </w:rPr>
        <w:t>在成交及合同签订前，以上述事项为借口而不履行合同签订手续及执行合同，则视作其放弃</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lang w:eastAsia="zh-CN"/>
        </w:rPr>
        <w:t>资格。</w:t>
      </w:r>
      <w:r>
        <w:rPr>
          <w:rFonts w:hint="eastAsia" w:ascii="宋体" w:hAnsi="宋体" w:eastAsia="宋体" w:cs="宋体"/>
          <w:b/>
          <w:bCs/>
          <w:color w:val="auto"/>
          <w:kern w:val="0"/>
          <w:sz w:val="21"/>
          <w:szCs w:val="21"/>
          <w:highlight w:val="none"/>
          <w:lang w:eastAsia="zh-CN"/>
        </w:rPr>
        <w:t>如全部响应本项目技术条款要求，可在空白处注明“完全响应本项目技术要求，无偏离”字样。</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投标人保证：除技术响应表列出的偏离外，投标人响应招标文件的全部技术要求。</w:t>
      </w:r>
    </w:p>
    <w:p>
      <w:pPr>
        <w:adjustRightInd w:val="0"/>
        <w:snapToGrid w:val="0"/>
        <w:spacing w:line="440" w:lineRule="exact"/>
        <w:rPr>
          <w:rFonts w:hint="eastAsia" w:ascii="宋体" w:hAnsi="宋体"/>
          <w:color w:val="auto"/>
          <w:szCs w:val="21"/>
          <w:highlight w:val="none"/>
        </w:rPr>
      </w:pPr>
    </w:p>
    <w:p>
      <w:pPr>
        <w:adjustRightInd w:val="0"/>
        <w:snapToGrid w:val="0"/>
        <w:spacing w:line="440" w:lineRule="exact"/>
        <w:rPr>
          <w:rFonts w:hint="eastAsia" w:ascii="宋体" w:hAnsi="宋体"/>
          <w:color w:val="auto"/>
          <w:szCs w:val="21"/>
          <w:highlight w:val="none"/>
        </w:rPr>
      </w:pPr>
    </w:p>
    <w:p>
      <w:pPr>
        <w:adjustRightInd w:val="0"/>
        <w:snapToGrid w:val="0"/>
        <w:spacing w:line="440" w:lineRule="exact"/>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日期：年 月 日</w:t>
      </w:r>
    </w:p>
    <w:p>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pPr>
        <w:pStyle w:val="63"/>
        <w:numPr>
          <w:ilvl w:val="0"/>
          <w:numId w:val="0"/>
        </w:numPr>
        <w:jc w:val="center"/>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en-US" w:eastAsia="zh-CN" w:bidi="ar-SA"/>
        </w:rPr>
        <w:t>7、</w:t>
      </w:r>
      <w:r>
        <w:rPr>
          <w:rFonts w:hint="eastAsia" w:ascii="宋体" w:hAnsi="宋体" w:eastAsia="宋体" w:cs="宋体"/>
          <w:b/>
          <w:color w:val="auto"/>
          <w:kern w:val="0"/>
          <w:sz w:val="24"/>
          <w:szCs w:val="24"/>
          <w:highlight w:val="none"/>
          <w:lang w:val="zh-CN" w:eastAsia="zh-CN" w:bidi="ar-SA"/>
        </w:rPr>
        <w:t>商务</w:t>
      </w:r>
      <w:r>
        <w:rPr>
          <w:rFonts w:hint="eastAsia" w:ascii="宋体" w:hAnsi="宋体" w:eastAsia="宋体" w:cs="宋体"/>
          <w:b/>
          <w:color w:val="auto"/>
          <w:kern w:val="0"/>
          <w:sz w:val="24"/>
          <w:szCs w:val="24"/>
          <w:highlight w:val="none"/>
          <w:lang w:val="en-US" w:eastAsia="zh-CN" w:bidi="ar-SA"/>
        </w:rPr>
        <w:t>条款</w:t>
      </w:r>
      <w:r>
        <w:rPr>
          <w:rFonts w:hint="eastAsia" w:ascii="宋体" w:hAnsi="宋体" w:eastAsia="宋体" w:cs="宋体"/>
          <w:b/>
          <w:color w:val="auto"/>
          <w:kern w:val="0"/>
          <w:sz w:val="24"/>
          <w:szCs w:val="24"/>
          <w:highlight w:val="none"/>
          <w:lang w:val="zh-CN" w:eastAsia="zh-CN" w:bidi="ar-SA"/>
        </w:rPr>
        <w:t>响应表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项目编号：</w:t>
      </w:r>
      <w:r>
        <w:rPr>
          <w:rFonts w:hint="eastAsia" w:ascii="宋体" w:hAnsi="宋体" w:eastAsia="宋体" w:cs="宋体"/>
          <w:color w:val="auto"/>
          <w:sz w:val="21"/>
          <w:szCs w:val="21"/>
          <w:highlight w:val="none"/>
        </w:rPr>
        <w:t>FSCG2024088</w:t>
      </w:r>
      <w:r>
        <w:rPr>
          <w:rFonts w:hint="eastAsia" w:asciiTheme="minorEastAsia" w:hAnsiTheme="minorEastAsia" w:eastAsiaTheme="minorEastAsia"/>
          <w:color w:val="auto"/>
          <w:szCs w:val="21"/>
          <w:highlight w:val="none"/>
          <w:lang w:eastAsia="zh-CN"/>
        </w:rPr>
        <w:t>（</w:t>
      </w:r>
      <w:r>
        <w:rPr>
          <w:rFonts w:hint="eastAsia" w:cs="Arial" w:asciiTheme="minorEastAsia" w:hAnsiTheme="minorEastAsia" w:eastAsiaTheme="minorEastAsia"/>
          <w:color w:val="auto"/>
          <w:szCs w:val="21"/>
          <w:highlight w:val="none"/>
          <w:lang w:eastAsia="zh-CN"/>
        </w:rPr>
        <w:t>HX-2024-1044</w:t>
      </w:r>
      <w:r>
        <w:rPr>
          <w:rFonts w:hint="eastAsia" w:asciiTheme="minorEastAsia" w:hAnsiTheme="minorEastAsia" w:eastAsiaTheme="minorEastAsia"/>
          <w:color w:val="auto"/>
          <w:szCs w:val="21"/>
          <w:highlight w:val="none"/>
          <w:lang w:eastAsia="zh-CN"/>
        </w:rPr>
        <w:t>）</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Cs w:val="21"/>
                <w:highlight w:val="none"/>
                <w:lang w:val="en-US"/>
              </w:rPr>
            </w:pPr>
            <w:r>
              <w:rPr>
                <w:rFonts w:hint="eastAsia" w:ascii="宋体" w:hAnsi="宋体"/>
                <w:color w:val="auto"/>
                <w:szCs w:val="21"/>
                <w:highlight w:val="none"/>
                <w:lang w:val="en-US" w:eastAsia="zh-CN"/>
              </w:rPr>
              <w:t>采购文件的采购需求</w:t>
            </w: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投标文件响应情况</w:t>
            </w: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Cs w:val="21"/>
                <w:highlight w:val="none"/>
              </w:rPr>
            </w:pPr>
          </w:p>
        </w:tc>
      </w:tr>
    </w:tbl>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eastAsia="宋体" w:cs="宋体"/>
          <w:b/>
          <w:bCs/>
          <w:color w:val="auto"/>
          <w:kern w:val="0"/>
          <w:sz w:val="21"/>
          <w:szCs w:val="21"/>
          <w:highlight w:val="none"/>
          <w:lang w:eastAsia="zh-CN"/>
        </w:rPr>
        <w:t>如全部响应本项目</w:t>
      </w:r>
      <w:r>
        <w:rPr>
          <w:rFonts w:hint="eastAsia" w:ascii="宋体" w:hAnsi="宋体" w:eastAsia="宋体" w:cs="宋体"/>
          <w:b/>
          <w:bCs/>
          <w:color w:val="auto"/>
          <w:kern w:val="0"/>
          <w:sz w:val="21"/>
          <w:szCs w:val="21"/>
          <w:highlight w:val="none"/>
          <w:lang w:val="en-US" w:eastAsia="zh-CN"/>
        </w:rPr>
        <w:t>商务</w:t>
      </w:r>
      <w:r>
        <w:rPr>
          <w:rFonts w:hint="eastAsia" w:ascii="宋体" w:hAnsi="宋体" w:eastAsia="宋体" w:cs="宋体"/>
          <w:b/>
          <w:bCs/>
          <w:color w:val="auto"/>
          <w:kern w:val="0"/>
          <w:sz w:val="21"/>
          <w:szCs w:val="21"/>
          <w:highlight w:val="none"/>
          <w:lang w:eastAsia="zh-CN"/>
        </w:rPr>
        <w:t>条款要求，可在空白处注明“完全响应本项目</w:t>
      </w:r>
      <w:r>
        <w:rPr>
          <w:rFonts w:hint="eastAsia" w:ascii="宋体" w:hAnsi="宋体" w:eastAsia="宋体" w:cs="宋体"/>
          <w:b/>
          <w:bCs/>
          <w:color w:val="auto"/>
          <w:kern w:val="0"/>
          <w:sz w:val="21"/>
          <w:szCs w:val="21"/>
          <w:highlight w:val="none"/>
          <w:lang w:val="en-US" w:eastAsia="zh-CN"/>
        </w:rPr>
        <w:t>商务</w:t>
      </w:r>
      <w:r>
        <w:rPr>
          <w:rFonts w:hint="eastAsia" w:ascii="宋体" w:hAnsi="宋体" w:eastAsia="宋体" w:cs="宋体"/>
          <w:b/>
          <w:bCs/>
          <w:color w:val="auto"/>
          <w:kern w:val="0"/>
          <w:sz w:val="21"/>
          <w:szCs w:val="21"/>
          <w:highlight w:val="none"/>
          <w:lang w:eastAsia="zh-CN"/>
        </w:rPr>
        <w:t>要求，无偏离”字样。</w:t>
      </w:r>
      <w:r>
        <w:rPr>
          <w:rFonts w:hint="eastAsia" w:ascii="宋体" w:hAnsi="宋体" w:eastAsia="宋体" w:cs="宋体"/>
          <w:color w:val="auto"/>
          <w:kern w:val="0"/>
          <w:sz w:val="21"/>
          <w:szCs w:val="21"/>
          <w:highlight w:val="none"/>
          <w:lang w:eastAsia="zh-CN"/>
        </w:rPr>
        <w:t>投标人保证：除商务响应表列出的偏离外，投标人响应招标文件的全部技术要求。</w:t>
      </w:r>
    </w:p>
    <w:p>
      <w:pPr>
        <w:pStyle w:val="63"/>
        <w:rPr>
          <w:rFonts w:hint="eastAsia" w:ascii="仿宋" w:hAnsi="仿宋" w:eastAsia="仿宋" w:cs="仿宋"/>
          <w:color w:val="auto"/>
          <w:kern w:val="0"/>
          <w:sz w:val="24"/>
          <w:highlight w:val="none"/>
          <w:lang w:eastAsia="zh-CN"/>
        </w:rPr>
      </w:pPr>
    </w:p>
    <w:p>
      <w:pPr>
        <w:pStyle w:val="63"/>
        <w:rPr>
          <w:rFonts w:hint="eastAsia" w:ascii="仿宋" w:hAnsi="仿宋" w:eastAsia="仿宋" w:cs="仿宋"/>
          <w:color w:val="auto"/>
          <w:kern w:val="0"/>
          <w:sz w:val="24"/>
          <w:highlight w:val="none"/>
          <w:lang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日期：年 月 日</w:t>
      </w:r>
    </w:p>
    <w:p>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pPr>
        <w:pStyle w:val="63"/>
        <w:numPr>
          <w:ilvl w:val="0"/>
          <w:numId w:val="0"/>
        </w:numPr>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8、本项目组人员配备情况表</w:t>
      </w:r>
    </w:p>
    <w:p>
      <w:pPr>
        <w:snapToGrid w:val="0"/>
        <w:spacing w:line="440" w:lineRule="exact"/>
        <w:rPr>
          <w:rFonts w:hint="default" w:ascii="宋体" w:hAnsi="宋体"/>
          <w:color w:val="auto"/>
          <w:szCs w:val="21"/>
          <w:highlight w:val="none"/>
          <w:u w:val="single"/>
          <w:lang w:val="en-US"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val="en-US" w:eastAsia="zh-CN"/>
        </w:rPr>
        <w:t xml:space="preserve">                           </w:t>
      </w:r>
    </w:p>
    <w:p>
      <w:pPr>
        <w:snapToGrid w:val="0"/>
        <w:spacing w:line="440" w:lineRule="exac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项目编号：</w:t>
      </w:r>
      <w:r>
        <w:rPr>
          <w:rFonts w:hint="eastAsia" w:ascii="宋体" w:hAnsi="宋体" w:eastAsia="宋体" w:cs="宋体"/>
          <w:color w:val="auto"/>
          <w:sz w:val="21"/>
          <w:szCs w:val="21"/>
          <w:highlight w:val="none"/>
        </w:rPr>
        <w:t>FSCG2024088</w:t>
      </w:r>
      <w:r>
        <w:rPr>
          <w:rFonts w:hint="eastAsia" w:asciiTheme="minorEastAsia" w:hAnsiTheme="minorEastAsia" w:eastAsiaTheme="minorEastAsia"/>
          <w:color w:val="auto"/>
          <w:szCs w:val="21"/>
          <w:highlight w:val="none"/>
          <w:lang w:eastAsia="zh-CN"/>
        </w:rPr>
        <w:t>（</w:t>
      </w:r>
      <w:r>
        <w:rPr>
          <w:rFonts w:hint="eastAsia" w:cs="Arial" w:asciiTheme="minorEastAsia" w:hAnsiTheme="minorEastAsia" w:eastAsiaTheme="minorEastAsia"/>
          <w:color w:val="auto"/>
          <w:szCs w:val="21"/>
          <w:highlight w:val="none"/>
          <w:lang w:eastAsia="zh-CN"/>
        </w:rPr>
        <w:t>HX-2024-1044</w:t>
      </w:r>
      <w:r>
        <w:rPr>
          <w:rFonts w:hint="eastAsia" w:asciiTheme="minorEastAsia" w:hAnsiTheme="minorEastAsia" w:eastAsiaTheme="minorEastAsia"/>
          <w:color w:val="auto"/>
          <w:szCs w:val="21"/>
          <w:highlight w:val="none"/>
          <w:lang w:eastAsia="zh-CN"/>
        </w:rPr>
        <w:t>）</w:t>
      </w:r>
    </w:p>
    <w:p>
      <w:pPr>
        <w:pStyle w:val="22"/>
        <w:ind w:left="1470" w:right="1470"/>
        <w:rPr>
          <w:rFonts w:ascii="仿宋" w:hAnsi="仿宋" w:eastAsia="仿宋" w:cs="仿宋"/>
          <w:color w:val="auto"/>
          <w:highlight w:val="none"/>
        </w:rPr>
      </w:pPr>
    </w:p>
    <w:tbl>
      <w:tblPr>
        <w:tblStyle w:val="49"/>
        <w:tblW w:w="902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17"/>
        <w:gridCol w:w="996"/>
        <w:gridCol w:w="1584"/>
        <w:gridCol w:w="1056"/>
        <w:gridCol w:w="202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17"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996"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出生年月</w:t>
            </w:r>
          </w:p>
        </w:tc>
        <w:tc>
          <w:tcPr>
            <w:tcW w:w="1584"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身份证号码</w:t>
            </w:r>
          </w:p>
        </w:tc>
        <w:tc>
          <w:tcPr>
            <w:tcW w:w="1056"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职位</w:t>
            </w:r>
          </w:p>
        </w:tc>
        <w:tc>
          <w:tcPr>
            <w:tcW w:w="2028"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本项目拟担任职务</w:t>
            </w:r>
          </w:p>
        </w:tc>
        <w:tc>
          <w:tcPr>
            <w:tcW w:w="1597"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11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99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84"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05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028"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597"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bl>
    <w:p>
      <w:pPr>
        <w:snapToGrid w:val="0"/>
        <w:spacing w:line="440" w:lineRule="exact"/>
        <w:ind w:left="339" w:hanging="339" w:hangingChars="16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注：根据采购需求及评分标准要求提供相关证明材料。</w:t>
      </w:r>
    </w:p>
    <w:p>
      <w:pPr>
        <w:snapToGrid w:val="0"/>
        <w:spacing w:line="440" w:lineRule="exact"/>
        <w:rPr>
          <w:rFonts w:ascii="仿宋" w:hAnsi="仿宋" w:eastAsia="仿宋" w:cs="仿宋"/>
          <w:color w:val="auto"/>
          <w:szCs w:val="21"/>
          <w:highlight w:val="none"/>
          <w:shd w:val="pct10" w:color="auto" w:fill="FFFFFF"/>
        </w:rPr>
      </w:pPr>
    </w:p>
    <w:p>
      <w:pPr>
        <w:snapToGrid w:val="0"/>
        <w:spacing w:line="440" w:lineRule="exact"/>
        <w:rPr>
          <w:rFonts w:ascii="仿宋" w:hAnsi="仿宋" w:eastAsia="仿宋" w:cs="仿宋"/>
          <w:color w:val="auto"/>
          <w:szCs w:val="21"/>
          <w:highlight w:val="none"/>
          <w:shd w:val="pct10" w:color="auto" w:fill="FFFFFF"/>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rPr>
          <w:rFonts w:hint="eastAsia" w:ascii="宋体" w:hAnsi="宋体"/>
          <w:color w:val="auto"/>
          <w:szCs w:val="21"/>
          <w:highlight w:val="none"/>
        </w:rPr>
      </w:pPr>
      <w:r>
        <w:rPr>
          <w:rFonts w:hint="eastAsia" w:ascii="宋体" w:hAnsi="宋体"/>
          <w:color w:val="auto"/>
          <w:szCs w:val="21"/>
          <w:highlight w:val="none"/>
        </w:rPr>
        <w:t>日期：年 月 日</w:t>
      </w:r>
      <w:r>
        <w:rPr>
          <w:rFonts w:hint="eastAsia" w:ascii="宋体" w:hAnsi="宋体"/>
          <w:color w:val="auto"/>
          <w:szCs w:val="21"/>
          <w:highlight w:val="none"/>
        </w:rPr>
        <w:br w:type="page"/>
      </w:r>
    </w:p>
    <w:p>
      <w:pPr>
        <w:pStyle w:val="63"/>
        <w:numPr>
          <w:ilvl w:val="0"/>
          <w:numId w:val="0"/>
        </w:numPr>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9、拟投入设备情况表</w:t>
      </w:r>
    </w:p>
    <w:p>
      <w:pPr>
        <w:snapToGrid w:val="0"/>
        <w:spacing w:line="440" w:lineRule="exact"/>
        <w:rPr>
          <w:rFonts w:hint="default" w:ascii="宋体" w:hAnsi="宋体"/>
          <w:color w:val="auto"/>
          <w:szCs w:val="21"/>
          <w:highlight w:val="none"/>
          <w:u w:val="single"/>
          <w:lang w:val="en-US"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val="en-US" w:eastAsia="zh-CN"/>
        </w:rPr>
        <w:t xml:space="preserve">                           </w:t>
      </w:r>
    </w:p>
    <w:p>
      <w:pPr>
        <w:snapToGrid w:val="0"/>
        <w:spacing w:line="440" w:lineRule="exac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项目编号：</w:t>
      </w:r>
      <w:r>
        <w:rPr>
          <w:rFonts w:hint="eastAsia" w:ascii="宋体" w:hAnsi="宋体" w:eastAsia="宋体" w:cs="宋体"/>
          <w:color w:val="auto"/>
          <w:sz w:val="21"/>
          <w:szCs w:val="21"/>
          <w:highlight w:val="none"/>
        </w:rPr>
        <w:t>FSCG2024088</w:t>
      </w:r>
      <w:r>
        <w:rPr>
          <w:rFonts w:hint="eastAsia" w:asciiTheme="minorEastAsia" w:hAnsiTheme="minorEastAsia" w:eastAsiaTheme="minorEastAsia"/>
          <w:color w:val="auto"/>
          <w:szCs w:val="21"/>
          <w:highlight w:val="none"/>
          <w:lang w:eastAsia="zh-CN"/>
        </w:rPr>
        <w:t>（</w:t>
      </w:r>
      <w:r>
        <w:rPr>
          <w:rFonts w:hint="eastAsia" w:cs="Arial" w:asciiTheme="minorEastAsia" w:hAnsiTheme="minorEastAsia" w:eastAsiaTheme="minorEastAsia"/>
          <w:color w:val="auto"/>
          <w:szCs w:val="21"/>
          <w:highlight w:val="none"/>
          <w:lang w:eastAsia="zh-CN"/>
        </w:rPr>
        <w:t>HX-2024-1044</w:t>
      </w:r>
      <w:r>
        <w:rPr>
          <w:rFonts w:hint="eastAsia" w:asciiTheme="minorEastAsia" w:hAnsiTheme="minorEastAsia" w:eastAsiaTheme="minorEastAsia"/>
          <w:color w:val="auto"/>
          <w:szCs w:val="21"/>
          <w:highlight w:val="none"/>
          <w:lang w:eastAsia="zh-CN"/>
        </w:rPr>
        <w:t>）</w:t>
      </w:r>
    </w:p>
    <w:p>
      <w:pPr>
        <w:pStyle w:val="22"/>
        <w:ind w:left="1470" w:right="1470"/>
        <w:rPr>
          <w:rFonts w:ascii="仿宋" w:hAnsi="仿宋" w:eastAsia="仿宋" w:cs="仿宋"/>
          <w:color w:val="auto"/>
          <w:highlight w:val="none"/>
        </w:rPr>
      </w:pPr>
    </w:p>
    <w:tbl>
      <w:tblPr>
        <w:tblStyle w:val="49"/>
        <w:tblW w:w="879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23"/>
        <w:gridCol w:w="1179"/>
        <w:gridCol w:w="2506"/>
        <w:gridCol w:w="18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323" w:type="dxa"/>
            <w:tcMar>
              <w:left w:w="28" w:type="dxa"/>
              <w:right w:w="28" w:type="dxa"/>
            </w:tcMar>
            <w:vAlign w:val="center"/>
          </w:tcPr>
          <w:p>
            <w:pPr>
              <w:snapToGrid w:val="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设备名称</w:t>
            </w:r>
          </w:p>
        </w:tc>
        <w:tc>
          <w:tcPr>
            <w:tcW w:w="1179" w:type="dxa"/>
            <w:tcMar>
              <w:left w:w="28" w:type="dxa"/>
              <w:right w:w="28" w:type="dxa"/>
            </w:tcMar>
            <w:vAlign w:val="center"/>
          </w:tcPr>
          <w:p>
            <w:pPr>
              <w:snapToGrid w:val="0"/>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数量</w:t>
            </w:r>
          </w:p>
        </w:tc>
        <w:tc>
          <w:tcPr>
            <w:tcW w:w="2506" w:type="dxa"/>
            <w:tcMar>
              <w:left w:w="28" w:type="dxa"/>
              <w:right w:w="28" w:type="dxa"/>
            </w:tcMar>
            <w:vAlign w:val="center"/>
          </w:tcPr>
          <w:p>
            <w:pPr>
              <w:snapToGrid w:val="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主要功能</w:t>
            </w:r>
          </w:p>
        </w:tc>
        <w:tc>
          <w:tcPr>
            <w:tcW w:w="1890" w:type="dxa"/>
            <w:tcMar>
              <w:left w:w="28" w:type="dxa"/>
              <w:right w:w="28" w:type="dxa"/>
            </w:tcMar>
            <w:vAlign w:val="center"/>
          </w:tcPr>
          <w:p>
            <w:pPr>
              <w:snapToGrid w:val="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自有或租赁</w:t>
            </w:r>
          </w:p>
        </w:tc>
        <w:tc>
          <w:tcPr>
            <w:tcW w:w="1132" w:type="dxa"/>
            <w:tcMar>
              <w:left w:w="28" w:type="dxa"/>
              <w:right w:w="28" w:type="dxa"/>
            </w:tcMar>
            <w:vAlign w:val="center"/>
          </w:tcPr>
          <w:p>
            <w:pPr>
              <w:snapToGrid w:val="0"/>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323"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79"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2506"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890"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c>
          <w:tcPr>
            <w:tcW w:w="1132" w:type="dxa"/>
            <w:tcMar>
              <w:left w:w="28" w:type="dxa"/>
              <w:right w:w="28" w:type="dxa"/>
            </w:tcMar>
            <w:vAlign w:val="center"/>
          </w:tcPr>
          <w:p>
            <w:pPr>
              <w:snapToGrid w:val="0"/>
              <w:spacing w:line="440" w:lineRule="exact"/>
              <w:jc w:val="center"/>
              <w:rPr>
                <w:rFonts w:ascii="仿宋" w:hAnsi="仿宋" w:eastAsia="仿宋" w:cs="仿宋"/>
                <w:color w:val="auto"/>
                <w:szCs w:val="21"/>
                <w:highlight w:val="none"/>
              </w:rPr>
            </w:pPr>
          </w:p>
        </w:tc>
      </w:tr>
    </w:tbl>
    <w:p>
      <w:pPr>
        <w:snapToGrid w:val="0"/>
        <w:spacing w:line="440" w:lineRule="exact"/>
        <w:ind w:left="339" w:hanging="339" w:hangingChars="16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注：根据采购需求及评分标准要求提供相关证明材料。</w:t>
      </w:r>
    </w:p>
    <w:p>
      <w:pPr>
        <w:snapToGrid w:val="0"/>
        <w:spacing w:line="440" w:lineRule="exact"/>
        <w:rPr>
          <w:rFonts w:ascii="仿宋" w:hAnsi="仿宋" w:eastAsia="仿宋" w:cs="仿宋"/>
          <w:color w:val="auto"/>
          <w:szCs w:val="21"/>
          <w:highlight w:val="none"/>
          <w:shd w:val="pct10" w:color="auto" w:fill="FFFFFF"/>
        </w:rPr>
      </w:pPr>
    </w:p>
    <w:p>
      <w:pPr>
        <w:snapToGrid w:val="0"/>
        <w:spacing w:line="440" w:lineRule="exact"/>
        <w:rPr>
          <w:rFonts w:ascii="仿宋" w:hAnsi="仿宋" w:eastAsia="仿宋" w:cs="仿宋"/>
          <w:color w:val="auto"/>
          <w:szCs w:val="21"/>
          <w:highlight w:val="none"/>
          <w:shd w:val="pct10" w:color="auto" w:fill="FFFFFF"/>
        </w:rPr>
      </w:pPr>
    </w:p>
    <w:p>
      <w:pPr>
        <w:pStyle w:val="61"/>
        <w:rPr>
          <w:color w:val="auto"/>
          <w:highlight w:val="none"/>
        </w:rPr>
      </w:pPr>
      <w:r>
        <w:rPr>
          <w:rFonts w:hint="eastAsia"/>
          <w:color w:val="auto"/>
          <w:highlight w:val="none"/>
        </w:rPr>
        <w:t xml:space="preserve">法定代表人或授权代表（签字或盖章）： </w:t>
      </w:r>
    </w:p>
    <w:p>
      <w:pPr>
        <w:pStyle w:val="61"/>
        <w:rPr>
          <w:color w:val="auto"/>
          <w:highlight w:val="none"/>
        </w:rPr>
      </w:pPr>
      <w:r>
        <w:rPr>
          <w:rFonts w:hint="eastAsia"/>
          <w:color w:val="auto"/>
          <w:highlight w:val="none"/>
          <w:lang w:val="en-US" w:eastAsia="zh-CN"/>
        </w:rPr>
        <w:t>投标人</w:t>
      </w:r>
      <w:r>
        <w:rPr>
          <w:rFonts w:hint="eastAsia"/>
          <w:color w:val="auto"/>
          <w:highlight w:val="none"/>
        </w:rPr>
        <w:t>（盖章）：</w:t>
      </w:r>
    </w:p>
    <w:p>
      <w:pPr>
        <w:pStyle w:val="61"/>
        <w:rPr>
          <w:color w:val="auto"/>
          <w:highlight w:val="none"/>
        </w:rPr>
      </w:pPr>
      <w:r>
        <w:rPr>
          <w:rFonts w:hint="eastAsia"/>
          <w:color w:val="auto"/>
          <w:highlight w:val="none"/>
        </w:rPr>
        <w:t>日期：年 月 日</w:t>
      </w: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pStyle w:val="63"/>
        <w:numPr>
          <w:ilvl w:val="0"/>
          <w:numId w:val="0"/>
        </w:numPr>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10、评分索引表</w:t>
      </w:r>
    </w:p>
    <w:p>
      <w:pPr>
        <w:rPr>
          <w:color w:val="auto"/>
          <w:highlight w:val="none"/>
        </w:rPr>
      </w:pPr>
    </w:p>
    <w:tbl>
      <w:tblPr>
        <w:tblStyle w:val="4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51"/>
        <w:gridCol w:w="582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2" w:type="dxa"/>
            <w:vMerge w:val="restart"/>
            <w:noWrap w:val="0"/>
            <w:vAlign w:val="center"/>
          </w:tcPr>
          <w:p>
            <w:pPr>
              <w:adjustRightInd w:val="0"/>
              <w:snapToGrid w:val="0"/>
              <w:spacing w:line="360" w:lineRule="auto"/>
              <w:jc w:val="center"/>
              <w:rPr>
                <w:rFonts w:ascii="宋体" w:hAnsi="宋体" w:cs="宋体"/>
                <w:bCs/>
                <w:color w:val="auto"/>
                <w:sz w:val="18"/>
                <w:szCs w:val="18"/>
                <w:highlight w:val="none"/>
              </w:rPr>
            </w:pPr>
          </w:p>
        </w:tc>
        <w:tc>
          <w:tcPr>
            <w:tcW w:w="851" w:type="dxa"/>
            <w:noWrap w:val="0"/>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5824" w:type="dxa"/>
            <w:noWrap w:val="0"/>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评分内容和标准</w:t>
            </w:r>
          </w:p>
        </w:tc>
        <w:tc>
          <w:tcPr>
            <w:tcW w:w="992" w:type="dxa"/>
            <w:noWrap w:val="0"/>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自评分值</w:t>
            </w:r>
          </w:p>
        </w:tc>
        <w:tc>
          <w:tcPr>
            <w:tcW w:w="992" w:type="dxa"/>
            <w:noWrap w:val="0"/>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spacing w:line="240" w:lineRule="exact"/>
              <w:rPr>
                <w:rFonts w:ascii="宋体" w:hAnsi="宋体" w:cs="宋体"/>
                <w:color w:val="auto"/>
                <w:kern w:val="0"/>
                <w:sz w:val="18"/>
                <w:szCs w:val="18"/>
                <w:highlight w:val="none"/>
              </w:rPr>
            </w:pPr>
          </w:p>
        </w:tc>
        <w:tc>
          <w:tcPr>
            <w:tcW w:w="992" w:type="dxa"/>
            <w:noWrap w:val="0"/>
            <w:vAlign w:val="center"/>
          </w:tcPr>
          <w:p>
            <w:pPr>
              <w:spacing w:line="240" w:lineRule="exact"/>
              <w:jc w:val="center"/>
              <w:rPr>
                <w:rFonts w:ascii="宋体" w:hAnsi="宋体"/>
                <w:color w:val="auto"/>
                <w:sz w:val="18"/>
                <w:szCs w:val="18"/>
                <w:highlight w:val="none"/>
              </w:rPr>
            </w:pPr>
          </w:p>
        </w:tc>
        <w:tc>
          <w:tcPr>
            <w:tcW w:w="992" w:type="dxa"/>
            <w:noWrap w:val="0"/>
            <w:vAlign w:val="top"/>
          </w:tcPr>
          <w:p>
            <w:pPr>
              <w:spacing w:line="28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spacing w:line="240" w:lineRule="exact"/>
              <w:rPr>
                <w:rFonts w:ascii="宋体" w:hAnsi="宋体" w:cs="宋体"/>
                <w:color w:val="auto"/>
                <w:kern w:val="0"/>
                <w:sz w:val="18"/>
                <w:szCs w:val="18"/>
                <w:highlight w:val="none"/>
                <w:lang w:val="zh-CN"/>
              </w:rPr>
            </w:pPr>
          </w:p>
        </w:tc>
        <w:tc>
          <w:tcPr>
            <w:tcW w:w="992" w:type="dxa"/>
            <w:noWrap w:val="0"/>
            <w:vAlign w:val="center"/>
          </w:tcPr>
          <w:p>
            <w:pPr>
              <w:spacing w:line="240" w:lineRule="exact"/>
              <w:jc w:val="center"/>
              <w:rPr>
                <w:rFonts w:ascii="宋体" w:hAnsi="宋体" w:cs="宋体"/>
                <w:color w:val="auto"/>
                <w:kern w:val="0"/>
                <w:sz w:val="18"/>
                <w:szCs w:val="18"/>
                <w:highlight w:val="none"/>
                <w:lang w:val="zh-CN"/>
              </w:rPr>
            </w:pPr>
          </w:p>
        </w:tc>
        <w:tc>
          <w:tcPr>
            <w:tcW w:w="992" w:type="dxa"/>
            <w:noWrap w:val="0"/>
            <w:vAlign w:val="top"/>
          </w:tcPr>
          <w:p>
            <w:pPr>
              <w:spacing w:line="28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spacing w:line="240" w:lineRule="exact"/>
              <w:rPr>
                <w:rFonts w:ascii="宋体" w:hAnsi="宋体" w:cs="宋体"/>
                <w:color w:val="auto"/>
                <w:kern w:val="0"/>
                <w:sz w:val="18"/>
                <w:szCs w:val="18"/>
                <w:highlight w:val="none"/>
                <w:lang w:val="zh-CN"/>
              </w:rPr>
            </w:pPr>
          </w:p>
        </w:tc>
        <w:tc>
          <w:tcPr>
            <w:tcW w:w="992" w:type="dxa"/>
            <w:noWrap w:val="0"/>
            <w:vAlign w:val="center"/>
          </w:tcPr>
          <w:p>
            <w:pPr>
              <w:spacing w:line="240" w:lineRule="exact"/>
              <w:jc w:val="center"/>
              <w:rPr>
                <w:rFonts w:ascii="宋体" w:hAnsi="宋体"/>
                <w:color w:val="auto"/>
                <w:sz w:val="18"/>
                <w:szCs w:val="18"/>
                <w:highlight w:val="none"/>
              </w:rPr>
            </w:pPr>
          </w:p>
        </w:tc>
        <w:tc>
          <w:tcPr>
            <w:tcW w:w="992" w:type="dxa"/>
            <w:noWrap w:val="0"/>
            <w:vAlign w:val="top"/>
          </w:tcPr>
          <w:p>
            <w:pPr>
              <w:spacing w:line="280" w:lineRule="exact"/>
              <w:jc w:val="center"/>
              <w:rPr>
                <w:rFonts w:ascii="宋体" w:hAnsi="宋体" w:cs="宋体"/>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spacing w:line="240" w:lineRule="exact"/>
              <w:rPr>
                <w:color w:val="auto"/>
                <w:sz w:val="18"/>
                <w:szCs w:val="18"/>
                <w:highlight w:val="none"/>
                <w:lang w:val="zh-CN"/>
              </w:rPr>
            </w:pPr>
          </w:p>
        </w:tc>
        <w:tc>
          <w:tcPr>
            <w:tcW w:w="992" w:type="dxa"/>
            <w:noWrap w:val="0"/>
            <w:vAlign w:val="center"/>
          </w:tcPr>
          <w:p>
            <w:pPr>
              <w:spacing w:line="240" w:lineRule="exact"/>
              <w:jc w:val="center"/>
              <w:rPr>
                <w:rFonts w:ascii="宋体" w:hAnsi="宋体"/>
                <w:color w:val="auto"/>
                <w:sz w:val="18"/>
                <w:szCs w:val="18"/>
                <w:highlight w:val="none"/>
              </w:rPr>
            </w:pPr>
          </w:p>
        </w:tc>
        <w:tc>
          <w:tcPr>
            <w:tcW w:w="992" w:type="dxa"/>
            <w:noWrap w:val="0"/>
            <w:vAlign w:val="top"/>
          </w:tcPr>
          <w:p>
            <w:pPr>
              <w:spacing w:line="28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spacing w:line="240" w:lineRule="exact"/>
              <w:rPr>
                <w:rFonts w:ascii="宋体" w:hAnsi="宋体" w:cs="宋体"/>
                <w:color w:val="auto"/>
                <w:kern w:val="0"/>
                <w:sz w:val="18"/>
                <w:szCs w:val="18"/>
                <w:highlight w:val="none"/>
                <w:lang w:val="zh-CN"/>
              </w:rPr>
            </w:pPr>
          </w:p>
        </w:tc>
        <w:tc>
          <w:tcPr>
            <w:tcW w:w="992" w:type="dxa"/>
            <w:noWrap w:val="0"/>
            <w:vAlign w:val="center"/>
          </w:tcPr>
          <w:p>
            <w:pPr>
              <w:spacing w:line="240" w:lineRule="exact"/>
              <w:jc w:val="center"/>
              <w:rPr>
                <w:rFonts w:ascii="宋体" w:hAnsi="宋体" w:cs="宋体"/>
                <w:color w:val="auto"/>
                <w:kern w:val="0"/>
                <w:sz w:val="18"/>
                <w:szCs w:val="18"/>
                <w:highlight w:val="none"/>
                <w:lang w:val="zh-CN"/>
              </w:rPr>
            </w:pPr>
          </w:p>
        </w:tc>
        <w:tc>
          <w:tcPr>
            <w:tcW w:w="992" w:type="dxa"/>
            <w:noWrap w:val="0"/>
            <w:vAlign w:val="top"/>
          </w:tcPr>
          <w:p>
            <w:pPr>
              <w:spacing w:line="28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spacing w:line="240" w:lineRule="exact"/>
              <w:rPr>
                <w:rFonts w:ascii="宋体" w:hAnsi="宋体" w:cs="宋体"/>
                <w:color w:val="auto"/>
                <w:kern w:val="0"/>
                <w:sz w:val="18"/>
                <w:szCs w:val="18"/>
                <w:highlight w:val="none"/>
                <w:lang w:val="zh-CN"/>
              </w:rPr>
            </w:pPr>
          </w:p>
        </w:tc>
        <w:tc>
          <w:tcPr>
            <w:tcW w:w="992" w:type="dxa"/>
            <w:noWrap w:val="0"/>
            <w:vAlign w:val="center"/>
          </w:tcPr>
          <w:p>
            <w:pPr>
              <w:spacing w:line="240" w:lineRule="exact"/>
              <w:jc w:val="center"/>
              <w:rPr>
                <w:rFonts w:ascii="宋体" w:hAnsi="宋体"/>
                <w:color w:val="auto"/>
                <w:sz w:val="18"/>
                <w:szCs w:val="18"/>
                <w:highlight w:val="none"/>
              </w:rPr>
            </w:pPr>
          </w:p>
        </w:tc>
        <w:tc>
          <w:tcPr>
            <w:tcW w:w="992" w:type="dxa"/>
            <w:noWrap w:val="0"/>
            <w:vAlign w:val="top"/>
          </w:tcPr>
          <w:p>
            <w:pPr>
              <w:spacing w:line="28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pStyle w:val="33"/>
              <w:tabs>
                <w:tab w:val="right" w:leader="dot" w:pos="9240"/>
              </w:tabs>
              <w:spacing w:line="240" w:lineRule="exact"/>
              <w:rPr>
                <w:rFonts w:ascii="宋体" w:hAnsi="宋体"/>
                <w:color w:val="auto"/>
                <w:szCs w:val="21"/>
                <w:highlight w:val="none"/>
              </w:rPr>
            </w:pPr>
          </w:p>
        </w:tc>
        <w:tc>
          <w:tcPr>
            <w:tcW w:w="992" w:type="dxa"/>
            <w:noWrap w:val="0"/>
            <w:vAlign w:val="center"/>
          </w:tcPr>
          <w:p>
            <w:pPr>
              <w:spacing w:line="240" w:lineRule="exact"/>
              <w:jc w:val="center"/>
              <w:rPr>
                <w:rFonts w:ascii="宋体" w:hAnsi="宋体"/>
                <w:color w:val="auto"/>
                <w:sz w:val="18"/>
                <w:szCs w:val="18"/>
                <w:highlight w:val="none"/>
              </w:rPr>
            </w:pPr>
          </w:p>
        </w:tc>
        <w:tc>
          <w:tcPr>
            <w:tcW w:w="992" w:type="dxa"/>
            <w:noWrap w:val="0"/>
            <w:vAlign w:val="top"/>
          </w:tcPr>
          <w:p>
            <w:pPr>
              <w:spacing w:line="28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2" w:type="dxa"/>
            <w:vMerge w:val="continue"/>
            <w:noWrap w:val="0"/>
            <w:vAlign w:val="top"/>
          </w:tcPr>
          <w:p>
            <w:pPr>
              <w:spacing w:line="360" w:lineRule="auto"/>
              <w:jc w:val="center"/>
              <w:rPr>
                <w:rFonts w:ascii="宋体" w:hAnsi="宋体" w:cs="宋体"/>
                <w:bCs/>
                <w:color w:val="auto"/>
                <w:sz w:val="18"/>
                <w:szCs w:val="18"/>
                <w:highlight w:val="none"/>
              </w:rPr>
            </w:pPr>
          </w:p>
        </w:tc>
        <w:tc>
          <w:tcPr>
            <w:tcW w:w="851" w:type="dxa"/>
            <w:noWrap w:val="0"/>
            <w:vAlign w:val="center"/>
          </w:tcPr>
          <w:p>
            <w:pPr>
              <w:spacing w:line="240" w:lineRule="exact"/>
              <w:jc w:val="center"/>
              <w:rPr>
                <w:rFonts w:ascii="宋体" w:hAnsi="宋体" w:cs="宋体"/>
                <w:bCs/>
                <w:color w:val="auto"/>
                <w:sz w:val="18"/>
                <w:szCs w:val="18"/>
                <w:highlight w:val="none"/>
              </w:rPr>
            </w:pPr>
          </w:p>
        </w:tc>
        <w:tc>
          <w:tcPr>
            <w:tcW w:w="5824" w:type="dxa"/>
            <w:noWrap w:val="0"/>
            <w:vAlign w:val="center"/>
          </w:tcPr>
          <w:p>
            <w:pPr>
              <w:pStyle w:val="47"/>
              <w:spacing w:line="240" w:lineRule="exact"/>
              <w:jc w:val="both"/>
              <w:rPr>
                <w:rFonts w:ascii="宋体" w:hAnsi="宋体" w:cs="宋体"/>
                <w:color w:val="auto"/>
                <w:sz w:val="18"/>
                <w:szCs w:val="18"/>
                <w:highlight w:val="none"/>
                <w:lang w:val="zh-CN"/>
              </w:rPr>
            </w:pPr>
          </w:p>
        </w:tc>
        <w:tc>
          <w:tcPr>
            <w:tcW w:w="992" w:type="dxa"/>
            <w:noWrap w:val="0"/>
            <w:vAlign w:val="center"/>
          </w:tcPr>
          <w:p>
            <w:pPr>
              <w:spacing w:line="240" w:lineRule="exact"/>
              <w:jc w:val="center"/>
              <w:rPr>
                <w:rFonts w:ascii="宋体" w:hAnsi="宋体"/>
                <w:color w:val="auto"/>
                <w:sz w:val="18"/>
                <w:szCs w:val="18"/>
                <w:highlight w:val="none"/>
              </w:rPr>
            </w:pPr>
          </w:p>
        </w:tc>
        <w:tc>
          <w:tcPr>
            <w:tcW w:w="992" w:type="dxa"/>
            <w:noWrap w:val="0"/>
            <w:vAlign w:val="top"/>
          </w:tcPr>
          <w:p>
            <w:pPr>
              <w:spacing w:line="280" w:lineRule="exact"/>
              <w:jc w:val="center"/>
              <w:rPr>
                <w:rFonts w:ascii="宋体" w:hAnsi="宋体" w:eastAsia="宋体"/>
                <w:color w:val="auto"/>
                <w:sz w:val="18"/>
                <w:szCs w:val="18"/>
                <w:highlight w:val="none"/>
              </w:rPr>
            </w:pPr>
          </w:p>
        </w:tc>
      </w:tr>
    </w:tbl>
    <w:p>
      <w:pPr>
        <w:rPr>
          <w:rFonts w:hint="eastAsia" w:ascii="宋体" w:hAnsi="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pStyle w:val="63"/>
        <w:rPr>
          <w:rFonts w:hint="eastAsia" w:ascii="宋体" w:hAnsi="宋体" w:cs="宋体"/>
          <w:color w:val="auto"/>
          <w:sz w:val="24"/>
          <w:szCs w:val="24"/>
          <w:highlight w:val="none"/>
          <w:lang w:val="en-US" w:eastAsia="zh-CN"/>
        </w:rPr>
      </w:pPr>
      <w:r>
        <w:rPr>
          <w:rFonts w:hint="eastAsia" w:ascii="宋体" w:hAnsi="宋体"/>
          <w:color w:val="auto"/>
          <w:szCs w:val="21"/>
          <w:highlight w:val="none"/>
        </w:rPr>
        <w:t>日期：年 月 日</w:t>
      </w:r>
    </w:p>
    <w:p>
      <w:pPr>
        <w:pStyle w:val="37"/>
        <w:rPr>
          <w:rFonts w:hint="eastAsia" w:ascii="宋体" w:hAnsi="宋体" w:cs="宋体"/>
          <w:color w:val="auto"/>
          <w:sz w:val="24"/>
          <w:szCs w:val="24"/>
          <w:highlight w:val="none"/>
          <w:lang w:val="en-US" w:eastAsia="zh-CN"/>
        </w:rPr>
      </w:pPr>
    </w:p>
    <w:p>
      <w:pPr>
        <w:rPr>
          <w:rFonts w:hint="eastAsia"/>
          <w:color w:val="auto"/>
          <w:sz w:val="24"/>
          <w:szCs w:val="24"/>
          <w:highlight w:val="none"/>
          <w:lang w:val="zh-CN" w:eastAsia="zh-CN"/>
        </w:rPr>
      </w:pPr>
    </w:p>
    <w:p>
      <w:pPr>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lang w:eastAsia="zh-CN" w:bidi="ar"/>
        </w:rPr>
        <w:br w:type="page"/>
      </w:r>
    </w:p>
    <w:p>
      <w:pPr>
        <w:pStyle w:val="63"/>
        <w:numPr>
          <w:ilvl w:val="0"/>
          <w:numId w:val="0"/>
        </w:numPr>
        <w:jc w:val="center"/>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en-US" w:eastAsia="zh-CN" w:bidi="ar-SA"/>
        </w:rPr>
        <w:t>11、</w:t>
      </w:r>
      <w:r>
        <w:rPr>
          <w:rFonts w:hint="eastAsia" w:ascii="宋体" w:hAnsi="宋体" w:eastAsia="宋体" w:cs="宋体"/>
          <w:b/>
          <w:color w:val="auto"/>
          <w:kern w:val="0"/>
          <w:sz w:val="24"/>
          <w:szCs w:val="24"/>
          <w:highlight w:val="none"/>
          <w:lang w:val="zh-CN" w:eastAsia="zh-CN" w:bidi="ar-SA"/>
        </w:rPr>
        <w:t>政府采购供应商廉洁自律承诺书</w:t>
      </w:r>
    </w:p>
    <w:p>
      <w:pPr>
        <w:snapToGrid w:val="0"/>
        <w:spacing w:line="360" w:lineRule="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bidi w:val="0"/>
        <w:adjustRightInd/>
        <w:snapToGrid w:val="0"/>
        <w:spacing w:line="360"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pPr>
        <w:keepNext w:val="0"/>
        <w:keepLines w:val="0"/>
        <w:pageBreakBefore w:val="0"/>
        <w:widowControl w:val="0"/>
        <w:kinsoku/>
        <w:wordWrap/>
        <w:overflowPunct/>
        <w:topLinePunct w:val="0"/>
        <w:autoSpaceDE w:val="0"/>
        <w:autoSpaceDN w:val="0"/>
        <w:bidi w:val="0"/>
        <w:adjustRightInd/>
        <w:spacing w:line="360" w:lineRule="auto"/>
        <w:ind w:left="0" w:left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pPr>
        <w:keepNext w:val="0"/>
        <w:keepLines w:val="0"/>
        <w:pageBreakBefore w:val="0"/>
        <w:widowControl w:val="0"/>
        <w:kinsoku/>
        <w:wordWrap/>
        <w:overflowPunct/>
        <w:topLinePunct w:val="0"/>
        <w:autoSpaceDE w:val="0"/>
        <w:autoSpaceDN w:val="0"/>
        <w:bidi w:val="0"/>
        <w:adjustRightInd/>
        <w:spacing w:line="360" w:lineRule="auto"/>
        <w:ind w:left="0" w:left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pPr>
        <w:keepNext w:val="0"/>
        <w:keepLines w:val="0"/>
        <w:pageBreakBefore w:val="0"/>
        <w:widowControl w:val="0"/>
        <w:kinsoku/>
        <w:wordWrap/>
        <w:overflowPunct/>
        <w:topLinePunct w:val="0"/>
        <w:autoSpaceDE w:val="0"/>
        <w:autoSpaceDN w:val="0"/>
        <w:bidi w:val="0"/>
        <w:adjustRightInd/>
        <w:spacing w:line="360" w:lineRule="auto"/>
        <w:ind w:left="0" w:leftChars="0"/>
        <w:jc w:val="left"/>
        <w:textAlignment w:val="auto"/>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日期：年 月 日</w:t>
      </w:r>
    </w:p>
    <w:p>
      <w:pPr>
        <w:pStyle w:val="63"/>
        <w:rPr>
          <w:rFonts w:hint="eastAsia" w:ascii="宋体" w:hAnsi="宋体" w:cs="宋体"/>
          <w:color w:val="auto"/>
          <w:sz w:val="28"/>
          <w:szCs w:val="28"/>
          <w:highlight w:val="none"/>
          <w:lang w:val="zh-CN" w:eastAsia="zh-CN"/>
        </w:rPr>
      </w:pPr>
    </w:p>
    <w:p>
      <w:pPr>
        <w:pStyle w:val="63"/>
        <w:rPr>
          <w:rFonts w:hint="eastAsia" w:ascii="宋体" w:hAnsi="宋体" w:cs="宋体"/>
          <w:color w:val="auto"/>
          <w:sz w:val="28"/>
          <w:szCs w:val="28"/>
          <w:highlight w:val="none"/>
          <w:lang w:val="zh-CN" w:eastAsia="zh-CN"/>
        </w:rPr>
      </w:pP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13.投标人认为需要提供的其他相关资料；（如有需提供）</w:t>
      </w:r>
    </w:p>
    <w:p>
      <w:pPr>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zh-CN" w:eastAsia="zh-CN"/>
        </w:rPr>
        <w:br w:type="page"/>
      </w:r>
    </w:p>
    <w:p>
      <w:pPr>
        <w:pStyle w:val="6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zh-CN" w:eastAsia="zh-CN"/>
        </w:rPr>
      </w:pPr>
      <w:r>
        <w:rPr>
          <w:rFonts w:hint="eastAsia" w:ascii="Arial" w:hAnsi="宋体" w:eastAsia="宋体" w:cs="Arial"/>
          <w:b/>
          <w:color w:val="auto"/>
          <w:sz w:val="21"/>
          <w:szCs w:val="21"/>
          <w:highlight w:val="none"/>
          <w:lang w:val="en-US" w:eastAsia="zh-CN"/>
        </w:rPr>
        <w:t>五</w:t>
      </w:r>
      <w:r>
        <w:rPr>
          <w:rFonts w:hint="eastAsia" w:ascii="Arial" w:hAnsi="宋体" w:eastAsia="宋体" w:cs="Arial"/>
          <w:b/>
          <w:color w:val="auto"/>
          <w:sz w:val="21"/>
          <w:szCs w:val="21"/>
          <w:highlight w:val="none"/>
        </w:rPr>
        <w:t>、</w:t>
      </w:r>
      <w:r>
        <w:rPr>
          <w:rFonts w:hint="eastAsia" w:ascii="Arial" w:hAnsi="宋体" w:eastAsia="宋体" w:cs="Arial"/>
          <w:b/>
          <w:color w:val="auto"/>
          <w:sz w:val="21"/>
          <w:szCs w:val="21"/>
          <w:highlight w:val="none"/>
          <w:lang w:val="en-US" w:eastAsia="zh-CN"/>
        </w:rPr>
        <w:t>报价</w:t>
      </w:r>
      <w:r>
        <w:rPr>
          <w:rFonts w:hint="eastAsia" w:ascii="Arial" w:hAnsi="宋体" w:eastAsia="宋体" w:cs="Arial"/>
          <w:b/>
          <w:color w:val="auto"/>
          <w:sz w:val="21"/>
          <w:szCs w:val="21"/>
          <w:highlight w:val="none"/>
        </w:rPr>
        <w:t>文件</w:t>
      </w:r>
      <w:r>
        <w:rPr>
          <w:rFonts w:hint="eastAsia" w:ascii="Arial" w:hAnsi="宋体" w:eastAsia="宋体" w:cs="Arial"/>
          <w:b/>
          <w:color w:val="auto"/>
          <w:sz w:val="21"/>
          <w:szCs w:val="21"/>
          <w:highlight w:val="none"/>
          <w:lang w:val="en-US" w:eastAsia="zh-CN"/>
        </w:rPr>
        <w:t>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2.政府采购统计基础信息表；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3.供应商自觉抵制政府采购领域商业贿赂行为承诺书；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4.供应商认为需要提供的其他资料；（如有需提供）</w:t>
      </w:r>
    </w:p>
    <w:p>
      <w:pPr>
        <w:pStyle w:val="63"/>
        <w:rPr>
          <w:rFonts w:hint="eastAsia" w:ascii="宋体" w:hAnsi="宋体" w:cs="宋体"/>
          <w:color w:val="auto"/>
          <w:sz w:val="28"/>
          <w:szCs w:val="28"/>
          <w:highlight w:val="none"/>
          <w:lang w:val="zh-CN" w:eastAsia="zh-CN"/>
        </w:rPr>
      </w:pPr>
    </w:p>
    <w:p>
      <w:pPr>
        <w:rPr>
          <w:rFonts w:hint="eastAsia" w:ascii="Arial" w:hAnsi="宋体" w:cs="Arial"/>
          <w:b/>
          <w:color w:val="auto"/>
          <w:szCs w:val="21"/>
          <w:highlight w:val="none"/>
        </w:rPr>
      </w:pPr>
      <w:r>
        <w:rPr>
          <w:rFonts w:hint="eastAsia" w:ascii="Arial" w:hAnsi="宋体" w:cs="Arial"/>
          <w:b/>
          <w:color w:val="auto"/>
          <w:szCs w:val="21"/>
          <w:highlight w:val="none"/>
        </w:rPr>
        <w:br w:type="page"/>
      </w:r>
    </w:p>
    <w:p>
      <w:pPr>
        <w:pStyle w:val="63"/>
        <w:numPr>
          <w:ilvl w:val="0"/>
          <w:numId w:val="0"/>
        </w:numPr>
        <w:jc w:val="center"/>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en-US" w:eastAsia="zh-CN" w:bidi="ar-SA"/>
        </w:rPr>
        <w:t>1、</w:t>
      </w:r>
      <w:r>
        <w:rPr>
          <w:rFonts w:hint="eastAsia" w:ascii="宋体" w:hAnsi="宋体" w:eastAsia="宋体" w:cs="宋体"/>
          <w:b/>
          <w:color w:val="auto"/>
          <w:kern w:val="0"/>
          <w:sz w:val="24"/>
          <w:szCs w:val="24"/>
          <w:highlight w:val="none"/>
          <w:lang w:val="zh-CN" w:eastAsia="zh-CN" w:bidi="ar-SA"/>
        </w:rPr>
        <w:t>开标一览表</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p>
    <w:p>
      <w:pPr>
        <w:spacing w:line="288"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eastAsia="宋体" w:cs="宋体"/>
          <w:color w:val="auto"/>
          <w:sz w:val="21"/>
          <w:szCs w:val="21"/>
          <w:highlight w:val="none"/>
        </w:rPr>
        <w:t>FSCG2024088</w:t>
      </w:r>
      <w:r>
        <w:rPr>
          <w:rFonts w:hint="eastAsia" w:asciiTheme="minorEastAsia" w:hAnsiTheme="minorEastAsia" w:eastAsiaTheme="minorEastAsia"/>
          <w:color w:val="auto"/>
          <w:szCs w:val="21"/>
          <w:highlight w:val="none"/>
          <w:lang w:eastAsia="zh-CN"/>
        </w:rPr>
        <w:t>（</w:t>
      </w:r>
      <w:r>
        <w:rPr>
          <w:rFonts w:hint="eastAsia" w:cs="Arial" w:asciiTheme="minorEastAsia" w:hAnsiTheme="minorEastAsia" w:eastAsiaTheme="minorEastAsia"/>
          <w:color w:val="auto"/>
          <w:szCs w:val="21"/>
          <w:highlight w:val="none"/>
          <w:lang w:eastAsia="zh-CN"/>
        </w:rPr>
        <w:t>HX-2024-1044</w:t>
      </w:r>
      <w:r>
        <w:rPr>
          <w:rFonts w:hint="eastAsia" w:asciiTheme="minorEastAsia" w:hAnsiTheme="minorEastAsia" w:eastAsiaTheme="minorEastAsia"/>
          <w:color w:val="auto"/>
          <w:szCs w:val="21"/>
          <w:highlight w:val="none"/>
          <w:lang w:eastAsia="zh-CN"/>
        </w:rPr>
        <w:t>）</w:t>
      </w:r>
      <w:r>
        <w:rPr>
          <w:rFonts w:ascii="宋体" w:hAnsi="宋体"/>
          <w:color w:val="auto"/>
          <w:szCs w:val="21"/>
          <w:highlight w:val="none"/>
        </w:rPr>
        <w:t xml:space="preserve"> </w:t>
      </w:r>
    </w:p>
    <w:p>
      <w:pPr>
        <w:pStyle w:val="2"/>
        <w:spacing w:line="240" w:lineRule="exact"/>
        <w:ind w:right="210"/>
        <w:jc w:val="right"/>
        <w:rPr>
          <w:rFonts w:ascii="宋体" w:hAnsi="宋体"/>
          <w:color w:val="auto"/>
          <w:sz w:val="21"/>
          <w:szCs w:val="21"/>
          <w:highlight w:val="none"/>
        </w:rPr>
      </w:pPr>
      <w:r>
        <w:rPr>
          <w:rFonts w:ascii="宋体" w:hAnsi="宋体"/>
          <w:color w:val="auto"/>
          <w:sz w:val="21"/>
          <w:szCs w:val="21"/>
          <w:highlight w:val="none"/>
        </w:rPr>
        <w:t>金额单位：人民币（元）</w:t>
      </w:r>
    </w:p>
    <w:p>
      <w:pPr>
        <w:pStyle w:val="60"/>
        <w:rPr>
          <w:color w:val="auto"/>
          <w:highlight w:val="none"/>
        </w:rPr>
      </w:pPr>
    </w:p>
    <w:tbl>
      <w:tblPr>
        <w:tblStyle w:val="49"/>
        <w:tblW w:w="8505"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27"/>
        <w:gridCol w:w="6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21"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6378"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jc w:val="center"/>
              <w:rPr>
                <w:rFonts w:hint="eastAsia" w:ascii="宋体" w:hAnsi="宋体" w:eastAsia="宋体" w:cs="宋体"/>
                <w:b/>
                <w:bCs/>
                <w:color w:val="auto"/>
                <w:szCs w:val="21"/>
                <w:highlight w:val="none"/>
                <w:lang w:eastAsia="zh-CN"/>
              </w:rPr>
            </w:pPr>
            <w:r>
              <w:rPr>
                <w:rFonts w:hint="eastAsia" w:ascii="宋体" w:hAnsi="宋体"/>
                <w:color w:val="auto"/>
                <w:szCs w:val="21"/>
                <w:highlight w:val="none"/>
                <w:lang w:eastAsia="zh-CN"/>
              </w:rPr>
              <w:t>2024年度前江街道雨污管网养护项目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60"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 xml:space="preserve">投标报价 </w:t>
            </w:r>
            <w:r>
              <w:rPr>
                <w:rFonts w:ascii="宋体" w:hAnsi="宋体" w:cs="宋体"/>
                <w:b/>
                <w:bCs/>
                <w:color w:val="auto"/>
                <w:szCs w:val="21"/>
                <w:highlight w:val="none"/>
              </w:rPr>
              <w:t xml:space="preserve">     </w:t>
            </w:r>
          </w:p>
        </w:tc>
        <w:tc>
          <w:tcPr>
            <w:tcW w:w="6378"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ind w:firstLine="1476" w:firstLineChars="700"/>
              <w:rPr>
                <w:rFonts w:ascii="宋体" w:hAnsi="宋体" w:cs="宋体"/>
                <w:b/>
                <w:bCs/>
                <w:color w:val="auto"/>
                <w:szCs w:val="21"/>
                <w:highlight w:val="none"/>
              </w:rPr>
            </w:pPr>
            <w:r>
              <w:rPr>
                <w:rFonts w:hint="eastAsia" w:ascii="宋体" w:hAnsi="宋体" w:cs="宋体"/>
                <w:b/>
                <w:bCs/>
                <w:color w:val="auto"/>
                <w:szCs w:val="21"/>
                <w:highlight w:val="none"/>
              </w:rPr>
              <w:t xml:space="preserve">小写：¥ </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元</w:t>
            </w:r>
            <w:r>
              <w:rPr>
                <w:rFonts w:hint="eastAsia" w:ascii="宋体" w:hAnsi="宋体" w:cs="宋体"/>
                <w:b/>
                <w:bCs/>
                <w:color w:val="auto"/>
                <w:szCs w:val="21"/>
                <w:highlight w:val="none"/>
                <w:lang w:val="en-US" w:eastAsia="zh-CN"/>
              </w:rPr>
              <w:t>/年</w:t>
            </w:r>
            <w:r>
              <w:rPr>
                <w:rFonts w:hint="eastAsia" w:ascii="宋体" w:hAnsi="宋体" w:cs="宋体"/>
                <w:b/>
                <w:bCs/>
                <w:color w:val="auto"/>
                <w:szCs w:val="21"/>
                <w:highlight w:val="none"/>
              </w:rPr>
              <w:t>；</w:t>
            </w:r>
          </w:p>
          <w:p>
            <w:pPr>
              <w:snapToGrid w:val="0"/>
              <w:spacing w:before="50" w:after="50" w:line="440" w:lineRule="exact"/>
              <w:ind w:firstLine="1476" w:firstLineChars="700"/>
              <w:rPr>
                <w:rFonts w:ascii="宋体" w:hAnsi="宋体" w:cs="宋体"/>
                <w:b/>
                <w:bCs/>
                <w:color w:val="auto"/>
                <w:szCs w:val="21"/>
                <w:highlight w:val="none"/>
              </w:rPr>
            </w:pPr>
            <w:r>
              <w:rPr>
                <w:rFonts w:hint="eastAsia" w:ascii="宋体" w:hAnsi="宋体" w:cs="宋体"/>
                <w:b/>
                <w:bCs/>
                <w:color w:val="auto"/>
                <w:szCs w:val="21"/>
                <w:highlight w:val="none"/>
              </w:rPr>
              <w:t xml:space="preserve">大写：人民币 </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元/年</w:t>
            </w:r>
            <w:r>
              <w:rPr>
                <w:rFonts w:hint="eastAsia" w:ascii="宋体" w:hAnsi="宋体" w:cs="宋体"/>
                <w:b/>
                <w:bCs/>
                <w:color w:val="auto"/>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7"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jc w:val="center"/>
              <w:rPr>
                <w:rFonts w:ascii="宋体" w:hAnsi="宋体" w:cs="宋体"/>
                <w:b/>
                <w:bCs/>
                <w:color w:val="auto"/>
                <w:szCs w:val="21"/>
                <w:highlight w:val="none"/>
              </w:rPr>
            </w:pPr>
            <w:r>
              <w:rPr>
                <w:rFonts w:hint="eastAsia" w:ascii="宋体" w:hAnsi="宋体" w:cs="宋体"/>
                <w:b/>
                <w:bCs/>
                <w:color w:val="auto"/>
                <w:szCs w:val="21"/>
                <w:highlight w:val="none"/>
              </w:rPr>
              <w:t>投标声明</w:t>
            </w:r>
          </w:p>
        </w:tc>
        <w:tc>
          <w:tcPr>
            <w:tcW w:w="6378"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若无，填“/”即可</w:t>
            </w:r>
          </w:p>
        </w:tc>
      </w:tr>
    </w:tbl>
    <w:p>
      <w:pPr>
        <w:rPr>
          <w:color w:val="auto"/>
          <w:highlight w:val="none"/>
        </w:rPr>
      </w:pPr>
    </w:p>
    <w:p>
      <w:pPr>
        <w:spacing w:line="360" w:lineRule="auto"/>
        <w:ind w:right="420"/>
        <w:rPr>
          <w:rFonts w:ascii="宋体" w:hAnsi="宋体"/>
          <w:color w:val="auto"/>
          <w:szCs w:val="21"/>
          <w:highlight w:val="none"/>
        </w:rPr>
      </w:pPr>
      <w:r>
        <w:rPr>
          <w:rFonts w:hint="eastAsia" w:hAnsi="宋体"/>
          <w:color w:val="auto"/>
          <w:szCs w:val="21"/>
          <w:highlight w:val="none"/>
        </w:rPr>
        <w:t>注：（1）</w:t>
      </w:r>
      <w:r>
        <w:rPr>
          <w:rFonts w:hint="eastAsia" w:ascii="宋体" w:hAnsi="宋体"/>
          <w:color w:val="auto"/>
          <w:szCs w:val="21"/>
          <w:highlight w:val="none"/>
        </w:rPr>
        <w:t>投标报价以人民币为结算货币，投标报价应包含完成本项目所需的所有费用。采购人不再另行支付其他任何形式的费用。</w:t>
      </w:r>
    </w:p>
    <w:p>
      <w:pPr>
        <w:spacing w:line="360" w:lineRule="auto"/>
        <w:ind w:right="42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）报价一经涂改，应在涂改处加盖单位公章或者由法定代表人或授权委托人签字或盖章，否则其投标作无效标处理。</w:t>
      </w:r>
    </w:p>
    <w:p>
      <w:pPr>
        <w:pStyle w:val="47"/>
        <w:rPr>
          <w:color w:val="auto"/>
          <w:highlight w:val="none"/>
        </w:rPr>
      </w:pPr>
    </w:p>
    <w:p>
      <w:pPr>
        <w:pStyle w:val="47"/>
        <w:rPr>
          <w:color w:val="auto"/>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olor w:val="auto"/>
          <w:szCs w:val="21"/>
          <w:highlight w:val="none"/>
        </w:rPr>
      </w:pPr>
      <w:r>
        <w:rPr>
          <w:rFonts w:hint="eastAsia" w:ascii="宋体" w:hAnsi="宋体"/>
          <w:color w:val="auto"/>
          <w:szCs w:val="21"/>
          <w:highlight w:val="none"/>
        </w:rPr>
        <w:t>日期：年 月 日</w:t>
      </w:r>
    </w:p>
    <w:p>
      <w:pPr>
        <w:rPr>
          <w:rFonts w:hint="eastAsia" w:ascii="宋体" w:hAnsi="宋体"/>
          <w:color w:val="auto"/>
          <w:szCs w:val="21"/>
          <w:highlight w:val="none"/>
        </w:rPr>
      </w:pPr>
      <w:r>
        <w:rPr>
          <w:rFonts w:hint="eastAsia" w:ascii="宋体" w:hAnsi="宋体"/>
          <w:color w:val="auto"/>
          <w:szCs w:val="21"/>
          <w:highlight w:val="none"/>
        </w:rPr>
        <w:br w:type="page"/>
      </w:r>
    </w:p>
    <w:p>
      <w:pPr>
        <w:snapToGrid w:val="0"/>
        <w:spacing w:before="50" w:after="50" w:line="440" w:lineRule="exact"/>
        <w:jc w:val="center"/>
        <w:rPr>
          <w:rFonts w:ascii="宋体" w:hAnsi="宋体"/>
          <w:b/>
          <w:color w:val="auto"/>
          <w:szCs w:val="21"/>
          <w:highlight w:val="none"/>
        </w:rPr>
      </w:pPr>
      <w:r>
        <w:rPr>
          <w:rFonts w:hint="eastAsia" w:ascii="宋体" w:hAnsi="宋体" w:eastAsia="宋体" w:cs="宋体"/>
          <w:b/>
          <w:color w:val="auto"/>
          <w:kern w:val="0"/>
          <w:sz w:val="24"/>
          <w:szCs w:val="24"/>
          <w:highlight w:val="none"/>
          <w:lang w:val="en-US" w:eastAsia="zh-CN" w:bidi="ar-SA"/>
        </w:rPr>
        <w:t>2、</w:t>
      </w:r>
      <w:r>
        <w:rPr>
          <w:rFonts w:ascii="宋体" w:hAnsi="宋体"/>
          <w:b/>
          <w:color w:val="auto"/>
          <w:szCs w:val="21"/>
          <w:highlight w:val="none"/>
        </w:rPr>
        <w:t>投标报价明细表</w:t>
      </w:r>
    </w:p>
    <w:p>
      <w:pPr>
        <w:spacing w:line="360" w:lineRule="auto"/>
        <w:ind w:right="420"/>
        <w:jc w:val="left"/>
        <w:rPr>
          <w:rFonts w:hint="eastAsia" w:hAnsi="宋体"/>
          <w:color w:val="auto"/>
          <w:szCs w:val="21"/>
          <w:highlight w:val="none"/>
          <w:lang w:eastAsia="zh-CN"/>
        </w:rPr>
      </w:pPr>
      <w:r>
        <w:rPr>
          <w:rFonts w:hint="eastAsia" w:hAnsi="宋体"/>
          <w:color w:val="auto"/>
          <w:szCs w:val="21"/>
          <w:highlight w:val="none"/>
        </w:rPr>
        <w:t>项目名称：</w:t>
      </w:r>
    </w:p>
    <w:p>
      <w:pPr>
        <w:spacing w:line="360" w:lineRule="auto"/>
        <w:ind w:right="420"/>
        <w:jc w:val="left"/>
        <w:rPr>
          <w:rFonts w:hAnsi="宋体"/>
          <w:color w:val="auto"/>
          <w:szCs w:val="21"/>
          <w:highlight w:val="none"/>
        </w:rPr>
      </w:pPr>
      <w:r>
        <w:rPr>
          <w:rFonts w:hint="eastAsia" w:hAnsi="宋体"/>
          <w:color w:val="auto"/>
          <w:szCs w:val="21"/>
          <w:highlight w:val="none"/>
        </w:rPr>
        <w:t>项目编号：</w:t>
      </w:r>
      <w:r>
        <w:rPr>
          <w:rFonts w:hint="eastAsia" w:ascii="宋体" w:hAnsi="宋体" w:eastAsia="宋体" w:cs="宋体"/>
          <w:color w:val="auto"/>
          <w:sz w:val="21"/>
          <w:szCs w:val="21"/>
          <w:highlight w:val="none"/>
        </w:rPr>
        <w:t>FSCG2024088</w:t>
      </w:r>
      <w:r>
        <w:rPr>
          <w:rFonts w:hint="eastAsia" w:hAnsi="宋体"/>
          <w:color w:val="auto"/>
          <w:szCs w:val="21"/>
          <w:highlight w:val="none"/>
          <w:lang w:eastAsia="zh-CN"/>
        </w:rPr>
        <w:t>（HX-2024-1044）</w:t>
      </w:r>
      <w:r>
        <w:rPr>
          <w:rFonts w:hAnsi="宋体"/>
          <w:color w:val="auto"/>
          <w:szCs w:val="21"/>
          <w:highlight w:val="none"/>
        </w:rPr>
        <w:t xml:space="preserve"> </w:t>
      </w:r>
    </w:p>
    <w:p>
      <w:pPr>
        <w:spacing w:line="360" w:lineRule="auto"/>
        <w:ind w:right="420"/>
        <w:jc w:val="right"/>
        <w:rPr>
          <w:rFonts w:hint="eastAsia" w:ascii="宋体" w:hAnsi="宋体"/>
          <w:b/>
          <w:color w:val="auto"/>
          <w:szCs w:val="21"/>
          <w:highlight w:val="none"/>
          <w:u w:val="single"/>
          <w:lang w:val="zh-CN"/>
        </w:rPr>
      </w:pPr>
      <w:r>
        <w:rPr>
          <w:rFonts w:hAnsi="宋体"/>
          <w:color w:val="auto"/>
          <w:szCs w:val="21"/>
          <w:highlight w:val="none"/>
        </w:rPr>
        <w:t>金额单位：人民币（元）</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611"/>
        <w:gridCol w:w="1706"/>
        <w:gridCol w:w="1124"/>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double" w:color="auto" w:sz="4" w:space="0"/>
              <w:left w:val="double" w:color="auto" w:sz="4" w:space="0"/>
              <w:bottom w:val="double" w:color="auto" w:sz="4" w:space="0"/>
              <w:right w:val="single" w:color="auto" w:sz="4" w:space="0"/>
            </w:tcBorders>
            <w:noWrap w:val="0"/>
            <w:vAlign w:val="center"/>
          </w:tcPr>
          <w:p>
            <w:pPr>
              <w:pStyle w:val="33"/>
              <w:jc w:val="center"/>
              <w:rPr>
                <w:rFonts w:ascii="宋体" w:hAnsi="宋体"/>
                <w:b/>
                <w:color w:val="auto"/>
                <w:szCs w:val="21"/>
                <w:highlight w:val="none"/>
              </w:rPr>
            </w:pPr>
            <w:r>
              <w:rPr>
                <w:rFonts w:hint="eastAsia" w:ascii="宋体" w:hAnsi="宋体"/>
                <w:b/>
                <w:color w:val="auto"/>
                <w:szCs w:val="21"/>
                <w:highlight w:val="none"/>
              </w:rPr>
              <w:t>序号</w:t>
            </w:r>
          </w:p>
        </w:tc>
        <w:tc>
          <w:tcPr>
            <w:tcW w:w="2611" w:type="dxa"/>
            <w:tcBorders>
              <w:top w:val="double" w:color="auto" w:sz="4" w:space="0"/>
              <w:left w:val="single" w:color="auto" w:sz="4" w:space="0"/>
              <w:bottom w:val="doub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项目</w:t>
            </w:r>
          </w:p>
        </w:tc>
        <w:tc>
          <w:tcPr>
            <w:tcW w:w="1706"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bCs/>
                <w:color w:val="auto"/>
                <w:szCs w:val="21"/>
                <w:highlight w:val="none"/>
              </w:rPr>
              <w:t>工程量</w:t>
            </w:r>
          </w:p>
        </w:tc>
        <w:tc>
          <w:tcPr>
            <w:tcW w:w="1124"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939" w:type="dxa"/>
            <w:tcBorders>
              <w:top w:val="double" w:color="auto" w:sz="4" w:space="0"/>
              <w:left w:val="single" w:color="auto" w:sz="4" w:space="0"/>
              <w:bottom w:val="double" w:color="auto" w:sz="4" w:space="0"/>
              <w:right w:val="double" w:color="auto" w:sz="4" w:space="0"/>
            </w:tcBorders>
            <w:noWrap w:val="0"/>
            <w:vAlign w:val="center"/>
          </w:tcPr>
          <w:p>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611" w:type="dxa"/>
            <w:tcBorders>
              <w:top w:val="doub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w:t>
            </w:r>
          </w:p>
        </w:tc>
        <w:tc>
          <w:tcPr>
            <w:tcW w:w="1706" w:type="dxa"/>
            <w:tcBorders>
              <w:top w:val="doub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24"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1939" w:type="dxa"/>
            <w:tcBorders>
              <w:top w:val="doub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6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6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6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6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544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利润</w:t>
            </w:r>
          </w:p>
        </w:tc>
        <w:tc>
          <w:tcPr>
            <w:tcW w:w="1939"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544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税金</w:t>
            </w:r>
          </w:p>
        </w:tc>
        <w:tc>
          <w:tcPr>
            <w:tcW w:w="1939"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tcBorders>
              <w:top w:val="single" w:color="auto" w:sz="4" w:space="0"/>
              <w:left w:val="double" w:color="auto" w:sz="4" w:space="0"/>
              <w:bottom w:val="doub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投标总价</w:t>
            </w:r>
          </w:p>
        </w:tc>
        <w:tc>
          <w:tcPr>
            <w:tcW w:w="7380" w:type="dxa"/>
            <w:gridSpan w:val="4"/>
            <w:tcBorders>
              <w:top w:val="single" w:color="auto" w:sz="4" w:space="0"/>
              <w:left w:val="single" w:color="auto" w:sz="4" w:space="0"/>
              <w:bottom w:val="double" w:color="auto" w:sz="4" w:space="0"/>
              <w:right w:val="double" w:color="auto" w:sz="4" w:space="0"/>
            </w:tcBorders>
            <w:noWrap w:val="0"/>
            <w:vAlign w:val="center"/>
          </w:tcPr>
          <w:p>
            <w:pPr>
              <w:rPr>
                <w:rFonts w:hint="default" w:ascii="宋体" w:hAnsi="宋体" w:eastAsia="宋体"/>
                <w:color w:val="auto"/>
                <w:szCs w:val="21"/>
                <w:highlight w:val="none"/>
                <w:u w:val="none"/>
                <w:lang w:val="en-US" w:eastAsia="zh-CN"/>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元</w:t>
            </w:r>
            <w:r>
              <w:rPr>
                <w:rFonts w:hint="eastAsia" w:ascii="宋体" w:hAnsi="宋体"/>
                <w:color w:val="auto"/>
                <w:szCs w:val="21"/>
                <w:highlight w:val="none"/>
                <w:lang w:val="en-US" w:eastAsia="zh-CN"/>
              </w:rPr>
              <w:t>/年</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元/年</w:t>
            </w:r>
          </w:p>
        </w:tc>
      </w:tr>
    </w:tbl>
    <w:p>
      <w:pPr>
        <w:tabs>
          <w:tab w:val="left" w:pos="425"/>
          <w:tab w:val="left" w:pos="845"/>
        </w:tabs>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注：1、</w:t>
      </w:r>
      <w:r>
        <w:rPr>
          <w:rFonts w:hint="eastAsia" w:ascii="宋体" w:hAnsi="宋体"/>
          <w:color w:val="auto"/>
          <w:szCs w:val="21"/>
          <w:highlight w:val="none"/>
          <w:lang w:val="en-US" w:eastAsia="zh-CN"/>
        </w:rPr>
        <w:t>投标总价</w:t>
      </w:r>
      <w:r>
        <w:rPr>
          <w:rFonts w:hint="eastAsia" w:ascii="宋体" w:hAnsi="宋体"/>
          <w:color w:val="auto"/>
          <w:szCs w:val="21"/>
          <w:highlight w:val="none"/>
        </w:rPr>
        <w:t>高于最高限价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预算价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的</w:t>
      </w:r>
      <w:r>
        <w:rPr>
          <w:rFonts w:hint="eastAsia" w:ascii="宋体" w:hAnsi="宋体"/>
          <w:color w:val="auto"/>
          <w:szCs w:val="21"/>
          <w:highlight w:val="none"/>
        </w:rPr>
        <w:t>作无效标处理。</w:t>
      </w:r>
    </w:p>
    <w:p>
      <w:pPr>
        <w:tabs>
          <w:tab w:val="left" w:pos="425"/>
          <w:tab w:val="left" w:pos="845"/>
        </w:tabs>
        <w:spacing w:line="400" w:lineRule="exact"/>
        <w:rPr>
          <w:rFonts w:hint="eastAsia" w:ascii="宋体" w:hAnsi="宋体" w:eastAsia="宋体" w:cs="Times New Roman"/>
          <w:color w:val="auto"/>
          <w:szCs w:val="21"/>
          <w:highlight w:val="none"/>
          <w:lang w:val="zh-CN"/>
        </w:rPr>
      </w:pPr>
      <w:r>
        <w:rPr>
          <w:rFonts w:hint="eastAsia" w:ascii="宋体" w:hAnsi="宋体"/>
          <w:color w:val="auto"/>
          <w:szCs w:val="21"/>
          <w:highlight w:val="none"/>
          <w:lang w:val="zh-CN"/>
        </w:rPr>
        <w:t>2、投标人认为应</w:t>
      </w:r>
      <w:r>
        <w:rPr>
          <w:rFonts w:hint="eastAsia" w:ascii="宋体" w:hAnsi="宋体" w:eastAsia="宋体" w:cs="Times New Roman"/>
          <w:color w:val="auto"/>
          <w:szCs w:val="21"/>
          <w:highlight w:val="none"/>
          <w:lang w:val="zh-CN"/>
        </w:rPr>
        <w:t>当说明</w:t>
      </w:r>
      <w:r>
        <w:rPr>
          <w:rFonts w:hint="eastAsia" w:ascii="宋体" w:hAnsi="宋体" w:eastAsia="宋体" w:cs="Times New Roman"/>
          <w:color w:val="auto"/>
          <w:szCs w:val="21"/>
          <w:highlight w:val="none"/>
          <w:lang w:val="en-US" w:eastAsia="zh-CN"/>
        </w:rPr>
        <w:t>的</w:t>
      </w:r>
      <w:r>
        <w:rPr>
          <w:rFonts w:hint="eastAsia" w:ascii="宋体" w:hAnsi="宋体" w:eastAsia="宋体" w:cs="Times New Roman"/>
          <w:color w:val="auto"/>
          <w:szCs w:val="21"/>
          <w:highlight w:val="none"/>
          <w:lang w:val="zh-CN"/>
        </w:rPr>
        <w:t>，请</w:t>
      </w:r>
      <w:r>
        <w:rPr>
          <w:rFonts w:hint="eastAsia" w:ascii="宋体" w:hAnsi="宋体" w:eastAsia="宋体" w:cs="Times New Roman"/>
          <w:color w:val="auto"/>
          <w:szCs w:val="21"/>
          <w:highlight w:val="none"/>
          <w:lang w:val="en-US" w:eastAsia="zh-CN"/>
        </w:rPr>
        <w:t>在投标报价明细表中</w:t>
      </w:r>
      <w:r>
        <w:rPr>
          <w:rFonts w:hint="eastAsia" w:ascii="宋体" w:hAnsi="宋体" w:eastAsia="宋体" w:cs="Times New Roman"/>
          <w:color w:val="auto"/>
          <w:szCs w:val="21"/>
          <w:highlight w:val="none"/>
          <w:lang w:val="zh-CN"/>
        </w:rPr>
        <w:t>自行增加，</w:t>
      </w:r>
      <w:r>
        <w:rPr>
          <w:rFonts w:hint="eastAsia" w:ascii="宋体" w:hAnsi="宋体" w:eastAsia="宋体" w:cs="Times New Roman"/>
          <w:color w:val="auto"/>
          <w:szCs w:val="21"/>
          <w:highlight w:val="none"/>
          <w:lang w:val="en-US" w:eastAsia="zh-CN"/>
        </w:rPr>
        <w:t>如有漏报缺项的，投标人自行承担</w:t>
      </w:r>
      <w:r>
        <w:rPr>
          <w:rFonts w:hint="eastAsia" w:ascii="宋体" w:hAnsi="宋体" w:eastAsia="宋体" w:cs="Times New Roman"/>
          <w:color w:val="auto"/>
          <w:szCs w:val="21"/>
          <w:highlight w:val="none"/>
          <w:lang w:val="zh-CN"/>
        </w:rPr>
        <w:t>。</w:t>
      </w:r>
    </w:p>
    <w:p>
      <w:pPr>
        <w:tabs>
          <w:tab w:val="left" w:pos="425"/>
          <w:tab w:val="left" w:pos="845"/>
        </w:tabs>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报价包括但不限于人员基本工资、各类福利和补贴（如加班补贴等）、社保（五金）、各种保险，人员工作服、人员所使用作业工具等各类耗材费，设施设备管理维护费用，配备的设备设施和作业车辆的折旧费及运行维护费，管理费，税金，利润及其他与本次采购相关的一切费用。</w:t>
      </w:r>
    </w:p>
    <w:p>
      <w:pPr>
        <w:tabs>
          <w:tab w:val="left" w:pos="425"/>
          <w:tab w:val="left" w:pos="845"/>
        </w:tabs>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4、其中人员基本工资不得低于本年度宁波市最低劳动工资，否则作无效报价处理。人员工资报价应考虑周边及县市区同类人员的工资水平。</w:t>
      </w:r>
    </w:p>
    <w:p>
      <w:pPr>
        <w:tabs>
          <w:tab w:val="left" w:pos="425"/>
          <w:tab w:val="left" w:pos="845"/>
        </w:tabs>
        <w:spacing w:line="40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本项目投标报价为包干价，合同期内服务费用不因市场和政策等因素的变动而调整。上述所列数量为近似数量，与实际准确数量可能会有出入。各投标人在投标报价时应予以充分考虑，投标人如有需要自行组织现场踏勘，以充分了解项目实施位置、养护范围、周边情况及任何其他足以影响报价的情况，任何因忽视或误解现场情况而导致的索赔或养护费用申请将不予受理。</w:t>
      </w:r>
    </w:p>
    <w:p>
      <w:pPr>
        <w:snapToGrid w:val="0"/>
        <w:spacing w:before="50" w:after="50" w:line="440" w:lineRule="exact"/>
        <w:rPr>
          <w:rFonts w:hint="eastAsia" w:ascii="宋体" w:hAnsi="宋体" w:eastAsia="宋体"/>
          <w:color w:val="auto"/>
          <w:spacing w:val="20"/>
          <w:szCs w:val="21"/>
          <w:highlight w:val="none"/>
          <w:lang w:eastAsia="zh-CN"/>
        </w:rPr>
      </w:pPr>
    </w:p>
    <w:p>
      <w:pPr>
        <w:snapToGrid w:val="0"/>
        <w:spacing w:before="50" w:after="50" w:line="440" w:lineRule="exact"/>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rPr>
        <w:t xml:space="preserve"> </w:t>
      </w:r>
    </w:p>
    <w:p>
      <w:pPr>
        <w:snapToGrid w:val="0"/>
        <w:spacing w:before="50" w:after="50" w:line="440" w:lineRule="exact"/>
        <w:ind w:left="-21" w:leftChars="-72" w:right="-817" w:rightChars="-389" w:hanging="130" w:hangingChars="62"/>
        <w:rPr>
          <w:rFonts w:hint="eastAsia" w:ascii="宋体" w:hAnsi="宋体"/>
          <w:color w:val="auto"/>
          <w:szCs w:val="21"/>
          <w:highlight w:val="none"/>
        </w:rPr>
      </w:pPr>
      <w:r>
        <w:rPr>
          <w:rFonts w:hint="eastAsia" w:ascii="宋体" w:hAnsi="宋体"/>
          <w:color w:val="auto"/>
          <w:szCs w:val="21"/>
          <w:highlight w:val="none"/>
        </w:rPr>
        <w:t>投标人名称（盖章）：</w:t>
      </w:r>
      <w:r>
        <w:rPr>
          <w:rFonts w:ascii="宋体" w:hAnsi="宋体"/>
          <w:color w:val="auto"/>
          <w:szCs w:val="21"/>
          <w:highlight w:val="none"/>
        </w:rPr>
        <w:t xml:space="preserve">                                 </w:t>
      </w:r>
    </w:p>
    <w:p>
      <w:pPr>
        <w:snapToGrid w:val="0"/>
        <w:spacing w:before="50" w:after="50" w:line="440" w:lineRule="exact"/>
        <w:ind w:left="-21" w:leftChars="-72" w:right="-817" w:rightChars="-389" w:hanging="130" w:hangingChars="62"/>
        <w:rPr>
          <w:rFonts w:hint="eastAsia"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pStyle w:val="48"/>
        <w:rPr>
          <w:color w:val="auto"/>
          <w:highlight w:val="none"/>
        </w:rPr>
      </w:pPr>
    </w:p>
    <w:p>
      <w:pPr>
        <w:snapToGrid w:val="0"/>
        <w:spacing w:before="50" w:after="50" w:line="440" w:lineRule="exact"/>
        <w:rPr>
          <w:rFonts w:ascii="宋体" w:hAnsi="宋体"/>
          <w:color w:val="auto"/>
          <w:szCs w:val="21"/>
          <w:highlight w:val="none"/>
        </w:rPr>
      </w:pPr>
    </w:p>
    <w:p>
      <w:pPr>
        <w:snapToGrid w:val="0"/>
        <w:spacing w:line="360" w:lineRule="auto"/>
        <w:jc w:val="center"/>
        <w:rPr>
          <w:rFonts w:hAnsi="宋体" w:cs="方正小标宋简体"/>
          <w:b/>
          <w:color w:val="auto"/>
          <w:szCs w:val="21"/>
          <w:highlight w:val="none"/>
        </w:rPr>
      </w:pPr>
    </w:p>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pPr>
        <w:pStyle w:val="2"/>
        <w:rPr>
          <w:rFonts w:hint="eastAsia" w:ascii="仿宋" w:hAnsi="仿宋" w:eastAsia="仿宋" w:cs="仿宋"/>
          <w:b/>
          <w:color w:val="auto"/>
          <w:sz w:val="24"/>
          <w:highlight w:val="none"/>
          <w:lang w:eastAsia="zh-CN"/>
        </w:rPr>
        <w:sectPr>
          <w:headerReference r:id="rId6" w:type="default"/>
          <w:footerReference r:id="rId7" w:type="default"/>
          <w:footerReference r:id="rId8" w:type="even"/>
          <w:pgSz w:w="11906" w:h="16838"/>
          <w:pgMar w:top="1276" w:right="1416" w:bottom="1588" w:left="1701" w:header="567" w:footer="567" w:gutter="0"/>
          <w:pgNumType w:start="1"/>
          <w:cols w:space="720" w:num="1"/>
          <w:docGrid w:linePitch="602" w:charSpace="-1675"/>
        </w:sectPr>
      </w:pPr>
    </w:p>
    <w:p>
      <w:pPr>
        <w:pStyle w:val="63"/>
        <w:numPr>
          <w:ilvl w:val="0"/>
          <w:numId w:val="0"/>
        </w:numPr>
        <w:jc w:val="center"/>
        <w:rPr>
          <w:rFonts w:hint="eastAsia" w:ascii="宋体" w:hAnsi="宋体" w:eastAsia="宋体" w:cs="宋体"/>
          <w:b/>
          <w:color w:val="auto"/>
          <w:kern w:val="0"/>
          <w:sz w:val="24"/>
          <w:szCs w:val="24"/>
          <w:highlight w:val="none"/>
          <w:lang w:val="zh-CN" w:eastAsia="zh-CN" w:bidi="ar-SA"/>
        </w:rPr>
      </w:pPr>
      <w:r>
        <w:rPr>
          <w:rFonts w:hint="eastAsia" w:ascii="宋体" w:hAnsi="宋体" w:cs="宋体"/>
          <w:b/>
          <w:color w:val="auto"/>
          <w:kern w:val="0"/>
          <w:sz w:val="24"/>
          <w:szCs w:val="24"/>
          <w:highlight w:val="none"/>
          <w:lang w:val="en-US" w:eastAsia="zh-CN" w:bidi="ar-SA"/>
        </w:rPr>
        <w:t>3</w:t>
      </w:r>
      <w:r>
        <w:rPr>
          <w:rFonts w:hint="eastAsia"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zh-CN" w:eastAsia="zh-CN" w:bidi="ar-SA"/>
        </w:rPr>
        <w:t>政府采购统计基础信息表</w:t>
      </w:r>
    </w:p>
    <w:p>
      <w:pPr>
        <w:pStyle w:val="63"/>
        <w:numPr>
          <w:ilvl w:val="0"/>
          <w:numId w:val="0"/>
        </w:numPr>
        <w:spacing w:line="360" w:lineRule="auto"/>
        <w:rPr>
          <w:rFonts w:hint="eastAsia" w:ascii="宋体" w:hAnsi="宋体" w:eastAsia="宋体" w:cs="宋体"/>
          <w:color w:val="auto"/>
          <w:sz w:val="21"/>
          <w:szCs w:val="21"/>
          <w:highlight w:val="none"/>
        </w:rPr>
      </w:pPr>
    </w:p>
    <w:tbl>
      <w:tblPr>
        <w:tblStyle w:val="49"/>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采购人及采购项目名称</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是否</w:t>
            </w:r>
            <w:r>
              <w:rPr>
                <w:rFonts w:hint="eastAsia" w:ascii="宋体" w:hAnsi="宋体" w:eastAsia="宋体" w:cs="宋体"/>
                <w:color w:val="auto"/>
                <w:sz w:val="21"/>
                <w:szCs w:val="21"/>
                <w:highlight w:val="none"/>
                <w:lang w:eastAsia="zh-CN"/>
              </w:rPr>
              <w:t>为外商投资企业</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是否</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宁波企业</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货物原产地</w:t>
            </w:r>
            <w:r>
              <w:rPr>
                <w:rFonts w:hint="eastAsia" w:ascii="宋体" w:hAnsi="宋体" w:eastAsia="宋体" w:cs="宋体"/>
                <w:color w:val="auto"/>
                <w:sz w:val="21"/>
                <w:szCs w:val="21"/>
                <w:highlight w:val="none"/>
                <w:lang w:eastAsia="zh-CN"/>
              </w:rPr>
              <w:t>国别</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节能清单产品</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环境标志清单产品</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备注：请各投标人务必填写此表作为投标文件的组成部分。</w:t>
      </w:r>
    </w:p>
    <w:p>
      <w:pPr>
        <w:pStyle w:val="47"/>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法定代表人或授权代表（签字或盖章）：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（盖章）：</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日期：年 月 日</w:t>
      </w:r>
    </w:p>
    <w:p>
      <w:pPr>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4.供应商认为需要提供的其他资料；（如有需提供）</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63"/>
        <w:numPr>
          <w:ilvl w:val="0"/>
          <w:numId w:val="0"/>
        </w:numPr>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4</w:t>
      </w:r>
      <w:r>
        <w:rPr>
          <w:rFonts w:hint="eastAsia" w:ascii="宋体" w:hAnsi="宋体" w:eastAsia="宋体" w:cs="宋体"/>
          <w:b/>
          <w:color w:val="auto"/>
          <w:kern w:val="0"/>
          <w:sz w:val="24"/>
          <w:szCs w:val="24"/>
          <w:highlight w:val="none"/>
          <w:lang w:val="en-US" w:eastAsia="zh-CN" w:bidi="ar-SA"/>
        </w:rPr>
        <w:t>、供应商自觉抵制政府采购领域</w:t>
      </w:r>
    </w:p>
    <w:p>
      <w:pPr>
        <w:pStyle w:val="63"/>
        <w:numPr>
          <w:ilvl w:val="0"/>
          <w:numId w:val="0"/>
        </w:numPr>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商业贿赂行为承诺书</w:t>
      </w:r>
    </w:p>
    <w:p>
      <w:pPr>
        <w:spacing w:line="360" w:lineRule="auto"/>
        <w:rPr>
          <w:rFonts w:ascii="宋体" w:hAnsi="宋体" w:cs="宋体"/>
          <w:color w:val="auto"/>
          <w:szCs w:val="21"/>
          <w:highlight w:val="none"/>
        </w:rPr>
      </w:pPr>
    </w:p>
    <w:p>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val="en-US" w:eastAsia="zh-CN"/>
        </w:rPr>
        <w:t>宁波华欣</w:t>
      </w:r>
      <w:r>
        <w:rPr>
          <w:rFonts w:hint="eastAsia" w:ascii="宋体" w:hAnsi="宋体" w:cs="宋体"/>
          <w:b/>
          <w:color w:val="auto"/>
          <w:szCs w:val="21"/>
          <w:highlight w:val="none"/>
          <w:lang w:eastAsia="zh-CN"/>
        </w:rPr>
        <w:t>建设项目管理咨询有限公司</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 xml:space="preserve">      </w:t>
      </w:r>
    </w:p>
    <w:p>
      <w:pPr>
        <w:spacing w:line="360" w:lineRule="auto"/>
        <w:ind w:firstLine="420" w:firstLineChars="200"/>
        <w:rPr>
          <w:rFonts w:ascii="宋体" w:hAnsi="宋体" w:cs="宋体"/>
          <w:color w:val="auto"/>
          <w:szCs w:val="21"/>
          <w:highlight w:val="none"/>
          <w:lang w:eastAsia="zh-TW"/>
        </w:rPr>
      </w:pPr>
      <w:r>
        <w:rPr>
          <w:rFonts w:hint="eastAsia" w:ascii="宋体" w:hAnsi="宋体" w:cs="宋体"/>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集中采购机构组织的政府采购活动中，我方庄重承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一、依法参与政府采购活动，遵纪守法，诚信经营，公平竞争。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二、不向采购单位、集中采购机构和政府采购评审专家提供任何形式的商业贿赂；对索取或接受商业贿赂的单位和个人，及时向财政部门和纪检监察机关举报。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三、不以提供虚假资质文件等形式参与政府采购活动，不以虚假材料谋取中标。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四、不采取不正当手段诋毁、排挤其他供应商，与其他参与政府采购活动供应商保持良性的竞争关系。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五、不与采购单位、集中采购机构和政府采购评审专家恶意串通，自觉维护政府采购公平竞争的市场秩序。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六、不与其他供应商串通采取围标、陪标等商业欺诈手段谋取中标，积极维护国家利益、社会公共利益和采购单位的合法权益。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七、严格履行政府采购合同约定义务，不在政府采购合同执行过程中采取降低质量或标准、减少数量、拖延交付时间等方式损害采购单位的利益，并自觉承担违约责任。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八、自觉接受并积极配合财政部门和纪检监察机关依法实施的监督检查，如实反映情况，及时提供有关证明材料。</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napToGrid w:val="0"/>
        <w:spacing w:before="50" w:after="50" w:line="600" w:lineRule="auto"/>
        <w:ind w:left="130" w:hanging="130" w:hangingChars="62"/>
        <w:rPr>
          <w:rFonts w:ascii="宋体" w:hAnsi="宋体" w:cs="宋体"/>
          <w:color w:val="auto"/>
          <w:szCs w:val="21"/>
          <w:highlight w:val="none"/>
        </w:rPr>
      </w:pPr>
      <w:r>
        <w:rPr>
          <w:rFonts w:hint="eastAsia" w:ascii="宋体" w:hAnsi="宋体" w:cs="宋体"/>
          <w:color w:val="auto"/>
          <w:szCs w:val="21"/>
          <w:highlight w:val="none"/>
        </w:rPr>
        <w:t>投标人名称（盖章）：</w:t>
      </w:r>
    </w:p>
    <w:p>
      <w:pPr>
        <w:snapToGrid w:val="0"/>
        <w:spacing w:before="50" w:after="50" w:line="600" w:lineRule="auto"/>
        <w:ind w:left="130" w:hanging="130" w:hangingChars="62"/>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pPr>
        <w:snapToGrid w:val="0"/>
        <w:spacing w:before="120" w:beforeLines="50" w:after="50" w:line="360" w:lineRule="auto"/>
        <w:rPr>
          <w:rFonts w:ascii="宋体" w:hAnsi="宋体"/>
          <w:color w:val="auto"/>
          <w:szCs w:val="21"/>
          <w:highlight w:val="none"/>
        </w:rPr>
      </w:pPr>
      <w:r>
        <w:rPr>
          <w:rFonts w:hint="eastAsia" w:ascii="宋体" w:hAnsi="宋体" w:cs="宋体"/>
          <w:color w:val="auto"/>
          <w:szCs w:val="21"/>
          <w:highlight w:val="none"/>
        </w:rPr>
        <w:t>日期：    年   月   日</w:t>
      </w:r>
    </w:p>
    <w:sectPr>
      <w:pgSz w:w="11906" w:h="16838"/>
      <w:pgMar w:top="1985" w:right="1134" w:bottom="1588" w:left="1134"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华文仿宋">
    <w:altName w:val="仿宋"/>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8CC1098"/>
    <w:multiLevelType w:val="singleLevel"/>
    <w:tmpl w:val="48CC1098"/>
    <w:lvl w:ilvl="0" w:tentative="0">
      <w:start w:val="3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MTc0ZDNiMGRjODAyMjA4NDMwYzQ5ZjRlMjZiNTgifQ=="/>
  </w:docVars>
  <w:rsids>
    <w:rsidRoot w:val="003930AE"/>
    <w:rsid w:val="00000CF7"/>
    <w:rsid w:val="000011AC"/>
    <w:rsid w:val="000015DD"/>
    <w:rsid w:val="00001B42"/>
    <w:rsid w:val="00002CE4"/>
    <w:rsid w:val="00002E68"/>
    <w:rsid w:val="00003243"/>
    <w:rsid w:val="00003ABD"/>
    <w:rsid w:val="0000443B"/>
    <w:rsid w:val="00004ED0"/>
    <w:rsid w:val="000050CB"/>
    <w:rsid w:val="0000621B"/>
    <w:rsid w:val="00006B2A"/>
    <w:rsid w:val="00007116"/>
    <w:rsid w:val="00007ADA"/>
    <w:rsid w:val="00010AEC"/>
    <w:rsid w:val="0001137B"/>
    <w:rsid w:val="00012D5A"/>
    <w:rsid w:val="00013485"/>
    <w:rsid w:val="00013A36"/>
    <w:rsid w:val="000141CE"/>
    <w:rsid w:val="00014A7B"/>
    <w:rsid w:val="00014D6E"/>
    <w:rsid w:val="0001512A"/>
    <w:rsid w:val="0001694D"/>
    <w:rsid w:val="000169F3"/>
    <w:rsid w:val="00017722"/>
    <w:rsid w:val="00017C5F"/>
    <w:rsid w:val="000201D6"/>
    <w:rsid w:val="00020D4C"/>
    <w:rsid w:val="00020F87"/>
    <w:rsid w:val="00020FDE"/>
    <w:rsid w:val="0002193D"/>
    <w:rsid w:val="000236A8"/>
    <w:rsid w:val="00023AA2"/>
    <w:rsid w:val="00025A0F"/>
    <w:rsid w:val="00025FF8"/>
    <w:rsid w:val="0002619A"/>
    <w:rsid w:val="0002755E"/>
    <w:rsid w:val="00027FB2"/>
    <w:rsid w:val="000300D0"/>
    <w:rsid w:val="000309E8"/>
    <w:rsid w:val="00031FC8"/>
    <w:rsid w:val="00032429"/>
    <w:rsid w:val="00032898"/>
    <w:rsid w:val="00033965"/>
    <w:rsid w:val="00033D04"/>
    <w:rsid w:val="00034E29"/>
    <w:rsid w:val="00035801"/>
    <w:rsid w:val="000358DF"/>
    <w:rsid w:val="00037C67"/>
    <w:rsid w:val="00037DE7"/>
    <w:rsid w:val="0004137C"/>
    <w:rsid w:val="00042CDE"/>
    <w:rsid w:val="00044C4D"/>
    <w:rsid w:val="00044CBE"/>
    <w:rsid w:val="0004511A"/>
    <w:rsid w:val="00045815"/>
    <w:rsid w:val="00046942"/>
    <w:rsid w:val="00046CED"/>
    <w:rsid w:val="00047337"/>
    <w:rsid w:val="000507CC"/>
    <w:rsid w:val="0005082A"/>
    <w:rsid w:val="00050F58"/>
    <w:rsid w:val="000512CE"/>
    <w:rsid w:val="0005150B"/>
    <w:rsid w:val="00052148"/>
    <w:rsid w:val="0005268A"/>
    <w:rsid w:val="00052AF0"/>
    <w:rsid w:val="000533EE"/>
    <w:rsid w:val="000536AA"/>
    <w:rsid w:val="00053A6E"/>
    <w:rsid w:val="00053BB2"/>
    <w:rsid w:val="000542C7"/>
    <w:rsid w:val="00054492"/>
    <w:rsid w:val="00054D06"/>
    <w:rsid w:val="00055922"/>
    <w:rsid w:val="0005609E"/>
    <w:rsid w:val="00056618"/>
    <w:rsid w:val="0005661F"/>
    <w:rsid w:val="00056675"/>
    <w:rsid w:val="00056E71"/>
    <w:rsid w:val="000602DD"/>
    <w:rsid w:val="00060487"/>
    <w:rsid w:val="000616A5"/>
    <w:rsid w:val="00061723"/>
    <w:rsid w:val="00061FE5"/>
    <w:rsid w:val="00062060"/>
    <w:rsid w:val="000623F2"/>
    <w:rsid w:val="00065901"/>
    <w:rsid w:val="000663E2"/>
    <w:rsid w:val="00066582"/>
    <w:rsid w:val="00066726"/>
    <w:rsid w:val="000671BB"/>
    <w:rsid w:val="00067884"/>
    <w:rsid w:val="000701C9"/>
    <w:rsid w:val="000703D4"/>
    <w:rsid w:val="000704C5"/>
    <w:rsid w:val="00070BD2"/>
    <w:rsid w:val="00070C3C"/>
    <w:rsid w:val="00070CB1"/>
    <w:rsid w:val="000711B5"/>
    <w:rsid w:val="000717E6"/>
    <w:rsid w:val="0007190E"/>
    <w:rsid w:val="00071BC6"/>
    <w:rsid w:val="00071DAB"/>
    <w:rsid w:val="00071EF3"/>
    <w:rsid w:val="00072F6C"/>
    <w:rsid w:val="00073680"/>
    <w:rsid w:val="00073A94"/>
    <w:rsid w:val="00073CB1"/>
    <w:rsid w:val="0007420D"/>
    <w:rsid w:val="0007440F"/>
    <w:rsid w:val="00074A4E"/>
    <w:rsid w:val="00075A9F"/>
    <w:rsid w:val="00076ABB"/>
    <w:rsid w:val="00076B8F"/>
    <w:rsid w:val="00077163"/>
    <w:rsid w:val="00077AFB"/>
    <w:rsid w:val="0008030E"/>
    <w:rsid w:val="000810DC"/>
    <w:rsid w:val="000812BF"/>
    <w:rsid w:val="000822E4"/>
    <w:rsid w:val="00083225"/>
    <w:rsid w:val="00083C48"/>
    <w:rsid w:val="00084124"/>
    <w:rsid w:val="00084161"/>
    <w:rsid w:val="000845A7"/>
    <w:rsid w:val="00085D1F"/>
    <w:rsid w:val="00085D40"/>
    <w:rsid w:val="000866AF"/>
    <w:rsid w:val="00087190"/>
    <w:rsid w:val="000874DE"/>
    <w:rsid w:val="00087CA7"/>
    <w:rsid w:val="00087EB6"/>
    <w:rsid w:val="0009006D"/>
    <w:rsid w:val="00090538"/>
    <w:rsid w:val="000906AC"/>
    <w:rsid w:val="000909E5"/>
    <w:rsid w:val="000912B9"/>
    <w:rsid w:val="000915DF"/>
    <w:rsid w:val="000917E3"/>
    <w:rsid w:val="00092394"/>
    <w:rsid w:val="00093051"/>
    <w:rsid w:val="0009324E"/>
    <w:rsid w:val="00093B7C"/>
    <w:rsid w:val="00093E91"/>
    <w:rsid w:val="000947E8"/>
    <w:rsid w:val="00095288"/>
    <w:rsid w:val="0009539A"/>
    <w:rsid w:val="0009551F"/>
    <w:rsid w:val="00095B90"/>
    <w:rsid w:val="000962EE"/>
    <w:rsid w:val="00096688"/>
    <w:rsid w:val="00096E1F"/>
    <w:rsid w:val="0009719F"/>
    <w:rsid w:val="000972F1"/>
    <w:rsid w:val="000975CC"/>
    <w:rsid w:val="00097B8E"/>
    <w:rsid w:val="000A0A0F"/>
    <w:rsid w:val="000A0F26"/>
    <w:rsid w:val="000A1E80"/>
    <w:rsid w:val="000A2A42"/>
    <w:rsid w:val="000A2DB9"/>
    <w:rsid w:val="000A312C"/>
    <w:rsid w:val="000A3556"/>
    <w:rsid w:val="000A360D"/>
    <w:rsid w:val="000A4392"/>
    <w:rsid w:val="000A4F38"/>
    <w:rsid w:val="000A5676"/>
    <w:rsid w:val="000A6156"/>
    <w:rsid w:val="000A6EE1"/>
    <w:rsid w:val="000A73DA"/>
    <w:rsid w:val="000A7934"/>
    <w:rsid w:val="000A7B97"/>
    <w:rsid w:val="000B02C4"/>
    <w:rsid w:val="000B0FF0"/>
    <w:rsid w:val="000B1665"/>
    <w:rsid w:val="000B1F01"/>
    <w:rsid w:val="000B240B"/>
    <w:rsid w:val="000B2B0A"/>
    <w:rsid w:val="000B2F9D"/>
    <w:rsid w:val="000B3B6F"/>
    <w:rsid w:val="000B3CFB"/>
    <w:rsid w:val="000B658F"/>
    <w:rsid w:val="000B7B00"/>
    <w:rsid w:val="000C116C"/>
    <w:rsid w:val="000C194F"/>
    <w:rsid w:val="000C19E9"/>
    <w:rsid w:val="000C1FE2"/>
    <w:rsid w:val="000C251A"/>
    <w:rsid w:val="000C44BD"/>
    <w:rsid w:val="000C46C9"/>
    <w:rsid w:val="000C4A5D"/>
    <w:rsid w:val="000C4B4C"/>
    <w:rsid w:val="000C50E8"/>
    <w:rsid w:val="000C528B"/>
    <w:rsid w:val="000C5AC7"/>
    <w:rsid w:val="000C69C7"/>
    <w:rsid w:val="000C713D"/>
    <w:rsid w:val="000C7208"/>
    <w:rsid w:val="000C7FC0"/>
    <w:rsid w:val="000D01B5"/>
    <w:rsid w:val="000D0296"/>
    <w:rsid w:val="000D1C40"/>
    <w:rsid w:val="000D22BE"/>
    <w:rsid w:val="000D2B4D"/>
    <w:rsid w:val="000D3071"/>
    <w:rsid w:val="000D4923"/>
    <w:rsid w:val="000D52A9"/>
    <w:rsid w:val="000D5A31"/>
    <w:rsid w:val="000D5AB8"/>
    <w:rsid w:val="000D5F7D"/>
    <w:rsid w:val="000D60B1"/>
    <w:rsid w:val="000D6B8A"/>
    <w:rsid w:val="000D6C37"/>
    <w:rsid w:val="000D7147"/>
    <w:rsid w:val="000E0213"/>
    <w:rsid w:val="000E065E"/>
    <w:rsid w:val="000E0957"/>
    <w:rsid w:val="000E0A9F"/>
    <w:rsid w:val="000E0EA7"/>
    <w:rsid w:val="000E1115"/>
    <w:rsid w:val="000E1149"/>
    <w:rsid w:val="000E3308"/>
    <w:rsid w:val="000E338C"/>
    <w:rsid w:val="000E3621"/>
    <w:rsid w:val="000E4436"/>
    <w:rsid w:val="000E4ACF"/>
    <w:rsid w:val="000E575F"/>
    <w:rsid w:val="000E69FA"/>
    <w:rsid w:val="000E7120"/>
    <w:rsid w:val="000E7A02"/>
    <w:rsid w:val="000E7CC2"/>
    <w:rsid w:val="000E7FD3"/>
    <w:rsid w:val="000F07C8"/>
    <w:rsid w:val="000F120C"/>
    <w:rsid w:val="000F14BB"/>
    <w:rsid w:val="000F19F7"/>
    <w:rsid w:val="000F2095"/>
    <w:rsid w:val="000F234B"/>
    <w:rsid w:val="000F31AE"/>
    <w:rsid w:val="000F334F"/>
    <w:rsid w:val="000F360B"/>
    <w:rsid w:val="000F478B"/>
    <w:rsid w:val="000F4882"/>
    <w:rsid w:val="000F4D15"/>
    <w:rsid w:val="000F5795"/>
    <w:rsid w:val="000F60FF"/>
    <w:rsid w:val="000F63FB"/>
    <w:rsid w:val="000F6884"/>
    <w:rsid w:val="000F68E9"/>
    <w:rsid w:val="000F70D4"/>
    <w:rsid w:val="000F7421"/>
    <w:rsid w:val="000F7819"/>
    <w:rsid w:val="000F7B50"/>
    <w:rsid w:val="000F7FEF"/>
    <w:rsid w:val="001003EA"/>
    <w:rsid w:val="0010112C"/>
    <w:rsid w:val="00101851"/>
    <w:rsid w:val="00102656"/>
    <w:rsid w:val="0010314A"/>
    <w:rsid w:val="0010445F"/>
    <w:rsid w:val="00104A2D"/>
    <w:rsid w:val="00104ADF"/>
    <w:rsid w:val="0010636A"/>
    <w:rsid w:val="00106BA3"/>
    <w:rsid w:val="001078E7"/>
    <w:rsid w:val="00107EDC"/>
    <w:rsid w:val="00110ABD"/>
    <w:rsid w:val="00110CD9"/>
    <w:rsid w:val="00112F85"/>
    <w:rsid w:val="00113158"/>
    <w:rsid w:val="001138E7"/>
    <w:rsid w:val="00114122"/>
    <w:rsid w:val="00114732"/>
    <w:rsid w:val="00114EC9"/>
    <w:rsid w:val="00114F21"/>
    <w:rsid w:val="00115289"/>
    <w:rsid w:val="001153DA"/>
    <w:rsid w:val="001153F2"/>
    <w:rsid w:val="001158C3"/>
    <w:rsid w:val="00115D82"/>
    <w:rsid w:val="00116411"/>
    <w:rsid w:val="00116997"/>
    <w:rsid w:val="00116E38"/>
    <w:rsid w:val="00117054"/>
    <w:rsid w:val="00117768"/>
    <w:rsid w:val="00117D19"/>
    <w:rsid w:val="00117E3B"/>
    <w:rsid w:val="00120701"/>
    <w:rsid w:val="00121627"/>
    <w:rsid w:val="00121726"/>
    <w:rsid w:val="0012190C"/>
    <w:rsid w:val="001223B3"/>
    <w:rsid w:val="00122A99"/>
    <w:rsid w:val="00122ABA"/>
    <w:rsid w:val="00124328"/>
    <w:rsid w:val="001243A9"/>
    <w:rsid w:val="0012484F"/>
    <w:rsid w:val="00124BCF"/>
    <w:rsid w:val="00124EE0"/>
    <w:rsid w:val="0012588B"/>
    <w:rsid w:val="00125E29"/>
    <w:rsid w:val="001265FC"/>
    <w:rsid w:val="0012724B"/>
    <w:rsid w:val="00127E30"/>
    <w:rsid w:val="00131B36"/>
    <w:rsid w:val="00131C75"/>
    <w:rsid w:val="00132169"/>
    <w:rsid w:val="001324AE"/>
    <w:rsid w:val="00132949"/>
    <w:rsid w:val="001338AC"/>
    <w:rsid w:val="00134156"/>
    <w:rsid w:val="0013560D"/>
    <w:rsid w:val="00135D5C"/>
    <w:rsid w:val="00136D6A"/>
    <w:rsid w:val="001372E5"/>
    <w:rsid w:val="001373F9"/>
    <w:rsid w:val="001401E2"/>
    <w:rsid w:val="001419B4"/>
    <w:rsid w:val="00141CB9"/>
    <w:rsid w:val="00142A84"/>
    <w:rsid w:val="001433AE"/>
    <w:rsid w:val="001433B0"/>
    <w:rsid w:val="00143572"/>
    <w:rsid w:val="00144337"/>
    <w:rsid w:val="00144978"/>
    <w:rsid w:val="00147366"/>
    <w:rsid w:val="00147AE4"/>
    <w:rsid w:val="00150EB0"/>
    <w:rsid w:val="00152DD8"/>
    <w:rsid w:val="0015332B"/>
    <w:rsid w:val="001548CF"/>
    <w:rsid w:val="0015517A"/>
    <w:rsid w:val="00155953"/>
    <w:rsid w:val="001568E6"/>
    <w:rsid w:val="00156BB1"/>
    <w:rsid w:val="00156CC3"/>
    <w:rsid w:val="00157198"/>
    <w:rsid w:val="0015769E"/>
    <w:rsid w:val="001576C3"/>
    <w:rsid w:val="001579AB"/>
    <w:rsid w:val="00161FE0"/>
    <w:rsid w:val="001624C9"/>
    <w:rsid w:val="00162751"/>
    <w:rsid w:val="00162D79"/>
    <w:rsid w:val="00162EBB"/>
    <w:rsid w:val="00163153"/>
    <w:rsid w:val="001632B4"/>
    <w:rsid w:val="00163896"/>
    <w:rsid w:val="00164B1F"/>
    <w:rsid w:val="00164BC2"/>
    <w:rsid w:val="001652DE"/>
    <w:rsid w:val="001661B8"/>
    <w:rsid w:val="00166623"/>
    <w:rsid w:val="00166691"/>
    <w:rsid w:val="00166E58"/>
    <w:rsid w:val="001673C9"/>
    <w:rsid w:val="0017052D"/>
    <w:rsid w:val="0017058F"/>
    <w:rsid w:val="00171CDC"/>
    <w:rsid w:val="00174B67"/>
    <w:rsid w:val="00174FE5"/>
    <w:rsid w:val="001755BF"/>
    <w:rsid w:val="00175900"/>
    <w:rsid w:val="00175B8A"/>
    <w:rsid w:val="00175E39"/>
    <w:rsid w:val="001762B5"/>
    <w:rsid w:val="0017797D"/>
    <w:rsid w:val="00182511"/>
    <w:rsid w:val="00183148"/>
    <w:rsid w:val="00183835"/>
    <w:rsid w:val="0018471D"/>
    <w:rsid w:val="00184F5C"/>
    <w:rsid w:val="0018557A"/>
    <w:rsid w:val="00185748"/>
    <w:rsid w:val="00187E6F"/>
    <w:rsid w:val="00190A68"/>
    <w:rsid w:val="001921B0"/>
    <w:rsid w:val="0019263D"/>
    <w:rsid w:val="00192AF4"/>
    <w:rsid w:val="001944A2"/>
    <w:rsid w:val="001945D1"/>
    <w:rsid w:val="00194616"/>
    <w:rsid w:val="00195484"/>
    <w:rsid w:val="00195789"/>
    <w:rsid w:val="00195F55"/>
    <w:rsid w:val="001A0610"/>
    <w:rsid w:val="001A0CF8"/>
    <w:rsid w:val="001A201B"/>
    <w:rsid w:val="001A2C8C"/>
    <w:rsid w:val="001A2E4B"/>
    <w:rsid w:val="001A312C"/>
    <w:rsid w:val="001A3F88"/>
    <w:rsid w:val="001A5668"/>
    <w:rsid w:val="001A6614"/>
    <w:rsid w:val="001A6B65"/>
    <w:rsid w:val="001A7090"/>
    <w:rsid w:val="001A7726"/>
    <w:rsid w:val="001A7800"/>
    <w:rsid w:val="001B0AC6"/>
    <w:rsid w:val="001B0AFD"/>
    <w:rsid w:val="001B2C77"/>
    <w:rsid w:val="001B3800"/>
    <w:rsid w:val="001B3A44"/>
    <w:rsid w:val="001B41C0"/>
    <w:rsid w:val="001B42D7"/>
    <w:rsid w:val="001B48D7"/>
    <w:rsid w:val="001B4D7B"/>
    <w:rsid w:val="001B5AC3"/>
    <w:rsid w:val="001B6102"/>
    <w:rsid w:val="001B7B00"/>
    <w:rsid w:val="001C07B7"/>
    <w:rsid w:val="001C08E4"/>
    <w:rsid w:val="001C1191"/>
    <w:rsid w:val="001C128F"/>
    <w:rsid w:val="001C1FF2"/>
    <w:rsid w:val="001C2324"/>
    <w:rsid w:val="001C32E9"/>
    <w:rsid w:val="001C484C"/>
    <w:rsid w:val="001C5956"/>
    <w:rsid w:val="001C5AF1"/>
    <w:rsid w:val="001C7749"/>
    <w:rsid w:val="001C7C1B"/>
    <w:rsid w:val="001C7ED5"/>
    <w:rsid w:val="001D009D"/>
    <w:rsid w:val="001D0EBA"/>
    <w:rsid w:val="001D10AE"/>
    <w:rsid w:val="001D1847"/>
    <w:rsid w:val="001D2843"/>
    <w:rsid w:val="001D30FC"/>
    <w:rsid w:val="001D31EF"/>
    <w:rsid w:val="001D3644"/>
    <w:rsid w:val="001D4D2F"/>
    <w:rsid w:val="001D4E21"/>
    <w:rsid w:val="001D5130"/>
    <w:rsid w:val="001D71CE"/>
    <w:rsid w:val="001D7938"/>
    <w:rsid w:val="001D7FA3"/>
    <w:rsid w:val="001E0766"/>
    <w:rsid w:val="001E07EE"/>
    <w:rsid w:val="001E0B50"/>
    <w:rsid w:val="001E10B5"/>
    <w:rsid w:val="001E131B"/>
    <w:rsid w:val="001E17F4"/>
    <w:rsid w:val="001E24D9"/>
    <w:rsid w:val="001E27FD"/>
    <w:rsid w:val="001E2D97"/>
    <w:rsid w:val="001E3048"/>
    <w:rsid w:val="001E412D"/>
    <w:rsid w:val="001E4D10"/>
    <w:rsid w:val="001E55EC"/>
    <w:rsid w:val="001E5604"/>
    <w:rsid w:val="001E5FFA"/>
    <w:rsid w:val="001E6262"/>
    <w:rsid w:val="001E6D28"/>
    <w:rsid w:val="001E7E6F"/>
    <w:rsid w:val="001F07FD"/>
    <w:rsid w:val="001F11C5"/>
    <w:rsid w:val="001F1397"/>
    <w:rsid w:val="001F191D"/>
    <w:rsid w:val="001F2BD0"/>
    <w:rsid w:val="001F3EEC"/>
    <w:rsid w:val="001F4CDB"/>
    <w:rsid w:val="001F608C"/>
    <w:rsid w:val="001F657C"/>
    <w:rsid w:val="001F7DEF"/>
    <w:rsid w:val="00200789"/>
    <w:rsid w:val="00200802"/>
    <w:rsid w:val="00200943"/>
    <w:rsid w:val="00200F22"/>
    <w:rsid w:val="002010E4"/>
    <w:rsid w:val="002027F6"/>
    <w:rsid w:val="00202E9B"/>
    <w:rsid w:val="002033E3"/>
    <w:rsid w:val="002037CE"/>
    <w:rsid w:val="00203AF2"/>
    <w:rsid w:val="00203C07"/>
    <w:rsid w:val="00204285"/>
    <w:rsid w:val="002042D1"/>
    <w:rsid w:val="00204756"/>
    <w:rsid w:val="00204DFD"/>
    <w:rsid w:val="00205207"/>
    <w:rsid w:val="0020549E"/>
    <w:rsid w:val="002055A5"/>
    <w:rsid w:val="00206AFA"/>
    <w:rsid w:val="00206EF1"/>
    <w:rsid w:val="00207D2B"/>
    <w:rsid w:val="00207E01"/>
    <w:rsid w:val="002101AB"/>
    <w:rsid w:val="002108FC"/>
    <w:rsid w:val="00210AD2"/>
    <w:rsid w:val="00210D5C"/>
    <w:rsid w:val="002111D0"/>
    <w:rsid w:val="00212E87"/>
    <w:rsid w:val="002139AC"/>
    <w:rsid w:val="0021513B"/>
    <w:rsid w:val="002213F4"/>
    <w:rsid w:val="00221509"/>
    <w:rsid w:val="00222412"/>
    <w:rsid w:val="0022248F"/>
    <w:rsid w:val="0022275E"/>
    <w:rsid w:val="00222C27"/>
    <w:rsid w:val="00223B0B"/>
    <w:rsid w:val="00223D8D"/>
    <w:rsid w:val="00224CF5"/>
    <w:rsid w:val="00224D52"/>
    <w:rsid w:val="00224E1C"/>
    <w:rsid w:val="002257F5"/>
    <w:rsid w:val="00225AF4"/>
    <w:rsid w:val="0022604B"/>
    <w:rsid w:val="00226181"/>
    <w:rsid w:val="0022669C"/>
    <w:rsid w:val="00227300"/>
    <w:rsid w:val="00227418"/>
    <w:rsid w:val="00227FCB"/>
    <w:rsid w:val="002301AF"/>
    <w:rsid w:val="00232998"/>
    <w:rsid w:val="002339E0"/>
    <w:rsid w:val="00233BAB"/>
    <w:rsid w:val="00233C23"/>
    <w:rsid w:val="0023494A"/>
    <w:rsid w:val="002351E2"/>
    <w:rsid w:val="002351E5"/>
    <w:rsid w:val="00235EC5"/>
    <w:rsid w:val="0023745D"/>
    <w:rsid w:val="00237AFE"/>
    <w:rsid w:val="00237CE3"/>
    <w:rsid w:val="00237E2D"/>
    <w:rsid w:val="00241A91"/>
    <w:rsid w:val="00242BFB"/>
    <w:rsid w:val="00243183"/>
    <w:rsid w:val="002438E1"/>
    <w:rsid w:val="00243A80"/>
    <w:rsid w:val="00243D37"/>
    <w:rsid w:val="002440FD"/>
    <w:rsid w:val="0024459C"/>
    <w:rsid w:val="00244906"/>
    <w:rsid w:val="00245611"/>
    <w:rsid w:val="00245B98"/>
    <w:rsid w:val="00245BDF"/>
    <w:rsid w:val="00250ABA"/>
    <w:rsid w:val="00250D67"/>
    <w:rsid w:val="00251627"/>
    <w:rsid w:val="00251FA8"/>
    <w:rsid w:val="002520B6"/>
    <w:rsid w:val="00253900"/>
    <w:rsid w:val="00253AC9"/>
    <w:rsid w:val="00253E02"/>
    <w:rsid w:val="00253EE4"/>
    <w:rsid w:val="0025428D"/>
    <w:rsid w:val="0025431B"/>
    <w:rsid w:val="00254DFE"/>
    <w:rsid w:val="00254E13"/>
    <w:rsid w:val="002552A7"/>
    <w:rsid w:val="0025770B"/>
    <w:rsid w:val="002605AD"/>
    <w:rsid w:val="00261354"/>
    <w:rsid w:val="002617F5"/>
    <w:rsid w:val="00261803"/>
    <w:rsid w:val="00261950"/>
    <w:rsid w:val="00262051"/>
    <w:rsid w:val="00262FAE"/>
    <w:rsid w:val="00263078"/>
    <w:rsid w:val="0026463A"/>
    <w:rsid w:val="00264DD3"/>
    <w:rsid w:val="00265B2B"/>
    <w:rsid w:val="002661EC"/>
    <w:rsid w:val="002665A3"/>
    <w:rsid w:val="00266AF8"/>
    <w:rsid w:val="00266D87"/>
    <w:rsid w:val="00267150"/>
    <w:rsid w:val="0026735B"/>
    <w:rsid w:val="00267D18"/>
    <w:rsid w:val="00270DB0"/>
    <w:rsid w:val="0027103E"/>
    <w:rsid w:val="00271E52"/>
    <w:rsid w:val="0027678D"/>
    <w:rsid w:val="00276D89"/>
    <w:rsid w:val="002773B6"/>
    <w:rsid w:val="002800E1"/>
    <w:rsid w:val="002801E5"/>
    <w:rsid w:val="0028123D"/>
    <w:rsid w:val="00281A41"/>
    <w:rsid w:val="0028231A"/>
    <w:rsid w:val="00283AF0"/>
    <w:rsid w:val="00283EEF"/>
    <w:rsid w:val="00284224"/>
    <w:rsid w:val="002861BD"/>
    <w:rsid w:val="00286477"/>
    <w:rsid w:val="002869CD"/>
    <w:rsid w:val="0028798F"/>
    <w:rsid w:val="002903D3"/>
    <w:rsid w:val="00291D2F"/>
    <w:rsid w:val="00292BB0"/>
    <w:rsid w:val="002947AA"/>
    <w:rsid w:val="00294B03"/>
    <w:rsid w:val="00294D39"/>
    <w:rsid w:val="00295CA6"/>
    <w:rsid w:val="002962D9"/>
    <w:rsid w:val="002964DB"/>
    <w:rsid w:val="0029682B"/>
    <w:rsid w:val="00297D0A"/>
    <w:rsid w:val="002A0310"/>
    <w:rsid w:val="002A07C1"/>
    <w:rsid w:val="002A0C56"/>
    <w:rsid w:val="002A14DF"/>
    <w:rsid w:val="002A1719"/>
    <w:rsid w:val="002A237D"/>
    <w:rsid w:val="002A2A5B"/>
    <w:rsid w:val="002A3564"/>
    <w:rsid w:val="002A3586"/>
    <w:rsid w:val="002A5341"/>
    <w:rsid w:val="002A5973"/>
    <w:rsid w:val="002A5C69"/>
    <w:rsid w:val="002A6349"/>
    <w:rsid w:val="002A7ED7"/>
    <w:rsid w:val="002B01CD"/>
    <w:rsid w:val="002B0282"/>
    <w:rsid w:val="002B039F"/>
    <w:rsid w:val="002B090F"/>
    <w:rsid w:val="002B1935"/>
    <w:rsid w:val="002B2025"/>
    <w:rsid w:val="002B2182"/>
    <w:rsid w:val="002B2683"/>
    <w:rsid w:val="002B2A24"/>
    <w:rsid w:val="002B2AE1"/>
    <w:rsid w:val="002B2F4F"/>
    <w:rsid w:val="002B3BE2"/>
    <w:rsid w:val="002B41B6"/>
    <w:rsid w:val="002B4997"/>
    <w:rsid w:val="002B4BC7"/>
    <w:rsid w:val="002B60A9"/>
    <w:rsid w:val="002B7C07"/>
    <w:rsid w:val="002B7E73"/>
    <w:rsid w:val="002C0168"/>
    <w:rsid w:val="002C0215"/>
    <w:rsid w:val="002C0459"/>
    <w:rsid w:val="002C0BBC"/>
    <w:rsid w:val="002C0D08"/>
    <w:rsid w:val="002C1519"/>
    <w:rsid w:val="002C1792"/>
    <w:rsid w:val="002C2AF3"/>
    <w:rsid w:val="002C2E93"/>
    <w:rsid w:val="002C2FF8"/>
    <w:rsid w:val="002C3AC5"/>
    <w:rsid w:val="002C4A79"/>
    <w:rsid w:val="002C758F"/>
    <w:rsid w:val="002C778A"/>
    <w:rsid w:val="002D0041"/>
    <w:rsid w:val="002D06D6"/>
    <w:rsid w:val="002D1633"/>
    <w:rsid w:val="002D201C"/>
    <w:rsid w:val="002D2937"/>
    <w:rsid w:val="002D2A5B"/>
    <w:rsid w:val="002D2E76"/>
    <w:rsid w:val="002D3664"/>
    <w:rsid w:val="002D5417"/>
    <w:rsid w:val="002D66CB"/>
    <w:rsid w:val="002D6A74"/>
    <w:rsid w:val="002D6B2A"/>
    <w:rsid w:val="002D6C23"/>
    <w:rsid w:val="002D6E26"/>
    <w:rsid w:val="002D7486"/>
    <w:rsid w:val="002D75CD"/>
    <w:rsid w:val="002E00DF"/>
    <w:rsid w:val="002E091E"/>
    <w:rsid w:val="002E0C2B"/>
    <w:rsid w:val="002E1F02"/>
    <w:rsid w:val="002E221E"/>
    <w:rsid w:val="002E392F"/>
    <w:rsid w:val="002E3C00"/>
    <w:rsid w:val="002E459A"/>
    <w:rsid w:val="002E4653"/>
    <w:rsid w:val="002E4698"/>
    <w:rsid w:val="002E4C22"/>
    <w:rsid w:val="002F0429"/>
    <w:rsid w:val="002F0431"/>
    <w:rsid w:val="002F170B"/>
    <w:rsid w:val="002F1B41"/>
    <w:rsid w:val="002F1CD4"/>
    <w:rsid w:val="002F3901"/>
    <w:rsid w:val="002F3A18"/>
    <w:rsid w:val="002F3C4B"/>
    <w:rsid w:val="002F462A"/>
    <w:rsid w:val="002F5FAD"/>
    <w:rsid w:val="002F6358"/>
    <w:rsid w:val="002F736D"/>
    <w:rsid w:val="002F7F44"/>
    <w:rsid w:val="0030029E"/>
    <w:rsid w:val="003005FB"/>
    <w:rsid w:val="00300A00"/>
    <w:rsid w:val="00300F0E"/>
    <w:rsid w:val="003011F5"/>
    <w:rsid w:val="003013A2"/>
    <w:rsid w:val="0030178C"/>
    <w:rsid w:val="00302440"/>
    <w:rsid w:val="003028E2"/>
    <w:rsid w:val="003029B2"/>
    <w:rsid w:val="00302A4B"/>
    <w:rsid w:val="00302F84"/>
    <w:rsid w:val="00303D97"/>
    <w:rsid w:val="00304ECE"/>
    <w:rsid w:val="003054EB"/>
    <w:rsid w:val="00306C13"/>
    <w:rsid w:val="00306DEC"/>
    <w:rsid w:val="00306F99"/>
    <w:rsid w:val="00307363"/>
    <w:rsid w:val="00307691"/>
    <w:rsid w:val="00307C1C"/>
    <w:rsid w:val="00311D0C"/>
    <w:rsid w:val="00312307"/>
    <w:rsid w:val="003128F0"/>
    <w:rsid w:val="003134F6"/>
    <w:rsid w:val="003136E0"/>
    <w:rsid w:val="00313804"/>
    <w:rsid w:val="00313E12"/>
    <w:rsid w:val="003140A6"/>
    <w:rsid w:val="00314CCA"/>
    <w:rsid w:val="0031572C"/>
    <w:rsid w:val="00315CA7"/>
    <w:rsid w:val="003173CF"/>
    <w:rsid w:val="00317915"/>
    <w:rsid w:val="00320545"/>
    <w:rsid w:val="003214EF"/>
    <w:rsid w:val="00322576"/>
    <w:rsid w:val="00322CAC"/>
    <w:rsid w:val="0032313C"/>
    <w:rsid w:val="003233DA"/>
    <w:rsid w:val="0032341F"/>
    <w:rsid w:val="00323732"/>
    <w:rsid w:val="00323CF5"/>
    <w:rsid w:val="00324B07"/>
    <w:rsid w:val="00326B7C"/>
    <w:rsid w:val="00327626"/>
    <w:rsid w:val="00331530"/>
    <w:rsid w:val="0033156D"/>
    <w:rsid w:val="003315DB"/>
    <w:rsid w:val="0033161A"/>
    <w:rsid w:val="0033163C"/>
    <w:rsid w:val="00332215"/>
    <w:rsid w:val="0033244E"/>
    <w:rsid w:val="00332580"/>
    <w:rsid w:val="00332BE4"/>
    <w:rsid w:val="003334F2"/>
    <w:rsid w:val="00334436"/>
    <w:rsid w:val="00334E0B"/>
    <w:rsid w:val="00336CD3"/>
    <w:rsid w:val="003378A0"/>
    <w:rsid w:val="003378BC"/>
    <w:rsid w:val="00337E1B"/>
    <w:rsid w:val="00337E29"/>
    <w:rsid w:val="00341BCA"/>
    <w:rsid w:val="0034274E"/>
    <w:rsid w:val="00342F98"/>
    <w:rsid w:val="0034373D"/>
    <w:rsid w:val="00343C4F"/>
    <w:rsid w:val="003442E5"/>
    <w:rsid w:val="003447C8"/>
    <w:rsid w:val="00344842"/>
    <w:rsid w:val="00345439"/>
    <w:rsid w:val="00345F6F"/>
    <w:rsid w:val="00346474"/>
    <w:rsid w:val="0034675C"/>
    <w:rsid w:val="0034703D"/>
    <w:rsid w:val="0034745E"/>
    <w:rsid w:val="00350141"/>
    <w:rsid w:val="00354632"/>
    <w:rsid w:val="00355E5E"/>
    <w:rsid w:val="00356287"/>
    <w:rsid w:val="0035692C"/>
    <w:rsid w:val="00356AAC"/>
    <w:rsid w:val="00356DA7"/>
    <w:rsid w:val="0035739E"/>
    <w:rsid w:val="00357B87"/>
    <w:rsid w:val="00357F0A"/>
    <w:rsid w:val="00360E5F"/>
    <w:rsid w:val="0036104A"/>
    <w:rsid w:val="00361B23"/>
    <w:rsid w:val="00363BB0"/>
    <w:rsid w:val="00364059"/>
    <w:rsid w:val="00364107"/>
    <w:rsid w:val="00364A59"/>
    <w:rsid w:val="0036508B"/>
    <w:rsid w:val="00365103"/>
    <w:rsid w:val="003656DE"/>
    <w:rsid w:val="00365C50"/>
    <w:rsid w:val="00365D46"/>
    <w:rsid w:val="00366D04"/>
    <w:rsid w:val="00366F69"/>
    <w:rsid w:val="00367249"/>
    <w:rsid w:val="00370386"/>
    <w:rsid w:val="00371EB0"/>
    <w:rsid w:val="003727BA"/>
    <w:rsid w:val="00372B6B"/>
    <w:rsid w:val="00372C1E"/>
    <w:rsid w:val="00372C66"/>
    <w:rsid w:val="00372D4C"/>
    <w:rsid w:val="00372E25"/>
    <w:rsid w:val="00372E9D"/>
    <w:rsid w:val="00372EB9"/>
    <w:rsid w:val="003733C7"/>
    <w:rsid w:val="0037344F"/>
    <w:rsid w:val="00373DE2"/>
    <w:rsid w:val="003746BA"/>
    <w:rsid w:val="00374CCE"/>
    <w:rsid w:val="003770A4"/>
    <w:rsid w:val="00380153"/>
    <w:rsid w:val="003815F7"/>
    <w:rsid w:val="00382CD9"/>
    <w:rsid w:val="00382E08"/>
    <w:rsid w:val="00383057"/>
    <w:rsid w:val="0038381E"/>
    <w:rsid w:val="00385EF2"/>
    <w:rsid w:val="0038603D"/>
    <w:rsid w:val="003860B3"/>
    <w:rsid w:val="003878D1"/>
    <w:rsid w:val="00391160"/>
    <w:rsid w:val="0039175B"/>
    <w:rsid w:val="00391FEB"/>
    <w:rsid w:val="00392D98"/>
    <w:rsid w:val="003930AE"/>
    <w:rsid w:val="00395015"/>
    <w:rsid w:val="00395EEA"/>
    <w:rsid w:val="00396704"/>
    <w:rsid w:val="003978F6"/>
    <w:rsid w:val="00397DF2"/>
    <w:rsid w:val="003A075F"/>
    <w:rsid w:val="003A0A9D"/>
    <w:rsid w:val="003A0B0C"/>
    <w:rsid w:val="003A14E7"/>
    <w:rsid w:val="003A2366"/>
    <w:rsid w:val="003A2494"/>
    <w:rsid w:val="003A2B77"/>
    <w:rsid w:val="003A3021"/>
    <w:rsid w:val="003A43CE"/>
    <w:rsid w:val="003A4978"/>
    <w:rsid w:val="003A57E1"/>
    <w:rsid w:val="003A65AB"/>
    <w:rsid w:val="003A6EE2"/>
    <w:rsid w:val="003B0158"/>
    <w:rsid w:val="003B0617"/>
    <w:rsid w:val="003B06B4"/>
    <w:rsid w:val="003B09F2"/>
    <w:rsid w:val="003B1321"/>
    <w:rsid w:val="003B2E59"/>
    <w:rsid w:val="003B30A0"/>
    <w:rsid w:val="003B313C"/>
    <w:rsid w:val="003B3E5B"/>
    <w:rsid w:val="003B4BC3"/>
    <w:rsid w:val="003B4D2F"/>
    <w:rsid w:val="003B5877"/>
    <w:rsid w:val="003B5BD8"/>
    <w:rsid w:val="003B5E22"/>
    <w:rsid w:val="003B6051"/>
    <w:rsid w:val="003B6100"/>
    <w:rsid w:val="003B6232"/>
    <w:rsid w:val="003C02CA"/>
    <w:rsid w:val="003C1957"/>
    <w:rsid w:val="003C2561"/>
    <w:rsid w:val="003C290C"/>
    <w:rsid w:val="003C31A9"/>
    <w:rsid w:val="003C3666"/>
    <w:rsid w:val="003C4E64"/>
    <w:rsid w:val="003C4EE3"/>
    <w:rsid w:val="003C523C"/>
    <w:rsid w:val="003C5C79"/>
    <w:rsid w:val="003C5FBE"/>
    <w:rsid w:val="003C6ED1"/>
    <w:rsid w:val="003C72D7"/>
    <w:rsid w:val="003D059D"/>
    <w:rsid w:val="003D0F3F"/>
    <w:rsid w:val="003D20C2"/>
    <w:rsid w:val="003D22F3"/>
    <w:rsid w:val="003D2B13"/>
    <w:rsid w:val="003D2EC5"/>
    <w:rsid w:val="003D4B9D"/>
    <w:rsid w:val="003D4E47"/>
    <w:rsid w:val="003D4F7C"/>
    <w:rsid w:val="003D679B"/>
    <w:rsid w:val="003D747E"/>
    <w:rsid w:val="003E017B"/>
    <w:rsid w:val="003E0EFF"/>
    <w:rsid w:val="003E21E8"/>
    <w:rsid w:val="003E2AD9"/>
    <w:rsid w:val="003E2B56"/>
    <w:rsid w:val="003E3A7F"/>
    <w:rsid w:val="003E3C77"/>
    <w:rsid w:val="003E42B5"/>
    <w:rsid w:val="003E43E8"/>
    <w:rsid w:val="003E4437"/>
    <w:rsid w:val="003E510F"/>
    <w:rsid w:val="003E57CC"/>
    <w:rsid w:val="003E5FA1"/>
    <w:rsid w:val="003E651F"/>
    <w:rsid w:val="003E6859"/>
    <w:rsid w:val="003E6991"/>
    <w:rsid w:val="003F0AF0"/>
    <w:rsid w:val="003F1718"/>
    <w:rsid w:val="003F173A"/>
    <w:rsid w:val="003F29CE"/>
    <w:rsid w:val="003F2A1F"/>
    <w:rsid w:val="003F2E2D"/>
    <w:rsid w:val="003F4069"/>
    <w:rsid w:val="003F43C0"/>
    <w:rsid w:val="003F4C65"/>
    <w:rsid w:val="003F5364"/>
    <w:rsid w:val="003F6DFE"/>
    <w:rsid w:val="003F6F5E"/>
    <w:rsid w:val="003F6F6B"/>
    <w:rsid w:val="003F7468"/>
    <w:rsid w:val="00400664"/>
    <w:rsid w:val="00400EF2"/>
    <w:rsid w:val="00400F61"/>
    <w:rsid w:val="00401FCA"/>
    <w:rsid w:val="0040217B"/>
    <w:rsid w:val="00402932"/>
    <w:rsid w:val="00402B46"/>
    <w:rsid w:val="00403072"/>
    <w:rsid w:val="00403201"/>
    <w:rsid w:val="0040354F"/>
    <w:rsid w:val="00403E2E"/>
    <w:rsid w:val="0040407F"/>
    <w:rsid w:val="00404287"/>
    <w:rsid w:val="0040496A"/>
    <w:rsid w:val="00404EA9"/>
    <w:rsid w:val="0040560D"/>
    <w:rsid w:val="0040612A"/>
    <w:rsid w:val="0040657E"/>
    <w:rsid w:val="00406833"/>
    <w:rsid w:val="0040689E"/>
    <w:rsid w:val="00406C62"/>
    <w:rsid w:val="00410B06"/>
    <w:rsid w:val="00412E7D"/>
    <w:rsid w:val="00413655"/>
    <w:rsid w:val="00413EAB"/>
    <w:rsid w:val="0041559F"/>
    <w:rsid w:val="00415A99"/>
    <w:rsid w:val="00416339"/>
    <w:rsid w:val="00416919"/>
    <w:rsid w:val="00417829"/>
    <w:rsid w:val="004206B7"/>
    <w:rsid w:val="004219D6"/>
    <w:rsid w:val="00421F42"/>
    <w:rsid w:val="00422167"/>
    <w:rsid w:val="004222BA"/>
    <w:rsid w:val="00422513"/>
    <w:rsid w:val="00422681"/>
    <w:rsid w:val="004228C5"/>
    <w:rsid w:val="00422DF0"/>
    <w:rsid w:val="00423710"/>
    <w:rsid w:val="00423A4A"/>
    <w:rsid w:val="00423A69"/>
    <w:rsid w:val="00423A7F"/>
    <w:rsid w:val="00424206"/>
    <w:rsid w:val="00424624"/>
    <w:rsid w:val="00424B17"/>
    <w:rsid w:val="00424EDE"/>
    <w:rsid w:val="0042584B"/>
    <w:rsid w:val="00425885"/>
    <w:rsid w:val="00425AFB"/>
    <w:rsid w:val="00426DF5"/>
    <w:rsid w:val="00426E0C"/>
    <w:rsid w:val="004270CC"/>
    <w:rsid w:val="004278DE"/>
    <w:rsid w:val="00430138"/>
    <w:rsid w:val="0043020A"/>
    <w:rsid w:val="00431254"/>
    <w:rsid w:val="00431E7E"/>
    <w:rsid w:val="004327C2"/>
    <w:rsid w:val="004329CD"/>
    <w:rsid w:val="004334DF"/>
    <w:rsid w:val="004342CA"/>
    <w:rsid w:val="004348BF"/>
    <w:rsid w:val="00434914"/>
    <w:rsid w:val="0043494A"/>
    <w:rsid w:val="004353CC"/>
    <w:rsid w:val="0043542D"/>
    <w:rsid w:val="004354B7"/>
    <w:rsid w:val="004370E0"/>
    <w:rsid w:val="004375A0"/>
    <w:rsid w:val="0043786F"/>
    <w:rsid w:val="00437E1A"/>
    <w:rsid w:val="00440599"/>
    <w:rsid w:val="004406F0"/>
    <w:rsid w:val="00440A64"/>
    <w:rsid w:val="00440E49"/>
    <w:rsid w:val="004422A7"/>
    <w:rsid w:val="004426AA"/>
    <w:rsid w:val="0044299A"/>
    <w:rsid w:val="00442C4F"/>
    <w:rsid w:val="00442C79"/>
    <w:rsid w:val="00443932"/>
    <w:rsid w:val="00443EE4"/>
    <w:rsid w:val="004441FC"/>
    <w:rsid w:val="0044452B"/>
    <w:rsid w:val="0044469F"/>
    <w:rsid w:val="00444709"/>
    <w:rsid w:val="00444A50"/>
    <w:rsid w:val="00444A71"/>
    <w:rsid w:val="0044567A"/>
    <w:rsid w:val="00445C98"/>
    <w:rsid w:val="00445DFD"/>
    <w:rsid w:val="0044619F"/>
    <w:rsid w:val="00446269"/>
    <w:rsid w:val="004469B3"/>
    <w:rsid w:val="00446A6B"/>
    <w:rsid w:val="00447096"/>
    <w:rsid w:val="0044745F"/>
    <w:rsid w:val="004478D0"/>
    <w:rsid w:val="0044794F"/>
    <w:rsid w:val="00447DC0"/>
    <w:rsid w:val="004506E2"/>
    <w:rsid w:val="0045095D"/>
    <w:rsid w:val="004513C1"/>
    <w:rsid w:val="00452202"/>
    <w:rsid w:val="00452A38"/>
    <w:rsid w:val="00453AE8"/>
    <w:rsid w:val="00453E7F"/>
    <w:rsid w:val="00453FD0"/>
    <w:rsid w:val="00454CCA"/>
    <w:rsid w:val="00455B8E"/>
    <w:rsid w:val="0045659E"/>
    <w:rsid w:val="004576ED"/>
    <w:rsid w:val="0046011E"/>
    <w:rsid w:val="0046153F"/>
    <w:rsid w:val="0046209A"/>
    <w:rsid w:val="00462625"/>
    <w:rsid w:val="00462F14"/>
    <w:rsid w:val="00463370"/>
    <w:rsid w:val="00463F12"/>
    <w:rsid w:val="004647FB"/>
    <w:rsid w:val="00464997"/>
    <w:rsid w:val="00464B37"/>
    <w:rsid w:val="00464F5B"/>
    <w:rsid w:val="004658D3"/>
    <w:rsid w:val="0046593C"/>
    <w:rsid w:val="00465B40"/>
    <w:rsid w:val="00465E88"/>
    <w:rsid w:val="004664B6"/>
    <w:rsid w:val="00466A96"/>
    <w:rsid w:val="00467E18"/>
    <w:rsid w:val="00470B7A"/>
    <w:rsid w:val="00471556"/>
    <w:rsid w:val="004718A7"/>
    <w:rsid w:val="0047366E"/>
    <w:rsid w:val="00473B58"/>
    <w:rsid w:val="004755F4"/>
    <w:rsid w:val="00475A88"/>
    <w:rsid w:val="00475BEB"/>
    <w:rsid w:val="00476002"/>
    <w:rsid w:val="00476186"/>
    <w:rsid w:val="0047635B"/>
    <w:rsid w:val="004766FE"/>
    <w:rsid w:val="00476A35"/>
    <w:rsid w:val="00477B89"/>
    <w:rsid w:val="00477C14"/>
    <w:rsid w:val="004802D1"/>
    <w:rsid w:val="00480C01"/>
    <w:rsid w:val="0048114F"/>
    <w:rsid w:val="004819FD"/>
    <w:rsid w:val="00482D8E"/>
    <w:rsid w:val="00482E80"/>
    <w:rsid w:val="00483303"/>
    <w:rsid w:val="00483762"/>
    <w:rsid w:val="004837B2"/>
    <w:rsid w:val="004838F3"/>
    <w:rsid w:val="004846E0"/>
    <w:rsid w:val="0048564A"/>
    <w:rsid w:val="00485C39"/>
    <w:rsid w:val="00485DD5"/>
    <w:rsid w:val="00485DF0"/>
    <w:rsid w:val="004860C9"/>
    <w:rsid w:val="004864CC"/>
    <w:rsid w:val="00486E0B"/>
    <w:rsid w:val="00486F9C"/>
    <w:rsid w:val="004874B4"/>
    <w:rsid w:val="004879E0"/>
    <w:rsid w:val="0049049D"/>
    <w:rsid w:val="004909C3"/>
    <w:rsid w:val="0049156C"/>
    <w:rsid w:val="0049267D"/>
    <w:rsid w:val="00492E1D"/>
    <w:rsid w:val="00495925"/>
    <w:rsid w:val="004959EF"/>
    <w:rsid w:val="00495B6A"/>
    <w:rsid w:val="00495B95"/>
    <w:rsid w:val="0049652E"/>
    <w:rsid w:val="00496C65"/>
    <w:rsid w:val="00497AA2"/>
    <w:rsid w:val="004A020E"/>
    <w:rsid w:val="004A0AEB"/>
    <w:rsid w:val="004A116E"/>
    <w:rsid w:val="004A14BE"/>
    <w:rsid w:val="004A16F6"/>
    <w:rsid w:val="004A21E6"/>
    <w:rsid w:val="004A4401"/>
    <w:rsid w:val="004A5155"/>
    <w:rsid w:val="004A6384"/>
    <w:rsid w:val="004A695F"/>
    <w:rsid w:val="004A6BC1"/>
    <w:rsid w:val="004A7EDE"/>
    <w:rsid w:val="004B0A7B"/>
    <w:rsid w:val="004B1E58"/>
    <w:rsid w:val="004B1F6E"/>
    <w:rsid w:val="004B22BD"/>
    <w:rsid w:val="004B30E6"/>
    <w:rsid w:val="004B315E"/>
    <w:rsid w:val="004B355F"/>
    <w:rsid w:val="004B3570"/>
    <w:rsid w:val="004B4030"/>
    <w:rsid w:val="004B55C8"/>
    <w:rsid w:val="004B69A0"/>
    <w:rsid w:val="004B6B93"/>
    <w:rsid w:val="004B6F5F"/>
    <w:rsid w:val="004C0093"/>
    <w:rsid w:val="004C0426"/>
    <w:rsid w:val="004C09FB"/>
    <w:rsid w:val="004C14C3"/>
    <w:rsid w:val="004C17DD"/>
    <w:rsid w:val="004C18C3"/>
    <w:rsid w:val="004C1D8C"/>
    <w:rsid w:val="004C2A10"/>
    <w:rsid w:val="004C3438"/>
    <w:rsid w:val="004C418E"/>
    <w:rsid w:val="004C4D29"/>
    <w:rsid w:val="004C5583"/>
    <w:rsid w:val="004C5C8A"/>
    <w:rsid w:val="004C5DC8"/>
    <w:rsid w:val="004C647B"/>
    <w:rsid w:val="004C6644"/>
    <w:rsid w:val="004C698F"/>
    <w:rsid w:val="004C69B4"/>
    <w:rsid w:val="004C71D4"/>
    <w:rsid w:val="004D0189"/>
    <w:rsid w:val="004D0CB6"/>
    <w:rsid w:val="004D39DF"/>
    <w:rsid w:val="004D3C68"/>
    <w:rsid w:val="004D404A"/>
    <w:rsid w:val="004D4086"/>
    <w:rsid w:val="004D58F5"/>
    <w:rsid w:val="004D5A2C"/>
    <w:rsid w:val="004D6BD7"/>
    <w:rsid w:val="004E0BFD"/>
    <w:rsid w:val="004E0E8C"/>
    <w:rsid w:val="004E1061"/>
    <w:rsid w:val="004E142E"/>
    <w:rsid w:val="004E1B3B"/>
    <w:rsid w:val="004E2FEE"/>
    <w:rsid w:val="004E34A0"/>
    <w:rsid w:val="004E3AEA"/>
    <w:rsid w:val="004E45B7"/>
    <w:rsid w:val="004E5A60"/>
    <w:rsid w:val="004E7036"/>
    <w:rsid w:val="004E7780"/>
    <w:rsid w:val="004E7AEC"/>
    <w:rsid w:val="004E7DAA"/>
    <w:rsid w:val="004F0385"/>
    <w:rsid w:val="004F0D10"/>
    <w:rsid w:val="004F140A"/>
    <w:rsid w:val="004F1713"/>
    <w:rsid w:val="004F25D2"/>
    <w:rsid w:val="004F36EC"/>
    <w:rsid w:val="004F40E4"/>
    <w:rsid w:val="004F5621"/>
    <w:rsid w:val="004F6A03"/>
    <w:rsid w:val="004F6AA8"/>
    <w:rsid w:val="004F6AC2"/>
    <w:rsid w:val="004F70AC"/>
    <w:rsid w:val="004F79B0"/>
    <w:rsid w:val="0050092B"/>
    <w:rsid w:val="00501103"/>
    <w:rsid w:val="00501D70"/>
    <w:rsid w:val="005027BE"/>
    <w:rsid w:val="00502B93"/>
    <w:rsid w:val="00502C79"/>
    <w:rsid w:val="00504DD3"/>
    <w:rsid w:val="0050604A"/>
    <w:rsid w:val="00506509"/>
    <w:rsid w:val="0050656F"/>
    <w:rsid w:val="005072B4"/>
    <w:rsid w:val="00507AA8"/>
    <w:rsid w:val="00512058"/>
    <w:rsid w:val="0051284B"/>
    <w:rsid w:val="0051294B"/>
    <w:rsid w:val="00512A5B"/>
    <w:rsid w:val="00512EB2"/>
    <w:rsid w:val="005143C3"/>
    <w:rsid w:val="00514E00"/>
    <w:rsid w:val="005155A6"/>
    <w:rsid w:val="0051582D"/>
    <w:rsid w:val="00517136"/>
    <w:rsid w:val="00517D95"/>
    <w:rsid w:val="00520049"/>
    <w:rsid w:val="0052041D"/>
    <w:rsid w:val="00520B48"/>
    <w:rsid w:val="00520DCC"/>
    <w:rsid w:val="00520EEE"/>
    <w:rsid w:val="00521625"/>
    <w:rsid w:val="00521CB4"/>
    <w:rsid w:val="0052287F"/>
    <w:rsid w:val="00522999"/>
    <w:rsid w:val="00523333"/>
    <w:rsid w:val="00523812"/>
    <w:rsid w:val="005238F3"/>
    <w:rsid w:val="00523D9A"/>
    <w:rsid w:val="00524716"/>
    <w:rsid w:val="005248A9"/>
    <w:rsid w:val="005250E7"/>
    <w:rsid w:val="00525BDC"/>
    <w:rsid w:val="005263E6"/>
    <w:rsid w:val="0052750F"/>
    <w:rsid w:val="005276C1"/>
    <w:rsid w:val="005279D3"/>
    <w:rsid w:val="0053039C"/>
    <w:rsid w:val="00530F46"/>
    <w:rsid w:val="005313D9"/>
    <w:rsid w:val="0053266F"/>
    <w:rsid w:val="00534602"/>
    <w:rsid w:val="00535403"/>
    <w:rsid w:val="00536782"/>
    <w:rsid w:val="0053684D"/>
    <w:rsid w:val="00536965"/>
    <w:rsid w:val="00536A0D"/>
    <w:rsid w:val="005370A7"/>
    <w:rsid w:val="00540327"/>
    <w:rsid w:val="00541BFA"/>
    <w:rsid w:val="00541C1D"/>
    <w:rsid w:val="00541CC9"/>
    <w:rsid w:val="00541E10"/>
    <w:rsid w:val="00543665"/>
    <w:rsid w:val="00543F0C"/>
    <w:rsid w:val="00544104"/>
    <w:rsid w:val="005445AE"/>
    <w:rsid w:val="00546E40"/>
    <w:rsid w:val="00547014"/>
    <w:rsid w:val="00547620"/>
    <w:rsid w:val="0054780E"/>
    <w:rsid w:val="00550243"/>
    <w:rsid w:val="00550353"/>
    <w:rsid w:val="00550B6E"/>
    <w:rsid w:val="00550C8C"/>
    <w:rsid w:val="00551E4F"/>
    <w:rsid w:val="00552B98"/>
    <w:rsid w:val="00553092"/>
    <w:rsid w:val="00553313"/>
    <w:rsid w:val="00553536"/>
    <w:rsid w:val="00553A52"/>
    <w:rsid w:val="00553C71"/>
    <w:rsid w:val="00554083"/>
    <w:rsid w:val="005542FA"/>
    <w:rsid w:val="005548E7"/>
    <w:rsid w:val="00554A8A"/>
    <w:rsid w:val="00554B00"/>
    <w:rsid w:val="00554C1F"/>
    <w:rsid w:val="00554E55"/>
    <w:rsid w:val="00556115"/>
    <w:rsid w:val="005566D0"/>
    <w:rsid w:val="00556A9F"/>
    <w:rsid w:val="00556F77"/>
    <w:rsid w:val="00557657"/>
    <w:rsid w:val="005601BC"/>
    <w:rsid w:val="0056154F"/>
    <w:rsid w:val="005627AA"/>
    <w:rsid w:val="0056291E"/>
    <w:rsid w:val="00563B5E"/>
    <w:rsid w:val="00565663"/>
    <w:rsid w:val="005659D1"/>
    <w:rsid w:val="005660E8"/>
    <w:rsid w:val="00566AEA"/>
    <w:rsid w:val="00566FFA"/>
    <w:rsid w:val="0056763C"/>
    <w:rsid w:val="005678A2"/>
    <w:rsid w:val="0057029F"/>
    <w:rsid w:val="005702D4"/>
    <w:rsid w:val="00571033"/>
    <w:rsid w:val="0057282B"/>
    <w:rsid w:val="00573311"/>
    <w:rsid w:val="005734EF"/>
    <w:rsid w:val="00573590"/>
    <w:rsid w:val="005737C1"/>
    <w:rsid w:val="00574565"/>
    <w:rsid w:val="00574B9B"/>
    <w:rsid w:val="00574CB1"/>
    <w:rsid w:val="005754D3"/>
    <w:rsid w:val="00575654"/>
    <w:rsid w:val="00575BFD"/>
    <w:rsid w:val="0057611F"/>
    <w:rsid w:val="00576FFB"/>
    <w:rsid w:val="005772A5"/>
    <w:rsid w:val="005773CE"/>
    <w:rsid w:val="005773FB"/>
    <w:rsid w:val="00581493"/>
    <w:rsid w:val="0058182A"/>
    <w:rsid w:val="00582AEE"/>
    <w:rsid w:val="005833EC"/>
    <w:rsid w:val="005847FD"/>
    <w:rsid w:val="00590129"/>
    <w:rsid w:val="00590A2F"/>
    <w:rsid w:val="005910B2"/>
    <w:rsid w:val="0059256B"/>
    <w:rsid w:val="00593F40"/>
    <w:rsid w:val="00594A74"/>
    <w:rsid w:val="00594A75"/>
    <w:rsid w:val="00594DE1"/>
    <w:rsid w:val="0059577D"/>
    <w:rsid w:val="005958AF"/>
    <w:rsid w:val="00595C93"/>
    <w:rsid w:val="005960E1"/>
    <w:rsid w:val="00596266"/>
    <w:rsid w:val="00596855"/>
    <w:rsid w:val="00596931"/>
    <w:rsid w:val="0059772A"/>
    <w:rsid w:val="00597D01"/>
    <w:rsid w:val="005A0163"/>
    <w:rsid w:val="005A1299"/>
    <w:rsid w:val="005A1D65"/>
    <w:rsid w:val="005A2146"/>
    <w:rsid w:val="005A3288"/>
    <w:rsid w:val="005A3C7A"/>
    <w:rsid w:val="005A4102"/>
    <w:rsid w:val="005A4A66"/>
    <w:rsid w:val="005A56CD"/>
    <w:rsid w:val="005B0121"/>
    <w:rsid w:val="005B0ADA"/>
    <w:rsid w:val="005B1541"/>
    <w:rsid w:val="005B15B4"/>
    <w:rsid w:val="005B1777"/>
    <w:rsid w:val="005B197F"/>
    <w:rsid w:val="005B1CA7"/>
    <w:rsid w:val="005B2B70"/>
    <w:rsid w:val="005B4B2D"/>
    <w:rsid w:val="005B5579"/>
    <w:rsid w:val="005B63D7"/>
    <w:rsid w:val="005B7FC0"/>
    <w:rsid w:val="005C025C"/>
    <w:rsid w:val="005C3959"/>
    <w:rsid w:val="005C3B3D"/>
    <w:rsid w:val="005C6969"/>
    <w:rsid w:val="005C6B10"/>
    <w:rsid w:val="005C7111"/>
    <w:rsid w:val="005C7FA3"/>
    <w:rsid w:val="005D19BC"/>
    <w:rsid w:val="005D2782"/>
    <w:rsid w:val="005D2D0C"/>
    <w:rsid w:val="005D3432"/>
    <w:rsid w:val="005D3ADB"/>
    <w:rsid w:val="005D3B13"/>
    <w:rsid w:val="005D48EA"/>
    <w:rsid w:val="005D4B26"/>
    <w:rsid w:val="005D4FF8"/>
    <w:rsid w:val="005D56CA"/>
    <w:rsid w:val="005D5E92"/>
    <w:rsid w:val="005D625E"/>
    <w:rsid w:val="005D7213"/>
    <w:rsid w:val="005D759E"/>
    <w:rsid w:val="005D76F3"/>
    <w:rsid w:val="005D796F"/>
    <w:rsid w:val="005E11A1"/>
    <w:rsid w:val="005E152F"/>
    <w:rsid w:val="005E16F3"/>
    <w:rsid w:val="005E3252"/>
    <w:rsid w:val="005E54FE"/>
    <w:rsid w:val="005E5EA5"/>
    <w:rsid w:val="005E6035"/>
    <w:rsid w:val="005E66A4"/>
    <w:rsid w:val="005E7566"/>
    <w:rsid w:val="005F08CF"/>
    <w:rsid w:val="005F0FF9"/>
    <w:rsid w:val="005F16EA"/>
    <w:rsid w:val="005F3D61"/>
    <w:rsid w:val="005F3FB0"/>
    <w:rsid w:val="005F4698"/>
    <w:rsid w:val="005F6F03"/>
    <w:rsid w:val="005F7F16"/>
    <w:rsid w:val="00600122"/>
    <w:rsid w:val="006004E5"/>
    <w:rsid w:val="00600530"/>
    <w:rsid w:val="00600D22"/>
    <w:rsid w:val="00601514"/>
    <w:rsid w:val="0060156C"/>
    <w:rsid w:val="0060189B"/>
    <w:rsid w:val="00602514"/>
    <w:rsid w:val="006028E5"/>
    <w:rsid w:val="00602956"/>
    <w:rsid w:val="00602A34"/>
    <w:rsid w:val="00602D5E"/>
    <w:rsid w:val="00604675"/>
    <w:rsid w:val="00605FEE"/>
    <w:rsid w:val="0060605A"/>
    <w:rsid w:val="006075E2"/>
    <w:rsid w:val="00607605"/>
    <w:rsid w:val="00607AB7"/>
    <w:rsid w:val="00610263"/>
    <w:rsid w:val="006104F5"/>
    <w:rsid w:val="0061061A"/>
    <w:rsid w:val="00611EF1"/>
    <w:rsid w:val="006123FF"/>
    <w:rsid w:val="006137E6"/>
    <w:rsid w:val="0061398F"/>
    <w:rsid w:val="006139C4"/>
    <w:rsid w:val="00613CE5"/>
    <w:rsid w:val="00613DC3"/>
    <w:rsid w:val="006148C2"/>
    <w:rsid w:val="006166FE"/>
    <w:rsid w:val="006172C7"/>
    <w:rsid w:val="00620C5A"/>
    <w:rsid w:val="006229EF"/>
    <w:rsid w:val="00623221"/>
    <w:rsid w:val="00623B02"/>
    <w:rsid w:val="00623EF7"/>
    <w:rsid w:val="006242A2"/>
    <w:rsid w:val="006248DA"/>
    <w:rsid w:val="00625062"/>
    <w:rsid w:val="00625A4C"/>
    <w:rsid w:val="00625E5F"/>
    <w:rsid w:val="00626416"/>
    <w:rsid w:val="00626879"/>
    <w:rsid w:val="00626982"/>
    <w:rsid w:val="00626E0A"/>
    <w:rsid w:val="00626F2E"/>
    <w:rsid w:val="00630F5A"/>
    <w:rsid w:val="00631438"/>
    <w:rsid w:val="006314DD"/>
    <w:rsid w:val="006325E6"/>
    <w:rsid w:val="00632C89"/>
    <w:rsid w:val="0063317A"/>
    <w:rsid w:val="0063353E"/>
    <w:rsid w:val="00633EE0"/>
    <w:rsid w:val="00633F23"/>
    <w:rsid w:val="006340FD"/>
    <w:rsid w:val="006347D0"/>
    <w:rsid w:val="006350E3"/>
    <w:rsid w:val="006364C7"/>
    <w:rsid w:val="00636A64"/>
    <w:rsid w:val="006372D1"/>
    <w:rsid w:val="00637FCD"/>
    <w:rsid w:val="00642331"/>
    <w:rsid w:val="00642523"/>
    <w:rsid w:val="006431F2"/>
    <w:rsid w:val="006435C8"/>
    <w:rsid w:val="00644F41"/>
    <w:rsid w:val="0064548D"/>
    <w:rsid w:val="006458BD"/>
    <w:rsid w:val="00645D39"/>
    <w:rsid w:val="00645F68"/>
    <w:rsid w:val="00647940"/>
    <w:rsid w:val="006509AE"/>
    <w:rsid w:val="00651301"/>
    <w:rsid w:val="00651C8B"/>
    <w:rsid w:val="00652453"/>
    <w:rsid w:val="00653A91"/>
    <w:rsid w:val="00653F60"/>
    <w:rsid w:val="00654932"/>
    <w:rsid w:val="00655F70"/>
    <w:rsid w:val="006563C8"/>
    <w:rsid w:val="00656CD4"/>
    <w:rsid w:val="00656E38"/>
    <w:rsid w:val="00657195"/>
    <w:rsid w:val="00660561"/>
    <w:rsid w:val="00660693"/>
    <w:rsid w:val="0066099B"/>
    <w:rsid w:val="0066100B"/>
    <w:rsid w:val="00661F5E"/>
    <w:rsid w:val="00662497"/>
    <w:rsid w:val="0066413C"/>
    <w:rsid w:val="00664564"/>
    <w:rsid w:val="006645B0"/>
    <w:rsid w:val="006655FF"/>
    <w:rsid w:val="00667448"/>
    <w:rsid w:val="00667507"/>
    <w:rsid w:val="006676FC"/>
    <w:rsid w:val="006702CD"/>
    <w:rsid w:val="0067096C"/>
    <w:rsid w:val="00671D07"/>
    <w:rsid w:val="006722BA"/>
    <w:rsid w:val="00672F5C"/>
    <w:rsid w:val="006732DB"/>
    <w:rsid w:val="006749A2"/>
    <w:rsid w:val="00676CF9"/>
    <w:rsid w:val="00676D76"/>
    <w:rsid w:val="00676F7C"/>
    <w:rsid w:val="006815C9"/>
    <w:rsid w:val="00681849"/>
    <w:rsid w:val="0068186D"/>
    <w:rsid w:val="006818E6"/>
    <w:rsid w:val="0068190E"/>
    <w:rsid w:val="00681B81"/>
    <w:rsid w:val="00683980"/>
    <w:rsid w:val="006842D5"/>
    <w:rsid w:val="00684A6C"/>
    <w:rsid w:val="006850A6"/>
    <w:rsid w:val="006857D4"/>
    <w:rsid w:val="00686083"/>
    <w:rsid w:val="00686166"/>
    <w:rsid w:val="006867E7"/>
    <w:rsid w:val="00686EDD"/>
    <w:rsid w:val="00690983"/>
    <w:rsid w:val="0069263C"/>
    <w:rsid w:val="00692C1B"/>
    <w:rsid w:val="00692FCB"/>
    <w:rsid w:val="006937B9"/>
    <w:rsid w:val="0069391F"/>
    <w:rsid w:val="00693D64"/>
    <w:rsid w:val="00694ACB"/>
    <w:rsid w:val="00694EB8"/>
    <w:rsid w:val="00695650"/>
    <w:rsid w:val="00695A24"/>
    <w:rsid w:val="00696D2E"/>
    <w:rsid w:val="006971A4"/>
    <w:rsid w:val="0069737E"/>
    <w:rsid w:val="006973D8"/>
    <w:rsid w:val="006977E9"/>
    <w:rsid w:val="00697D6F"/>
    <w:rsid w:val="006A0542"/>
    <w:rsid w:val="006A14AE"/>
    <w:rsid w:val="006A24EA"/>
    <w:rsid w:val="006A2A72"/>
    <w:rsid w:val="006A2D86"/>
    <w:rsid w:val="006A41A0"/>
    <w:rsid w:val="006A52B9"/>
    <w:rsid w:val="006A6077"/>
    <w:rsid w:val="006A60EB"/>
    <w:rsid w:val="006A6841"/>
    <w:rsid w:val="006A70D6"/>
    <w:rsid w:val="006A76B9"/>
    <w:rsid w:val="006A79B5"/>
    <w:rsid w:val="006A7F8F"/>
    <w:rsid w:val="006B00D1"/>
    <w:rsid w:val="006B0DF4"/>
    <w:rsid w:val="006B1B66"/>
    <w:rsid w:val="006B1FB8"/>
    <w:rsid w:val="006B269D"/>
    <w:rsid w:val="006B284E"/>
    <w:rsid w:val="006B2AA2"/>
    <w:rsid w:val="006B2B4E"/>
    <w:rsid w:val="006B38A1"/>
    <w:rsid w:val="006B390F"/>
    <w:rsid w:val="006B44B0"/>
    <w:rsid w:val="006B5909"/>
    <w:rsid w:val="006B5E9E"/>
    <w:rsid w:val="006B618C"/>
    <w:rsid w:val="006B65F1"/>
    <w:rsid w:val="006B6987"/>
    <w:rsid w:val="006B7A3F"/>
    <w:rsid w:val="006B7CA8"/>
    <w:rsid w:val="006B7D6E"/>
    <w:rsid w:val="006B7DC9"/>
    <w:rsid w:val="006C0789"/>
    <w:rsid w:val="006C1744"/>
    <w:rsid w:val="006C1AB3"/>
    <w:rsid w:val="006C21DA"/>
    <w:rsid w:val="006C2487"/>
    <w:rsid w:val="006C31CA"/>
    <w:rsid w:val="006C37D0"/>
    <w:rsid w:val="006C39DD"/>
    <w:rsid w:val="006C3AB5"/>
    <w:rsid w:val="006C3E4F"/>
    <w:rsid w:val="006C465E"/>
    <w:rsid w:val="006C4EC7"/>
    <w:rsid w:val="006C52AA"/>
    <w:rsid w:val="006C55C5"/>
    <w:rsid w:val="006C5D39"/>
    <w:rsid w:val="006C643D"/>
    <w:rsid w:val="006C7CE0"/>
    <w:rsid w:val="006D1013"/>
    <w:rsid w:val="006D1503"/>
    <w:rsid w:val="006D2969"/>
    <w:rsid w:val="006D2B8E"/>
    <w:rsid w:val="006D2EDA"/>
    <w:rsid w:val="006D6A93"/>
    <w:rsid w:val="006D6C3C"/>
    <w:rsid w:val="006D7057"/>
    <w:rsid w:val="006D7695"/>
    <w:rsid w:val="006D7C8D"/>
    <w:rsid w:val="006E091D"/>
    <w:rsid w:val="006E19FA"/>
    <w:rsid w:val="006E2A0F"/>
    <w:rsid w:val="006E3560"/>
    <w:rsid w:val="006E3D76"/>
    <w:rsid w:val="006E69C2"/>
    <w:rsid w:val="006E7101"/>
    <w:rsid w:val="006F1249"/>
    <w:rsid w:val="006F1ABF"/>
    <w:rsid w:val="006F28A8"/>
    <w:rsid w:val="006F3426"/>
    <w:rsid w:val="006F363F"/>
    <w:rsid w:val="006F49CD"/>
    <w:rsid w:val="006F6C4E"/>
    <w:rsid w:val="006F6E68"/>
    <w:rsid w:val="007000DA"/>
    <w:rsid w:val="007005B4"/>
    <w:rsid w:val="00700791"/>
    <w:rsid w:val="00700A85"/>
    <w:rsid w:val="00700D87"/>
    <w:rsid w:val="007016D8"/>
    <w:rsid w:val="0070190D"/>
    <w:rsid w:val="0070299D"/>
    <w:rsid w:val="00704061"/>
    <w:rsid w:val="00704919"/>
    <w:rsid w:val="0070502D"/>
    <w:rsid w:val="00705052"/>
    <w:rsid w:val="007053A3"/>
    <w:rsid w:val="007057C2"/>
    <w:rsid w:val="00705A21"/>
    <w:rsid w:val="00705FDF"/>
    <w:rsid w:val="00706575"/>
    <w:rsid w:val="007065E1"/>
    <w:rsid w:val="00707692"/>
    <w:rsid w:val="00707BD6"/>
    <w:rsid w:val="00710227"/>
    <w:rsid w:val="0071026C"/>
    <w:rsid w:val="007103B1"/>
    <w:rsid w:val="007103D6"/>
    <w:rsid w:val="00710422"/>
    <w:rsid w:val="00711347"/>
    <w:rsid w:val="00711914"/>
    <w:rsid w:val="00711D5B"/>
    <w:rsid w:val="0071214A"/>
    <w:rsid w:val="0071247E"/>
    <w:rsid w:val="00713908"/>
    <w:rsid w:val="007144A5"/>
    <w:rsid w:val="0071485D"/>
    <w:rsid w:val="00716333"/>
    <w:rsid w:val="007163BB"/>
    <w:rsid w:val="00716C1F"/>
    <w:rsid w:val="0072033A"/>
    <w:rsid w:val="007205AE"/>
    <w:rsid w:val="00720F2B"/>
    <w:rsid w:val="0072196A"/>
    <w:rsid w:val="00722CB2"/>
    <w:rsid w:val="00723AB6"/>
    <w:rsid w:val="00723DBF"/>
    <w:rsid w:val="00724265"/>
    <w:rsid w:val="007243EF"/>
    <w:rsid w:val="0072445C"/>
    <w:rsid w:val="00724558"/>
    <w:rsid w:val="007249D8"/>
    <w:rsid w:val="00724CA0"/>
    <w:rsid w:val="00724DF4"/>
    <w:rsid w:val="007261B9"/>
    <w:rsid w:val="00726F21"/>
    <w:rsid w:val="007278D7"/>
    <w:rsid w:val="00730982"/>
    <w:rsid w:val="007311E2"/>
    <w:rsid w:val="00731665"/>
    <w:rsid w:val="00731DE0"/>
    <w:rsid w:val="00733E9C"/>
    <w:rsid w:val="00734AE8"/>
    <w:rsid w:val="00734B19"/>
    <w:rsid w:val="007362C3"/>
    <w:rsid w:val="00736F6D"/>
    <w:rsid w:val="007406A1"/>
    <w:rsid w:val="007406C6"/>
    <w:rsid w:val="007409BE"/>
    <w:rsid w:val="00741333"/>
    <w:rsid w:val="00741744"/>
    <w:rsid w:val="00743F4A"/>
    <w:rsid w:val="00743F52"/>
    <w:rsid w:val="00746410"/>
    <w:rsid w:val="0074681E"/>
    <w:rsid w:val="00747EC9"/>
    <w:rsid w:val="00750B4A"/>
    <w:rsid w:val="00750C49"/>
    <w:rsid w:val="00751534"/>
    <w:rsid w:val="00751D41"/>
    <w:rsid w:val="00752D08"/>
    <w:rsid w:val="00752ED4"/>
    <w:rsid w:val="0075329C"/>
    <w:rsid w:val="007534CF"/>
    <w:rsid w:val="007558B1"/>
    <w:rsid w:val="00756A4C"/>
    <w:rsid w:val="0076097A"/>
    <w:rsid w:val="00760E7A"/>
    <w:rsid w:val="0076123B"/>
    <w:rsid w:val="00762112"/>
    <w:rsid w:val="00762CDE"/>
    <w:rsid w:val="00763169"/>
    <w:rsid w:val="00763F8D"/>
    <w:rsid w:val="00765047"/>
    <w:rsid w:val="007652B1"/>
    <w:rsid w:val="00766C92"/>
    <w:rsid w:val="00766EF5"/>
    <w:rsid w:val="00767ABB"/>
    <w:rsid w:val="007720ED"/>
    <w:rsid w:val="00772200"/>
    <w:rsid w:val="00772B12"/>
    <w:rsid w:val="007738A3"/>
    <w:rsid w:val="0077395F"/>
    <w:rsid w:val="00774C74"/>
    <w:rsid w:val="00775928"/>
    <w:rsid w:val="007759A3"/>
    <w:rsid w:val="0077667C"/>
    <w:rsid w:val="00776A0A"/>
    <w:rsid w:val="0077772A"/>
    <w:rsid w:val="00777FEE"/>
    <w:rsid w:val="00780F3A"/>
    <w:rsid w:val="00781004"/>
    <w:rsid w:val="00781084"/>
    <w:rsid w:val="0078131C"/>
    <w:rsid w:val="00781FD4"/>
    <w:rsid w:val="007821BE"/>
    <w:rsid w:val="0078242F"/>
    <w:rsid w:val="0078276B"/>
    <w:rsid w:val="007827CF"/>
    <w:rsid w:val="00782A47"/>
    <w:rsid w:val="00783072"/>
    <w:rsid w:val="0078426F"/>
    <w:rsid w:val="007842D4"/>
    <w:rsid w:val="00784DF9"/>
    <w:rsid w:val="007855AA"/>
    <w:rsid w:val="00785701"/>
    <w:rsid w:val="00786747"/>
    <w:rsid w:val="0078684F"/>
    <w:rsid w:val="00786A93"/>
    <w:rsid w:val="00786D82"/>
    <w:rsid w:val="0079061D"/>
    <w:rsid w:val="00791A76"/>
    <w:rsid w:val="00791B4F"/>
    <w:rsid w:val="00792321"/>
    <w:rsid w:val="007930D3"/>
    <w:rsid w:val="00793BBB"/>
    <w:rsid w:val="00793E6F"/>
    <w:rsid w:val="0079400E"/>
    <w:rsid w:val="00794578"/>
    <w:rsid w:val="00794AC4"/>
    <w:rsid w:val="00794CDD"/>
    <w:rsid w:val="00794D41"/>
    <w:rsid w:val="00796F87"/>
    <w:rsid w:val="0079758E"/>
    <w:rsid w:val="00797CF5"/>
    <w:rsid w:val="00797E54"/>
    <w:rsid w:val="007A0383"/>
    <w:rsid w:val="007A17CC"/>
    <w:rsid w:val="007A1E1A"/>
    <w:rsid w:val="007A2353"/>
    <w:rsid w:val="007A23E9"/>
    <w:rsid w:val="007A3437"/>
    <w:rsid w:val="007A3680"/>
    <w:rsid w:val="007A70B2"/>
    <w:rsid w:val="007A73F9"/>
    <w:rsid w:val="007B1AA3"/>
    <w:rsid w:val="007B2439"/>
    <w:rsid w:val="007B2532"/>
    <w:rsid w:val="007B26A2"/>
    <w:rsid w:val="007B295D"/>
    <w:rsid w:val="007B2BEF"/>
    <w:rsid w:val="007B33A0"/>
    <w:rsid w:val="007B4301"/>
    <w:rsid w:val="007B4A04"/>
    <w:rsid w:val="007B4AD5"/>
    <w:rsid w:val="007B527A"/>
    <w:rsid w:val="007B58C8"/>
    <w:rsid w:val="007B6CC1"/>
    <w:rsid w:val="007C0212"/>
    <w:rsid w:val="007C062A"/>
    <w:rsid w:val="007C0A77"/>
    <w:rsid w:val="007C17AC"/>
    <w:rsid w:val="007C1D8A"/>
    <w:rsid w:val="007C1DE4"/>
    <w:rsid w:val="007C2B80"/>
    <w:rsid w:val="007C36ED"/>
    <w:rsid w:val="007C3736"/>
    <w:rsid w:val="007C3DC3"/>
    <w:rsid w:val="007C4498"/>
    <w:rsid w:val="007C58CF"/>
    <w:rsid w:val="007C6318"/>
    <w:rsid w:val="007C6A0C"/>
    <w:rsid w:val="007C7F68"/>
    <w:rsid w:val="007D2472"/>
    <w:rsid w:val="007D3C7C"/>
    <w:rsid w:val="007D4E4E"/>
    <w:rsid w:val="007D5319"/>
    <w:rsid w:val="007D5ED0"/>
    <w:rsid w:val="007D6086"/>
    <w:rsid w:val="007D60A5"/>
    <w:rsid w:val="007D6BEC"/>
    <w:rsid w:val="007D72E4"/>
    <w:rsid w:val="007E01B1"/>
    <w:rsid w:val="007E0559"/>
    <w:rsid w:val="007E0E96"/>
    <w:rsid w:val="007E17EF"/>
    <w:rsid w:val="007E1D42"/>
    <w:rsid w:val="007E521C"/>
    <w:rsid w:val="007E575B"/>
    <w:rsid w:val="007E5CE8"/>
    <w:rsid w:val="007E5F0F"/>
    <w:rsid w:val="007E663A"/>
    <w:rsid w:val="007E7085"/>
    <w:rsid w:val="007F0098"/>
    <w:rsid w:val="007F0692"/>
    <w:rsid w:val="007F107A"/>
    <w:rsid w:val="007F11CA"/>
    <w:rsid w:val="007F120F"/>
    <w:rsid w:val="007F1367"/>
    <w:rsid w:val="007F1413"/>
    <w:rsid w:val="007F1704"/>
    <w:rsid w:val="007F176E"/>
    <w:rsid w:val="007F1F1B"/>
    <w:rsid w:val="007F20F9"/>
    <w:rsid w:val="007F297E"/>
    <w:rsid w:val="007F2994"/>
    <w:rsid w:val="007F4210"/>
    <w:rsid w:val="007F49B4"/>
    <w:rsid w:val="007F580A"/>
    <w:rsid w:val="007F6CAF"/>
    <w:rsid w:val="007F7647"/>
    <w:rsid w:val="008009DD"/>
    <w:rsid w:val="00801362"/>
    <w:rsid w:val="00802987"/>
    <w:rsid w:val="00802A9D"/>
    <w:rsid w:val="00802B5E"/>
    <w:rsid w:val="0080300F"/>
    <w:rsid w:val="008039A2"/>
    <w:rsid w:val="00803F5E"/>
    <w:rsid w:val="00804551"/>
    <w:rsid w:val="00804D3D"/>
    <w:rsid w:val="00804F84"/>
    <w:rsid w:val="00805376"/>
    <w:rsid w:val="0080570A"/>
    <w:rsid w:val="008069AD"/>
    <w:rsid w:val="00807690"/>
    <w:rsid w:val="00807DAC"/>
    <w:rsid w:val="00807F46"/>
    <w:rsid w:val="00811531"/>
    <w:rsid w:val="0081229E"/>
    <w:rsid w:val="00812520"/>
    <w:rsid w:val="00812941"/>
    <w:rsid w:val="00813630"/>
    <w:rsid w:val="00813F73"/>
    <w:rsid w:val="0081424D"/>
    <w:rsid w:val="00814436"/>
    <w:rsid w:val="008149E2"/>
    <w:rsid w:val="00814B0B"/>
    <w:rsid w:val="00815ABC"/>
    <w:rsid w:val="00815DFF"/>
    <w:rsid w:val="00816175"/>
    <w:rsid w:val="00817392"/>
    <w:rsid w:val="00817A7A"/>
    <w:rsid w:val="00817B89"/>
    <w:rsid w:val="0082016F"/>
    <w:rsid w:val="0082044D"/>
    <w:rsid w:val="008219AC"/>
    <w:rsid w:val="008228F4"/>
    <w:rsid w:val="008232C2"/>
    <w:rsid w:val="00823B29"/>
    <w:rsid w:val="008248B1"/>
    <w:rsid w:val="00825341"/>
    <w:rsid w:val="008253CA"/>
    <w:rsid w:val="00826FC9"/>
    <w:rsid w:val="0082736D"/>
    <w:rsid w:val="00827E85"/>
    <w:rsid w:val="00827F4F"/>
    <w:rsid w:val="0083084A"/>
    <w:rsid w:val="00830CB9"/>
    <w:rsid w:val="008311A1"/>
    <w:rsid w:val="00831D8A"/>
    <w:rsid w:val="00833053"/>
    <w:rsid w:val="00834ED5"/>
    <w:rsid w:val="008353B7"/>
    <w:rsid w:val="0083634D"/>
    <w:rsid w:val="008369ED"/>
    <w:rsid w:val="008379D4"/>
    <w:rsid w:val="00837F4C"/>
    <w:rsid w:val="00840215"/>
    <w:rsid w:val="00840560"/>
    <w:rsid w:val="00841189"/>
    <w:rsid w:val="008418C0"/>
    <w:rsid w:val="00842195"/>
    <w:rsid w:val="0084240B"/>
    <w:rsid w:val="00842DF0"/>
    <w:rsid w:val="00843422"/>
    <w:rsid w:val="00844A4C"/>
    <w:rsid w:val="00844D72"/>
    <w:rsid w:val="008454CC"/>
    <w:rsid w:val="0084550A"/>
    <w:rsid w:val="00845925"/>
    <w:rsid w:val="00845D28"/>
    <w:rsid w:val="00845F9D"/>
    <w:rsid w:val="00846231"/>
    <w:rsid w:val="0084677F"/>
    <w:rsid w:val="00846BC7"/>
    <w:rsid w:val="00847073"/>
    <w:rsid w:val="008475A5"/>
    <w:rsid w:val="0084796F"/>
    <w:rsid w:val="00847D91"/>
    <w:rsid w:val="00847F12"/>
    <w:rsid w:val="008514A7"/>
    <w:rsid w:val="00852273"/>
    <w:rsid w:val="008542FE"/>
    <w:rsid w:val="00854646"/>
    <w:rsid w:val="00854813"/>
    <w:rsid w:val="0085567B"/>
    <w:rsid w:val="0085640C"/>
    <w:rsid w:val="0085661B"/>
    <w:rsid w:val="008566D3"/>
    <w:rsid w:val="00860A9E"/>
    <w:rsid w:val="008613C7"/>
    <w:rsid w:val="008616CE"/>
    <w:rsid w:val="008619BF"/>
    <w:rsid w:val="0086291B"/>
    <w:rsid w:val="00862F69"/>
    <w:rsid w:val="00863D45"/>
    <w:rsid w:val="008640E6"/>
    <w:rsid w:val="008644B7"/>
    <w:rsid w:val="00865BC2"/>
    <w:rsid w:val="0086644C"/>
    <w:rsid w:val="008666C9"/>
    <w:rsid w:val="00867D8B"/>
    <w:rsid w:val="00871E01"/>
    <w:rsid w:val="00871F0A"/>
    <w:rsid w:val="008722D2"/>
    <w:rsid w:val="0087257A"/>
    <w:rsid w:val="00872A11"/>
    <w:rsid w:val="00872AD8"/>
    <w:rsid w:val="00872ADF"/>
    <w:rsid w:val="00872B6F"/>
    <w:rsid w:val="00873D3C"/>
    <w:rsid w:val="00874812"/>
    <w:rsid w:val="008749E5"/>
    <w:rsid w:val="00874FC4"/>
    <w:rsid w:val="00875404"/>
    <w:rsid w:val="00876116"/>
    <w:rsid w:val="008764DA"/>
    <w:rsid w:val="00877D5C"/>
    <w:rsid w:val="00881671"/>
    <w:rsid w:val="00881DC6"/>
    <w:rsid w:val="00882373"/>
    <w:rsid w:val="008825BE"/>
    <w:rsid w:val="00882B2B"/>
    <w:rsid w:val="00882ED2"/>
    <w:rsid w:val="00883D0B"/>
    <w:rsid w:val="00884102"/>
    <w:rsid w:val="0088643E"/>
    <w:rsid w:val="00887881"/>
    <w:rsid w:val="008906B8"/>
    <w:rsid w:val="00890B51"/>
    <w:rsid w:val="00890B65"/>
    <w:rsid w:val="00890BF5"/>
    <w:rsid w:val="0089103D"/>
    <w:rsid w:val="00891208"/>
    <w:rsid w:val="0089120E"/>
    <w:rsid w:val="0089141D"/>
    <w:rsid w:val="008923B9"/>
    <w:rsid w:val="008924C6"/>
    <w:rsid w:val="008951D5"/>
    <w:rsid w:val="0089530F"/>
    <w:rsid w:val="00895D01"/>
    <w:rsid w:val="00895D14"/>
    <w:rsid w:val="00896A22"/>
    <w:rsid w:val="00897C49"/>
    <w:rsid w:val="00897D48"/>
    <w:rsid w:val="00897DBA"/>
    <w:rsid w:val="008A02D5"/>
    <w:rsid w:val="008A0466"/>
    <w:rsid w:val="008A08FC"/>
    <w:rsid w:val="008A1115"/>
    <w:rsid w:val="008A20ED"/>
    <w:rsid w:val="008A2290"/>
    <w:rsid w:val="008A2CDB"/>
    <w:rsid w:val="008A2DE9"/>
    <w:rsid w:val="008A37E4"/>
    <w:rsid w:val="008A3EE6"/>
    <w:rsid w:val="008A4087"/>
    <w:rsid w:val="008A441B"/>
    <w:rsid w:val="008A4B3E"/>
    <w:rsid w:val="008A558A"/>
    <w:rsid w:val="008A618E"/>
    <w:rsid w:val="008A62FC"/>
    <w:rsid w:val="008A63AB"/>
    <w:rsid w:val="008A7269"/>
    <w:rsid w:val="008B09C2"/>
    <w:rsid w:val="008B0EE8"/>
    <w:rsid w:val="008B0F2C"/>
    <w:rsid w:val="008B1753"/>
    <w:rsid w:val="008B1D45"/>
    <w:rsid w:val="008B327C"/>
    <w:rsid w:val="008B3477"/>
    <w:rsid w:val="008B41DF"/>
    <w:rsid w:val="008B58D3"/>
    <w:rsid w:val="008B5A1C"/>
    <w:rsid w:val="008B5CD6"/>
    <w:rsid w:val="008B5D15"/>
    <w:rsid w:val="008B5D4B"/>
    <w:rsid w:val="008B60A2"/>
    <w:rsid w:val="008B6118"/>
    <w:rsid w:val="008B6C58"/>
    <w:rsid w:val="008B6DB1"/>
    <w:rsid w:val="008C0025"/>
    <w:rsid w:val="008C053C"/>
    <w:rsid w:val="008C17D8"/>
    <w:rsid w:val="008C2BC6"/>
    <w:rsid w:val="008C314D"/>
    <w:rsid w:val="008C3164"/>
    <w:rsid w:val="008C361C"/>
    <w:rsid w:val="008C36C0"/>
    <w:rsid w:val="008C5A4B"/>
    <w:rsid w:val="008C6180"/>
    <w:rsid w:val="008C6725"/>
    <w:rsid w:val="008C75B4"/>
    <w:rsid w:val="008C7AEE"/>
    <w:rsid w:val="008D0531"/>
    <w:rsid w:val="008D0D71"/>
    <w:rsid w:val="008D1CDD"/>
    <w:rsid w:val="008D2985"/>
    <w:rsid w:val="008D2D03"/>
    <w:rsid w:val="008D2D8B"/>
    <w:rsid w:val="008D30A5"/>
    <w:rsid w:val="008D30CA"/>
    <w:rsid w:val="008D33D6"/>
    <w:rsid w:val="008D3831"/>
    <w:rsid w:val="008D3B44"/>
    <w:rsid w:val="008D4760"/>
    <w:rsid w:val="008D521A"/>
    <w:rsid w:val="008D57D2"/>
    <w:rsid w:val="008D6468"/>
    <w:rsid w:val="008D6718"/>
    <w:rsid w:val="008D7BC3"/>
    <w:rsid w:val="008E03BB"/>
    <w:rsid w:val="008E162F"/>
    <w:rsid w:val="008E214A"/>
    <w:rsid w:val="008E2970"/>
    <w:rsid w:val="008E2ADE"/>
    <w:rsid w:val="008E53C5"/>
    <w:rsid w:val="008E6B38"/>
    <w:rsid w:val="008E7FBB"/>
    <w:rsid w:val="008F03C1"/>
    <w:rsid w:val="008F284B"/>
    <w:rsid w:val="008F3B8A"/>
    <w:rsid w:val="008F3BCD"/>
    <w:rsid w:val="008F484E"/>
    <w:rsid w:val="008F4A1D"/>
    <w:rsid w:val="008F5973"/>
    <w:rsid w:val="008F70B3"/>
    <w:rsid w:val="009014F3"/>
    <w:rsid w:val="0090250B"/>
    <w:rsid w:val="00902EA3"/>
    <w:rsid w:val="00902F79"/>
    <w:rsid w:val="0090330C"/>
    <w:rsid w:val="00903B54"/>
    <w:rsid w:val="00903F91"/>
    <w:rsid w:val="00904290"/>
    <w:rsid w:val="00904879"/>
    <w:rsid w:val="0090491A"/>
    <w:rsid w:val="009056CC"/>
    <w:rsid w:val="00910250"/>
    <w:rsid w:val="00910832"/>
    <w:rsid w:val="009123CF"/>
    <w:rsid w:val="00912D3F"/>
    <w:rsid w:val="0091301C"/>
    <w:rsid w:val="0091321F"/>
    <w:rsid w:val="009143FE"/>
    <w:rsid w:val="00914761"/>
    <w:rsid w:val="00914CE8"/>
    <w:rsid w:val="00915D38"/>
    <w:rsid w:val="00916497"/>
    <w:rsid w:val="009179F2"/>
    <w:rsid w:val="00917A17"/>
    <w:rsid w:val="009200BD"/>
    <w:rsid w:val="009211BB"/>
    <w:rsid w:val="00921685"/>
    <w:rsid w:val="00921A7A"/>
    <w:rsid w:val="00922024"/>
    <w:rsid w:val="00922363"/>
    <w:rsid w:val="0092561E"/>
    <w:rsid w:val="00925D21"/>
    <w:rsid w:val="0092721B"/>
    <w:rsid w:val="00927BD6"/>
    <w:rsid w:val="0093037F"/>
    <w:rsid w:val="00930F3B"/>
    <w:rsid w:val="00931F27"/>
    <w:rsid w:val="00932977"/>
    <w:rsid w:val="00932A13"/>
    <w:rsid w:val="00932D92"/>
    <w:rsid w:val="00933198"/>
    <w:rsid w:val="00933F8B"/>
    <w:rsid w:val="009349E2"/>
    <w:rsid w:val="00934FD5"/>
    <w:rsid w:val="0093513E"/>
    <w:rsid w:val="0093529E"/>
    <w:rsid w:val="009366B6"/>
    <w:rsid w:val="0094083C"/>
    <w:rsid w:val="0094191C"/>
    <w:rsid w:val="00941B52"/>
    <w:rsid w:val="00942E11"/>
    <w:rsid w:val="00943705"/>
    <w:rsid w:val="009445F7"/>
    <w:rsid w:val="00944670"/>
    <w:rsid w:val="00945483"/>
    <w:rsid w:val="0094616A"/>
    <w:rsid w:val="0094617F"/>
    <w:rsid w:val="00946361"/>
    <w:rsid w:val="009463F1"/>
    <w:rsid w:val="00946464"/>
    <w:rsid w:val="00946F5C"/>
    <w:rsid w:val="00947111"/>
    <w:rsid w:val="00947CD6"/>
    <w:rsid w:val="00950E9F"/>
    <w:rsid w:val="00951314"/>
    <w:rsid w:val="00951340"/>
    <w:rsid w:val="00951864"/>
    <w:rsid w:val="00951C3A"/>
    <w:rsid w:val="0095267B"/>
    <w:rsid w:val="00953611"/>
    <w:rsid w:val="00953DB5"/>
    <w:rsid w:val="009543CF"/>
    <w:rsid w:val="0095454E"/>
    <w:rsid w:val="0095540D"/>
    <w:rsid w:val="0095578E"/>
    <w:rsid w:val="009569C6"/>
    <w:rsid w:val="00957317"/>
    <w:rsid w:val="00957F87"/>
    <w:rsid w:val="009602D6"/>
    <w:rsid w:val="0096159E"/>
    <w:rsid w:val="00961BE2"/>
    <w:rsid w:val="00963235"/>
    <w:rsid w:val="00963B6F"/>
    <w:rsid w:val="00963FF6"/>
    <w:rsid w:val="00964120"/>
    <w:rsid w:val="009650D0"/>
    <w:rsid w:val="009654F6"/>
    <w:rsid w:val="009667AA"/>
    <w:rsid w:val="00966CB6"/>
    <w:rsid w:val="00966ED5"/>
    <w:rsid w:val="00970DEE"/>
    <w:rsid w:val="0097179D"/>
    <w:rsid w:val="00971E00"/>
    <w:rsid w:val="009731E0"/>
    <w:rsid w:val="009735FC"/>
    <w:rsid w:val="00973CD1"/>
    <w:rsid w:val="0097439E"/>
    <w:rsid w:val="00974A20"/>
    <w:rsid w:val="009752A3"/>
    <w:rsid w:val="009758B6"/>
    <w:rsid w:val="00975D07"/>
    <w:rsid w:val="009768D1"/>
    <w:rsid w:val="00976E71"/>
    <w:rsid w:val="00977000"/>
    <w:rsid w:val="00977393"/>
    <w:rsid w:val="0097761B"/>
    <w:rsid w:val="0097762C"/>
    <w:rsid w:val="00977A27"/>
    <w:rsid w:val="00977C46"/>
    <w:rsid w:val="009809FB"/>
    <w:rsid w:val="00980D3D"/>
    <w:rsid w:val="0098209F"/>
    <w:rsid w:val="00982842"/>
    <w:rsid w:val="00983232"/>
    <w:rsid w:val="00983520"/>
    <w:rsid w:val="00983915"/>
    <w:rsid w:val="009846A9"/>
    <w:rsid w:val="00984AD8"/>
    <w:rsid w:val="00984FF0"/>
    <w:rsid w:val="00985BE0"/>
    <w:rsid w:val="009866A7"/>
    <w:rsid w:val="00986E2B"/>
    <w:rsid w:val="00986ED7"/>
    <w:rsid w:val="009871DE"/>
    <w:rsid w:val="00987FCB"/>
    <w:rsid w:val="0099085B"/>
    <w:rsid w:val="009908F8"/>
    <w:rsid w:val="00990B55"/>
    <w:rsid w:val="00991E6B"/>
    <w:rsid w:val="009924D3"/>
    <w:rsid w:val="00992609"/>
    <w:rsid w:val="009933A2"/>
    <w:rsid w:val="00993DC2"/>
    <w:rsid w:val="009940D9"/>
    <w:rsid w:val="009945F6"/>
    <w:rsid w:val="00995665"/>
    <w:rsid w:val="009963DA"/>
    <w:rsid w:val="0099762E"/>
    <w:rsid w:val="009A0D6A"/>
    <w:rsid w:val="009A113A"/>
    <w:rsid w:val="009A2507"/>
    <w:rsid w:val="009A2A87"/>
    <w:rsid w:val="009A2EB0"/>
    <w:rsid w:val="009A3A1A"/>
    <w:rsid w:val="009A4442"/>
    <w:rsid w:val="009A4F2F"/>
    <w:rsid w:val="009A506D"/>
    <w:rsid w:val="009A5192"/>
    <w:rsid w:val="009A55A7"/>
    <w:rsid w:val="009B0D27"/>
    <w:rsid w:val="009B10D7"/>
    <w:rsid w:val="009B2998"/>
    <w:rsid w:val="009B39D7"/>
    <w:rsid w:val="009B3E31"/>
    <w:rsid w:val="009B422C"/>
    <w:rsid w:val="009B4C43"/>
    <w:rsid w:val="009B599C"/>
    <w:rsid w:val="009B74C6"/>
    <w:rsid w:val="009B74E6"/>
    <w:rsid w:val="009B76F9"/>
    <w:rsid w:val="009B79C2"/>
    <w:rsid w:val="009B7A46"/>
    <w:rsid w:val="009B7FAC"/>
    <w:rsid w:val="009C0B90"/>
    <w:rsid w:val="009C0FB6"/>
    <w:rsid w:val="009C1A89"/>
    <w:rsid w:val="009C1E11"/>
    <w:rsid w:val="009C214A"/>
    <w:rsid w:val="009C3877"/>
    <w:rsid w:val="009C560D"/>
    <w:rsid w:val="009C580B"/>
    <w:rsid w:val="009C5BC1"/>
    <w:rsid w:val="009C62C8"/>
    <w:rsid w:val="009C6F39"/>
    <w:rsid w:val="009C7828"/>
    <w:rsid w:val="009C7EB7"/>
    <w:rsid w:val="009D0058"/>
    <w:rsid w:val="009D13BA"/>
    <w:rsid w:val="009D173E"/>
    <w:rsid w:val="009D24DB"/>
    <w:rsid w:val="009D2E53"/>
    <w:rsid w:val="009D3201"/>
    <w:rsid w:val="009D4A94"/>
    <w:rsid w:val="009D4D0F"/>
    <w:rsid w:val="009D5160"/>
    <w:rsid w:val="009D57EB"/>
    <w:rsid w:val="009D5EDA"/>
    <w:rsid w:val="009D616A"/>
    <w:rsid w:val="009D63E6"/>
    <w:rsid w:val="009D65EB"/>
    <w:rsid w:val="009D68E6"/>
    <w:rsid w:val="009D6973"/>
    <w:rsid w:val="009D699E"/>
    <w:rsid w:val="009D69C8"/>
    <w:rsid w:val="009D6ECC"/>
    <w:rsid w:val="009E0116"/>
    <w:rsid w:val="009E01BF"/>
    <w:rsid w:val="009E2133"/>
    <w:rsid w:val="009E2C95"/>
    <w:rsid w:val="009E3942"/>
    <w:rsid w:val="009E3BAE"/>
    <w:rsid w:val="009E4AAF"/>
    <w:rsid w:val="009E4BE7"/>
    <w:rsid w:val="009E4F13"/>
    <w:rsid w:val="009E5061"/>
    <w:rsid w:val="009E55D5"/>
    <w:rsid w:val="009E5A95"/>
    <w:rsid w:val="009E644E"/>
    <w:rsid w:val="009E64CE"/>
    <w:rsid w:val="009E6AFF"/>
    <w:rsid w:val="009E6CD7"/>
    <w:rsid w:val="009E7FF3"/>
    <w:rsid w:val="009F03BF"/>
    <w:rsid w:val="009F17B2"/>
    <w:rsid w:val="009F20A1"/>
    <w:rsid w:val="009F2416"/>
    <w:rsid w:val="009F25F2"/>
    <w:rsid w:val="009F277E"/>
    <w:rsid w:val="009F304F"/>
    <w:rsid w:val="009F4312"/>
    <w:rsid w:val="009F582B"/>
    <w:rsid w:val="009F68A3"/>
    <w:rsid w:val="009F699F"/>
    <w:rsid w:val="009F7215"/>
    <w:rsid w:val="009F7F3E"/>
    <w:rsid w:val="00A00280"/>
    <w:rsid w:val="00A01791"/>
    <w:rsid w:val="00A017B3"/>
    <w:rsid w:val="00A02050"/>
    <w:rsid w:val="00A020B5"/>
    <w:rsid w:val="00A02AF9"/>
    <w:rsid w:val="00A034D4"/>
    <w:rsid w:val="00A040C2"/>
    <w:rsid w:val="00A0438E"/>
    <w:rsid w:val="00A04F8D"/>
    <w:rsid w:val="00A05BD5"/>
    <w:rsid w:val="00A05CEB"/>
    <w:rsid w:val="00A05D37"/>
    <w:rsid w:val="00A05E90"/>
    <w:rsid w:val="00A0638E"/>
    <w:rsid w:val="00A074DF"/>
    <w:rsid w:val="00A1013F"/>
    <w:rsid w:val="00A11564"/>
    <w:rsid w:val="00A117D2"/>
    <w:rsid w:val="00A11890"/>
    <w:rsid w:val="00A11A04"/>
    <w:rsid w:val="00A11A91"/>
    <w:rsid w:val="00A13BA1"/>
    <w:rsid w:val="00A13DEF"/>
    <w:rsid w:val="00A147E9"/>
    <w:rsid w:val="00A16AB2"/>
    <w:rsid w:val="00A16D66"/>
    <w:rsid w:val="00A16DAB"/>
    <w:rsid w:val="00A20E2D"/>
    <w:rsid w:val="00A212FF"/>
    <w:rsid w:val="00A23920"/>
    <w:rsid w:val="00A23928"/>
    <w:rsid w:val="00A23A3E"/>
    <w:rsid w:val="00A23B68"/>
    <w:rsid w:val="00A24EEB"/>
    <w:rsid w:val="00A25E70"/>
    <w:rsid w:val="00A26489"/>
    <w:rsid w:val="00A269F5"/>
    <w:rsid w:val="00A27AE3"/>
    <w:rsid w:val="00A27C0A"/>
    <w:rsid w:val="00A30849"/>
    <w:rsid w:val="00A30963"/>
    <w:rsid w:val="00A310DA"/>
    <w:rsid w:val="00A3157F"/>
    <w:rsid w:val="00A3249E"/>
    <w:rsid w:val="00A325ED"/>
    <w:rsid w:val="00A328B2"/>
    <w:rsid w:val="00A34ED6"/>
    <w:rsid w:val="00A3520A"/>
    <w:rsid w:val="00A35280"/>
    <w:rsid w:val="00A363D4"/>
    <w:rsid w:val="00A3653F"/>
    <w:rsid w:val="00A365EA"/>
    <w:rsid w:val="00A36B33"/>
    <w:rsid w:val="00A41A8A"/>
    <w:rsid w:val="00A431DA"/>
    <w:rsid w:val="00A437B2"/>
    <w:rsid w:val="00A43C45"/>
    <w:rsid w:val="00A44E57"/>
    <w:rsid w:val="00A46070"/>
    <w:rsid w:val="00A46A33"/>
    <w:rsid w:val="00A46F78"/>
    <w:rsid w:val="00A47756"/>
    <w:rsid w:val="00A47A8F"/>
    <w:rsid w:val="00A50320"/>
    <w:rsid w:val="00A51381"/>
    <w:rsid w:val="00A514F8"/>
    <w:rsid w:val="00A520C5"/>
    <w:rsid w:val="00A5291D"/>
    <w:rsid w:val="00A54871"/>
    <w:rsid w:val="00A5488E"/>
    <w:rsid w:val="00A54AC7"/>
    <w:rsid w:val="00A55B0C"/>
    <w:rsid w:val="00A56FD3"/>
    <w:rsid w:val="00A5701E"/>
    <w:rsid w:val="00A572CC"/>
    <w:rsid w:val="00A57F52"/>
    <w:rsid w:val="00A6087A"/>
    <w:rsid w:val="00A611CA"/>
    <w:rsid w:val="00A6200F"/>
    <w:rsid w:val="00A62998"/>
    <w:rsid w:val="00A62E7B"/>
    <w:rsid w:val="00A6329D"/>
    <w:rsid w:val="00A6366E"/>
    <w:rsid w:val="00A64948"/>
    <w:rsid w:val="00A64A39"/>
    <w:rsid w:val="00A64D82"/>
    <w:rsid w:val="00A651D4"/>
    <w:rsid w:val="00A6581F"/>
    <w:rsid w:val="00A65D87"/>
    <w:rsid w:val="00A673D5"/>
    <w:rsid w:val="00A67F9D"/>
    <w:rsid w:val="00A70711"/>
    <w:rsid w:val="00A718E3"/>
    <w:rsid w:val="00A722E3"/>
    <w:rsid w:val="00A72368"/>
    <w:rsid w:val="00A72D13"/>
    <w:rsid w:val="00A72D1A"/>
    <w:rsid w:val="00A73FDB"/>
    <w:rsid w:val="00A7413D"/>
    <w:rsid w:val="00A743C0"/>
    <w:rsid w:val="00A74B49"/>
    <w:rsid w:val="00A76104"/>
    <w:rsid w:val="00A7666E"/>
    <w:rsid w:val="00A76B85"/>
    <w:rsid w:val="00A771CB"/>
    <w:rsid w:val="00A77866"/>
    <w:rsid w:val="00A7799B"/>
    <w:rsid w:val="00A8067B"/>
    <w:rsid w:val="00A8070F"/>
    <w:rsid w:val="00A80CB3"/>
    <w:rsid w:val="00A81337"/>
    <w:rsid w:val="00A816CC"/>
    <w:rsid w:val="00A82CDD"/>
    <w:rsid w:val="00A82D1F"/>
    <w:rsid w:val="00A84494"/>
    <w:rsid w:val="00A8539D"/>
    <w:rsid w:val="00A8560F"/>
    <w:rsid w:val="00A862BD"/>
    <w:rsid w:val="00A86475"/>
    <w:rsid w:val="00A86BA0"/>
    <w:rsid w:val="00A86BBF"/>
    <w:rsid w:val="00A86F61"/>
    <w:rsid w:val="00A87100"/>
    <w:rsid w:val="00A90DC8"/>
    <w:rsid w:val="00A91B81"/>
    <w:rsid w:val="00A91FE1"/>
    <w:rsid w:val="00A9210F"/>
    <w:rsid w:val="00A92264"/>
    <w:rsid w:val="00A92570"/>
    <w:rsid w:val="00A9260F"/>
    <w:rsid w:val="00A92CDD"/>
    <w:rsid w:val="00A92D48"/>
    <w:rsid w:val="00A931B1"/>
    <w:rsid w:val="00A93648"/>
    <w:rsid w:val="00A9383A"/>
    <w:rsid w:val="00A9464F"/>
    <w:rsid w:val="00A95274"/>
    <w:rsid w:val="00A952A0"/>
    <w:rsid w:val="00A9607F"/>
    <w:rsid w:val="00A96115"/>
    <w:rsid w:val="00A97933"/>
    <w:rsid w:val="00AA0C6E"/>
    <w:rsid w:val="00AA1587"/>
    <w:rsid w:val="00AA1BF0"/>
    <w:rsid w:val="00AA2456"/>
    <w:rsid w:val="00AA29A8"/>
    <w:rsid w:val="00AA2FA1"/>
    <w:rsid w:val="00AA3C7C"/>
    <w:rsid w:val="00AA3D7F"/>
    <w:rsid w:val="00AA4BEE"/>
    <w:rsid w:val="00AA51F2"/>
    <w:rsid w:val="00AA530C"/>
    <w:rsid w:val="00AA5E7A"/>
    <w:rsid w:val="00AA67DE"/>
    <w:rsid w:val="00AA6897"/>
    <w:rsid w:val="00AA68F5"/>
    <w:rsid w:val="00AA6A19"/>
    <w:rsid w:val="00AA6C89"/>
    <w:rsid w:val="00AA6ED9"/>
    <w:rsid w:val="00AA75CE"/>
    <w:rsid w:val="00AB01ED"/>
    <w:rsid w:val="00AB0652"/>
    <w:rsid w:val="00AB0DCE"/>
    <w:rsid w:val="00AB101C"/>
    <w:rsid w:val="00AB19C8"/>
    <w:rsid w:val="00AB19D5"/>
    <w:rsid w:val="00AB2044"/>
    <w:rsid w:val="00AB3770"/>
    <w:rsid w:val="00AB38EE"/>
    <w:rsid w:val="00AB4DE4"/>
    <w:rsid w:val="00AB5296"/>
    <w:rsid w:val="00AB6A09"/>
    <w:rsid w:val="00AB7B8A"/>
    <w:rsid w:val="00AB7F50"/>
    <w:rsid w:val="00AC124A"/>
    <w:rsid w:val="00AC1738"/>
    <w:rsid w:val="00AC23FE"/>
    <w:rsid w:val="00AC363B"/>
    <w:rsid w:val="00AC3B5B"/>
    <w:rsid w:val="00AC4369"/>
    <w:rsid w:val="00AC4412"/>
    <w:rsid w:val="00AC47B3"/>
    <w:rsid w:val="00AC4A0D"/>
    <w:rsid w:val="00AC4A2A"/>
    <w:rsid w:val="00AC4CC0"/>
    <w:rsid w:val="00AC564E"/>
    <w:rsid w:val="00AC5917"/>
    <w:rsid w:val="00AC6966"/>
    <w:rsid w:val="00AC7094"/>
    <w:rsid w:val="00AC769C"/>
    <w:rsid w:val="00AC7A4A"/>
    <w:rsid w:val="00AD05D4"/>
    <w:rsid w:val="00AD0E2B"/>
    <w:rsid w:val="00AD2244"/>
    <w:rsid w:val="00AD27DB"/>
    <w:rsid w:val="00AD2A6D"/>
    <w:rsid w:val="00AD2BB9"/>
    <w:rsid w:val="00AD3AAF"/>
    <w:rsid w:val="00AD4164"/>
    <w:rsid w:val="00AD516E"/>
    <w:rsid w:val="00AD52BD"/>
    <w:rsid w:val="00AD547A"/>
    <w:rsid w:val="00AD57CF"/>
    <w:rsid w:val="00AD6226"/>
    <w:rsid w:val="00AD64DA"/>
    <w:rsid w:val="00AD7298"/>
    <w:rsid w:val="00AD75EC"/>
    <w:rsid w:val="00AD78A8"/>
    <w:rsid w:val="00AD7CF6"/>
    <w:rsid w:val="00AE0001"/>
    <w:rsid w:val="00AE1DC6"/>
    <w:rsid w:val="00AE1FAA"/>
    <w:rsid w:val="00AE4781"/>
    <w:rsid w:val="00AE5299"/>
    <w:rsid w:val="00AE5A6D"/>
    <w:rsid w:val="00AE688D"/>
    <w:rsid w:val="00AE6A40"/>
    <w:rsid w:val="00AE6B28"/>
    <w:rsid w:val="00AE7C30"/>
    <w:rsid w:val="00AE7CD5"/>
    <w:rsid w:val="00AF0E7E"/>
    <w:rsid w:val="00AF17DD"/>
    <w:rsid w:val="00AF1BDE"/>
    <w:rsid w:val="00AF2520"/>
    <w:rsid w:val="00AF3143"/>
    <w:rsid w:val="00AF3504"/>
    <w:rsid w:val="00AF38A1"/>
    <w:rsid w:val="00AF3A7E"/>
    <w:rsid w:val="00AF4B27"/>
    <w:rsid w:val="00AF4D86"/>
    <w:rsid w:val="00AF50AC"/>
    <w:rsid w:val="00AF627D"/>
    <w:rsid w:val="00AF6572"/>
    <w:rsid w:val="00AF7A8C"/>
    <w:rsid w:val="00B01470"/>
    <w:rsid w:val="00B01589"/>
    <w:rsid w:val="00B02D3B"/>
    <w:rsid w:val="00B03BFF"/>
    <w:rsid w:val="00B03EE3"/>
    <w:rsid w:val="00B05130"/>
    <w:rsid w:val="00B052AC"/>
    <w:rsid w:val="00B05ACF"/>
    <w:rsid w:val="00B05E24"/>
    <w:rsid w:val="00B060E9"/>
    <w:rsid w:val="00B063CE"/>
    <w:rsid w:val="00B06741"/>
    <w:rsid w:val="00B06BE5"/>
    <w:rsid w:val="00B06D3F"/>
    <w:rsid w:val="00B07CD4"/>
    <w:rsid w:val="00B07FAF"/>
    <w:rsid w:val="00B102A5"/>
    <w:rsid w:val="00B10847"/>
    <w:rsid w:val="00B10C21"/>
    <w:rsid w:val="00B11035"/>
    <w:rsid w:val="00B11091"/>
    <w:rsid w:val="00B11991"/>
    <w:rsid w:val="00B13F9C"/>
    <w:rsid w:val="00B1498F"/>
    <w:rsid w:val="00B15DC4"/>
    <w:rsid w:val="00B17DF8"/>
    <w:rsid w:val="00B205E1"/>
    <w:rsid w:val="00B20C8C"/>
    <w:rsid w:val="00B2182A"/>
    <w:rsid w:val="00B21850"/>
    <w:rsid w:val="00B219D1"/>
    <w:rsid w:val="00B21DD1"/>
    <w:rsid w:val="00B22630"/>
    <w:rsid w:val="00B22740"/>
    <w:rsid w:val="00B22FD0"/>
    <w:rsid w:val="00B23F8F"/>
    <w:rsid w:val="00B25737"/>
    <w:rsid w:val="00B260AE"/>
    <w:rsid w:val="00B26560"/>
    <w:rsid w:val="00B2669C"/>
    <w:rsid w:val="00B2685C"/>
    <w:rsid w:val="00B26EF0"/>
    <w:rsid w:val="00B27765"/>
    <w:rsid w:val="00B27BFE"/>
    <w:rsid w:val="00B3036D"/>
    <w:rsid w:val="00B303BE"/>
    <w:rsid w:val="00B30781"/>
    <w:rsid w:val="00B327E4"/>
    <w:rsid w:val="00B32C74"/>
    <w:rsid w:val="00B32F97"/>
    <w:rsid w:val="00B334B7"/>
    <w:rsid w:val="00B33EB2"/>
    <w:rsid w:val="00B348AE"/>
    <w:rsid w:val="00B35653"/>
    <w:rsid w:val="00B36D56"/>
    <w:rsid w:val="00B37950"/>
    <w:rsid w:val="00B37F10"/>
    <w:rsid w:val="00B4060A"/>
    <w:rsid w:val="00B40C8C"/>
    <w:rsid w:val="00B410E3"/>
    <w:rsid w:val="00B411B1"/>
    <w:rsid w:val="00B4152D"/>
    <w:rsid w:val="00B4220D"/>
    <w:rsid w:val="00B427AD"/>
    <w:rsid w:val="00B42F3C"/>
    <w:rsid w:val="00B43316"/>
    <w:rsid w:val="00B43582"/>
    <w:rsid w:val="00B4371D"/>
    <w:rsid w:val="00B43A95"/>
    <w:rsid w:val="00B44A1A"/>
    <w:rsid w:val="00B4639F"/>
    <w:rsid w:val="00B46F18"/>
    <w:rsid w:val="00B46F36"/>
    <w:rsid w:val="00B50038"/>
    <w:rsid w:val="00B5042C"/>
    <w:rsid w:val="00B50469"/>
    <w:rsid w:val="00B541F6"/>
    <w:rsid w:val="00B55F9E"/>
    <w:rsid w:val="00B569A0"/>
    <w:rsid w:val="00B572B4"/>
    <w:rsid w:val="00B57F5D"/>
    <w:rsid w:val="00B604A4"/>
    <w:rsid w:val="00B60A7B"/>
    <w:rsid w:val="00B6116D"/>
    <w:rsid w:val="00B613E9"/>
    <w:rsid w:val="00B6143D"/>
    <w:rsid w:val="00B61493"/>
    <w:rsid w:val="00B61498"/>
    <w:rsid w:val="00B61995"/>
    <w:rsid w:val="00B61A2A"/>
    <w:rsid w:val="00B61B0C"/>
    <w:rsid w:val="00B627B8"/>
    <w:rsid w:val="00B62CD2"/>
    <w:rsid w:val="00B62D4F"/>
    <w:rsid w:val="00B63517"/>
    <w:rsid w:val="00B636CA"/>
    <w:rsid w:val="00B63A0D"/>
    <w:rsid w:val="00B65110"/>
    <w:rsid w:val="00B6586C"/>
    <w:rsid w:val="00B661FC"/>
    <w:rsid w:val="00B66E7F"/>
    <w:rsid w:val="00B67652"/>
    <w:rsid w:val="00B6787F"/>
    <w:rsid w:val="00B67FBF"/>
    <w:rsid w:val="00B70266"/>
    <w:rsid w:val="00B70795"/>
    <w:rsid w:val="00B70E80"/>
    <w:rsid w:val="00B72511"/>
    <w:rsid w:val="00B734F3"/>
    <w:rsid w:val="00B737D4"/>
    <w:rsid w:val="00B739F1"/>
    <w:rsid w:val="00B74AD9"/>
    <w:rsid w:val="00B755D6"/>
    <w:rsid w:val="00B758D8"/>
    <w:rsid w:val="00B758E9"/>
    <w:rsid w:val="00B764D5"/>
    <w:rsid w:val="00B77DDA"/>
    <w:rsid w:val="00B77F27"/>
    <w:rsid w:val="00B8078C"/>
    <w:rsid w:val="00B80956"/>
    <w:rsid w:val="00B80E89"/>
    <w:rsid w:val="00B81259"/>
    <w:rsid w:val="00B81D4F"/>
    <w:rsid w:val="00B82434"/>
    <w:rsid w:val="00B8281C"/>
    <w:rsid w:val="00B82B14"/>
    <w:rsid w:val="00B82BC2"/>
    <w:rsid w:val="00B83B9E"/>
    <w:rsid w:val="00B84273"/>
    <w:rsid w:val="00B8428C"/>
    <w:rsid w:val="00B85BE1"/>
    <w:rsid w:val="00B85EBF"/>
    <w:rsid w:val="00B863C4"/>
    <w:rsid w:val="00B90AC6"/>
    <w:rsid w:val="00B920E3"/>
    <w:rsid w:val="00B924C6"/>
    <w:rsid w:val="00B9273E"/>
    <w:rsid w:val="00B927A9"/>
    <w:rsid w:val="00B92D5E"/>
    <w:rsid w:val="00B946B2"/>
    <w:rsid w:val="00B94D92"/>
    <w:rsid w:val="00B9580B"/>
    <w:rsid w:val="00B96D49"/>
    <w:rsid w:val="00B96D51"/>
    <w:rsid w:val="00B96FB7"/>
    <w:rsid w:val="00B97D91"/>
    <w:rsid w:val="00BA0787"/>
    <w:rsid w:val="00BA0DD7"/>
    <w:rsid w:val="00BA1829"/>
    <w:rsid w:val="00BA1C5E"/>
    <w:rsid w:val="00BA2592"/>
    <w:rsid w:val="00BA3EB5"/>
    <w:rsid w:val="00BA4156"/>
    <w:rsid w:val="00BA49AD"/>
    <w:rsid w:val="00BA5024"/>
    <w:rsid w:val="00BA56A2"/>
    <w:rsid w:val="00BA5C0F"/>
    <w:rsid w:val="00BA6B60"/>
    <w:rsid w:val="00BA71B9"/>
    <w:rsid w:val="00BA7948"/>
    <w:rsid w:val="00BB0D43"/>
    <w:rsid w:val="00BB2B3B"/>
    <w:rsid w:val="00BB2C42"/>
    <w:rsid w:val="00BB3EE9"/>
    <w:rsid w:val="00BB46CE"/>
    <w:rsid w:val="00BB492A"/>
    <w:rsid w:val="00BB5514"/>
    <w:rsid w:val="00BB5903"/>
    <w:rsid w:val="00BB5C0C"/>
    <w:rsid w:val="00BB5EA4"/>
    <w:rsid w:val="00BB5ED4"/>
    <w:rsid w:val="00BB78AE"/>
    <w:rsid w:val="00BB7D23"/>
    <w:rsid w:val="00BC14DC"/>
    <w:rsid w:val="00BC15C4"/>
    <w:rsid w:val="00BC1FBB"/>
    <w:rsid w:val="00BC1FCE"/>
    <w:rsid w:val="00BC2E77"/>
    <w:rsid w:val="00BC4C9B"/>
    <w:rsid w:val="00BC4D63"/>
    <w:rsid w:val="00BC5A21"/>
    <w:rsid w:val="00BC6ABC"/>
    <w:rsid w:val="00BD0234"/>
    <w:rsid w:val="00BD0255"/>
    <w:rsid w:val="00BD0330"/>
    <w:rsid w:val="00BD038B"/>
    <w:rsid w:val="00BD0518"/>
    <w:rsid w:val="00BD0F41"/>
    <w:rsid w:val="00BD1988"/>
    <w:rsid w:val="00BD1BCB"/>
    <w:rsid w:val="00BD1C63"/>
    <w:rsid w:val="00BD1FCF"/>
    <w:rsid w:val="00BD217E"/>
    <w:rsid w:val="00BD2539"/>
    <w:rsid w:val="00BD35C2"/>
    <w:rsid w:val="00BD3CDB"/>
    <w:rsid w:val="00BD4902"/>
    <w:rsid w:val="00BD5586"/>
    <w:rsid w:val="00BD5B89"/>
    <w:rsid w:val="00BD6135"/>
    <w:rsid w:val="00BD6674"/>
    <w:rsid w:val="00BD6DCF"/>
    <w:rsid w:val="00BE1ACF"/>
    <w:rsid w:val="00BE1FC7"/>
    <w:rsid w:val="00BE2FCF"/>
    <w:rsid w:val="00BE305D"/>
    <w:rsid w:val="00BE3393"/>
    <w:rsid w:val="00BE33E0"/>
    <w:rsid w:val="00BE3BF7"/>
    <w:rsid w:val="00BE4B71"/>
    <w:rsid w:val="00BE5917"/>
    <w:rsid w:val="00BF01B5"/>
    <w:rsid w:val="00BF0411"/>
    <w:rsid w:val="00BF13E2"/>
    <w:rsid w:val="00BF1496"/>
    <w:rsid w:val="00BF1CC9"/>
    <w:rsid w:val="00BF251E"/>
    <w:rsid w:val="00BF3801"/>
    <w:rsid w:val="00BF3CE3"/>
    <w:rsid w:val="00BF404B"/>
    <w:rsid w:val="00BF5694"/>
    <w:rsid w:val="00BF5AA6"/>
    <w:rsid w:val="00BF6273"/>
    <w:rsid w:val="00BF62AB"/>
    <w:rsid w:val="00BF6A78"/>
    <w:rsid w:val="00BF7086"/>
    <w:rsid w:val="00BF70F3"/>
    <w:rsid w:val="00BF7836"/>
    <w:rsid w:val="00BF7B82"/>
    <w:rsid w:val="00C00C80"/>
    <w:rsid w:val="00C01CD1"/>
    <w:rsid w:val="00C01D84"/>
    <w:rsid w:val="00C02099"/>
    <w:rsid w:val="00C0380C"/>
    <w:rsid w:val="00C04120"/>
    <w:rsid w:val="00C04FF7"/>
    <w:rsid w:val="00C050DA"/>
    <w:rsid w:val="00C055EF"/>
    <w:rsid w:val="00C05683"/>
    <w:rsid w:val="00C063D3"/>
    <w:rsid w:val="00C063DD"/>
    <w:rsid w:val="00C0652F"/>
    <w:rsid w:val="00C06806"/>
    <w:rsid w:val="00C06E04"/>
    <w:rsid w:val="00C0732D"/>
    <w:rsid w:val="00C075B2"/>
    <w:rsid w:val="00C1104F"/>
    <w:rsid w:val="00C11645"/>
    <w:rsid w:val="00C12B8A"/>
    <w:rsid w:val="00C138B0"/>
    <w:rsid w:val="00C14C5E"/>
    <w:rsid w:val="00C14D30"/>
    <w:rsid w:val="00C16033"/>
    <w:rsid w:val="00C1702B"/>
    <w:rsid w:val="00C171A2"/>
    <w:rsid w:val="00C20371"/>
    <w:rsid w:val="00C20499"/>
    <w:rsid w:val="00C209AD"/>
    <w:rsid w:val="00C209E2"/>
    <w:rsid w:val="00C20A02"/>
    <w:rsid w:val="00C20A83"/>
    <w:rsid w:val="00C212DB"/>
    <w:rsid w:val="00C21655"/>
    <w:rsid w:val="00C2237E"/>
    <w:rsid w:val="00C227DB"/>
    <w:rsid w:val="00C22A03"/>
    <w:rsid w:val="00C22CB6"/>
    <w:rsid w:val="00C2327D"/>
    <w:rsid w:val="00C235C6"/>
    <w:rsid w:val="00C23CAC"/>
    <w:rsid w:val="00C23D20"/>
    <w:rsid w:val="00C240DF"/>
    <w:rsid w:val="00C2511E"/>
    <w:rsid w:val="00C26C10"/>
    <w:rsid w:val="00C27317"/>
    <w:rsid w:val="00C276BE"/>
    <w:rsid w:val="00C27ACF"/>
    <w:rsid w:val="00C306B5"/>
    <w:rsid w:val="00C30E1B"/>
    <w:rsid w:val="00C31397"/>
    <w:rsid w:val="00C31E0C"/>
    <w:rsid w:val="00C3251F"/>
    <w:rsid w:val="00C32C9C"/>
    <w:rsid w:val="00C32C9D"/>
    <w:rsid w:val="00C33074"/>
    <w:rsid w:val="00C33598"/>
    <w:rsid w:val="00C33E63"/>
    <w:rsid w:val="00C33EB7"/>
    <w:rsid w:val="00C34414"/>
    <w:rsid w:val="00C344E4"/>
    <w:rsid w:val="00C345F1"/>
    <w:rsid w:val="00C3498E"/>
    <w:rsid w:val="00C3543E"/>
    <w:rsid w:val="00C36308"/>
    <w:rsid w:val="00C365ED"/>
    <w:rsid w:val="00C36DED"/>
    <w:rsid w:val="00C40A93"/>
    <w:rsid w:val="00C41870"/>
    <w:rsid w:val="00C42817"/>
    <w:rsid w:val="00C42D74"/>
    <w:rsid w:val="00C42DBF"/>
    <w:rsid w:val="00C42F9C"/>
    <w:rsid w:val="00C43435"/>
    <w:rsid w:val="00C44242"/>
    <w:rsid w:val="00C44DB0"/>
    <w:rsid w:val="00C45DAD"/>
    <w:rsid w:val="00C45EEC"/>
    <w:rsid w:val="00C4663D"/>
    <w:rsid w:val="00C46BE6"/>
    <w:rsid w:val="00C47736"/>
    <w:rsid w:val="00C47853"/>
    <w:rsid w:val="00C504E1"/>
    <w:rsid w:val="00C509AE"/>
    <w:rsid w:val="00C51B01"/>
    <w:rsid w:val="00C51D09"/>
    <w:rsid w:val="00C52F70"/>
    <w:rsid w:val="00C536F9"/>
    <w:rsid w:val="00C53A08"/>
    <w:rsid w:val="00C53B90"/>
    <w:rsid w:val="00C53D48"/>
    <w:rsid w:val="00C542B1"/>
    <w:rsid w:val="00C54305"/>
    <w:rsid w:val="00C54E35"/>
    <w:rsid w:val="00C54ECA"/>
    <w:rsid w:val="00C57ECF"/>
    <w:rsid w:val="00C604E7"/>
    <w:rsid w:val="00C60E2D"/>
    <w:rsid w:val="00C61425"/>
    <w:rsid w:val="00C621C1"/>
    <w:rsid w:val="00C62FBE"/>
    <w:rsid w:val="00C63B9E"/>
    <w:rsid w:val="00C63C7C"/>
    <w:rsid w:val="00C65963"/>
    <w:rsid w:val="00C65C4D"/>
    <w:rsid w:val="00C66476"/>
    <w:rsid w:val="00C664BF"/>
    <w:rsid w:val="00C665F7"/>
    <w:rsid w:val="00C67A9E"/>
    <w:rsid w:val="00C67D09"/>
    <w:rsid w:val="00C70734"/>
    <w:rsid w:val="00C71DE8"/>
    <w:rsid w:val="00C7223E"/>
    <w:rsid w:val="00C72C15"/>
    <w:rsid w:val="00C7356A"/>
    <w:rsid w:val="00C73867"/>
    <w:rsid w:val="00C73A1F"/>
    <w:rsid w:val="00C7421D"/>
    <w:rsid w:val="00C74CEE"/>
    <w:rsid w:val="00C74F5D"/>
    <w:rsid w:val="00C76651"/>
    <w:rsid w:val="00C772FD"/>
    <w:rsid w:val="00C77557"/>
    <w:rsid w:val="00C7756B"/>
    <w:rsid w:val="00C777B8"/>
    <w:rsid w:val="00C80004"/>
    <w:rsid w:val="00C80324"/>
    <w:rsid w:val="00C807B2"/>
    <w:rsid w:val="00C81254"/>
    <w:rsid w:val="00C8144E"/>
    <w:rsid w:val="00C81AC1"/>
    <w:rsid w:val="00C81FB0"/>
    <w:rsid w:val="00C82943"/>
    <w:rsid w:val="00C83535"/>
    <w:rsid w:val="00C83729"/>
    <w:rsid w:val="00C84760"/>
    <w:rsid w:val="00C84F29"/>
    <w:rsid w:val="00C85122"/>
    <w:rsid w:val="00C852CA"/>
    <w:rsid w:val="00C8546A"/>
    <w:rsid w:val="00C85558"/>
    <w:rsid w:val="00C868B6"/>
    <w:rsid w:val="00C86B63"/>
    <w:rsid w:val="00C90088"/>
    <w:rsid w:val="00C901CC"/>
    <w:rsid w:val="00C91543"/>
    <w:rsid w:val="00C91802"/>
    <w:rsid w:val="00C9188E"/>
    <w:rsid w:val="00C920DB"/>
    <w:rsid w:val="00C92757"/>
    <w:rsid w:val="00C927A7"/>
    <w:rsid w:val="00C92812"/>
    <w:rsid w:val="00C949C4"/>
    <w:rsid w:val="00C95416"/>
    <w:rsid w:val="00C95DD5"/>
    <w:rsid w:val="00C95E62"/>
    <w:rsid w:val="00C96AF5"/>
    <w:rsid w:val="00C96C1E"/>
    <w:rsid w:val="00C96D6A"/>
    <w:rsid w:val="00C97450"/>
    <w:rsid w:val="00C976E2"/>
    <w:rsid w:val="00C97B05"/>
    <w:rsid w:val="00C97CE1"/>
    <w:rsid w:val="00CA013B"/>
    <w:rsid w:val="00CA2B6A"/>
    <w:rsid w:val="00CA31F4"/>
    <w:rsid w:val="00CA4044"/>
    <w:rsid w:val="00CA42EA"/>
    <w:rsid w:val="00CA441B"/>
    <w:rsid w:val="00CA48E2"/>
    <w:rsid w:val="00CA4955"/>
    <w:rsid w:val="00CA4F15"/>
    <w:rsid w:val="00CA5551"/>
    <w:rsid w:val="00CA584B"/>
    <w:rsid w:val="00CA6FD4"/>
    <w:rsid w:val="00CA796B"/>
    <w:rsid w:val="00CB01CB"/>
    <w:rsid w:val="00CB0E7D"/>
    <w:rsid w:val="00CB140F"/>
    <w:rsid w:val="00CB217E"/>
    <w:rsid w:val="00CB23BE"/>
    <w:rsid w:val="00CB25EA"/>
    <w:rsid w:val="00CB2BDF"/>
    <w:rsid w:val="00CB2C99"/>
    <w:rsid w:val="00CB3A97"/>
    <w:rsid w:val="00CB3FEA"/>
    <w:rsid w:val="00CB4EAE"/>
    <w:rsid w:val="00CB5C90"/>
    <w:rsid w:val="00CB63C0"/>
    <w:rsid w:val="00CB65A6"/>
    <w:rsid w:val="00CB7143"/>
    <w:rsid w:val="00CB7B20"/>
    <w:rsid w:val="00CB7CB9"/>
    <w:rsid w:val="00CC06DF"/>
    <w:rsid w:val="00CC1946"/>
    <w:rsid w:val="00CC1F74"/>
    <w:rsid w:val="00CC26CF"/>
    <w:rsid w:val="00CC2E10"/>
    <w:rsid w:val="00CC3E47"/>
    <w:rsid w:val="00CC6609"/>
    <w:rsid w:val="00CC6D58"/>
    <w:rsid w:val="00CC747F"/>
    <w:rsid w:val="00CC7783"/>
    <w:rsid w:val="00CC7D31"/>
    <w:rsid w:val="00CC7F51"/>
    <w:rsid w:val="00CD07DF"/>
    <w:rsid w:val="00CD0B80"/>
    <w:rsid w:val="00CD1814"/>
    <w:rsid w:val="00CD21D3"/>
    <w:rsid w:val="00CD23A3"/>
    <w:rsid w:val="00CD2895"/>
    <w:rsid w:val="00CD3CB9"/>
    <w:rsid w:val="00CD4863"/>
    <w:rsid w:val="00CD4AC5"/>
    <w:rsid w:val="00CD4C41"/>
    <w:rsid w:val="00CD58D4"/>
    <w:rsid w:val="00CD623C"/>
    <w:rsid w:val="00CD6797"/>
    <w:rsid w:val="00CD67C2"/>
    <w:rsid w:val="00CD7753"/>
    <w:rsid w:val="00CE01D0"/>
    <w:rsid w:val="00CE0FC5"/>
    <w:rsid w:val="00CE1033"/>
    <w:rsid w:val="00CE14F9"/>
    <w:rsid w:val="00CE2D87"/>
    <w:rsid w:val="00CE31C6"/>
    <w:rsid w:val="00CE53EA"/>
    <w:rsid w:val="00CE68AA"/>
    <w:rsid w:val="00CE7375"/>
    <w:rsid w:val="00CF0CB0"/>
    <w:rsid w:val="00CF1648"/>
    <w:rsid w:val="00CF1B6C"/>
    <w:rsid w:val="00CF2488"/>
    <w:rsid w:val="00CF2C01"/>
    <w:rsid w:val="00CF36D6"/>
    <w:rsid w:val="00CF3CBE"/>
    <w:rsid w:val="00CF3D3D"/>
    <w:rsid w:val="00CF41AE"/>
    <w:rsid w:val="00CF4F70"/>
    <w:rsid w:val="00CF5281"/>
    <w:rsid w:val="00CF5B68"/>
    <w:rsid w:val="00CF6241"/>
    <w:rsid w:val="00CF6304"/>
    <w:rsid w:val="00CF642B"/>
    <w:rsid w:val="00CF6D7F"/>
    <w:rsid w:val="00CF7385"/>
    <w:rsid w:val="00CF7427"/>
    <w:rsid w:val="00CF7EBA"/>
    <w:rsid w:val="00D00160"/>
    <w:rsid w:val="00D0017E"/>
    <w:rsid w:val="00D00232"/>
    <w:rsid w:val="00D01397"/>
    <w:rsid w:val="00D0155B"/>
    <w:rsid w:val="00D02785"/>
    <w:rsid w:val="00D027F2"/>
    <w:rsid w:val="00D02957"/>
    <w:rsid w:val="00D02B1D"/>
    <w:rsid w:val="00D03BAE"/>
    <w:rsid w:val="00D03C39"/>
    <w:rsid w:val="00D03FA7"/>
    <w:rsid w:val="00D04F9B"/>
    <w:rsid w:val="00D053B1"/>
    <w:rsid w:val="00D0564E"/>
    <w:rsid w:val="00D05D41"/>
    <w:rsid w:val="00D06234"/>
    <w:rsid w:val="00D06D1B"/>
    <w:rsid w:val="00D10707"/>
    <w:rsid w:val="00D10942"/>
    <w:rsid w:val="00D10AAA"/>
    <w:rsid w:val="00D118C6"/>
    <w:rsid w:val="00D12120"/>
    <w:rsid w:val="00D12130"/>
    <w:rsid w:val="00D12C4E"/>
    <w:rsid w:val="00D15431"/>
    <w:rsid w:val="00D15CC6"/>
    <w:rsid w:val="00D1630B"/>
    <w:rsid w:val="00D16EB0"/>
    <w:rsid w:val="00D17AB8"/>
    <w:rsid w:val="00D20237"/>
    <w:rsid w:val="00D20747"/>
    <w:rsid w:val="00D20757"/>
    <w:rsid w:val="00D213D2"/>
    <w:rsid w:val="00D2165A"/>
    <w:rsid w:val="00D230C8"/>
    <w:rsid w:val="00D2355B"/>
    <w:rsid w:val="00D24327"/>
    <w:rsid w:val="00D24446"/>
    <w:rsid w:val="00D2573C"/>
    <w:rsid w:val="00D265E4"/>
    <w:rsid w:val="00D27095"/>
    <w:rsid w:val="00D27209"/>
    <w:rsid w:val="00D27B6E"/>
    <w:rsid w:val="00D30D70"/>
    <w:rsid w:val="00D3133A"/>
    <w:rsid w:val="00D3166E"/>
    <w:rsid w:val="00D3178A"/>
    <w:rsid w:val="00D32646"/>
    <w:rsid w:val="00D333C1"/>
    <w:rsid w:val="00D341C3"/>
    <w:rsid w:val="00D34B2F"/>
    <w:rsid w:val="00D355C0"/>
    <w:rsid w:val="00D36AE6"/>
    <w:rsid w:val="00D40152"/>
    <w:rsid w:val="00D4053A"/>
    <w:rsid w:val="00D4097E"/>
    <w:rsid w:val="00D41E59"/>
    <w:rsid w:val="00D42149"/>
    <w:rsid w:val="00D427E9"/>
    <w:rsid w:val="00D431D3"/>
    <w:rsid w:val="00D4335E"/>
    <w:rsid w:val="00D438FD"/>
    <w:rsid w:val="00D44052"/>
    <w:rsid w:val="00D44B46"/>
    <w:rsid w:val="00D44DBD"/>
    <w:rsid w:val="00D46733"/>
    <w:rsid w:val="00D46E54"/>
    <w:rsid w:val="00D471E5"/>
    <w:rsid w:val="00D5018F"/>
    <w:rsid w:val="00D501D8"/>
    <w:rsid w:val="00D5020F"/>
    <w:rsid w:val="00D50320"/>
    <w:rsid w:val="00D50751"/>
    <w:rsid w:val="00D5162D"/>
    <w:rsid w:val="00D51837"/>
    <w:rsid w:val="00D51BE9"/>
    <w:rsid w:val="00D529D5"/>
    <w:rsid w:val="00D54920"/>
    <w:rsid w:val="00D556F8"/>
    <w:rsid w:val="00D56A98"/>
    <w:rsid w:val="00D60779"/>
    <w:rsid w:val="00D60C04"/>
    <w:rsid w:val="00D61284"/>
    <w:rsid w:val="00D6130B"/>
    <w:rsid w:val="00D61D30"/>
    <w:rsid w:val="00D640C5"/>
    <w:rsid w:val="00D64F90"/>
    <w:rsid w:val="00D6625A"/>
    <w:rsid w:val="00D66990"/>
    <w:rsid w:val="00D66CBB"/>
    <w:rsid w:val="00D66E84"/>
    <w:rsid w:val="00D67AE4"/>
    <w:rsid w:val="00D71056"/>
    <w:rsid w:val="00D710CF"/>
    <w:rsid w:val="00D72269"/>
    <w:rsid w:val="00D72899"/>
    <w:rsid w:val="00D72B3F"/>
    <w:rsid w:val="00D7324F"/>
    <w:rsid w:val="00D73DAE"/>
    <w:rsid w:val="00D745B6"/>
    <w:rsid w:val="00D74832"/>
    <w:rsid w:val="00D74944"/>
    <w:rsid w:val="00D74B33"/>
    <w:rsid w:val="00D751F4"/>
    <w:rsid w:val="00D760DE"/>
    <w:rsid w:val="00D80A34"/>
    <w:rsid w:val="00D80F91"/>
    <w:rsid w:val="00D81C36"/>
    <w:rsid w:val="00D81C66"/>
    <w:rsid w:val="00D82BC3"/>
    <w:rsid w:val="00D82DAF"/>
    <w:rsid w:val="00D8362A"/>
    <w:rsid w:val="00D83DC5"/>
    <w:rsid w:val="00D85051"/>
    <w:rsid w:val="00D861A1"/>
    <w:rsid w:val="00D862DE"/>
    <w:rsid w:val="00D86668"/>
    <w:rsid w:val="00D8735B"/>
    <w:rsid w:val="00D876FB"/>
    <w:rsid w:val="00D87890"/>
    <w:rsid w:val="00D90F42"/>
    <w:rsid w:val="00D91519"/>
    <w:rsid w:val="00D91FD8"/>
    <w:rsid w:val="00D923AE"/>
    <w:rsid w:val="00D92769"/>
    <w:rsid w:val="00D9290E"/>
    <w:rsid w:val="00D92B5D"/>
    <w:rsid w:val="00D92BBC"/>
    <w:rsid w:val="00D93607"/>
    <w:rsid w:val="00D9427D"/>
    <w:rsid w:val="00D94BBC"/>
    <w:rsid w:val="00D94D58"/>
    <w:rsid w:val="00D9504B"/>
    <w:rsid w:val="00D95A01"/>
    <w:rsid w:val="00D95A1D"/>
    <w:rsid w:val="00D967FA"/>
    <w:rsid w:val="00D96832"/>
    <w:rsid w:val="00D96A9B"/>
    <w:rsid w:val="00D96DAA"/>
    <w:rsid w:val="00D96E56"/>
    <w:rsid w:val="00D971BC"/>
    <w:rsid w:val="00DA0674"/>
    <w:rsid w:val="00DA08D0"/>
    <w:rsid w:val="00DA18DE"/>
    <w:rsid w:val="00DA262D"/>
    <w:rsid w:val="00DA2C03"/>
    <w:rsid w:val="00DA2C2E"/>
    <w:rsid w:val="00DA3158"/>
    <w:rsid w:val="00DA33B6"/>
    <w:rsid w:val="00DA3698"/>
    <w:rsid w:val="00DA44F1"/>
    <w:rsid w:val="00DA4E91"/>
    <w:rsid w:val="00DA4ED8"/>
    <w:rsid w:val="00DA51A7"/>
    <w:rsid w:val="00DA6631"/>
    <w:rsid w:val="00DA6771"/>
    <w:rsid w:val="00DB0144"/>
    <w:rsid w:val="00DB0600"/>
    <w:rsid w:val="00DB0D60"/>
    <w:rsid w:val="00DB12A9"/>
    <w:rsid w:val="00DB1B4F"/>
    <w:rsid w:val="00DB269B"/>
    <w:rsid w:val="00DB2F54"/>
    <w:rsid w:val="00DB3133"/>
    <w:rsid w:val="00DB3172"/>
    <w:rsid w:val="00DB39C8"/>
    <w:rsid w:val="00DB4052"/>
    <w:rsid w:val="00DB5BF5"/>
    <w:rsid w:val="00DB625F"/>
    <w:rsid w:val="00DB6E3B"/>
    <w:rsid w:val="00DB72F6"/>
    <w:rsid w:val="00DC0510"/>
    <w:rsid w:val="00DC06DF"/>
    <w:rsid w:val="00DC09A4"/>
    <w:rsid w:val="00DC26B5"/>
    <w:rsid w:val="00DC2B64"/>
    <w:rsid w:val="00DC2FF0"/>
    <w:rsid w:val="00DC39AA"/>
    <w:rsid w:val="00DC4493"/>
    <w:rsid w:val="00DC44CC"/>
    <w:rsid w:val="00DC4C5A"/>
    <w:rsid w:val="00DC4D83"/>
    <w:rsid w:val="00DC5564"/>
    <w:rsid w:val="00DC6092"/>
    <w:rsid w:val="00DC6B1B"/>
    <w:rsid w:val="00DC70C7"/>
    <w:rsid w:val="00DC72BE"/>
    <w:rsid w:val="00DC73DD"/>
    <w:rsid w:val="00DC744B"/>
    <w:rsid w:val="00DC7DAE"/>
    <w:rsid w:val="00DD06EC"/>
    <w:rsid w:val="00DD3D1F"/>
    <w:rsid w:val="00DD4ABA"/>
    <w:rsid w:val="00DD50B2"/>
    <w:rsid w:val="00DD50FC"/>
    <w:rsid w:val="00DD51F9"/>
    <w:rsid w:val="00DD5A99"/>
    <w:rsid w:val="00DD5AF8"/>
    <w:rsid w:val="00DD5FAF"/>
    <w:rsid w:val="00DD6558"/>
    <w:rsid w:val="00DD6BD8"/>
    <w:rsid w:val="00DD72D9"/>
    <w:rsid w:val="00DD768D"/>
    <w:rsid w:val="00DE0074"/>
    <w:rsid w:val="00DE067C"/>
    <w:rsid w:val="00DE0B77"/>
    <w:rsid w:val="00DE0C77"/>
    <w:rsid w:val="00DE2403"/>
    <w:rsid w:val="00DE2B24"/>
    <w:rsid w:val="00DE3421"/>
    <w:rsid w:val="00DE3F21"/>
    <w:rsid w:val="00DE56FB"/>
    <w:rsid w:val="00DE5DC7"/>
    <w:rsid w:val="00DE5F1E"/>
    <w:rsid w:val="00DE6522"/>
    <w:rsid w:val="00DE727D"/>
    <w:rsid w:val="00DF048C"/>
    <w:rsid w:val="00DF07E0"/>
    <w:rsid w:val="00DF16B5"/>
    <w:rsid w:val="00DF3975"/>
    <w:rsid w:val="00DF3A30"/>
    <w:rsid w:val="00DF3C73"/>
    <w:rsid w:val="00DF53DA"/>
    <w:rsid w:val="00DF56C0"/>
    <w:rsid w:val="00DF6101"/>
    <w:rsid w:val="00DF6694"/>
    <w:rsid w:val="00DF7475"/>
    <w:rsid w:val="00DF7B3D"/>
    <w:rsid w:val="00E00B48"/>
    <w:rsid w:val="00E00CCA"/>
    <w:rsid w:val="00E00D22"/>
    <w:rsid w:val="00E012DF"/>
    <w:rsid w:val="00E0193F"/>
    <w:rsid w:val="00E01CF8"/>
    <w:rsid w:val="00E01FCB"/>
    <w:rsid w:val="00E028D7"/>
    <w:rsid w:val="00E02AA0"/>
    <w:rsid w:val="00E036A9"/>
    <w:rsid w:val="00E048B6"/>
    <w:rsid w:val="00E0578F"/>
    <w:rsid w:val="00E06725"/>
    <w:rsid w:val="00E070D3"/>
    <w:rsid w:val="00E07C92"/>
    <w:rsid w:val="00E07CAA"/>
    <w:rsid w:val="00E10911"/>
    <w:rsid w:val="00E10FA9"/>
    <w:rsid w:val="00E11CAC"/>
    <w:rsid w:val="00E124DC"/>
    <w:rsid w:val="00E12C7A"/>
    <w:rsid w:val="00E131CF"/>
    <w:rsid w:val="00E133CF"/>
    <w:rsid w:val="00E1626A"/>
    <w:rsid w:val="00E163C2"/>
    <w:rsid w:val="00E164FD"/>
    <w:rsid w:val="00E17134"/>
    <w:rsid w:val="00E17834"/>
    <w:rsid w:val="00E178D8"/>
    <w:rsid w:val="00E21667"/>
    <w:rsid w:val="00E219A8"/>
    <w:rsid w:val="00E23630"/>
    <w:rsid w:val="00E243B5"/>
    <w:rsid w:val="00E24647"/>
    <w:rsid w:val="00E248F2"/>
    <w:rsid w:val="00E24EB6"/>
    <w:rsid w:val="00E24F97"/>
    <w:rsid w:val="00E24FCB"/>
    <w:rsid w:val="00E256F2"/>
    <w:rsid w:val="00E27AE5"/>
    <w:rsid w:val="00E27EE0"/>
    <w:rsid w:val="00E301F4"/>
    <w:rsid w:val="00E30B96"/>
    <w:rsid w:val="00E3145E"/>
    <w:rsid w:val="00E31C23"/>
    <w:rsid w:val="00E320B6"/>
    <w:rsid w:val="00E3287E"/>
    <w:rsid w:val="00E337B0"/>
    <w:rsid w:val="00E34B88"/>
    <w:rsid w:val="00E35980"/>
    <w:rsid w:val="00E35E3D"/>
    <w:rsid w:val="00E36814"/>
    <w:rsid w:val="00E40875"/>
    <w:rsid w:val="00E408D7"/>
    <w:rsid w:val="00E4094C"/>
    <w:rsid w:val="00E410CB"/>
    <w:rsid w:val="00E416E8"/>
    <w:rsid w:val="00E42CF6"/>
    <w:rsid w:val="00E43259"/>
    <w:rsid w:val="00E43E26"/>
    <w:rsid w:val="00E458DB"/>
    <w:rsid w:val="00E45D42"/>
    <w:rsid w:val="00E46004"/>
    <w:rsid w:val="00E46B2D"/>
    <w:rsid w:val="00E504FA"/>
    <w:rsid w:val="00E531FF"/>
    <w:rsid w:val="00E546DC"/>
    <w:rsid w:val="00E54E06"/>
    <w:rsid w:val="00E5517C"/>
    <w:rsid w:val="00E55269"/>
    <w:rsid w:val="00E56AEC"/>
    <w:rsid w:val="00E56D77"/>
    <w:rsid w:val="00E57EDB"/>
    <w:rsid w:val="00E609FF"/>
    <w:rsid w:val="00E60A68"/>
    <w:rsid w:val="00E60CAC"/>
    <w:rsid w:val="00E61BC6"/>
    <w:rsid w:val="00E61EEA"/>
    <w:rsid w:val="00E621D2"/>
    <w:rsid w:val="00E6250F"/>
    <w:rsid w:val="00E62920"/>
    <w:rsid w:val="00E62D39"/>
    <w:rsid w:val="00E62E33"/>
    <w:rsid w:val="00E641BE"/>
    <w:rsid w:val="00E6520C"/>
    <w:rsid w:val="00E6641A"/>
    <w:rsid w:val="00E66BB0"/>
    <w:rsid w:val="00E70AF5"/>
    <w:rsid w:val="00E70F42"/>
    <w:rsid w:val="00E712A8"/>
    <w:rsid w:val="00E71389"/>
    <w:rsid w:val="00E71B10"/>
    <w:rsid w:val="00E72416"/>
    <w:rsid w:val="00E72A99"/>
    <w:rsid w:val="00E74727"/>
    <w:rsid w:val="00E74A8E"/>
    <w:rsid w:val="00E75F12"/>
    <w:rsid w:val="00E7653A"/>
    <w:rsid w:val="00E76FF5"/>
    <w:rsid w:val="00E7727E"/>
    <w:rsid w:val="00E77374"/>
    <w:rsid w:val="00E77F72"/>
    <w:rsid w:val="00E811DF"/>
    <w:rsid w:val="00E817B9"/>
    <w:rsid w:val="00E82BF1"/>
    <w:rsid w:val="00E82D2D"/>
    <w:rsid w:val="00E832F0"/>
    <w:rsid w:val="00E83835"/>
    <w:rsid w:val="00E8444E"/>
    <w:rsid w:val="00E84497"/>
    <w:rsid w:val="00E85401"/>
    <w:rsid w:val="00E865AA"/>
    <w:rsid w:val="00E86BA8"/>
    <w:rsid w:val="00E87442"/>
    <w:rsid w:val="00E901F8"/>
    <w:rsid w:val="00E9021D"/>
    <w:rsid w:val="00E902E4"/>
    <w:rsid w:val="00E90C04"/>
    <w:rsid w:val="00E90E36"/>
    <w:rsid w:val="00E91D71"/>
    <w:rsid w:val="00E92D6B"/>
    <w:rsid w:val="00E92FC3"/>
    <w:rsid w:val="00E932AD"/>
    <w:rsid w:val="00E93325"/>
    <w:rsid w:val="00E94442"/>
    <w:rsid w:val="00E95012"/>
    <w:rsid w:val="00E957BA"/>
    <w:rsid w:val="00E9664F"/>
    <w:rsid w:val="00E96682"/>
    <w:rsid w:val="00E96690"/>
    <w:rsid w:val="00E967D8"/>
    <w:rsid w:val="00E96A30"/>
    <w:rsid w:val="00E96D54"/>
    <w:rsid w:val="00E96DB5"/>
    <w:rsid w:val="00E97142"/>
    <w:rsid w:val="00E97924"/>
    <w:rsid w:val="00E97FCC"/>
    <w:rsid w:val="00EA0353"/>
    <w:rsid w:val="00EA05D1"/>
    <w:rsid w:val="00EA0963"/>
    <w:rsid w:val="00EA0AE0"/>
    <w:rsid w:val="00EA2F64"/>
    <w:rsid w:val="00EA3282"/>
    <w:rsid w:val="00EA3412"/>
    <w:rsid w:val="00EA36F4"/>
    <w:rsid w:val="00EA3BE5"/>
    <w:rsid w:val="00EA3C8B"/>
    <w:rsid w:val="00EA456B"/>
    <w:rsid w:val="00EA4A82"/>
    <w:rsid w:val="00EA5442"/>
    <w:rsid w:val="00EA61A0"/>
    <w:rsid w:val="00EA6247"/>
    <w:rsid w:val="00EA67A1"/>
    <w:rsid w:val="00EA6F88"/>
    <w:rsid w:val="00EA7926"/>
    <w:rsid w:val="00EB07F8"/>
    <w:rsid w:val="00EB087A"/>
    <w:rsid w:val="00EB0B6F"/>
    <w:rsid w:val="00EB0E47"/>
    <w:rsid w:val="00EB204B"/>
    <w:rsid w:val="00EB2364"/>
    <w:rsid w:val="00EB26F0"/>
    <w:rsid w:val="00EB3C09"/>
    <w:rsid w:val="00EB4788"/>
    <w:rsid w:val="00EB5D0D"/>
    <w:rsid w:val="00EB6213"/>
    <w:rsid w:val="00EB77AF"/>
    <w:rsid w:val="00EB78DC"/>
    <w:rsid w:val="00EB7D30"/>
    <w:rsid w:val="00EC14CA"/>
    <w:rsid w:val="00EC14D1"/>
    <w:rsid w:val="00EC16DE"/>
    <w:rsid w:val="00EC1E22"/>
    <w:rsid w:val="00EC24BB"/>
    <w:rsid w:val="00EC259D"/>
    <w:rsid w:val="00EC25D7"/>
    <w:rsid w:val="00EC265B"/>
    <w:rsid w:val="00EC2C76"/>
    <w:rsid w:val="00EC3CA3"/>
    <w:rsid w:val="00EC43E8"/>
    <w:rsid w:val="00EC470C"/>
    <w:rsid w:val="00EC514F"/>
    <w:rsid w:val="00EC55B3"/>
    <w:rsid w:val="00EC5FF2"/>
    <w:rsid w:val="00EC6549"/>
    <w:rsid w:val="00EC6866"/>
    <w:rsid w:val="00EC6993"/>
    <w:rsid w:val="00EC71B2"/>
    <w:rsid w:val="00EC7AF9"/>
    <w:rsid w:val="00EC7E82"/>
    <w:rsid w:val="00ED24ED"/>
    <w:rsid w:val="00ED271C"/>
    <w:rsid w:val="00ED3417"/>
    <w:rsid w:val="00ED3941"/>
    <w:rsid w:val="00ED3DED"/>
    <w:rsid w:val="00ED50A3"/>
    <w:rsid w:val="00ED5622"/>
    <w:rsid w:val="00ED58EF"/>
    <w:rsid w:val="00ED64B6"/>
    <w:rsid w:val="00ED66F6"/>
    <w:rsid w:val="00ED6822"/>
    <w:rsid w:val="00ED68DB"/>
    <w:rsid w:val="00ED7518"/>
    <w:rsid w:val="00EE08C6"/>
    <w:rsid w:val="00EE12AD"/>
    <w:rsid w:val="00EE1722"/>
    <w:rsid w:val="00EE404C"/>
    <w:rsid w:val="00EE4BB6"/>
    <w:rsid w:val="00EE54FC"/>
    <w:rsid w:val="00EE60A4"/>
    <w:rsid w:val="00EE7FE9"/>
    <w:rsid w:val="00EF1742"/>
    <w:rsid w:val="00EF1D27"/>
    <w:rsid w:val="00EF3378"/>
    <w:rsid w:val="00EF3619"/>
    <w:rsid w:val="00EF3824"/>
    <w:rsid w:val="00EF413B"/>
    <w:rsid w:val="00EF521C"/>
    <w:rsid w:val="00EF5471"/>
    <w:rsid w:val="00EF69E4"/>
    <w:rsid w:val="00F00E37"/>
    <w:rsid w:val="00F014F9"/>
    <w:rsid w:val="00F02118"/>
    <w:rsid w:val="00F023B5"/>
    <w:rsid w:val="00F03AF2"/>
    <w:rsid w:val="00F045B5"/>
    <w:rsid w:val="00F05B19"/>
    <w:rsid w:val="00F05F1D"/>
    <w:rsid w:val="00F06178"/>
    <w:rsid w:val="00F07CF3"/>
    <w:rsid w:val="00F07DEE"/>
    <w:rsid w:val="00F12D8C"/>
    <w:rsid w:val="00F1308C"/>
    <w:rsid w:val="00F138E2"/>
    <w:rsid w:val="00F13B57"/>
    <w:rsid w:val="00F144D0"/>
    <w:rsid w:val="00F14802"/>
    <w:rsid w:val="00F16092"/>
    <w:rsid w:val="00F16F32"/>
    <w:rsid w:val="00F1779B"/>
    <w:rsid w:val="00F2027E"/>
    <w:rsid w:val="00F2045D"/>
    <w:rsid w:val="00F20640"/>
    <w:rsid w:val="00F20EF0"/>
    <w:rsid w:val="00F21D25"/>
    <w:rsid w:val="00F22F28"/>
    <w:rsid w:val="00F23D67"/>
    <w:rsid w:val="00F247D1"/>
    <w:rsid w:val="00F25D41"/>
    <w:rsid w:val="00F25E9E"/>
    <w:rsid w:val="00F2649B"/>
    <w:rsid w:val="00F27353"/>
    <w:rsid w:val="00F2769F"/>
    <w:rsid w:val="00F3006D"/>
    <w:rsid w:val="00F319FF"/>
    <w:rsid w:val="00F31E48"/>
    <w:rsid w:val="00F31F3D"/>
    <w:rsid w:val="00F3243F"/>
    <w:rsid w:val="00F326F9"/>
    <w:rsid w:val="00F32AB8"/>
    <w:rsid w:val="00F3516F"/>
    <w:rsid w:val="00F3623C"/>
    <w:rsid w:val="00F37F50"/>
    <w:rsid w:val="00F40D99"/>
    <w:rsid w:val="00F40EBD"/>
    <w:rsid w:val="00F42605"/>
    <w:rsid w:val="00F42673"/>
    <w:rsid w:val="00F4275D"/>
    <w:rsid w:val="00F430EA"/>
    <w:rsid w:val="00F432D4"/>
    <w:rsid w:val="00F43B05"/>
    <w:rsid w:val="00F43C27"/>
    <w:rsid w:val="00F43D8D"/>
    <w:rsid w:val="00F4463F"/>
    <w:rsid w:val="00F44938"/>
    <w:rsid w:val="00F44BEA"/>
    <w:rsid w:val="00F44E7E"/>
    <w:rsid w:val="00F458FA"/>
    <w:rsid w:val="00F46CFB"/>
    <w:rsid w:val="00F47AF6"/>
    <w:rsid w:val="00F47E16"/>
    <w:rsid w:val="00F47F9B"/>
    <w:rsid w:val="00F50156"/>
    <w:rsid w:val="00F50BDA"/>
    <w:rsid w:val="00F52760"/>
    <w:rsid w:val="00F5288A"/>
    <w:rsid w:val="00F529C1"/>
    <w:rsid w:val="00F534C7"/>
    <w:rsid w:val="00F535D6"/>
    <w:rsid w:val="00F5467F"/>
    <w:rsid w:val="00F54D21"/>
    <w:rsid w:val="00F54FBD"/>
    <w:rsid w:val="00F55850"/>
    <w:rsid w:val="00F55FD1"/>
    <w:rsid w:val="00F565D2"/>
    <w:rsid w:val="00F570C8"/>
    <w:rsid w:val="00F603E4"/>
    <w:rsid w:val="00F61374"/>
    <w:rsid w:val="00F61981"/>
    <w:rsid w:val="00F62BA7"/>
    <w:rsid w:val="00F63D2D"/>
    <w:rsid w:val="00F64F28"/>
    <w:rsid w:val="00F66CDA"/>
    <w:rsid w:val="00F66D3F"/>
    <w:rsid w:val="00F66F58"/>
    <w:rsid w:val="00F67ED4"/>
    <w:rsid w:val="00F707BB"/>
    <w:rsid w:val="00F70950"/>
    <w:rsid w:val="00F70F65"/>
    <w:rsid w:val="00F711F9"/>
    <w:rsid w:val="00F7136D"/>
    <w:rsid w:val="00F736D5"/>
    <w:rsid w:val="00F736E5"/>
    <w:rsid w:val="00F7380D"/>
    <w:rsid w:val="00F750A4"/>
    <w:rsid w:val="00F75249"/>
    <w:rsid w:val="00F75982"/>
    <w:rsid w:val="00F76230"/>
    <w:rsid w:val="00F766F8"/>
    <w:rsid w:val="00F767AD"/>
    <w:rsid w:val="00F76B74"/>
    <w:rsid w:val="00F773BE"/>
    <w:rsid w:val="00F773D4"/>
    <w:rsid w:val="00F77435"/>
    <w:rsid w:val="00F778AB"/>
    <w:rsid w:val="00F80B31"/>
    <w:rsid w:val="00F817F9"/>
    <w:rsid w:val="00F81A17"/>
    <w:rsid w:val="00F8207D"/>
    <w:rsid w:val="00F82B01"/>
    <w:rsid w:val="00F83859"/>
    <w:rsid w:val="00F8410B"/>
    <w:rsid w:val="00F841AD"/>
    <w:rsid w:val="00F8428E"/>
    <w:rsid w:val="00F84346"/>
    <w:rsid w:val="00F850BE"/>
    <w:rsid w:val="00F8654D"/>
    <w:rsid w:val="00F87756"/>
    <w:rsid w:val="00F915B6"/>
    <w:rsid w:val="00F9160D"/>
    <w:rsid w:val="00F9160F"/>
    <w:rsid w:val="00F91694"/>
    <w:rsid w:val="00F92219"/>
    <w:rsid w:val="00F928ED"/>
    <w:rsid w:val="00F930E3"/>
    <w:rsid w:val="00F938C7"/>
    <w:rsid w:val="00F93C96"/>
    <w:rsid w:val="00F94383"/>
    <w:rsid w:val="00F94645"/>
    <w:rsid w:val="00F94939"/>
    <w:rsid w:val="00F94F17"/>
    <w:rsid w:val="00F951FA"/>
    <w:rsid w:val="00F95C2A"/>
    <w:rsid w:val="00F96AA9"/>
    <w:rsid w:val="00F975DB"/>
    <w:rsid w:val="00FA042B"/>
    <w:rsid w:val="00FA1456"/>
    <w:rsid w:val="00FA1961"/>
    <w:rsid w:val="00FA1D41"/>
    <w:rsid w:val="00FA23FB"/>
    <w:rsid w:val="00FA24A7"/>
    <w:rsid w:val="00FA4185"/>
    <w:rsid w:val="00FA46FE"/>
    <w:rsid w:val="00FA4939"/>
    <w:rsid w:val="00FA4A86"/>
    <w:rsid w:val="00FA4CF0"/>
    <w:rsid w:val="00FA5E01"/>
    <w:rsid w:val="00FA6726"/>
    <w:rsid w:val="00FA6C84"/>
    <w:rsid w:val="00FA6E29"/>
    <w:rsid w:val="00FA700B"/>
    <w:rsid w:val="00FA72CC"/>
    <w:rsid w:val="00FA78AC"/>
    <w:rsid w:val="00FA7928"/>
    <w:rsid w:val="00FA7AC7"/>
    <w:rsid w:val="00FB110F"/>
    <w:rsid w:val="00FB1A21"/>
    <w:rsid w:val="00FB2901"/>
    <w:rsid w:val="00FB29E6"/>
    <w:rsid w:val="00FB350F"/>
    <w:rsid w:val="00FB38EB"/>
    <w:rsid w:val="00FB3B31"/>
    <w:rsid w:val="00FB4CC9"/>
    <w:rsid w:val="00FB5217"/>
    <w:rsid w:val="00FB521B"/>
    <w:rsid w:val="00FB561D"/>
    <w:rsid w:val="00FB642A"/>
    <w:rsid w:val="00FB6B01"/>
    <w:rsid w:val="00FB798B"/>
    <w:rsid w:val="00FB7EAD"/>
    <w:rsid w:val="00FC0106"/>
    <w:rsid w:val="00FC095A"/>
    <w:rsid w:val="00FC0DB3"/>
    <w:rsid w:val="00FC19D4"/>
    <w:rsid w:val="00FC25AB"/>
    <w:rsid w:val="00FC29DE"/>
    <w:rsid w:val="00FC2FF5"/>
    <w:rsid w:val="00FC37C0"/>
    <w:rsid w:val="00FC3D3F"/>
    <w:rsid w:val="00FC4C0C"/>
    <w:rsid w:val="00FC5AFF"/>
    <w:rsid w:val="00FC5EFE"/>
    <w:rsid w:val="00FC6CB1"/>
    <w:rsid w:val="00FC6CE5"/>
    <w:rsid w:val="00FC73E2"/>
    <w:rsid w:val="00FC7DBA"/>
    <w:rsid w:val="00FD0216"/>
    <w:rsid w:val="00FD13D8"/>
    <w:rsid w:val="00FD148A"/>
    <w:rsid w:val="00FD1A99"/>
    <w:rsid w:val="00FD2044"/>
    <w:rsid w:val="00FD2325"/>
    <w:rsid w:val="00FD333F"/>
    <w:rsid w:val="00FD3760"/>
    <w:rsid w:val="00FD38E0"/>
    <w:rsid w:val="00FD400D"/>
    <w:rsid w:val="00FD5156"/>
    <w:rsid w:val="00FD5692"/>
    <w:rsid w:val="00FD5F3C"/>
    <w:rsid w:val="00FD6730"/>
    <w:rsid w:val="00FD7352"/>
    <w:rsid w:val="00FD7507"/>
    <w:rsid w:val="00FD7909"/>
    <w:rsid w:val="00FE093F"/>
    <w:rsid w:val="00FE10A7"/>
    <w:rsid w:val="00FE13A1"/>
    <w:rsid w:val="00FE17B0"/>
    <w:rsid w:val="00FE1933"/>
    <w:rsid w:val="00FE19F6"/>
    <w:rsid w:val="00FE1C83"/>
    <w:rsid w:val="00FE1D84"/>
    <w:rsid w:val="00FE1F96"/>
    <w:rsid w:val="00FE2E16"/>
    <w:rsid w:val="00FE30AD"/>
    <w:rsid w:val="00FE3505"/>
    <w:rsid w:val="00FE398D"/>
    <w:rsid w:val="00FE3D7C"/>
    <w:rsid w:val="00FE41AB"/>
    <w:rsid w:val="00FE4A2C"/>
    <w:rsid w:val="00FE4EAA"/>
    <w:rsid w:val="00FE57B1"/>
    <w:rsid w:val="00FE60AF"/>
    <w:rsid w:val="00FE63DC"/>
    <w:rsid w:val="00FE696F"/>
    <w:rsid w:val="00FE6BB5"/>
    <w:rsid w:val="00FE7326"/>
    <w:rsid w:val="00FE7E0D"/>
    <w:rsid w:val="00FF0021"/>
    <w:rsid w:val="00FF0867"/>
    <w:rsid w:val="00FF0DFB"/>
    <w:rsid w:val="00FF15A6"/>
    <w:rsid w:val="00FF1B80"/>
    <w:rsid w:val="00FF1E5E"/>
    <w:rsid w:val="00FF22EF"/>
    <w:rsid w:val="00FF2F0D"/>
    <w:rsid w:val="00FF326D"/>
    <w:rsid w:val="00FF527F"/>
    <w:rsid w:val="00FF636A"/>
    <w:rsid w:val="00FF6C9E"/>
    <w:rsid w:val="00FF714D"/>
    <w:rsid w:val="00FF7A31"/>
    <w:rsid w:val="00FF7F50"/>
    <w:rsid w:val="01107F1F"/>
    <w:rsid w:val="01235278"/>
    <w:rsid w:val="015F6884"/>
    <w:rsid w:val="01937FBC"/>
    <w:rsid w:val="01A23984"/>
    <w:rsid w:val="01B0747D"/>
    <w:rsid w:val="01D10695"/>
    <w:rsid w:val="02191F92"/>
    <w:rsid w:val="024660A3"/>
    <w:rsid w:val="025B7378"/>
    <w:rsid w:val="029576FB"/>
    <w:rsid w:val="02D1088A"/>
    <w:rsid w:val="02E90D29"/>
    <w:rsid w:val="02EE1B1F"/>
    <w:rsid w:val="031D684D"/>
    <w:rsid w:val="03220B2D"/>
    <w:rsid w:val="032238CE"/>
    <w:rsid w:val="03233222"/>
    <w:rsid w:val="032F1032"/>
    <w:rsid w:val="034F04DA"/>
    <w:rsid w:val="03505BF2"/>
    <w:rsid w:val="03834D08"/>
    <w:rsid w:val="038415D0"/>
    <w:rsid w:val="039861A6"/>
    <w:rsid w:val="03B61CBB"/>
    <w:rsid w:val="03F0595E"/>
    <w:rsid w:val="041A4AEF"/>
    <w:rsid w:val="04695C6C"/>
    <w:rsid w:val="04884D41"/>
    <w:rsid w:val="049A1FF6"/>
    <w:rsid w:val="04D309B6"/>
    <w:rsid w:val="051005F8"/>
    <w:rsid w:val="05177F63"/>
    <w:rsid w:val="051F4905"/>
    <w:rsid w:val="052C71CB"/>
    <w:rsid w:val="05452CF3"/>
    <w:rsid w:val="057D3509"/>
    <w:rsid w:val="05850883"/>
    <w:rsid w:val="058D5673"/>
    <w:rsid w:val="05957B96"/>
    <w:rsid w:val="062F3497"/>
    <w:rsid w:val="06451F43"/>
    <w:rsid w:val="0653552B"/>
    <w:rsid w:val="06637F88"/>
    <w:rsid w:val="066D090B"/>
    <w:rsid w:val="066F7C61"/>
    <w:rsid w:val="068F0D1F"/>
    <w:rsid w:val="068F13E4"/>
    <w:rsid w:val="06A57205"/>
    <w:rsid w:val="06B8713F"/>
    <w:rsid w:val="06B906D7"/>
    <w:rsid w:val="06D44DB4"/>
    <w:rsid w:val="06F248FF"/>
    <w:rsid w:val="0703088E"/>
    <w:rsid w:val="070C3D2A"/>
    <w:rsid w:val="074E72C8"/>
    <w:rsid w:val="076409FC"/>
    <w:rsid w:val="07780476"/>
    <w:rsid w:val="079B0069"/>
    <w:rsid w:val="07A01DB0"/>
    <w:rsid w:val="07C33E57"/>
    <w:rsid w:val="07D0008C"/>
    <w:rsid w:val="07D615B5"/>
    <w:rsid w:val="081D4A98"/>
    <w:rsid w:val="08246BE6"/>
    <w:rsid w:val="08327D56"/>
    <w:rsid w:val="08934298"/>
    <w:rsid w:val="08953E6C"/>
    <w:rsid w:val="08A02821"/>
    <w:rsid w:val="08A26ABD"/>
    <w:rsid w:val="08E92ED7"/>
    <w:rsid w:val="0903632A"/>
    <w:rsid w:val="094E21E1"/>
    <w:rsid w:val="095071E6"/>
    <w:rsid w:val="096B28D9"/>
    <w:rsid w:val="097F0EB5"/>
    <w:rsid w:val="098859A6"/>
    <w:rsid w:val="09C35727"/>
    <w:rsid w:val="09D264B1"/>
    <w:rsid w:val="0A241CA4"/>
    <w:rsid w:val="0A2A1ACA"/>
    <w:rsid w:val="0A5A6736"/>
    <w:rsid w:val="0A5B5560"/>
    <w:rsid w:val="0A6E2477"/>
    <w:rsid w:val="0AC92FC0"/>
    <w:rsid w:val="0AF76DD8"/>
    <w:rsid w:val="0AFB71A5"/>
    <w:rsid w:val="0B246449"/>
    <w:rsid w:val="0B444F1B"/>
    <w:rsid w:val="0B522084"/>
    <w:rsid w:val="0B6021F2"/>
    <w:rsid w:val="0B787F95"/>
    <w:rsid w:val="0B856158"/>
    <w:rsid w:val="0BB52779"/>
    <w:rsid w:val="0C057561"/>
    <w:rsid w:val="0C497836"/>
    <w:rsid w:val="0C4D0F86"/>
    <w:rsid w:val="0C6A1390"/>
    <w:rsid w:val="0C872D3F"/>
    <w:rsid w:val="0C985C99"/>
    <w:rsid w:val="0CA02447"/>
    <w:rsid w:val="0CAB5111"/>
    <w:rsid w:val="0CBF0863"/>
    <w:rsid w:val="0CDA576A"/>
    <w:rsid w:val="0CE40074"/>
    <w:rsid w:val="0CEB6D6E"/>
    <w:rsid w:val="0D2D28D6"/>
    <w:rsid w:val="0D3458D2"/>
    <w:rsid w:val="0D78540F"/>
    <w:rsid w:val="0D803954"/>
    <w:rsid w:val="0DAE649D"/>
    <w:rsid w:val="0DC16E07"/>
    <w:rsid w:val="0DF33035"/>
    <w:rsid w:val="0E0C3ACA"/>
    <w:rsid w:val="0E193599"/>
    <w:rsid w:val="0E2B4C26"/>
    <w:rsid w:val="0E5F040D"/>
    <w:rsid w:val="0E614B39"/>
    <w:rsid w:val="0E686CA5"/>
    <w:rsid w:val="0E896485"/>
    <w:rsid w:val="0E8C52BF"/>
    <w:rsid w:val="0E911E68"/>
    <w:rsid w:val="0ED34B52"/>
    <w:rsid w:val="0F0575FD"/>
    <w:rsid w:val="0F2A372B"/>
    <w:rsid w:val="0F693F34"/>
    <w:rsid w:val="0FA16C68"/>
    <w:rsid w:val="0FBC16B5"/>
    <w:rsid w:val="0FBC5E65"/>
    <w:rsid w:val="0FD556BD"/>
    <w:rsid w:val="0FDE471D"/>
    <w:rsid w:val="0FF16F10"/>
    <w:rsid w:val="101C54A2"/>
    <w:rsid w:val="10430C83"/>
    <w:rsid w:val="10767868"/>
    <w:rsid w:val="10956B83"/>
    <w:rsid w:val="10A17BE7"/>
    <w:rsid w:val="10AF0EAA"/>
    <w:rsid w:val="10C139B2"/>
    <w:rsid w:val="10E17FD1"/>
    <w:rsid w:val="10E35AF5"/>
    <w:rsid w:val="10F16009"/>
    <w:rsid w:val="10FD7749"/>
    <w:rsid w:val="110B6A46"/>
    <w:rsid w:val="11214DC4"/>
    <w:rsid w:val="1136437B"/>
    <w:rsid w:val="11AB242B"/>
    <w:rsid w:val="11C00FCE"/>
    <w:rsid w:val="11E620C6"/>
    <w:rsid w:val="11ED64FD"/>
    <w:rsid w:val="11FB558A"/>
    <w:rsid w:val="11FD3DDD"/>
    <w:rsid w:val="121F0F6C"/>
    <w:rsid w:val="12524C6B"/>
    <w:rsid w:val="125561F5"/>
    <w:rsid w:val="127135EF"/>
    <w:rsid w:val="12C503CF"/>
    <w:rsid w:val="13060E4B"/>
    <w:rsid w:val="130E0CC1"/>
    <w:rsid w:val="13486B30"/>
    <w:rsid w:val="135773A8"/>
    <w:rsid w:val="139865C5"/>
    <w:rsid w:val="13CC05AD"/>
    <w:rsid w:val="13E62715"/>
    <w:rsid w:val="13E80EE8"/>
    <w:rsid w:val="14025ABB"/>
    <w:rsid w:val="14053109"/>
    <w:rsid w:val="141C1D8F"/>
    <w:rsid w:val="14332FF2"/>
    <w:rsid w:val="143F0C8B"/>
    <w:rsid w:val="1445585F"/>
    <w:rsid w:val="144D5DE5"/>
    <w:rsid w:val="14577E08"/>
    <w:rsid w:val="147066DA"/>
    <w:rsid w:val="1474736B"/>
    <w:rsid w:val="14997EA7"/>
    <w:rsid w:val="14AC6F3B"/>
    <w:rsid w:val="14D15221"/>
    <w:rsid w:val="14F03E37"/>
    <w:rsid w:val="15103D28"/>
    <w:rsid w:val="151A4BB5"/>
    <w:rsid w:val="151F627D"/>
    <w:rsid w:val="15620EF5"/>
    <w:rsid w:val="15A277EB"/>
    <w:rsid w:val="15CF0F2E"/>
    <w:rsid w:val="15DD11F3"/>
    <w:rsid w:val="16016695"/>
    <w:rsid w:val="16704E10"/>
    <w:rsid w:val="168F4167"/>
    <w:rsid w:val="169C7E29"/>
    <w:rsid w:val="16E067CC"/>
    <w:rsid w:val="16ED419D"/>
    <w:rsid w:val="171D59C3"/>
    <w:rsid w:val="173A020C"/>
    <w:rsid w:val="178E42A1"/>
    <w:rsid w:val="179733D1"/>
    <w:rsid w:val="17B72F79"/>
    <w:rsid w:val="17BD6BDF"/>
    <w:rsid w:val="17C43B83"/>
    <w:rsid w:val="17C764FB"/>
    <w:rsid w:val="17D009F5"/>
    <w:rsid w:val="17DF7747"/>
    <w:rsid w:val="17FE2941"/>
    <w:rsid w:val="180B73A3"/>
    <w:rsid w:val="1823742A"/>
    <w:rsid w:val="18537EFA"/>
    <w:rsid w:val="18541AAB"/>
    <w:rsid w:val="18C9062F"/>
    <w:rsid w:val="18FC04F6"/>
    <w:rsid w:val="194179F2"/>
    <w:rsid w:val="194D7FB1"/>
    <w:rsid w:val="195173F6"/>
    <w:rsid w:val="19760AA1"/>
    <w:rsid w:val="19C22FF8"/>
    <w:rsid w:val="19F16090"/>
    <w:rsid w:val="1A1E1753"/>
    <w:rsid w:val="1A8769F4"/>
    <w:rsid w:val="1A892DF1"/>
    <w:rsid w:val="1AA53A06"/>
    <w:rsid w:val="1AB66712"/>
    <w:rsid w:val="1AEE4D14"/>
    <w:rsid w:val="1B1A3B21"/>
    <w:rsid w:val="1B8A054A"/>
    <w:rsid w:val="1B9654F2"/>
    <w:rsid w:val="1BDD515D"/>
    <w:rsid w:val="1C552B28"/>
    <w:rsid w:val="1CA62391"/>
    <w:rsid w:val="1CA82616"/>
    <w:rsid w:val="1CD87093"/>
    <w:rsid w:val="1CDE0F01"/>
    <w:rsid w:val="1CFF0C7B"/>
    <w:rsid w:val="1D0E2E25"/>
    <w:rsid w:val="1D1C608C"/>
    <w:rsid w:val="1D2F623B"/>
    <w:rsid w:val="1D344C11"/>
    <w:rsid w:val="1D3C7F6D"/>
    <w:rsid w:val="1D680664"/>
    <w:rsid w:val="1D82404D"/>
    <w:rsid w:val="1DA53F9A"/>
    <w:rsid w:val="1E0E0DE7"/>
    <w:rsid w:val="1E114477"/>
    <w:rsid w:val="1E2D570A"/>
    <w:rsid w:val="1E2F4E7E"/>
    <w:rsid w:val="1E6F0419"/>
    <w:rsid w:val="1EAD23BC"/>
    <w:rsid w:val="1EBC4C0D"/>
    <w:rsid w:val="1EE32BFA"/>
    <w:rsid w:val="1EED555F"/>
    <w:rsid w:val="1EFB0558"/>
    <w:rsid w:val="1F043044"/>
    <w:rsid w:val="1F426338"/>
    <w:rsid w:val="1F5D08C6"/>
    <w:rsid w:val="1F6216C7"/>
    <w:rsid w:val="1F624238"/>
    <w:rsid w:val="1F7B2835"/>
    <w:rsid w:val="1F827C1A"/>
    <w:rsid w:val="1FCD2DEF"/>
    <w:rsid w:val="1FE01345"/>
    <w:rsid w:val="1FFC0ED6"/>
    <w:rsid w:val="1FFC3A91"/>
    <w:rsid w:val="204C520A"/>
    <w:rsid w:val="206C33E0"/>
    <w:rsid w:val="207D6439"/>
    <w:rsid w:val="20AF0D1B"/>
    <w:rsid w:val="20B65943"/>
    <w:rsid w:val="21007460"/>
    <w:rsid w:val="212925B3"/>
    <w:rsid w:val="213F3B84"/>
    <w:rsid w:val="21670711"/>
    <w:rsid w:val="21693F34"/>
    <w:rsid w:val="216D18F5"/>
    <w:rsid w:val="217C06C4"/>
    <w:rsid w:val="218B48EF"/>
    <w:rsid w:val="21A81E37"/>
    <w:rsid w:val="21AE4866"/>
    <w:rsid w:val="21C314F3"/>
    <w:rsid w:val="21C50BFA"/>
    <w:rsid w:val="21CD6869"/>
    <w:rsid w:val="21D51BAE"/>
    <w:rsid w:val="220117D2"/>
    <w:rsid w:val="223275C0"/>
    <w:rsid w:val="22483339"/>
    <w:rsid w:val="224D45EC"/>
    <w:rsid w:val="22563775"/>
    <w:rsid w:val="2281423D"/>
    <w:rsid w:val="22BE72E0"/>
    <w:rsid w:val="22D910EF"/>
    <w:rsid w:val="22F3201E"/>
    <w:rsid w:val="231E475C"/>
    <w:rsid w:val="23CD183D"/>
    <w:rsid w:val="240102ED"/>
    <w:rsid w:val="241F3439"/>
    <w:rsid w:val="242A4050"/>
    <w:rsid w:val="243D453B"/>
    <w:rsid w:val="24502EEB"/>
    <w:rsid w:val="2451094A"/>
    <w:rsid w:val="24573280"/>
    <w:rsid w:val="24AF6A62"/>
    <w:rsid w:val="24BF5599"/>
    <w:rsid w:val="24C64B63"/>
    <w:rsid w:val="24FC7FC1"/>
    <w:rsid w:val="25032B3C"/>
    <w:rsid w:val="2544234D"/>
    <w:rsid w:val="25477089"/>
    <w:rsid w:val="25C03149"/>
    <w:rsid w:val="25C673B9"/>
    <w:rsid w:val="25D53A77"/>
    <w:rsid w:val="25E1772D"/>
    <w:rsid w:val="25F835C8"/>
    <w:rsid w:val="25FB6521"/>
    <w:rsid w:val="26280BE2"/>
    <w:rsid w:val="262923C7"/>
    <w:rsid w:val="2629313D"/>
    <w:rsid w:val="26557857"/>
    <w:rsid w:val="265648FE"/>
    <w:rsid w:val="265B6F2D"/>
    <w:rsid w:val="266A15A6"/>
    <w:rsid w:val="266F2816"/>
    <w:rsid w:val="26803A44"/>
    <w:rsid w:val="26A0508B"/>
    <w:rsid w:val="26A610D9"/>
    <w:rsid w:val="26C708A4"/>
    <w:rsid w:val="26CA592E"/>
    <w:rsid w:val="273A3814"/>
    <w:rsid w:val="2762685B"/>
    <w:rsid w:val="27910053"/>
    <w:rsid w:val="279C49AE"/>
    <w:rsid w:val="27C771C2"/>
    <w:rsid w:val="27CB6409"/>
    <w:rsid w:val="27D15066"/>
    <w:rsid w:val="27D36EB3"/>
    <w:rsid w:val="27DF5779"/>
    <w:rsid w:val="27F03EF5"/>
    <w:rsid w:val="27F25219"/>
    <w:rsid w:val="27F91703"/>
    <w:rsid w:val="2809769A"/>
    <w:rsid w:val="284460E4"/>
    <w:rsid w:val="285A5907"/>
    <w:rsid w:val="286A2A2B"/>
    <w:rsid w:val="28E3573D"/>
    <w:rsid w:val="28F64CAE"/>
    <w:rsid w:val="28FF6D96"/>
    <w:rsid w:val="29315A18"/>
    <w:rsid w:val="2933419F"/>
    <w:rsid w:val="293E7C92"/>
    <w:rsid w:val="297D349C"/>
    <w:rsid w:val="298043B8"/>
    <w:rsid w:val="29C05921"/>
    <w:rsid w:val="29DA5C74"/>
    <w:rsid w:val="29E85A13"/>
    <w:rsid w:val="29E85CC4"/>
    <w:rsid w:val="29F62EA6"/>
    <w:rsid w:val="2A0A28B0"/>
    <w:rsid w:val="2A18770F"/>
    <w:rsid w:val="2A587269"/>
    <w:rsid w:val="2A642BA8"/>
    <w:rsid w:val="2A82314F"/>
    <w:rsid w:val="2A900FAD"/>
    <w:rsid w:val="2AC07AB9"/>
    <w:rsid w:val="2AC3380D"/>
    <w:rsid w:val="2AD63CC9"/>
    <w:rsid w:val="2AE11AFC"/>
    <w:rsid w:val="2AE544A7"/>
    <w:rsid w:val="2AFB6D6E"/>
    <w:rsid w:val="2B217558"/>
    <w:rsid w:val="2B31364A"/>
    <w:rsid w:val="2B3B53BD"/>
    <w:rsid w:val="2B4B420C"/>
    <w:rsid w:val="2B637508"/>
    <w:rsid w:val="2B9C691B"/>
    <w:rsid w:val="2BCF5D31"/>
    <w:rsid w:val="2BE64113"/>
    <w:rsid w:val="2C085F98"/>
    <w:rsid w:val="2C26479F"/>
    <w:rsid w:val="2C441A0C"/>
    <w:rsid w:val="2C6B1CD2"/>
    <w:rsid w:val="2CDC041F"/>
    <w:rsid w:val="2CFD0B68"/>
    <w:rsid w:val="2D08356F"/>
    <w:rsid w:val="2D2B320F"/>
    <w:rsid w:val="2D5353F2"/>
    <w:rsid w:val="2D5F1422"/>
    <w:rsid w:val="2D76297A"/>
    <w:rsid w:val="2D8640E9"/>
    <w:rsid w:val="2D893706"/>
    <w:rsid w:val="2DC05976"/>
    <w:rsid w:val="2DD012A4"/>
    <w:rsid w:val="2DE9298B"/>
    <w:rsid w:val="2E0A2EC7"/>
    <w:rsid w:val="2E1D6617"/>
    <w:rsid w:val="2E960DED"/>
    <w:rsid w:val="2E9F13B2"/>
    <w:rsid w:val="2EA51FA5"/>
    <w:rsid w:val="2EA65386"/>
    <w:rsid w:val="2EA814D2"/>
    <w:rsid w:val="2EA82B6C"/>
    <w:rsid w:val="2EE53568"/>
    <w:rsid w:val="2EF62F11"/>
    <w:rsid w:val="2F09306A"/>
    <w:rsid w:val="2F1658E1"/>
    <w:rsid w:val="2F5C7FF7"/>
    <w:rsid w:val="2F866018"/>
    <w:rsid w:val="2F8D0054"/>
    <w:rsid w:val="2FA47E85"/>
    <w:rsid w:val="2FA8688F"/>
    <w:rsid w:val="2FC6545C"/>
    <w:rsid w:val="300E27DF"/>
    <w:rsid w:val="30186255"/>
    <w:rsid w:val="30310712"/>
    <w:rsid w:val="30752549"/>
    <w:rsid w:val="30D0063C"/>
    <w:rsid w:val="30DA1CED"/>
    <w:rsid w:val="30DB2587"/>
    <w:rsid w:val="30F71CEF"/>
    <w:rsid w:val="30FB7FE6"/>
    <w:rsid w:val="30FD2BB6"/>
    <w:rsid w:val="3105339B"/>
    <w:rsid w:val="312078E1"/>
    <w:rsid w:val="313229E9"/>
    <w:rsid w:val="3183186B"/>
    <w:rsid w:val="3188041F"/>
    <w:rsid w:val="31936C0F"/>
    <w:rsid w:val="31956074"/>
    <w:rsid w:val="31CA26A3"/>
    <w:rsid w:val="31E15A50"/>
    <w:rsid w:val="32644DAE"/>
    <w:rsid w:val="326E46E2"/>
    <w:rsid w:val="32812557"/>
    <w:rsid w:val="32984A86"/>
    <w:rsid w:val="32D90462"/>
    <w:rsid w:val="32F4788E"/>
    <w:rsid w:val="331B1A34"/>
    <w:rsid w:val="333E0028"/>
    <w:rsid w:val="33701686"/>
    <w:rsid w:val="3373276A"/>
    <w:rsid w:val="33847087"/>
    <w:rsid w:val="33D3361F"/>
    <w:rsid w:val="341720EC"/>
    <w:rsid w:val="34357760"/>
    <w:rsid w:val="344565E1"/>
    <w:rsid w:val="347436ED"/>
    <w:rsid w:val="34974514"/>
    <w:rsid w:val="34A645DB"/>
    <w:rsid w:val="34AD47C5"/>
    <w:rsid w:val="34B850AF"/>
    <w:rsid w:val="34CD30A5"/>
    <w:rsid w:val="34DA77AC"/>
    <w:rsid w:val="34E20CF9"/>
    <w:rsid w:val="351A5DC1"/>
    <w:rsid w:val="354F1238"/>
    <w:rsid w:val="35923B62"/>
    <w:rsid w:val="35B34B50"/>
    <w:rsid w:val="35DC154A"/>
    <w:rsid w:val="35E30B2B"/>
    <w:rsid w:val="35E33F4B"/>
    <w:rsid w:val="36174C78"/>
    <w:rsid w:val="362A1FA1"/>
    <w:rsid w:val="363263A9"/>
    <w:rsid w:val="364759DD"/>
    <w:rsid w:val="3667175C"/>
    <w:rsid w:val="36DC123D"/>
    <w:rsid w:val="36DD4FB1"/>
    <w:rsid w:val="36EA1EA0"/>
    <w:rsid w:val="36EC05D7"/>
    <w:rsid w:val="36EF314E"/>
    <w:rsid w:val="37280FB1"/>
    <w:rsid w:val="37674664"/>
    <w:rsid w:val="376E7AAB"/>
    <w:rsid w:val="377A343C"/>
    <w:rsid w:val="378E5173"/>
    <w:rsid w:val="37AB30D0"/>
    <w:rsid w:val="37AE5E31"/>
    <w:rsid w:val="37F52515"/>
    <w:rsid w:val="37FF4C9A"/>
    <w:rsid w:val="382020CE"/>
    <w:rsid w:val="3834566E"/>
    <w:rsid w:val="383C292C"/>
    <w:rsid w:val="38441627"/>
    <w:rsid w:val="384D1D9B"/>
    <w:rsid w:val="385B52F0"/>
    <w:rsid w:val="387761DD"/>
    <w:rsid w:val="38816C3D"/>
    <w:rsid w:val="388C695C"/>
    <w:rsid w:val="38942A35"/>
    <w:rsid w:val="39242CF0"/>
    <w:rsid w:val="392C1BF7"/>
    <w:rsid w:val="395C06CA"/>
    <w:rsid w:val="399B3335"/>
    <w:rsid w:val="39B41E76"/>
    <w:rsid w:val="39C073D2"/>
    <w:rsid w:val="39D07618"/>
    <w:rsid w:val="39DB5F09"/>
    <w:rsid w:val="3A051AC4"/>
    <w:rsid w:val="3A0A3CE7"/>
    <w:rsid w:val="3A333493"/>
    <w:rsid w:val="3A6C7188"/>
    <w:rsid w:val="3AA74BF4"/>
    <w:rsid w:val="3AAB4251"/>
    <w:rsid w:val="3B08548F"/>
    <w:rsid w:val="3B0C377E"/>
    <w:rsid w:val="3B1163E7"/>
    <w:rsid w:val="3B5160FC"/>
    <w:rsid w:val="3B527AEB"/>
    <w:rsid w:val="3B6E31C0"/>
    <w:rsid w:val="3BA21CD8"/>
    <w:rsid w:val="3BDF4ABB"/>
    <w:rsid w:val="3C0A560E"/>
    <w:rsid w:val="3C113560"/>
    <w:rsid w:val="3C36271C"/>
    <w:rsid w:val="3C4B0372"/>
    <w:rsid w:val="3CD82180"/>
    <w:rsid w:val="3D1B661D"/>
    <w:rsid w:val="3D280BCD"/>
    <w:rsid w:val="3D3420DF"/>
    <w:rsid w:val="3D431D86"/>
    <w:rsid w:val="3D720E50"/>
    <w:rsid w:val="3D831DED"/>
    <w:rsid w:val="3D987218"/>
    <w:rsid w:val="3D9D17A0"/>
    <w:rsid w:val="3DA36E42"/>
    <w:rsid w:val="3DE65A15"/>
    <w:rsid w:val="3DF67B33"/>
    <w:rsid w:val="3E2F7288"/>
    <w:rsid w:val="3E447D2A"/>
    <w:rsid w:val="3E86423C"/>
    <w:rsid w:val="3EB72B54"/>
    <w:rsid w:val="3EEE6169"/>
    <w:rsid w:val="3F1F7294"/>
    <w:rsid w:val="3F2514D0"/>
    <w:rsid w:val="3F5E56C6"/>
    <w:rsid w:val="3F8B2220"/>
    <w:rsid w:val="3FA41953"/>
    <w:rsid w:val="3FB43366"/>
    <w:rsid w:val="3FB53538"/>
    <w:rsid w:val="3FE04D33"/>
    <w:rsid w:val="3FF43934"/>
    <w:rsid w:val="3FFE055D"/>
    <w:rsid w:val="40187278"/>
    <w:rsid w:val="40200FE9"/>
    <w:rsid w:val="402E6E18"/>
    <w:rsid w:val="40536AE1"/>
    <w:rsid w:val="408E056E"/>
    <w:rsid w:val="40B54605"/>
    <w:rsid w:val="40C175EC"/>
    <w:rsid w:val="40CB0B39"/>
    <w:rsid w:val="40D92111"/>
    <w:rsid w:val="40DC4413"/>
    <w:rsid w:val="4109069A"/>
    <w:rsid w:val="41457345"/>
    <w:rsid w:val="416316CD"/>
    <w:rsid w:val="418A4D02"/>
    <w:rsid w:val="41A34311"/>
    <w:rsid w:val="41AC70B4"/>
    <w:rsid w:val="41BF4D88"/>
    <w:rsid w:val="41E1666E"/>
    <w:rsid w:val="41F46059"/>
    <w:rsid w:val="42110284"/>
    <w:rsid w:val="4222508D"/>
    <w:rsid w:val="422C7FEC"/>
    <w:rsid w:val="42414CAB"/>
    <w:rsid w:val="426B1820"/>
    <w:rsid w:val="42823479"/>
    <w:rsid w:val="42B478D5"/>
    <w:rsid w:val="42C6249E"/>
    <w:rsid w:val="42C81299"/>
    <w:rsid w:val="42EE5FDC"/>
    <w:rsid w:val="42F1758C"/>
    <w:rsid w:val="43095881"/>
    <w:rsid w:val="431949E9"/>
    <w:rsid w:val="431B1199"/>
    <w:rsid w:val="43356E12"/>
    <w:rsid w:val="4343495E"/>
    <w:rsid w:val="437B6512"/>
    <w:rsid w:val="438C45B0"/>
    <w:rsid w:val="439A49CB"/>
    <w:rsid w:val="43AC44AE"/>
    <w:rsid w:val="43B102EC"/>
    <w:rsid w:val="43D562DE"/>
    <w:rsid w:val="43E46648"/>
    <w:rsid w:val="44613D67"/>
    <w:rsid w:val="44681250"/>
    <w:rsid w:val="44704B54"/>
    <w:rsid w:val="44890AE6"/>
    <w:rsid w:val="448D2A38"/>
    <w:rsid w:val="44A53A23"/>
    <w:rsid w:val="44BC30A8"/>
    <w:rsid w:val="44DF50BA"/>
    <w:rsid w:val="44E72F3E"/>
    <w:rsid w:val="44FF00CC"/>
    <w:rsid w:val="451B0406"/>
    <w:rsid w:val="452651ED"/>
    <w:rsid w:val="45460E0D"/>
    <w:rsid w:val="45585934"/>
    <w:rsid w:val="45627767"/>
    <w:rsid w:val="45EE7A39"/>
    <w:rsid w:val="45F51BA5"/>
    <w:rsid w:val="46033FE3"/>
    <w:rsid w:val="461B76E4"/>
    <w:rsid w:val="461D5E44"/>
    <w:rsid w:val="46242774"/>
    <w:rsid w:val="46600F59"/>
    <w:rsid w:val="466401A1"/>
    <w:rsid w:val="46744858"/>
    <w:rsid w:val="46A04BBE"/>
    <w:rsid w:val="46A95479"/>
    <w:rsid w:val="46C369D6"/>
    <w:rsid w:val="46D32A5B"/>
    <w:rsid w:val="475520B0"/>
    <w:rsid w:val="47573126"/>
    <w:rsid w:val="479510AB"/>
    <w:rsid w:val="47CD6529"/>
    <w:rsid w:val="47E92D81"/>
    <w:rsid w:val="47F136E8"/>
    <w:rsid w:val="482A5EE3"/>
    <w:rsid w:val="483A3CA1"/>
    <w:rsid w:val="485778C8"/>
    <w:rsid w:val="48CB6C15"/>
    <w:rsid w:val="48CB7B54"/>
    <w:rsid w:val="48DB0195"/>
    <w:rsid w:val="48E5353B"/>
    <w:rsid w:val="48ED5F94"/>
    <w:rsid w:val="48FE2116"/>
    <w:rsid w:val="494E0026"/>
    <w:rsid w:val="49535B1F"/>
    <w:rsid w:val="497B558F"/>
    <w:rsid w:val="4993654B"/>
    <w:rsid w:val="49BB0C2E"/>
    <w:rsid w:val="49BC4500"/>
    <w:rsid w:val="49C21B20"/>
    <w:rsid w:val="49F02C4C"/>
    <w:rsid w:val="4A0155CC"/>
    <w:rsid w:val="4A0F7CE8"/>
    <w:rsid w:val="4A144FB4"/>
    <w:rsid w:val="4A184DB6"/>
    <w:rsid w:val="4A2C58F1"/>
    <w:rsid w:val="4A3B6A23"/>
    <w:rsid w:val="4B0B7991"/>
    <w:rsid w:val="4B130265"/>
    <w:rsid w:val="4B237CCE"/>
    <w:rsid w:val="4B4E0CA4"/>
    <w:rsid w:val="4B6F0EC8"/>
    <w:rsid w:val="4B81022E"/>
    <w:rsid w:val="4BD6470C"/>
    <w:rsid w:val="4BEF2C14"/>
    <w:rsid w:val="4C101EB3"/>
    <w:rsid w:val="4C3719AD"/>
    <w:rsid w:val="4C486620"/>
    <w:rsid w:val="4C8A740A"/>
    <w:rsid w:val="4CD05793"/>
    <w:rsid w:val="4CD3031C"/>
    <w:rsid w:val="4CDC1ED0"/>
    <w:rsid w:val="4CFC77FD"/>
    <w:rsid w:val="4D387220"/>
    <w:rsid w:val="4D6061AF"/>
    <w:rsid w:val="4D89412D"/>
    <w:rsid w:val="4DA823BB"/>
    <w:rsid w:val="4DB91223"/>
    <w:rsid w:val="4DBC0901"/>
    <w:rsid w:val="4DC1754C"/>
    <w:rsid w:val="4E136476"/>
    <w:rsid w:val="4E4F241D"/>
    <w:rsid w:val="4E622199"/>
    <w:rsid w:val="4E686B67"/>
    <w:rsid w:val="4E7D26AF"/>
    <w:rsid w:val="4E870D2D"/>
    <w:rsid w:val="4E8824FB"/>
    <w:rsid w:val="4EED6635"/>
    <w:rsid w:val="4FB96F97"/>
    <w:rsid w:val="4FCB5AA7"/>
    <w:rsid w:val="4FF508EE"/>
    <w:rsid w:val="501C6CBB"/>
    <w:rsid w:val="501F2769"/>
    <w:rsid w:val="50212737"/>
    <w:rsid w:val="50352C79"/>
    <w:rsid w:val="509269D5"/>
    <w:rsid w:val="509A76F6"/>
    <w:rsid w:val="50CC1917"/>
    <w:rsid w:val="50D92763"/>
    <w:rsid w:val="50FC313B"/>
    <w:rsid w:val="510859EE"/>
    <w:rsid w:val="510B3674"/>
    <w:rsid w:val="510C0730"/>
    <w:rsid w:val="510E238A"/>
    <w:rsid w:val="511D4355"/>
    <w:rsid w:val="51521B02"/>
    <w:rsid w:val="51EB0BC2"/>
    <w:rsid w:val="51ED3649"/>
    <w:rsid w:val="52196006"/>
    <w:rsid w:val="525B1AF1"/>
    <w:rsid w:val="52AA000A"/>
    <w:rsid w:val="52C24C7E"/>
    <w:rsid w:val="52D8335A"/>
    <w:rsid w:val="52F20FEA"/>
    <w:rsid w:val="5337173B"/>
    <w:rsid w:val="53463E87"/>
    <w:rsid w:val="536F0A40"/>
    <w:rsid w:val="537A4728"/>
    <w:rsid w:val="53F54917"/>
    <w:rsid w:val="541F3EB6"/>
    <w:rsid w:val="549C412D"/>
    <w:rsid w:val="54A61B30"/>
    <w:rsid w:val="54AE0430"/>
    <w:rsid w:val="54E20BA4"/>
    <w:rsid w:val="54F229AA"/>
    <w:rsid w:val="550C6257"/>
    <w:rsid w:val="550E189A"/>
    <w:rsid w:val="55162264"/>
    <w:rsid w:val="5523354C"/>
    <w:rsid w:val="5547634E"/>
    <w:rsid w:val="55524F2D"/>
    <w:rsid w:val="55B74969"/>
    <w:rsid w:val="55D55349"/>
    <w:rsid w:val="56190D33"/>
    <w:rsid w:val="56301712"/>
    <w:rsid w:val="56433685"/>
    <w:rsid w:val="56490486"/>
    <w:rsid w:val="564D1E6D"/>
    <w:rsid w:val="566C6A10"/>
    <w:rsid w:val="56963FC3"/>
    <w:rsid w:val="56C21EFB"/>
    <w:rsid w:val="56D3594D"/>
    <w:rsid w:val="56F65CEE"/>
    <w:rsid w:val="56FD654C"/>
    <w:rsid w:val="57427EA9"/>
    <w:rsid w:val="575E31F2"/>
    <w:rsid w:val="57622D6B"/>
    <w:rsid w:val="576410BF"/>
    <w:rsid w:val="577F28C7"/>
    <w:rsid w:val="579A5A20"/>
    <w:rsid w:val="57A64193"/>
    <w:rsid w:val="57AA62F4"/>
    <w:rsid w:val="57C46E7C"/>
    <w:rsid w:val="57F31F47"/>
    <w:rsid w:val="58263758"/>
    <w:rsid w:val="584D7C89"/>
    <w:rsid w:val="58564960"/>
    <w:rsid w:val="58724F56"/>
    <w:rsid w:val="58C757E2"/>
    <w:rsid w:val="590428A5"/>
    <w:rsid w:val="591A2206"/>
    <w:rsid w:val="594C591D"/>
    <w:rsid w:val="595F3933"/>
    <w:rsid w:val="598F44D9"/>
    <w:rsid w:val="59AF2E29"/>
    <w:rsid w:val="5A152ADF"/>
    <w:rsid w:val="5A3955CC"/>
    <w:rsid w:val="5A701C46"/>
    <w:rsid w:val="5A71777F"/>
    <w:rsid w:val="5A7458B8"/>
    <w:rsid w:val="5A9C0B48"/>
    <w:rsid w:val="5AAD5397"/>
    <w:rsid w:val="5ACB1666"/>
    <w:rsid w:val="5ADA1004"/>
    <w:rsid w:val="5AE56EA4"/>
    <w:rsid w:val="5AF70E30"/>
    <w:rsid w:val="5B0049CA"/>
    <w:rsid w:val="5B123C15"/>
    <w:rsid w:val="5B294982"/>
    <w:rsid w:val="5B2F265F"/>
    <w:rsid w:val="5B6E5A9F"/>
    <w:rsid w:val="5BCF72D8"/>
    <w:rsid w:val="5BEF010E"/>
    <w:rsid w:val="5BFA4782"/>
    <w:rsid w:val="5C03376C"/>
    <w:rsid w:val="5C4C4B91"/>
    <w:rsid w:val="5C620070"/>
    <w:rsid w:val="5C8D3B7F"/>
    <w:rsid w:val="5C8F2BBA"/>
    <w:rsid w:val="5CB0230E"/>
    <w:rsid w:val="5CF77BAB"/>
    <w:rsid w:val="5D1A6C78"/>
    <w:rsid w:val="5D30144D"/>
    <w:rsid w:val="5D380F1A"/>
    <w:rsid w:val="5D4E362B"/>
    <w:rsid w:val="5D977E03"/>
    <w:rsid w:val="5DB11DE6"/>
    <w:rsid w:val="5DBC44E9"/>
    <w:rsid w:val="5DC8429C"/>
    <w:rsid w:val="5DD86DB6"/>
    <w:rsid w:val="5E026BA1"/>
    <w:rsid w:val="5E2067FF"/>
    <w:rsid w:val="5E281158"/>
    <w:rsid w:val="5E2E21D2"/>
    <w:rsid w:val="5E630057"/>
    <w:rsid w:val="5E7F1087"/>
    <w:rsid w:val="5EAA3E54"/>
    <w:rsid w:val="5EBE15C7"/>
    <w:rsid w:val="5EC04E80"/>
    <w:rsid w:val="5EC534F6"/>
    <w:rsid w:val="5ECB35D0"/>
    <w:rsid w:val="5EFE0D55"/>
    <w:rsid w:val="5EFE5E28"/>
    <w:rsid w:val="5F0943C0"/>
    <w:rsid w:val="5F0E2B62"/>
    <w:rsid w:val="5F1C331A"/>
    <w:rsid w:val="5F272312"/>
    <w:rsid w:val="5F320514"/>
    <w:rsid w:val="5F326ABB"/>
    <w:rsid w:val="5F3F3327"/>
    <w:rsid w:val="5F5B23F7"/>
    <w:rsid w:val="5F6A0A92"/>
    <w:rsid w:val="5F7A0B1F"/>
    <w:rsid w:val="5FD95C80"/>
    <w:rsid w:val="5FE84D2D"/>
    <w:rsid w:val="602228FD"/>
    <w:rsid w:val="608A12B5"/>
    <w:rsid w:val="60A117AE"/>
    <w:rsid w:val="60BD098D"/>
    <w:rsid w:val="61231892"/>
    <w:rsid w:val="6136136C"/>
    <w:rsid w:val="61376264"/>
    <w:rsid w:val="613C1230"/>
    <w:rsid w:val="614E1BA9"/>
    <w:rsid w:val="61537187"/>
    <w:rsid w:val="6155027F"/>
    <w:rsid w:val="615B0F41"/>
    <w:rsid w:val="61655C5C"/>
    <w:rsid w:val="616F4697"/>
    <w:rsid w:val="61776BCA"/>
    <w:rsid w:val="617C6495"/>
    <w:rsid w:val="61BD0199"/>
    <w:rsid w:val="61D04BC3"/>
    <w:rsid w:val="62166881"/>
    <w:rsid w:val="621C1B9E"/>
    <w:rsid w:val="62310C24"/>
    <w:rsid w:val="62340EC8"/>
    <w:rsid w:val="62647E76"/>
    <w:rsid w:val="62A3100F"/>
    <w:rsid w:val="62C92369"/>
    <w:rsid w:val="62D4595A"/>
    <w:rsid w:val="630655AE"/>
    <w:rsid w:val="633002B3"/>
    <w:rsid w:val="63457DBD"/>
    <w:rsid w:val="634A4E72"/>
    <w:rsid w:val="63902E17"/>
    <w:rsid w:val="63A4682B"/>
    <w:rsid w:val="63AD7D3F"/>
    <w:rsid w:val="63C81118"/>
    <w:rsid w:val="63E7635A"/>
    <w:rsid w:val="6408270C"/>
    <w:rsid w:val="64293C45"/>
    <w:rsid w:val="64352C21"/>
    <w:rsid w:val="64367098"/>
    <w:rsid w:val="64383165"/>
    <w:rsid w:val="644D61C7"/>
    <w:rsid w:val="648D6230"/>
    <w:rsid w:val="64C41301"/>
    <w:rsid w:val="64C4652D"/>
    <w:rsid w:val="64DA245A"/>
    <w:rsid w:val="64EA5374"/>
    <w:rsid w:val="65195389"/>
    <w:rsid w:val="652A57D5"/>
    <w:rsid w:val="653A1B3C"/>
    <w:rsid w:val="655B7658"/>
    <w:rsid w:val="65783687"/>
    <w:rsid w:val="65A85A3A"/>
    <w:rsid w:val="65D201EA"/>
    <w:rsid w:val="65D87675"/>
    <w:rsid w:val="65D979E9"/>
    <w:rsid w:val="65F47804"/>
    <w:rsid w:val="660D7681"/>
    <w:rsid w:val="66336CF4"/>
    <w:rsid w:val="665F0C05"/>
    <w:rsid w:val="666A207D"/>
    <w:rsid w:val="667B78EC"/>
    <w:rsid w:val="66CC596C"/>
    <w:rsid w:val="66F93F5E"/>
    <w:rsid w:val="673565FE"/>
    <w:rsid w:val="6743387B"/>
    <w:rsid w:val="674C1365"/>
    <w:rsid w:val="675D28E8"/>
    <w:rsid w:val="6766183D"/>
    <w:rsid w:val="6773320D"/>
    <w:rsid w:val="677D42F6"/>
    <w:rsid w:val="67827CEE"/>
    <w:rsid w:val="679B1933"/>
    <w:rsid w:val="67A15B7C"/>
    <w:rsid w:val="67E25BC7"/>
    <w:rsid w:val="67F86D8A"/>
    <w:rsid w:val="68030A35"/>
    <w:rsid w:val="680E2F36"/>
    <w:rsid w:val="687A681D"/>
    <w:rsid w:val="68896BC6"/>
    <w:rsid w:val="68B963BD"/>
    <w:rsid w:val="68CC27EF"/>
    <w:rsid w:val="68E37028"/>
    <w:rsid w:val="68E8642E"/>
    <w:rsid w:val="68EF0003"/>
    <w:rsid w:val="6909297E"/>
    <w:rsid w:val="690D5650"/>
    <w:rsid w:val="69483CCB"/>
    <w:rsid w:val="69AD7269"/>
    <w:rsid w:val="69B55D5F"/>
    <w:rsid w:val="69BC0840"/>
    <w:rsid w:val="69C326B2"/>
    <w:rsid w:val="69CB650D"/>
    <w:rsid w:val="69D32387"/>
    <w:rsid w:val="69DC146C"/>
    <w:rsid w:val="69F22B90"/>
    <w:rsid w:val="6A0E15C0"/>
    <w:rsid w:val="6A2E363D"/>
    <w:rsid w:val="6A4E5974"/>
    <w:rsid w:val="6A6F65C4"/>
    <w:rsid w:val="6A7A4C3D"/>
    <w:rsid w:val="6AE97732"/>
    <w:rsid w:val="6AF57552"/>
    <w:rsid w:val="6B0120DA"/>
    <w:rsid w:val="6B1C77CF"/>
    <w:rsid w:val="6B1D6A40"/>
    <w:rsid w:val="6B520F3C"/>
    <w:rsid w:val="6B522C68"/>
    <w:rsid w:val="6B982BDC"/>
    <w:rsid w:val="6BA522E9"/>
    <w:rsid w:val="6BC725EF"/>
    <w:rsid w:val="6BFF4D9C"/>
    <w:rsid w:val="6C547389"/>
    <w:rsid w:val="6C8B60DB"/>
    <w:rsid w:val="6CA35E0A"/>
    <w:rsid w:val="6CB72120"/>
    <w:rsid w:val="6CF23343"/>
    <w:rsid w:val="6D132556"/>
    <w:rsid w:val="6D4B2AB3"/>
    <w:rsid w:val="6DAB5A23"/>
    <w:rsid w:val="6DAE078B"/>
    <w:rsid w:val="6DE03F0D"/>
    <w:rsid w:val="6E3E604C"/>
    <w:rsid w:val="6E6E727D"/>
    <w:rsid w:val="6EBC1FC5"/>
    <w:rsid w:val="6EC218EC"/>
    <w:rsid w:val="6ECA43AA"/>
    <w:rsid w:val="6F272E8D"/>
    <w:rsid w:val="6F2801E3"/>
    <w:rsid w:val="6F2F31EF"/>
    <w:rsid w:val="6F3031F2"/>
    <w:rsid w:val="6F490D61"/>
    <w:rsid w:val="6F85308E"/>
    <w:rsid w:val="6F8D2879"/>
    <w:rsid w:val="6F9728C7"/>
    <w:rsid w:val="6F9B386E"/>
    <w:rsid w:val="6FA36659"/>
    <w:rsid w:val="6FD27390"/>
    <w:rsid w:val="6FDC4E71"/>
    <w:rsid w:val="6FDD3D20"/>
    <w:rsid w:val="6FDE2969"/>
    <w:rsid w:val="700F22BF"/>
    <w:rsid w:val="701045F9"/>
    <w:rsid w:val="70155E91"/>
    <w:rsid w:val="7020504D"/>
    <w:rsid w:val="70221FB7"/>
    <w:rsid w:val="703B2D36"/>
    <w:rsid w:val="70462EF1"/>
    <w:rsid w:val="70504B74"/>
    <w:rsid w:val="707D7D43"/>
    <w:rsid w:val="70C26BF8"/>
    <w:rsid w:val="70CB7386"/>
    <w:rsid w:val="70F5342E"/>
    <w:rsid w:val="71022C75"/>
    <w:rsid w:val="71211899"/>
    <w:rsid w:val="713B6344"/>
    <w:rsid w:val="715720EF"/>
    <w:rsid w:val="715C4A88"/>
    <w:rsid w:val="716D422C"/>
    <w:rsid w:val="71787C2D"/>
    <w:rsid w:val="717F3BEB"/>
    <w:rsid w:val="717F6C52"/>
    <w:rsid w:val="71F65166"/>
    <w:rsid w:val="72081116"/>
    <w:rsid w:val="723C36B6"/>
    <w:rsid w:val="72557EEF"/>
    <w:rsid w:val="72606C8E"/>
    <w:rsid w:val="72847FEA"/>
    <w:rsid w:val="728E4680"/>
    <w:rsid w:val="729130E1"/>
    <w:rsid w:val="729F6320"/>
    <w:rsid w:val="72AE5ACF"/>
    <w:rsid w:val="72C27673"/>
    <w:rsid w:val="730B7EF5"/>
    <w:rsid w:val="73807352"/>
    <w:rsid w:val="741555EA"/>
    <w:rsid w:val="741709BC"/>
    <w:rsid w:val="74292673"/>
    <w:rsid w:val="74576634"/>
    <w:rsid w:val="746077D4"/>
    <w:rsid w:val="749018A2"/>
    <w:rsid w:val="74A34E0E"/>
    <w:rsid w:val="74B25E36"/>
    <w:rsid w:val="74B35591"/>
    <w:rsid w:val="74B5566D"/>
    <w:rsid w:val="750A2CD7"/>
    <w:rsid w:val="751B0054"/>
    <w:rsid w:val="75264970"/>
    <w:rsid w:val="754378D1"/>
    <w:rsid w:val="75595C78"/>
    <w:rsid w:val="7589124B"/>
    <w:rsid w:val="759335A8"/>
    <w:rsid w:val="75B17801"/>
    <w:rsid w:val="75D53122"/>
    <w:rsid w:val="76033D8F"/>
    <w:rsid w:val="760A4D91"/>
    <w:rsid w:val="76126014"/>
    <w:rsid w:val="76133056"/>
    <w:rsid w:val="762650BF"/>
    <w:rsid w:val="762A53DF"/>
    <w:rsid w:val="7633568C"/>
    <w:rsid w:val="764334F2"/>
    <w:rsid w:val="767C7699"/>
    <w:rsid w:val="76DF40F1"/>
    <w:rsid w:val="76E575A6"/>
    <w:rsid w:val="77096F7C"/>
    <w:rsid w:val="77103403"/>
    <w:rsid w:val="772518D4"/>
    <w:rsid w:val="773210A0"/>
    <w:rsid w:val="77324E93"/>
    <w:rsid w:val="77462347"/>
    <w:rsid w:val="774A7709"/>
    <w:rsid w:val="776A712E"/>
    <w:rsid w:val="77782A01"/>
    <w:rsid w:val="77B53160"/>
    <w:rsid w:val="77B565DF"/>
    <w:rsid w:val="77B75D2D"/>
    <w:rsid w:val="77D66CB1"/>
    <w:rsid w:val="77D83992"/>
    <w:rsid w:val="77FC6254"/>
    <w:rsid w:val="77FE622B"/>
    <w:rsid w:val="784125D0"/>
    <w:rsid w:val="78850504"/>
    <w:rsid w:val="78955E3B"/>
    <w:rsid w:val="789D06D4"/>
    <w:rsid w:val="78EF290F"/>
    <w:rsid w:val="79D279ED"/>
    <w:rsid w:val="7A027F8D"/>
    <w:rsid w:val="7A303861"/>
    <w:rsid w:val="7A4D5B40"/>
    <w:rsid w:val="7A895C71"/>
    <w:rsid w:val="7A927CA8"/>
    <w:rsid w:val="7A99333D"/>
    <w:rsid w:val="7AEC37C4"/>
    <w:rsid w:val="7B2D5C91"/>
    <w:rsid w:val="7B63075D"/>
    <w:rsid w:val="7BB51E94"/>
    <w:rsid w:val="7BCA3981"/>
    <w:rsid w:val="7BD35FFD"/>
    <w:rsid w:val="7BEC4E19"/>
    <w:rsid w:val="7BF32349"/>
    <w:rsid w:val="7BFB50F4"/>
    <w:rsid w:val="7C006DBE"/>
    <w:rsid w:val="7C061A6C"/>
    <w:rsid w:val="7C2B3C99"/>
    <w:rsid w:val="7C2D4D0F"/>
    <w:rsid w:val="7C492337"/>
    <w:rsid w:val="7C4F49C1"/>
    <w:rsid w:val="7CB77BE8"/>
    <w:rsid w:val="7CBC393D"/>
    <w:rsid w:val="7CDE70A3"/>
    <w:rsid w:val="7CE84DCF"/>
    <w:rsid w:val="7D281D9B"/>
    <w:rsid w:val="7DF84014"/>
    <w:rsid w:val="7E0877F7"/>
    <w:rsid w:val="7E1C15C8"/>
    <w:rsid w:val="7E57112E"/>
    <w:rsid w:val="7E5C089A"/>
    <w:rsid w:val="7E682F48"/>
    <w:rsid w:val="7E9A086F"/>
    <w:rsid w:val="7E9E0A17"/>
    <w:rsid w:val="7EB42D57"/>
    <w:rsid w:val="7EDD62F1"/>
    <w:rsid w:val="7F322CC8"/>
    <w:rsid w:val="7F3373D6"/>
    <w:rsid w:val="7F5925C1"/>
    <w:rsid w:val="7F7B16FC"/>
    <w:rsid w:val="7F853FCE"/>
    <w:rsid w:val="7F906F5B"/>
    <w:rsid w:val="7F9769EB"/>
    <w:rsid w:val="7F9D1231"/>
    <w:rsid w:val="7FCA4F46"/>
    <w:rsid w:val="7FF15A8A"/>
    <w:rsid w:val="7FF5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9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5"/>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3"/>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104"/>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05"/>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06"/>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107"/>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0"/>
    <w:autoRedefine/>
    <w:qFormat/>
    <w:uiPriority w:val="99"/>
    <w:pPr>
      <w:spacing w:after="120"/>
    </w:pPr>
    <w:rPr>
      <w:sz w:val="28"/>
    </w:rPr>
  </w:style>
  <w:style w:type="paragraph" w:styleId="12">
    <w:name w:val="toc 7"/>
    <w:basedOn w:val="1"/>
    <w:next w:val="1"/>
    <w:autoRedefine/>
    <w:qFormat/>
    <w:uiPriority w:val="99"/>
    <w:pPr>
      <w:ind w:left="1260"/>
      <w:jc w:val="left"/>
    </w:pPr>
    <w:rPr>
      <w:rFonts w:ascii="Calibri" w:hAnsi="Calibri" w:cs="Calibri"/>
      <w:sz w:val="18"/>
      <w:szCs w:val="18"/>
    </w:rPr>
  </w:style>
  <w:style w:type="paragraph" w:styleId="13">
    <w:name w:val="List Number"/>
    <w:basedOn w:val="1"/>
    <w:autoRedefine/>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4">
    <w:name w:val="Normal Indent"/>
    <w:basedOn w:val="1"/>
    <w:link w:val="70"/>
    <w:autoRedefine/>
    <w:qFormat/>
    <w:uiPriority w:val="0"/>
    <w:pPr>
      <w:ind w:firstLine="420"/>
    </w:pPr>
    <w:rPr>
      <w:rFonts w:asciiTheme="minorHAnsi" w:hAnsiTheme="minorHAnsi" w:eastAsiaTheme="minorEastAsia" w:cstheme="minorBidi"/>
      <w:szCs w:val="22"/>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127"/>
    <w:autoRedefine/>
    <w:semiHidden/>
    <w:qFormat/>
    <w:uiPriority w:val="0"/>
    <w:pPr>
      <w:shd w:val="clear" w:color="auto" w:fill="000080"/>
    </w:pPr>
  </w:style>
  <w:style w:type="paragraph" w:styleId="17">
    <w:name w:val="annotation text"/>
    <w:basedOn w:val="1"/>
    <w:link w:val="128"/>
    <w:autoRedefine/>
    <w:unhideWhenUsed/>
    <w:qFormat/>
    <w:uiPriority w:val="0"/>
    <w:pPr>
      <w:jc w:val="left"/>
    </w:pPr>
  </w:style>
  <w:style w:type="paragraph" w:styleId="18">
    <w:name w:val="Body Text 3"/>
    <w:basedOn w:val="1"/>
    <w:link w:val="77"/>
    <w:autoRedefine/>
    <w:qFormat/>
    <w:uiPriority w:val="0"/>
    <w:pPr>
      <w:snapToGrid w:val="0"/>
      <w:spacing w:before="50" w:after="50"/>
    </w:pPr>
    <w:rPr>
      <w:rFonts w:hAnsi="宋体" w:eastAsia="仿宋_GB2312"/>
      <w:b/>
      <w:bCs/>
      <w:sz w:val="24"/>
      <w:szCs w:val="20"/>
    </w:rPr>
  </w:style>
  <w:style w:type="paragraph" w:styleId="19">
    <w:name w:val="Body Text Indent"/>
    <w:basedOn w:val="1"/>
    <w:next w:val="1"/>
    <w:link w:val="74"/>
    <w:autoRedefine/>
    <w:qFormat/>
    <w:uiPriority w:val="0"/>
    <w:pPr>
      <w:spacing w:line="200" w:lineRule="exact"/>
      <w:ind w:firstLine="301"/>
    </w:pPr>
    <w:rPr>
      <w:rFonts w:ascii="宋体" w:hAnsi="Courier New" w:eastAsiaTheme="minorEastAsia" w:cstheme="minorBidi"/>
      <w:spacing w:val="-4"/>
      <w:sz w:val="18"/>
      <w:szCs w:val="22"/>
    </w:rPr>
  </w:style>
  <w:style w:type="paragraph" w:styleId="20">
    <w:name w:val="List Number 3"/>
    <w:basedOn w:val="1"/>
    <w:autoRedefine/>
    <w:qFormat/>
    <w:uiPriority w:val="0"/>
    <w:pPr>
      <w:numPr>
        <w:ilvl w:val="0"/>
        <w:numId w:val="2"/>
      </w:numPr>
    </w:pPr>
  </w:style>
  <w:style w:type="paragraph" w:styleId="21">
    <w:name w:val="List 2"/>
    <w:basedOn w:val="1"/>
    <w:autoRedefine/>
    <w:qFormat/>
    <w:uiPriority w:val="0"/>
    <w:pPr>
      <w:ind w:left="100" w:leftChars="200" w:hanging="200" w:hangingChars="200"/>
    </w:pPr>
    <w:rPr>
      <w:sz w:val="28"/>
    </w:rPr>
  </w:style>
  <w:style w:type="paragraph" w:styleId="22">
    <w:name w:val="Block Text"/>
    <w:basedOn w:val="1"/>
    <w:autoRedefine/>
    <w:qFormat/>
    <w:uiPriority w:val="99"/>
    <w:pPr>
      <w:spacing w:line="240" w:lineRule="exact"/>
      <w:ind w:left="475" w:leftChars="240" w:right="578" w:rightChars="292" w:firstLine="473"/>
    </w:pPr>
    <w:rPr>
      <w:rFonts w:ascii="宋体"/>
      <w:szCs w:val="21"/>
    </w:rPr>
  </w:style>
  <w:style w:type="paragraph" w:styleId="23">
    <w:name w:val="index 4"/>
    <w:basedOn w:val="1"/>
    <w:next w:val="1"/>
    <w:autoRedefine/>
    <w:qFormat/>
    <w:uiPriority w:val="0"/>
    <w:pPr>
      <w:ind w:left="600" w:leftChars="600"/>
    </w:pPr>
    <w:rPr>
      <w:rFonts w:ascii="宋体"/>
      <w:sz w:val="24"/>
    </w:rPr>
  </w:style>
  <w:style w:type="paragraph" w:styleId="24">
    <w:name w:val="toc 5"/>
    <w:basedOn w:val="1"/>
    <w:next w:val="1"/>
    <w:autoRedefine/>
    <w:qFormat/>
    <w:uiPriority w:val="39"/>
    <w:pPr>
      <w:ind w:left="840"/>
      <w:jc w:val="left"/>
    </w:pPr>
    <w:rPr>
      <w:rFonts w:ascii="Calibri" w:hAnsi="Calibri" w:cs="Calibri"/>
      <w:sz w:val="18"/>
      <w:szCs w:val="18"/>
    </w:rPr>
  </w:style>
  <w:style w:type="paragraph" w:styleId="25">
    <w:name w:val="toc 3"/>
    <w:basedOn w:val="1"/>
    <w:next w:val="1"/>
    <w:autoRedefine/>
    <w:qFormat/>
    <w:uiPriority w:val="39"/>
    <w:pPr>
      <w:ind w:left="840" w:leftChars="400"/>
    </w:pPr>
  </w:style>
  <w:style w:type="paragraph" w:styleId="26">
    <w:name w:val="Plain Text"/>
    <w:basedOn w:val="1"/>
    <w:next w:val="1"/>
    <w:link w:val="73"/>
    <w:autoRedefine/>
    <w:qFormat/>
    <w:uiPriority w:val="0"/>
    <w:pPr>
      <w:spacing w:before="156" w:beforeLines="50" w:after="156" w:afterLines="50" w:line="400" w:lineRule="exact"/>
    </w:pPr>
    <w:rPr>
      <w:rFonts w:ascii="宋体" w:hAnsi="Courier New" w:eastAsiaTheme="minorEastAsia" w:cstheme="minorBidi"/>
      <w:sz w:val="24"/>
    </w:rPr>
  </w:style>
  <w:style w:type="paragraph" w:styleId="27">
    <w:name w:val="toc 8"/>
    <w:basedOn w:val="1"/>
    <w:next w:val="1"/>
    <w:autoRedefine/>
    <w:qFormat/>
    <w:uiPriority w:val="39"/>
    <w:pPr>
      <w:ind w:left="1470"/>
      <w:jc w:val="left"/>
    </w:pPr>
    <w:rPr>
      <w:rFonts w:ascii="Calibri" w:hAnsi="Calibri" w:cs="Calibri"/>
      <w:sz w:val="18"/>
      <w:szCs w:val="18"/>
    </w:rPr>
  </w:style>
  <w:style w:type="paragraph" w:styleId="28">
    <w:name w:val="Date"/>
    <w:basedOn w:val="1"/>
    <w:next w:val="1"/>
    <w:link w:val="86"/>
    <w:autoRedefine/>
    <w:qFormat/>
    <w:uiPriority w:val="0"/>
    <w:pPr>
      <w:ind w:left="2500" w:leftChars="2500"/>
    </w:pPr>
    <w:rPr>
      <w:rFonts w:eastAsia="楷体_GB2312"/>
      <w:sz w:val="32"/>
      <w:szCs w:val="20"/>
    </w:rPr>
  </w:style>
  <w:style w:type="paragraph" w:styleId="29">
    <w:name w:val="Body Text Indent 2"/>
    <w:basedOn w:val="1"/>
    <w:link w:val="87"/>
    <w:autoRedefine/>
    <w:qFormat/>
    <w:uiPriority w:val="0"/>
    <w:pPr>
      <w:snapToGrid w:val="0"/>
      <w:ind w:firstLine="542" w:firstLineChars="225"/>
    </w:pPr>
    <w:rPr>
      <w:rFonts w:ascii="仿宋_GB2312" w:hAnsi="宋体" w:cs="Arial"/>
      <w:b/>
      <w:bCs/>
      <w:color w:val="000000"/>
      <w:sz w:val="24"/>
    </w:rPr>
  </w:style>
  <w:style w:type="paragraph" w:styleId="30">
    <w:name w:val="Balloon Text"/>
    <w:basedOn w:val="1"/>
    <w:link w:val="85"/>
    <w:autoRedefine/>
    <w:qFormat/>
    <w:uiPriority w:val="0"/>
    <w:rPr>
      <w:sz w:val="18"/>
      <w:szCs w:val="18"/>
    </w:rPr>
  </w:style>
  <w:style w:type="paragraph" w:styleId="31">
    <w:name w:val="footer"/>
    <w:basedOn w:val="1"/>
    <w:link w:val="67"/>
    <w:autoRedefine/>
    <w:unhideWhenUsed/>
    <w:qFormat/>
    <w:uiPriority w:val="99"/>
    <w:pPr>
      <w:tabs>
        <w:tab w:val="center" w:pos="4153"/>
        <w:tab w:val="right" w:pos="8306"/>
      </w:tabs>
      <w:snapToGrid w:val="0"/>
      <w:jc w:val="left"/>
    </w:pPr>
    <w:rPr>
      <w:sz w:val="18"/>
      <w:szCs w:val="18"/>
    </w:rPr>
  </w:style>
  <w:style w:type="paragraph" w:styleId="32">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style>
  <w:style w:type="paragraph" w:styleId="34">
    <w:name w:val="toc 4"/>
    <w:basedOn w:val="1"/>
    <w:next w:val="1"/>
    <w:autoRedefine/>
    <w:qFormat/>
    <w:uiPriority w:val="39"/>
    <w:pPr>
      <w:ind w:left="630"/>
      <w:jc w:val="left"/>
    </w:pPr>
    <w:rPr>
      <w:rFonts w:ascii="Calibri" w:hAnsi="Calibri" w:cs="Calibri"/>
      <w:sz w:val="18"/>
      <w:szCs w:val="18"/>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118"/>
    <w:autoRedefine/>
    <w:qFormat/>
    <w:uiPriority w:val="0"/>
    <w:pPr>
      <w:snapToGrid w:val="0"/>
      <w:jc w:val="left"/>
    </w:pPr>
    <w:rPr>
      <w:kern w:val="0"/>
      <w:sz w:val="18"/>
      <w:szCs w:val="18"/>
    </w:rPr>
  </w:style>
  <w:style w:type="paragraph" w:styleId="37">
    <w:name w:val="toc 6"/>
    <w:basedOn w:val="1"/>
    <w:next w:val="1"/>
    <w:autoRedefine/>
    <w:qFormat/>
    <w:uiPriority w:val="39"/>
    <w:pPr>
      <w:ind w:left="1050"/>
      <w:jc w:val="left"/>
    </w:pPr>
    <w:rPr>
      <w:rFonts w:ascii="Calibri" w:hAnsi="Calibri" w:cs="Calibri"/>
      <w:sz w:val="18"/>
      <w:szCs w:val="18"/>
    </w:rPr>
  </w:style>
  <w:style w:type="paragraph" w:styleId="38">
    <w:name w:val="Body Text Indent 3"/>
    <w:basedOn w:val="1"/>
    <w:link w:val="75"/>
    <w:autoRedefine/>
    <w:qFormat/>
    <w:uiPriority w:val="0"/>
    <w:pPr>
      <w:snapToGrid w:val="0"/>
      <w:ind w:firstLine="480" w:firstLineChars="200"/>
      <w:jc w:val="left"/>
    </w:pPr>
    <w:rPr>
      <w:rFonts w:ascii="仿宋_GB2312" w:hAnsi="宋体" w:eastAsia="仿宋_GB2312" w:cstheme="minorBidi"/>
      <w:color w:val="000000"/>
      <w:sz w:val="24"/>
    </w:rPr>
  </w:style>
  <w:style w:type="paragraph" w:styleId="39">
    <w:name w:val="toc 2"/>
    <w:basedOn w:val="1"/>
    <w:next w:val="1"/>
    <w:autoRedefine/>
    <w:qFormat/>
    <w:uiPriority w:val="39"/>
    <w:pPr>
      <w:ind w:left="420" w:leftChars="200"/>
    </w:pPr>
  </w:style>
  <w:style w:type="paragraph" w:styleId="40">
    <w:name w:val="toc 9"/>
    <w:basedOn w:val="1"/>
    <w:next w:val="1"/>
    <w:autoRedefine/>
    <w:qFormat/>
    <w:uiPriority w:val="39"/>
    <w:pPr>
      <w:ind w:left="1680"/>
      <w:jc w:val="left"/>
    </w:pPr>
    <w:rPr>
      <w:rFonts w:ascii="Calibri" w:hAnsi="Calibri" w:cs="Calibri"/>
      <w:sz w:val="18"/>
      <w:szCs w:val="18"/>
    </w:rPr>
  </w:style>
  <w:style w:type="paragraph" w:styleId="41">
    <w:name w:val="Body Text 2"/>
    <w:basedOn w:val="1"/>
    <w:link w:val="84"/>
    <w:autoRedefine/>
    <w:qFormat/>
    <w:uiPriority w:val="0"/>
    <w:pPr>
      <w:widowControl/>
      <w:snapToGrid w:val="0"/>
      <w:spacing w:before="50" w:after="156" w:afterLines="50" w:line="400" w:lineRule="exact"/>
      <w:jc w:val="left"/>
    </w:pPr>
    <w:rPr>
      <w:rFonts w:ascii="宋体" w:hAnsi="宋体"/>
      <w:color w:val="000000"/>
      <w:sz w:val="24"/>
    </w:rPr>
  </w:style>
  <w:style w:type="paragraph" w:styleId="42">
    <w:name w:val="HTML Preformatted"/>
    <w:basedOn w:val="1"/>
    <w:link w:val="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szCs w:val="22"/>
    </w:rPr>
  </w:style>
  <w:style w:type="paragraph" w:styleId="43">
    <w:name w:val="Normal (Web)"/>
    <w:basedOn w:val="1"/>
    <w:link w:val="162"/>
    <w:autoRedefine/>
    <w:qFormat/>
    <w:uiPriority w:val="0"/>
    <w:pPr>
      <w:widowControl/>
      <w:spacing w:before="100" w:beforeAutospacing="1" w:after="100" w:afterAutospacing="1"/>
      <w:jc w:val="left"/>
    </w:pPr>
    <w:rPr>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next w:val="1"/>
    <w:link w:val="135"/>
    <w:autoRedefine/>
    <w:qFormat/>
    <w:uiPriority w:val="99"/>
    <w:pPr>
      <w:spacing w:before="240" w:after="60"/>
      <w:jc w:val="center"/>
      <w:outlineLvl w:val="0"/>
    </w:pPr>
    <w:rPr>
      <w:rFonts w:ascii="Cambria" w:hAnsi="Cambria"/>
      <w:b/>
      <w:sz w:val="32"/>
      <w:szCs w:val="20"/>
    </w:rPr>
  </w:style>
  <w:style w:type="paragraph" w:styleId="46">
    <w:name w:val="annotation subject"/>
    <w:basedOn w:val="17"/>
    <w:next w:val="17"/>
    <w:link w:val="129"/>
    <w:autoRedefine/>
    <w:qFormat/>
    <w:uiPriority w:val="0"/>
    <w:rPr>
      <w:b/>
      <w:bCs/>
    </w:rPr>
  </w:style>
  <w:style w:type="paragraph" w:styleId="47">
    <w:name w:val="Body Text First Indent"/>
    <w:basedOn w:val="2"/>
    <w:next w:val="37"/>
    <w:autoRedefine/>
    <w:qFormat/>
    <w:uiPriority w:val="99"/>
    <w:pPr>
      <w:autoSpaceDE w:val="0"/>
      <w:autoSpaceDN w:val="0"/>
      <w:adjustRightInd w:val="0"/>
      <w:spacing w:after="0"/>
      <w:jc w:val="left"/>
    </w:pPr>
    <w:rPr>
      <w:kern w:val="0"/>
      <w:szCs w:val="20"/>
    </w:rPr>
  </w:style>
  <w:style w:type="paragraph" w:styleId="48">
    <w:name w:val="Body Text First Indent 2"/>
    <w:basedOn w:val="19"/>
    <w:next w:val="1"/>
    <w:link w:val="169"/>
    <w:autoRedefine/>
    <w:qFormat/>
    <w:uiPriority w:val="0"/>
    <w:pPr>
      <w:spacing w:after="120" w:line="240" w:lineRule="auto"/>
      <w:ind w:left="420" w:leftChars="200" w:firstLine="420" w:firstLineChars="200"/>
    </w:pPr>
    <w:rPr>
      <w:rFonts w:ascii="Times New Roman" w:hAnsi="Times New Roman" w:eastAsia="方正书宋简体" w:cs="Times New Roman"/>
      <w:spacing w:val="0"/>
      <w:sz w:val="21"/>
      <w:szCs w:val="20"/>
    </w:rPr>
  </w:style>
  <w:style w:type="table" w:styleId="50">
    <w:name w:val="Table Grid"/>
    <w:basedOn w:val="49"/>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page number"/>
    <w:basedOn w:val="51"/>
    <w:autoRedefine/>
    <w:qFormat/>
    <w:uiPriority w:val="0"/>
  </w:style>
  <w:style w:type="character" w:styleId="54">
    <w:name w:val="FollowedHyperlink"/>
    <w:autoRedefine/>
    <w:qFormat/>
    <w:uiPriority w:val="0"/>
    <w:rPr>
      <w:color w:val="954F72"/>
      <w:u w:val="single"/>
    </w:rPr>
  </w:style>
  <w:style w:type="character" w:styleId="55">
    <w:name w:val="Emphasis"/>
    <w:autoRedefine/>
    <w:qFormat/>
    <w:uiPriority w:val="0"/>
    <w:rPr>
      <w:color w:val="CC0000"/>
    </w:rPr>
  </w:style>
  <w:style w:type="character" w:styleId="56">
    <w:name w:val="HTML Typewriter"/>
    <w:autoRedefine/>
    <w:qFormat/>
    <w:uiPriority w:val="0"/>
    <w:rPr>
      <w:rFonts w:ascii="黑体" w:hAnsi="Courier New" w:eastAsia="黑体" w:cs="Courier New"/>
      <w:sz w:val="20"/>
      <w:szCs w:val="20"/>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paragraph" w:customStyle="1" w:styleId="6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表格文字"/>
    <w:basedOn w:val="26"/>
    <w:next w:val="2"/>
    <w:autoRedefine/>
    <w:qFormat/>
    <w:uiPriority w:val="0"/>
    <w:pPr>
      <w:adjustRightInd w:val="0"/>
      <w:spacing w:line="420" w:lineRule="atLeast"/>
      <w:jc w:val="left"/>
      <w:textAlignment w:val="baseline"/>
    </w:pPr>
    <w:rPr>
      <w:kern w:val="0"/>
      <w:szCs w:val="20"/>
    </w:rPr>
  </w:style>
  <w:style w:type="paragraph" w:customStyle="1" w:styleId="62">
    <w:name w:val="正文2"/>
    <w:basedOn w:val="1"/>
    <w:autoRedefine/>
    <w:qFormat/>
    <w:uiPriority w:val="0"/>
    <w:pPr>
      <w:spacing w:beforeLines="50" w:afterLines="50" w:line="360" w:lineRule="auto"/>
      <w:ind w:firstLine="480" w:firstLineChars="200"/>
    </w:pPr>
    <w:rPr>
      <w:rFonts w:ascii="宋体" w:hAnsi="宋体"/>
      <w:sz w:val="24"/>
      <w:szCs w:val="24"/>
    </w:rPr>
  </w:style>
  <w:style w:type="paragraph" w:customStyle="1" w:styleId="6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4">
    <w:name w:val="List Paragraph"/>
    <w:basedOn w:val="1"/>
    <w:autoRedefine/>
    <w:qFormat/>
    <w:uiPriority w:val="1"/>
    <w:pPr>
      <w:ind w:firstLine="420" w:firstLineChars="200"/>
    </w:pPr>
    <w:rPr>
      <w:rFonts w:ascii="Calibri" w:hAnsi="Calibri"/>
      <w:szCs w:val="22"/>
    </w:rPr>
  </w:style>
  <w:style w:type="paragraph" w:customStyle="1" w:styleId="65">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6">
    <w:name w:val="页眉 Char"/>
    <w:basedOn w:val="51"/>
    <w:link w:val="32"/>
    <w:autoRedefine/>
    <w:qFormat/>
    <w:uiPriority w:val="0"/>
    <w:rPr>
      <w:sz w:val="18"/>
      <w:szCs w:val="18"/>
    </w:rPr>
  </w:style>
  <w:style w:type="character" w:customStyle="1" w:styleId="67">
    <w:name w:val="页脚 Char"/>
    <w:basedOn w:val="51"/>
    <w:link w:val="31"/>
    <w:autoRedefine/>
    <w:qFormat/>
    <w:uiPriority w:val="99"/>
    <w:rPr>
      <w:sz w:val="18"/>
      <w:szCs w:val="18"/>
    </w:rPr>
  </w:style>
  <w:style w:type="character" w:customStyle="1" w:styleId="68">
    <w:name w:val="标题 1 Char"/>
    <w:basedOn w:val="51"/>
    <w:link w:val="3"/>
    <w:autoRedefine/>
    <w:qFormat/>
    <w:uiPriority w:val="0"/>
    <w:rPr>
      <w:rFonts w:ascii="Times New Roman" w:hAnsi="Times New Roman" w:eastAsia="宋体" w:cs="Times New Roman"/>
      <w:b/>
      <w:bCs/>
      <w:kern w:val="44"/>
      <w:sz w:val="44"/>
      <w:szCs w:val="44"/>
    </w:rPr>
  </w:style>
  <w:style w:type="character" w:customStyle="1" w:styleId="69">
    <w:name w:val="标题 2 Char"/>
    <w:basedOn w:val="51"/>
    <w:link w:val="4"/>
    <w:autoRedefine/>
    <w:qFormat/>
    <w:uiPriority w:val="0"/>
    <w:rPr>
      <w:rFonts w:ascii="Arial" w:hAnsi="Arial" w:eastAsia="黑体" w:cs="Times New Roman"/>
      <w:b/>
      <w:bCs/>
      <w:sz w:val="32"/>
      <w:szCs w:val="32"/>
    </w:rPr>
  </w:style>
  <w:style w:type="character" w:customStyle="1" w:styleId="70">
    <w:name w:val="正文缩进 Char"/>
    <w:link w:val="14"/>
    <w:autoRedefine/>
    <w:qFormat/>
    <w:locked/>
    <w:uiPriority w:val="0"/>
  </w:style>
  <w:style w:type="character" w:customStyle="1" w:styleId="71">
    <w:name w:val="HTML 预设格式 Char"/>
    <w:link w:val="42"/>
    <w:autoRedefine/>
    <w:qFormat/>
    <w:uiPriority w:val="0"/>
    <w:rPr>
      <w:rFonts w:ascii="Arial Unicode MS" w:hAnsi="Arial Unicode MS" w:eastAsia="Arial Unicode MS" w:cs="Arial Unicode MS"/>
      <w:color w:val="000000"/>
    </w:rPr>
  </w:style>
  <w:style w:type="character" w:customStyle="1" w:styleId="72">
    <w:name w:val="标题 1 Char Char"/>
    <w:autoRedefine/>
    <w:qFormat/>
    <w:uiPriority w:val="0"/>
    <w:rPr>
      <w:rFonts w:eastAsia="宋体"/>
      <w:b/>
      <w:spacing w:val="-2"/>
      <w:sz w:val="24"/>
      <w:lang w:val="en-US" w:eastAsia="zh-CN" w:bidi="ar-SA"/>
    </w:rPr>
  </w:style>
  <w:style w:type="character" w:customStyle="1" w:styleId="73">
    <w:name w:val="纯文本 Char"/>
    <w:link w:val="26"/>
    <w:autoRedefine/>
    <w:qFormat/>
    <w:locked/>
    <w:uiPriority w:val="0"/>
    <w:rPr>
      <w:rFonts w:ascii="宋体" w:hAnsi="Courier New"/>
      <w:sz w:val="24"/>
      <w:szCs w:val="24"/>
    </w:rPr>
  </w:style>
  <w:style w:type="character" w:customStyle="1" w:styleId="74">
    <w:name w:val="正文文本缩进 Char"/>
    <w:link w:val="19"/>
    <w:autoRedefine/>
    <w:qFormat/>
    <w:uiPriority w:val="0"/>
    <w:rPr>
      <w:rFonts w:ascii="宋体" w:hAnsi="Courier New"/>
      <w:spacing w:val="-4"/>
      <w:sz w:val="18"/>
    </w:rPr>
  </w:style>
  <w:style w:type="character" w:customStyle="1" w:styleId="75">
    <w:name w:val="正文文本缩进 3 Char"/>
    <w:link w:val="38"/>
    <w:autoRedefine/>
    <w:qFormat/>
    <w:uiPriority w:val="0"/>
    <w:rPr>
      <w:rFonts w:ascii="仿宋_GB2312" w:hAnsi="宋体" w:eastAsia="仿宋_GB2312"/>
      <w:color w:val="000000"/>
      <w:sz w:val="24"/>
      <w:szCs w:val="24"/>
    </w:rPr>
  </w:style>
  <w:style w:type="paragraph" w:customStyle="1" w:styleId="76">
    <w:name w:val="样式 楷体_GB2312 小四 行距: 1.5 倍行距"/>
    <w:basedOn w:val="1"/>
    <w:autoRedefine/>
    <w:qFormat/>
    <w:uiPriority w:val="0"/>
    <w:pPr>
      <w:spacing w:line="360" w:lineRule="auto"/>
      <w:ind w:firstLine="200" w:firstLineChars="200"/>
    </w:pPr>
    <w:rPr>
      <w:rFonts w:ascii="楷体_GB2312" w:eastAsia="楷体_GB2312" w:cs="宋体"/>
      <w:sz w:val="24"/>
      <w:szCs w:val="20"/>
    </w:rPr>
  </w:style>
  <w:style w:type="character" w:customStyle="1" w:styleId="77">
    <w:name w:val="正文文本 3 Char"/>
    <w:basedOn w:val="51"/>
    <w:link w:val="18"/>
    <w:autoRedefine/>
    <w:qFormat/>
    <w:uiPriority w:val="0"/>
    <w:rPr>
      <w:rFonts w:ascii="Times New Roman" w:hAnsi="宋体" w:eastAsia="仿宋_GB2312" w:cs="Times New Roman"/>
      <w:b/>
      <w:bCs/>
      <w:sz w:val="24"/>
      <w:szCs w:val="20"/>
    </w:rPr>
  </w:style>
  <w:style w:type="paragraph" w:customStyle="1" w:styleId="7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79">
    <w:name w:val="正文文本缩进 Char1"/>
    <w:basedOn w:val="51"/>
    <w:autoRedefine/>
    <w:semiHidden/>
    <w:qFormat/>
    <w:uiPriority w:val="99"/>
    <w:rPr>
      <w:rFonts w:ascii="Times New Roman" w:hAnsi="Times New Roman" w:eastAsia="宋体" w:cs="Times New Roman"/>
      <w:szCs w:val="24"/>
    </w:rPr>
  </w:style>
  <w:style w:type="character" w:customStyle="1" w:styleId="80">
    <w:name w:val="正文文本 Char"/>
    <w:basedOn w:val="51"/>
    <w:link w:val="2"/>
    <w:autoRedefine/>
    <w:qFormat/>
    <w:uiPriority w:val="99"/>
    <w:rPr>
      <w:rFonts w:ascii="Times New Roman" w:hAnsi="Times New Roman" w:eastAsia="宋体" w:cs="Times New Roman"/>
      <w:sz w:val="28"/>
      <w:szCs w:val="24"/>
    </w:rPr>
  </w:style>
  <w:style w:type="paragraph" w:customStyle="1" w:styleId="81">
    <w:name w:val="Char1"/>
    <w:basedOn w:val="1"/>
    <w:autoRedefine/>
    <w:qFormat/>
    <w:uiPriority w:val="0"/>
    <w:rPr>
      <w:rFonts w:ascii="Tahoma" w:hAnsi="Tahoma"/>
      <w:sz w:val="24"/>
      <w:szCs w:val="20"/>
    </w:rPr>
  </w:style>
  <w:style w:type="paragraph" w:customStyle="1" w:styleId="82">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83">
    <w:name w:val="纯文本 Char1"/>
    <w:basedOn w:val="51"/>
    <w:autoRedefine/>
    <w:semiHidden/>
    <w:qFormat/>
    <w:uiPriority w:val="99"/>
    <w:rPr>
      <w:rFonts w:ascii="宋体" w:hAnsi="Courier New" w:eastAsia="宋体" w:cs="Courier New"/>
      <w:szCs w:val="21"/>
    </w:rPr>
  </w:style>
  <w:style w:type="character" w:customStyle="1" w:styleId="84">
    <w:name w:val="正文文本 2 Char"/>
    <w:basedOn w:val="51"/>
    <w:link w:val="41"/>
    <w:autoRedefine/>
    <w:qFormat/>
    <w:uiPriority w:val="0"/>
    <w:rPr>
      <w:rFonts w:ascii="宋体" w:hAnsi="宋体" w:eastAsia="宋体" w:cs="Times New Roman"/>
      <w:color w:val="000000"/>
      <w:sz w:val="24"/>
      <w:szCs w:val="24"/>
    </w:rPr>
  </w:style>
  <w:style w:type="character" w:customStyle="1" w:styleId="85">
    <w:name w:val="批注框文本 Char"/>
    <w:basedOn w:val="51"/>
    <w:link w:val="30"/>
    <w:autoRedefine/>
    <w:qFormat/>
    <w:uiPriority w:val="0"/>
    <w:rPr>
      <w:rFonts w:ascii="Times New Roman" w:hAnsi="Times New Roman" w:eastAsia="宋体" w:cs="Times New Roman"/>
      <w:sz w:val="18"/>
      <w:szCs w:val="18"/>
    </w:rPr>
  </w:style>
  <w:style w:type="character" w:customStyle="1" w:styleId="86">
    <w:name w:val="日期 Char"/>
    <w:basedOn w:val="51"/>
    <w:link w:val="28"/>
    <w:autoRedefine/>
    <w:qFormat/>
    <w:uiPriority w:val="0"/>
    <w:rPr>
      <w:rFonts w:ascii="Times New Roman" w:hAnsi="Times New Roman" w:eastAsia="楷体_GB2312" w:cs="Times New Roman"/>
      <w:sz w:val="32"/>
      <w:szCs w:val="20"/>
    </w:rPr>
  </w:style>
  <w:style w:type="character" w:customStyle="1" w:styleId="87">
    <w:name w:val="正文文本缩进 2 Char"/>
    <w:basedOn w:val="51"/>
    <w:link w:val="29"/>
    <w:autoRedefine/>
    <w:qFormat/>
    <w:uiPriority w:val="0"/>
    <w:rPr>
      <w:rFonts w:ascii="仿宋_GB2312" w:hAnsi="宋体" w:eastAsia="宋体" w:cs="Arial"/>
      <w:b/>
      <w:bCs/>
      <w:color w:val="000000"/>
      <w:sz w:val="24"/>
      <w:szCs w:val="24"/>
    </w:rPr>
  </w:style>
  <w:style w:type="character" w:customStyle="1" w:styleId="88">
    <w:name w:val="正文文本缩进 3 Char1"/>
    <w:basedOn w:val="51"/>
    <w:autoRedefine/>
    <w:semiHidden/>
    <w:qFormat/>
    <w:uiPriority w:val="99"/>
    <w:rPr>
      <w:rFonts w:ascii="Times New Roman" w:hAnsi="Times New Roman" w:eastAsia="宋体" w:cs="Times New Roman"/>
      <w:sz w:val="16"/>
      <w:szCs w:val="16"/>
    </w:rPr>
  </w:style>
  <w:style w:type="character" w:customStyle="1" w:styleId="89">
    <w:name w:val="HTML 预设格式 Char1"/>
    <w:basedOn w:val="51"/>
    <w:autoRedefine/>
    <w:semiHidden/>
    <w:qFormat/>
    <w:uiPriority w:val="99"/>
    <w:rPr>
      <w:rFonts w:ascii="Courier New" w:hAnsi="Courier New" w:eastAsia="宋体" w:cs="Courier New"/>
      <w:sz w:val="20"/>
      <w:szCs w:val="20"/>
    </w:rPr>
  </w:style>
  <w:style w:type="paragraph" w:customStyle="1" w:styleId="90">
    <w:name w:val="表格"/>
    <w:next w:val="1"/>
    <w:autoRedefine/>
    <w:qFormat/>
    <w:uiPriority w:val="0"/>
    <w:pPr>
      <w:spacing w:before="120" w:beforeLines="50" w:after="120" w:afterLines="50"/>
      <w:jc w:val="both"/>
    </w:pPr>
    <w:rPr>
      <w:rFonts w:ascii="宋体" w:hAnsi="宋体" w:eastAsia="宋体" w:cs="Times New Roman"/>
      <w:color w:val="000000"/>
      <w:kern w:val="2"/>
      <w:sz w:val="18"/>
      <w:szCs w:val="18"/>
      <w:lang w:val="en-US" w:eastAsia="zh-CN" w:bidi="ar-SA"/>
    </w:rPr>
  </w:style>
  <w:style w:type="paragraph" w:customStyle="1" w:styleId="9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2">
    <w:name w:val="Char Char Char Char"/>
    <w:basedOn w:val="1"/>
    <w:autoRedefine/>
    <w:qFormat/>
    <w:uiPriority w:val="0"/>
    <w:pPr>
      <w:widowControl/>
      <w:spacing w:after="160" w:line="240" w:lineRule="exact"/>
      <w:jc w:val="left"/>
    </w:pPr>
    <w:rPr>
      <w:rFonts w:ascii="Tahoma" w:hAnsi="Tahoma" w:eastAsia="Times New Roman"/>
      <w:kern w:val="0"/>
      <w:sz w:val="24"/>
      <w:szCs w:val="20"/>
    </w:rPr>
  </w:style>
  <w:style w:type="paragraph" w:customStyle="1" w:styleId="93">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94">
    <w:name w:val="默认段落字体 Para Char Char Char Char Char Char Char Char Char1 Char Char Char Char"/>
    <w:basedOn w:val="1"/>
    <w:autoRedefine/>
    <w:qFormat/>
    <w:uiPriority w:val="0"/>
    <w:rPr>
      <w:rFonts w:ascii="Tahoma" w:hAnsi="Tahoma"/>
      <w:sz w:val="24"/>
      <w:szCs w:val="20"/>
    </w:rPr>
  </w:style>
  <w:style w:type="character" w:customStyle="1" w:styleId="95">
    <w:name w:val="标题 3 Char"/>
    <w:basedOn w:val="51"/>
    <w:link w:val="5"/>
    <w:autoRedefine/>
    <w:qFormat/>
    <w:uiPriority w:val="0"/>
    <w:rPr>
      <w:rFonts w:ascii="Times New Roman" w:hAnsi="Times New Roman" w:eastAsia="宋体" w:cs="Times New Roman"/>
      <w:b/>
      <w:bCs/>
      <w:sz w:val="32"/>
      <w:szCs w:val="32"/>
    </w:rPr>
  </w:style>
  <w:style w:type="paragraph" w:customStyle="1" w:styleId="96">
    <w:name w:val="我的正文 Char"/>
    <w:basedOn w:val="1"/>
    <w:next w:val="1"/>
    <w:autoRedefine/>
    <w:qFormat/>
    <w:uiPriority w:val="0"/>
    <w:pPr>
      <w:spacing w:line="520" w:lineRule="exact"/>
      <w:ind w:firstLine="540" w:firstLineChars="225"/>
    </w:pPr>
    <w:rPr>
      <w:sz w:val="24"/>
    </w:rPr>
  </w:style>
  <w:style w:type="paragraph" w:customStyle="1" w:styleId="97">
    <w:name w:val="表格文字2"/>
    <w:basedOn w:val="1"/>
    <w:autoRedefine/>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98">
    <w:name w:val="正文格式"/>
    <w:basedOn w:val="1"/>
    <w:autoRedefine/>
    <w:qFormat/>
    <w:uiPriority w:val="0"/>
    <w:pPr>
      <w:spacing w:beforeLines="50" w:line="360" w:lineRule="auto"/>
      <w:ind w:firstLine="560" w:firstLineChars="200"/>
    </w:pPr>
    <w:rPr>
      <w:rFonts w:ascii="华文仿宋" w:hAnsi="华文仿宋" w:eastAsia="华文仿宋"/>
      <w:kern w:val="0"/>
      <w:sz w:val="24"/>
      <w:lang w:val="en-GB"/>
    </w:rPr>
  </w:style>
  <w:style w:type="paragraph" w:customStyle="1" w:styleId="99">
    <w:name w:val="正文 New"/>
    <w:autoRedefine/>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customStyle="1" w:styleId="100">
    <w:name w:val="NormalCharacter"/>
    <w:autoRedefine/>
    <w:semiHidden/>
    <w:qFormat/>
    <w:uiPriority w:val="0"/>
    <w:rPr>
      <w:kern w:val="2"/>
      <w:sz w:val="21"/>
      <w:szCs w:val="24"/>
      <w:lang w:val="en-US" w:eastAsia="zh-CN" w:bidi="ar-SA"/>
    </w:rPr>
  </w:style>
  <w:style w:type="character" w:customStyle="1" w:styleId="101">
    <w:name w:val="标题 4 Char"/>
    <w:basedOn w:val="51"/>
    <w:link w:val="6"/>
    <w:autoRedefine/>
    <w:qFormat/>
    <w:uiPriority w:val="0"/>
    <w:rPr>
      <w:rFonts w:asciiTheme="majorHAnsi" w:hAnsiTheme="majorHAnsi" w:eastAsiaTheme="majorEastAsia" w:cstheme="majorBidi"/>
      <w:b/>
      <w:bCs/>
      <w:kern w:val="2"/>
      <w:sz w:val="28"/>
      <w:szCs w:val="28"/>
    </w:rPr>
  </w:style>
  <w:style w:type="paragraph" w:customStyle="1" w:styleId="102">
    <w:name w:val="列出段落11"/>
    <w:basedOn w:val="1"/>
    <w:autoRedefine/>
    <w:qFormat/>
    <w:uiPriority w:val="0"/>
    <w:pPr>
      <w:spacing w:line="360" w:lineRule="auto"/>
      <w:ind w:firstLine="420" w:firstLineChars="200"/>
    </w:pPr>
    <w:rPr>
      <w:rFonts w:ascii="Calibri" w:hAnsi="Calibri" w:cs="黑体"/>
      <w:sz w:val="28"/>
      <w:szCs w:val="22"/>
    </w:rPr>
  </w:style>
  <w:style w:type="character" w:customStyle="1" w:styleId="103">
    <w:name w:val="标题 5 Char"/>
    <w:basedOn w:val="51"/>
    <w:link w:val="7"/>
    <w:autoRedefine/>
    <w:qFormat/>
    <w:uiPriority w:val="0"/>
    <w:rPr>
      <w:b/>
      <w:bCs/>
      <w:kern w:val="2"/>
      <w:sz w:val="28"/>
      <w:szCs w:val="28"/>
    </w:rPr>
  </w:style>
  <w:style w:type="character" w:customStyle="1" w:styleId="104">
    <w:name w:val="标题 6 Char"/>
    <w:basedOn w:val="51"/>
    <w:link w:val="8"/>
    <w:autoRedefine/>
    <w:qFormat/>
    <w:uiPriority w:val="0"/>
    <w:rPr>
      <w:rFonts w:ascii="Arial" w:hAnsi="Arial" w:eastAsia="黑体"/>
      <w:b/>
      <w:bCs/>
      <w:kern w:val="2"/>
      <w:sz w:val="24"/>
      <w:szCs w:val="24"/>
    </w:rPr>
  </w:style>
  <w:style w:type="character" w:customStyle="1" w:styleId="105">
    <w:name w:val="标题 7 Char"/>
    <w:basedOn w:val="51"/>
    <w:link w:val="9"/>
    <w:autoRedefine/>
    <w:qFormat/>
    <w:uiPriority w:val="0"/>
    <w:rPr>
      <w:b/>
      <w:bCs/>
      <w:sz w:val="24"/>
      <w:szCs w:val="24"/>
    </w:rPr>
  </w:style>
  <w:style w:type="character" w:customStyle="1" w:styleId="106">
    <w:name w:val="标题 8 Char"/>
    <w:basedOn w:val="51"/>
    <w:link w:val="10"/>
    <w:autoRedefine/>
    <w:qFormat/>
    <w:uiPriority w:val="0"/>
    <w:rPr>
      <w:rFonts w:ascii="Arial" w:hAnsi="Arial" w:eastAsia="黑体"/>
      <w:sz w:val="24"/>
      <w:szCs w:val="24"/>
    </w:rPr>
  </w:style>
  <w:style w:type="character" w:customStyle="1" w:styleId="107">
    <w:name w:val="标题 9 Char"/>
    <w:basedOn w:val="51"/>
    <w:link w:val="11"/>
    <w:autoRedefine/>
    <w:qFormat/>
    <w:uiPriority w:val="0"/>
    <w:rPr>
      <w:rFonts w:ascii="Arial" w:hAnsi="Arial" w:eastAsia="黑体"/>
      <w:sz w:val="21"/>
      <w:szCs w:val="21"/>
    </w:rPr>
  </w:style>
  <w:style w:type="paragraph" w:customStyle="1" w:styleId="108">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09">
    <w:name w:val="my Char Char"/>
    <w:link w:val="110"/>
    <w:autoRedefine/>
    <w:qFormat/>
    <w:uiPriority w:val="0"/>
    <w:rPr>
      <w:rFonts w:ascii="楷体_GB2312" w:eastAsia="楷体_GB2312"/>
      <w:snapToGrid w:val="0"/>
      <w:sz w:val="28"/>
      <w:szCs w:val="28"/>
    </w:rPr>
  </w:style>
  <w:style w:type="paragraph" w:customStyle="1" w:styleId="110">
    <w:name w:val="my"/>
    <w:basedOn w:val="1"/>
    <w:link w:val="109"/>
    <w:autoRedefine/>
    <w:qFormat/>
    <w:uiPriority w:val="0"/>
    <w:pPr>
      <w:widowControl/>
      <w:tabs>
        <w:tab w:val="left" w:pos="0"/>
        <w:tab w:val="left" w:pos="5823"/>
      </w:tabs>
      <w:adjustRightInd w:val="0"/>
      <w:spacing w:line="520" w:lineRule="exact"/>
      <w:ind w:firstLine="565" w:firstLineChars="200"/>
    </w:pPr>
    <w:rPr>
      <w:rFonts w:ascii="楷体_GB2312" w:eastAsia="楷体_GB2312"/>
      <w:snapToGrid w:val="0"/>
      <w:kern w:val="0"/>
      <w:sz w:val="28"/>
      <w:szCs w:val="28"/>
    </w:rPr>
  </w:style>
  <w:style w:type="character" w:customStyle="1" w:styleId="111">
    <w:name w:val="normaltext1"/>
    <w:autoRedefine/>
    <w:qFormat/>
    <w:uiPriority w:val="0"/>
    <w:rPr>
      <w:rFonts w:hint="default"/>
      <w:color w:val="000000"/>
      <w:sz w:val="18"/>
      <w:szCs w:val="18"/>
      <w:u w:val="none"/>
    </w:rPr>
  </w:style>
  <w:style w:type="paragraph" w:customStyle="1" w:styleId="112">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Char Char Char1 Char Char Char"/>
    <w:link w:val="114"/>
    <w:autoRedefine/>
    <w:qFormat/>
    <w:uiPriority w:val="0"/>
    <w:rPr>
      <w:szCs w:val="24"/>
    </w:rPr>
  </w:style>
  <w:style w:type="paragraph" w:customStyle="1" w:styleId="114">
    <w:name w:val="Char Char Char1 Char"/>
    <w:basedOn w:val="1"/>
    <w:next w:val="1"/>
    <w:link w:val="113"/>
    <w:autoRedefine/>
    <w:qFormat/>
    <w:uiPriority w:val="0"/>
    <w:rPr>
      <w:kern w:val="0"/>
      <w:sz w:val="20"/>
    </w:rPr>
  </w:style>
  <w:style w:type="character" w:customStyle="1" w:styleId="115">
    <w:name w:val="texttitle1"/>
    <w:autoRedefine/>
    <w:qFormat/>
    <w:uiPriority w:val="0"/>
    <w:rPr>
      <w:rFonts w:hint="default"/>
      <w:b/>
      <w:bCs/>
      <w:color w:val="0000FF"/>
      <w:sz w:val="21"/>
      <w:szCs w:val="21"/>
    </w:rPr>
  </w:style>
  <w:style w:type="character" w:customStyle="1" w:styleId="116">
    <w:name w:val="font161"/>
    <w:autoRedefine/>
    <w:qFormat/>
    <w:uiPriority w:val="0"/>
    <w:rPr>
      <w:b/>
      <w:bCs/>
      <w:sz w:val="32"/>
      <w:szCs w:val="32"/>
    </w:rPr>
  </w:style>
  <w:style w:type="character" w:customStyle="1" w:styleId="117">
    <w:name w:val="unnamed11"/>
    <w:autoRedefine/>
    <w:qFormat/>
    <w:uiPriority w:val="0"/>
    <w:rPr>
      <w:rFonts w:hint="default" w:ascii="ˎ̥" w:hAnsi="ˎ̥"/>
      <w:sz w:val="16"/>
      <w:szCs w:val="16"/>
      <w:u w:val="none"/>
    </w:rPr>
  </w:style>
  <w:style w:type="character" w:customStyle="1" w:styleId="118">
    <w:name w:val="脚注文本 Char"/>
    <w:link w:val="36"/>
    <w:autoRedefine/>
    <w:qFormat/>
    <w:uiPriority w:val="0"/>
    <w:rPr>
      <w:sz w:val="18"/>
      <w:szCs w:val="18"/>
    </w:rPr>
  </w:style>
  <w:style w:type="character" w:customStyle="1" w:styleId="119">
    <w:name w:val="zbggmain style9"/>
    <w:basedOn w:val="51"/>
    <w:autoRedefine/>
    <w:qFormat/>
    <w:uiPriority w:val="0"/>
  </w:style>
  <w:style w:type="paragraph" w:customStyle="1" w:styleId="120">
    <w:name w:val="Körper"/>
    <w:basedOn w:val="1"/>
    <w:autoRedefine/>
    <w:qFormat/>
    <w:uiPriority w:val="0"/>
    <w:pPr>
      <w:widowControl/>
      <w:spacing w:before="120" w:line="240" w:lineRule="exact"/>
    </w:pPr>
    <w:rPr>
      <w:rFonts w:ascii="Arial" w:hAnsi="Arial"/>
      <w:kern w:val="0"/>
      <w:sz w:val="20"/>
      <w:szCs w:val="20"/>
      <w:lang w:val="de-DE" w:eastAsia="de-DE"/>
    </w:rPr>
  </w:style>
  <w:style w:type="paragraph" w:customStyle="1" w:styleId="12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character" w:customStyle="1" w:styleId="122">
    <w:name w:val="脚注文本 Char1"/>
    <w:basedOn w:val="51"/>
    <w:autoRedefine/>
    <w:semiHidden/>
    <w:qFormat/>
    <w:uiPriority w:val="99"/>
    <w:rPr>
      <w:kern w:val="2"/>
      <w:sz w:val="18"/>
      <w:szCs w:val="18"/>
    </w:rPr>
  </w:style>
  <w:style w:type="paragraph" w:customStyle="1" w:styleId="123">
    <w:name w:val="Char Char1 Char Char Char"/>
    <w:basedOn w:val="1"/>
    <w:autoRedefine/>
    <w:qFormat/>
    <w:uiPriority w:val="0"/>
    <w:rPr>
      <w:kern w:val="0"/>
      <w:sz w:val="20"/>
      <w:szCs w:val="20"/>
    </w:rPr>
  </w:style>
  <w:style w:type="paragraph" w:customStyle="1" w:styleId="124">
    <w:name w:val="条款节部分"/>
    <w:basedOn w:val="1"/>
    <w:autoRedefine/>
    <w:qFormat/>
    <w:uiPriority w:val="0"/>
    <w:pPr>
      <w:tabs>
        <w:tab w:val="left" w:pos="900"/>
        <w:tab w:val="left" w:pos="2850"/>
      </w:tabs>
      <w:ind w:left="900" w:hanging="720"/>
    </w:pPr>
    <w:rPr>
      <w:rFonts w:eastAsia="仿宋_GB2312"/>
      <w:sz w:val="32"/>
      <w:szCs w:val="32"/>
    </w:rPr>
  </w:style>
  <w:style w:type="paragraph" w:customStyle="1" w:styleId="125">
    <w:name w:val="1.1.1"/>
    <w:next w:val="126"/>
    <w:autoRedefine/>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126">
    <w:name w:val="正文1"/>
    <w:autoRedefine/>
    <w:qFormat/>
    <w:uiPriority w:val="0"/>
    <w:pPr>
      <w:widowControl w:val="0"/>
      <w:adjustRightInd w:val="0"/>
      <w:snapToGrid w:val="0"/>
      <w:spacing w:after="120" w:line="300" w:lineRule="auto"/>
      <w:ind w:firstLine="539"/>
      <w:jc w:val="both"/>
    </w:pPr>
    <w:rPr>
      <w:rFonts w:ascii="宋体" w:hAnsi="Times New Roman" w:eastAsia="宋体" w:cs="Times New Roman"/>
      <w:spacing w:val="10"/>
      <w:sz w:val="24"/>
      <w:lang w:val="en-US" w:eastAsia="zh-CN" w:bidi="ar-SA"/>
    </w:rPr>
  </w:style>
  <w:style w:type="character" w:customStyle="1" w:styleId="127">
    <w:name w:val="文档结构图 Char"/>
    <w:basedOn w:val="51"/>
    <w:link w:val="16"/>
    <w:autoRedefine/>
    <w:semiHidden/>
    <w:qFormat/>
    <w:uiPriority w:val="0"/>
    <w:rPr>
      <w:kern w:val="2"/>
      <w:sz w:val="21"/>
      <w:szCs w:val="24"/>
      <w:shd w:val="clear" w:color="auto" w:fill="000080"/>
    </w:rPr>
  </w:style>
  <w:style w:type="character" w:customStyle="1" w:styleId="128">
    <w:name w:val="批注文字 Char"/>
    <w:basedOn w:val="51"/>
    <w:link w:val="17"/>
    <w:autoRedefine/>
    <w:qFormat/>
    <w:uiPriority w:val="0"/>
    <w:rPr>
      <w:kern w:val="2"/>
      <w:sz w:val="21"/>
      <w:szCs w:val="24"/>
    </w:rPr>
  </w:style>
  <w:style w:type="character" w:customStyle="1" w:styleId="129">
    <w:name w:val="批注主题 Char"/>
    <w:basedOn w:val="128"/>
    <w:link w:val="46"/>
    <w:autoRedefine/>
    <w:qFormat/>
    <w:uiPriority w:val="0"/>
    <w:rPr>
      <w:b/>
      <w:bCs/>
      <w:kern w:val="2"/>
      <w:sz w:val="21"/>
      <w:szCs w:val="24"/>
    </w:rPr>
  </w:style>
  <w:style w:type="paragraph" w:customStyle="1" w:styleId="130">
    <w:name w:val="1"/>
    <w:basedOn w:val="1"/>
    <w:next w:val="1"/>
    <w:autoRedefine/>
    <w:qFormat/>
    <w:uiPriority w:val="0"/>
  </w:style>
  <w:style w:type="paragraph" w:customStyle="1" w:styleId="13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2">
    <w:name w:val="标准书眉_偶数页"/>
    <w:basedOn w:val="133"/>
    <w:next w:val="1"/>
    <w:autoRedefine/>
    <w:qFormat/>
    <w:uiPriority w:val="0"/>
    <w:pPr>
      <w:tabs>
        <w:tab w:val="center" w:pos="4154"/>
        <w:tab w:val="right" w:pos="8306"/>
      </w:tabs>
      <w:jc w:val="left"/>
    </w:pPr>
  </w:style>
  <w:style w:type="paragraph" w:customStyle="1" w:styleId="13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4">
    <w:name w:val="_Style 43"/>
    <w:basedOn w:val="1"/>
    <w:next w:val="1"/>
    <w:autoRedefine/>
    <w:qFormat/>
    <w:uiPriority w:val="0"/>
  </w:style>
  <w:style w:type="character" w:customStyle="1" w:styleId="135">
    <w:name w:val="标题 Char"/>
    <w:basedOn w:val="51"/>
    <w:link w:val="45"/>
    <w:autoRedefine/>
    <w:qFormat/>
    <w:uiPriority w:val="99"/>
    <w:rPr>
      <w:rFonts w:ascii="Cambria" w:hAnsi="Cambria"/>
      <w:b/>
      <w:kern w:val="2"/>
      <w:sz w:val="32"/>
    </w:rPr>
  </w:style>
  <w:style w:type="paragraph" w:customStyle="1" w:styleId="136">
    <w:name w:val="Char Char"/>
    <w:basedOn w:val="1"/>
    <w:autoRedefine/>
    <w:qFormat/>
    <w:uiPriority w:val="0"/>
    <w:rPr>
      <w:rFonts w:ascii="Tahoma" w:hAnsi="Tahoma"/>
      <w:sz w:val="24"/>
      <w:szCs w:val="20"/>
    </w:rPr>
  </w:style>
  <w:style w:type="paragraph" w:customStyle="1" w:styleId="137">
    <w:name w:val="xl25"/>
    <w:basedOn w:val="1"/>
    <w:autoRedefine/>
    <w:qFormat/>
    <w:uiPriority w:val="0"/>
    <w:pPr>
      <w:widowControl/>
      <w:spacing w:before="100" w:beforeAutospacing="1" w:after="100" w:afterAutospacing="1"/>
      <w:jc w:val="center"/>
      <w:textAlignment w:val="center"/>
    </w:pPr>
    <w:rPr>
      <w:rFonts w:hint="eastAsia" w:ascii="新宋体" w:hAnsi="新宋体" w:eastAsia="新宋体" w:cs="Arial Unicode MS"/>
      <w:b/>
      <w:bCs/>
      <w:kern w:val="0"/>
      <w:sz w:val="36"/>
      <w:szCs w:val="36"/>
    </w:rPr>
  </w:style>
  <w:style w:type="paragraph" w:customStyle="1" w:styleId="138">
    <w:name w:val="Char"/>
    <w:basedOn w:val="1"/>
    <w:autoRedefine/>
    <w:qFormat/>
    <w:uiPriority w:val="0"/>
    <w:rPr>
      <w:rFonts w:ascii="Tahoma" w:hAnsi="Tahoma"/>
      <w:sz w:val="24"/>
      <w:szCs w:val="20"/>
    </w:rPr>
  </w:style>
  <w:style w:type="paragraph" w:customStyle="1" w:styleId="13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0">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1">
    <w:name w:val="Char Char Char Char Char Char3 Char Char Char Char Char Char Char Char Char Char"/>
    <w:basedOn w:val="1"/>
    <w:next w:val="1"/>
    <w:autoRedefine/>
    <w:qFormat/>
    <w:uiPriority w:val="0"/>
    <w:rPr>
      <w:rFonts w:eastAsia="黑体"/>
      <w:sz w:val="28"/>
    </w:rPr>
  </w:style>
  <w:style w:type="paragraph" w:customStyle="1" w:styleId="142">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143">
    <w:name w:val="_Style 10"/>
    <w:basedOn w:val="1"/>
    <w:next w:val="1"/>
    <w:autoRedefine/>
    <w:qFormat/>
    <w:uiPriority w:val="0"/>
  </w:style>
  <w:style w:type="paragraph" w:customStyle="1" w:styleId="144">
    <w:name w:val="标题3"/>
    <w:basedOn w:val="1"/>
    <w:autoRedefine/>
    <w:qFormat/>
    <w:uiPriority w:val="0"/>
    <w:pPr>
      <w:spacing w:line="440" w:lineRule="exact"/>
      <w:ind w:left="359" w:leftChars="171" w:firstLine="435"/>
    </w:pPr>
    <w:rPr>
      <w:szCs w:val="21"/>
    </w:rPr>
  </w:style>
  <w:style w:type="paragraph" w:customStyle="1" w:styleId="145">
    <w:name w:val="Char1 Char Char Char1 Char Char Char Char Char Char"/>
    <w:basedOn w:val="1"/>
    <w:next w:val="1"/>
    <w:autoRedefine/>
    <w:qFormat/>
    <w:uiPriority w:val="0"/>
  </w:style>
  <w:style w:type="paragraph" w:customStyle="1" w:styleId="146">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14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48">
    <w:name w:val="正文LA"/>
    <w:autoRedefine/>
    <w:qFormat/>
    <w:uiPriority w:val="0"/>
    <w:pPr>
      <w:widowControl w:val="0"/>
      <w:tabs>
        <w:tab w:val="left" w:pos="0"/>
      </w:tabs>
      <w:adjustRightInd w:val="0"/>
      <w:spacing w:before="156" w:beforeLines="50" w:line="360" w:lineRule="auto"/>
      <w:ind w:firstLine="225" w:firstLineChars="225"/>
      <w:jc w:val="both"/>
    </w:pPr>
    <w:rPr>
      <w:rFonts w:ascii="宋体" w:hAnsi="宋体" w:eastAsia="宋体" w:cs="Times New Roman"/>
      <w:snapToGrid w:val="0"/>
      <w:sz w:val="24"/>
      <w:lang w:val="en-US" w:eastAsia="zh-CN" w:bidi="ar-SA"/>
    </w:rPr>
  </w:style>
  <w:style w:type="paragraph" w:customStyle="1" w:styleId="149">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1">
    <w:name w:val="正文01"/>
    <w:basedOn w:val="1"/>
    <w:autoRedefine/>
    <w:qFormat/>
    <w:uiPriority w:val="0"/>
    <w:pPr>
      <w:spacing w:before="60" w:line="460" w:lineRule="exact"/>
      <w:ind w:firstLine="200" w:firstLineChars="200"/>
    </w:pPr>
    <w:rPr>
      <w:sz w:val="24"/>
    </w:rPr>
  </w:style>
  <w:style w:type="paragraph" w:customStyle="1" w:styleId="152">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153">
    <w:name w:val="样式1"/>
    <w:basedOn w:val="1"/>
    <w:next w:val="6"/>
    <w:autoRedefine/>
    <w:qFormat/>
    <w:uiPriority w:val="0"/>
    <w:pPr>
      <w:spacing w:line="360" w:lineRule="auto"/>
      <w:ind w:firstLine="420" w:firstLineChars="200"/>
    </w:pPr>
    <w:rPr>
      <w:rFonts w:ascii="宋体" w:hAnsi="宋体"/>
      <w:szCs w:val="21"/>
    </w:rPr>
  </w:style>
  <w:style w:type="paragraph" w:customStyle="1" w:styleId="154">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55">
    <w:name w:val="Char1 Char Char Char Char Char Char Char Char Char"/>
    <w:basedOn w:val="1"/>
    <w:next w:val="1"/>
    <w:autoRedefine/>
    <w:qFormat/>
    <w:uiPriority w:val="0"/>
  </w:style>
  <w:style w:type="paragraph" w:customStyle="1" w:styleId="156">
    <w:name w:val="xl2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7">
    <w:name w:val="Char2"/>
    <w:basedOn w:val="1"/>
    <w:autoRedefine/>
    <w:qFormat/>
    <w:uiPriority w:val="0"/>
  </w:style>
  <w:style w:type="paragraph" w:customStyle="1" w:styleId="158">
    <w:name w:val="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9">
    <w:name w:val="Char Char4"/>
    <w:basedOn w:val="1"/>
    <w:next w:val="1"/>
    <w:autoRedefine/>
    <w:qFormat/>
    <w:uiPriority w:val="0"/>
  </w:style>
  <w:style w:type="character" w:customStyle="1" w:styleId="160">
    <w:name w:val="style71"/>
    <w:basedOn w:val="51"/>
    <w:autoRedefine/>
    <w:qFormat/>
    <w:uiPriority w:val="0"/>
    <w:rPr>
      <w:color w:val="000000"/>
      <w:sz w:val="18"/>
      <w:szCs w:val="18"/>
    </w:rPr>
  </w:style>
  <w:style w:type="paragraph" w:customStyle="1" w:styleId="161">
    <w:name w:val="无间隔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2">
    <w:name w:val="普通(网站) Char"/>
    <w:link w:val="43"/>
    <w:autoRedefine/>
    <w:qFormat/>
    <w:uiPriority w:val="0"/>
    <w:rPr>
      <w:sz w:val="24"/>
      <w:szCs w:val="24"/>
    </w:rPr>
  </w:style>
  <w:style w:type="paragraph" w:customStyle="1" w:styleId="163">
    <w:name w:val="Table Paragraph"/>
    <w:basedOn w:val="1"/>
    <w:autoRedefine/>
    <w:qFormat/>
    <w:uiPriority w:val="1"/>
    <w:pPr>
      <w:autoSpaceDE w:val="0"/>
      <w:autoSpaceDN w:val="0"/>
      <w:adjustRightInd w:val="0"/>
      <w:jc w:val="left"/>
    </w:pPr>
    <w:rPr>
      <w:kern w:val="0"/>
      <w:sz w:val="24"/>
    </w:rPr>
  </w:style>
  <w:style w:type="paragraph" w:customStyle="1" w:styleId="164">
    <w:name w:val="Body Text First Indent 21"/>
    <w:basedOn w:val="165"/>
    <w:autoRedefine/>
    <w:qFormat/>
    <w:uiPriority w:val="99"/>
    <w:pPr>
      <w:ind w:left="420" w:leftChars="200" w:firstLine="420"/>
    </w:pPr>
  </w:style>
  <w:style w:type="paragraph" w:customStyle="1" w:styleId="165">
    <w:name w:val="Body Text Indent1"/>
    <w:basedOn w:val="1"/>
    <w:autoRedefine/>
    <w:qFormat/>
    <w:uiPriority w:val="99"/>
    <w:pPr>
      <w:ind w:left="420" w:leftChars="200"/>
    </w:pPr>
  </w:style>
  <w:style w:type="paragraph" w:customStyle="1" w:styleId="166">
    <w:name w:val="正文 A"/>
    <w:autoRedefine/>
    <w:qFormat/>
    <w:uiPriority w:val="0"/>
    <w:pPr>
      <w:widowControl w:val="0"/>
      <w:jc w:val="both"/>
    </w:pPr>
    <w:rPr>
      <w:rFonts w:ascii="Arial Unicode MS" w:hAnsi="Arial Unicode MS" w:eastAsia="Times New Roman" w:cs="Arial Unicode MS"/>
      <w:color w:val="000000"/>
      <w:kern w:val="2"/>
      <w:sz w:val="32"/>
      <w:szCs w:val="32"/>
      <w:u w:color="000000"/>
      <w:lang w:val="en-US" w:eastAsia="zh-CN" w:bidi="ar-SA"/>
    </w:rPr>
  </w:style>
  <w:style w:type="paragraph" w:customStyle="1" w:styleId="167">
    <w:name w:val="默认 A"/>
    <w:autoRedefine/>
    <w:qFormat/>
    <w:uiPriority w:val="0"/>
    <w:rPr>
      <w:rFonts w:hint="eastAsia" w:ascii="Arial Unicode MS" w:hAnsi="Arial Unicode MS" w:eastAsia="Arial Unicode MS" w:cs="Arial Unicode MS"/>
      <w:color w:val="000000"/>
      <w:sz w:val="22"/>
      <w:szCs w:val="22"/>
      <w:lang w:val="zh-TW" w:eastAsia="zh-TW" w:bidi="ar-SA"/>
    </w:rPr>
  </w:style>
  <w:style w:type="character" w:customStyle="1" w:styleId="168">
    <w:name w:val="bookmark-item"/>
    <w:basedOn w:val="51"/>
    <w:autoRedefine/>
    <w:qFormat/>
    <w:uiPriority w:val="0"/>
  </w:style>
  <w:style w:type="character" w:customStyle="1" w:styleId="169">
    <w:name w:val="正文首行缩进 2 Char"/>
    <w:basedOn w:val="74"/>
    <w:link w:val="48"/>
    <w:autoRedefine/>
    <w:qFormat/>
    <w:uiPriority w:val="0"/>
    <w:rPr>
      <w:rFonts w:ascii="宋体" w:hAnsi="Courier New" w:eastAsia="方正书宋简体"/>
      <w:spacing w:val="-4"/>
      <w:kern w:val="2"/>
      <w:sz w:val="21"/>
    </w:rPr>
  </w:style>
  <w:style w:type="paragraph" w:customStyle="1" w:styleId="170">
    <w:name w:val="Default"/>
    <w:next w:val="1"/>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71">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72">
    <w:name w:val="content-right_8zs401"/>
    <w:basedOn w:val="51"/>
    <w:autoRedefine/>
    <w:qFormat/>
    <w:uiPriority w:val="0"/>
  </w:style>
  <w:style w:type="paragraph" w:customStyle="1" w:styleId="173">
    <w:name w:val="WPSOffice手动目录 1"/>
    <w:autoRedefine/>
    <w:qFormat/>
    <w:uiPriority w:val="0"/>
    <w:pPr>
      <w:ind w:leftChars="0"/>
    </w:pPr>
    <w:rPr>
      <w:rFonts w:ascii="Times New Roman" w:hAnsi="Times New Roman" w:eastAsia="宋体" w:cs="Times New Roman"/>
      <w:sz w:val="20"/>
      <w:szCs w:val="20"/>
    </w:rPr>
  </w:style>
  <w:style w:type="paragraph" w:customStyle="1" w:styleId="174">
    <w:name w:val="正文首行缩进 21"/>
    <w:basedOn w:val="175"/>
    <w:autoRedefine/>
    <w:qFormat/>
    <w:uiPriority w:val="0"/>
    <w:pPr>
      <w:ind w:firstLine="420"/>
    </w:pPr>
    <w:rPr>
      <w:rFonts w:cs="宋体"/>
    </w:rPr>
  </w:style>
  <w:style w:type="paragraph" w:customStyle="1" w:styleId="175">
    <w:name w:val="正文文本缩进1"/>
    <w:basedOn w:val="1"/>
    <w:next w:val="1"/>
    <w:autoRedefine/>
    <w:qFormat/>
    <w:uiPriority w:val="0"/>
    <w:pPr>
      <w:ind w:left="420" w:leftChars="200"/>
    </w:pPr>
  </w:style>
  <w:style w:type="paragraph" w:customStyle="1" w:styleId="176">
    <w:name w:val="标准正文"/>
    <w:basedOn w:val="1"/>
    <w:autoRedefine/>
    <w:qFormat/>
    <w:uiPriority w:val="0"/>
    <w:pPr>
      <w:spacing w:line="360" w:lineRule="auto"/>
      <w:ind w:firstLine="200" w:firstLineChars="200"/>
    </w:pPr>
    <w:rPr>
      <w:szCs w:val="20"/>
    </w:rPr>
  </w:style>
  <w:style w:type="paragraph" w:customStyle="1" w:styleId="177">
    <w:name w:val="纯文本11"/>
    <w:basedOn w:val="1"/>
    <w:qFormat/>
    <w:uiPriority w:val="99"/>
    <w:pPr>
      <w:spacing w:beforeLines="50"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71F78-F86F-4009-A3C0-8D0DD6226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37032</Words>
  <Characters>39294</Characters>
  <Lines>37</Lines>
  <Paragraphs>73</Paragraphs>
  <TotalTime>4</TotalTime>
  <ScaleCrop>false</ScaleCrop>
  <LinksUpToDate>false</LinksUpToDate>
  <CharactersWithSpaces>40808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2023-07-26T06:27:00Z</dcterms:created>
  <dc:creator>宁波华昌工程管理咨询有限公司</dc:creator>
  <cp:lastModifiedBy>달콤~</cp:lastModifiedBy>
  <cp:lastPrinted>2024-02-28T05:57:00Z</cp:lastPrinted>
  <dcterms:modified xsi:type="dcterms:W3CDTF">2024-05-15T05:56:53Z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4301C582EF54440E9E34B122A78CE96B_13</vt:lpwstr>
  </property>
</Properties>
</file>