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napToGrid w:val="0"/>
        <w:spacing w:before="120" w:beforeLines="0" w:after="120" w:afterLines="0" w:line="360" w:lineRule="auto"/>
        <w:rPr>
          <w:rFonts w:hint="eastAsia" w:ascii="Times New Roman" w:hAnsi="Times New Roman"/>
          <w:b/>
          <w:bCs/>
          <w:sz w:val="30"/>
          <w:szCs w:val="30"/>
        </w:rPr>
      </w:pPr>
    </w:p>
    <w:p>
      <w:pPr>
        <w:pStyle w:val="21"/>
        <w:snapToGrid w:val="0"/>
        <w:spacing w:before="120" w:beforeLines="0" w:after="120" w:afterLines="0" w:line="360" w:lineRule="auto"/>
        <w:rPr>
          <w:rFonts w:ascii="Times New Roman" w:hAnsi="Times New Roman"/>
          <w:b/>
          <w:bCs/>
          <w:sz w:val="30"/>
          <w:szCs w:val="30"/>
        </w:rPr>
      </w:pPr>
    </w:p>
    <w:p>
      <w:pPr>
        <w:spacing w:before="120" w:beforeLines="50"/>
        <w:jc w:val="center"/>
        <w:rPr>
          <w:b/>
          <w:color w:val="000000"/>
          <w:sz w:val="72"/>
          <w:szCs w:val="72"/>
        </w:rPr>
      </w:pPr>
      <w:r>
        <w:rPr>
          <w:b/>
          <w:color w:val="000000"/>
          <w:sz w:val="72"/>
          <w:szCs w:val="72"/>
        </w:rPr>
        <w:t>公开招标采购文件</w:t>
      </w:r>
    </w:p>
    <w:p>
      <w:pPr>
        <w:pStyle w:val="21"/>
        <w:snapToGrid w:val="0"/>
        <w:spacing w:before="120" w:beforeLines="0" w:after="120" w:afterLines="0" w:line="360" w:lineRule="auto"/>
        <w:rPr>
          <w:rFonts w:ascii="Times New Roman" w:hAnsi="Times New Roman"/>
          <w:b/>
          <w:bCs/>
          <w:sz w:val="30"/>
          <w:szCs w:val="30"/>
        </w:rPr>
      </w:pPr>
    </w:p>
    <w:p>
      <w:pPr>
        <w:pStyle w:val="21"/>
        <w:snapToGrid w:val="0"/>
        <w:spacing w:before="120" w:beforeLines="0" w:after="120" w:afterLines="0" w:line="360" w:lineRule="auto"/>
        <w:rPr>
          <w:rFonts w:ascii="Times New Roman" w:hAnsi="Times New Roman"/>
          <w:b/>
          <w:bCs/>
          <w:sz w:val="30"/>
          <w:szCs w:val="30"/>
        </w:rPr>
      </w:pPr>
    </w:p>
    <w:p>
      <w:pPr>
        <w:pStyle w:val="21"/>
        <w:snapToGrid w:val="0"/>
        <w:spacing w:before="120" w:beforeLines="0" w:after="120" w:afterLines="0" w:line="360" w:lineRule="auto"/>
        <w:rPr>
          <w:rFonts w:ascii="Times New Roman" w:hAnsi="Times New Roman"/>
          <w:b/>
          <w:bCs/>
          <w:sz w:val="30"/>
          <w:szCs w:val="30"/>
        </w:rPr>
      </w:pPr>
    </w:p>
    <w:p>
      <w:pPr>
        <w:pStyle w:val="21"/>
        <w:snapToGrid w:val="0"/>
        <w:spacing w:before="120" w:beforeLines="0" w:after="120" w:afterLines="0" w:line="360" w:lineRule="auto"/>
        <w:rPr>
          <w:rFonts w:ascii="Times New Roman" w:hAnsi="Times New Roman"/>
          <w:b/>
          <w:bCs/>
          <w:sz w:val="30"/>
          <w:szCs w:val="30"/>
        </w:rPr>
      </w:pPr>
    </w:p>
    <w:p>
      <w:pPr>
        <w:pStyle w:val="21"/>
        <w:snapToGrid w:val="0"/>
        <w:spacing w:before="120" w:beforeLines="0" w:after="120" w:afterLines="0" w:line="360" w:lineRule="auto"/>
        <w:rPr>
          <w:rFonts w:ascii="Times New Roman" w:hAnsi="Times New Roman"/>
          <w:b/>
          <w:bCs/>
          <w:sz w:val="30"/>
          <w:szCs w:val="30"/>
        </w:rPr>
      </w:pPr>
      <w:r>
        <w:rPr>
          <w:rFonts w:ascii="Times New Roman" w:hAnsi="Times New Roman"/>
          <w:b/>
          <w:bCs/>
          <w:sz w:val="30"/>
          <w:szCs w:val="30"/>
        </w:rPr>
        <w:t>项目编号：ZJZC-223262</w:t>
      </w:r>
    </w:p>
    <w:p>
      <w:pPr>
        <w:pStyle w:val="21"/>
        <w:snapToGrid w:val="0"/>
        <w:spacing w:before="120" w:beforeLines="0" w:after="120" w:afterLines="0" w:line="360" w:lineRule="auto"/>
        <w:rPr>
          <w:rFonts w:ascii="Times New Roman" w:hAnsi="Times New Roman"/>
          <w:b/>
          <w:bCs/>
          <w:sz w:val="30"/>
          <w:szCs w:val="30"/>
        </w:rPr>
      </w:pPr>
      <w:r>
        <w:rPr>
          <w:rFonts w:ascii="Times New Roman" w:hAnsi="Times New Roman"/>
          <w:b/>
          <w:bCs/>
          <w:sz w:val="30"/>
          <w:szCs w:val="30"/>
        </w:rPr>
        <w:t>项目名称：宁波市</w:t>
      </w:r>
      <w:r>
        <w:rPr>
          <w:rFonts w:hint="eastAsia" w:ascii="Times New Roman" w:hAnsi="Times New Roman"/>
          <w:b/>
          <w:bCs/>
          <w:sz w:val="30"/>
          <w:szCs w:val="30"/>
        </w:rPr>
        <w:t>“</w:t>
      </w:r>
      <w:r>
        <w:rPr>
          <w:rFonts w:ascii="Times New Roman" w:hAnsi="Times New Roman"/>
          <w:b/>
          <w:bCs/>
          <w:sz w:val="30"/>
          <w:szCs w:val="30"/>
        </w:rPr>
        <w:t>无废城市</w:t>
      </w:r>
      <w:r>
        <w:rPr>
          <w:rFonts w:hint="eastAsia" w:ascii="Times New Roman" w:hAnsi="Times New Roman"/>
          <w:b/>
          <w:bCs/>
          <w:sz w:val="30"/>
          <w:szCs w:val="30"/>
        </w:rPr>
        <w:t>”</w:t>
      </w:r>
      <w:r>
        <w:rPr>
          <w:rFonts w:ascii="Times New Roman" w:hAnsi="Times New Roman"/>
          <w:b/>
          <w:bCs/>
          <w:sz w:val="30"/>
          <w:szCs w:val="30"/>
        </w:rPr>
        <w:t>建设集成场景应用项目</w:t>
      </w:r>
    </w:p>
    <w:p>
      <w:pPr>
        <w:pStyle w:val="21"/>
        <w:snapToGrid w:val="0"/>
        <w:spacing w:before="120" w:beforeLines="0" w:after="120" w:afterLines="0" w:line="360" w:lineRule="auto"/>
        <w:rPr>
          <w:rFonts w:ascii="Times New Roman" w:hAnsi="Times New Roman"/>
          <w:b/>
          <w:bCs/>
          <w:sz w:val="30"/>
          <w:szCs w:val="30"/>
        </w:rPr>
      </w:pPr>
      <w:r>
        <w:rPr>
          <w:rFonts w:ascii="Times New Roman" w:hAnsi="Times New Roman"/>
          <w:b/>
          <w:bCs/>
          <w:sz w:val="30"/>
          <w:szCs w:val="30"/>
        </w:rPr>
        <w:t>采购单位：宁波市生态环境局</w:t>
      </w:r>
    </w:p>
    <w:p>
      <w:pPr>
        <w:pStyle w:val="21"/>
        <w:snapToGrid w:val="0"/>
        <w:spacing w:before="120" w:beforeLines="0" w:after="120" w:afterLines="0" w:line="360" w:lineRule="auto"/>
        <w:rPr>
          <w:rFonts w:ascii="Times New Roman" w:hAnsi="Times New Roman"/>
          <w:b/>
          <w:bCs/>
          <w:sz w:val="30"/>
          <w:szCs w:val="30"/>
        </w:rPr>
      </w:pPr>
      <w:r>
        <w:rPr>
          <w:rFonts w:ascii="Times New Roman" w:hAnsi="Times New Roman"/>
          <w:b/>
          <w:bCs/>
          <w:sz w:val="30"/>
          <w:szCs w:val="30"/>
        </w:rPr>
        <w:t>代理机构：浙江中创招投标有限公司</w:t>
      </w:r>
    </w:p>
    <w:p>
      <w:pPr>
        <w:pStyle w:val="21"/>
        <w:snapToGrid w:val="0"/>
        <w:spacing w:before="120" w:beforeLines="0" w:after="120" w:afterLines="0" w:line="360" w:lineRule="auto"/>
        <w:rPr>
          <w:rFonts w:ascii="Times New Roman" w:hAnsi="Times New Roman"/>
          <w:b/>
          <w:bCs/>
          <w:sz w:val="30"/>
          <w:szCs w:val="30"/>
        </w:rPr>
      </w:pPr>
    </w:p>
    <w:p>
      <w:pPr>
        <w:pStyle w:val="21"/>
        <w:snapToGrid w:val="0"/>
        <w:spacing w:before="120" w:beforeLines="0" w:after="120" w:afterLines="0" w:line="360" w:lineRule="auto"/>
        <w:rPr>
          <w:rFonts w:ascii="Times New Roman" w:hAnsi="Times New Roman"/>
          <w:b/>
          <w:bCs/>
          <w:sz w:val="30"/>
          <w:szCs w:val="30"/>
        </w:rPr>
      </w:pPr>
    </w:p>
    <w:p>
      <w:pPr>
        <w:pStyle w:val="21"/>
        <w:snapToGrid w:val="0"/>
        <w:spacing w:before="120" w:beforeLines="0" w:after="120" w:afterLines="0" w:line="360" w:lineRule="auto"/>
        <w:rPr>
          <w:rFonts w:ascii="Times New Roman" w:hAnsi="Times New Roman"/>
          <w:b/>
          <w:bCs/>
          <w:sz w:val="30"/>
          <w:szCs w:val="30"/>
        </w:rPr>
      </w:pPr>
    </w:p>
    <w:p>
      <w:pPr>
        <w:pStyle w:val="21"/>
        <w:snapToGrid w:val="0"/>
        <w:spacing w:before="120" w:beforeLines="0" w:after="120" w:afterLines="0" w:line="360" w:lineRule="auto"/>
        <w:rPr>
          <w:rFonts w:ascii="Times New Roman" w:hAnsi="Times New Roman"/>
          <w:b/>
          <w:bCs/>
          <w:sz w:val="30"/>
          <w:szCs w:val="30"/>
        </w:rPr>
      </w:pPr>
      <w:r>
        <w:rPr>
          <w:rFonts w:ascii="Times New Roman" w:hAnsi="Times New Roman"/>
          <w:b/>
          <w:bCs/>
          <w:sz w:val="30"/>
          <w:szCs w:val="30"/>
        </w:rPr>
        <w:drawing>
          <wp:anchor distT="0" distB="0" distL="114300" distR="114300" simplePos="0" relativeHeight="251659264" behindDoc="0" locked="0" layoutInCell="1" allowOverlap="1">
            <wp:simplePos x="0" y="0"/>
            <wp:positionH relativeFrom="column">
              <wp:align>center</wp:align>
            </wp:positionH>
            <wp:positionV relativeFrom="paragraph">
              <wp:posOffset>274955</wp:posOffset>
            </wp:positionV>
            <wp:extent cx="962025" cy="842010"/>
            <wp:effectExtent l="0" t="0" r="9525" b="0"/>
            <wp:wrapNone/>
            <wp:docPr id="1" name="图片 1" descr="中创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创LOGO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64178" cy="843825"/>
                    </a:xfrm>
                    <a:prstGeom prst="rect">
                      <a:avLst/>
                    </a:prstGeom>
                    <a:noFill/>
                    <a:ln>
                      <a:noFill/>
                    </a:ln>
                  </pic:spPr>
                </pic:pic>
              </a:graphicData>
            </a:graphic>
          </wp:anchor>
        </w:drawing>
      </w:r>
    </w:p>
    <w:p>
      <w:pPr>
        <w:snapToGrid w:val="0"/>
        <w:spacing w:before="120" w:beforeLines="50" w:line="360" w:lineRule="auto"/>
        <w:jc w:val="center"/>
        <w:rPr>
          <w:b/>
          <w:bCs/>
          <w:color w:val="000000"/>
          <w:sz w:val="30"/>
          <w:szCs w:val="30"/>
        </w:rPr>
      </w:pPr>
    </w:p>
    <w:p>
      <w:pPr>
        <w:snapToGrid w:val="0"/>
        <w:spacing w:before="120" w:beforeLines="50" w:line="360" w:lineRule="auto"/>
        <w:jc w:val="center"/>
        <w:rPr>
          <w:b/>
          <w:bCs/>
          <w:color w:val="000000"/>
          <w:sz w:val="30"/>
          <w:szCs w:val="30"/>
        </w:rPr>
      </w:pPr>
    </w:p>
    <w:p>
      <w:pPr>
        <w:snapToGrid w:val="0"/>
        <w:spacing w:before="120" w:beforeLines="50" w:line="360" w:lineRule="auto"/>
        <w:jc w:val="center"/>
        <w:rPr>
          <w:b/>
          <w:color w:val="000000"/>
          <w:sz w:val="36"/>
          <w:szCs w:val="36"/>
        </w:rPr>
      </w:pPr>
      <w:r>
        <w:rPr>
          <w:b/>
          <w:color w:val="000000"/>
          <w:sz w:val="36"/>
          <w:szCs w:val="36"/>
        </w:rPr>
        <w:t>浙江中创招投标有限公司</w:t>
      </w:r>
    </w:p>
    <w:p>
      <w:pPr>
        <w:snapToGrid w:val="0"/>
        <w:spacing w:before="120" w:beforeLines="50" w:line="360" w:lineRule="auto"/>
        <w:jc w:val="center"/>
        <w:rPr>
          <w:b/>
          <w:bCs/>
          <w:color w:val="000000"/>
          <w:sz w:val="30"/>
          <w:szCs w:val="30"/>
        </w:rPr>
        <w:sectPr>
          <w:headerReference r:id="rId3" w:type="default"/>
          <w:footerReference r:id="rId4" w:type="default"/>
          <w:pgSz w:w="11907" w:h="16840"/>
          <w:pgMar w:top="1276" w:right="1474" w:bottom="1242" w:left="1474" w:header="720" w:footer="720" w:gutter="0"/>
          <w:cols w:space="720" w:num="1"/>
          <w:titlePg/>
          <w:docGrid w:linePitch="286" w:charSpace="0"/>
        </w:sectPr>
      </w:pPr>
      <w:r>
        <w:rPr>
          <w:b/>
          <w:bCs/>
          <w:color w:val="000000"/>
          <w:sz w:val="30"/>
          <w:szCs w:val="30"/>
        </w:rPr>
        <w:t>二〇二二年</w:t>
      </w:r>
      <w:r>
        <w:rPr>
          <w:rFonts w:hint="eastAsia"/>
          <w:b/>
          <w:bCs/>
          <w:color w:val="000000"/>
          <w:sz w:val="30"/>
          <w:szCs w:val="30"/>
        </w:rPr>
        <w:t>九</w:t>
      </w:r>
      <w:r>
        <w:rPr>
          <w:b/>
          <w:bCs/>
          <w:color w:val="000000"/>
          <w:sz w:val="30"/>
          <w:szCs w:val="30"/>
        </w:rPr>
        <w:t>月</w:t>
      </w:r>
    </w:p>
    <w:p>
      <w:pPr>
        <w:snapToGrid w:val="0"/>
        <w:spacing w:before="156" w:beforeLines="50" w:line="360" w:lineRule="auto"/>
        <w:jc w:val="center"/>
        <w:rPr>
          <w:color w:val="000000"/>
        </w:rPr>
      </w:pPr>
    </w:p>
    <w:p>
      <w:pPr>
        <w:spacing w:line="720" w:lineRule="auto"/>
        <w:jc w:val="center"/>
        <w:rPr>
          <w:b/>
          <w:color w:val="000000"/>
          <w:sz w:val="40"/>
          <w:szCs w:val="40"/>
        </w:rPr>
      </w:pPr>
      <w:r>
        <w:rPr>
          <w:b/>
          <w:color w:val="000000"/>
          <w:sz w:val="40"/>
          <w:szCs w:val="40"/>
        </w:rPr>
        <w:t>目录</w:t>
      </w:r>
    </w:p>
    <w:p>
      <w:pPr>
        <w:pStyle w:val="28"/>
        <w:tabs>
          <w:tab w:val="right" w:leader="dot" w:pos="8296"/>
        </w:tabs>
        <w:spacing w:line="720" w:lineRule="auto"/>
        <w:rPr>
          <w:rFonts w:asciiTheme="minorHAnsi" w:hAnsiTheme="minorHAnsi" w:eastAsiaTheme="minorEastAsia" w:cstheme="minorBidi"/>
          <w:b/>
          <w:szCs w:val="22"/>
        </w:rPr>
      </w:pPr>
      <w:r>
        <w:rPr>
          <w:rFonts w:ascii="Times New Roman" w:hAnsi="Times New Roman"/>
          <w:b/>
          <w:color w:val="000000"/>
          <w:sz w:val="30"/>
          <w:szCs w:val="30"/>
        </w:rPr>
        <w:fldChar w:fldCharType="begin"/>
      </w:r>
      <w:r>
        <w:rPr>
          <w:rFonts w:ascii="Times New Roman" w:hAnsi="Times New Roman"/>
          <w:b/>
          <w:color w:val="000000"/>
          <w:sz w:val="30"/>
          <w:szCs w:val="30"/>
        </w:rPr>
        <w:instrText xml:space="preserve"> TOC \o "1-3" \h \z \u </w:instrText>
      </w:r>
      <w:r>
        <w:rPr>
          <w:rFonts w:ascii="Times New Roman" w:hAnsi="Times New Roman"/>
          <w:b/>
          <w:color w:val="000000"/>
          <w:sz w:val="30"/>
          <w:szCs w:val="30"/>
        </w:rPr>
        <w:fldChar w:fldCharType="separate"/>
      </w:r>
      <w:r>
        <w:fldChar w:fldCharType="begin"/>
      </w:r>
      <w:r>
        <w:instrText xml:space="preserve"> HYPERLINK \l "_Toc109989075" </w:instrText>
      </w:r>
      <w:r>
        <w:fldChar w:fldCharType="separate"/>
      </w:r>
      <w:r>
        <w:rPr>
          <w:rStyle w:val="50"/>
          <w:rFonts w:hint="eastAsia" w:ascii="等线 Light" w:hAnsi="等线 Light"/>
          <w:b/>
        </w:rPr>
        <w:t>第一章</w:t>
      </w:r>
      <w:r>
        <w:rPr>
          <w:rStyle w:val="50"/>
          <w:rFonts w:hint="eastAsia" w:ascii="Times New Roman" w:hAnsi="Times New Roman"/>
          <w:b/>
        </w:rPr>
        <w:t xml:space="preserve"> 公开招标采购公告</w:t>
      </w:r>
      <w:r>
        <w:rPr>
          <w:b/>
        </w:rPr>
        <w:tab/>
      </w:r>
      <w:r>
        <w:rPr>
          <w:b/>
        </w:rPr>
        <w:fldChar w:fldCharType="begin"/>
      </w:r>
      <w:r>
        <w:rPr>
          <w:b/>
        </w:rPr>
        <w:instrText xml:space="preserve"> PAGEREF _Toc109989075 \h </w:instrText>
      </w:r>
      <w:r>
        <w:rPr>
          <w:b/>
        </w:rPr>
        <w:fldChar w:fldCharType="separate"/>
      </w:r>
      <w:r>
        <w:rPr>
          <w:b/>
        </w:rPr>
        <w:t>2</w:t>
      </w:r>
      <w:r>
        <w:rPr>
          <w:b/>
        </w:rPr>
        <w:fldChar w:fldCharType="end"/>
      </w:r>
      <w:r>
        <w:rPr>
          <w:b/>
        </w:rPr>
        <w:fldChar w:fldCharType="end"/>
      </w:r>
    </w:p>
    <w:p>
      <w:pPr>
        <w:pStyle w:val="28"/>
        <w:tabs>
          <w:tab w:val="right" w:leader="dot" w:pos="8296"/>
        </w:tabs>
        <w:spacing w:line="720" w:lineRule="auto"/>
        <w:rPr>
          <w:rFonts w:asciiTheme="minorHAnsi" w:hAnsiTheme="minorHAnsi" w:eastAsiaTheme="minorEastAsia" w:cstheme="minorBidi"/>
          <w:b/>
          <w:szCs w:val="22"/>
        </w:rPr>
      </w:pPr>
      <w:r>
        <w:fldChar w:fldCharType="begin"/>
      </w:r>
      <w:r>
        <w:instrText xml:space="preserve"> HYPERLINK \l "_Toc109989076" </w:instrText>
      </w:r>
      <w:r>
        <w:fldChar w:fldCharType="separate"/>
      </w:r>
      <w:r>
        <w:rPr>
          <w:rStyle w:val="50"/>
          <w:rFonts w:hint="eastAsia" w:ascii="等线 Light" w:hAnsi="等线 Light"/>
          <w:b/>
        </w:rPr>
        <w:t>第二章</w:t>
      </w:r>
      <w:r>
        <w:rPr>
          <w:rStyle w:val="50"/>
          <w:rFonts w:hint="eastAsia" w:ascii="Times New Roman" w:hAnsi="Times New Roman"/>
          <w:b/>
        </w:rPr>
        <w:t xml:space="preserve"> 采购需求</w:t>
      </w:r>
      <w:r>
        <w:rPr>
          <w:b/>
        </w:rPr>
        <w:tab/>
      </w:r>
      <w:r>
        <w:rPr>
          <w:b/>
        </w:rPr>
        <w:fldChar w:fldCharType="begin"/>
      </w:r>
      <w:r>
        <w:rPr>
          <w:b/>
        </w:rPr>
        <w:instrText xml:space="preserve"> PAGEREF _Toc109989076 \h </w:instrText>
      </w:r>
      <w:r>
        <w:rPr>
          <w:b/>
        </w:rPr>
        <w:fldChar w:fldCharType="separate"/>
      </w:r>
      <w:r>
        <w:rPr>
          <w:b/>
        </w:rPr>
        <w:t>7</w:t>
      </w:r>
      <w:r>
        <w:rPr>
          <w:b/>
        </w:rPr>
        <w:fldChar w:fldCharType="end"/>
      </w:r>
      <w:r>
        <w:rPr>
          <w:b/>
        </w:rPr>
        <w:fldChar w:fldCharType="end"/>
      </w:r>
    </w:p>
    <w:p>
      <w:pPr>
        <w:pStyle w:val="28"/>
        <w:tabs>
          <w:tab w:val="right" w:leader="dot" w:pos="8296"/>
        </w:tabs>
        <w:spacing w:line="720" w:lineRule="auto"/>
        <w:rPr>
          <w:rFonts w:asciiTheme="minorHAnsi" w:hAnsiTheme="minorHAnsi" w:eastAsiaTheme="minorEastAsia" w:cstheme="minorBidi"/>
          <w:b/>
          <w:szCs w:val="22"/>
        </w:rPr>
      </w:pPr>
      <w:r>
        <w:fldChar w:fldCharType="begin"/>
      </w:r>
      <w:r>
        <w:instrText xml:space="preserve"> HYPERLINK \l "_Toc109989348" </w:instrText>
      </w:r>
      <w:r>
        <w:fldChar w:fldCharType="separate"/>
      </w:r>
      <w:r>
        <w:rPr>
          <w:rStyle w:val="50"/>
          <w:rFonts w:hint="eastAsia" w:ascii="等线 Light" w:hAnsi="等线 Light"/>
          <w:b/>
        </w:rPr>
        <w:t>第三章</w:t>
      </w:r>
      <w:r>
        <w:rPr>
          <w:rStyle w:val="50"/>
          <w:rFonts w:hint="eastAsia" w:ascii="Times New Roman" w:hAnsi="Times New Roman"/>
          <w:b/>
        </w:rPr>
        <w:t xml:space="preserve"> 供应商须知</w:t>
      </w:r>
      <w:r>
        <w:rPr>
          <w:b/>
        </w:rPr>
        <w:tab/>
      </w:r>
      <w:r>
        <w:rPr>
          <w:b/>
        </w:rPr>
        <w:fldChar w:fldCharType="begin"/>
      </w:r>
      <w:r>
        <w:rPr>
          <w:b/>
        </w:rPr>
        <w:instrText xml:space="preserve"> PAGEREF _Toc109989348 \h </w:instrText>
      </w:r>
      <w:r>
        <w:rPr>
          <w:b/>
        </w:rPr>
        <w:fldChar w:fldCharType="separate"/>
      </w:r>
      <w:r>
        <w:rPr>
          <w:b/>
        </w:rPr>
        <w:t>29</w:t>
      </w:r>
      <w:r>
        <w:rPr>
          <w:b/>
        </w:rPr>
        <w:fldChar w:fldCharType="end"/>
      </w:r>
      <w:r>
        <w:rPr>
          <w:b/>
        </w:rPr>
        <w:fldChar w:fldCharType="end"/>
      </w:r>
    </w:p>
    <w:p>
      <w:pPr>
        <w:pStyle w:val="28"/>
        <w:tabs>
          <w:tab w:val="right" w:leader="dot" w:pos="8296"/>
        </w:tabs>
        <w:spacing w:line="720" w:lineRule="auto"/>
        <w:rPr>
          <w:rFonts w:asciiTheme="minorHAnsi" w:hAnsiTheme="minorHAnsi" w:eastAsiaTheme="minorEastAsia" w:cstheme="minorBidi"/>
          <w:b/>
          <w:szCs w:val="22"/>
        </w:rPr>
      </w:pPr>
      <w:r>
        <w:fldChar w:fldCharType="begin"/>
      </w:r>
      <w:r>
        <w:instrText xml:space="preserve"> HYPERLINK \l "_Toc109989389" </w:instrText>
      </w:r>
      <w:r>
        <w:fldChar w:fldCharType="separate"/>
      </w:r>
      <w:r>
        <w:rPr>
          <w:rStyle w:val="50"/>
          <w:rFonts w:hint="eastAsia" w:ascii="等线 Light" w:hAnsi="等线 Light"/>
          <w:b/>
        </w:rPr>
        <w:t>第四章</w:t>
      </w:r>
      <w:r>
        <w:rPr>
          <w:rStyle w:val="50"/>
          <w:rFonts w:hint="eastAsia" w:ascii="Times New Roman" w:hAnsi="Times New Roman"/>
          <w:b/>
        </w:rPr>
        <w:t xml:space="preserve"> 评标办法及评分标准</w:t>
      </w:r>
      <w:r>
        <w:rPr>
          <w:b/>
        </w:rPr>
        <w:tab/>
      </w:r>
      <w:r>
        <w:rPr>
          <w:b/>
        </w:rPr>
        <w:fldChar w:fldCharType="begin"/>
      </w:r>
      <w:r>
        <w:rPr>
          <w:b/>
        </w:rPr>
        <w:instrText xml:space="preserve"> PAGEREF _Toc109989389 \h </w:instrText>
      </w:r>
      <w:r>
        <w:rPr>
          <w:b/>
        </w:rPr>
        <w:fldChar w:fldCharType="separate"/>
      </w:r>
      <w:r>
        <w:rPr>
          <w:b/>
        </w:rPr>
        <w:t>42</w:t>
      </w:r>
      <w:r>
        <w:rPr>
          <w:b/>
        </w:rPr>
        <w:fldChar w:fldCharType="end"/>
      </w:r>
      <w:r>
        <w:rPr>
          <w:b/>
        </w:rPr>
        <w:fldChar w:fldCharType="end"/>
      </w:r>
    </w:p>
    <w:p>
      <w:pPr>
        <w:pStyle w:val="28"/>
        <w:tabs>
          <w:tab w:val="right" w:leader="dot" w:pos="8296"/>
        </w:tabs>
        <w:spacing w:line="720" w:lineRule="auto"/>
        <w:rPr>
          <w:rFonts w:asciiTheme="minorHAnsi" w:hAnsiTheme="minorHAnsi" w:eastAsiaTheme="minorEastAsia" w:cstheme="minorBidi"/>
          <w:b/>
          <w:szCs w:val="22"/>
        </w:rPr>
      </w:pPr>
      <w:r>
        <w:fldChar w:fldCharType="begin"/>
      </w:r>
      <w:r>
        <w:instrText xml:space="preserve"> HYPERLINK \l "_Toc109989395" </w:instrText>
      </w:r>
      <w:r>
        <w:fldChar w:fldCharType="separate"/>
      </w:r>
      <w:r>
        <w:rPr>
          <w:rStyle w:val="50"/>
          <w:rFonts w:hint="eastAsia" w:ascii="等线 Light" w:hAnsi="等线 Light"/>
          <w:b/>
        </w:rPr>
        <w:t>第五章</w:t>
      </w:r>
      <w:r>
        <w:rPr>
          <w:rStyle w:val="50"/>
          <w:rFonts w:hint="eastAsia" w:ascii="Times New Roman" w:hAnsi="Times New Roman"/>
          <w:b/>
        </w:rPr>
        <w:t xml:space="preserve"> 合同主要条款</w:t>
      </w:r>
      <w:r>
        <w:rPr>
          <w:b/>
        </w:rPr>
        <w:tab/>
      </w:r>
      <w:r>
        <w:rPr>
          <w:b/>
        </w:rPr>
        <w:fldChar w:fldCharType="begin"/>
      </w:r>
      <w:r>
        <w:rPr>
          <w:b/>
        </w:rPr>
        <w:instrText xml:space="preserve"> PAGEREF _Toc109989395 \h </w:instrText>
      </w:r>
      <w:r>
        <w:rPr>
          <w:b/>
        </w:rPr>
        <w:fldChar w:fldCharType="separate"/>
      </w:r>
      <w:r>
        <w:rPr>
          <w:b/>
        </w:rPr>
        <w:t>51</w:t>
      </w:r>
      <w:r>
        <w:rPr>
          <w:b/>
        </w:rPr>
        <w:fldChar w:fldCharType="end"/>
      </w:r>
      <w:r>
        <w:rPr>
          <w:b/>
        </w:rPr>
        <w:fldChar w:fldCharType="end"/>
      </w:r>
    </w:p>
    <w:p>
      <w:pPr>
        <w:pStyle w:val="28"/>
        <w:tabs>
          <w:tab w:val="right" w:leader="dot" w:pos="8296"/>
        </w:tabs>
        <w:spacing w:line="720" w:lineRule="auto"/>
        <w:rPr>
          <w:rFonts w:asciiTheme="minorHAnsi" w:hAnsiTheme="minorHAnsi" w:eastAsiaTheme="minorEastAsia" w:cstheme="minorBidi"/>
          <w:b/>
          <w:szCs w:val="22"/>
        </w:rPr>
      </w:pPr>
      <w:r>
        <w:fldChar w:fldCharType="begin"/>
      </w:r>
      <w:r>
        <w:instrText xml:space="preserve"> HYPERLINK \l "_Toc109989396" </w:instrText>
      </w:r>
      <w:r>
        <w:fldChar w:fldCharType="separate"/>
      </w:r>
      <w:r>
        <w:rPr>
          <w:rStyle w:val="50"/>
          <w:rFonts w:hint="eastAsia" w:ascii="等线 Light" w:hAnsi="等线 Light"/>
          <w:b/>
        </w:rPr>
        <w:t>第六章</w:t>
      </w:r>
      <w:r>
        <w:rPr>
          <w:rStyle w:val="50"/>
          <w:rFonts w:hint="eastAsia" w:ascii="Times New Roman" w:hAnsi="Times New Roman"/>
          <w:b/>
        </w:rPr>
        <w:t xml:space="preserve"> 投标文件格式</w:t>
      </w:r>
      <w:r>
        <w:rPr>
          <w:b/>
        </w:rPr>
        <w:tab/>
      </w:r>
      <w:r>
        <w:rPr>
          <w:b/>
        </w:rPr>
        <w:fldChar w:fldCharType="begin"/>
      </w:r>
      <w:r>
        <w:rPr>
          <w:b/>
        </w:rPr>
        <w:instrText xml:space="preserve"> PAGEREF _Toc109989396 \h </w:instrText>
      </w:r>
      <w:r>
        <w:rPr>
          <w:b/>
        </w:rPr>
        <w:fldChar w:fldCharType="separate"/>
      </w:r>
      <w:r>
        <w:rPr>
          <w:b/>
        </w:rPr>
        <w:t>58</w:t>
      </w:r>
      <w:r>
        <w:rPr>
          <w:b/>
        </w:rPr>
        <w:fldChar w:fldCharType="end"/>
      </w:r>
      <w:r>
        <w:rPr>
          <w:b/>
        </w:rPr>
        <w:fldChar w:fldCharType="end"/>
      </w:r>
    </w:p>
    <w:p>
      <w:pPr>
        <w:pStyle w:val="28"/>
        <w:tabs>
          <w:tab w:val="right" w:leader="dot" w:pos="8311"/>
        </w:tabs>
        <w:spacing w:line="720" w:lineRule="auto"/>
        <w:rPr>
          <w:rFonts w:ascii="Times New Roman" w:hAnsi="Times New Roman"/>
          <w:color w:val="000000"/>
        </w:rPr>
      </w:pPr>
      <w:r>
        <w:rPr>
          <w:rFonts w:ascii="Times New Roman" w:hAnsi="Times New Roman"/>
          <w:b/>
          <w:color w:val="000000"/>
          <w:sz w:val="30"/>
          <w:szCs w:val="30"/>
        </w:rPr>
        <w:fldChar w:fldCharType="end"/>
      </w:r>
    </w:p>
    <w:p>
      <w:pPr>
        <w:pStyle w:val="3"/>
        <w:spacing w:before="0" w:after="0" w:line="360" w:lineRule="auto"/>
        <w:jc w:val="center"/>
        <w:rPr>
          <w:rFonts w:ascii="Times New Roman" w:hAnsi="Times New Roman"/>
          <w:color w:val="000000"/>
        </w:rPr>
        <w:sectPr>
          <w:headerReference r:id="rId5" w:type="default"/>
          <w:pgSz w:w="11906" w:h="16838"/>
          <w:pgMar w:top="1440" w:right="1800" w:bottom="1440" w:left="1800" w:header="851" w:footer="992" w:gutter="0"/>
          <w:pgNumType w:start="1"/>
          <w:cols w:space="720" w:num="1"/>
          <w:docGrid w:type="lines" w:linePitch="312" w:charSpace="0"/>
        </w:sectPr>
      </w:pPr>
      <w:bookmarkStart w:id="0" w:name="_Toc460857890"/>
    </w:p>
    <w:p>
      <w:pPr>
        <w:pStyle w:val="3"/>
        <w:numPr>
          <w:ilvl w:val="0"/>
          <w:numId w:val="10"/>
        </w:numPr>
        <w:spacing w:before="0" w:after="0" w:line="360" w:lineRule="auto"/>
        <w:ind w:left="1134"/>
        <w:jc w:val="center"/>
        <w:rPr>
          <w:rFonts w:ascii="Times New Roman" w:hAnsi="Times New Roman"/>
          <w:color w:val="000000"/>
        </w:rPr>
      </w:pPr>
      <w:bookmarkStart w:id="1" w:name="_Toc109989075"/>
      <w:r>
        <w:rPr>
          <w:rFonts w:ascii="Times New Roman" w:hAnsi="Times New Roman"/>
          <w:color w:val="000000"/>
        </w:rPr>
        <w:t>公开招标采购公告</w:t>
      </w:r>
      <w:bookmarkEnd w:id="0"/>
      <w:bookmarkEnd w:id="1"/>
    </w:p>
    <w:p>
      <w:pPr>
        <w:pBdr>
          <w:top w:val="single" w:color="auto" w:sz="4" w:space="1"/>
          <w:left w:val="single" w:color="auto" w:sz="4" w:space="4"/>
          <w:bottom w:val="single" w:color="auto" w:sz="4" w:space="2"/>
          <w:right w:val="single" w:color="auto" w:sz="4" w:space="4"/>
        </w:pBdr>
        <w:spacing w:line="360" w:lineRule="auto"/>
        <w:rPr>
          <w:b/>
          <w:sz w:val="22"/>
          <w:szCs w:val="28"/>
        </w:rPr>
      </w:pPr>
      <w:r>
        <w:rPr>
          <w:b/>
          <w:sz w:val="22"/>
          <w:szCs w:val="28"/>
        </w:rPr>
        <w:t>项目概况</w:t>
      </w:r>
    </w:p>
    <w:p>
      <w:pPr>
        <w:pBdr>
          <w:top w:val="single" w:color="auto" w:sz="4" w:space="1"/>
          <w:left w:val="single" w:color="auto" w:sz="4" w:space="4"/>
          <w:bottom w:val="single" w:color="auto" w:sz="4" w:space="2"/>
          <w:right w:val="single" w:color="auto" w:sz="4" w:space="4"/>
        </w:pBdr>
        <w:spacing w:line="360" w:lineRule="auto"/>
        <w:ind w:firstLine="420" w:firstLineChars="200"/>
        <w:rPr>
          <w:sz w:val="22"/>
          <w:szCs w:val="28"/>
        </w:rPr>
      </w:pPr>
      <w:r>
        <w:rPr>
          <w:kern w:val="0"/>
          <w:szCs w:val="21"/>
          <w:u w:val="single"/>
        </w:rPr>
        <w:t>宁波市</w:t>
      </w:r>
      <w:r>
        <w:rPr>
          <w:rFonts w:hint="eastAsia"/>
          <w:kern w:val="0"/>
          <w:szCs w:val="21"/>
          <w:u w:val="single"/>
        </w:rPr>
        <w:t>“</w:t>
      </w:r>
      <w:r>
        <w:rPr>
          <w:kern w:val="0"/>
          <w:szCs w:val="21"/>
          <w:u w:val="single"/>
        </w:rPr>
        <w:t>无废城市</w:t>
      </w:r>
      <w:r>
        <w:rPr>
          <w:rFonts w:hint="eastAsia"/>
          <w:kern w:val="0"/>
          <w:szCs w:val="21"/>
          <w:u w:val="single"/>
        </w:rPr>
        <w:t>”</w:t>
      </w:r>
      <w:r>
        <w:rPr>
          <w:kern w:val="0"/>
          <w:szCs w:val="21"/>
          <w:u w:val="single"/>
        </w:rPr>
        <w:t>建设集成场景应用</w:t>
      </w:r>
      <w:r>
        <w:rPr>
          <w:kern w:val="0"/>
          <w:szCs w:val="21"/>
        </w:rPr>
        <w:t>招标项目的潜在投标人应在</w:t>
      </w:r>
      <w:r>
        <w:rPr>
          <w:rFonts w:hint="eastAsia"/>
          <w:kern w:val="0"/>
          <w:szCs w:val="21"/>
          <w:u w:val="single"/>
        </w:rPr>
        <w:t>政府采购云平台（www.zcygov.cn）</w:t>
      </w:r>
      <w:r>
        <w:rPr>
          <w:kern w:val="0"/>
          <w:szCs w:val="21"/>
        </w:rPr>
        <w:t>获取（下载）招标文件，并于</w:t>
      </w:r>
      <w:r>
        <w:rPr>
          <w:rStyle w:val="117"/>
          <w:szCs w:val="21"/>
        </w:rPr>
        <w:t>2022年</w:t>
      </w:r>
      <w:r>
        <w:rPr>
          <w:rStyle w:val="117"/>
          <w:color w:val="FF0000"/>
          <w:szCs w:val="21"/>
        </w:rPr>
        <w:t>0</w:t>
      </w:r>
      <w:r>
        <w:rPr>
          <w:rStyle w:val="117"/>
          <w:rFonts w:hint="eastAsia"/>
          <w:color w:val="FF0000"/>
          <w:szCs w:val="21"/>
        </w:rPr>
        <w:t>9</w:t>
      </w:r>
      <w:r>
        <w:rPr>
          <w:rStyle w:val="117"/>
          <w:color w:val="FF0000"/>
          <w:szCs w:val="21"/>
        </w:rPr>
        <w:t>月</w:t>
      </w:r>
      <w:r>
        <w:rPr>
          <w:rStyle w:val="117"/>
          <w:rFonts w:hint="eastAsia"/>
          <w:color w:val="FF0000"/>
          <w:szCs w:val="21"/>
        </w:rPr>
        <w:t>22</w:t>
      </w:r>
      <w:r>
        <w:rPr>
          <w:rStyle w:val="117"/>
          <w:color w:val="FF0000"/>
          <w:szCs w:val="21"/>
        </w:rPr>
        <w:t>日</w:t>
      </w:r>
      <w:r>
        <w:rPr>
          <w:kern w:val="0"/>
          <w:szCs w:val="21"/>
          <w:u w:val="single"/>
        </w:rPr>
        <w:t>09:00</w:t>
      </w:r>
      <w:r>
        <w:rPr>
          <w:kern w:val="0"/>
          <w:szCs w:val="21"/>
        </w:rPr>
        <w:t>（北京时间）前递交（上传）投标文件。</w:t>
      </w:r>
    </w:p>
    <w:p>
      <w:pPr>
        <w:widowControl/>
        <w:spacing w:before="75" w:after="75" w:line="360" w:lineRule="auto"/>
        <w:rPr>
          <w:b/>
          <w:color w:val="000000"/>
          <w:kern w:val="0"/>
          <w:szCs w:val="21"/>
        </w:rPr>
      </w:pPr>
      <w:r>
        <w:rPr>
          <w:b/>
          <w:color w:val="000000"/>
          <w:kern w:val="0"/>
          <w:szCs w:val="21"/>
        </w:rPr>
        <w:t>一、项目基本情况</w:t>
      </w:r>
    </w:p>
    <w:p>
      <w:pPr>
        <w:widowControl/>
        <w:spacing w:before="75" w:after="75" w:line="360" w:lineRule="auto"/>
        <w:rPr>
          <w:b/>
          <w:color w:val="000000"/>
          <w:kern w:val="0"/>
          <w:szCs w:val="21"/>
        </w:rPr>
      </w:pPr>
      <w:r>
        <w:rPr>
          <w:color w:val="000000"/>
          <w:kern w:val="0"/>
          <w:szCs w:val="21"/>
        </w:rPr>
        <w:t>项目编</w:t>
      </w:r>
      <w:r>
        <w:rPr>
          <w:kern w:val="0"/>
          <w:szCs w:val="21"/>
        </w:rPr>
        <w:t>号：ZJZC-223262</w:t>
      </w:r>
    </w:p>
    <w:p>
      <w:pPr>
        <w:widowControl/>
        <w:spacing w:before="75" w:after="75" w:line="360" w:lineRule="auto"/>
        <w:rPr>
          <w:b/>
          <w:color w:val="000000"/>
          <w:kern w:val="0"/>
          <w:szCs w:val="21"/>
        </w:rPr>
      </w:pPr>
      <w:r>
        <w:rPr>
          <w:kern w:val="0"/>
          <w:szCs w:val="21"/>
        </w:rPr>
        <w:t>项目名称：宁波市</w:t>
      </w:r>
      <w:r>
        <w:rPr>
          <w:rFonts w:hint="eastAsia"/>
          <w:kern w:val="0"/>
          <w:szCs w:val="21"/>
        </w:rPr>
        <w:t>“</w:t>
      </w:r>
      <w:r>
        <w:rPr>
          <w:kern w:val="0"/>
          <w:szCs w:val="21"/>
        </w:rPr>
        <w:t>无废城市</w:t>
      </w:r>
      <w:r>
        <w:rPr>
          <w:rFonts w:hint="eastAsia"/>
          <w:kern w:val="0"/>
          <w:szCs w:val="21"/>
        </w:rPr>
        <w:t>”</w:t>
      </w:r>
      <w:r>
        <w:rPr>
          <w:kern w:val="0"/>
          <w:szCs w:val="21"/>
        </w:rPr>
        <w:t>建设集成场景应用项目</w:t>
      </w:r>
    </w:p>
    <w:p>
      <w:pPr>
        <w:widowControl/>
        <w:spacing w:before="75" w:after="75" w:line="360" w:lineRule="auto"/>
        <w:rPr>
          <w:b/>
          <w:color w:val="000000"/>
          <w:kern w:val="0"/>
          <w:szCs w:val="21"/>
        </w:rPr>
      </w:pPr>
      <w:r>
        <w:rPr>
          <w:kern w:val="0"/>
          <w:szCs w:val="21"/>
        </w:rPr>
        <w:t>预算金额（元）：11280000</w:t>
      </w:r>
    </w:p>
    <w:p>
      <w:pPr>
        <w:widowControl/>
        <w:spacing w:before="75" w:after="75" w:line="360" w:lineRule="auto"/>
        <w:rPr>
          <w:b/>
          <w:color w:val="000000"/>
          <w:kern w:val="0"/>
          <w:szCs w:val="21"/>
        </w:rPr>
      </w:pPr>
      <w:r>
        <w:rPr>
          <w:kern w:val="0"/>
          <w:szCs w:val="21"/>
        </w:rPr>
        <w:t>最高限价（元）：11280000</w:t>
      </w:r>
    </w:p>
    <w:p>
      <w:pPr>
        <w:widowControl/>
        <w:spacing w:before="75" w:after="75" w:line="360" w:lineRule="auto"/>
        <w:rPr>
          <w:b/>
          <w:color w:val="000000"/>
          <w:kern w:val="0"/>
          <w:szCs w:val="21"/>
        </w:rPr>
      </w:pPr>
      <w:r>
        <w:rPr>
          <w:kern w:val="0"/>
          <w:szCs w:val="21"/>
        </w:rPr>
        <w:t>采购需求：</w:t>
      </w:r>
    </w:p>
    <w:p>
      <w:pPr>
        <w:widowControl/>
        <w:spacing w:before="75" w:after="75" w:line="360" w:lineRule="auto"/>
        <w:rPr>
          <w:b/>
          <w:color w:val="000000"/>
          <w:kern w:val="0"/>
          <w:szCs w:val="21"/>
        </w:rPr>
      </w:pPr>
      <w:r>
        <w:rPr>
          <w:kern w:val="0"/>
          <w:szCs w:val="21"/>
        </w:rPr>
        <w:t>标项名称</w:t>
      </w:r>
      <w:r>
        <w:rPr>
          <w:rFonts w:hint="eastAsia"/>
          <w:kern w:val="0"/>
          <w:szCs w:val="21"/>
        </w:rPr>
        <w:t>：</w:t>
      </w:r>
      <w:r>
        <w:rPr>
          <w:kern w:val="0"/>
          <w:szCs w:val="21"/>
        </w:rPr>
        <w:t>宁波市</w:t>
      </w:r>
      <w:r>
        <w:rPr>
          <w:rFonts w:hint="eastAsia"/>
          <w:kern w:val="0"/>
          <w:szCs w:val="21"/>
        </w:rPr>
        <w:t>“</w:t>
      </w:r>
      <w:r>
        <w:rPr>
          <w:kern w:val="0"/>
          <w:szCs w:val="21"/>
        </w:rPr>
        <w:t>无废城市</w:t>
      </w:r>
      <w:r>
        <w:rPr>
          <w:rFonts w:hint="eastAsia"/>
          <w:kern w:val="0"/>
          <w:szCs w:val="21"/>
        </w:rPr>
        <w:t>”</w:t>
      </w:r>
      <w:r>
        <w:rPr>
          <w:kern w:val="0"/>
          <w:szCs w:val="21"/>
        </w:rPr>
        <w:t>建设集成场景应用</w:t>
      </w:r>
    </w:p>
    <w:p>
      <w:pPr>
        <w:widowControl/>
        <w:spacing w:before="75" w:after="75" w:line="360" w:lineRule="auto"/>
        <w:rPr>
          <w:b/>
          <w:color w:val="000000"/>
          <w:kern w:val="0"/>
          <w:szCs w:val="21"/>
        </w:rPr>
      </w:pPr>
      <w:r>
        <w:rPr>
          <w:kern w:val="0"/>
          <w:szCs w:val="21"/>
        </w:rPr>
        <w:t>数量</w:t>
      </w:r>
      <w:r>
        <w:rPr>
          <w:rFonts w:hint="eastAsia"/>
          <w:kern w:val="0"/>
          <w:szCs w:val="21"/>
        </w:rPr>
        <w:t>：1项</w:t>
      </w:r>
    </w:p>
    <w:p>
      <w:pPr>
        <w:widowControl/>
        <w:spacing w:before="75" w:after="75" w:line="360" w:lineRule="auto"/>
        <w:rPr>
          <w:b/>
          <w:color w:val="000000"/>
          <w:kern w:val="0"/>
          <w:szCs w:val="21"/>
        </w:rPr>
      </w:pPr>
      <w:r>
        <w:rPr>
          <w:kern w:val="0"/>
          <w:szCs w:val="21"/>
        </w:rPr>
        <w:t>预算金额（元）</w:t>
      </w:r>
      <w:r>
        <w:rPr>
          <w:rFonts w:hint="eastAsia"/>
          <w:kern w:val="0"/>
          <w:szCs w:val="21"/>
        </w:rPr>
        <w:t>：</w:t>
      </w:r>
      <w:r>
        <w:rPr>
          <w:kern w:val="0"/>
          <w:szCs w:val="21"/>
        </w:rPr>
        <w:t>11280000</w:t>
      </w:r>
    </w:p>
    <w:p>
      <w:pPr>
        <w:widowControl/>
        <w:spacing w:before="75" w:after="75" w:line="360" w:lineRule="auto"/>
        <w:rPr>
          <w:b/>
          <w:color w:val="000000"/>
          <w:kern w:val="0"/>
          <w:szCs w:val="21"/>
        </w:rPr>
      </w:pPr>
      <w:r>
        <w:rPr>
          <w:kern w:val="0"/>
          <w:szCs w:val="21"/>
        </w:rPr>
        <w:t>简要规格描述或项目基本概况介绍、用途：</w:t>
      </w:r>
      <w:r>
        <w:rPr>
          <w:rFonts w:hint="eastAsia"/>
          <w:szCs w:val="21"/>
        </w:rPr>
        <w:t>按照省市数字化改革要求，基于宁波无废城市建设实际需求，在数字政府生态保护跑道上建设“无废城市”重大应用，</w:t>
      </w:r>
      <w:r>
        <w:rPr>
          <w:szCs w:val="21"/>
        </w:rPr>
        <w:t>搭建</w:t>
      </w:r>
      <w:r>
        <w:rPr>
          <w:rFonts w:hint="eastAsia"/>
          <w:szCs w:val="21"/>
        </w:rPr>
        <w:t>“</w:t>
      </w:r>
      <w:r>
        <w:rPr>
          <w:szCs w:val="21"/>
        </w:rPr>
        <w:t>1+9+N</w:t>
      </w:r>
      <w:r>
        <w:rPr>
          <w:rFonts w:hint="eastAsia"/>
          <w:szCs w:val="21"/>
        </w:rPr>
        <w:t>”</w:t>
      </w:r>
      <w:r>
        <w:rPr>
          <w:szCs w:val="21"/>
        </w:rPr>
        <w:t>无废城市集成应用框架体系</w:t>
      </w:r>
      <w:r>
        <w:rPr>
          <w:rFonts w:hint="eastAsia"/>
          <w:szCs w:val="21"/>
        </w:rPr>
        <w:t>，包括建立无废城市综合管理服务应用、构建核心业务应用、构建8个无废多跨场景、建立无废城市数据资源体系等</w:t>
      </w:r>
      <w:r>
        <w:rPr>
          <w:szCs w:val="21"/>
        </w:rPr>
        <w:t>。</w:t>
      </w:r>
    </w:p>
    <w:p>
      <w:pPr>
        <w:widowControl/>
        <w:spacing w:before="75" w:after="75" w:line="360" w:lineRule="auto"/>
        <w:rPr>
          <w:b/>
          <w:color w:val="000000"/>
          <w:kern w:val="0"/>
          <w:szCs w:val="21"/>
        </w:rPr>
      </w:pPr>
      <w:r>
        <w:rPr>
          <w:kern w:val="0"/>
          <w:szCs w:val="21"/>
        </w:rPr>
        <w:t>备注：/</w:t>
      </w:r>
    </w:p>
    <w:p>
      <w:pPr>
        <w:widowControl/>
        <w:spacing w:before="75" w:after="75" w:line="360" w:lineRule="auto"/>
        <w:rPr>
          <w:b/>
          <w:color w:val="000000"/>
          <w:kern w:val="0"/>
          <w:szCs w:val="21"/>
        </w:rPr>
      </w:pPr>
      <w:r>
        <w:rPr>
          <w:szCs w:val="21"/>
        </w:rPr>
        <w:t>合同履约期限：</w:t>
      </w:r>
      <w:r>
        <w:rPr>
          <w:rFonts w:hint="eastAsia"/>
          <w:szCs w:val="21"/>
        </w:rPr>
        <w:t>本项目要求2</w:t>
      </w:r>
      <w:r>
        <w:rPr>
          <w:szCs w:val="21"/>
        </w:rPr>
        <w:t>022</w:t>
      </w:r>
      <w:r>
        <w:rPr>
          <w:rFonts w:hint="eastAsia"/>
          <w:szCs w:val="21"/>
        </w:rPr>
        <w:t>年1</w:t>
      </w:r>
      <w:r>
        <w:rPr>
          <w:szCs w:val="21"/>
        </w:rPr>
        <w:t>1</w:t>
      </w:r>
      <w:r>
        <w:rPr>
          <w:rFonts w:hint="eastAsia"/>
          <w:szCs w:val="21"/>
        </w:rPr>
        <w:t>月底前完成“无废城市”综合管理服务应用、</w:t>
      </w:r>
      <w:r>
        <w:rPr>
          <w:szCs w:val="21"/>
        </w:rPr>
        <w:t>一般工业固废管理</w:t>
      </w:r>
      <w:r>
        <w:rPr>
          <w:rFonts w:hint="eastAsia"/>
          <w:szCs w:val="21"/>
        </w:rPr>
        <w:t>、</w:t>
      </w:r>
      <w:r>
        <w:rPr>
          <w:szCs w:val="21"/>
        </w:rPr>
        <w:t>危险废物管理</w:t>
      </w:r>
      <w:r>
        <w:rPr>
          <w:rFonts w:hint="eastAsia"/>
          <w:szCs w:val="21"/>
        </w:rPr>
        <w:t>及医疗废物管理核心业务应用，2023年3月前完成定制化软件开发，2023年4月完成项目主体内容上线部署及初验，2023年5月完成试运行，2023年6月完成项目终验</w:t>
      </w:r>
      <w:r>
        <w:rPr>
          <w:szCs w:val="21"/>
        </w:rPr>
        <w:t>，项目通过验收后提供1年运维服务</w:t>
      </w:r>
      <w:r>
        <w:rPr>
          <w:rFonts w:hint="eastAsia"/>
          <w:szCs w:val="21"/>
        </w:rPr>
        <w:t>。</w:t>
      </w:r>
    </w:p>
    <w:p>
      <w:pPr>
        <w:widowControl/>
        <w:spacing w:before="75" w:after="75" w:line="360" w:lineRule="auto"/>
        <w:rPr>
          <w:b/>
          <w:color w:val="000000"/>
          <w:kern w:val="0"/>
          <w:szCs w:val="21"/>
        </w:rPr>
      </w:pPr>
      <w:r>
        <w:rPr>
          <w:kern w:val="0"/>
          <w:szCs w:val="21"/>
        </w:rPr>
        <w:t>本标项（</w:t>
      </w:r>
      <w:r>
        <w:rPr>
          <w:rFonts w:hint="eastAsia"/>
          <w:kern w:val="0"/>
          <w:szCs w:val="21"/>
        </w:rPr>
        <w:t>不</w:t>
      </w:r>
      <w:r>
        <w:rPr>
          <w:kern w:val="0"/>
          <w:szCs w:val="21"/>
        </w:rPr>
        <w:t>）接受联合体投标。</w:t>
      </w:r>
    </w:p>
    <w:p>
      <w:pPr>
        <w:widowControl/>
        <w:spacing w:before="75" w:after="75" w:line="360" w:lineRule="auto"/>
        <w:rPr>
          <w:b/>
          <w:color w:val="000000"/>
          <w:kern w:val="0"/>
          <w:szCs w:val="21"/>
        </w:rPr>
      </w:pPr>
      <w:r>
        <w:rPr>
          <w:b/>
          <w:bCs/>
          <w:color w:val="000000"/>
          <w:kern w:val="0"/>
          <w:szCs w:val="21"/>
        </w:rPr>
        <w:t>二、申请人的资格要求：</w:t>
      </w:r>
    </w:p>
    <w:p>
      <w:pPr>
        <w:widowControl/>
        <w:spacing w:before="75" w:after="75" w:line="360" w:lineRule="auto"/>
        <w:rPr>
          <w:b/>
          <w:color w:val="000000"/>
          <w:kern w:val="0"/>
          <w:szCs w:val="21"/>
        </w:rPr>
      </w:pPr>
      <w:r>
        <w:rPr>
          <w:color w:val="000000"/>
          <w:kern w:val="0"/>
          <w:szCs w:val="21"/>
        </w:rPr>
        <w:t>1.满足《中华人民共和国政府采购法》第二十二条规定；未被</w:t>
      </w:r>
      <w:r>
        <w:rPr>
          <w:rFonts w:hint="eastAsia"/>
          <w:color w:val="000000"/>
          <w:kern w:val="0"/>
          <w:szCs w:val="21"/>
        </w:rPr>
        <w:t>“</w:t>
      </w:r>
      <w:r>
        <w:rPr>
          <w:color w:val="000000"/>
          <w:kern w:val="0"/>
          <w:szCs w:val="21"/>
        </w:rPr>
        <w:t>信用中国</w:t>
      </w:r>
      <w:r>
        <w:rPr>
          <w:rFonts w:hint="eastAsia"/>
          <w:color w:val="000000"/>
          <w:kern w:val="0"/>
          <w:szCs w:val="21"/>
        </w:rPr>
        <w:t>”</w:t>
      </w:r>
      <w:r>
        <w:rPr>
          <w:color w:val="000000"/>
          <w:kern w:val="0"/>
          <w:szCs w:val="21"/>
        </w:rPr>
        <w:t>（www.creditchina.gov.cn)、</w:t>
      </w:r>
      <w:r>
        <w:rPr>
          <w:rFonts w:hint="eastAsia"/>
          <w:color w:val="000000"/>
          <w:kern w:val="0"/>
          <w:szCs w:val="21"/>
        </w:rPr>
        <w:t>“</w:t>
      </w:r>
      <w:r>
        <w:rPr>
          <w:color w:val="000000"/>
          <w:kern w:val="0"/>
          <w:szCs w:val="21"/>
        </w:rPr>
        <w:t>中国政府采购网</w:t>
      </w:r>
      <w:r>
        <w:rPr>
          <w:rFonts w:hint="eastAsia"/>
          <w:color w:val="000000"/>
          <w:kern w:val="0"/>
          <w:szCs w:val="21"/>
        </w:rPr>
        <w:t>”</w:t>
      </w:r>
      <w:r>
        <w:rPr>
          <w:color w:val="000000"/>
          <w:kern w:val="0"/>
          <w:szCs w:val="21"/>
        </w:rPr>
        <w:t>（www.ccgp.gov.cn）列入失信被执行人、</w:t>
      </w:r>
      <w:r>
        <w:rPr>
          <w:rFonts w:hint="eastAsia" w:ascii="宋体" w:hAnsi="宋体" w:cs="宋体"/>
          <w:szCs w:val="21"/>
          <w:lang w:val="zh-CN"/>
        </w:rPr>
        <w:t>重大税收违法案件当事人名单</w:t>
      </w:r>
      <w:r>
        <w:rPr>
          <w:color w:val="000000"/>
          <w:kern w:val="0"/>
          <w:szCs w:val="21"/>
        </w:rPr>
        <w:t>、政府采购严重违法失信行为记录名单。</w:t>
      </w:r>
    </w:p>
    <w:p>
      <w:pPr>
        <w:widowControl/>
        <w:spacing w:before="75" w:after="75" w:line="360" w:lineRule="auto"/>
        <w:rPr>
          <w:b/>
          <w:color w:val="000000"/>
          <w:kern w:val="0"/>
          <w:szCs w:val="21"/>
        </w:rPr>
      </w:pPr>
      <w:r>
        <w:rPr>
          <w:color w:val="000000"/>
          <w:kern w:val="0"/>
          <w:szCs w:val="21"/>
        </w:rPr>
        <w:t>2.落实政府采购政策需满足的资格要求：</w:t>
      </w:r>
      <w:r>
        <w:rPr>
          <w:rFonts w:hint="eastAsia"/>
          <w:color w:val="000000"/>
          <w:kern w:val="0"/>
          <w:szCs w:val="21"/>
        </w:rPr>
        <w:t>无</w:t>
      </w:r>
      <w:r>
        <w:rPr>
          <w:color w:val="000000"/>
          <w:kern w:val="0"/>
          <w:szCs w:val="21"/>
        </w:rPr>
        <w:t>。</w:t>
      </w:r>
    </w:p>
    <w:p>
      <w:pPr>
        <w:widowControl/>
        <w:spacing w:before="75" w:after="75" w:line="360" w:lineRule="auto"/>
        <w:rPr>
          <w:b/>
          <w:color w:val="000000"/>
          <w:kern w:val="0"/>
          <w:szCs w:val="21"/>
        </w:rPr>
      </w:pPr>
      <w:r>
        <w:rPr>
          <w:color w:val="000000"/>
          <w:kern w:val="0"/>
          <w:szCs w:val="21"/>
        </w:rPr>
        <w:t>3.本项目的特定资格要</w:t>
      </w:r>
      <w:r>
        <w:rPr>
          <w:kern w:val="0"/>
          <w:szCs w:val="21"/>
        </w:rPr>
        <w:t>求：</w:t>
      </w:r>
      <w:r>
        <w:rPr>
          <w:rFonts w:hint="eastAsia"/>
          <w:kern w:val="0"/>
          <w:szCs w:val="21"/>
        </w:rPr>
        <w:t>无</w:t>
      </w:r>
      <w:r>
        <w:rPr>
          <w:kern w:val="0"/>
          <w:szCs w:val="21"/>
        </w:rPr>
        <w:t>。</w:t>
      </w:r>
    </w:p>
    <w:p>
      <w:pPr>
        <w:widowControl/>
        <w:spacing w:before="75" w:after="75" w:line="360" w:lineRule="auto"/>
        <w:rPr>
          <w:b/>
          <w:color w:val="000000"/>
          <w:kern w:val="0"/>
          <w:szCs w:val="21"/>
        </w:rPr>
      </w:pPr>
      <w:r>
        <w:rPr>
          <w:b/>
          <w:bCs/>
          <w:color w:val="000000"/>
          <w:kern w:val="0"/>
          <w:szCs w:val="21"/>
        </w:rPr>
        <w:t>三、获取招标文件</w:t>
      </w:r>
    </w:p>
    <w:p>
      <w:pPr>
        <w:widowControl/>
        <w:spacing w:before="75" w:after="75" w:line="360" w:lineRule="auto"/>
        <w:rPr>
          <w:b/>
          <w:color w:val="000000"/>
          <w:kern w:val="0"/>
          <w:szCs w:val="21"/>
        </w:rPr>
      </w:pPr>
      <w:r>
        <w:rPr>
          <w:color w:val="000000"/>
          <w:kern w:val="0"/>
          <w:szCs w:val="21"/>
        </w:rPr>
        <w:t>时间：2022年</w:t>
      </w:r>
      <w:r>
        <w:rPr>
          <w:color w:val="FF0000"/>
          <w:kern w:val="0"/>
          <w:szCs w:val="21"/>
        </w:rPr>
        <w:t>0</w:t>
      </w:r>
      <w:r>
        <w:rPr>
          <w:rFonts w:hint="eastAsia"/>
          <w:color w:val="FF0000"/>
          <w:kern w:val="0"/>
          <w:szCs w:val="21"/>
        </w:rPr>
        <w:t>9</w:t>
      </w:r>
      <w:r>
        <w:rPr>
          <w:color w:val="FF0000"/>
          <w:kern w:val="0"/>
          <w:szCs w:val="21"/>
        </w:rPr>
        <w:t>月0</w:t>
      </w:r>
      <w:r>
        <w:rPr>
          <w:rFonts w:hint="eastAsia"/>
          <w:color w:val="FF0000"/>
          <w:kern w:val="0"/>
          <w:szCs w:val="21"/>
        </w:rPr>
        <w:t>2</w:t>
      </w:r>
      <w:r>
        <w:rPr>
          <w:color w:val="FF0000"/>
          <w:kern w:val="0"/>
          <w:szCs w:val="21"/>
        </w:rPr>
        <w:t>日</w:t>
      </w:r>
      <w:r>
        <w:rPr>
          <w:kern w:val="0"/>
          <w:szCs w:val="21"/>
        </w:rPr>
        <w:t>至2022年</w:t>
      </w:r>
      <w:r>
        <w:rPr>
          <w:color w:val="FF0000"/>
          <w:kern w:val="0"/>
          <w:szCs w:val="21"/>
        </w:rPr>
        <w:t>0</w:t>
      </w:r>
      <w:r>
        <w:rPr>
          <w:rFonts w:hint="eastAsia"/>
          <w:color w:val="FF0000"/>
          <w:kern w:val="0"/>
          <w:szCs w:val="21"/>
        </w:rPr>
        <w:t>9</w:t>
      </w:r>
      <w:r>
        <w:rPr>
          <w:color w:val="FF0000"/>
          <w:kern w:val="0"/>
          <w:szCs w:val="21"/>
        </w:rPr>
        <w:t>月0</w:t>
      </w:r>
      <w:r>
        <w:rPr>
          <w:rFonts w:hint="eastAsia"/>
          <w:color w:val="FF0000"/>
          <w:kern w:val="0"/>
          <w:szCs w:val="21"/>
        </w:rPr>
        <w:t>9</w:t>
      </w:r>
      <w:r>
        <w:rPr>
          <w:color w:val="FF0000"/>
          <w:kern w:val="0"/>
          <w:szCs w:val="21"/>
        </w:rPr>
        <w:t>日</w:t>
      </w:r>
      <w:r>
        <w:rPr>
          <w:color w:val="000000"/>
          <w:kern w:val="0"/>
          <w:szCs w:val="21"/>
        </w:rPr>
        <w:t>，每天上午00:00至12:00，下午12:00至23:59（北京时间，线上获取法定节假日均可，线下获取文件法定节假日除外</w:t>
      </w:r>
      <w:r>
        <w:rPr>
          <w:rFonts w:hint="eastAsia"/>
          <w:color w:val="000000"/>
          <w:kern w:val="0"/>
          <w:szCs w:val="21"/>
        </w:rPr>
        <w:t>。</w:t>
      </w:r>
      <w:r>
        <w:rPr>
          <w:color w:val="000000"/>
          <w:kern w:val="0"/>
          <w:szCs w:val="21"/>
        </w:rPr>
        <w:t>）</w:t>
      </w:r>
    </w:p>
    <w:p>
      <w:pPr>
        <w:widowControl/>
        <w:spacing w:before="75" w:after="75" w:line="360" w:lineRule="auto"/>
        <w:rPr>
          <w:b/>
          <w:color w:val="000000"/>
          <w:kern w:val="0"/>
          <w:szCs w:val="21"/>
        </w:rPr>
      </w:pPr>
      <w:r>
        <w:rPr>
          <w:color w:val="000000"/>
          <w:kern w:val="0"/>
          <w:szCs w:val="21"/>
        </w:rPr>
        <w:t>地点（网址）：</w:t>
      </w:r>
      <w:r>
        <w:rPr>
          <w:rFonts w:hint="eastAsia"/>
          <w:color w:val="000000"/>
          <w:kern w:val="0"/>
          <w:szCs w:val="21"/>
        </w:rPr>
        <w:t>政府采购云平台（www.zcygov.cn）</w:t>
      </w:r>
    </w:p>
    <w:p>
      <w:pPr>
        <w:widowControl/>
        <w:spacing w:before="75" w:after="75" w:line="360" w:lineRule="auto"/>
        <w:rPr>
          <w:b/>
          <w:color w:val="000000"/>
          <w:kern w:val="0"/>
          <w:szCs w:val="21"/>
        </w:rPr>
      </w:pPr>
      <w:r>
        <w:rPr>
          <w:color w:val="000000"/>
          <w:kern w:val="0"/>
          <w:szCs w:val="21"/>
        </w:rPr>
        <w:t>方式：在线获取1.本项目采购文件实行“政府采购云平台”在线获取，不提供采购文件纸质版。供应商获取采购文件前应先完成“政府采购云平台”的账号注册；2.潜在供应商登录政采云平台，在线申请获取采购文件（进入“项目采购”应用，在获取采购文件菜单中选择项目，申请获取采购文件；3.招标公告附件内的采购文件仅供阅览使用，投标人只有在“政府采购云平台”完成获取采购文件申请并下载了采购文件后才视作依法获取采购文件（法律法规所指的供应商获取采购文件时间以供应商完成获取采购文件申请后下载采购文件的时间为准）。注：请投标人按上述要求获取采购文件，如未在“政采云”系统内完成相关流程，引起的投标无效责任自负。</w:t>
      </w:r>
    </w:p>
    <w:p>
      <w:pPr>
        <w:widowControl/>
        <w:spacing w:before="75" w:after="75" w:line="360" w:lineRule="auto"/>
        <w:rPr>
          <w:b/>
          <w:color w:val="000000"/>
          <w:kern w:val="0"/>
          <w:szCs w:val="21"/>
        </w:rPr>
      </w:pPr>
      <w:r>
        <w:rPr>
          <w:color w:val="000000"/>
          <w:kern w:val="0"/>
          <w:szCs w:val="21"/>
        </w:rPr>
        <w:t>售价（元）：0</w:t>
      </w:r>
    </w:p>
    <w:p>
      <w:pPr>
        <w:widowControl/>
        <w:spacing w:before="75" w:after="75" w:line="360" w:lineRule="auto"/>
        <w:rPr>
          <w:b/>
          <w:color w:val="000000"/>
          <w:kern w:val="0"/>
          <w:szCs w:val="21"/>
        </w:rPr>
      </w:pPr>
      <w:r>
        <w:rPr>
          <w:b/>
          <w:bCs/>
          <w:color w:val="000000"/>
          <w:kern w:val="0"/>
          <w:szCs w:val="21"/>
        </w:rPr>
        <w:t>四、提交投标文件截止时间、开标时间和地点</w:t>
      </w:r>
    </w:p>
    <w:p>
      <w:pPr>
        <w:widowControl/>
        <w:spacing w:before="75" w:after="75" w:line="360" w:lineRule="auto"/>
        <w:rPr>
          <w:b/>
          <w:color w:val="000000"/>
          <w:kern w:val="0"/>
          <w:szCs w:val="21"/>
        </w:rPr>
      </w:pPr>
      <w:r>
        <w:rPr>
          <w:color w:val="000000"/>
          <w:kern w:val="0"/>
          <w:szCs w:val="21"/>
        </w:rPr>
        <w:t>提交投标文件截止时间：</w:t>
      </w:r>
      <w:r>
        <w:rPr>
          <w:kern w:val="0"/>
          <w:szCs w:val="21"/>
        </w:rPr>
        <w:t>2022年</w:t>
      </w:r>
      <w:r>
        <w:rPr>
          <w:color w:val="FF0000"/>
          <w:kern w:val="0"/>
          <w:szCs w:val="21"/>
        </w:rPr>
        <w:t>0</w:t>
      </w:r>
      <w:r>
        <w:rPr>
          <w:rFonts w:hint="eastAsia"/>
          <w:color w:val="FF0000"/>
          <w:kern w:val="0"/>
          <w:szCs w:val="21"/>
        </w:rPr>
        <w:t>9</w:t>
      </w:r>
      <w:r>
        <w:rPr>
          <w:color w:val="FF0000"/>
          <w:kern w:val="0"/>
          <w:szCs w:val="21"/>
        </w:rPr>
        <w:t>月</w:t>
      </w:r>
      <w:r>
        <w:rPr>
          <w:rFonts w:hint="eastAsia"/>
          <w:color w:val="FF0000"/>
          <w:kern w:val="0"/>
          <w:szCs w:val="21"/>
        </w:rPr>
        <w:t>22</w:t>
      </w:r>
      <w:r>
        <w:rPr>
          <w:color w:val="FF0000"/>
          <w:kern w:val="0"/>
          <w:szCs w:val="21"/>
        </w:rPr>
        <w:t>日</w:t>
      </w:r>
      <w:r>
        <w:rPr>
          <w:kern w:val="0"/>
          <w:szCs w:val="21"/>
        </w:rPr>
        <w:t>09:00</w:t>
      </w:r>
      <w:r>
        <w:rPr>
          <w:color w:val="000000"/>
          <w:kern w:val="0"/>
          <w:szCs w:val="21"/>
        </w:rPr>
        <w:t>（北京时间）</w:t>
      </w:r>
    </w:p>
    <w:p>
      <w:pPr>
        <w:widowControl/>
        <w:spacing w:before="75" w:after="75" w:line="360" w:lineRule="auto"/>
        <w:rPr>
          <w:b/>
          <w:color w:val="000000"/>
          <w:kern w:val="0"/>
          <w:szCs w:val="21"/>
        </w:rPr>
      </w:pPr>
      <w:r>
        <w:rPr>
          <w:color w:val="000000"/>
          <w:kern w:val="0"/>
          <w:szCs w:val="21"/>
        </w:rPr>
        <w:t>投标地点（网址）：本项目通过“</w:t>
      </w:r>
      <w:r>
        <w:rPr>
          <w:rFonts w:hint="eastAsia"/>
          <w:color w:val="000000"/>
          <w:kern w:val="0"/>
          <w:szCs w:val="21"/>
        </w:rPr>
        <w:t>政府采购云平台（www.zcygov.cn）</w:t>
      </w:r>
      <w:r>
        <w:rPr>
          <w:color w:val="000000"/>
          <w:kern w:val="0"/>
          <w:szCs w:val="21"/>
        </w:rPr>
        <w:t>”实行在线制作并提交投标文件（电子投标）；供应商应于上述时间前将电子投标文件上传到政府采购云平台，未上传电子投标文件，视为供应商放弃投标。备份文件邮寄（以签收时间为准）（邮寄地址：宁波市环城西路北段225号真如中心15楼浙江中创招投标有限公司业务部周俊辉0574-87179087）或现场递交宁波市环城西路北段225号真如中心15楼浙江中创招投标有限公司开标室</w:t>
      </w:r>
      <w:r>
        <w:rPr>
          <w:rFonts w:hint="eastAsia"/>
          <w:color w:val="000000"/>
          <w:kern w:val="0"/>
          <w:szCs w:val="21"/>
        </w:rPr>
        <w:t>。</w:t>
      </w:r>
    </w:p>
    <w:p>
      <w:pPr>
        <w:widowControl/>
        <w:spacing w:before="75" w:after="75" w:line="360" w:lineRule="auto"/>
        <w:rPr>
          <w:b/>
          <w:color w:val="000000"/>
          <w:kern w:val="0"/>
          <w:szCs w:val="21"/>
        </w:rPr>
      </w:pPr>
      <w:r>
        <w:rPr>
          <w:color w:val="000000"/>
          <w:kern w:val="0"/>
          <w:szCs w:val="21"/>
        </w:rPr>
        <w:t>开标时间：</w:t>
      </w:r>
      <w:r>
        <w:rPr>
          <w:kern w:val="0"/>
          <w:szCs w:val="21"/>
        </w:rPr>
        <w:t>2022年</w:t>
      </w:r>
      <w:r>
        <w:rPr>
          <w:color w:val="FF0000"/>
          <w:kern w:val="0"/>
          <w:szCs w:val="21"/>
        </w:rPr>
        <w:t>0</w:t>
      </w:r>
      <w:r>
        <w:rPr>
          <w:rFonts w:hint="eastAsia"/>
          <w:color w:val="FF0000"/>
          <w:kern w:val="0"/>
          <w:szCs w:val="21"/>
        </w:rPr>
        <w:t>9</w:t>
      </w:r>
      <w:r>
        <w:rPr>
          <w:color w:val="FF0000"/>
          <w:kern w:val="0"/>
          <w:szCs w:val="21"/>
        </w:rPr>
        <w:t>月</w:t>
      </w:r>
      <w:r>
        <w:rPr>
          <w:rFonts w:hint="eastAsia"/>
          <w:color w:val="FF0000"/>
          <w:kern w:val="0"/>
          <w:szCs w:val="21"/>
        </w:rPr>
        <w:t>22</w:t>
      </w:r>
      <w:r>
        <w:rPr>
          <w:color w:val="FF0000"/>
          <w:kern w:val="0"/>
          <w:szCs w:val="21"/>
        </w:rPr>
        <w:t>日</w:t>
      </w:r>
      <w:r>
        <w:rPr>
          <w:kern w:val="0"/>
          <w:szCs w:val="21"/>
        </w:rPr>
        <w:t>09:00</w:t>
      </w:r>
      <w:r>
        <w:rPr>
          <w:color w:val="000000"/>
          <w:kern w:val="0"/>
          <w:szCs w:val="21"/>
        </w:rPr>
        <w:t>（北京时间）</w:t>
      </w:r>
    </w:p>
    <w:p>
      <w:pPr>
        <w:widowControl/>
        <w:spacing w:before="75" w:after="75" w:line="360" w:lineRule="auto"/>
        <w:rPr>
          <w:b/>
          <w:color w:val="000000"/>
          <w:kern w:val="0"/>
          <w:szCs w:val="21"/>
        </w:rPr>
      </w:pPr>
      <w:r>
        <w:rPr>
          <w:color w:val="000000"/>
          <w:kern w:val="0"/>
          <w:szCs w:val="21"/>
        </w:rPr>
        <w:t>开标地点（网址）：浙江中创招投标有限公司1503A开标室（宁波市环城西路北段225号真如中心15楼）。供应商如提供备份投标文件的，应于提交投标文件递交截止时间前，将以U盘存储的电子备份投标文件和纸质备份投标文件分别密封，递交至上述地点，逾期送达或未密封将予以拒收。供应商仅提供备份投标文件（包括以U盘存储的电子备份投标文件或纸质备份投标文件）的，投标无效。采购代理机构将在采购文件规定的开标时间通过政府采购云平台组织开标、开启投标文件，所有供应商均应准时在线参加。开标时间后30分钟内供应商可以登录</w:t>
      </w:r>
      <w:r>
        <w:rPr>
          <w:rFonts w:hint="eastAsia"/>
          <w:color w:val="000000"/>
          <w:kern w:val="0"/>
          <w:szCs w:val="21"/>
        </w:rPr>
        <w:t>政府采购云平台（www.zcygov.cn）</w:t>
      </w:r>
      <w:r>
        <w:rPr>
          <w:color w:val="000000"/>
          <w:kern w:val="0"/>
          <w:szCs w:val="21"/>
        </w:rPr>
        <w:t>，用“项目采购-开标评标”功能进行解密投标文件。</w:t>
      </w:r>
    </w:p>
    <w:p>
      <w:pPr>
        <w:widowControl/>
        <w:spacing w:before="75" w:after="75" w:line="360" w:lineRule="auto"/>
        <w:rPr>
          <w:b/>
          <w:color w:val="000000"/>
          <w:kern w:val="0"/>
          <w:szCs w:val="21"/>
        </w:rPr>
      </w:pPr>
      <w:r>
        <w:rPr>
          <w:b/>
          <w:bCs/>
          <w:color w:val="000000"/>
          <w:kern w:val="0"/>
          <w:szCs w:val="21"/>
        </w:rPr>
        <w:t>五、公告期限</w:t>
      </w:r>
    </w:p>
    <w:p>
      <w:pPr>
        <w:widowControl/>
        <w:spacing w:before="75" w:after="75" w:line="360" w:lineRule="auto"/>
        <w:rPr>
          <w:b/>
          <w:color w:val="000000"/>
          <w:kern w:val="0"/>
          <w:szCs w:val="21"/>
        </w:rPr>
      </w:pPr>
      <w:r>
        <w:rPr>
          <w:color w:val="000000"/>
          <w:kern w:val="0"/>
          <w:szCs w:val="21"/>
        </w:rPr>
        <w:t>自本公告发布之日起5个工作日。</w:t>
      </w:r>
    </w:p>
    <w:p>
      <w:pPr>
        <w:widowControl/>
        <w:spacing w:before="75" w:after="75" w:line="360" w:lineRule="auto"/>
        <w:rPr>
          <w:b/>
          <w:color w:val="000000"/>
          <w:kern w:val="0"/>
          <w:szCs w:val="21"/>
        </w:rPr>
      </w:pPr>
      <w:r>
        <w:rPr>
          <w:b/>
          <w:bCs/>
          <w:color w:val="000000"/>
          <w:kern w:val="0"/>
          <w:szCs w:val="21"/>
        </w:rPr>
        <w:t>六、其他补充事宜</w:t>
      </w:r>
    </w:p>
    <w:p>
      <w:pPr>
        <w:widowControl/>
        <w:spacing w:before="75" w:after="75" w:line="360" w:lineRule="auto"/>
        <w:rPr>
          <w:b/>
          <w:color w:val="000000"/>
          <w:kern w:val="0"/>
          <w:szCs w:val="21"/>
        </w:rPr>
      </w:pPr>
      <w:r>
        <w:rPr>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75" w:after="75" w:line="360" w:lineRule="auto"/>
        <w:rPr>
          <w:b/>
          <w:color w:val="000000"/>
          <w:kern w:val="0"/>
          <w:szCs w:val="21"/>
        </w:rPr>
      </w:pPr>
      <w:r>
        <w:rPr>
          <w:color w:val="000000"/>
          <w:kern w:val="0"/>
          <w:szCs w:val="21"/>
        </w:rPr>
        <w:t>2.其他事项：2.1供应商应于</w:t>
      </w:r>
      <w:r>
        <w:rPr>
          <w:kern w:val="0"/>
          <w:szCs w:val="21"/>
        </w:rPr>
        <w:t>2022年</w:t>
      </w:r>
      <w:r>
        <w:rPr>
          <w:color w:val="FF0000"/>
          <w:kern w:val="0"/>
          <w:szCs w:val="21"/>
        </w:rPr>
        <w:t>0</w:t>
      </w:r>
      <w:r>
        <w:rPr>
          <w:rFonts w:hint="eastAsia"/>
          <w:color w:val="FF0000"/>
          <w:kern w:val="0"/>
          <w:szCs w:val="21"/>
        </w:rPr>
        <w:t>9</w:t>
      </w:r>
      <w:r>
        <w:rPr>
          <w:color w:val="FF0000"/>
          <w:kern w:val="0"/>
          <w:szCs w:val="21"/>
        </w:rPr>
        <w:t>月</w:t>
      </w:r>
      <w:r>
        <w:rPr>
          <w:rFonts w:hint="eastAsia"/>
          <w:color w:val="FF0000"/>
          <w:kern w:val="0"/>
          <w:szCs w:val="21"/>
        </w:rPr>
        <w:t>22</w:t>
      </w:r>
      <w:r>
        <w:rPr>
          <w:color w:val="FF0000"/>
          <w:kern w:val="0"/>
          <w:szCs w:val="21"/>
        </w:rPr>
        <w:t>日</w:t>
      </w:r>
      <w:r>
        <w:rPr>
          <w:kern w:val="0"/>
          <w:szCs w:val="21"/>
        </w:rPr>
        <w:t>09:00</w:t>
      </w:r>
      <w:r>
        <w:rPr>
          <w:color w:val="000000"/>
          <w:kern w:val="0"/>
          <w:szCs w:val="21"/>
        </w:rPr>
        <w:t>（北京时间）前将电子投标文件上传到</w:t>
      </w:r>
      <w:r>
        <w:rPr>
          <w:rFonts w:hint="eastAsia"/>
          <w:color w:val="000000"/>
          <w:kern w:val="0"/>
          <w:szCs w:val="21"/>
        </w:rPr>
        <w:t>政府采购云平台（www.zcygov.cn）</w:t>
      </w:r>
      <w:r>
        <w:rPr>
          <w:color w:val="000000"/>
          <w:kern w:val="0"/>
          <w:szCs w:val="21"/>
        </w:rPr>
        <w:t>，逾期或未成功上传电子投标文件，视为供应商放弃投标。2.2采用邮寄方式递交电子备份投标文件和纸质备份投标文件的，请留足邮寄时间，递交时间以邮寄签收时间为准，</w:t>
      </w:r>
      <w:r>
        <w:rPr>
          <w:kern w:val="0"/>
          <w:szCs w:val="21"/>
        </w:rPr>
        <w:t>2022年</w:t>
      </w:r>
      <w:r>
        <w:rPr>
          <w:color w:val="FF0000"/>
          <w:kern w:val="0"/>
          <w:szCs w:val="21"/>
        </w:rPr>
        <w:t>0</w:t>
      </w:r>
      <w:r>
        <w:rPr>
          <w:rFonts w:hint="eastAsia"/>
          <w:color w:val="FF0000"/>
          <w:kern w:val="0"/>
          <w:szCs w:val="21"/>
        </w:rPr>
        <w:t>9</w:t>
      </w:r>
      <w:r>
        <w:rPr>
          <w:color w:val="FF0000"/>
          <w:kern w:val="0"/>
          <w:szCs w:val="21"/>
        </w:rPr>
        <w:t>月</w:t>
      </w:r>
      <w:r>
        <w:rPr>
          <w:rFonts w:hint="eastAsia"/>
          <w:color w:val="FF0000"/>
          <w:kern w:val="0"/>
          <w:szCs w:val="21"/>
        </w:rPr>
        <w:t>22</w:t>
      </w:r>
      <w:r>
        <w:rPr>
          <w:color w:val="FF0000"/>
          <w:kern w:val="0"/>
          <w:szCs w:val="21"/>
        </w:rPr>
        <w:t>日</w:t>
      </w:r>
      <w:r>
        <w:rPr>
          <w:kern w:val="0"/>
          <w:szCs w:val="21"/>
        </w:rPr>
        <w:t>09:00</w:t>
      </w:r>
      <w:r>
        <w:rPr>
          <w:rFonts w:hint="eastAsia"/>
          <w:color w:val="000000"/>
          <w:kern w:val="0"/>
          <w:szCs w:val="21"/>
        </w:rPr>
        <w:t>（</w:t>
      </w:r>
      <w:r>
        <w:rPr>
          <w:color w:val="000000"/>
          <w:kern w:val="0"/>
          <w:szCs w:val="21"/>
        </w:rPr>
        <w:t>北京时间</w:t>
      </w:r>
      <w:r>
        <w:rPr>
          <w:rFonts w:hint="eastAsia"/>
          <w:color w:val="000000"/>
          <w:kern w:val="0"/>
          <w:szCs w:val="21"/>
        </w:rPr>
        <w:t>）</w:t>
      </w:r>
      <w:r>
        <w:rPr>
          <w:color w:val="000000"/>
          <w:kern w:val="0"/>
          <w:szCs w:val="21"/>
        </w:rPr>
        <w:t>前邮寄至本公告第四条所述采购代理机构处。投标人邮寄后请电话或电子邮箱（tender06@126.com）提供邮寄信息给采购代理机构，以便及时确认送达情况。邮寄延误送达或未密封将予以拒收，采购代理机构无责确保文件及时接收，相关责任与后果全部由投标人自行承担。2.3采用现场递交电子备份投标文件或纸质备份投标文件，投标人代表于</w:t>
      </w:r>
      <w:r>
        <w:rPr>
          <w:kern w:val="0"/>
          <w:szCs w:val="21"/>
        </w:rPr>
        <w:t>2022年</w:t>
      </w:r>
      <w:r>
        <w:rPr>
          <w:color w:val="FF0000"/>
          <w:kern w:val="0"/>
          <w:szCs w:val="21"/>
        </w:rPr>
        <w:t>0</w:t>
      </w:r>
      <w:r>
        <w:rPr>
          <w:rFonts w:hint="eastAsia"/>
          <w:color w:val="FF0000"/>
          <w:kern w:val="0"/>
          <w:szCs w:val="21"/>
        </w:rPr>
        <w:t>9</w:t>
      </w:r>
      <w:r>
        <w:rPr>
          <w:color w:val="FF0000"/>
          <w:kern w:val="0"/>
          <w:szCs w:val="21"/>
        </w:rPr>
        <w:t>月</w:t>
      </w:r>
      <w:r>
        <w:rPr>
          <w:rFonts w:hint="eastAsia"/>
          <w:color w:val="FF0000"/>
          <w:kern w:val="0"/>
          <w:szCs w:val="21"/>
        </w:rPr>
        <w:t>22</w:t>
      </w:r>
      <w:r>
        <w:rPr>
          <w:color w:val="FF0000"/>
          <w:kern w:val="0"/>
          <w:szCs w:val="21"/>
        </w:rPr>
        <w:t>日</w:t>
      </w:r>
      <w:r>
        <w:rPr>
          <w:kern w:val="0"/>
          <w:szCs w:val="21"/>
        </w:rPr>
        <w:t>09:00</w:t>
      </w:r>
      <w:r>
        <w:rPr>
          <w:color w:val="000000"/>
          <w:kern w:val="0"/>
          <w:szCs w:val="21"/>
        </w:rPr>
        <w:t>（北京时间）前需持绿色“通行码（或健康码）”、佩戴口罩且体温测量正常（以开标当日测量体温为准）后方可进行开标现场（宁波市环城西路北段225号真如中心15楼浙江中创招投标有限公司开标室）递交投标文件，原则上每家投标单位可派一名投标人代表参加开标会议，且参与现场开标活动的人员应严格遵守防疫规定，自觉遵守和服从交易现场管理。电子备份投标文件和纸质备份投标文件需分别密封，逾期送达或未密封的将予以拒收。（提醒事项：疫情期间，投标人须考虑委派人员是否符合地方及交易现场防疫相关规定，如因不符合规定导致无法参与开标活动而产生的相关责任与后果全部由投标人自行承担。）2.4供应商仅提供备份投标文件的，但未在投标截止时间前成功上传电子加密投标文件者，其全部投标文件无效。2.5特别说明：（1）“电子备份投标文件”应为投标人通过“政采云”系统生成的本项目“电子加密投标文件”对应的数据电文形式的电子文件并以介质存储的方式（U盘）（以下简称电子备份投标文件），该“电子备份投标文件”只有在投标人成功上传“电子加密投标文件”，但无法读取时或在解密时间内无法解密或解密失败时，方可调用“电子备份投标文件”，否则不予调用电子备份投标文件。电子备份投标文件损坏、格式不符等致使异常情况处理失败的责任由投标人自行承担。（2）“纸质备份投标文件”应为本项目“电子加密投标文件”的打印件，该“纸质备份投标文件”只有当电子评标无法正常进行时，即转为线下评标时方可调用。若在此种情况下，由于投标人未提供或未在截止时间前提供“纸质备份投标文件”而导致该投标人作投标无效处理等后果由投标人自行承担。（3）采购代理机构将在采购文件规定的时间通过政府采购云平台组织开标、开启投标文件，所有供应商均应准时在线参加。开标时间后30分钟内（</w:t>
      </w:r>
      <w:r>
        <w:rPr>
          <w:kern w:val="0"/>
          <w:szCs w:val="21"/>
        </w:rPr>
        <w:t>2022年</w:t>
      </w:r>
      <w:r>
        <w:rPr>
          <w:color w:val="FF0000"/>
          <w:kern w:val="0"/>
          <w:szCs w:val="21"/>
        </w:rPr>
        <w:t>0</w:t>
      </w:r>
      <w:r>
        <w:rPr>
          <w:rFonts w:hint="eastAsia"/>
          <w:color w:val="FF0000"/>
          <w:kern w:val="0"/>
          <w:szCs w:val="21"/>
        </w:rPr>
        <w:t>9</w:t>
      </w:r>
      <w:r>
        <w:rPr>
          <w:color w:val="FF0000"/>
          <w:kern w:val="0"/>
          <w:szCs w:val="21"/>
        </w:rPr>
        <w:t>月</w:t>
      </w:r>
      <w:r>
        <w:rPr>
          <w:rFonts w:hint="eastAsia"/>
          <w:color w:val="FF0000"/>
          <w:kern w:val="0"/>
          <w:szCs w:val="21"/>
        </w:rPr>
        <w:t>22</w:t>
      </w:r>
      <w:r>
        <w:rPr>
          <w:color w:val="FF0000"/>
          <w:kern w:val="0"/>
          <w:szCs w:val="21"/>
        </w:rPr>
        <w:t>日</w:t>
      </w:r>
      <w:r>
        <w:rPr>
          <w:kern w:val="0"/>
          <w:szCs w:val="21"/>
        </w:rPr>
        <w:t>09:30</w:t>
      </w:r>
      <w:r>
        <w:rPr>
          <w:color w:val="000000"/>
          <w:kern w:val="0"/>
          <w:szCs w:val="21"/>
        </w:rPr>
        <w:t>前）供应商可以登录</w:t>
      </w:r>
      <w:r>
        <w:rPr>
          <w:rFonts w:hint="eastAsia"/>
          <w:color w:val="000000"/>
          <w:kern w:val="0"/>
          <w:szCs w:val="21"/>
        </w:rPr>
        <w:t>政府采购云平台（www.zcygov.cn）</w:t>
      </w:r>
      <w:r>
        <w:rPr>
          <w:color w:val="000000"/>
          <w:kern w:val="0"/>
          <w:szCs w:val="21"/>
        </w:rPr>
        <w:t>，用“项目采购-开标评标”功能进行解密投标文件。若供应商在规定时间内（</w:t>
      </w:r>
      <w:r>
        <w:rPr>
          <w:kern w:val="0"/>
          <w:szCs w:val="21"/>
        </w:rPr>
        <w:t>2022年</w:t>
      </w:r>
      <w:r>
        <w:rPr>
          <w:color w:val="FF0000"/>
          <w:kern w:val="0"/>
          <w:szCs w:val="21"/>
        </w:rPr>
        <w:t>0</w:t>
      </w:r>
      <w:r>
        <w:rPr>
          <w:rFonts w:hint="eastAsia"/>
          <w:color w:val="FF0000"/>
          <w:kern w:val="0"/>
          <w:szCs w:val="21"/>
        </w:rPr>
        <w:t>9</w:t>
      </w:r>
      <w:r>
        <w:rPr>
          <w:color w:val="FF0000"/>
          <w:kern w:val="0"/>
          <w:szCs w:val="21"/>
        </w:rPr>
        <w:t>月</w:t>
      </w:r>
      <w:r>
        <w:rPr>
          <w:rFonts w:hint="eastAsia"/>
          <w:color w:val="FF0000"/>
          <w:kern w:val="0"/>
          <w:szCs w:val="21"/>
        </w:rPr>
        <w:t>22</w:t>
      </w:r>
      <w:r>
        <w:rPr>
          <w:color w:val="FF0000"/>
          <w:kern w:val="0"/>
          <w:szCs w:val="21"/>
        </w:rPr>
        <w:t>日</w:t>
      </w:r>
      <w:r>
        <w:rPr>
          <w:kern w:val="0"/>
          <w:szCs w:val="21"/>
        </w:rPr>
        <w:t>09:30</w:t>
      </w:r>
      <w:r>
        <w:rPr>
          <w:color w:val="000000"/>
          <w:kern w:val="0"/>
          <w:szCs w:val="21"/>
        </w:rPr>
        <w:t>前）无法解密或解密失败，可使用电子备份投标文件进行电子评标，如果备份投标文件扔无法使用则开启纸质备份投标文件进行线下评标，而采用纸质投标文件线下评审程序时，供应商在投标截止时间前未提交纸质备份投标文件的，视为供应商放弃投标。2.6本项目实行网上投标，采用电子投标文件。若供应商参与投标，自行承担投标一切费用。2.7标前准备：各供应商应在开标前确保成为浙江政府采购网正式注册入库供应商，并完成CA数字证书办理。因未注册入库、未办理CA数字证书等原因造成无法投标或投标失败等后果由供应商自行承担。CA数字证书相关操作可参考“浙江政府采购网-下载专区-电子交易客户端-CA驱动和申领流程”。2.8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下载网址：http://zfcg.czt.zj.gov.cn/bidClientTemplate/2019-05-27/12946.html），投标文件制作具体流程详见政府采购云平台“供应商-政府采购项目电子交易操作指南”（https://help.zcygov.cn/web/site_2/2018/12-28/2573.html）。（3）以U盘存储的电子备份投标文件1份，按政府采购云平台要求制作的电子备份文件，以用于异常情况处理。（4）本项目供应商应同时提供纸质备份投标文件。当电子开评标无法正常进行时，即转为线下评标。若在此种情况下，由于供应商未提交纸质备份投标文件而导致该供应商放弃投标，由供应商自行承担。2.9落实的政策：《关于促进残疾人就业政府采购政策的通知》（财库[2017]141号）、《政府采购促进中小企业发展管理办法》（财库〔2020〕46号）、《关于政府采购支持监狱企业发展有关问题的通知》(财库[2014]68号)。2.10本次政府采购活动有关信息在“浙江政府采购网（http://zfcg.czt.zj.gov.cn/）”、“宁波市政府采购网（www.nbzfcg.cn）”网站上公布，公布信息视同送达所有潜在投标人。</w:t>
      </w:r>
    </w:p>
    <w:p>
      <w:pPr>
        <w:widowControl/>
        <w:spacing w:before="75" w:after="75" w:line="360" w:lineRule="auto"/>
        <w:rPr>
          <w:b/>
          <w:color w:val="000000"/>
          <w:kern w:val="0"/>
          <w:szCs w:val="21"/>
        </w:rPr>
      </w:pPr>
      <w:r>
        <w:rPr>
          <w:b/>
          <w:bCs/>
          <w:color w:val="000000"/>
          <w:kern w:val="0"/>
          <w:szCs w:val="21"/>
        </w:rPr>
        <w:t>七、对本次采购提出询问、质疑、投诉，请按以下方式联系</w:t>
      </w:r>
    </w:p>
    <w:p>
      <w:pPr>
        <w:widowControl/>
        <w:spacing w:before="75" w:after="75" w:line="360" w:lineRule="auto"/>
        <w:rPr>
          <w:b/>
          <w:color w:val="000000"/>
          <w:kern w:val="0"/>
          <w:szCs w:val="21"/>
        </w:rPr>
      </w:pPr>
      <w:r>
        <w:rPr>
          <w:color w:val="000000"/>
          <w:kern w:val="0"/>
          <w:szCs w:val="21"/>
        </w:rPr>
        <w:t>1.采购人信息</w:t>
      </w:r>
    </w:p>
    <w:p>
      <w:pPr>
        <w:widowControl/>
        <w:spacing w:before="75" w:after="75" w:line="360" w:lineRule="auto"/>
        <w:rPr>
          <w:b/>
          <w:color w:val="000000"/>
          <w:kern w:val="0"/>
          <w:szCs w:val="21"/>
        </w:rPr>
      </w:pPr>
      <w:r>
        <w:rPr>
          <w:color w:val="000000"/>
          <w:kern w:val="0"/>
          <w:szCs w:val="21"/>
        </w:rPr>
        <w:t>名称：宁波市生态环境局</w:t>
      </w:r>
    </w:p>
    <w:p>
      <w:pPr>
        <w:widowControl/>
        <w:spacing w:before="75" w:after="75" w:line="360" w:lineRule="auto"/>
        <w:rPr>
          <w:b/>
          <w:color w:val="000000"/>
          <w:kern w:val="0"/>
          <w:szCs w:val="21"/>
        </w:rPr>
      </w:pPr>
      <w:r>
        <w:rPr>
          <w:color w:val="000000"/>
          <w:kern w:val="0"/>
          <w:szCs w:val="21"/>
        </w:rPr>
        <w:t>地址：</w:t>
      </w:r>
      <w:r>
        <w:rPr>
          <w:szCs w:val="21"/>
        </w:rPr>
        <w:t>宁波市柳汀街545号</w:t>
      </w:r>
    </w:p>
    <w:p>
      <w:pPr>
        <w:widowControl/>
        <w:spacing w:before="75" w:after="75" w:line="360" w:lineRule="auto"/>
        <w:rPr>
          <w:b/>
          <w:color w:val="000000"/>
          <w:kern w:val="0"/>
          <w:szCs w:val="21"/>
        </w:rPr>
      </w:pPr>
      <w:r>
        <w:rPr>
          <w:color w:val="000000"/>
          <w:kern w:val="0"/>
          <w:szCs w:val="21"/>
        </w:rPr>
        <w:t>传真：/</w:t>
      </w:r>
    </w:p>
    <w:p>
      <w:pPr>
        <w:widowControl/>
        <w:spacing w:before="75" w:after="75" w:line="360" w:lineRule="auto"/>
        <w:rPr>
          <w:b/>
          <w:kern w:val="0"/>
          <w:szCs w:val="21"/>
        </w:rPr>
      </w:pPr>
      <w:r>
        <w:rPr>
          <w:kern w:val="0"/>
          <w:szCs w:val="21"/>
        </w:rPr>
        <w:t>项目联系人（询问）：邹老师</w:t>
      </w:r>
    </w:p>
    <w:p>
      <w:pPr>
        <w:widowControl/>
        <w:spacing w:before="75" w:after="75" w:line="360" w:lineRule="auto"/>
        <w:rPr>
          <w:b/>
          <w:kern w:val="0"/>
          <w:szCs w:val="21"/>
        </w:rPr>
      </w:pPr>
      <w:r>
        <w:rPr>
          <w:kern w:val="0"/>
          <w:szCs w:val="21"/>
        </w:rPr>
        <w:t>项目联系方式（询问）：</w:t>
      </w:r>
      <w:r>
        <w:rPr>
          <w:rFonts w:hint="eastAsia"/>
          <w:kern w:val="0"/>
          <w:szCs w:val="21"/>
        </w:rPr>
        <w:t>0574-87169914</w:t>
      </w:r>
    </w:p>
    <w:p>
      <w:pPr>
        <w:widowControl/>
        <w:spacing w:before="75" w:after="75" w:line="360" w:lineRule="auto"/>
        <w:rPr>
          <w:b/>
          <w:kern w:val="0"/>
          <w:szCs w:val="21"/>
        </w:rPr>
      </w:pPr>
      <w:r>
        <w:rPr>
          <w:kern w:val="0"/>
          <w:szCs w:val="21"/>
        </w:rPr>
        <w:t>质疑联系人：</w:t>
      </w:r>
      <w:r>
        <w:rPr>
          <w:rFonts w:hint="eastAsia"/>
          <w:szCs w:val="21"/>
        </w:rPr>
        <w:t>王老师</w:t>
      </w:r>
    </w:p>
    <w:p>
      <w:pPr>
        <w:widowControl/>
        <w:spacing w:before="75" w:after="75" w:line="360" w:lineRule="auto"/>
        <w:rPr>
          <w:b/>
          <w:kern w:val="0"/>
          <w:szCs w:val="21"/>
        </w:rPr>
      </w:pPr>
      <w:r>
        <w:rPr>
          <w:kern w:val="0"/>
          <w:szCs w:val="21"/>
        </w:rPr>
        <w:t>质疑联系方式：</w:t>
      </w:r>
      <w:r>
        <w:rPr>
          <w:szCs w:val="21"/>
        </w:rPr>
        <w:t>0574-87259944</w:t>
      </w:r>
    </w:p>
    <w:p>
      <w:pPr>
        <w:widowControl/>
        <w:spacing w:before="75" w:after="75" w:line="360" w:lineRule="auto"/>
        <w:rPr>
          <w:b/>
          <w:color w:val="000000"/>
          <w:kern w:val="0"/>
          <w:szCs w:val="21"/>
        </w:rPr>
      </w:pPr>
      <w:r>
        <w:rPr>
          <w:color w:val="000000"/>
          <w:kern w:val="0"/>
          <w:szCs w:val="21"/>
        </w:rPr>
        <w:t>2.采购代理机构信息</w:t>
      </w:r>
    </w:p>
    <w:p>
      <w:pPr>
        <w:widowControl/>
        <w:spacing w:before="75" w:after="75" w:line="360" w:lineRule="auto"/>
        <w:rPr>
          <w:b/>
          <w:color w:val="000000"/>
          <w:kern w:val="0"/>
          <w:szCs w:val="21"/>
        </w:rPr>
      </w:pPr>
      <w:r>
        <w:rPr>
          <w:color w:val="000000"/>
          <w:kern w:val="0"/>
          <w:szCs w:val="21"/>
        </w:rPr>
        <w:t>名称：浙江中创招投标有限公司</w:t>
      </w:r>
    </w:p>
    <w:p>
      <w:pPr>
        <w:widowControl/>
        <w:spacing w:before="75" w:after="75" w:line="360" w:lineRule="auto"/>
        <w:rPr>
          <w:b/>
          <w:color w:val="000000"/>
          <w:kern w:val="0"/>
          <w:szCs w:val="21"/>
        </w:rPr>
      </w:pPr>
      <w:r>
        <w:rPr>
          <w:color w:val="000000"/>
          <w:kern w:val="0"/>
          <w:szCs w:val="21"/>
        </w:rPr>
        <w:t>地址：宁波市环城西路北段225号真如中心15楼</w:t>
      </w:r>
    </w:p>
    <w:p>
      <w:pPr>
        <w:widowControl/>
        <w:spacing w:before="75" w:after="75" w:line="360" w:lineRule="auto"/>
        <w:rPr>
          <w:b/>
          <w:color w:val="000000"/>
          <w:kern w:val="0"/>
          <w:szCs w:val="21"/>
        </w:rPr>
      </w:pPr>
      <w:r>
        <w:rPr>
          <w:color w:val="000000"/>
          <w:kern w:val="0"/>
          <w:szCs w:val="21"/>
        </w:rPr>
        <w:t>传真：</w:t>
      </w:r>
      <w:r>
        <w:rPr>
          <w:rFonts w:hint="eastAsia"/>
          <w:color w:val="000000"/>
          <w:kern w:val="0"/>
          <w:szCs w:val="21"/>
        </w:rPr>
        <w:t>0574-87179</w:t>
      </w:r>
      <w:bookmarkStart w:id="550" w:name="_GoBack"/>
      <w:bookmarkEnd w:id="550"/>
      <w:r>
        <w:rPr>
          <w:rFonts w:hint="eastAsia"/>
          <w:color w:val="000000"/>
          <w:kern w:val="0"/>
          <w:szCs w:val="21"/>
        </w:rPr>
        <w:t>089、邮箱：tender06@126.com</w:t>
      </w:r>
    </w:p>
    <w:p>
      <w:pPr>
        <w:widowControl/>
        <w:spacing w:before="75" w:after="75" w:line="360" w:lineRule="auto"/>
        <w:rPr>
          <w:b/>
          <w:color w:val="000000"/>
          <w:kern w:val="0"/>
          <w:szCs w:val="21"/>
        </w:rPr>
      </w:pPr>
      <w:r>
        <w:rPr>
          <w:color w:val="000000"/>
          <w:kern w:val="0"/>
          <w:szCs w:val="21"/>
        </w:rPr>
        <w:t>项目联系人（询问）：王家兴、周俊辉、</w:t>
      </w:r>
      <w:r>
        <w:rPr>
          <w:rFonts w:hint="eastAsia"/>
          <w:color w:val="000000"/>
          <w:kern w:val="0"/>
          <w:szCs w:val="21"/>
        </w:rPr>
        <w:t>缑子末</w:t>
      </w:r>
    </w:p>
    <w:p>
      <w:pPr>
        <w:widowControl/>
        <w:spacing w:before="75" w:after="75" w:line="360" w:lineRule="auto"/>
        <w:rPr>
          <w:b/>
          <w:color w:val="000000"/>
          <w:kern w:val="0"/>
          <w:szCs w:val="21"/>
        </w:rPr>
      </w:pPr>
      <w:r>
        <w:rPr>
          <w:color w:val="000000"/>
          <w:kern w:val="0"/>
          <w:szCs w:val="21"/>
        </w:rPr>
        <w:t>项目联系方式（询问）：0574-87179087</w:t>
      </w:r>
    </w:p>
    <w:p>
      <w:pPr>
        <w:widowControl/>
        <w:spacing w:before="75" w:after="75" w:line="360" w:lineRule="auto"/>
        <w:rPr>
          <w:b/>
          <w:color w:val="000000"/>
          <w:kern w:val="0"/>
          <w:szCs w:val="21"/>
        </w:rPr>
      </w:pPr>
      <w:r>
        <w:rPr>
          <w:color w:val="000000"/>
          <w:kern w:val="0"/>
          <w:szCs w:val="21"/>
        </w:rPr>
        <w:t>质疑联系人：张百军</w:t>
      </w:r>
    </w:p>
    <w:p>
      <w:pPr>
        <w:widowControl/>
        <w:spacing w:before="75" w:after="75" w:line="360" w:lineRule="auto"/>
        <w:rPr>
          <w:b/>
          <w:color w:val="000000"/>
          <w:kern w:val="0"/>
          <w:szCs w:val="21"/>
        </w:rPr>
      </w:pPr>
      <w:r>
        <w:rPr>
          <w:color w:val="000000"/>
          <w:kern w:val="0"/>
          <w:szCs w:val="21"/>
        </w:rPr>
        <w:t>质疑联系方式：0574-87179082</w:t>
      </w:r>
    </w:p>
    <w:p>
      <w:pPr>
        <w:widowControl/>
        <w:spacing w:before="75" w:after="75" w:line="360" w:lineRule="auto"/>
        <w:rPr>
          <w:b/>
          <w:color w:val="000000"/>
          <w:kern w:val="0"/>
          <w:szCs w:val="21"/>
        </w:rPr>
      </w:pPr>
      <w:r>
        <w:rPr>
          <w:color w:val="000000"/>
          <w:kern w:val="0"/>
          <w:szCs w:val="21"/>
        </w:rPr>
        <w:t>3.同级政府采购监督管理部门</w:t>
      </w:r>
    </w:p>
    <w:p>
      <w:pPr>
        <w:widowControl/>
        <w:spacing w:before="75" w:after="75" w:line="360" w:lineRule="auto"/>
        <w:rPr>
          <w:b/>
          <w:color w:val="000000"/>
          <w:kern w:val="0"/>
          <w:szCs w:val="21"/>
        </w:rPr>
      </w:pPr>
      <w:r>
        <w:rPr>
          <w:color w:val="000000"/>
          <w:kern w:val="0"/>
          <w:szCs w:val="21"/>
        </w:rPr>
        <w:t>名称：宁波市政府采购管理办公室</w:t>
      </w:r>
    </w:p>
    <w:p>
      <w:pPr>
        <w:widowControl/>
        <w:spacing w:before="75" w:after="75" w:line="360" w:lineRule="auto"/>
        <w:rPr>
          <w:b/>
          <w:color w:val="000000"/>
          <w:kern w:val="0"/>
          <w:szCs w:val="21"/>
        </w:rPr>
      </w:pPr>
      <w:r>
        <w:rPr>
          <w:color w:val="000000"/>
          <w:kern w:val="0"/>
          <w:szCs w:val="21"/>
        </w:rPr>
        <w:t>地址：宁波市中山西路19号</w:t>
      </w:r>
    </w:p>
    <w:p>
      <w:pPr>
        <w:widowControl/>
        <w:spacing w:before="75" w:after="75" w:line="360" w:lineRule="auto"/>
        <w:rPr>
          <w:b/>
          <w:color w:val="000000"/>
          <w:kern w:val="0"/>
          <w:szCs w:val="21"/>
        </w:rPr>
      </w:pPr>
      <w:r>
        <w:rPr>
          <w:color w:val="000000"/>
          <w:kern w:val="0"/>
          <w:szCs w:val="21"/>
        </w:rPr>
        <w:t>传真：/</w:t>
      </w:r>
    </w:p>
    <w:p>
      <w:pPr>
        <w:widowControl/>
        <w:spacing w:before="75" w:after="75" w:line="360" w:lineRule="auto"/>
        <w:rPr>
          <w:b/>
          <w:color w:val="000000"/>
          <w:kern w:val="0"/>
          <w:szCs w:val="21"/>
        </w:rPr>
      </w:pPr>
      <w:r>
        <w:rPr>
          <w:color w:val="000000"/>
          <w:kern w:val="0"/>
          <w:szCs w:val="21"/>
        </w:rPr>
        <w:t>联系人：李老师</w:t>
      </w:r>
    </w:p>
    <w:p>
      <w:pPr>
        <w:widowControl/>
        <w:spacing w:before="75" w:after="75" w:line="360" w:lineRule="auto"/>
        <w:rPr>
          <w:b/>
          <w:color w:val="000000"/>
          <w:kern w:val="0"/>
          <w:szCs w:val="21"/>
        </w:rPr>
      </w:pPr>
      <w:r>
        <w:rPr>
          <w:color w:val="000000"/>
          <w:kern w:val="0"/>
          <w:szCs w:val="21"/>
        </w:rPr>
        <w:t>监督投诉电话：0574-89388042</w:t>
      </w:r>
    </w:p>
    <w:p>
      <w:pPr>
        <w:widowControl/>
        <w:spacing w:before="75" w:after="75" w:line="360" w:lineRule="auto"/>
        <w:rPr>
          <w:color w:val="000000"/>
          <w:kern w:val="0"/>
          <w:szCs w:val="21"/>
        </w:rPr>
      </w:pPr>
    </w:p>
    <w:p>
      <w:pPr>
        <w:widowControl/>
        <w:spacing w:before="75" w:after="75" w:line="360" w:lineRule="auto"/>
        <w:rPr>
          <w:b/>
          <w:color w:val="000000"/>
          <w:kern w:val="0"/>
          <w:szCs w:val="21"/>
        </w:rPr>
      </w:pPr>
      <w:r>
        <w:rPr>
          <w:color w:val="000000"/>
          <w:kern w:val="0"/>
          <w:szCs w:val="21"/>
        </w:rPr>
        <w:t>若对项目采购电子交易系统操作有疑问，可登录</w:t>
      </w:r>
      <w:r>
        <w:rPr>
          <w:rFonts w:hint="eastAsia"/>
          <w:color w:val="000000"/>
          <w:kern w:val="0"/>
          <w:szCs w:val="21"/>
        </w:rPr>
        <w:t>政府采购云平台（www.zcygov.cn）</w:t>
      </w:r>
      <w:r>
        <w:rPr>
          <w:color w:val="000000"/>
          <w:kern w:val="0"/>
          <w:szCs w:val="21"/>
        </w:rPr>
        <w:t>，点击右侧咨询小采，获取采小蜜智能服务管家帮助，或拨打政采云服务热线400-881-7190获取热线服务帮助。</w:t>
      </w:r>
    </w:p>
    <w:p>
      <w:pPr>
        <w:widowControl/>
        <w:spacing w:before="75" w:after="75" w:line="360" w:lineRule="auto"/>
        <w:rPr>
          <w:b/>
          <w:color w:val="000000"/>
          <w:kern w:val="0"/>
          <w:szCs w:val="21"/>
        </w:rPr>
      </w:pPr>
      <w:r>
        <w:rPr>
          <w:color w:val="000000"/>
          <w:kern w:val="0"/>
          <w:szCs w:val="21"/>
        </w:rPr>
        <w:t>CA问题联系电话（人工）：汇信CA400-888-4636；天谷CA400-087-8198。</w:t>
      </w:r>
    </w:p>
    <w:p>
      <w:pPr>
        <w:pStyle w:val="3"/>
        <w:numPr>
          <w:ilvl w:val="0"/>
          <w:numId w:val="10"/>
        </w:numPr>
        <w:spacing w:before="0" w:after="0" w:line="360" w:lineRule="auto"/>
        <w:ind w:left="1134"/>
        <w:jc w:val="center"/>
        <w:rPr>
          <w:rFonts w:ascii="Times New Roman" w:hAnsi="Times New Roman"/>
          <w:color w:val="000000"/>
        </w:rPr>
      </w:pPr>
      <w:r>
        <w:rPr>
          <w:rFonts w:ascii="Times New Roman" w:hAnsi="Times New Roman"/>
          <w:color w:val="000000"/>
          <w:sz w:val="32"/>
          <w:szCs w:val="32"/>
        </w:rPr>
        <w:br w:type="page"/>
      </w:r>
      <w:bookmarkStart w:id="2" w:name="_Toc460857891"/>
      <w:bookmarkStart w:id="3" w:name="_Toc109989076"/>
      <w:bookmarkStart w:id="4" w:name="_Toc460416585"/>
      <w:r>
        <w:rPr>
          <w:rFonts w:ascii="Times New Roman" w:hAnsi="Times New Roman"/>
          <w:color w:val="000000"/>
        </w:rPr>
        <w:t>采购需求</w:t>
      </w:r>
      <w:bookmarkEnd w:id="2"/>
      <w:bookmarkEnd w:id="3"/>
      <w:bookmarkEnd w:id="4"/>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5" w:name="_Toc109989077"/>
      <w:bookmarkStart w:id="6" w:name="_Toc7598"/>
      <w:bookmarkStart w:id="7" w:name="_Toc460857895"/>
      <w:bookmarkStart w:id="8" w:name="_Toc460416594"/>
      <w:r>
        <w:rPr>
          <w:rFonts w:ascii="Times New Roman" w:hAnsi="Times New Roman"/>
          <w:sz w:val="21"/>
          <w:szCs w:val="21"/>
        </w:rPr>
        <w:t>一、项目建设内容</w:t>
      </w:r>
      <w:bookmarkEnd w:id="5"/>
      <w:bookmarkEnd w:id="6"/>
    </w:p>
    <w:p>
      <w:pPr>
        <w:spacing w:line="360" w:lineRule="auto"/>
        <w:ind w:firstLine="420" w:firstLineChars="200"/>
        <w:rPr>
          <w:szCs w:val="21"/>
        </w:rPr>
      </w:pPr>
      <w:r>
        <w:rPr>
          <w:rFonts w:hint="eastAsia"/>
          <w:szCs w:val="21"/>
        </w:rPr>
        <w:t>按照省市数字化改革要求，基于宁波无废城市建设实际需求</w:t>
      </w:r>
      <w:r>
        <w:rPr>
          <w:szCs w:val="21"/>
        </w:rPr>
        <w:t>，</w:t>
      </w:r>
      <w:r>
        <w:rPr>
          <w:rFonts w:hint="eastAsia"/>
          <w:szCs w:val="21"/>
        </w:rPr>
        <w:t>在数字政府生态保护跑道上建设“无废城市”重大应用，</w:t>
      </w:r>
      <w:r>
        <w:rPr>
          <w:szCs w:val="21"/>
        </w:rPr>
        <w:t>搭建“1+9+N”无废城市集成应用框架体系。“1”是“无废城市”综合管理服务应用，充分利用宁波市智能公共数据平台，依托互联网、政务网等各级网络系统和数据通道，构建“</w:t>
      </w:r>
      <w:r>
        <w:rPr>
          <w:rFonts w:hint="eastAsia"/>
          <w:szCs w:val="21"/>
        </w:rPr>
        <w:t>一舱、</w:t>
      </w:r>
      <w:r>
        <w:rPr>
          <w:szCs w:val="21"/>
        </w:rPr>
        <w:t>一库、一图、一指数”（“无废城市”综合业务数据库、无废城市地图、无废指数），并基于浙政钉和浙里办构建两端入口，形成联动治理端和公众服务端集成应用。“9”是九大核心业务应用，包括一般工业固废、危险废物、生活垃圾（</w:t>
      </w:r>
      <w:r>
        <w:rPr>
          <w:rFonts w:hint="eastAsia"/>
          <w:szCs w:val="21"/>
        </w:rPr>
        <w:t>在</w:t>
      </w:r>
      <w:r>
        <w:rPr>
          <w:szCs w:val="21"/>
        </w:rPr>
        <w:t>建）、建筑垃圾（已建）、农业废弃物、医疗废物、再生资源（已建）、废水（已建）、废气（已建）业务管理应用，实现生态环境治理九大核心业务全覆盖。“N”是从固废治理难点、堵点入手，打造N个多跨场景应用，本次项目上线的场景应用包括固废一本账、固废特征库、固废多源数据分析、危险废物一码监管、医疗废物无缝监管、建筑垃圾违规倾倒识别、再生建材全生命周期监管、固危废倾倒预警监测系统。</w:t>
      </w:r>
    </w:p>
    <w:p>
      <w:pPr>
        <w:spacing w:line="360" w:lineRule="auto"/>
        <w:ind w:firstLine="420" w:firstLineChars="200"/>
        <w:rPr>
          <w:szCs w:val="21"/>
        </w:rPr>
      </w:pPr>
      <w:r>
        <w:rPr>
          <w:szCs w:val="21"/>
        </w:rPr>
        <w:t>（一）建立无废城市综合管理服务应用。以宁波无废城市建设需求为出发点，通过复用省无废平台的卫星遥感管理、宣教科普等现有功能，建立“浙里无废”宁波频道，即无废城市综合管理服务应用，充分集无废建设跟踪、业务监督管理、风险集成管理、无废决策分析、无废考核评价等功能的联动治理端；依托浙里办架构，建立无废城市对外服务途径，构建无废咨询、无废事件上报、信息查询、投诉举报等便民服务，实现无废城市服务体系的统一入口。对标生态环境部“无废城市”指标要求，结合宁波实际，以区域、行业以及各细分领域为出发点，建立具有宁波特色的无废指标体系，实现从宏观到微观、从定性到定量的精准把握，进一步降低固体废物产量，提高固体废物资源化利用率和无害化处置率。</w:t>
      </w:r>
    </w:p>
    <w:p>
      <w:pPr>
        <w:spacing w:line="360" w:lineRule="auto"/>
        <w:ind w:firstLine="420" w:firstLineChars="200"/>
        <w:rPr>
          <w:szCs w:val="21"/>
        </w:rPr>
      </w:pPr>
      <w:r>
        <w:rPr>
          <w:szCs w:val="21"/>
        </w:rPr>
        <w:t>（二）构建核心业务应用。通过流程优化、制度重构、数字赋能，健全跨部门多场景多源废物协同治理机制，对接生活垃圾管理系统、建筑垃圾监管系统、再生资源管理系统等现有系统，升级废水废气管理应用，新建医疗废物、农业废弃物、一般工业固废、危险废物专项管理应用，实现九类废物全流程监管，形成“全类型、全覆盖、全过程”的固体废物分类处置和资源化利用体系。</w:t>
      </w:r>
    </w:p>
    <w:p>
      <w:pPr>
        <w:spacing w:line="360" w:lineRule="auto"/>
        <w:ind w:firstLine="420" w:firstLineChars="200"/>
        <w:rPr>
          <w:szCs w:val="21"/>
        </w:rPr>
      </w:pPr>
      <w:r>
        <w:rPr>
          <w:szCs w:val="21"/>
        </w:rPr>
        <w:t>（三）构建8个无废多跨场景。从固废治理难点、堵点入手，本项目打造8个多跨场景应用，包括固废一本账、固废特征库、固废多源数据分析、危险废物一码监管、医疗废物无缝监管、建筑垃圾违规倾倒识别、再生资源全生命周期监管和固危废倾倒预警监测系统。其中建筑垃圾违规倾倒识别依托于综合行政执法局现有系统及本项目新建的固危废倾倒预警监测系统实现疑似违规倾倒行为的发现及预警</w:t>
      </w:r>
      <w:r>
        <w:rPr>
          <w:rFonts w:hint="eastAsia"/>
          <w:szCs w:val="21"/>
        </w:rPr>
        <w:t>，再生建材全生命周期管理依托</w:t>
      </w:r>
      <w:r>
        <w:rPr>
          <w:szCs w:val="21"/>
        </w:rPr>
        <w:t>住建局“甬砼码”实现相关场景功能建设。</w:t>
      </w:r>
    </w:p>
    <w:p>
      <w:pPr>
        <w:spacing w:line="360" w:lineRule="auto"/>
        <w:ind w:firstLine="420" w:firstLineChars="200"/>
        <w:rPr>
          <w:szCs w:val="21"/>
        </w:rPr>
      </w:pPr>
      <w:r>
        <w:rPr>
          <w:szCs w:val="21"/>
        </w:rPr>
        <w:t>（四）建立无废城市数据资源体系。依托宁波市智能公共数据平台及生态环境综合监管与协同平台现有组件资源，全面整合无废城市相关行业数据资源，建立无废城市“一数一源”的数据资源体系，为无废城市行业监管应用提供统一的数据支撑。</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9" w:name="_Toc109989078"/>
      <w:r>
        <w:rPr>
          <w:rFonts w:ascii="Times New Roman" w:hAnsi="Times New Roman"/>
          <w:sz w:val="21"/>
          <w:szCs w:val="21"/>
        </w:rPr>
        <w:t>二、性能需求</w:t>
      </w:r>
      <w:bookmarkEnd w:id="9"/>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10" w:name="_Toc4141"/>
      <w:bookmarkStart w:id="11" w:name="_Toc109989079"/>
      <w:bookmarkStart w:id="12" w:name="_Toc83798964"/>
      <w:bookmarkStart w:id="13" w:name="_Toc25254"/>
      <w:r>
        <w:rPr>
          <w:rFonts w:ascii="Times New Roman" w:hAnsi="Times New Roman"/>
          <w:sz w:val="21"/>
          <w:szCs w:val="21"/>
        </w:rPr>
        <w:t>（一）应用性能需求</w:t>
      </w:r>
      <w:bookmarkEnd w:id="10"/>
      <w:bookmarkEnd w:id="11"/>
      <w:bookmarkEnd w:id="12"/>
      <w:bookmarkEnd w:id="13"/>
    </w:p>
    <w:p>
      <w:pPr>
        <w:spacing w:line="360" w:lineRule="auto"/>
        <w:ind w:firstLine="420" w:firstLineChars="200"/>
        <w:rPr>
          <w:szCs w:val="21"/>
        </w:rPr>
      </w:pPr>
      <w:r>
        <w:rPr>
          <w:szCs w:val="21"/>
        </w:rPr>
        <w:t>支持开放的体系结构，支持主流厂商的硬件及操作系统平台，支持跨平台运行。</w:t>
      </w:r>
    </w:p>
    <w:p>
      <w:pPr>
        <w:spacing w:line="360" w:lineRule="auto"/>
        <w:ind w:firstLine="420" w:firstLineChars="200"/>
        <w:rPr>
          <w:szCs w:val="21"/>
        </w:rPr>
      </w:pPr>
      <w:r>
        <w:rPr>
          <w:szCs w:val="21"/>
        </w:rPr>
        <w:t>支持三层（数据库服务器层、应用服务器层和客户层）或多层体系结构，采用组件化、平台化和模块化设计。</w:t>
      </w:r>
    </w:p>
    <w:p>
      <w:pPr>
        <w:spacing w:line="360" w:lineRule="auto"/>
        <w:ind w:firstLine="420" w:firstLineChars="200"/>
        <w:rPr>
          <w:szCs w:val="21"/>
        </w:rPr>
      </w:pPr>
      <w:r>
        <w:rPr>
          <w:szCs w:val="21"/>
        </w:rPr>
        <w:t>含流程的系统，应使用工作流引擎的完成开发，必须具有二次开发能力，支持可视化流程的定制与修改，支持并行处理流程，支持各种文件模板的定制与修改。</w:t>
      </w:r>
    </w:p>
    <w:p>
      <w:pPr>
        <w:spacing w:line="360" w:lineRule="auto"/>
        <w:ind w:firstLine="420" w:firstLineChars="200"/>
        <w:rPr>
          <w:szCs w:val="21"/>
        </w:rPr>
      </w:pPr>
      <w:r>
        <w:rPr>
          <w:szCs w:val="21"/>
        </w:rPr>
        <w:t>主要数据应存贮在关系型数据库中，可实现对其他数据库和文件系统的访问与数据交换，提供基于XML的数据交换接口。采用JDBC连接、ODBC连接、连接池等技术，实现自身及其他数据源与第三方厂家的工具及应用的集成。</w:t>
      </w:r>
    </w:p>
    <w:p>
      <w:pPr>
        <w:spacing w:line="360" w:lineRule="auto"/>
        <w:ind w:firstLine="420" w:firstLineChars="200"/>
        <w:rPr>
          <w:szCs w:val="21"/>
        </w:rPr>
      </w:pPr>
      <w:r>
        <w:rPr>
          <w:szCs w:val="21"/>
        </w:rPr>
        <w:t>所有数据库写入操作必须采用事务模式，支持事务的提交和回滚。</w:t>
      </w:r>
    </w:p>
    <w:p>
      <w:pPr>
        <w:spacing w:line="360" w:lineRule="auto"/>
        <w:ind w:firstLine="420" w:firstLineChars="200"/>
        <w:rPr>
          <w:szCs w:val="21"/>
        </w:rPr>
      </w:pPr>
      <w:r>
        <w:rPr>
          <w:szCs w:val="21"/>
        </w:rPr>
        <w:t>系统采用B/S（浏览器/服务器）模式，支持国产与非国产设备兼容访问，可保证各类常见操作系统客户端的正常使用。</w:t>
      </w:r>
    </w:p>
    <w:p>
      <w:pPr>
        <w:spacing w:line="360" w:lineRule="auto"/>
        <w:ind w:firstLine="420" w:firstLineChars="200"/>
        <w:rPr>
          <w:szCs w:val="21"/>
        </w:rPr>
      </w:pPr>
      <w:r>
        <w:rPr>
          <w:szCs w:val="21"/>
        </w:rPr>
        <w:t>系统应对数据和应用的安全性作充分考虑，提供较完善的数据加密及访问控制，提供日志跟踪与统计分析功能。</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14" w:name="_Toc83798965"/>
      <w:bookmarkStart w:id="15" w:name="_Toc32338"/>
      <w:bookmarkStart w:id="16" w:name="_Toc109989080"/>
      <w:bookmarkStart w:id="17" w:name="_Toc21113"/>
      <w:r>
        <w:rPr>
          <w:rFonts w:ascii="Times New Roman" w:hAnsi="Times New Roman"/>
          <w:sz w:val="21"/>
          <w:szCs w:val="21"/>
        </w:rPr>
        <w:t>（二）系统性能需求</w:t>
      </w:r>
      <w:bookmarkEnd w:id="14"/>
      <w:bookmarkEnd w:id="15"/>
      <w:bookmarkEnd w:id="16"/>
    </w:p>
    <w:p>
      <w:pPr>
        <w:spacing w:line="360" w:lineRule="auto"/>
        <w:ind w:firstLine="420" w:firstLineChars="200"/>
        <w:rPr>
          <w:szCs w:val="21"/>
        </w:rPr>
      </w:pPr>
      <w:r>
        <w:rPr>
          <w:szCs w:val="21"/>
        </w:rPr>
        <w:t>系统应支持国产与非国产设备兼容访问。</w:t>
      </w:r>
    </w:p>
    <w:p>
      <w:pPr>
        <w:spacing w:line="360" w:lineRule="auto"/>
        <w:ind w:firstLine="420" w:firstLineChars="200"/>
        <w:rPr>
          <w:szCs w:val="21"/>
        </w:rPr>
      </w:pPr>
      <w:r>
        <w:rPr>
          <w:szCs w:val="21"/>
        </w:rPr>
        <w:t>在线查询信息的平均时间要求不超过3秒。</w:t>
      </w:r>
    </w:p>
    <w:p>
      <w:pPr>
        <w:spacing w:line="360" w:lineRule="auto"/>
        <w:ind w:firstLine="420" w:firstLineChars="200"/>
        <w:rPr>
          <w:szCs w:val="21"/>
        </w:rPr>
      </w:pPr>
      <w:r>
        <w:rPr>
          <w:szCs w:val="21"/>
        </w:rPr>
        <w:t>系统提供良好的业务响应时间、后台处理的匹配关系，每次业务处理时间应在5秒内完成。</w:t>
      </w:r>
    </w:p>
    <w:p>
      <w:pPr>
        <w:spacing w:line="360" w:lineRule="auto"/>
        <w:ind w:firstLine="420" w:firstLineChars="200"/>
        <w:rPr>
          <w:szCs w:val="21"/>
        </w:rPr>
      </w:pPr>
      <w:r>
        <w:rPr>
          <w:szCs w:val="21"/>
        </w:rPr>
        <w:t>系统应能支持兆级规模数据的快速存储，其中，千条数据以内的数据加载和存储，平均响应时间在1秒之内；千条数据以内的统计，平均响应时间在3秒之内。</w:t>
      </w:r>
    </w:p>
    <w:p>
      <w:pPr>
        <w:spacing w:line="360" w:lineRule="auto"/>
        <w:ind w:firstLine="420" w:firstLineChars="200"/>
        <w:rPr>
          <w:szCs w:val="21"/>
        </w:rPr>
      </w:pPr>
      <w:r>
        <w:rPr>
          <w:szCs w:val="21"/>
        </w:rPr>
        <w:t>常用报表及汇总分析响应时间不超过5秒</w:t>
      </w:r>
      <w:r>
        <w:rPr>
          <w:rFonts w:hint="eastAsia"/>
          <w:szCs w:val="21"/>
        </w:rPr>
        <w:t>，</w:t>
      </w:r>
      <w:r>
        <w:rPr>
          <w:szCs w:val="21"/>
        </w:rPr>
        <w:t>复杂报表及汇总分析响应时间不超过10秒。</w:t>
      </w:r>
    </w:p>
    <w:p>
      <w:pPr>
        <w:spacing w:line="360" w:lineRule="auto"/>
        <w:ind w:firstLine="420" w:firstLineChars="200"/>
        <w:rPr>
          <w:szCs w:val="21"/>
        </w:rPr>
      </w:pPr>
      <w:r>
        <w:rPr>
          <w:szCs w:val="21"/>
        </w:rPr>
        <w:t>运行时间要求：要保证能够在24小时×7天的时间内提供服务，系统的可用时间百分比不低于99%。</w:t>
      </w:r>
    </w:p>
    <w:p>
      <w:pPr>
        <w:spacing w:line="360" w:lineRule="auto"/>
        <w:ind w:firstLine="420" w:firstLineChars="200"/>
        <w:rPr>
          <w:szCs w:val="21"/>
        </w:rPr>
      </w:pPr>
      <w:r>
        <w:rPr>
          <w:szCs w:val="21"/>
        </w:rPr>
        <w:t>系统故障率：系统能够稳定地运行，平均故障间隔时间不少于12个月。</w:t>
      </w:r>
    </w:p>
    <w:p>
      <w:pPr>
        <w:spacing w:line="360" w:lineRule="auto"/>
        <w:ind w:firstLine="420" w:firstLineChars="200"/>
        <w:rPr>
          <w:szCs w:val="21"/>
        </w:rPr>
      </w:pPr>
      <w:r>
        <w:rPr>
          <w:szCs w:val="21"/>
        </w:rPr>
        <w:t>平均修复时间：不超过1小时。</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18" w:name="_Toc109989081"/>
      <w:bookmarkStart w:id="19" w:name="_Toc83798966"/>
      <w:bookmarkStart w:id="20" w:name="_Toc25160"/>
      <w:r>
        <w:rPr>
          <w:rFonts w:ascii="Times New Roman" w:hAnsi="Times New Roman"/>
          <w:sz w:val="21"/>
          <w:szCs w:val="21"/>
        </w:rPr>
        <w:t>（三）其他性能需求</w:t>
      </w:r>
      <w:bookmarkEnd w:id="17"/>
      <w:bookmarkEnd w:id="18"/>
      <w:bookmarkEnd w:id="19"/>
      <w:bookmarkEnd w:id="20"/>
      <w:bookmarkStart w:id="21" w:name="_Toc4901"/>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2" w:name="_Toc109989082"/>
      <w:r>
        <w:rPr>
          <w:rFonts w:ascii="Times New Roman" w:hAnsi="Times New Roman"/>
          <w:sz w:val="21"/>
          <w:szCs w:val="21"/>
        </w:rPr>
        <w:t>1、稳定性</w:t>
      </w:r>
      <w:bookmarkEnd w:id="21"/>
      <w:bookmarkEnd w:id="22"/>
    </w:p>
    <w:p>
      <w:pPr>
        <w:spacing w:line="360" w:lineRule="auto"/>
        <w:ind w:firstLine="420" w:firstLineChars="200"/>
        <w:rPr>
          <w:szCs w:val="21"/>
        </w:rPr>
      </w:pPr>
      <w:r>
        <w:rPr>
          <w:szCs w:val="21"/>
        </w:rPr>
        <w:t>各应用系统对用户的操作顺序、输入的数据进行正确性检查，并以显著方式提示错误信息。</w:t>
      </w:r>
    </w:p>
    <w:p>
      <w:pPr>
        <w:spacing w:line="360" w:lineRule="auto"/>
        <w:ind w:firstLine="420" w:firstLineChars="200"/>
        <w:rPr>
          <w:szCs w:val="21"/>
        </w:rPr>
      </w:pPr>
      <w:r>
        <w:rPr>
          <w:szCs w:val="21"/>
        </w:rPr>
        <w:t>系统需有出错处理机制，当系统运行过程中发生错误时，系统将明确提示错误信息并指导用户按照系统错误处理手册进行处理。</w:t>
      </w:r>
    </w:p>
    <w:p>
      <w:pPr>
        <w:spacing w:line="360" w:lineRule="auto"/>
        <w:ind w:firstLine="420" w:firstLineChars="200"/>
        <w:rPr>
          <w:szCs w:val="21"/>
        </w:rPr>
      </w:pPr>
      <w:r>
        <w:rPr>
          <w:szCs w:val="21"/>
        </w:rPr>
        <w:t>系统应提供运行监视和故障恢复机制，建立系统运行日志文件，能跟踪系统的所有操作。</w:t>
      </w:r>
    </w:p>
    <w:p>
      <w:pPr>
        <w:spacing w:line="360" w:lineRule="auto"/>
        <w:ind w:firstLine="420" w:firstLineChars="200"/>
        <w:rPr>
          <w:szCs w:val="21"/>
        </w:rPr>
      </w:pPr>
      <w:r>
        <w:rPr>
          <w:szCs w:val="21"/>
        </w:rPr>
        <w:t>系统配备软件异常处理措施。</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3" w:name="_Toc7294"/>
      <w:bookmarkStart w:id="24" w:name="_Toc109989083"/>
      <w:r>
        <w:rPr>
          <w:rFonts w:ascii="Times New Roman" w:hAnsi="Times New Roman"/>
          <w:sz w:val="21"/>
          <w:szCs w:val="21"/>
        </w:rPr>
        <w:t>2、易用性</w:t>
      </w:r>
      <w:bookmarkEnd w:id="23"/>
      <w:bookmarkEnd w:id="24"/>
    </w:p>
    <w:p>
      <w:pPr>
        <w:spacing w:line="360" w:lineRule="auto"/>
        <w:ind w:firstLine="420" w:firstLineChars="200"/>
        <w:rPr>
          <w:szCs w:val="21"/>
        </w:rPr>
      </w:pPr>
      <w:r>
        <w:rPr>
          <w:szCs w:val="21"/>
        </w:rPr>
        <w:t>系统操作简单、界面简洁、容易上手，具有良好的UI接口、界面操作方式一致、复杂操作有注释、出错处理有人性化提示等。</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5" w:name="_Toc14393"/>
      <w:bookmarkStart w:id="26" w:name="_Toc109989084"/>
      <w:r>
        <w:rPr>
          <w:rFonts w:ascii="Times New Roman" w:hAnsi="Times New Roman"/>
          <w:sz w:val="21"/>
          <w:szCs w:val="21"/>
        </w:rPr>
        <w:t>3、可维护性要求</w:t>
      </w:r>
      <w:bookmarkEnd w:id="25"/>
      <w:bookmarkEnd w:id="26"/>
    </w:p>
    <w:p>
      <w:pPr>
        <w:spacing w:line="360" w:lineRule="auto"/>
        <w:ind w:firstLine="420" w:firstLineChars="200"/>
        <w:rPr>
          <w:szCs w:val="21"/>
        </w:rPr>
      </w:pPr>
      <w:r>
        <w:rPr>
          <w:szCs w:val="21"/>
        </w:rPr>
        <w:t>平台需要提供易于维护的功能，通过简单设置即可实现强大稳定的负载均衡服务，提升业务对外服务能力，操作简单、安全可靠。提供完整的监控预警体系、安全审核体系等平台运维和管理功能以及平台操作手册，便于运维人员的日常平台运维。</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 w:name="_Toc109989085"/>
      <w:bookmarkStart w:id="28" w:name="_Toc13147"/>
      <w:r>
        <w:rPr>
          <w:rFonts w:ascii="Times New Roman" w:hAnsi="Times New Roman"/>
          <w:sz w:val="21"/>
          <w:szCs w:val="21"/>
        </w:rPr>
        <w:t>4、可扩展性</w:t>
      </w:r>
      <w:bookmarkEnd w:id="27"/>
      <w:bookmarkEnd w:id="28"/>
    </w:p>
    <w:p>
      <w:pPr>
        <w:spacing w:line="360" w:lineRule="auto"/>
        <w:ind w:firstLine="420" w:firstLineChars="200"/>
        <w:rPr>
          <w:szCs w:val="21"/>
        </w:rPr>
      </w:pPr>
      <w:r>
        <w:rPr>
          <w:szCs w:val="21"/>
        </w:rPr>
        <w:t>系统具有良好的可扩展性、开放性，能够满足业务不断变化的需求要求，为系统后期功能的增强提供良好的支持。</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 w:name="_Toc83798967"/>
      <w:bookmarkStart w:id="30" w:name="_Toc109989086"/>
      <w:bookmarkStart w:id="31" w:name="_Toc27236"/>
      <w:r>
        <w:rPr>
          <w:rFonts w:ascii="Times New Roman" w:hAnsi="Times New Roman"/>
          <w:sz w:val="21"/>
          <w:szCs w:val="21"/>
        </w:rPr>
        <w:t>三、安全需求</w:t>
      </w:r>
      <w:bookmarkEnd w:id="29"/>
      <w:bookmarkEnd w:id="30"/>
      <w:bookmarkEnd w:id="31"/>
    </w:p>
    <w:p>
      <w:pPr>
        <w:spacing w:line="360" w:lineRule="auto"/>
        <w:ind w:firstLine="420" w:firstLineChars="200"/>
        <w:rPr>
          <w:szCs w:val="21"/>
        </w:rPr>
      </w:pPr>
      <w:r>
        <w:rPr>
          <w:szCs w:val="21"/>
        </w:rPr>
        <w:t>本项目建设需满足信息安全等级保护2.0二级要求。其中，安全物理环境、安全通信环境、安全区域边界、安全技术计算环境主要依托市电子政务网、宁波市智能公共数据平台进行建设，应用层面做好访问控制、身份鉴别、恶意代码防范、入侵防范、安全审计、数据保密、数据安全及备份恢复等方面建设。</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2" w:name="_Toc109989087"/>
      <w:r>
        <w:rPr>
          <w:rFonts w:ascii="Times New Roman" w:hAnsi="Times New Roman"/>
          <w:sz w:val="21"/>
          <w:szCs w:val="21"/>
        </w:rPr>
        <w:t>四、应用系统建设</w:t>
      </w:r>
      <w:bookmarkEnd w:id="32"/>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3" w:name="_Toc109989088"/>
      <w:bookmarkStart w:id="34" w:name="_Toc11996"/>
      <w:bookmarkStart w:id="35" w:name="_Toc83798986"/>
      <w:r>
        <w:rPr>
          <w:rFonts w:ascii="Times New Roman" w:hAnsi="Times New Roman"/>
          <w:sz w:val="21"/>
          <w:szCs w:val="21"/>
        </w:rPr>
        <w:t>（一）“无废城市”综合管理服务应用</w:t>
      </w:r>
      <w:bookmarkEnd w:id="33"/>
      <w:bookmarkEnd w:id="34"/>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6" w:name="_Toc109989089"/>
      <w:r>
        <w:rPr>
          <w:rFonts w:ascii="Times New Roman" w:hAnsi="Times New Roman"/>
          <w:sz w:val="21"/>
          <w:szCs w:val="21"/>
        </w:rPr>
        <w:t>1、联动治理端</w:t>
      </w:r>
      <w:bookmarkEnd w:id="36"/>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7" w:name="_Toc109989090"/>
      <w:r>
        <w:rPr>
          <w:rFonts w:ascii="Times New Roman" w:hAnsi="Times New Roman"/>
          <w:sz w:val="21"/>
          <w:szCs w:val="21"/>
        </w:rPr>
        <w:t>（1）无废建设跟踪</w:t>
      </w:r>
      <w:bookmarkEnd w:id="37"/>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8" w:name="_Toc109989091"/>
      <w:r>
        <w:rPr>
          <w:rFonts w:hint="eastAsia" w:ascii="Times New Roman" w:hAnsi="Times New Roman"/>
          <w:sz w:val="21"/>
          <w:szCs w:val="21"/>
        </w:rPr>
        <w:t>①</w:t>
      </w:r>
      <w:r>
        <w:rPr>
          <w:rFonts w:ascii="Times New Roman" w:hAnsi="Times New Roman"/>
          <w:sz w:val="21"/>
          <w:szCs w:val="21"/>
        </w:rPr>
        <w:t>无废指标</w:t>
      </w:r>
      <w:bookmarkEnd w:id="38"/>
    </w:p>
    <w:p>
      <w:pPr>
        <w:spacing w:line="360" w:lineRule="auto"/>
        <w:ind w:firstLine="420" w:firstLineChars="200"/>
        <w:contextualSpacing/>
        <w:rPr>
          <w:szCs w:val="21"/>
        </w:rPr>
      </w:pPr>
      <w:r>
        <w:rPr>
          <w:szCs w:val="21"/>
        </w:rPr>
        <w:t>建立“无废城市”建设过程中无废指标的跟踪监管机制，以量化手段监测“无废城市”建设进展。包括指标管理、指标选取、指标填报、指标审核、指标评估、指标分析等功能。</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9" w:name="_Toc109989092"/>
      <w:r>
        <w:rPr>
          <w:rFonts w:hint="eastAsia" w:ascii="Times New Roman" w:hAnsi="Times New Roman"/>
          <w:sz w:val="21"/>
          <w:szCs w:val="21"/>
        </w:rPr>
        <w:t>②</w:t>
      </w:r>
      <w:r>
        <w:rPr>
          <w:rFonts w:ascii="Times New Roman" w:hAnsi="Times New Roman"/>
          <w:sz w:val="21"/>
          <w:szCs w:val="21"/>
        </w:rPr>
        <w:t>四张清单</w:t>
      </w:r>
      <w:bookmarkEnd w:id="39"/>
    </w:p>
    <w:p>
      <w:pPr>
        <w:spacing w:line="360" w:lineRule="auto"/>
        <w:ind w:firstLine="420" w:firstLineChars="200"/>
        <w:contextualSpacing/>
        <w:rPr>
          <w:szCs w:val="21"/>
        </w:rPr>
      </w:pPr>
      <w:r>
        <w:rPr>
          <w:szCs w:val="21"/>
        </w:rPr>
        <w:t>针对目标清单、项目清单、任务清单、责任清单，构建维护、填报、数据管理、统计分析功能，基于汇总的数据，对“无废城市”四张清单完成情况进行一张图展示，直观查看各清单任务完成情况。</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40" w:name="_Toc83287213"/>
      <w:bookmarkStart w:id="41" w:name="_Toc109989093"/>
      <w:r>
        <w:rPr>
          <w:rFonts w:ascii="Times New Roman" w:hAnsi="Times New Roman"/>
          <w:sz w:val="21"/>
          <w:szCs w:val="21"/>
        </w:rPr>
        <w:t>（2）业务</w:t>
      </w:r>
      <w:bookmarkEnd w:id="40"/>
      <w:r>
        <w:rPr>
          <w:rFonts w:ascii="Times New Roman" w:hAnsi="Times New Roman"/>
          <w:sz w:val="21"/>
          <w:szCs w:val="21"/>
        </w:rPr>
        <w:t>监督管理</w:t>
      </w:r>
      <w:bookmarkEnd w:id="41"/>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42" w:name="_Toc109989094"/>
      <w:r>
        <w:rPr>
          <w:rFonts w:hint="eastAsia" w:ascii="Times New Roman" w:hAnsi="Times New Roman"/>
          <w:sz w:val="21"/>
          <w:szCs w:val="21"/>
        </w:rPr>
        <w:t>①</w:t>
      </w:r>
      <w:r>
        <w:rPr>
          <w:rFonts w:ascii="Times New Roman" w:hAnsi="Times New Roman"/>
          <w:sz w:val="21"/>
          <w:szCs w:val="21"/>
        </w:rPr>
        <w:t>一般工业固废管理</w:t>
      </w:r>
      <w:bookmarkEnd w:id="42"/>
    </w:p>
    <w:p>
      <w:pPr>
        <w:spacing w:line="360" w:lineRule="auto"/>
        <w:ind w:firstLine="420" w:firstLineChars="200"/>
        <w:contextualSpacing/>
        <w:rPr>
          <w:szCs w:val="21"/>
        </w:rPr>
      </w:pPr>
      <w:r>
        <w:rPr>
          <w:szCs w:val="21"/>
        </w:rPr>
        <w:t xml:space="preserve">针对一般工业固废的产生、运输和处置进行全过程监管和一张图展示，通过柱状图、折线图、饼状图等各类图表多维度进行展示和预警。 </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43" w:name="_Toc109989095"/>
      <w:r>
        <w:rPr>
          <w:rFonts w:hint="eastAsia" w:ascii="Times New Roman" w:hAnsi="Times New Roman"/>
          <w:sz w:val="21"/>
          <w:szCs w:val="21"/>
        </w:rPr>
        <w:t>②</w:t>
      </w:r>
      <w:r>
        <w:rPr>
          <w:rFonts w:ascii="Times New Roman" w:hAnsi="Times New Roman"/>
          <w:sz w:val="21"/>
          <w:szCs w:val="21"/>
        </w:rPr>
        <w:t>危险废物管理</w:t>
      </w:r>
      <w:bookmarkEnd w:id="43"/>
    </w:p>
    <w:p>
      <w:pPr>
        <w:spacing w:line="360" w:lineRule="auto"/>
        <w:ind w:firstLine="420" w:firstLineChars="200"/>
        <w:contextualSpacing/>
        <w:rPr>
          <w:szCs w:val="21"/>
        </w:rPr>
      </w:pPr>
      <w:r>
        <w:rPr>
          <w:szCs w:val="21"/>
        </w:rPr>
        <w:t xml:space="preserve">针对危险废物的产生、运输和处置进行全过程监管和一张图展示，通过柱状图、折线图、饼状图等各类图表多维度进行展示和预警，针对危险废物相关的风险事件流转处置并展示。 </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44" w:name="_Toc109989096"/>
      <w:r>
        <w:rPr>
          <w:rFonts w:hint="eastAsia" w:ascii="Times New Roman" w:hAnsi="Times New Roman"/>
          <w:sz w:val="21"/>
          <w:szCs w:val="21"/>
        </w:rPr>
        <w:t>③</w:t>
      </w:r>
      <w:r>
        <w:rPr>
          <w:rFonts w:ascii="Times New Roman" w:hAnsi="Times New Roman"/>
          <w:sz w:val="21"/>
          <w:szCs w:val="21"/>
        </w:rPr>
        <w:t>生活垃圾管理</w:t>
      </w:r>
      <w:bookmarkEnd w:id="44"/>
    </w:p>
    <w:p>
      <w:pPr>
        <w:spacing w:line="360" w:lineRule="auto"/>
        <w:ind w:firstLine="420" w:firstLineChars="200"/>
        <w:contextualSpacing/>
        <w:rPr>
          <w:szCs w:val="21"/>
        </w:rPr>
      </w:pPr>
      <w:r>
        <w:rPr>
          <w:szCs w:val="21"/>
        </w:rPr>
        <w:t>聚焦各类生活垃圾日清运量、可利用废弃物实际回收量、可回收利用废弃物数量、餐厨垃圾回收利用量、市域（包括城市和农村）范围内采用填埋方式处置生活垃圾的总量等指标，基于时间、行政区划等维度进行分析和展示。</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45" w:name="_Toc109989097"/>
      <w:r>
        <w:rPr>
          <w:rFonts w:hint="eastAsia" w:ascii="宋体" w:hAnsi="宋体" w:cs="宋体"/>
          <w:sz w:val="21"/>
          <w:szCs w:val="21"/>
        </w:rPr>
        <w:t>④</w:t>
      </w:r>
      <w:r>
        <w:rPr>
          <w:rFonts w:ascii="Times New Roman" w:hAnsi="Times New Roman"/>
          <w:sz w:val="21"/>
          <w:szCs w:val="21"/>
        </w:rPr>
        <w:t>建筑垃圾管理</w:t>
      </w:r>
      <w:bookmarkEnd w:id="45"/>
    </w:p>
    <w:p>
      <w:pPr>
        <w:spacing w:line="360" w:lineRule="auto"/>
        <w:ind w:firstLine="420" w:firstLineChars="200"/>
        <w:contextualSpacing/>
        <w:rPr>
          <w:szCs w:val="21"/>
        </w:rPr>
      </w:pPr>
      <w:r>
        <w:rPr>
          <w:szCs w:val="21"/>
        </w:rPr>
        <w:t>以建筑垃圾中的泥浆、渣土作为重点管理对象，通过建筑垃圾业务监管一张图对产废场所、运输车辆、消纳点的相关数据进行统计分析。</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46" w:name="_Toc109989098"/>
      <w:r>
        <w:rPr>
          <w:rFonts w:hint="eastAsia" w:ascii="宋体" w:hAnsi="宋体" w:cs="宋体"/>
          <w:sz w:val="21"/>
          <w:szCs w:val="21"/>
        </w:rPr>
        <w:t>⑤</w:t>
      </w:r>
      <w:r>
        <w:rPr>
          <w:rFonts w:ascii="宋体" w:hAnsi="宋体" w:cs="宋体"/>
          <w:sz w:val="21"/>
          <w:szCs w:val="21"/>
        </w:rPr>
        <w:t>农业废弃物管理</w:t>
      </w:r>
      <w:bookmarkEnd w:id="46"/>
    </w:p>
    <w:p>
      <w:pPr>
        <w:spacing w:line="360" w:lineRule="auto"/>
        <w:ind w:firstLine="420" w:firstLineChars="200"/>
        <w:contextualSpacing/>
        <w:rPr>
          <w:szCs w:val="21"/>
        </w:rPr>
      </w:pPr>
      <w:r>
        <w:rPr>
          <w:szCs w:val="21"/>
        </w:rPr>
        <w:t>采集各项农业废弃物的产生数据、收集数据、运输数据、储存数据、处置数据，建设农废预警体系，主要分为指标终端预警和过程预警。建设废旧农膜管理、农作物秸秆管理、畜禽粪污管理、病死畜禽管理、农药包装废弃物等模块。</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47" w:name="_Toc109989099"/>
      <w:r>
        <w:rPr>
          <w:rFonts w:hint="eastAsia" w:ascii="宋体" w:hAnsi="宋体" w:cs="宋体"/>
          <w:sz w:val="21"/>
          <w:szCs w:val="21"/>
        </w:rPr>
        <w:t>⑥</w:t>
      </w:r>
      <w:r>
        <w:rPr>
          <w:rFonts w:ascii="宋体" w:hAnsi="宋体" w:cs="宋体"/>
          <w:sz w:val="21"/>
          <w:szCs w:val="21"/>
        </w:rPr>
        <w:t>医疗废物管理</w:t>
      </w:r>
      <w:bookmarkEnd w:id="47"/>
    </w:p>
    <w:p>
      <w:pPr>
        <w:spacing w:line="360" w:lineRule="auto"/>
        <w:ind w:firstLine="420" w:firstLineChars="200"/>
        <w:contextualSpacing/>
        <w:rPr>
          <w:szCs w:val="21"/>
        </w:rPr>
      </w:pPr>
      <w:r>
        <w:rPr>
          <w:szCs w:val="21"/>
        </w:rPr>
        <w:t>在地图上展示医疗废物的相关元素，用户可点击相关按钮实现特定类型元素的点亮。按区域展示医疗机构分布点和涉疫场所分布点、运输企业信息、处置企业信息。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48" w:name="_Toc109989100"/>
      <w:r>
        <w:rPr>
          <w:rFonts w:hint="eastAsia" w:ascii="宋体" w:hAnsi="宋体" w:cs="宋体"/>
          <w:sz w:val="21"/>
          <w:szCs w:val="21"/>
        </w:rPr>
        <w:t>⑦</w:t>
      </w:r>
      <w:r>
        <w:rPr>
          <w:rFonts w:ascii="宋体" w:hAnsi="宋体" w:cs="宋体"/>
          <w:sz w:val="21"/>
          <w:szCs w:val="21"/>
        </w:rPr>
        <w:t>再生资源管理</w:t>
      </w:r>
      <w:bookmarkEnd w:id="48"/>
    </w:p>
    <w:p>
      <w:pPr>
        <w:spacing w:line="360" w:lineRule="auto"/>
        <w:ind w:firstLine="420" w:firstLineChars="200"/>
        <w:contextualSpacing/>
        <w:rPr>
          <w:szCs w:val="21"/>
        </w:rPr>
      </w:pPr>
      <w:r>
        <w:rPr>
          <w:szCs w:val="21"/>
        </w:rPr>
        <w:t>通过再生资源业务监管一张图对各区县回收占比、回收利用量、再生资源的出货量、各区县的网点建设、分拣中心数量等方面进行数据展示。</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49" w:name="_Toc109989101"/>
      <w:r>
        <w:rPr>
          <w:rFonts w:hint="eastAsia" w:ascii="宋体" w:hAnsi="宋体" w:cs="宋体"/>
          <w:sz w:val="21"/>
          <w:szCs w:val="21"/>
        </w:rPr>
        <w:t>⑧</w:t>
      </w:r>
      <w:r>
        <w:rPr>
          <w:rFonts w:ascii="宋体" w:hAnsi="宋体" w:cs="宋体"/>
          <w:sz w:val="21"/>
          <w:szCs w:val="21"/>
        </w:rPr>
        <w:t>废水排放管理</w:t>
      </w:r>
      <w:bookmarkEnd w:id="49"/>
    </w:p>
    <w:p>
      <w:pPr>
        <w:spacing w:line="360" w:lineRule="auto"/>
        <w:ind w:firstLine="420" w:firstLineChars="200"/>
        <w:rPr>
          <w:szCs w:val="21"/>
        </w:rPr>
      </w:pPr>
      <w:r>
        <w:rPr>
          <w:szCs w:val="21"/>
        </w:rPr>
        <w:t>废水排放管理主要从水质达标率、水质类别分布、区县的水质排名、污染源、废水排放量等方面进行展示，同时结合GIS地图可对各地区的水质监测站、污染源、断面等数据进行可视化展示，包括废水监管一张图、风险预警管理、智能统计分析模块。</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50" w:name="_Toc109989102"/>
      <w:r>
        <w:rPr>
          <w:rFonts w:hint="eastAsia" w:ascii="宋体" w:hAnsi="宋体" w:cs="宋体"/>
          <w:sz w:val="21"/>
          <w:szCs w:val="21"/>
        </w:rPr>
        <w:t>⑨</w:t>
      </w:r>
      <w:r>
        <w:rPr>
          <w:rFonts w:ascii="宋体" w:hAnsi="宋体" w:cs="宋体"/>
          <w:sz w:val="21"/>
          <w:szCs w:val="21"/>
        </w:rPr>
        <w:t>废气排放管理</w:t>
      </w:r>
      <w:bookmarkEnd w:id="50"/>
    </w:p>
    <w:p>
      <w:pPr>
        <w:spacing w:line="360" w:lineRule="auto"/>
        <w:ind w:firstLine="420" w:firstLineChars="200"/>
        <w:rPr>
          <w:szCs w:val="21"/>
        </w:rPr>
      </w:pPr>
      <w:r>
        <w:rPr>
          <w:szCs w:val="21"/>
        </w:rPr>
        <w:t>废气排放管理主要从空气质量优良率、主要污染物、区县的空气质排名、污染源、废气排放量等方面进行展示，同时结合GIS地图可对各地区的空气质量监测站、污染源等数据进行可视化展示，包括废气监管一张图、风险预警管理、智能统计分析模块。</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51" w:name="_Toc109989103"/>
      <w:r>
        <w:rPr>
          <w:rFonts w:ascii="宋体" w:hAnsi="宋体" w:cs="宋体"/>
          <w:sz w:val="21"/>
          <w:szCs w:val="21"/>
        </w:rPr>
        <w:t>（3）物联感知监管</w:t>
      </w:r>
      <w:bookmarkEnd w:id="51"/>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52" w:name="_Toc109989104"/>
      <w:r>
        <w:rPr>
          <w:rFonts w:hint="eastAsia" w:ascii="宋体" w:hAnsi="宋体" w:cs="宋体"/>
          <w:sz w:val="21"/>
          <w:szCs w:val="21"/>
        </w:rPr>
        <w:t>①</w:t>
      </w:r>
      <w:r>
        <w:rPr>
          <w:rFonts w:ascii="宋体" w:hAnsi="宋体" w:cs="宋体"/>
          <w:sz w:val="21"/>
          <w:szCs w:val="21"/>
        </w:rPr>
        <w:t>视频管理</w:t>
      </w:r>
      <w:bookmarkEnd w:id="52"/>
    </w:p>
    <w:p>
      <w:pPr>
        <w:spacing w:line="360" w:lineRule="auto"/>
        <w:ind w:firstLine="420" w:firstLineChars="200"/>
        <w:rPr>
          <w:szCs w:val="21"/>
        </w:rPr>
      </w:pPr>
      <w:r>
        <w:rPr>
          <w:szCs w:val="21"/>
        </w:rPr>
        <w:t>接入产运处全流程可接入的视频监控数据，主要针对贮存仓库、重点设备间、物料存放间、重点作业区域、处置终端仓库视频、处理设备端视频、运输车辆车载视频、车辆进出口等位置的进行重点监控。</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53" w:name="_Toc109989105"/>
      <w:r>
        <w:rPr>
          <w:rFonts w:hint="eastAsia" w:ascii="宋体" w:hAnsi="宋体" w:cs="宋体"/>
          <w:sz w:val="21"/>
          <w:szCs w:val="21"/>
        </w:rPr>
        <w:t>②</w:t>
      </w:r>
      <w:r>
        <w:rPr>
          <w:rFonts w:ascii="宋体" w:hAnsi="宋体" w:cs="宋体"/>
          <w:sz w:val="21"/>
          <w:szCs w:val="21"/>
        </w:rPr>
        <w:t>地磅监控管理</w:t>
      </w:r>
      <w:bookmarkEnd w:id="53"/>
    </w:p>
    <w:p>
      <w:pPr>
        <w:spacing w:line="360" w:lineRule="auto"/>
        <w:ind w:firstLine="420" w:firstLineChars="200"/>
        <w:rPr>
          <w:szCs w:val="21"/>
        </w:rPr>
      </w:pPr>
      <w:r>
        <w:rPr>
          <w:szCs w:val="21"/>
        </w:rPr>
        <w:t>接入处置企业侧的地磅称重相关数据</w:t>
      </w:r>
      <w:r>
        <w:rPr>
          <w:rFonts w:hint="eastAsia"/>
          <w:szCs w:val="21"/>
        </w:rPr>
        <w:t>，</w:t>
      </w:r>
      <w:r>
        <w:rPr>
          <w:rFonts w:hint="eastAsia" w:ascii="宋体" w:hAnsi="宋体"/>
          <w:szCs w:val="28"/>
        </w:rPr>
        <w:t>获取车辆信息，有如异常情况系统自动发出预警。实现与地磅仪表集成、现场视频监控+车牌号识别、过磅车辆位置监控、皮重监控、面单关联、偏差情况分析功能</w:t>
      </w:r>
      <w:r>
        <w:rPr>
          <w:szCs w:val="21"/>
        </w:rPr>
        <w:t>。</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54" w:name="_Toc109989106"/>
      <w:r>
        <w:rPr>
          <w:rFonts w:hint="eastAsia" w:ascii="宋体" w:hAnsi="宋体" w:cs="宋体"/>
          <w:sz w:val="21"/>
          <w:szCs w:val="21"/>
        </w:rPr>
        <w:t>③</w:t>
      </w:r>
      <w:r>
        <w:rPr>
          <w:rFonts w:ascii="宋体" w:hAnsi="宋体" w:cs="宋体"/>
          <w:sz w:val="21"/>
          <w:szCs w:val="21"/>
        </w:rPr>
        <w:t>工况监控管理</w:t>
      </w:r>
      <w:bookmarkEnd w:id="54"/>
    </w:p>
    <w:p>
      <w:pPr>
        <w:spacing w:line="360" w:lineRule="auto"/>
        <w:ind w:firstLine="420" w:firstLineChars="200"/>
        <w:rPr>
          <w:szCs w:val="21"/>
        </w:rPr>
      </w:pPr>
      <w:r>
        <w:rPr>
          <w:rFonts w:hint="eastAsia"/>
          <w:szCs w:val="21"/>
        </w:rPr>
        <w:t>包括工况信息采集和工况数据分析。</w:t>
      </w:r>
      <w:r>
        <w:rPr>
          <w:szCs w:val="21"/>
        </w:rPr>
        <w:t>通过对接涉废企业生产运行数据，包括DCS系统、PLC系统等数据</w:t>
      </w:r>
      <w:r>
        <w:rPr>
          <w:rFonts w:hint="eastAsia"/>
          <w:szCs w:val="21"/>
        </w:rPr>
        <w:t>，</w:t>
      </w:r>
      <w:r>
        <w:rPr>
          <w:rFonts w:hint="eastAsia" w:ascii="宋体" w:hAnsi="宋体"/>
          <w:szCs w:val="28"/>
        </w:rPr>
        <w:t>实现对处置工况的远程监管，实施诊断和报警</w:t>
      </w:r>
      <w:r>
        <w:rPr>
          <w:szCs w:val="21"/>
        </w:rPr>
        <w:t>。</w:t>
      </w:r>
      <w:bookmarkStart w:id="55" w:name="_Toc82434348"/>
      <w:r>
        <w:rPr>
          <w:rStyle w:val="51"/>
          <w:rFonts w:hint="eastAsia"/>
          <w:kern w:val="0"/>
        </w:rPr>
        <w:t>通过工况数据对接，</w:t>
      </w:r>
      <w:r>
        <w:rPr>
          <w:rFonts w:hint="eastAsia" w:ascii="仿宋" w:hAnsi="仿宋" w:cs="仿宋"/>
          <w:lang w:eastAsia="zh-Hans"/>
        </w:rPr>
        <w:t>分析</w:t>
      </w:r>
      <w:r>
        <w:rPr>
          <w:rFonts w:hint="eastAsia" w:ascii="仿宋" w:hAnsi="仿宋" w:cs="仿宋"/>
        </w:rPr>
        <w:t>各类</w:t>
      </w:r>
      <w:r>
        <w:rPr>
          <w:rFonts w:hint="eastAsia" w:ascii="仿宋" w:hAnsi="仿宋" w:cs="仿宋"/>
          <w:lang w:eastAsia="zh-Hans"/>
        </w:rPr>
        <w:t>参数的变化趋势，</w:t>
      </w:r>
      <w:r>
        <w:rPr>
          <w:rFonts w:hint="eastAsia" w:ascii="仿宋" w:hAnsi="仿宋" w:cs="仿宋"/>
        </w:rPr>
        <w:t>并对异常信息进行及时预警。</w:t>
      </w:r>
    </w:p>
    <w:bookmarkEnd w:id="55"/>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56" w:name="_Toc109989107"/>
      <w:r>
        <w:rPr>
          <w:rFonts w:hint="eastAsia" w:ascii="宋体" w:hAnsi="宋体" w:cs="宋体"/>
          <w:sz w:val="21"/>
          <w:szCs w:val="21"/>
        </w:rPr>
        <w:t>④</w:t>
      </w:r>
      <w:r>
        <w:rPr>
          <w:rFonts w:ascii="宋体" w:hAnsi="宋体" w:cs="宋体"/>
          <w:sz w:val="21"/>
          <w:szCs w:val="21"/>
        </w:rPr>
        <w:t>卫星遥感管理</w:t>
      </w:r>
      <w:bookmarkEnd w:id="56"/>
    </w:p>
    <w:p>
      <w:pPr>
        <w:spacing w:line="360" w:lineRule="auto"/>
        <w:ind w:firstLine="420" w:firstLineChars="200"/>
        <w:rPr>
          <w:color w:val="000000"/>
          <w:kern w:val="0"/>
          <w:szCs w:val="21"/>
        </w:rPr>
      </w:pPr>
      <w:r>
        <w:rPr>
          <w:color w:val="000000"/>
          <w:kern w:val="0"/>
          <w:szCs w:val="21"/>
        </w:rPr>
        <w:t>通过卫星遥感技术将识别到的风险事件进行汇总显示、智能分析，定期生成风险预警的通知和报告发送至相关部门进行处理。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57" w:name="_Toc21968699"/>
      <w:bookmarkStart w:id="58" w:name="_Toc109989108"/>
      <w:r>
        <w:rPr>
          <w:rFonts w:ascii="宋体" w:hAnsi="宋体" w:cs="宋体"/>
          <w:sz w:val="21"/>
          <w:szCs w:val="21"/>
        </w:rPr>
        <w:t>a.遥感监测</w:t>
      </w:r>
      <w:bookmarkEnd w:id="57"/>
      <w:r>
        <w:rPr>
          <w:rFonts w:ascii="宋体" w:hAnsi="宋体" w:cs="宋体"/>
          <w:sz w:val="21"/>
          <w:szCs w:val="21"/>
        </w:rPr>
        <w:t>方案设计</w:t>
      </w:r>
      <w:bookmarkEnd w:id="58"/>
    </w:p>
    <w:p>
      <w:pPr>
        <w:spacing w:line="360" w:lineRule="auto"/>
        <w:ind w:firstLine="420" w:firstLineChars="200"/>
        <w:rPr>
          <w:color w:val="000000"/>
          <w:kern w:val="0"/>
          <w:szCs w:val="21"/>
        </w:rPr>
      </w:pPr>
      <w:r>
        <w:rPr>
          <w:color w:val="000000"/>
          <w:kern w:val="0"/>
          <w:szCs w:val="21"/>
        </w:rPr>
        <w:t>针对宁波“无废城市”监管需求，对宁波“无废城市”遥感监测应用设计以下监测方案。</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59" w:name="_Toc21968700"/>
      <w:bookmarkStart w:id="60" w:name="_Toc109989109"/>
      <w:r>
        <w:rPr>
          <w:rFonts w:ascii="宋体" w:hAnsi="宋体" w:cs="宋体"/>
          <w:sz w:val="21"/>
          <w:szCs w:val="21"/>
        </w:rPr>
        <w:t>b.遥感监测应用服务</w:t>
      </w:r>
      <w:bookmarkEnd w:id="59"/>
      <w:bookmarkEnd w:id="60"/>
    </w:p>
    <w:p>
      <w:pPr>
        <w:spacing w:line="360" w:lineRule="auto"/>
        <w:ind w:firstLine="420" w:firstLineChars="200"/>
        <w:rPr>
          <w:color w:val="000000"/>
          <w:kern w:val="0"/>
          <w:szCs w:val="21"/>
        </w:rPr>
      </w:pPr>
      <w:r>
        <w:rPr>
          <w:color w:val="000000"/>
          <w:kern w:val="0"/>
          <w:szCs w:val="21"/>
        </w:rPr>
        <w:t>将定期遥感监测结果发布为地图服务，与相关要素信息进行多要素关联分析，可实现历史回溯、现状识别、变化统计功能。包括：监测数据大屏、专题GIS展示和统计分析、查询等功能。</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61" w:name="_Toc109989110"/>
      <w:r>
        <w:rPr>
          <w:rFonts w:ascii="宋体" w:hAnsi="宋体" w:cs="宋体"/>
          <w:sz w:val="21"/>
          <w:szCs w:val="21"/>
        </w:rPr>
        <w:t>c.遥感监测分析</w:t>
      </w:r>
      <w:bookmarkEnd w:id="61"/>
    </w:p>
    <w:p>
      <w:pPr>
        <w:spacing w:line="360" w:lineRule="auto"/>
        <w:ind w:firstLine="420" w:firstLineChars="200"/>
        <w:rPr>
          <w:color w:val="000000"/>
          <w:kern w:val="0"/>
          <w:szCs w:val="21"/>
        </w:rPr>
      </w:pPr>
      <w:r>
        <w:rPr>
          <w:color w:val="000000"/>
          <w:kern w:val="0"/>
          <w:szCs w:val="21"/>
        </w:rPr>
        <w:t>结合宁波无废城市遥感监测要求，监测成果大屏动态展示，</w:t>
      </w:r>
      <w:r>
        <w:rPr>
          <w:bCs/>
          <w:color w:val="000000"/>
          <w:kern w:val="0"/>
          <w:szCs w:val="21"/>
        </w:rPr>
        <w:t>此项功能在省平台功能基础上，进行本地化适配优化</w:t>
      </w:r>
      <w:r>
        <w:rPr>
          <w:color w:val="000000"/>
          <w:kern w:val="0"/>
          <w:szCs w:val="21"/>
        </w:rPr>
        <w:t>。</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62" w:name="_Toc109989111"/>
      <w:r>
        <w:rPr>
          <w:rFonts w:ascii="宋体" w:hAnsi="宋体" w:cs="宋体"/>
          <w:sz w:val="21"/>
          <w:szCs w:val="21"/>
        </w:rPr>
        <w:t>d.专题GIS展示和统计</w:t>
      </w:r>
      <w:bookmarkEnd w:id="62"/>
    </w:p>
    <w:p>
      <w:pPr>
        <w:spacing w:line="360" w:lineRule="auto"/>
        <w:ind w:firstLine="420" w:firstLineChars="200"/>
        <w:rPr>
          <w:color w:val="000000"/>
          <w:kern w:val="0"/>
          <w:szCs w:val="21"/>
        </w:rPr>
      </w:pPr>
      <w:r>
        <w:rPr>
          <w:color w:val="000000"/>
          <w:kern w:val="0"/>
          <w:szCs w:val="21"/>
        </w:rPr>
        <w:t>对遥感监测成果进行统计分析，并与无废城市相关指标进行对比分析和关联。</w:t>
      </w:r>
      <w:r>
        <w:rPr>
          <w:bCs/>
          <w:color w:val="000000"/>
          <w:kern w:val="0"/>
          <w:szCs w:val="21"/>
        </w:rPr>
        <w:t>此项内容在省平台功能基础上进行本地化适配</w:t>
      </w:r>
      <w:r>
        <w:rPr>
          <w:color w:val="000000"/>
          <w:kern w:val="0"/>
          <w:szCs w:val="21"/>
        </w:rPr>
        <w:t>。</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63" w:name="_Toc109989112"/>
      <w:r>
        <w:rPr>
          <w:rFonts w:ascii="宋体" w:hAnsi="宋体" w:cs="宋体"/>
          <w:sz w:val="21"/>
          <w:szCs w:val="21"/>
        </w:rPr>
        <w:t>e.智能对比</w:t>
      </w:r>
      <w:bookmarkEnd w:id="63"/>
    </w:p>
    <w:p>
      <w:pPr>
        <w:spacing w:line="360" w:lineRule="auto"/>
        <w:ind w:firstLine="420" w:firstLineChars="200"/>
        <w:rPr>
          <w:color w:val="000000"/>
          <w:kern w:val="0"/>
          <w:szCs w:val="21"/>
        </w:rPr>
      </w:pPr>
      <w:r>
        <w:rPr>
          <w:color w:val="000000"/>
          <w:kern w:val="0"/>
          <w:szCs w:val="21"/>
        </w:rPr>
        <w:t>多期监测成果通过智能对比工具，查看变化情况，支持宏观掌握全局变化到具体某一变化细节查看功能。</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64" w:name="_Toc109989113"/>
      <w:r>
        <w:rPr>
          <w:rFonts w:ascii="宋体" w:hAnsi="宋体" w:cs="宋体"/>
          <w:sz w:val="21"/>
          <w:szCs w:val="21"/>
        </w:rPr>
        <w:t>f.专题报告</w:t>
      </w:r>
      <w:bookmarkEnd w:id="64"/>
    </w:p>
    <w:p>
      <w:pPr>
        <w:pStyle w:val="2"/>
        <w:numPr>
          <w:ilvl w:val="0"/>
          <w:numId w:val="0"/>
        </w:numPr>
        <w:spacing w:line="360" w:lineRule="auto"/>
        <w:ind w:firstLine="420" w:firstLineChars="200"/>
        <w:rPr>
          <w:rFonts w:ascii="Times New Roman" w:hAnsi="Times New Roman"/>
          <w:szCs w:val="21"/>
        </w:rPr>
      </w:pPr>
      <w:r>
        <w:rPr>
          <w:rFonts w:ascii="Times New Roman" w:hAnsi="Times New Roman"/>
          <w:color w:val="000000"/>
          <w:kern w:val="0"/>
          <w:szCs w:val="21"/>
        </w:rPr>
        <w:t>根据用户需求可以自定义图文报告或者在线预览、下载已有报告、专题图和统计报表。</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65" w:name="_Toc109989114"/>
      <w:r>
        <w:rPr>
          <w:rFonts w:hint="eastAsia" w:ascii="宋体" w:hAnsi="宋体" w:cs="宋体"/>
          <w:sz w:val="21"/>
          <w:szCs w:val="21"/>
        </w:rPr>
        <w:t>⑤</w:t>
      </w:r>
      <w:r>
        <w:rPr>
          <w:rFonts w:ascii="宋体" w:hAnsi="宋体" w:cs="宋体"/>
          <w:sz w:val="21"/>
          <w:szCs w:val="21"/>
        </w:rPr>
        <w:t>无废舆情管理</w:t>
      </w:r>
      <w:bookmarkEnd w:id="65"/>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66" w:name="_Toc109989115"/>
      <w:r>
        <w:rPr>
          <w:rFonts w:ascii="宋体" w:hAnsi="宋体" w:cs="宋体"/>
          <w:sz w:val="21"/>
          <w:szCs w:val="21"/>
        </w:rPr>
        <w:t>a.舆情采集</w:t>
      </w:r>
      <w:bookmarkEnd w:id="66"/>
    </w:p>
    <w:p>
      <w:pPr>
        <w:spacing w:line="360" w:lineRule="auto"/>
        <w:ind w:firstLine="420" w:firstLineChars="200"/>
        <w:rPr>
          <w:color w:val="000000"/>
          <w:kern w:val="0"/>
          <w:szCs w:val="21"/>
        </w:rPr>
      </w:pPr>
      <w:r>
        <w:rPr>
          <w:color w:val="000000"/>
          <w:kern w:val="0"/>
          <w:szCs w:val="21"/>
        </w:rPr>
        <w:t>借助数据采集技术手段，通过对各网络平台进行“无废”相关数据采集和数据审核。</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67" w:name="_Toc109989116"/>
      <w:r>
        <w:rPr>
          <w:rFonts w:ascii="宋体" w:hAnsi="宋体" w:cs="宋体"/>
          <w:sz w:val="21"/>
          <w:szCs w:val="21"/>
        </w:rPr>
        <w:t>b.舆情分析</w:t>
      </w:r>
      <w:bookmarkEnd w:id="67"/>
    </w:p>
    <w:p>
      <w:pPr>
        <w:spacing w:line="360" w:lineRule="auto"/>
        <w:ind w:firstLine="420" w:firstLineChars="200"/>
        <w:rPr>
          <w:color w:val="000000"/>
          <w:kern w:val="0"/>
          <w:szCs w:val="21"/>
        </w:rPr>
      </w:pPr>
      <w:r>
        <w:rPr>
          <w:color w:val="000000"/>
          <w:kern w:val="0"/>
          <w:szCs w:val="21"/>
        </w:rPr>
        <w:t>提供日/周/月/年/专题事件等分析报告、区域投诉统计分析报告等。</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68" w:name="_Toc109989117"/>
      <w:r>
        <w:rPr>
          <w:rFonts w:ascii="宋体" w:hAnsi="宋体" w:cs="宋体"/>
          <w:sz w:val="21"/>
          <w:szCs w:val="21"/>
        </w:rPr>
        <w:t>c.舆情预警</w:t>
      </w:r>
      <w:bookmarkEnd w:id="68"/>
    </w:p>
    <w:p>
      <w:pPr>
        <w:spacing w:line="360" w:lineRule="auto"/>
        <w:ind w:firstLine="420" w:firstLineChars="200"/>
        <w:rPr>
          <w:color w:val="000000"/>
          <w:kern w:val="0"/>
          <w:szCs w:val="21"/>
        </w:rPr>
      </w:pPr>
      <w:r>
        <w:rPr>
          <w:color w:val="000000"/>
          <w:kern w:val="0"/>
          <w:szCs w:val="21"/>
        </w:rPr>
        <w:t>根据舆情分析结果，研判是否发布舆情预警信号。</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69" w:name="_Toc109989118"/>
      <w:r>
        <w:rPr>
          <w:rFonts w:ascii="宋体" w:hAnsi="宋体" w:cs="宋体"/>
          <w:sz w:val="21"/>
          <w:szCs w:val="21"/>
        </w:rPr>
        <w:t>d.舆情处置</w:t>
      </w:r>
      <w:bookmarkEnd w:id="69"/>
    </w:p>
    <w:p>
      <w:pPr>
        <w:spacing w:line="360" w:lineRule="auto"/>
        <w:ind w:firstLine="420" w:firstLineChars="200"/>
        <w:rPr>
          <w:color w:val="000000"/>
          <w:kern w:val="0"/>
          <w:szCs w:val="21"/>
        </w:rPr>
      </w:pPr>
      <w:r>
        <w:rPr>
          <w:color w:val="000000"/>
          <w:kern w:val="0"/>
          <w:szCs w:val="21"/>
        </w:rPr>
        <w:t>支持对自然语言进行筛选，并进入人工审核环节，对于匹配得上的风险管理板块进行风险识别。</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70" w:name="_Toc109989119"/>
      <w:r>
        <w:rPr>
          <w:rFonts w:ascii="宋体" w:hAnsi="宋体" w:cs="宋体"/>
          <w:sz w:val="21"/>
          <w:szCs w:val="21"/>
        </w:rPr>
        <w:t>e.舆情统计</w:t>
      </w:r>
      <w:bookmarkEnd w:id="70"/>
    </w:p>
    <w:p>
      <w:pPr>
        <w:spacing w:line="360" w:lineRule="auto"/>
        <w:ind w:firstLine="420" w:firstLineChars="200"/>
        <w:rPr>
          <w:color w:val="000000"/>
          <w:kern w:val="0"/>
          <w:szCs w:val="21"/>
        </w:rPr>
      </w:pPr>
      <w:r>
        <w:rPr>
          <w:color w:val="000000"/>
          <w:kern w:val="0"/>
          <w:szCs w:val="21"/>
        </w:rPr>
        <w:t>根据环保舆情统计分析结果进行信息发布。</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71" w:name="_Toc83287215"/>
      <w:bookmarkStart w:id="72" w:name="_Toc109989120"/>
      <w:bookmarkStart w:id="73" w:name="_Toc81381166"/>
      <w:r>
        <w:rPr>
          <w:rFonts w:hint="eastAsia" w:ascii="宋体" w:hAnsi="宋体" w:cs="宋体"/>
          <w:sz w:val="21"/>
          <w:szCs w:val="21"/>
        </w:rPr>
        <w:t>⑥</w:t>
      </w:r>
      <w:r>
        <w:rPr>
          <w:rFonts w:ascii="宋体" w:hAnsi="宋体" w:cs="宋体"/>
          <w:sz w:val="21"/>
          <w:szCs w:val="21"/>
        </w:rPr>
        <w:t>风险</w:t>
      </w:r>
      <w:bookmarkEnd w:id="71"/>
      <w:r>
        <w:rPr>
          <w:rFonts w:ascii="宋体" w:hAnsi="宋体" w:cs="宋体"/>
          <w:sz w:val="21"/>
          <w:szCs w:val="21"/>
        </w:rPr>
        <w:t>集成管理</w:t>
      </w:r>
      <w:bookmarkEnd w:id="72"/>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74" w:name="_Toc109989121"/>
      <w:r>
        <w:rPr>
          <w:rFonts w:ascii="宋体" w:hAnsi="宋体" w:cs="宋体"/>
          <w:sz w:val="21"/>
          <w:szCs w:val="21"/>
        </w:rPr>
        <w:t>a.风险规则库</w:t>
      </w:r>
      <w:bookmarkEnd w:id="74"/>
    </w:p>
    <w:p>
      <w:pPr>
        <w:spacing w:line="360" w:lineRule="auto"/>
        <w:ind w:firstLine="420" w:firstLineChars="200"/>
        <w:rPr>
          <w:b/>
          <w:bCs/>
          <w:color w:val="000000"/>
          <w:kern w:val="0"/>
          <w:szCs w:val="21"/>
        </w:rPr>
      </w:pPr>
      <w:r>
        <w:rPr>
          <w:szCs w:val="21"/>
        </w:rPr>
        <w:t>建立风险识别模型，将模型汇集各类型的风险进行深度学习，识别到某类固体废物在全生命周期某环节发生风险行为即开启风险预警。</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75" w:name="_Toc109989122"/>
      <w:r>
        <w:rPr>
          <w:rFonts w:ascii="宋体" w:hAnsi="宋体" w:cs="宋体"/>
          <w:sz w:val="21"/>
          <w:szCs w:val="21"/>
        </w:rPr>
        <w:t>b.风险任务调度</w:t>
      </w:r>
      <w:bookmarkEnd w:id="75"/>
    </w:p>
    <w:p>
      <w:pPr>
        <w:spacing w:line="360" w:lineRule="auto"/>
        <w:ind w:firstLine="420" w:firstLineChars="200"/>
        <w:rPr>
          <w:color w:val="000000"/>
          <w:kern w:val="0"/>
          <w:szCs w:val="21"/>
        </w:rPr>
      </w:pPr>
      <w:r>
        <w:rPr>
          <w:color w:val="000000"/>
          <w:kern w:val="0"/>
          <w:szCs w:val="21"/>
        </w:rPr>
        <w:t>针对风险事件的发生环节和固废类型进行风险识别工作。将各类风险事件经过风险识别后会派单至部门联动单元，由部门联动单元选择相关部门进行风险事件处理。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76" w:name="_Toc109989123"/>
      <w:r>
        <w:rPr>
          <w:rFonts w:ascii="宋体" w:hAnsi="宋体" w:cs="宋体"/>
          <w:sz w:val="21"/>
          <w:szCs w:val="21"/>
        </w:rPr>
        <w:t>c.风险办理成效评估</w:t>
      </w:r>
      <w:bookmarkEnd w:id="76"/>
    </w:p>
    <w:p>
      <w:pPr>
        <w:spacing w:line="360" w:lineRule="auto"/>
        <w:ind w:firstLine="420" w:firstLineChars="200"/>
        <w:rPr>
          <w:color w:val="000000"/>
          <w:kern w:val="0"/>
          <w:szCs w:val="21"/>
        </w:rPr>
      </w:pPr>
      <w:r>
        <w:rPr>
          <w:color w:val="000000"/>
          <w:kern w:val="0"/>
          <w:szCs w:val="21"/>
        </w:rPr>
        <w:t>针对固废各类风险事件已经基本形成闭环管理的基础上，进行风险办理成效的评估。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77" w:name="_Toc109989124"/>
      <w:r>
        <w:rPr>
          <w:rFonts w:ascii="宋体" w:hAnsi="宋体" w:cs="宋体"/>
          <w:sz w:val="21"/>
          <w:szCs w:val="21"/>
        </w:rPr>
        <w:t>d.风险统计分析</w:t>
      </w:r>
      <w:bookmarkEnd w:id="77"/>
    </w:p>
    <w:p>
      <w:pPr>
        <w:spacing w:line="360" w:lineRule="auto"/>
        <w:ind w:firstLine="420" w:firstLineChars="200"/>
        <w:rPr>
          <w:color w:val="000000"/>
          <w:kern w:val="0"/>
          <w:szCs w:val="21"/>
        </w:rPr>
      </w:pPr>
      <w:r>
        <w:rPr>
          <w:color w:val="000000"/>
          <w:kern w:val="0"/>
          <w:szCs w:val="21"/>
        </w:rPr>
        <w:t>在风险办理完成的基础上，按照客观统一的标准和科学有效的方法训练风险统计分析模型，对风险事件进行统计分析。</w:t>
      </w:r>
      <w:bookmarkStart w:id="78" w:name="_Toc83287216"/>
    </w:p>
    <w:bookmarkEnd w:id="73"/>
    <w:bookmarkEnd w:id="78"/>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79" w:name="_Toc109989125"/>
      <w:r>
        <w:rPr>
          <w:rFonts w:hint="eastAsia" w:ascii="宋体" w:hAnsi="宋体" w:cs="宋体"/>
          <w:sz w:val="21"/>
          <w:szCs w:val="21"/>
        </w:rPr>
        <w:t>⑦</w:t>
      </w:r>
      <w:r>
        <w:rPr>
          <w:rFonts w:ascii="宋体" w:hAnsi="宋体" w:cs="宋体"/>
          <w:sz w:val="21"/>
          <w:szCs w:val="21"/>
        </w:rPr>
        <w:t>固废排查管理</w:t>
      </w:r>
      <w:bookmarkEnd w:id="79"/>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80" w:name="_Toc109989126"/>
      <w:r>
        <w:rPr>
          <w:rFonts w:ascii="宋体" w:hAnsi="宋体" w:cs="宋体"/>
          <w:sz w:val="21"/>
          <w:szCs w:val="21"/>
        </w:rPr>
        <w:t>a.企业信息登记</w:t>
      </w:r>
      <w:bookmarkEnd w:id="80"/>
    </w:p>
    <w:p>
      <w:pPr>
        <w:spacing w:line="360" w:lineRule="auto"/>
        <w:ind w:firstLine="420" w:firstLineChars="200"/>
        <w:rPr>
          <w:color w:val="000000"/>
          <w:kern w:val="0"/>
          <w:szCs w:val="21"/>
        </w:rPr>
      </w:pPr>
      <w:r>
        <w:rPr>
          <w:color w:val="000000"/>
          <w:kern w:val="0"/>
          <w:szCs w:val="21"/>
        </w:rPr>
        <w:t>统计企业和各类固废的相关数据。</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81" w:name="_Toc109989127"/>
      <w:r>
        <w:rPr>
          <w:rFonts w:ascii="宋体" w:hAnsi="宋体" w:cs="宋体"/>
          <w:sz w:val="21"/>
          <w:szCs w:val="21"/>
        </w:rPr>
        <w:t>b.企业排查管理</w:t>
      </w:r>
      <w:bookmarkEnd w:id="81"/>
    </w:p>
    <w:p>
      <w:pPr>
        <w:spacing w:line="360" w:lineRule="auto"/>
        <w:ind w:firstLine="420" w:firstLineChars="200"/>
        <w:rPr>
          <w:color w:val="000000"/>
          <w:kern w:val="0"/>
          <w:szCs w:val="21"/>
        </w:rPr>
      </w:pPr>
      <w:r>
        <w:rPr>
          <w:color w:val="000000"/>
          <w:kern w:val="0"/>
          <w:szCs w:val="21"/>
        </w:rPr>
        <w:t>排查人员可以对相关企业的固废产生处置情况做排查并记录。</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82" w:name="_Toc109989128"/>
      <w:r>
        <w:rPr>
          <w:rFonts w:ascii="宋体" w:hAnsi="宋体" w:cs="宋体"/>
          <w:sz w:val="21"/>
          <w:szCs w:val="21"/>
        </w:rPr>
        <w:t>c.核查问题管理</w:t>
      </w:r>
      <w:bookmarkEnd w:id="82"/>
    </w:p>
    <w:p>
      <w:pPr>
        <w:spacing w:line="360" w:lineRule="auto"/>
        <w:ind w:firstLine="420" w:firstLineChars="200"/>
        <w:rPr>
          <w:color w:val="000000"/>
          <w:kern w:val="0"/>
          <w:szCs w:val="21"/>
        </w:rPr>
      </w:pPr>
      <w:r>
        <w:rPr>
          <w:color w:val="000000"/>
          <w:kern w:val="0"/>
          <w:szCs w:val="21"/>
        </w:rPr>
        <w:t>对于排查人员在企业排查过程中发现的固废问题进行管理。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83" w:name="_Toc109989129"/>
      <w:r>
        <w:rPr>
          <w:rFonts w:ascii="宋体" w:hAnsi="宋体" w:cs="宋体"/>
          <w:sz w:val="21"/>
          <w:szCs w:val="21"/>
        </w:rPr>
        <w:t>d.排查审批管理</w:t>
      </w:r>
      <w:bookmarkEnd w:id="83"/>
    </w:p>
    <w:p>
      <w:pPr>
        <w:spacing w:line="360" w:lineRule="auto"/>
        <w:ind w:firstLine="420" w:firstLineChars="200"/>
        <w:rPr>
          <w:szCs w:val="21"/>
        </w:rPr>
      </w:pPr>
      <w:r>
        <w:rPr>
          <w:color w:val="000000"/>
          <w:kern w:val="0"/>
          <w:szCs w:val="21"/>
        </w:rPr>
        <w:t>核对排查过的企业的填写信息，分为市级排查审批和区县排查审批。</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84" w:name="_Toc109989130"/>
      <w:bookmarkStart w:id="85" w:name="_Toc83287218"/>
      <w:r>
        <w:rPr>
          <w:rFonts w:hint="eastAsia" w:ascii="宋体" w:hAnsi="宋体" w:cs="宋体"/>
          <w:sz w:val="21"/>
          <w:szCs w:val="21"/>
        </w:rPr>
        <w:t>⑧</w:t>
      </w:r>
      <w:r>
        <w:rPr>
          <w:rFonts w:ascii="宋体" w:hAnsi="宋体" w:cs="宋体"/>
          <w:sz w:val="21"/>
          <w:szCs w:val="21"/>
        </w:rPr>
        <w:t>固废巡查管理</w:t>
      </w:r>
      <w:bookmarkEnd w:id="84"/>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86" w:name="_Toc109989131"/>
      <w:r>
        <w:rPr>
          <w:rFonts w:ascii="宋体" w:hAnsi="宋体" w:cs="宋体"/>
          <w:sz w:val="21"/>
          <w:szCs w:val="21"/>
        </w:rPr>
        <w:t>a.巡查任务创建</w:t>
      </w:r>
      <w:bookmarkEnd w:id="86"/>
    </w:p>
    <w:p>
      <w:pPr>
        <w:spacing w:line="360" w:lineRule="auto"/>
        <w:ind w:firstLine="420" w:firstLineChars="200"/>
        <w:rPr>
          <w:color w:val="000000"/>
          <w:kern w:val="0"/>
          <w:szCs w:val="21"/>
        </w:rPr>
      </w:pPr>
      <w:r>
        <w:rPr>
          <w:color w:val="000000"/>
          <w:kern w:val="0"/>
          <w:szCs w:val="21"/>
        </w:rPr>
        <w:t>系统自动或人工手动添加任务，任务类型包括常规任务和非常规任务。</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87" w:name="_Toc109989132"/>
      <w:r>
        <w:rPr>
          <w:rFonts w:ascii="宋体" w:hAnsi="宋体" w:cs="宋体"/>
          <w:sz w:val="21"/>
          <w:szCs w:val="21"/>
        </w:rPr>
        <w:t>b.巡查任务分配</w:t>
      </w:r>
      <w:bookmarkEnd w:id="87"/>
    </w:p>
    <w:p>
      <w:pPr>
        <w:spacing w:line="360" w:lineRule="auto"/>
        <w:ind w:firstLine="420" w:firstLineChars="200"/>
        <w:rPr>
          <w:color w:val="000000"/>
          <w:kern w:val="0"/>
          <w:szCs w:val="21"/>
        </w:rPr>
      </w:pPr>
      <w:r>
        <w:rPr>
          <w:color w:val="000000"/>
          <w:kern w:val="0"/>
          <w:szCs w:val="21"/>
        </w:rPr>
        <w:t>巡查任务将分配至相关部门的巡查任务管理员。</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88" w:name="_Toc109989133"/>
      <w:r>
        <w:rPr>
          <w:rFonts w:ascii="宋体" w:hAnsi="宋体" w:cs="宋体"/>
          <w:sz w:val="21"/>
          <w:szCs w:val="21"/>
        </w:rPr>
        <w:t>c.巡查任务反馈</w:t>
      </w:r>
      <w:bookmarkEnd w:id="88"/>
    </w:p>
    <w:p>
      <w:pPr>
        <w:spacing w:line="360" w:lineRule="auto"/>
        <w:ind w:firstLine="420" w:firstLineChars="200"/>
        <w:rPr>
          <w:color w:val="000000"/>
          <w:kern w:val="0"/>
          <w:szCs w:val="21"/>
        </w:rPr>
      </w:pPr>
      <w:r>
        <w:rPr>
          <w:color w:val="000000"/>
          <w:kern w:val="0"/>
          <w:szCs w:val="21"/>
        </w:rPr>
        <w:t>指派的巡查任务为定期巡查任务和突发巡查任务，巡查人员需按照巡查任务的不同类型准备对应材料。</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89" w:name="_Toc109989134"/>
      <w:r>
        <w:rPr>
          <w:rFonts w:ascii="宋体" w:hAnsi="宋体" w:cs="宋体"/>
          <w:sz w:val="21"/>
          <w:szCs w:val="21"/>
        </w:rPr>
        <w:t>d.整改结果上报</w:t>
      </w:r>
      <w:bookmarkEnd w:id="89"/>
    </w:p>
    <w:p>
      <w:pPr>
        <w:spacing w:line="360" w:lineRule="auto"/>
        <w:ind w:firstLine="420" w:firstLineChars="200"/>
        <w:rPr>
          <w:color w:val="000000"/>
          <w:kern w:val="0"/>
          <w:szCs w:val="21"/>
        </w:rPr>
      </w:pPr>
      <w:r>
        <w:rPr>
          <w:color w:val="000000"/>
          <w:kern w:val="0"/>
          <w:szCs w:val="21"/>
        </w:rPr>
        <w:t>现场巡查完成后，通过浙政钉“无废巡查”应用，将巡查发现的问题的汇总上报至主管单位。</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0" w:name="_Toc109989135"/>
      <w:r>
        <w:rPr>
          <w:rFonts w:ascii="宋体" w:hAnsi="宋体" w:cs="宋体"/>
          <w:sz w:val="21"/>
          <w:szCs w:val="21"/>
        </w:rPr>
        <w:t>e.巡查考核分析</w:t>
      </w:r>
      <w:bookmarkEnd w:id="90"/>
    </w:p>
    <w:p>
      <w:pPr>
        <w:spacing w:line="360" w:lineRule="auto"/>
        <w:ind w:firstLine="420" w:firstLineChars="200"/>
        <w:rPr>
          <w:color w:val="000000"/>
          <w:kern w:val="0"/>
          <w:szCs w:val="21"/>
        </w:rPr>
      </w:pPr>
      <w:r>
        <w:rPr>
          <w:color w:val="000000"/>
          <w:kern w:val="0"/>
          <w:szCs w:val="21"/>
        </w:rPr>
        <w:t>系统中根据巡查员巡查结果、闭环完成率、现场巡查次数、后续跟进落实整改情况等指标进行考核分析，根据考核结果进行排名和对标分析。</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1" w:name="_Toc109989136"/>
      <w:r>
        <w:rPr>
          <w:rFonts w:hint="eastAsia" w:ascii="宋体" w:hAnsi="宋体" w:cs="宋体"/>
          <w:sz w:val="21"/>
          <w:szCs w:val="21"/>
        </w:rPr>
        <w:t>⑨</w:t>
      </w:r>
      <w:r>
        <w:rPr>
          <w:rFonts w:ascii="宋体" w:hAnsi="宋体" w:cs="宋体"/>
          <w:sz w:val="21"/>
          <w:szCs w:val="21"/>
        </w:rPr>
        <w:t>部门联动</w:t>
      </w:r>
      <w:bookmarkEnd w:id="85"/>
      <w:r>
        <w:rPr>
          <w:rFonts w:ascii="宋体" w:hAnsi="宋体" w:cs="宋体"/>
          <w:sz w:val="21"/>
          <w:szCs w:val="21"/>
        </w:rPr>
        <w:t>管理</w:t>
      </w:r>
      <w:bookmarkEnd w:id="91"/>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2" w:name="_Toc109989137"/>
      <w:r>
        <w:rPr>
          <w:rFonts w:ascii="宋体" w:hAnsi="宋体" w:cs="宋体"/>
          <w:sz w:val="21"/>
          <w:szCs w:val="21"/>
        </w:rPr>
        <w:t>a.任务派单</w:t>
      </w:r>
      <w:bookmarkEnd w:id="92"/>
    </w:p>
    <w:p>
      <w:pPr>
        <w:spacing w:line="360" w:lineRule="auto"/>
        <w:ind w:firstLine="420" w:firstLineChars="200"/>
        <w:rPr>
          <w:szCs w:val="21"/>
        </w:rPr>
      </w:pPr>
      <w:r>
        <w:rPr>
          <w:szCs w:val="21"/>
        </w:rPr>
        <w:t>根据部门业务归属原则进行流转，可配置主办部门和协办部门。</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3" w:name="_Toc109989138"/>
      <w:r>
        <w:rPr>
          <w:rFonts w:ascii="宋体" w:hAnsi="宋体" w:cs="宋体"/>
          <w:sz w:val="21"/>
          <w:szCs w:val="21"/>
        </w:rPr>
        <w:t>b.问题处理</w:t>
      </w:r>
      <w:bookmarkEnd w:id="93"/>
    </w:p>
    <w:p>
      <w:pPr>
        <w:spacing w:line="360" w:lineRule="auto"/>
        <w:ind w:firstLine="420" w:firstLineChars="200"/>
        <w:rPr>
          <w:szCs w:val="21"/>
        </w:rPr>
      </w:pPr>
      <w:r>
        <w:rPr>
          <w:szCs w:val="21"/>
        </w:rPr>
        <w:t>根据巡查现场发现问题，实现问题上报、处置、结案功能。</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4" w:name="_Toc109989139"/>
      <w:r>
        <w:rPr>
          <w:rFonts w:ascii="宋体" w:hAnsi="宋体" w:cs="宋体"/>
          <w:sz w:val="21"/>
          <w:szCs w:val="21"/>
        </w:rPr>
        <w:t>c.应急联动</w:t>
      </w:r>
      <w:bookmarkEnd w:id="94"/>
    </w:p>
    <w:p>
      <w:pPr>
        <w:spacing w:line="360" w:lineRule="auto"/>
        <w:ind w:firstLine="420" w:firstLineChars="200"/>
        <w:rPr>
          <w:szCs w:val="21"/>
        </w:rPr>
      </w:pPr>
      <w:r>
        <w:rPr>
          <w:szCs w:val="21"/>
        </w:rPr>
        <w:t>通过实时信息的发布，使得各部门相关人员迅速协作响应。</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5" w:name="_Toc109989140"/>
      <w:r>
        <w:rPr>
          <w:rFonts w:ascii="宋体" w:hAnsi="宋体" w:cs="宋体"/>
          <w:sz w:val="21"/>
          <w:szCs w:val="21"/>
        </w:rPr>
        <w:t>d.执法推送</w:t>
      </w:r>
      <w:bookmarkEnd w:id="95"/>
    </w:p>
    <w:p>
      <w:pPr>
        <w:spacing w:line="360" w:lineRule="auto"/>
        <w:ind w:firstLine="420" w:firstLineChars="200"/>
        <w:rPr>
          <w:szCs w:val="21"/>
        </w:rPr>
      </w:pPr>
      <w:r>
        <w:rPr>
          <w:szCs w:val="21"/>
        </w:rPr>
        <w:t>将日常巡查、风险管理当中所发现的问题推送相关执法部门进行处理。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6" w:name="_Toc109989141"/>
      <w:r>
        <w:rPr>
          <w:rFonts w:hint="eastAsia" w:ascii="宋体" w:hAnsi="宋体" w:cs="宋体"/>
          <w:sz w:val="21"/>
          <w:szCs w:val="21"/>
        </w:rPr>
        <w:t>⑩</w:t>
      </w:r>
      <w:r>
        <w:rPr>
          <w:rFonts w:ascii="宋体" w:hAnsi="宋体" w:cs="宋体"/>
          <w:sz w:val="21"/>
          <w:szCs w:val="21"/>
        </w:rPr>
        <w:t>无废考核评价</w:t>
      </w:r>
      <w:bookmarkEnd w:id="96"/>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7" w:name="_Toc109989142"/>
      <w:r>
        <w:rPr>
          <w:rFonts w:ascii="宋体" w:hAnsi="宋体" w:cs="宋体"/>
          <w:sz w:val="21"/>
          <w:szCs w:val="21"/>
        </w:rPr>
        <w:t>a.考核标准管理</w:t>
      </w:r>
      <w:bookmarkEnd w:id="97"/>
    </w:p>
    <w:p>
      <w:pPr>
        <w:spacing w:line="360" w:lineRule="auto"/>
        <w:ind w:firstLine="420" w:firstLineChars="200"/>
        <w:contextualSpacing/>
        <w:rPr>
          <w:szCs w:val="21"/>
        </w:rPr>
      </w:pPr>
      <w:r>
        <w:rPr>
          <w:szCs w:val="21"/>
        </w:rPr>
        <w:t>通过建立无废城市考核的标准数据库，将考核标准进行录入，可通过逐级定义考核类别、项目、扣分项、扣分规则、整改时间等信息，进行考核标准的版本管理。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8" w:name="_Toc109989143"/>
      <w:r>
        <w:rPr>
          <w:rFonts w:ascii="宋体" w:hAnsi="宋体" w:cs="宋体"/>
          <w:sz w:val="21"/>
          <w:szCs w:val="21"/>
        </w:rPr>
        <w:t>b.考核内容管理</w:t>
      </w:r>
      <w:bookmarkEnd w:id="98"/>
    </w:p>
    <w:p>
      <w:pPr>
        <w:spacing w:line="360" w:lineRule="auto"/>
        <w:ind w:firstLine="420" w:firstLineChars="200"/>
        <w:rPr>
          <w:szCs w:val="21"/>
        </w:rPr>
      </w:pPr>
      <w:r>
        <w:rPr>
          <w:szCs w:val="21"/>
        </w:rPr>
        <w:t>将考核类型、考核主体、考核对象、考核指标、考核标准等进行数字化考核内容生成，并能根据考核类型的不同生成不同的考核内容。</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99" w:name="_Toc109989144"/>
      <w:r>
        <w:rPr>
          <w:rFonts w:ascii="宋体" w:hAnsi="宋体" w:cs="宋体"/>
          <w:sz w:val="21"/>
          <w:szCs w:val="21"/>
        </w:rPr>
        <w:t>c.考评结果评定</w:t>
      </w:r>
      <w:bookmarkEnd w:id="99"/>
    </w:p>
    <w:p>
      <w:pPr>
        <w:spacing w:line="360" w:lineRule="auto"/>
        <w:ind w:firstLine="420" w:firstLineChars="200"/>
        <w:contextualSpacing/>
        <w:rPr>
          <w:szCs w:val="21"/>
        </w:rPr>
      </w:pPr>
      <w:bookmarkStart w:id="100" w:name="_Hlk29651315"/>
      <w:r>
        <w:rPr>
          <w:szCs w:val="21"/>
        </w:rPr>
        <w:t>对考核内容进行综合考评并形成初步监管考核结果，考评结果同步下发到各个相关部门进行初步通告。</w:t>
      </w:r>
      <w:bookmarkEnd w:id="100"/>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01" w:name="_Toc109989145"/>
      <w:r>
        <w:rPr>
          <w:rFonts w:ascii="宋体" w:hAnsi="宋体" w:cs="宋体"/>
          <w:sz w:val="21"/>
          <w:szCs w:val="21"/>
        </w:rPr>
        <w:t>d.考核统计分析</w:t>
      </w:r>
      <w:bookmarkEnd w:id="101"/>
    </w:p>
    <w:p>
      <w:pPr>
        <w:spacing w:line="360" w:lineRule="auto"/>
        <w:ind w:firstLine="420" w:firstLineChars="200"/>
        <w:contextualSpacing/>
        <w:rPr>
          <w:szCs w:val="21"/>
        </w:rPr>
      </w:pPr>
      <w:r>
        <w:rPr>
          <w:szCs w:val="21"/>
        </w:rPr>
        <w:t>针对考核扣分的统计分析报表，得出各级区域（街道、单位）的考核得分，可通过柱状图等图表形式，对各级区域考核得分情况进行排名展示。</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02" w:name="_Toc109989146"/>
      <w:r>
        <w:rPr>
          <w:rFonts w:ascii="宋体" w:hAnsi="宋体" w:cs="宋体"/>
          <w:sz w:val="21"/>
          <w:szCs w:val="21"/>
        </w:rPr>
        <w:t>⑪无废决策分析</w:t>
      </w:r>
      <w:bookmarkEnd w:id="102"/>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03" w:name="_Toc109989147"/>
      <w:r>
        <w:rPr>
          <w:rFonts w:ascii="宋体" w:hAnsi="宋体" w:cs="宋体"/>
          <w:sz w:val="21"/>
          <w:szCs w:val="21"/>
        </w:rPr>
        <w:t>a.无废指标分析</w:t>
      </w:r>
      <w:bookmarkEnd w:id="103"/>
    </w:p>
    <w:p>
      <w:pPr>
        <w:pStyle w:val="173"/>
        <w:ind w:firstLine="420" w:firstLineChars="200"/>
        <w:rPr>
          <w:sz w:val="21"/>
          <w:szCs w:val="21"/>
        </w:rPr>
      </w:pPr>
      <w:r>
        <w:rPr>
          <w:sz w:val="21"/>
          <w:szCs w:val="21"/>
        </w:rPr>
        <w:t>进行考核指标、运行指标、建前指标、绩效指标全方位、全时域跟踪，建立建设项目及任务清单全流程对比跟进监管机制。</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04" w:name="_Toc109989148"/>
      <w:r>
        <w:rPr>
          <w:rFonts w:ascii="宋体" w:hAnsi="宋体" w:cs="宋体"/>
          <w:sz w:val="21"/>
          <w:szCs w:val="21"/>
        </w:rPr>
        <w:t>b.无废趋势分析</w:t>
      </w:r>
      <w:bookmarkEnd w:id="104"/>
    </w:p>
    <w:p>
      <w:pPr>
        <w:spacing w:line="360" w:lineRule="auto"/>
        <w:ind w:firstLine="420" w:firstLineChars="200"/>
        <w:rPr>
          <w:szCs w:val="21"/>
        </w:rPr>
      </w:pPr>
      <w:r>
        <w:rPr>
          <w:szCs w:val="21"/>
        </w:rPr>
        <w:t>对无废违规行为等进行多维度汇总、统计、分析。</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05" w:name="_Toc109989149"/>
      <w:r>
        <w:rPr>
          <w:rFonts w:ascii="宋体" w:hAnsi="宋体" w:cs="宋体"/>
          <w:sz w:val="21"/>
          <w:szCs w:val="21"/>
        </w:rPr>
        <w:t>c.处置能力分析</w:t>
      </w:r>
      <w:bookmarkEnd w:id="105"/>
    </w:p>
    <w:p>
      <w:pPr>
        <w:spacing w:line="360" w:lineRule="auto"/>
        <w:ind w:firstLine="420" w:firstLineChars="200"/>
        <w:rPr>
          <w:szCs w:val="21"/>
        </w:rPr>
      </w:pPr>
      <w:r>
        <w:rPr>
          <w:szCs w:val="21"/>
        </w:rPr>
        <w:t>汇总各处置终端设施设计处置负荷数据并提供研判分析。</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06" w:name="_Toc109989150"/>
      <w:r>
        <w:rPr>
          <w:rFonts w:ascii="宋体" w:hAnsi="宋体" w:cs="宋体"/>
          <w:sz w:val="21"/>
          <w:szCs w:val="21"/>
        </w:rPr>
        <w:t>d.固废流向分析</w:t>
      </w:r>
      <w:bookmarkEnd w:id="106"/>
    </w:p>
    <w:p>
      <w:pPr>
        <w:spacing w:line="360" w:lineRule="auto"/>
        <w:ind w:firstLine="420" w:firstLineChars="200"/>
        <w:rPr>
          <w:szCs w:val="21"/>
        </w:rPr>
      </w:pPr>
      <w:r>
        <w:rPr>
          <w:szCs w:val="21"/>
        </w:rPr>
        <w:t>对固废产生以后会通过运输单位流向何处和从其他地方接纳固废应用于何处展开分析。</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07" w:name="_Toc109989151"/>
      <w:r>
        <w:rPr>
          <w:rFonts w:ascii="宋体" w:hAnsi="宋体" w:cs="宋体"/>
          <w:sz w:val="21"/>
          <w:szCs w:val="21"/>
        </w:rPr>
        <w:t>e.固废三化分析</w:t>
      </w:r>
      <w:bookmarkEnd w:id="107"/>
    </w:p>
    <w:p>
      <w:pPr>
        <w:spacing w:line="360" w:lineRule="auto"/>
        <w:ind w:firstLine="420" w:firstLineChars="200"/>
        <w:rPr>
          <w:szCs w:val="21"/>
        </w:rPr>
      </w:pPr>
      <w:r>
        <w:rPr>
          <w:szCs w:val="21"/>
        </w:rPr>
        <w:t>对固体废物减量化、资源化、无害化数据指标分析。</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08" w:name="_Toc109989152"/>
      <w:r>
        <w:rPr>
          <w:rFonts w:ascii="宋体" w:hAnsi="宋体" w:cs="宋体"/>
          <w:sz w:val="21"/>
          <w:szCs w:val="21"/>
        </w:rPr>
        <w:t>f.无废报表报告管理</w:t>
      </w:r>
      <w:bookmarkEnd w:id="108"/>
    </w:p>
    <w:p>
      <w:pPr>
        <w:spacing w:line="360" w:lineRule="auto"/>
        <w:ind w:firstLine="420" w:firstLineChars="200"/>
        <w:rPr>
          <w:szCs w:val="21"/>
        </w:rPr>
      </w:pPr>
      <w:r>
        <w:rPr>
          <w:szCs w:val="21"/>
        </w:rPr>
        <w:t>提供一键生成无废报告功能，报告包括：无废指标报告、三化指标报告、无废指数报告等。</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09" w:name="_Toc109989153"/>
      <w:r>
        <w:rPr>
          <w:rFonts w:ascii="宋体" w:hAnsi="宋体" w:cs="宋体"/>
          <w:sz w:val="21"/>
          <w:szCs w:val="21"/>
        </w:rPr>
        <w:t>⑫宁波无废门户</w:t>
      </w:r>
      <w:bookmarkEnd w:id="109"/>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0" w:name="_Toc109989154"/>
      <w:r>
        <w:rPr>
          <w:rFonts w:ascii="宋体" w:hAnsi="宋体" w:cs="宋体"/>
          <w:sz w:val="21"/>
          <w:szCs w:val="21"/>
        </w:rPr>
        <w:t>a.数字政府门户展示</w:t>
      </w:r>
      <w:bookmarkEnd w:id="110"/>
    </w:p>
    <w:p>
      <w:pPr>
        <w:pStyle w:val="174"/>
        <w:ind w:firstLine="420"/>
        <w:rPr>
          <w:rFonts w:eastAsia="宋体"/>
          <w:kern w:val="2"/>
          <w:sz w:val="21"/>
          <w:szCs w:val="21"/>
        </w:rPr>
      </w:pPr>
      <w:r>
        <w:rPr>
          <w:rFonts w:eastAsia="宋体"/>
          <w:kern w:val="2"/>
          <w:sz w:val="21"/>
          <w:szCs w:val="21"/>
        </w:rPr>
        <w:t>宁波市“无废城市”建设集成场景应用项目为数字政府组成部分，需在数字政府总门户体系内提炼无废城市建设成果。</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1" w:name="_Toc109989155"/>
      <w:r>
        <w:rPr>
          <w:rFonts w:ascii="宋体" w:hAnsi="宋体" w:cs="宋体"/>
          <w:sz w:val="21"/>
          <w:szCs w:val="21"/>
        </w:rPr>
        <w:t>b.七大类固废和废水废气</w:t>
      </w:r>
      <w:bookmarkEnd w:id="111"/>
    </w:p>
    <w:p>
      <w:pPr>
        <w:pStyle w:val="174"/>
        <w:ind w:firstLine="420"/>
        <w:rPr>
          <w:rFonts w:eastAsia="宋体"/>
          <w:kern w:val="2"/>
          <w:sz w:val="21"/>
          <w:szCs w:val="21"/>
        </w:rPr>
      </w:pPr>
      <w:r>
        <w:rPr>
          <w:rFonts w:eastAsia="宋体"/>
          <w:kern w:val="2"/>
          <w:sz w:val="21"/>
          <w:szCs w:val="21"/>
        </w:rPr>
        <w:t>综合集成展示一般工业固废、危险废物、生活垃圾、建筑垃圾、农业废弃物、医疗废物、再生资源、废水废气数据信息。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2" w:name="_Toc109989156"/>
      <w:r>
        <w:rPr>
          <w:rFonts w:ascii="宋体" w:hAnsi="宋体" w:cs="宋体"/>
          <w:sz w:val="21"/>
          <w:szCs w:val="21"/>
        </w:rPr>
        <w:t>c.无废指数一张图</w:t>
      </w:r>
      <w:bookmarkEnd w:id="112"/>
    </w:p>
    <w:p>
      <w:pPr>
        <w:widowControl/>
        <w:spacing w:line="360" w:lineRule="auto"/>
        <w:ind w:firstLine="420" w:firstLineChars="200"/>
        <w:jc w:val="left"/>
        <w:rPr>
          <w:kern w:val="0"/>
          <w:szCs w:val="21"/>
        </w:rPr>
      </w:pPr>
      <w:r>
        <w:rPr>
          <w:kern w:val="0"/>
          <w:szCs w:val="21"/>
        </w:rPr>
        <w:t>整体展示建设指标体系中各个无废品类的建设指标及数值，对指标达到状态进行区分，对未达标与达标、超标的指标状态进行直观展示标记。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3" w:name="_Toc109989157"/>
      <w:r>
        <w:rPr>
          <w:rFonts w:ascii="宋体" w:hAnsi="宋体" w:cs="宋体"/>
          <w:sz w:val="21"/>
          <w:szCs w:val="21"/>
        </w:rPr>
        <w:t>d.无废细胞一张图</w:t>
      </w:r>
      <w:bookmarkEnd w:id="113"/>
    </w:p>
    <w:p>
      <w:pPr>
        <w:spacing w:line="360" w:lineRule="auto"/>
        <w:ind w:firstLine="420" w:firstLineChars="200"/>
        <w:rPr>
          <w:szCs w:val="21"/>
        </w:rPr>
      </w:pPr>
      <w:r>
        <w:rPr>
          <w:szCs w:val="21"/>
        </w:rPr>
        <w:t>通过无废细胞一张图展示宁波市九类无废细胞详细情况。</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4" w:name="_Toc109989158"/>
      <w:r>
        <w:rPr>
          <w:rFonts w:ascii="宋体" w:hAnsi="宋体" w:cs="宋体"/>
          <w:sz w:val="21"/>
          <w:szCs w:val="21"/>
        </w:rPr>
        <w:t>e.风险管控一张图</w:t>
      </w:r>
      <w:bookmarkEnd w:id="114"/>
    </w:p>
    <w:p>
      <w:pPr>
        <w:spacing w:line="360" w:lineRule="auto"/>
        <w:ind w:firstLine="420" w:firstLineChars="200"/>
        <w:rPr>
          <w:szCs w:val="21"/>
        </w:rPr>
      </w:pPr>
      <w:r>
        <w:rPr>
          <w:szCs w:val="21"/>
        </w:rPr>
        <w:t>通过风险管控一张图展示</w:t>
      </w:r>
      <w:r>
        <w:rPr>
          <w:color w:val="000000"/>
          <w:kern w:val="0"/>
          <w:szCs w:val="21"/>
        </w:rPr>
        <w:t>业务数据监测全流程的风险。</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5" w:name="_Toc109989159"/>
      <w:r>
        <w:rPr>
          <w:rFonts w:ascii="宋体" w:hAnsi="宋体" w:cs="宋体"/>
          <w:sz w:val="21"/>
          <w:szCs w:val="21"/>
        </w:rPr>
        <w:t>⑬“浙里无废”-宁波无废监管（浙政钉端）</w:t>
      </w:r>
      <w:bookmarkEnd w:id="115"/>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6" w:name="_Toc109989160"/>
      <w:r>
        <w:rPr>
          <w:rFonts w:ascii="宋体" w:hAnsi="宋体" w:cs="宋体"/>
          <w:sz w:val="21"/>
          <w:szCs w:val="21"/>
        </w:rPr>
        <w:t>a.卫星遥感</w:t>
      </w:r>
      <w:bookmarkEnd w:id="116"/>
    </w:p>
    <w:p>
      <w:pPr>
        <w:spacing w:line="360" w:lineRule="auto"/>
        <w:ind w:firstLine="420" w:firstLineChars="200"/>
        <w:rPr>
          <w:szCs w:val="21"/>
        </w:rPr>
      </w:pPr>
      <w:r>
        <w:rPr>
          <w:szCs w:val="21"/>
        </w:rPr>
        <w:t>在浙政钉上显示宁波本地卫星遥感监测出来的</w:t>
      </w:r>
      <w:r>
        <w:rPr>
          <w:color w:val="000000"/>
          <w:kern w:val="0"/>
          <w:szCs w:val="21"/>
        </w:rPr>
        <w:t>各类固废问题。</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7" w:name="_Toc109989161"/>
      <w:r>
        <w:rPr>
          <w:rFonts w:ascii="宋体" w:hAnsi="宋体" w:cs="宋体"/>
          <w:sz w:val="21"/>
          <w:szCs w:val="21"/>
        </w:rPr>
        <w:t>b.无废建设跟踪</w:t>
      </w:r>
      <w:bookmarkEnd w:id="117"/>
    </w:p>
    <w:p>
      <w:pPr>
        <w:spacing w:line="360" w:lineRule="auto"/>
        <w:ind w:firstLine="420" w:firstLineChars="200"/>
        <w:rPr>
          <w:szCs w:val="21"/>
        </w:rPr>
      </w:pPr>
      <w:r>
        <w:rPr>
          <w:szCs w:val="21"/>
        </w:rPr>
        <w:t>在移动端上对“无废城市”四张清单、无废指标、无废细胞的进展、完成情况以可视化图表形式进行展示并推送。</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8" w:name="_Toc109989162"/>
      <w:r>
        <w:rPr>
          <w:rFonts w:ascii="宋体" w:hAnsi="宋体" w:cs="宋体"/>
          <w:sz w:val="21"/>
          <w:szCs w:val="21"/>
        </w:rPr>
        <w:t>c.废物闭环管理</w:t>
      </w:r>
      <w:bookmarkEnd w:id="118"/>
    </w:p>
    <w:p>
      <w:pPr>
        <w:spacing w:line="360" w:lineRule="auto"/>
        <w:ind w:firstLine="420" w:firstLineChars="200"/>
        <w:rPr>
          <w:szCs w:val="21"/>
        </w:rPr>
      </w:pPr>
      <w:r>
        <w:rPr>
          <w:szCs w:val="21"/>
        </w:rPr>
        <w:t>可通过移动端在线查看废物产生、运输和处置情况。</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19" w:name="_Toc109989163"/>
      <w:r>
        <w:rPr>
          <w:rFonts w:ascii="宋体" w:hAnsi="宋体" w:cs="宋体"/>
          <w:sz w:val="21"/>
          <w:szCs w:val="21"/>
        </w:rPr>
        <w:t>d.企业物联管理</w:t>
      </w:r>
      <w:bookmarkEnd w:id="119"/>
    </w:p>
    <w:p>
      <w:pPr>
        <w:spacing w:line="360" w:lineRule="auto"/>
        <w:ind w:firstLine="420" w:firstLineChars="200"/>
        <w:rPr>
          <w:szCs w:val="21"/>
        </w:rPr>
      </w:pPr>
      <w:r>
        <w:rPr>
          <w:szCs w:val="21"/>
        </w:rPr>
        <w:t>将接入的视频数据、地磅信息和运行工况信息在移动端呈现出来。</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0" w:name="_Toc109989164"/>
      <w:r>
        <w:rPr>
          <w:rFonts w:ascii="宋体" w:hAnsi="宋体" w:cs="宋体"/>
          <w:sz w:val="21"/>
          <w:szCs w:val="21"/>
        </w:rPr>
        <w:t>e.风险管控</w:t>
      </w:r>
      <w:bookmarkEnd w:id="120"/>
    </w:p>
    <w:p>
      <w:pPr>
        <w:spacing w:line="360" w:lineRule="auto"/>
        <w:ind w:firstLine="420" w:firstLineChars="200"/>
        <w:rPr>
          <w:szCs w:val="21"/>
        </w:rPr>
      </w:pPr>
      <w:r>
        <w:rPr>
          <w:szCs w:val="21"/>
        </w:rPr>
        <w:t>在发生风险事件时，可通过浙政钉将预警消息推送至就近人员进行尽快处理。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1" w:name="_Toc109989165"/>
      <w:r>
        <w:rPr>
          <w:rFonts w:ascii="宋体" w:hAnsi="宋体" w:cs="宋体"/>
          <w:sz w:val="21"/>
          <w:szCs w:val="21"/>
        </w:rPr>
        <w:t>f.固废巡查</w:t>
      </w:r>
      <w:bookmarkEnd w:id="121"/>
    </w:p>
    <w:p>
      <w:pPr>
        <w:spacing w:line="360" w:lineRule="auto"/>
        <w:ind w:firstLine="420" w:firstLineChars="200"/>
        <w:rPr>
          <w:szCs w:val="21"/>
        </w:rPr>
      </w:pPr>
      <w:r>
        <w:rPr>
          <w:szCs w:val="21"/>
        </w:rPr>
        <w:t>在做重点企业和重点区域的巡查时，可以通过移动端对数据进行实时记录。</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2" w:name="_Toc109989166"/>
      <w:r>
        <w:rPr>
          <w:rFonts w:ascii="宋体" w:hAnsi="宋体" w:cs="宋体"/>
          <w:sz w:val="21"/>
          <w:szCs w:val="21"/>
        </w:rPr>
        <w:t>g.固废一本账</w:t>
      </w:r>
      <w:bookmarkEnd w:id="122"/>
    </w:p>
    <w:p>
      <w:pPr>
        <w:spacing w:line="360" w:lineRule="auto"/>
        <w:ind w:firstLine="420" w:firstLineChars="200"/>
        <w:rPr>
          <w:szCs w:val="21"/>
        </w:rPr>
      </w:pPr>
      <w:r>
        <w:rPr>
          <w:szCs w:val="21"/>
        </w:rPr>
        <w:t>通过扫码进行查看企业相关信息，同时对于企业的违规、污染等行为可以进行投诉举报。</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3" w:name="_Toc109989167"/>
      <w:r>
        <w:rPr>
          <w:rFonts w:ascii="宋体" w:hAnsi="宋体" w:cs="宋体"/>
          <w:sz w:val="21"/>
          <w:szCs w:val="21"/>
        </w:rPr>
        <w:t>2、公众服务端</w:t>
      </w:r>
      <w:bookmarkEnd w:id="123"/>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4" w:name="_Toc109989168"/>
      <w:r>
        <w:rPr>
          <w:rFonts w:ascii="宋体" w:hAnsi="宋体" w:cs="宋体"/>
          <w:sz w:val="21"/>
          <w:szCs w:val="21"/>
        </w:rPr>
        <w:t>（1）复用省级功能</w:t>
      </w:r>
      <w:bookmarkEnd w:id="124"/>
    </w:p>
    <w:p>
      <w:pPr>
        <w:spacing w:line="360" w:lineRule="auto"/>
        <w:ind w:firstLine="420" w:firstLineChars="200"/>
        <w:rPr>
          <w:szCs w:val="21"/>
        </w:rPr>
      </w:pPr>
      <w:r>
        <w:rPr>
          <w:szCs w:val="21"/>
        </w:rPr>
        <w:t>复用省生态环境厅现有的无废服务台功能，为本项目所涉及的对外服务模块提供功能支撑，实现无废服务的交易撮合、查询等，主要包括查询咨询、无废信息公开、固废交易撮合、无废学院、无废细胞等。</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5" w:name="_Toc109989169"/>
      <w:r>
        <w:rPr>
          <w:rFonts w:ascii="宋体" w:hAnsi="宋体" w:cs="宋体"/>
          <w:sz w:val="21"/>
          <w:szCs w:val="21"/>
        </w:rPr>
        <w:t>（2）无废宣教科普</w:t>
      </w:r>
      <w:bookmarkEnd w:id="125"/>
    </w:p>
    <w:p>
      <w:pPr>
        <w:spacing w:line="360" w:lineRule="auto"/>
        <w:ind w:firstLine="420" w:firstLineChars="200"/>
        <w:rPr>
          <w:szCs w:val="21"/>
        </w:rPr>
      </w:pPr>
      <w:r>
        <w:rPr>
          <w:szCs w:val="21"/>
        </w:rPr>
        <w:t>系统通过视频、动画、图片等方式将“无废城市”相关的关键知识内容进行展示，便于普通群众的快速接收和理解。</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6" w:name="_Toc109989170"/>
      <w:r>
        <w:rPr>
          <w:rFonts w:ascii="宋体" w:hAnsi="宋体" w:cs="宋体"/>
          <w:sz w:val="21"/>
          <w:szCs w:val="21"/>
        </w:rPr>
        <w:t>（3）无废公众参与</w:t>
      </w:r>
      <w:bookmarkEnd w:id="126"/>
    </w:p>
    <w:p>
      <w:pPr>
        <w:spacing w:line="360" w:lineRule="auto"/>
        <w:ind w:firstLine="420" w:firstLineChars="200"/>
        <w:rPr>
          <w:szCs w:val="21"/>
        </w:rPr>
      </w:pPr>
      <w:r>
        <w:rPr>
          <w:szCs w:val="21"/>
        </w:rPr>
        <w:t>建设公众参与及服务平台，对企业、公众及监管部门提供一个参与和展示的环境，按数据归集以公共数据的形式向公众展示群众关心的热点。</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7" w:name="_Toc109989171"/>
      <w:r>
        <w:rPr>
          <w:rFonts w:ascii="宋体" w:hAnsi="宋体" w:cs="宋体"/>
          <w:sz w:val="21"/>
          <w:szCs w:val="21"/>
        </w:rPr>
        <w:t>（4）“浙里无废”-宁波无废服务（浙里办端）</w:t>
      </w:r>
      <w:bookmarkEnd w:id="127"/>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8" w:name="_Toc109989172"/>
      <w:r>
        <w:rPr>
          <w:rFonts w:hint="eastAsia" w:ascii="宋体" w:hAnsi="宋体" w:cs="宋体"/>
          <w:sz w:val="21"/>
          <w:szCs w:val="21"/>
        </w:rPr>
        <w:t>①</w:t>
      </w:r>
      <w:r>
        <w:rPr>
          <w:rFonts w:ascii="宋体" w:hAnsi="宋体" w:cs="宋体"/>
          <w:sz w:val="21"/>
          <w:szCs w:val="21"/>
        </w:rPr>
        <w:t>建设进展</w:t>
      </w:r>
      <w:bookmarkEnd w:id="128"/>
    </w:p>
    <w:p>
      <w:pPr>
        <w:spacing w:line="360" w:lineRule="auto"/>
        <w:ind w:firstLine="420" w:firstLineChars="200"/>
        <w:rPr>
          <w:szCs w:val="21"/>
        </w:rPr>
      </w:pPr>
      <w:r>
        <w:rPr>
          <w:szCs w:val="21"/>
        </w:rPr>
        <w:t>公众可以通过手机端查询宁波无废城市建设进展。</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29" w:name="_Toc109989173"/>
      <w:r>
        <w:rPr>
          <w:rFonts w:hint="eastAsia" w:ascii="宋体" w:hAnsi="宋体" w:cs="宋体"/>
          <w:sz w:val="21"/>
          <w:szCs w:val="21"/>
        </w:rPr>
        <w:t>②</w:t>
      </w:r>
      <w:r>
        <w:rPr>
          <w:rFonts w:ascii="宋体" w:hAnsi="宋体" w:cs="宋体"/>
          <w:sz w:val="21"/>
          <w:szCs w:val="21"/>
        </w:rPr>
        <w:t>环境质量</w:t>
      </w:r>
      <w:bookmarkEnd w:id="129"/>
    </w:p>
    <w:p>
      <w:pPr>
        <w:spacing w:line="360" w:lineRule="auto"/>
        <w:ind w:firstLine="420" w:firstLineChars="200"/>
        <w:rPr>
          <w:szCs w:val="21"/>
        </w:rPr>
      </w:pPr>
      <w:r>
        <w:rPr>
          <w:szCs w:val="21"/>
        </w:rPr>
        <w:t>公众可以手机端查询全市的空气环境、水环境在线监测情况、废气排口污染物排放情况，空气、水质量实时指标和排名情况。</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30" w:name="_Toc109989174"/>
      <w:r>
        <w:rPr>
          <w:rFonts w:hint="eastAsia" w:ascii="宋体" w:hAnsi="宋体" w:cs="宋体"/>
          <w:sz w:val="21"/>
          <w:szCs w:val="21"/>
        </w:rPr>
        <w:t>③</w:t>
      </w:r>
      <w:r>
        <w:rPr>
          <w:rFonts w:ascii="宋体" w:hAnsi="宋体" w:cs="宋体"/>
          <w:sz w:val="21"/>
          <w:szCs w:val="21"/>
        </w:rPr>
        <w:t>环保百科</w:t>
      </w:r>
      <w:bookmarkEnd w:id="130"/>
    </w:p>
    <w:p>
      <w:pPr>
        <w:spacing w:line="360" w:lineRule="auto"/>
        <w:ind w:firstLine="420" w:firstLineChars="200"/>
        <w:rPr>
          <w:szCs w:val="21"/>
        </w:rPr>
      </w:pPr>
      <w:r>
        <w:rPr>
          <w:szCs w:val="21"/>
        </w:rPr>
        <w:t>推送无废城市法律法规、政策要求、宣传资料、术语书名等环保百科知识。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31" w:name="_Toc109989175"/>
      <w:r>
        <w:rPr>
          <w:rFonts w:hint="eastAsia" w:ascii="宋体" w:hAnsi="宋体" w:cs="宋体"/>
          <w:sz w:val="21"/>
          <w:szCs w:val="21"/>
        </w:rPr>
        <w:t>④</w:t>
      </w:r>
      <w:r>
        <w:rPr>
          <w:rFonts w:ascii="宋体" w:hAnsi="宋体" w:cs="宋体"/>
          <w:sz w:val="21"/>
          <w:szCs w:val="21"/>
        </w:rPr>
        <w:t>企业信息</w:t>
      </w:r>
      <w:bookmarkEnd w:id="131"/>
    </w:p>
    <w:p>
      <w:pPr>
        <w:spacing w:line="360" w:lineRule="auto"/>
        <w:ind w:firstLine="420" w:firstLineChars="200"/>
        <w:rPr>
          <w:szCs w:val="21"/>
        </w:rPr>
      </w:pPr>
      <w:r>
        <w:rPr>
          <w:szCs w:val="21"/>
        </w:rPr>
        <w:t>公众可以在移动端企业信息模块中对全市的重点监管企业通过扫描企业二维码的方式获取企业信息。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32" w:name="_Toc109989176"/>
      <w:r>
        <w:rPr>
          <w:rFonts w:hint="eastAsia" w:ascii="宋体" w:hAnsi="宋体" w:cs="宋体"/>
          <w:sz w:val="21"/>
          <w:szCs w:val="21"/>
        </w:rPr>
        <w:t>⑤</w:t>
      </w:r>
      <w:r>
        <w:rPr>
          <w:rFonts w:ascii="宋体" w:hAnsi="宋体" w:cs="宋体"/>
          <w:sz w:val="21"/>
          <w:szCs w:val="21"/>
        </w:rPr>
        <w:t>事件上报</w:t>
      </w:r>
      <w:bookmarkEnd w:id="132"/>
    </w:p>
    <w:p>
      <w:pPr>
        <w:spacing w:line="360" w:lineRule="auto"/>
        <w:ind w:firstLine="420" w:firstLineChars="200"/>
        <w:rPr>
          <w:szCs w:val="21"/>
        </w:rPr>
      </w:pPr>
      <w:r>
        <w:rPr>
          <w:szCs w:val="21"/>
        </w:rPr>
        <w:t>公众可以通过手机端将发现的重大环保事故或相关违规违法事件进行上报，并可从手机端跟进事件处理结果。</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33" w:name="_Toc109989177"/>
      <w:r>
        <w:rPr>
          <w:rFonts w:hint="eastAsia" w:ascii="宋体" w:hAnsi="宋体" w:cs="宋体"/>
          <w:sz w:val="21"/>
          <w:szCs w:val="21"/>
        </w:rPr>
        <w:t>⑥</w:t>
      </w:r>
      <w:r>
        <w:rPr>
          <w:rFonts w:ascii="宋体" w:hAnsi="宋体" w:cs="宋体"/>
          <w:sz w:val="21"/>
          <w:szCs w:val="21"/>
        </w:rPr>
        <w:t>问卷调查</w:t>
      </w:r>
      <w:bookmarkEnd w:id="133"/>
    </w:p>
    <w:p>
      <w:pPr>
        <w:spacing w:line="360" w:lineRule="auto"/>
        <w:ind w:firstLine="420" w:firstLineChars="200"/>
        <w:rPr>
          <w:szCs w:val="21"/>
        </w:rPr>
      </w:pPr>
      <w:r>
        <w:rPr>
          <w:szCs w:val="21"/>
        </w:rPr>
        <w:t>系统会定期发送无废城市建设中的问卷调查，包括常用知识，无废城市建设中涉及到的问题、公众关心的问题、看法意见进行问卷调查。</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34" w:name="_Toc23935"/>
      <w:bookmarkStart w:id="135" w:name="_Toc109989178"/>
      <w:r>
        <w:rPr>
          <w:rFonts w:ascii="宋体" w:hAnsi="宋体" w:cs="宋体"/>
          <w:sz w:val="21"/>
          <w:szCs w:val="21"/>
        </w:rPr>
        <w:t>（二）核心业务应用</w:t>
      </w:r>
      <w:bookmarkEnd w:id="134"/>
      <w:bookmarkEnd w:id="135"/>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36" w:name="_Toc109989179"/>
      <w:bookmarkStart w:id="137" w:name="_Toc83287227"/>
      <w:r>
        <w:rPr>
          <w:rFonts w:ascii="宋体" w:hAnsi="宋体" w:cs="宋体"/>
          <w:sz w:val="21"/>
          <w:szCs w:val="21"/>
        </w:rPr>
        <w:t>1、一般工业固废管理</w:t>
      </w:r>
      <w:bookmarkEnd w:id="136"/>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38" w:name="_Toc109989180"/>
      <w:r>
        <w:rPr>
          <w:rFonts w:ascii="宋体" w:hAnsi="宋体" w:cs="宋体"/>
          <w:sz w:val="21"/>
          <w:szCs w:val="21"/>
        </w:rPr>
        <w:t>（1）一般工业固废电子台账</w:t>
      </w:r>
      <w:bookmarkEnd w:id="138"/>
    </w:p>
    <w:p>
      <w:pPr>
        <w:spacing w:line="360" w:lineRule="auto"/>
        <w:ind w:firstLine="420" w:firstLineChars="200"/>
        <w:rPr>
          <w:b/>
          <w:bCs/>
          <w:szCs w:val="21"/>
        </w:rPr>
      </w:pPr>
      <w:r>
        <w:rPr>
          <w:color w:val="000000"/>
          <w:szCs w:val="21"/>
        </w:rPr>
        <w:t>省一般工业固废台账与生态环境部2021年度“一般工业固废管理台账制定指南”建设要求存在差异，本模块需按照生态环境部台账要求重新制定管理台账，包括</w:t>
      </w:r>
      <w:r>
        <w:rPr>
          <w:szCs w:val="21"/>
        </w:rPr>
        <w:t>一般工业固废电子台账填报及一般工业固废电子台账管理</w:t>
      </w:r>
      <w:r>
        <w:rPr>
          <w:color w:val="000000"/>
          <w:szCs w:val="21"/>
        </w:rPr>
        <w:t>。</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39" w:name="_Toc109989181"/>
      <w:r>
        <w:rPr>
          <w:rFonts w:ascii="宋体" w:hAnsi="宋体" w:cs="宋体"/>
          <w:sz w:val="21"/>
          <w:szCs w:val="21"/>
        </w:rPr>
        <w:t>（2）一般工业固废运输过程监管</w:t>
      </w:r>
      <w:bookmarkEnd w:id="139"/>
    </w:p>
    <w:p>
      <w:pPr>
        <w:spacing w:line="360" w:lineRule="auto"/>
        <w:ind w:firstLine="420" w:firstLineChars="200"/>
        <w:rPr>
          <w:szCs w:val="21"/>
        </w:rPr>
      </w:pPr>
      <w:r>
        <w:rPr>
          <w:szCs w:val="21"/>
        </w:rPr>
        <w:t>通过GPS技术、车载视频技术实现对运输单位的实时监管，从车辆转移受理、车辆接收、运输过程实时监控到处理企业接收进行全过程监管。</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0" w:name="_Toc109989182"/>
      <w:r>
        <w:rPr>
          <w:rFonts w:ascii="宋体" w:hAnsi="宋体" w:cs="宋体"/>
          <w:sz w:val="21"/>
          <w:szCs w:val="21"/>
        </w:rPr>
        <w:t>（3）一般工业固废处置过程监管</w:t>
      </w:r>
      <w:bookmarkEnd w:id="140"/>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1" w:name="_Toc109989183"/>
      <w:r>
        <w:rPr>
          <w:rFonts w:hint="eastAsia" w:ascii="宋体" w:hAnsi="宋体" w:cs="宋体"/>
          <w:sz w:val="21"/>
          <w:szCs w:val="21"/>
        </w:rPr>
        <w:t>①</w:t>
      </w:r>
      <w:r>
        <w:rPr>
          <w:rFonts w:ascii="宋体" w:hAnsi="宋体" w:cs="宋体"/>
          <w:sz w:val="21"/>
          <w:szCs w:val="21"/>
        </w:rPr>
        <w:t>视频监控管理</w:t>
      </w:r>
      <w:bookmarkEnd w:id="141"/>
    </w:p>
    <w:p>
      <w:pPr>
        <w:spacing w:line="360" w:lineRule="auto"/>
        <w:ind w:firstLine="420" w:firstLineChars="200"/>
        <w:rPr>
          <w:szCs w:val="21"/>
        </w:rPr>
      </w:pPr>
      <w:r>
        <w:rPr>
          <w:szCs w:val="21"/>
        </w:rPr>
        <w:t>对接</w:t>
      </w:r>
      <w:r>
        <w:rPr>
          <w:szCs w:val="21"/>
          <w:lang w:eastAsia="zh-Hans"/>
        </w:rPr>
        <w:t>处置企业的视频监控数据</w:t>
      </w:r>
      <w:r>
        <w:rPr>
          <w:szCs w:val="21"/>
        </w:rPr>
        <w:t>，并构建在线观看、历史回看、离线管理等功能，本项工作通过调用物联感知监管中的视频监控管理模块相关能力实现。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2" w:name="_Toc109989184"/>
      <w:r>
        <w:rPr>
          <w:rFonts w:hint="eastAsia" w:ascii="宋体" w:hAnsi="宋体" w:cs="宋体"/>
          <w:sz w:val="21"/>
          <w:szCs w:val="21"/>
        </w:rPr>
        <w:t>②</w:t>
      </w:r>
      <w:r>
        <w:rPr>
          <w:rFonts w:ascii="宋体" w:hAnsi="宋体" w:cs="宋体"/>
          <w:sz w:val="21"/>
          <w:szCs w:val="21"/>
        </w:rPr>
        <w:t>地磅监控管理</w:t>
      </w:r>
      <w:bookmarkEnd w:id="142"/>
    </w:p>
    <w:p>
      <w:pPr>
        <w:spacing w:line="360" w:lineRule="auto"/>
        <w:ind w:firstLine="420" w:firstLineChars="200"/>
        <w:contextualSpacing/>
        <w:rPr>
          <w:szCs w:val="21"/>
          <w:lang w:eastAsia="zh-Hans"/>
        </w:rPr>
      </w:pPr>
      <w:r>
        <w:rPr>
          <w:color w:val="000000"/>
          <w:szCs w:val="21"/>
        </w:rPr>
        <w:t>通过数据对接技术对接处置企业的地磅设备，获取地磅的台账数据，并对重量异常情况进行自动预警，</w:t>
      </w:r>
      <w:r>
        <w:rPr>
          <w:szCs w:val="21"/>
        </w:rPr>
        <w:t>本项工作通过调用物联感知监管中的地磅监控管理模块相关能力实现。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3" w:name="_Toc109989185"/>
      <w:r>
        <w:rPr>
          <w:rFonts w:hint="eastAsia" w:ascii="宋体" w:hAnsi="宋体" w:cs="宋体"/>
          <w:sz w:val="21"/>
          <w:szCs w:val="21"/>
        </w:rPr>
        <w:t>③</w:t>
      </w:r>
      <w:r>
        <w:rPr>
          <w:rFonts w:ascii="宋体" w:hAnsi="宋体" w:cs="宋体"/>
          <w:sz w:val="21"/>
          <w:szCs w:val="21"/>
        </w:rPr>
        <w:t>工况监控管理</w:t>
      </w:r>
      <w:bookmarkEnd w:id="143"/>
    </w:p>
    <w:p>
      <w:pPr>
        <w:spacing w:line="360" w:lineRule="auto"/>
        <w:ind w:firstLine="420" w:firstLineChars="200"/>
        <w:contextualSpacing/>
        <w:rPr>
          <w:szCs w:val="21"/>
        </w:rPr>
      </w:pPr>
      <w:r>
        <w:rPr>
          <w:szCs w:val="21"/>
          <w:lang w:eastAsia="zh-Hans"/>
        </w:rPr>
        <w:t>通过对接处置企业生产运行数据，包括DCS系统、PLC系统等数据，实现对处置工况的远程监管</w:t>
      </w:r>
      <w:r>
        <w:rPr>
          <w:szCs w:val="21"/>
        </w:rPr>
        <w:t>，本项工作通过调用物联感知监管中的工况监控管理模块相关能力，包括工况信息采集、工况信息分析实现。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4" w:name="_Toc109989186"/>
      <w:r>
        <w:rPr>
          <w:rFonts w:ascii="宋体" w:hAnsi="宋体" w:cs="宋体"/>
          <w:sz w:val="21"/>
          <w:szCs w:val="21"/>
        </w:rPr>
        <w:t>2、危险废物管理</w:t>
      </w:r>
      <w:bookmarkEnd w:id="144"/>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5" w:name="_Toc109989187"/>
      <w:r>
        <w:rPr>
          <w:rFonts w:ascii="宋体" w:hAnsi="宋体" w:cs="宋体"/>
          <w:sz w:val="21"/>
          <w:szCs w:val="21"/>
        </w:rPr>
        <w:t>（1）危险废物一码监管</w:t>
      </w:r>
      <w:bookmarkEnd w:id="145"/>
    </w:p>
    <w:p>
      <w:pPr>
        <w:spacing w:line="360" w:lineRule="auto"/>
        <w:ind w:firstLine="420" w:firstLineChars="200"/>
        <w:rPr>
          <w:szCs w:val="21"/>
          <w:lang w:eastAsia="zh-Hans"/>
        </w:rPr>
      </w:pPr>
      <w:r>
        <w:rPr>
          <w:szCs w:val="21"/>
        </w:rPr>
        <w:t>本模块通过复用省固废管理系统（危废管理）中的危废管理计划、管理计划电子台账、转移联单功能，通过数据对接的方式获取省固废系统相关信息，并在转移联单基础上，新增联单二维码信息，以提供危废产生、收运、处置等过程的扫码管理。在省平台功能基础上，本模块将新增</w:t>
      </w:r>
      <w:r>
        <w:rPr>
          <w:szCs w:val="21"/>
          <w:lang w:eastAsia="zh-Hans"/>
        </w:rPr>
        <w:t>危险废物一码监管体系</w:t>
      </w:r>
      <w:r>
        <w:rPr>
          <w:szCs w:val="21"/>
        </w:rPr>
        <w:t>（二维码全流程闭环监管功能点）及</w:t>
      </w:r>
      <w:r>
        <w:rPr>
          <w:szCs w:val="21"/>
          <w:lang w:eastAsia="zh-Hans"/>
        </w:rPr>
        <w:t>危险废物运输过程协同管理</w:t>
      </w:r>
      <w:r>
        <w:rPr>
          <w:szCs w:val="21"/>
        </w:rPr>
        <w:t>功能</w:t>
      </w:r>
      <w:r>
        <w:rPr>
          <w:szCs w:val="21"/>
          <w:lang w:eastAsia="zh-Hans"/>
        </w:rPr>
        <w:t>。</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6" w:name="_Toc109989188"/>
      <w:r>
        <w:rPr>
          <w:rFonts w:hint="eastAsia" w:ascii="宋体" w:hAnsi="宋体" w:cs="宋体"/>
          <w:sz w:val="21"/>
          <w:szCs w:val="21"/>
        </w:rPr>
        <w:t>①</w:t>
      </w:r>
      <w:r>
        <w:rPr>
          <w:rFonts w:ascii="宋体" w:hAnsi="宋体" w:cs="宋体"/>
          <w:sz w:val="21"/>
          <w:szCs w:val="21"/>
        </w:rPr>
        <w:t>产废过程管理</w:t>
      </w:r>
      <w:bookmarkEnd w:id="146"/>
    </w:p>
    <w:p>
      <w:pPr>
        <w:spacing w:line="360" w:lineRule="auto"/>
        <w:ind w:firstLine="420" w:firstLineChars="200"/>
        <w:contextualSpacing/>
        <w:rPr>
          <w:b/>
          <w:bCs/>
          <w:szCs w:val="21"/>
        </w:rPr>
      </w:pPr>
      <w:r>
        <w:rPr>
          <w:szCs w:val="21"/>
        </w:rPr>
        <w:t>将危废分类、打包进行收集，将相关信息录入系统并生成二维码，信息自动上传至平台。包括二维码联单、出入库管理、管理计划、电子台账等模块。</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7" w:name="_Toc109989189"/>
      <w:r>
        <w:rPr>
          <w:rFonts w:hint="eastAsia" w:ascii="宋体" w:hAnsi="宋体" w:cs="宋体"/>
          <w:sz w:val="21"/>
          <w:szCs w:val="21"/>
        </w:rPr>
        <w:t>②</w:t>
      </w:r>
      <w:r>
        <w:rPr>
          <w:rFonts w:ascii="宋体" w:hAnsi="宋体" w:cs="宋体"/>
          <w:sz w:val="21"/>
          <w:szCs w:val="21"/>
        </w:rPr>
        <w:t>运输过程管理</w:t>
      </w:r>
      <w:bookmarkEnd w:id="147"/>
    </w:p>
    <w:p>
      <w:pPr>
        <w:spacing w:line="360" w:lineRule="auto"/>
        <w:ind w:firstLine="420" w:firstLineChars="200"/>
        <w:contextualSpacing/>
        <w:rPr>
          <w:szCs w:val="21"/>
        </w:rPr>
      </w:pPr>
      <w:r>
        <w:rPr>
          <w:szCs w:val="21"/>
          <w:lang w:eastAsia="zh-Hans"/>
        </w:rPr>
        <w:t>平台通过与“两客一危”系统对接查看</w:t>
      </w:r>
      <w:r>
        <w:rPr>
          <w:szCs w:val="21"/>
        </w:rPr>
        <w:t>危废</w:t>
      </w:r>
      <w:r>
        <w:rPr>
          <w:szCs w:val="21"/>
          <w:lang w:eastAsia="zh-Hans"/>
        </w:rPr>
        <w:t>后续的流转状态。</w:t>
      </w:r>
      <w:r>
        <w:rPr>
          <w:szCs w:val="21"/>
        </w:rPr>
        <w:t>包括</w:t>
      </w:r>
      <w:r>
        <w:rPr>
          <w:szCs w:val="21"/>
          <w:lang w:eastAsia="zh-Hans"/>
        </w:rPr>
        <w:t>车辆信息、驾驶员信息、企业信息</w:t>
      </w:r>
      <w:r>
        <w:rPr>
          <w:szCs w:val="21"/>
        </w:rPr>
        <w:t>、</w:t>
      </w:r>
      <w:r>
        <w:rPr>
          <w:szCs w:val="21"/>
          <w:lang w:eastAsia="zh-Hans"/>
        </w:rPr>
        <w:t>交通卡口</w:t>
      </w:r>
      <w:r>
        <w:rPr>
          <w:szCs w:val="21"/>
        </w:rPr>
        <w:t>等。</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8" w:name="_Toc109989190"/>
      <w:r>
        <w:rPr>
          <w:rFonts w:hint="eastAsia" w:ascii="宋体" w:hAnsi="宋体" w:cs="宋体"/>
          <w:sz w:val="21"/>
          <w:szCs w:val="21"/>
        </w:rPr>
        <w:t>③</w:t>
      </w:r>
      <w:r>
        <w:rPr>
          <w:rFonts w:ascii="宋体" w:hAnsi="宋体" w:cs="宋体"/>
          <w:sz w:val="21"/>
          <w:szCs w:val="21"/>
        </w:rPr>
        <w:t>处置过程管理</w:t>
      </w:r>
      <w:bookmarkEnd w:id="148"/>
    </w:p>
    <w:p>
      <w:pPr>
        <w:widowControl/>
        <w:spacing w:line="360" w:lineRule="auto"/>
        <w:ind w:firstLine="420" w:firstLineChars="200"/>
        <w:rPr>
          <w:szCs w:val="21"/>
        </w:rPr>
      </w:pPr>
      <w:r>
        <w:rPr>
          <w:szCs w:val="21"/>
        </w:rPr>
        <w:t>通过处置联单与二维码，实现危废交付过程中电子凭证的有效采集与上传。包括视频监控管理、地磅监控管理、工况监控管理等模块，调用物联感知监管中相关模块相关能力实现。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49" w:name="_Toc109989191"/>
      <w:r>
        <w:rPr>
          <w:rFonts w:hint="eastAsia" w:ascii="宋体" w:hAnsi="宋体" w:cs="宋体"/>
          <w:sz w:val="21"/>
          <w:szCs w:val="21"/>
        </w:rPr>
        <w:t>④</w:t>
      </w:r>
      <w:r>
        <w:rPr>
          <w:rFonts w:ascii="宋体" w:hAnsi="宋体" w:cs="宋体"/>
          <w:sz w:val="21"/>
          <w:szCs w:val="21"/>
        </w:rPr>
        <w:t>危险废物一码监管应用</w:t>
      </w:r>
      <w:bookmarkEnd w:id="149"/>
    </w:p>
    <w:p>
      <w:pPr>
        <w:numPr>
          <w:ilvl w:val="255"/>
          <w:numId w:val="0"/>
        </w:numPr>
        <w:spacing w:line="360" w:lineRule="auto"/>
        <w:ind w:firstLine="420" w:firstLineChars="200"/>
        <w:rPr>
          <w:szCs w:val="21"/>
        </w:rPr>
      </w:pPr>
      <w:r>
        <w:rPr>
          <w:szCs w:val="21"/>
        </w:rPr>
        <w:t>摸清危废产废底数，构建智能物联网络，识别过程风险等。</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0" w:name="_Toc109989192"/>
      <w:r>
        <w:rPr>
          <w:rFonts w:ascii="宋体" w:hAnsi="宋体" w:cs="宋体"/>
          <w:sz w:val="21"/>
          <w:szCs w:val="21"/>
        </w:rPr>
        <w:t>（2）危险废物风险管控</w:t>
      </w:r>
      <w:bookmarkEnd w:id="150"/>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1" w:name="_Toc109989193"/>
      <w:r>
        <w:rPr>
          <w:rFonts w:hint="eastAsia" w:ascii="宋体" w:hAnsi="宋体" w:cs="宋体"/>
          <w:sz w:val="21"/>
          <w:szCs w:val="21"/>
        </w:rPr>
        <w:t>①</w:t>
      </w:r>
      <w:r>
        <w:rPr>
          <w:rFonts w:ascii="宋体" w:hAnsi="宋体" w:cs="宋体"/>
          <w:sz w:val="21"/>
          <w:szCs w:val="21"/>
        </w:rPr>
        <w:t>风险预警规则</w:t>
      </w:r>
      <w:bookmarkEnd w:id="151"/>
    </w:p>
    <w:p>
      <w:pPr>
        <w:spacing w:line="360" w:lineRule="auto"/>
        <w:ind w:firstLine="420" w:firstLineChars="200"/>
        <w:contextualSpacing/>
        <w:rPr>
          <w:color w:val="000000"/>
          <w:szCs w:val="21"/>
        </w:rPr>
      </w:pPr>
      <w:r>
        <w:rPr>
          <w:color w:val="000000"/>
          <w:szCs w:val="21"/>
        </w:rPr>
        <w:t>在系统中定义预警规则，所有报警系统后台均自动进行问题深层追溯。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2" w:name="_Toc109989194"/>
      <w:r>
        <w:rPr>
          <w:rFonts w:hint="eastAsia" w:ascii="宋体" w:hAnsi="宋体" w:cs="宋体"/>
          <w:sz w:val="21"/>
          <w:szCs w:val="21"/>
        </w:rPr>
        <w:t>②</w:t>
      </w:r>
      <w:r>
        <w:rPr>
          <w:rFonts w:ascii="宋体" w:hAnsi="宋体" w:cs="宋体"/>
          <w:sz w:val="21"/>
          <w:szCs w:val="21"/>
        </w:rPr>
        <w:t>风险预警</w:t>
      </w:r>
      <w:bookmarkEnd w:id="152"/>
    </w:p>
    <w:p>
      <w:pPr>
        <w:spacing w:line="360" w:lineRule="auto"/>
        <w:ind w:firstLine="420" w:firstLineChars="200"/>
        <w:contextualSpacing/>
        <w:rPr>
          <w:color w:val="000000"/>
          <w:szCs w:val="21"/>
        </w:rPr>
      </w:pPr>
      <w:r>
        <w:rPr>
          <w:color w:val="000000"/>
          <w:szCs w:val="21"/>
        </w:rPr>
        <w:t>对危险废物全生命周期的违法违规行为进行风险预警。</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3" w:name="_Toc109989195"/>
      <w:r>
        <w:rPr>
          <w:rFonts w:ascii="宋体" w:hAnsi="宋体" w:cs="宋体"/>
          <w:sz w:val="21"/>
          <w:szCs w:val="21"/>
        </w:rPr>
        <w:t>（3）小微源危废监管</w:t>
      </w:r>
      <w:bookmarkEnd w:id="153"/>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4" w:name="_Toc109989196"/>
      <w:r>
        <w:rPr>
          <w:rFonts w:hint="eastAsia" w:ascii="宋体" w:hAnsi="宋体" w:cs="宋体"/>
          <w:sz w:val="21"/>
          <w:szCs w:val="21"/>
        </w:rPr>
        <w:t>①</w:t>
      </w:r>
      <w:r>
        <w:rPr>
          <w:rFonts w:ascii="宋体" w:hAnsi="宋体" w:cs="宋体"/>
          <w:sz w:val="21"/>
          <w:szCs w:val="21"/>
        </w:rPr>
        <w:t>基础信息管理</w:t>
      </w:r>
      <w:bookmarkEnd w:id="154"/>
    </w:p>
    <w:p>
      <w:pPr>
        <w:tabs>
          <w:tab w:val="left" w:leader="dot" w:pos="420"/>
        </w:tabs>
        <w:spacing w:line="360" w:lineRule="auto"/>
        <w:ind w:firstLine="420" w:firstLineChars="200"/>
        <w:rPr>
          <w:szCs w:val="21"/>
        </w:rPr>
      </w:pPr>
      <w:r>
        <w:rPr>
          <w:color w:val="000000"/>
          <w:szCs w:val="21"/>
        </w:rPr>
        <w:t>建立电子信息档案，实现对小微源危废企业基础数据的管理。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5" w:name="_Toc109989197"/>
      <w:r>
        <w:rPr>
          <w:rFonts w:hint="eastAsia" w:ascii="宋体" w:hAnsi="宋体" w:cs="宋体"/>
          <w:sz w:val="21"/>
          <w:szCs w:val="21"/>
        </w:rPr>
        <w:t>②</w:t>
      </w:r>
      <w:r>
        <w:rPr>
          <w:rFonts w:ascii="宋体" w:hAnsi="宋体" w:cs="宋体"/>
          <w:sz w:val="21"/>
          <w:szCs w:val="21"/>
        </w:rPr>
        <w:t>称重计量管理</w:t>
      </w:r>
      <w:bookmarkEnd w:id="155"/>
    </w:p>
    <w:p>
      <w:pPr>
        <w:tabs>
          <w:tab w:val="left" w:leader="dot" w:pos="420"/>
        </w:tabs>
        <w:spacing w:line="360" w:lineRule="auto"/>
        <w:ind w:firstLine="420" w:firstLineChars="200"/>
        <w:rPr>
          <w:szCs w:val="21"/>
        </w:rPr>
      </w:pPr>
      <w:r>
        <w:rPr>
          <w:szCs w:val="21"/>
        </w:rPr>
        <w:t>对接小微源危险废物收集、贮存企业已有的地磅称重设施。</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6" w:name="_Toc109989198"/>
      <w:r>
        <w:rPr>
          <w:rFonts w:hint="eastAsia" w:ascii="宋体" w:hAnsi="宋体" w:cs="宋体"/>
          <w:sz w:val="21"/>
          <w:szCs w:val="21"/>
        </w:rPr>
        <w:t>③</w:t>
      </w:r>
      <w:r>
        <w:rPr>
          <w:rFonts w:ascii="宋体" w:hAnsi="宋体" w:cs="宋体"/>
          <w:sz w:val="21"/>
          <w:szCs w:val="21"/>
        </w:rPr>
        <w:t>贮存监控管理</w:t>
      </w:r>
      <w:bookmarkEnd w:id="156"/>
    </w:p>
    <w:p>
      <w:pPr>
        <w:spacing w:line="360" w:lineRule="auto"/>
        <w:ind w:firstLine="420" w:firstLineChars="200"/>
        <w:contextualSpacing/>
        <w:rPr>
          <w:szCs w:val="21"/>
        </w:rPr>
      </w:pPr>
      <w:r>
        <w:rPr>
          <w:szCs w:val="21"/>
        </w:rPr>
        <w:t>对接小微源危险废物收集、贮存企业已有的仓库摄像头，对贮存情况进行视频的汇聚和接入管理。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7" w:name="_Toc109989199"/>
      <w:r>
        <w:rPr>
          <w:rFonts w:ascii="宋体" w:hAnsi="宋体" w:cs="宋体"/>
          <w:sz w:val="21"/>
          <w:szCs w:val="21"/>
        </w:rPr>
        <w:t>（4）危险废物智能分析</w:t>
      </w:r>
      <w:bookmarkEnd w:id="157"/>
    </w:p>
    <w:p>
      <w:pPr>
        <w:spacing w:line="360" w:lineRule="auto"/>
        <w:ind w:firstLine="420" w:firstLineChars="200"/>
        <w:contextualSpacing/>
        <w:rPr>
          <w:b/>
          <w:szCs w:val="21"/>
        </w:rPr>
      </w:pPr>
      <w:r>
        <w:rPr>
          <w:szCs w:val="21"/>
        </w:rPr>
        <w:t>结合无废汇聚的相关水、电、产废量等相关信息，综合分析危废产废大户（企业）产废量是否存在异常，</w:t>
      </w:r>
      <w:r>
        <w:rPr>
          <w:b/>
          <w:szCs w:val="21"/>
        </w:rPr>
        <w:t>本模块通过调用固废多源数据分析中的危险废物分析模块实现对危险废物分析预警。</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8" w:name="_Toc109989200"/>
      <w:r>
        <w:rPr>
          <w:rFonts w:ascii="宋体" w:hAnsi="宋体" w:cs="宋体"/>
          <w:sz w:val="21"/>
          <w:szCs w:val="21"/>
        </w:rPr>
        <w:t>3、农业废弃物管理</w:t>
      </w:r>
      <w:bookmarkEnd w:id="158"/>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59" w:name="_Toc21601157"/>
      <w:bookmarkStart w:id="160" w:name="_Toc21968957"/>
      <w:bookmarkStart w:id="161" w:name="_Toc109989201"/>
      <w:r>
        <w:rPr>
          <w:rFonts w:ascii="宋体" w:hAnsi="宋体" w:cs="宋体"/>
          <w:sz w:val="21"/>
          <w:szCs w:val="21"/>
        </w:rPr>
        <w:t>（1）废旧农膜管理</w:t>
      </w:r>
      <w:bookmarkEnd w:id="159"/>
      <w:bookmarkEnd w:id="160"/>
      <w:bookmarkEnd w:id="161"/>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62" w:name="_Toc109989202"/>
      <w:r>
        <w:rPr>
          <w:rFonts w:hint="eastAsia" w:ascii="宋体" w:hAnsi="宋体" w:cs="宋体"/>
          <w:sz w:val="21"/>
          <w:szCs w:val="21"/>
        </w:rPr>
        <w:t>①</w:t>
      </w:r>
      <w:r>
        <w:rPr>
          <w:rFonts w:ascii="宋体" w:hAnsi="宋体" w:cs="宋体"/>
          <w:sz w:val="21"/>
          <w:szCs w:val="21"/>
        </w:rPr>
        <w:t>基础信息管理</w:t>
      </w:r>
      <w:bookmarkEnd w:id="162"/>
    </w:p>
    <w:p>
      <w:pPr>
        <w:tabs>
          <w:tab w:val="left" w:leader="dot" w:pos="420"/>
        </w:tabs>
        <w:spacing w:line="360" w:lineRule="auto"/>
        <w:ind w:firstLine="420" w:firstLineChars="200"/>
        <w:rPr>
          <w:strike/>
          <w:color w:val="000000"/>
          <w:szCs w:val="21"/>
        </w:rPr>
      </w:pPr>
      <w:r>
        <w:rPr>
          <w:color w:val="000000"/>
          <w:szCs w:val="21"/>
        </w:rPr>
        <w:t>建立电子信息档案，实现对废旧农膜基础数据的管理。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63" w:name="_Toc109989203"/>
      <w:r>
        <w:rPr>
          <w:rFonts w:hint="eastAsia" w:ascii="宋体" w:hAnsi="宋体" w:cs="宋体"/>
          <w:sz w:val="21"/>
          <w:szCs w:val="21"/>
        </w:rPr>
        <w:t>②</w:t>
      </w:r>
      <w:r>
        <w:rPr>
          <w:rFonts w:ascii="宋体" w:hAnsi="宋体" w:cs="宋体"/>
          <w:sz w:val="21"/>
          <w:szCs w:val="21"/>
        </w:rPr>
        <w:t>农膜收集管理</w:t>
      </w:r>
      <w:bookmarkEnd w:id="163"/>
    </w:p>
    <w:p>
      <w:pPr>
        <w:tabs>
          <w:tab w:val="left" w:leader="dot" w:pos="420"/>
        </w:tabs>
        <w:spacing w:line="360" w:lineRule="auto"/>
        <w:ind w:firstLine="420" w:firstLineChars="200"/>
        <w:rPr>
          <w:color w:val="000000"/>
          <w:szCs w:val="21"/>
        </w:rPr>
      </w:pPr>
      <w:r>
        <w:rPr>
          <w:color w:val="000000"/>
          <w:szCs w:val="21"/>
        </w:rPr>
        <w:t>对农膜回收信息进行填报管理，对农膜回收率进行分析，农膜信息同步上报省平台。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64" w:name="_Toc109989204"/>
      <w:r>
        <w:rPr>
          <w:rFonts w:hint="eastAsia" w:ascii="宋体" w:hAnsi="宋体" w:cs="宋体"/>
          <w:sz w:val="21"/>
          <w:szCs w:val="21"/>
        </w:rPr>
        <w:t>③</w:t>
      </w:r>
      <w:r>
        <w:rPr>
          <w:rFonts w:ascii="宋体" w:hAnsi="宋体" w:cs="宋体"/>
          <w:sz w:val="21"/>
          <w:szCs w:val="21"/>
        </w:rPr>
        <w:t>废旧农膜交易撮合</w:t>
      </w:r>
      <w:bookmarkEnd w:id="164"/>
    </w:p>
    <w:p>
      <w:pPr>
        <w:spacing w:line="360" w:lineRule="auto"/>
        <w:ind w:firstLine="420" w:firstLineChars="200"/>
        <w:rPr>
          <w:szCs w:val="21"/>
        </w:rPr>
      </w:pPr>
      <w:r>
        <w:rPr>
          <w:color w:val="000000"/>
          <w:szCs w:val="21"/>
        </w:rPr>
        <w:t>对废旧农膜交易撮合进行管理。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65" w:name="_Toc109989205"/>
      <w:bookmarkStart w:id="166" w:name="_Toc21601159"/>
      <w:bookmarkStart w:id="167" w:name="_Toc21968959"/>
      <w:r>
        <w:rPr>
          <w:rFonts w:hint="eastAsia" w:ascii="宋体" w:hAnsi="宋体" w:cs="宋体"/>
          <w:sz w:val="21"/>
          <w:szCs w:val="21"/>
        </w:rPr>
        <w:t>④</w:t>
      </w:r>
      <w:r>
        <w:rPr>
          <w:rFonts w:ascii="宋体" w:hAnsi="宋体" w:cs="宋体"/>
          <w:sz w:val="21"/>
          <w:szCs w:val="21"/>
        </w:rPr>
        <w:t>废旧农膜数据统计</w:t>
      </w:r>
      <w:bookmarkEnd w:id="165"/>
    </w:p>
    <w:p>
      <w:pPr>
        <w:spacing w:line="360" w:lineRule="auto"/>
        <w:ind w:firstLine="420" w:firstLineChars="200"/>
        <w:contextualSpacing/>
        <w:rPr>
          <w:color w:val="000000"/>
          <w:szCs w:val="21"/>
        </w:rPr>
      </w:pPr>
      <w:r>
        <w:rPr>
          <w:color w:val="000000"/>
          <w:szCs w:val="21"/>
        </w:rPr>
        <w:t>对农膜的相关数据进行汇总统计。</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68" w:name="_Toc109989206"/>
      <w:r>
        <w:rPr>
          <w:rFonts w:ascii="宋体" w:hAnsi="宋体" w:cs="宋体"/>
          <w:sz w:val="21"/>
          <w:szCs w:val="21"/>
        </w:rPr>
        <w:t>（2）农药包装废弃物管理</w:t>
      </w:r>
      <w:bookmarkEnd w:id="166"/>
      <w:bookmarkEnd w:id="167"/>
      <w:bookmarkEnd w:id="168"/>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69" w:name="_Toc109989207"/>
      <w:r>
        <w:rPr>
          <w:rFonts w:hint="eastAsia" w:ascii="宋体" w:hAnsi="宋体" w:cs="宋体"/>
          <w:sz w:val="21"/>
          <w:szCs w:val="21"/>
        </w:rPr>
        <w:t>①</w:t>
      </w:r>
      <w:r>
        <w:rPr>
          <w:rFonts w:ascii="宋体" w:hAnsi="宋体" w:cs="宋体"/>
          <w:sz w:val="21"/>
          <w:szCs w:val="21"/>
        </w:rPr>
        <w:t>基础信息管理</w:t>
      </w:r>
      <w:bookmarkEnd w:id="169"/>
    </w:p>
    <w:p>
      <w:pPr>
        <w:tabs>
          <w:tab w:val="left" w:leader="dot" w:pos="420"/>
        </w:tabs>
        <w:spacing w:line="360" w:lineRule="auto"/>
        <w:ind w:firstLine="420" w:firstLineChars="200"/>
        <w:rPr>
          <w:strike/>
          <w:color w:val="000000"/>
          <w:szCs w:val="21"/>
        </w:rPr>
      </w:pPr>
      <w:r>
        <w:rPr>
          <w:color w:val="000000"/>
          <w:szCs w:val="21"/>
        </w:rPr>
        <w:t>建立电子信息档案，实现对农药包装废弃物基础数据的管理。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70" w:name="_Toc109989208"/>
      <w:r>
        <w:rPr>
          <w:rFonts w:hint="eastAsia" w:ascii="宋体" w:hAnsi="宋体" w:cs="宋体"/>
          <w:sz w:val="21"/>
          <w:szCs w:val="21"/>
        </w:rPr>
        <w:t>②</w:t>
      </w:r>
      <w:r>
        <w:rPr>
          <w:rFonts w:ascii="宋体" w:hAnsi="宋体" w:cs="宋体"/>
          <w:sz w:val="21"/>
          <w:szCs w:val="21"/>
        </w:rPr>
        <w:t>农药废弃物收集管理</w:t>
      </w:r>
      <w:bookmarkEnd w:id="170"/>
    </w:p>
    <w:p>
      <w:pPr>
        <w:tabs>
          <w:tab w:val="left" w:leader="dot" w:pos="420"/>
        </w:tabs>
        <w:spacing w:line="360" w:lineRule="auto"/>
        <w:ind w:firstLine="420" w:firstLineChars="200"/>
        <w:rPr>
          <w:color w:val="000000"/>
          <w:szCs w:val="21"/>
        </w:rPr>
      </w:pPr>
      <w:r>
        <w:rPr>
          <w:color w:val="000000"/>
          <w:szCs w:val="21"/>
        </w:rPr>
        <w:t>统计宁波市农药产量信息。</w:t>
      </w:r>
      <w:bookmarkStart w:id="171" w:name="_Toc7364189"/>
      <w:bookmarkStart w:id="172" w:name="_Toc21601147"/>
      <w:bookmarkStart w:id="173" w:name="_Toc21968956"/>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74" w:name="_Toc109989209"/>
      <w:r>
        <w:rPr>
          <w:rFonts w:hint="eastAsia" w:ascii="宋体" w:hAnsi="宋体" w:cs="宋体"/>
          <w:sz w:val="21"/>
          <w:szCs w:val="21"/>
        </w:rPr>
        <w:t>③</w:t>
      </w:r>
      <w:r>
        <w:rPr>
          <w:rFonts w:ascii="宋体" w:hAnsi="宋体" w:cs="宋体"/>
          <w:sz w:val="21"/>
          <w:szCs w:val="21"/>
        </w:rPr>
        <w:t>农药包装废弃物台账管理</w:t>
      </w:r>
      <w:bookmarkEnd w:id="174"/>
    </w:p>
    <w:p>
      <w:pPr>
        <w:tabs>
          <w:tab w:val="left" w:leader="dot" w:pos="420"/>
        </w:tabs>
        <w:spacing w:line="360" w:lineRule="auto"/>
        <w:ind w:firstLine="420" w:firstLineChars="200"/>
        <w:rPr>
          <w:color w:val="000000"/>
          <w:szCs w:val="21"/>
        </w:rPr>
      </w:pPr>
      <w:r>
        <w:rPr>
          <w:color w:val="000000"/>
          <w:szCs w:val="21"/>
          <w:lang w:eastAsia="zh-Hans"/>
        </w:rPr>
        <w:t>为农药包装废弃物各监管触点（包括销售点、使用点、收集点、归集点、处置点等）建立电子台账管理，</w:t>
      </w:r>
      <w:r>
        <w:rPr>
          <w:color w:val="000000"/>
          <w:szCs w:val="21"/>
        </w:rPr>
        <w:t>提供用户信息填报服务。对接</w:t>
      </w:r>
      <w:r>
        <w:rPr>
          <w:color w:val="000000"/>
          <w:szCs w:val="21"/>
          <w:lang w:eastAsia="zh-Hans"/>
        </w:rPr>
        <w:t>“浙江省固体废物监管平台”</w:t>
      </w:r>
      <w:r>
        <w:rPr>
          <w:color w:val="000000"/>
          <w:szCs w:val="21"/>
        </w:rPr>
        <w:t>，通过信息对比，对</w:t>
      </w:r>
      <w:r>
        <w:rPr>
          <w:color w:val="000000"/>
          <w:szCs w:val="21"/>
          <w:lang w:eastAsia="zh-Hans"/>
        </w:rPr>
        <w:t>进行异常预警</w:t>
      </w:r>
      <w:r>
        <w:rPr>
          <w:color w:val="000000"/>
          <w:szCs w:val="21"/>
        </w:rPr>
        <w:t>。</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75" w:name="_Toc109989210"/>
      <w:r>
        <w:rPr>
          <w:rFonts w:hint="eastAsia" w:ascii="宋体" w:hAnsi="宋体" w:cs="宋体"/>
          <w:sz w:val="21"/>
          <w:szCs w:val="21"/>
        </w:rPr>
        <w:t>④</w:t>
      </w:r>
      <w:r>
        <w:rPr>
          <w:rFonts w:ascii="宋体" w:hAnsi="宋体" w:cs="宋体"/>
          <w:sz w:val="21"/>
          <w:szCs w:val="21"/>
        </w:rPr>
        <w:t>农药包装废弃物交易撮合</w:t>
      </w:r>
      <w:bookmarkEnd w:id="175"/>
    </w:p>
    <w:p>
      <w:pPr>
        <w:spacing w:line="360" w:lineRule="auto"/>
        <w:ind w:firstLine="420" w:firstLineChars="200"/>
        <w:rPr>
          <w:color w:val="000000"/>
          <w:szCs w:val="21"/>
          <w:lang w:eastAsia="zh-Hans"/>
        </w:rPr>
      </w:pPr>
      <w:r>
        <w:rPr>
          <w:color w:val="000000"/>
          <w:szCs w:val="21"/>
          <w:lang w:eastAsia="zh-Hans"/>
        </w:rPr>
        <w:t>为农药包装废弃物回收、处置链路提供信息交互，促进回收、处置闭环。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76" w:name="_Toc109989211"/>
      <w:r>
        <w:rPr>
          <w:rFonts w:hint="eastAsia" w:ascii="宋体" w:hAnsi="宋体" w:cs="宋体"/>
          <w:sz w:val="21"/>
          <w:szCs w:val="21"/>
        </w:rPr>
        <w:t>⑤</w:t>
      </w:r>
      <w:r>
        <w:rPr>
          <w:rFonts w:ascii="宋体" w:hAnsi="宋体" w:cs="宋体"/>
          <w:sz w:val="21"/>
          <w:szCs w:val="21"/>
        </w:rPr>
        <w:t>农药包装废弃物处置点管理</w:t>
      </w:r>
      <w:bookmarkEnd w:id="176"/>
    </w:p>
    <w:p>
      <w:pPr>
        <w:tabs>
          <w:tab w:val="left" w:leader="dot" w:pos="420"/>
        </w:tabs>
        <w:spacing w:line="360" w:lineRule="auto"/>
        <w:ind w:firstLine="420" w:firstLineChars="200"/>
        <w:rPr>
          <w:color w:val="000000"/>
          <w:szCs w:val="21"/>
          <w:lang w:eastAsia="zh-Hans"/>
        </w:rPr>
      </w:pPr>
      <w:r>
        <w:rPr>
          <w:color w:val="000000"/>
          <w:szCs w:val="21"/>
        </w:rPr>
        <w:t>对</w:t>
      </w:r>
      <w:r>
        <w:rPr>
          <w:color w:val="000000"/>
          <w:szCs w:val="21"/>
          <w:lang w:eastAsia="zh-Hans"/>
        </w:rPr>
        <w:t>农药包装废弃物处置点</w:t>
      </w:r>
      <w:r>
        <w:rPr>
          <w:color w:val="000000"/>
          <w:szCs w:val="21"/>
        </w:rPr>
        <w:t>进行管理</w:t>
      </w:r>
      <w:r>
        <w:rPr>
          <w:color w:val="000000"/>
          <w:szCs w:val="21"/>
          <w:lang w:eastAsia="zh-Hans"/>
        </w:rPr>
        <w:t>。</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77" w:name="_Toc109989212"/>
      <w:r>
        <w:rPr>
          <w:rFonts w:hint="eastAsia" w:ascii="宋体" w:hAnsi="宋体" w:cs="宋体"/>
          <w:sz w:val="21"/>
          <w:szCs w:val="21"/>
        </w:rPr>
        <w:t>⑥</w:t>
      </w:r>
      <w:r>
        <w:rPr>
          <w:rFonts w:ascii="宋体" w:hAnsi="宋体" w:cs="宋体"/>
          <w:sz w:val="21"/>
          <w:szCs w:val="21"/>
        </w:rPr>
        <w:t>农药废弃物处置点处置信息管理</w:t>
      </w:r>
      <w:bookmarkEnd w:id="177"/>
    </w:p>
    <w:bookmarkEnd w:id="171"/>
    <w:bookmarkEnd w:id="172"/>
    <w:bookmarkEnd w:id="173"/>
    <w:p>
      <w:pPr>
        <w:tabs>
          <w:tab w:val="left" w:leader="dot" w:pos="420"/>
        </w:tabs>
        <w:spacing w:line="360" w:lineRule="auto"/>
        <w:ind w:firstLine="420" w:firstLineChars="200"/>
        <w:rPr>
          <w:color w:val="000000"/>
          <w:szCs w:val="21"/>
          <w:lang w:eastAsia="zh-Hans"/>
        </w:rPr>
      </w:pPr>
      <w:r>
        <w:rPr>
          <w:color w:val="000000"/>
          <w:szCs w:val="21"/>
        </w:rPr>
        <w:t>对</w:t>
      </w:r>
      <w:r>
        <w:rPr>
          <w:color w:val="000000"/>
          <w:szCs w:val="21"/>
          <w:lang w:eastAsia="zh-Hans"/>
        </w:rPr>
        <w:t>农药包装废弃物处置点</w:t>
      </w:r>
      <w:r>
        <w:rPr>
          <w:color w:val="000000"/>
          <w:szCs w:val="21"/>
        </w:rPr>
        <w:t>信息进行管理</w:t>
      </w:r>
      <w:r>
        <w:rPr>
          <w:color w:val="000000"/>
          <w:szCs w:val="21"/>
          <w:lang w:eastAsia="zh-Hans"/>
        </w:rPr>
        <w:t>。</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78" w:name="_Toc109989213"/>
      <w:r>
        <w:rPr>
          <w:rFonts w:ascii="宋体" w:hAnsi="宋体" w:cs="宋体"/>
          <w:sz w:val="21"/>
          <w:szCs w:val="21"/>
        </w:rPr>
        <w:t>（3）畜禽粪污管理</w:t>
      </w:r>
      <w:bookmarkEnd w:id="178"/>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79" w:name="_Toc109989214"/>
      <w:r>
        <w:rPr>
          <w:rFonts w:hint="eastAsia" w:ascii="宋体" w:hAnsi="宋体" w:cs="宋体"/>
          <w:sz w:val="21"/>
          <w:szCs w:val="21"/>
        </w:rPr>
        <w:t>①</w:t>
      </w:r>
      <w:r>
        <w:rPr>
          <w:rFonts w:ascii="宋体" w:hAnsi="宋体" w:cs="宋体"/>
          <w:sz w:val="21"/>
          <w:szCs w:val="21"/>
        </w:rPr>
        <w:t>基础信息管理</w:t>
      </w:r>
      <w:bookmarkEnd w:id="179"/>
    </w:p>
    <w:p>
      <w:pPr>
        <w:tabs>
          <w:tab w:val="left" w:leader="dot" w:pos="420"/>
        </w:tabs>
        <w:spacing w:line="360" w:lineRule="auto"/>
        <w:ind w:firstLine="420" w:firstLineChars="200"/>
        <w:rPr>
          <w:strike/>
          <w:color w:val="000000"/>
          <w:szCs w:val="21"/>
        </w:rPr>
      </w:pPr>
      <w:r>
        <w:rPr>
          <w:color w:val="000000"/>
          <w:szCs w:val="21"/>
        </w:rPr>
        <w:t>通过GIS地图将养殖户的监管情况进行可视化管理，展示数据。</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80" w:name="_Toc109989215"/>
      <w:r>
        <w:rPr>
          <w:rFonts w:hint="eastAsia" w:ascii="宋体" w:hAnsi="宋体" w:cs="宋体"/>
          <w:sz w:val="21"/>
          <w:szCs w:val="21"/>
        </w:rPr>
        <w:t>②</w:t>
      </w:r>
      <w:r>
        <w:rPr>
          <w:rFonts w:ascii="宋体" w:hAnsi="宋体" w:cs="宋体"/>
          <w:sz w:val="21"/>
          <w:szCs w:val="21"/>
        </w:rPr>
        <w:t>畜禽养殖粪污资源化利用</w:t>
      </w:r>
      <w:bookmarkEnd w:id="180"/>
    </w:p>
    <w:p>
      <w:pPr>
        <w:tabs>
          <w:tab w:val="left" w:leader="dot" w:pos="420"/>
        </w:tabs>
        <w:spacing w:line="360" w:lineRule="auto"/>
        <w:ind w:firstLine="420" w:firstLineChars="200"/>
        <w:rPr>
          <w:color w:val="000000"/>
          <w:szCs w:val="21"/>
        </w:rPr>
      </w:pPr>
      <w:r>
        <w:rPr>
          <w:color w:val="000000"/>
          <w:szCs w:val="21"/>
        </w:rPr>
        <w:t>对各区（县、市）畜禽粪污综合利用情况进行数据分析和汇总，将综合利用率进行图表化展示。</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81" w:name="_Toc109989216"/>
      <w:r>
        <w:rPr>
          <w:rFonts w:hint="eastAsia" w:ascii="宋体" w:hAnsi="宋体" w:cs="宋体"/>
          <w:sz w:val="21"/>
          <w:szCs w:val="21"/>
        </w:rPr>
        <w:t>③</w:t>
      </w:r>
      <w:r>
        <w:rPr>
          <w:rFonts w:ascii="宋体" w:hAnsi="宋体" w:cs="宋体"/>
          <w:sz w:val="21"/>
          <w:szCs w:val="21"/>
        </w:rPr>
        <w:t>畜禽粪污收集信息填报管理</w:t>
      </w:r>
      <w:bookmarkEnd w:id="181"/>
    </w:p>
    <w:p>
      <w:pPr>
        <w:tabs>
          <w:tab w:val="left" w:leader="dot" w:pos="420"/>
        </w:tabs>
        <w:spacing w:line="360" w:lineRule="auto"/>
        <w:ind w:firstLine="420" w:firstLineChars="200"/>
        <w:rPr>
          <w:color w:val="000000"/>
          <w:szCs w:val="21"/>
        </w:rPr>
      </w:pPr>
      <w:r>
        <w:rPr>
          <w:color w:val="000000"/>
          <w:szCs w:val="21"/>
        </w:rPr>
        <w:t>支持养殖场各类数据上报，包括表单填报方式，和EXCEL模板批量导入方式，并实现相应的必填项，数据格式校验等。建立畜禽粪便电子台账，按时对</w:t>
      </w:r>
      <w:r>
        <w:rPr>
          <w:color w:val="000000"/>
          <w:szCs w:val="21"/>
          <w:lang w:eastAsia="zh-Hans"/>
        </w:rPr>
        <w:t>产废量</w:t>
      </w:r>
      <w:r>
        <w:rPr>
          <w:color w:val="000000"/>
          <w:szCs w:val="21"/>
        </w:rPr>
        <w:t>与处置量进行汇总统计。每月生成统计报表。</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82" w:name="_Toc109989217"/>
      <w:r>
        <w:rPr>
          <w:rFonts w:ascii="宋体" w:hAnsi="宋体" w:cs="宋体"/>
          <w:sz w:val="21"/>
          <w:szCs w:val="21"/>
        </w:rPr>
        <w:t>（4）病死畜禽管理</w:t>
      </w:r>
      <w:bookmarkEnd w:id="182"/>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83" w:name="_Toc109989218"/>
      <w:r>
        <w:rPr>
          <w:rFonts w:hint="eastAsia" w:ascii="宋体" w:hAnsi="宋体" w:cs="宋体"/>
          <w:sz w:val="21"/>
          <w:szCs w:val="21"/>
        </w:rPr>
        <w:t>①</w:t>
      </w:r>
      <w:r>
        <w:rPr>
          <w:rFonts w:ascii="宋体" w:hAnsi="宋体" w:cs="宋体"/>
          <w:sz w:val="21"/>
          <w:szCs w:val="21"/>
        </w:rPr>
        <w:t>基础信息管理</w:t>
      </w:r>
      <w:bookmarkEnd w:id="183"/>
    </w:p>
    <w:p>
      <w:pPr>
        <w:tabs>
          <w:tab w:val="left" w:leader="dot" w:pos="420"/>
        </w:tabs>
        <w:spacing w:line="360" w:lineRule="auto"/>
        <w:ind w:firstLine="420" w:firstLineChars="200"/>
        <w:rPr>
          <w:strike/>
          <w:color w:val="000000"/>
          <w:szCs w:val="21"/>
        </w:rPr>
      </w:pPr>
      <w:r>
        <w:rPr>
          <w:color w:val="000000"/>
          <w:szCs w:val="21"/>
        </w:rPr>
        <w:t>建立电子信息档案，实现对病死畜禽基础数据的管理。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84" w:name="_Toc109989219"/>
      <w:r>
        <w:rPr>
          <w:rFonts w:hint="eastAsia" w:ascii="宋体" w:hAnsi="宋体" w:cs="宋体"/>
          <w:sz w:val="21"/>
          <w:szCs w:val="21"/>
        </w:rPr>
        <w:t>②</w:t>
      </w:r>
      <w:r>
        <w:rPr>
          <w:rFonts w:ascii="宋体" w:hAnsi="宋体" w:cs="宋体"/>
          <w:sz w:val="21"/>
          <w:szCs w:val="21"/>
        </w:rPr>
        <w:t>收集运输管理</w:t>
      </w:r>
      <w:bookmarkEnd w:id="184"/>
    </w:p>
    <w:p>
      <w:pPr>
        <w:spacing w:line="360" w:lineRule="auto"/>
        <w:ind w:firstLine="420" w:firstLineChars="200"/>
        <w:rPr>
          <w:szCs w:val="21"/>
        </w:rPr>
      </w:pPr>
      <w:r>
        <w:rPr>
          <w:szCs w:val="21"/>
        </w:rPr>
        <w:t>获取运输端信息，并自动生成对应的可视化图表，直观地展示转运情况。</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85" w:name="_Toc109989220"/>
      <w:r>
        <w:rPr>
          <w:rFonts w:hint="eastAsia" w:ascii="宋体" w:hAnsi="宋体" w:cs="宋体"/>
          <w:sz w:val="21"/>
          <w:szCs w:val="21"/>
        </w:rPr>
        <w:t>③</w:t>
      </w:r>
      <w:r>
        <w:rPr>
          <w:rFonts w:ascii="宋体" w:hAnsi="宋体" w:cs="宋体"/>
          <w:sz w:val="21"/>
          <w:szCs w:val="21"/>
        </w:rPr>
        <w:t>处置过程管理</w:t>
      </w:r>
      <w:bookmarkEnd w:id="185"/>
    </w:p>
    <w:p>
      <w:pPr>
        <w:spacing w:line="360" w:lineRule="auto"/>
        <w:ind w:firstLine="420" w:firstLineChars="200"/>
        <w:rPr>
          <w:szCs w:val="21"/>
        </w:rPr>
      </w:pPr>
      <w:r>
        <w:rPr>
          <w:szCs w:val="21"/>
        </w:rPr>
        <w:t xml:space="preserve">对接省统建的“畜禽无害化处理监管平台”中的无害化处理明细台账。 </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86" w:name="_Toc21601158"/>
      <w:bookmarkStart w:id="187" w:name="_Toc21968958"/>
      <w:bookmarkStart w:id="188" w:name="_Toc109989221"/>
      <w:r>
        <w:rPr>
          <w:rFonts w:ascii="宋体" w:hAnsi="宋体" w:cs="宋体"/>
          <w:sz w:val="21"/>
          <w:szCs w:val="21"/>
        </w:rPr>
        <w:t>（5）秸秆管理</w:t>
      </w:r>
      <w:bookmarkEnd w:id="186"/>
      <w:bookmarkEnd w:id="187"/>
      <w:bookmarkEnd w:id="188"/>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89" w:name="_Toc109989222"/>
      <w:r>
        <w:rPr>
          <w:rFonts w:hint="eastAsia" w:ascii="宋体" w:hAnsi="宋体" w:cs="宋体"/>
          <w:sz w:val="21"/>
          <w:szCs w:val="21"/>
        </w:rPr>
        <w:t>①</w:t>
      </w:r>
      <w:r>
        <w:rPr>
          <w:rFonts w:ascii="宋体" w:hAnsi="宋体" w:cs="宋体"/>
          <w:sz w:val="21"/>
          <w:szCs w:val="21"/>
        </w:rPr>
        <w:t>基础信息管理</w:t>
      </w:r>
      <w:bookmarkEnd w:id="189"/>
    </w:p>
    <w:p>
      <w:pPr>
        <w:tabs>
          <w:tab w:val="left" w:leader="dot" w:pos="420"/>
        </w:tabs>
        <w:spacing w:line="360" w:lineRule="auto"/>
        <w:ind w:firstLine="420" w:firstLineChars="200"/>
        <w:rPr>
          <w:color w:val="000000"/>
          <w:szCs w:val="21"/>
        </w:rPr>
      </w:pPr>
      <w:r>
        <w:rPr>
          <w:color w:val="000000"/>
          <w:szCs w:val="21"/>
        </w:rPr>
        <w:t>建立电子信息档案，包括秸秆产生信息管理、用户信息管理、秸秆利用企业信息管理等。</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0" w:name="_Toc109989223"/>
      <w:r>
        <w:rPr>
          <w:rFonts w:hint="eastAsia" w:ascii="宋体" w:hAnsi="宋体" w:cs="宋体"/>
          <w:sz w:val="21"/>
          <w:szCs w:val="21"/>
        </w:rPr>
        <w:t>②</w:t>
      </w:r>
      <w:r>
        <w:rPr>
          <w:rFonts w:ascii="宋体" w:hAnsi="宋体" w:cs="宋体"/>
          <w:sz w:val="21"/>
          <w:szCs w:val="21"/>
        </w:rPr>
        <w:t>秸秆收集利用信息监管</w:t>
      </w:r>
      <w:bookmarkEnd w:id="190"/>
    </w:p>
    <w:p>
      <w:pPr>
        <w:tabs>
          <w:tab w:val="left" w:leader="dot" w:pos="420"/>
        </w:tabs>
        <w:spacing w:line="360" w:lineRule="auto"/>
        <w:ind w:firstLine="420" w:firstLineChars="200"/>
        <w:rPr>
          <w:color w:val="000000"/>
          <w:szCs w:val="21"/>
        </w:rPr>
      </w:pPr>
      <w:r>
        <w:rPr>
          <w:color w:val="000000"/>
          <w:szCs w:val="21"/>
        </w:rPr>
        <w:t>秸秆管理系统通过对全市秸秆的产量、处置量，对比分析、数据排名等，实现全市秸秆收集利用管理一本账。包括数据填报、填报提醒、数据统计、结果排名等。</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1" w:name="_Toc109989224"/>
      <w:r>
        <w:rPr>
          <w:rFonts w:ascii="宋体" w:hAnsi="宋体" w:cs="宋体"/>
          <w:sz w:val="21"/>
          <w:szCs w:val="21"/>
        </w:rPr>
        <w:t>（6）农业废弃物监管预警</w:t>
      </w:r>
      <w:bookmarkEnd w:id="191"/>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2" w:name="_Toc109989225"/>
      <w:r>
        <w:rPr>
          <w:rFonts w:hint="eastAsia" w:ascii="宋体" w:hAnsi="宋体" w:cs="宋体"/>
          <w:sz w:val="21"/>
          <w:szCs w:val="21"/>
        </w:rPr>
        <w:t>①</w:t>
      </w:r>
      <w:r>
        <w:rPr>
          <w:rFonts w:ascii="宋体" w:hAnsi="宋体" w:cs="宋体"/>
          <w:sz w:val="21"/>
          <w:szCs w:val="21"/>
        </w:rPr>
        <w:t>废旧农膜监管预警</w:t>
      </w:r>
      <w:bookmarkEnd w:id="192"/>
    </w:p>
    <w:p>
      <w:pPr>
        <w:spacing w:line="360" w:lineRule="auto"/>
        <w:ind w:firstLine="420" w:firstLineChars="200"/>
        <w:rPr>
          <w:color w:val="000000"/>
          <w:szCs w:val="21"/>
        </w:rPr>
      </w:pPr>
      <w:r>
        <w:rPr>
          <w:color w:val="000000"/>
          <w:szCs w:val="21"/>
        </w:rPr>
        <w:t>在废旧农膜信息汇聚基础上，建立对市内各区、县、镇街级的销售、回收、转移、处置环节的监管要求和预警提醒。</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3" w:name="_Toc109989226"/>
      <w:r>
        <w:rPr>
          <w:rFonts w:hint="eastAsia" w:ascii="宋体" w:hAnsi="宋体" w:cs="宋体"/>
          <w:sz w:val="21"/>
          <w:szCs w:val="21"/>
        </w:rPr>
        <w:t>②</w:t>
      </w:r>
      <w:r>
        <w:rPr>
          <w:rFonts w:ascii="宋体" w:hAnsi="宋体" w:cs="宋体"/>
          <w:sz w:val="21"/>
          <w:szCs w:val="21"/>
        </w:rPr>
        <w:t>农药包装监管预警</w:t>
      </w:r>
      <w:bookmarkEnd w:id="193"/>
    </w:p>
    <w:p>
      <w:pPr>
        <w:spacing w:line="360" w:lineRule="auto"/>
        <w:ind w:firstLine="420" w:firstLineChars="200"/>
        <w:rPr>
          <w:color w:val="000000"/>
          <w:szCs w:val="21"/>
        </w:rPr>
      </w:pPr>
      <w:r>
        <w:rPr>
          <w:color w:val="000000"/>
          <w:szCs w:val="21"/>
        </w:rPr>
        <w:t>在农药包装废弃物信息基础上，建立对农资店、农资公司、收集点、处置点在农药的销售、使用、回收、归集、处置等环节的监管要求和预警提醒。</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4" w:name="_Toc109989227"/>
      <w:r>
        <w:rPr>
          <w:rFonts w:hint="eastAsia" w:ascii="宋体" w:hAnsi="宋体" w:cs="宋体"/>
          <w:sz w:val="21"/>
          <w:szCs w:val="21"/>
        </w:rPr>
        <w:t>③</w:t>
      </w:r>
      <w:r>
        <w:rPr>
          <w:rFonts w:ascii="宋体" w:hAnsi="宋体" w:cs="宋体"/>
          <w:sz w:val="21"/>
          <w:szCs w:val="21"/>
        </w:rPr>
        <w:t>畜禽粪污监管预警</w:t>
      </w:r>
      <w:bookmarkEnd w:id="194"/>
    </w:p>
    <w:p>
      <w:pPr>
        <w:spacing w:line="360" w:lineRule="auto"/>
        <w:ind w:firstLine="420" w:firstLineChars="200"/>
        <w:rPr>
          <w:color w:val="000000"/>
          <w:szCs w:val="21"/>
        </w:rPr>
      </w:pPr>
      <w:r>
        <w:rPr>
          <w:color w:val="000000"/>
          <w:szCs w:val="21"/>
        </w:rPr>
        <w:t>在畜禽粪污信息基础上，建立对养殖场在粪污产生，回收单位进行运输回收、粪污综合利用等环节的监管要求和预警提醒。</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5" w:name="_Toc109989228"/>
      <w:r>
        <w:rPr>
          <w:rFonts w:hint="eastAsia" w:ascii="宋体" w:hAnsi="宋体" w:cs="宋体"/>
          <w:sz w:val="21"/>
          <w:szCs w:val="21"/>
        </w:rPr>
        <w:t>④</w:t>
      </w:r>
      <w:r>
        <w:rPr>
          <w:rFonts w:ascii="宋体" w:hAnsi="宋体" w:cs="宋体"/>
          <w:sz w:val="21"/>
          <w:szCs w:val="21"/>
        </w:rPr>
        <w:t>病死畜禽监管预警</w:t>
      </w:r>
      <w:bookmarkEnd w:id="195"/>
    </w:p>
    <w:p>
      <w:pPr>
        <w:spacing w:line="360" w:lineRule="auto"/>
        <w:ind w:firstLine="420" w:firstLineChars="200"/>
        <w:rPr>
          <w:szCs w:val="21"/>
        </w:rPr>
      </w:pPr>
      <w:r>
        <w:rPr>
          <w:color w:val="000000"/>
          <w:szCs w:val="21"/>
        </w:rPr>
        <w:t>在病死畜禽信息基础上，建立规模养殖场病死畜禽产生的数量预警提醒。</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6" w:name="_Toc109989229"/>
      <w:r>
        <w:rPr>
          <w:rFonts w:hint="eastAsia" w:ascii="宋体" w:hAnsi="宋体" w:cs="宋体"/>
          <w:sz w:val="21"/>
          <w:szCs w:val="21"/>
        </w:rPr>
        <w:t>⑤</w:t>
      </w:r>
      <w:r>
        <w:rPr>
          <w:rFonts w:ascii="宋体" w:hAnsi="宋体" w:cs="宋体"/>
          <w:sz w:val="21"/>
          <w:szCs w:val="21"/>
        </w:rPr>
        <w:t>秸秆处理监管预警</w:t>
      </w:r>
      <w:bookmarkEnd w:id="196"/>
    </w:p>
    <w:p>
      <w:pPr>
        <w:spacing w:line="360" w:lineRule="auto"/>
        <w:ind w:firstLine="420" w:firstLineChars="200"/>
        <w:rPr>
          <w:szCs w:val="21"/>
        </w:rPr>
      </w:pPr>
      <w:r>
        <w:rPr>
          <w:color w:val="000000"/>
          <w:szCs w:val="21"/>
        </w:rPr>
        <w:t>在秸秆信息基础上，建立对10个区县（市）每年3次、13类农作物填报监管和预警功能。</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7" w:name="_Toc109989230"/>
      <w:r>
        <w:rPr>
          <w:rFonts w:ascii="宋体" w:hAnsi="宋体" w:cs="宋体"/>
          <w:sz w:val="21"/>
          <w:szCs w:val="21"/>
        </w:rPr>
        <w:t>（7）农业废弃物智能分析</w:t>
      </w:r>
      <w:bookmarkEnd w:id="197"/>
    </w:p>
    <w:p>
      <w:pPr>
        <w:spacing w:line="360" w:lineRule="auto"/>
        <w:ind w:firstLine="420" w:firstLineChars="200"/>
        <w:rPr>
          <w:szCs w:val="21"/>
        </w:rPr>
      </w:pPr>
      <w:r>
        <w:rPr>
          <w:szCs w:val="21"/>
        </w:rPr>
        <w:t>所选行政区划内，对废旧农膜、农药包装、畜禽粪污、病死畜禽、秸秆各数据信息进行一张图展示和排名。</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8" w:name="_Toc109989231"/>
      <w:r>
        <w:rPr>
          <w:rFonts w:ascii="宋体" w:hAnsi="宋体" w:cs="宋体"/>
          <w:sz w:val="21"/>
          <w:szCs w:val="21"/>
        </w:rPr>
        <w:t>4、医疗废物管理</w:t>
      </w:r>
      <w:bookmarkEnd w:id="198"/>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199" w:name="_Toc109989232"/>
      <w:r>
        <w:rPr>
          <w:rFonts w:ascii="宋体" w:hAnsi="宋体" w:cs="宋体"/>
          <w:sz w:val="21"/>
          <w:szCs w:val="21"/>
        </w:rPr>
        <w:t>（1）基础信息管理</w:t>
      </w:r>
      <w:bookmarkEnd w:id="199"/>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0" w:name="_Toc109989233"/>
      <w:r>
        <w:rPr>
          <w:rFonts w:hint="eastAsia" w:ascii="宋体" w:hAnsi="宋体" w:cs="宋体"/>
          <w:sz w:val="21"/>
          <w:szCs w:val="21"/>
        </w:rPr>
        <w:t>①</w:t>
      </w:r>
      <w:r>
        <w:rPr>
          <w:rFonts w:ascii="宋体" w:hAnsi="宋体" w:cs="宋体"/>
          <w:sz w:val="21"/>
          <w:szCs w:val="21"/>
        </w:rPr>
        <w:t>医疗机构信息管理</w:t>
      </w:r>
      <w:bookmarkEnd w:id="200"/>
    </w:p>
    <w:p>
      <w:pPr>
        <w:spacing w:line="360" w:lineRule="auto"/>
        <w:ind w:firstLine="420" w:firstLineChars="200"/>
        <w:rPr>
          <w:szCs w:val="21"/>
        </w:rPr>
      </w:pPr>
      <w:r>
        <w:rPr>
          <w:szCs w:val="21"/>
        </w:rPr>
        <w:t>对医疗机构、医疗人员基础信息进行管理。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1" w:name="_Toc109989234"/>
      <w:r>
        <w:rPr>
          <w:rFonts w:hint="eastAsia" w:ascii="宋体" w:hAnsi="宋体" w:cs="宋体"/>
          <w:sz w:val="21"/>
          <w:szCs w:val="21"/>
        </w:rPr>
        <w:t>②</w:t>
      </w:r>
      <w:r>
        <w:rPr>
          <w:rFonts w:ascii="宋体" w:hAnsi="宋体" w:cs="宋体"/>
          <w:sz w:val="21"/>
          <w:szCs w:val="21"/>
        </w:rPr>
        <w:t>涉疫场所信息管理</w:t>
      </w:r>
      <w:bookmarkEnd w:id="201"/>
    </w:p>
    <w:p>
      <w:pPr>
        <w:spacing w:line="360" w:lineRule="auto"/>
        <w:ind w:firstLine="420" w:firstLineChars="200"/>
        <w:contextualSpacing/>
        <w:rPr>
          <w:color w:val="000000"/>
          <w:szCs w:val="21"/>
        </w:rPr>
      </w:pPr>
      <w:r>
        <w:rPr>
          <w:szCs w:val="21"/>
        </w:rPr>
        <w:t>对涉疫场所、涉疫场所人员基础信息进行管理。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2" w:name="_Toc109989235"/>
      <w:r>
        <w:rPr>
          <w:rFonts w:hint="eastAsia" w:ascii="宋体" w:hAnsi="宋体" w:cs="宋体"/>
          <w:sz w:val="21"/>
          <w:szCs w:val="21"/>
        </w:rPr>
        <w:t>③</w:t>
      </w:r>
      <w:r>
        <w:rPr>
          <w:rFonts w:ascii="宋体" w:hAnsi="宋体" w:cs="宋体"/>
          <w:sz w:val="21"/>
          <w:szCs w:val="21"/>
        </w:rPr>
        <w:t>运输企业信息管理</w:t>
      </w:r>
      <w:bookmarkEnd w:id="202"/>
    </w:p>
    <w:p>
      <w:pPr>
        <w:spacing w:line="360" w:lineRule="auto"/>
        <w:ind w:firstLine="420" w:firstLineChars="200"/>
        <w:contextualSpacing/>
        <w:rPr>
          <w:bCs/>
          <w:szCs w:val="21"/>
        </w:rPr>
      </w:pPr>
      <w:r>
        <w:rPr>
          <w:bCs/>
          <w:szCs w:val="21"/>
        </w:rPr>
        <w:t>对医疗废物运输企业、运输车辆、运输人员管理。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3" w:name="_Toc109989236"/>
      <w:r>
        <w:rPr>
          <w:rFonts w:hint="eastAsia" w:ascii="宋体" w:hAnsi="宋体" w:cs="宋体"/>
          <w:sz w:val="21"/>
          <w:szCs w:val="21"/>
        </w:rPr>
        <w:t>④</w:t>
      </w:r>
      <w:r>
        <w:rPr>
          <w:rFonts w:ascii="宋体" w:hAnsi="宋体" w:cs="宋体"/>
          <w:sz w:val="21"/>
          <w:szCs w:val="21"/>
        </w:rPr>
        <w:t>处置终端信息管理</w:t>
      </w:r>
      <w:bookmarkEnd w:id="203"/>
    </w:p>
    <w:p>
      <w:pPr>
        <w:spacing w:line="360" w:lineRule="auto"/>
        <w:ind w:firstLine="420" w:firstLineChars="200"/>
        <w:contextualSpacing/>
        <w:rPr>
          <w:bCs/>
          <w:szCs w:val="21"/>
        </w:rPr>
      </w:pPr>
      <w:r>
        <w:rPr>
          <w:bCs/>
          <w:szCs w:val="21"/>
        </w:rPr>
        <w:t>接入处置企业的视频信息、地磅信息处置、设备工况信息。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4" w:name="_Toc109989237"/>
      <w:r>
        <w:rPr>
          <w:rFonts w:ascii="宋体" w:hAnsi="宋体" w:cs="宋体"/>
          <w:sz w:val="21"/>
          <w:szCs w:val="21"/>
        </w:rPr>
        <w:t>（2）医疗废物追踪管理</w:t>
      </w:r>
      <w:bookmarkEnd w:id="204"/>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5" w:name="_Toc109989238"/>
      <w:r>
        <w:rPr>
          <w:rFonts w:hint="eastAsia" w:ascii="宋体" w:hAnsi="宋体" w:cs="宋体"/>
          <w:sz w:val="21"/>
          <w:szCs w:val="21"/>
        </w:rPr>
        <w:t>①</w:t>
      </w:r>
      <w:r>
        <w:rPr>
          <w:rFonts w:ascii="宋体" w:hAnsi="宋体" w:cs="宋体"/>
          <w:sz w:val="21"/>
          <w:szCs w:val="21"/>
        </w:rPr>
        <w:t>医废袋追溯</w:t>
      </w:r>
      <w:bookmarkEnd w:id="205"/>
    </w:p>
    <w:p>
      <w:pPr>
        <w:spacing w:line="360" w:lineRule="auto"/>
        <w:ind w:firstLine="420" w:firstLineChars="200"/>
        <w:rPr>
          <w:szCs w:val="21"/>
        </w:rPr>
      </w:pPr>
      <w:r>
        <w:rPr>
          <w:szCs w:val="21"/>
        </w:rPr>
        <w:t>可通过扫描二维码可以查看医废袋相关信息。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6" w:name="_Toc109989239"/>
      <w:r>
        <w:rPr>
          <w:rFonts w:hint="eastAsia" w:ascii="宋体" w:hAnsi="宋体" w:cs="宋体"/>
          <w:sz w:val="21"/>
          <w:szCs w:val="21"/>
        </w:rPr>
        <w:t>②</w:t>
      </w:r>
      <w:r>
        <w:rPr>
          <w:rFonts w:ascii="宋体" w:hAnsi="宋体" w:cs="宋体"/>
          <w:sz w:val="21"/>
          <w:szCs w:val="21"/>
        </w:rPr>
        <w:t>医废箱追溯</w:t>
      </w:r>
      <w:bookmarkEnd w:id="206"/>
    </w:p>
    <w:p>
      <w:pPr>
        <w:spacing w:line="360" w:lineRule="auto"/>
        <w:ind w:firstLine="420" w:firstLineChars="200"/>
        <w:rPr>
          <w:szCs w:val="21"/>
        </w:rPr>
      </w:pPr>
      <w:r>
        <w:rPr>
          <w:szCs w:val="21"/>
        </w:rPr>
        <w:t>可通过扫描二维码可以查看医废箱相关信息。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7" w:name="_Toc109989240"/>
      <w:r>
        <w:rPr>
          <w:rFonts w:hint="eastAsia" w:ascii="宋体" w:hAnsi="宋体" w:cs="宋体"/>
          <w:sz w:val="21"/>
          <w:szCs w:val="21"/>
        </w:rPr>
        <w:t>③</w:t>
      </w:r>
      <w:r>
        <w:rPr>
          <w:rFonts w:ascii="宋体" w:hAnsi="宋体" w:cs="宋体"/>
          <w:sz w:val="21"/>
          <w:szCs w:val="21"/>
        </w:rPr>
        <w:t>联单追溯</w:t>
      </w:r>
      <w:bookmarkEnd w:id="207"/>
    </w:p>
    <w:p>
      <w:pPr>
        <w:spacing w:line="360" w:lineRule="auto"/>
        <w:ind w:firstLine="420" w:firstLineChars="200"/>
        <w:rPr>
          <w:szCs w:val="21"/>
        </w:rPr>
      </w:pPr>
      <w:r>
        <w:rPr>
          <w:szCs w:val="21"/>
        </w:rPr>
        <w:t>通过填写的联单信息对医疗废物进行全流程的监管。</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8" w:name="_Toc109989241"/>
      <w:r>
        <w:rPr>
          <w:rFonts w:ascii="宋体" w:hAnsi="宋体" w:cs="宋体"/>
          <w:sz w:val="21"/>
          <w:szCs w:val="21"/>
        </w:rPr>
        <w:t>（3）医疗废物产生管理</w:t>
      </w:r>
      <w:bookmarkEnd w:id="208"/>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09" w:name="_Toc109989242"/>
      <w:r>
        <w:rPr>
          <w:rFonts w:hint="eastAsia" w:ascii="宋体" w:hAnsi="宋体" w:cs="宋体"/>
          <w:sz w:val="21"/>
          <w:szCs w:val="21"/>
        </w:rPr>
        <w:t>①</w:t>
      </w:r>
      <w:r>
        <w:rPr>
          <w:rFonts w:ascii="宋体" w:hAnsi="宋体" w:cs="宋体"/>
          <w:sz w:val="21"/>
          <w:szCs w:val="21"/>
        </w:rPr>
        <w:t>医疗机构产废管理</w:t>
      </w:r>
      <w:bookmarkEnd w:id="209"/>
    </w:p>
    <w:p>
      <w:pPr>
        <w:spacing w:line="360" w:lineRule="auto"/>
        <w:ind w:firstLine="420" w:firstLineChars="200"/>
        <w:rPr>
          <w:szCs w:val="21"/>
        </w:rPr>
      </w:pPr>
      <w:r>
        <w:rPr>
          <w:szCs w:val="21"/>
        </w:rPr>
        <w:t>可通过扫描二维码可以查看医废打包相关信息。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0" w:name="_Toc109989243"/>
      <w:r>
        <w:rPr>
          <w:rFonts w:hint="eastAsia" w:ascii="宋体" w:hAnsi="宋体" w:cs="宋体"/>
          <w:sz w:val="21"/>
          <w:szCs w:val="21"/>
        </w:rPr>
        <w:t>②</w:t>
      </w:r>
      <w:r>
        <w:rPr>
          <w:rFonts w:ascii="宋体" w:hAnsi="宋体" w:cs="宋体"/>
          <w:sz w:val="21"/>
          <w:szCs w:val="21"/>
        </w:rPr>
        <w:t>涉疫场所产废管理</w:t>
      </w:r>
      <w:bookmarkEnd w:id="210"/>
    </w:p>
    <w:p>
      <w:pPr>
        <w:spacing w:line="360" w:lineRule="auto"/>
        <w:ind w:firstLine="420" w:firstLineChars="200"/>
        <w:contextualSpacing/>
        <w:rPr>
          <w:szCs w:val="21"/>
        </w:rPr>
      </w:pPr>
      <w:r>
        <w:rPr>
          <w:szCs w:val="21"/>
        </w:rPr>
        <w:t>扫描二维码可以查看医废袋相关信息。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1" w:name="_Toc109989244"/>
      <w:r>
        <w:rPr>
          <w:rFonts w:ascii="宋体" w:hAnsi="宋体" w:cs="宋体"/>
          <w:sz w:val="21"/>
          <w:szCs w:val="21"/>
        </w:rPr>
        <w:t>（4）医疗废物暂存管理</w:t>
      </w:r>
      <w:bookmarkEnd w:id="211"/>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2" w:name="_Toc109989245"/>
      <w:r>
        <w:rPr>
          <w:rFonts w:hint="eastAsia" w:ascii="宋体" w:hAnsi="宋体" w:cs="宋体"/>
          <w:sz w:val="21"/>
          <w:szCs w:val="21"/>
        </w:rPr>
        <w:t>①</w:t>
      </w:r>
      <w:r>
        <w:rPr>
          <w:rFonts w:ascii="宋体" w:hAnsi="宋体" w:cs="宋体"/>
          <w:sz w:val="21"/>
          <w:szCs w:val="21"/>
        </w:rPr>
        <w:t>医疗机构医废暂存管理</w:t>
      </w:r>
      <w:bookmarkEnd w:id="212"/>
    </w:p>
    <w:p>
      <w:pPr>
        <w:spacing w:line="360" w:lineRule="auto"/>
        <w:ind w:firstLine="420" w:firstLineChars="200"/>
        <w:rPr>
          <w:szCs w:val="21"/>
        </w:rPr>
      </w:pPr>
      <w:r>
        <w:rPr>
          <w:szCs w:val="21"/>
        </w:rPr>
        <w:t>可通过扫描二维码完成箱袋绑定以及暂存相关信息。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3" w:name="_Toc109989246"/>
      <w:r>
        <w:rPr>
          <w:rFonts w:hint="eastAsia" w:ascii="宋体" w:hAnsi="宋体" w:cs="宋体"/>
          <w:sz w:val="21"/>
          <w:szCs w:val="21"/>
        </w:rPr>
        <w:t>②</w:t>
      </w:r>
      <w:r>
        <w:rPr>
          <w:rFonts w:ascii="宋体" w:hAnsi="宋体" w:cs="宋体"/>
          <w:sz w:val="21"/>
          <w:szCs w:val="21"/>
        </w:rPr>
        <w:t>涉疫场所医废暂存管理</w:t>
      </w:r>
      <w:bookmarkEnd w:id="213"/>
    </w:p>
    <w:p>
      <w:pPr>
        <w:spacing w:line="360" w:lineRule="auto"/>
        <w:ind w:firstLine="420" w:firstLineChars="200"/>
        <w:rPr>
          <w:szCs w:val="21"/>
        </w:rPr>
      </w:pPr>
      <w:r>
        <w:rPr>
          <w:szCs w:val="21"/>
        </w:rPr>
        <w:t>对涉疫场所医废暂存进行管理。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4" w:name="_Toc109989247"/>
      <w:r>
        <w:rPr>
          <w:rFonts w:ascii="宋体" w:hAnsi="宋体" w:cs="宋体"/>
          <w:sz w:val="21"/>
          <w:szCs w:val="21"/>
        </w:rPr>
        <w:t>（5）医疗废物装车管理</w:t>
      </w:r>
      <w:bookmarkEnd w:id="214"/>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5" w:name="_Toc109989248"/>
      <w:r>
        <w:rPr>
          <w:rFonts w:hint="eastAsia" w:ascii="宋体" w:hAnsi="宋体" w:cs="宋体"/>
          <w:sz w:val="21"/>
          <w:szCs w:val="21"/>
        </w:rPr>
        <w:t>①</w:t>
      </w:r>
      <w:r>
        <w:rPr>
          <w:rFonts w:ascii="宋体" w:hAnsi="宋体" w:cs="宋体"/>
          <w:sz w:val="21"/>
          <w:szCs w:val="21"/>
        </w:rPr>
        <w:t>医疗机构医废装车管理</w:t>
      </w:r>
      <w:bookmarkEnd w:id="215"/>
    </w:p>
    <w:p>
      <w:pPr>
        <w:spacing w:line="360" w:lineRule="auto"/>
        <w:ind w:firstLine="420" w:firstLineChars="200"/>
        <w:contextualSpacing/>
        <w:rPr>
          <w:szCs w:val="21"/>
        </w:rPr>
      </w:pPr>
      <w:r>
        <w:rPr>
          <w:szCs w:val="21"/>
        </w:rPr>
        <w:t>医疗机构医废装车环节数据信息进行管理。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6" w:name="_Toc109989249"/>
      <w:r>
        <w:rPr>
          <w:rFonts w:hint="eastAsia" w:ascii="宋体" w:hAnsi="宋体" w:cs="宋体"/>
          <w:sz w:val="21"/>
          <w:szCs w:val="21"/>
        </w:rPr>
        <w:t>②</w:t>
      </w:r>
      <w:r>
        <w:rPr>
          <w:rFonts w:ascii="宋体" w:hAnsi="宋体" w:cs="宋体"/>
          <w:sz w:val="21"/>
          <w:szCs w:val="21"/>
        </w:rPr>
        <w:t>涉疫场所医废装车管理</w:t>
      </w:r>
      <w:bookmarkEnd w:id="216"/>
    </w:p>
    <w:p>
      <w:pPr>
        <w:spacing w:line="360" w:lineRule="auto"/>
        <w:ind w:firstLine="420" w:firstLineChars="200"/>
        <w:contextualSpacing/>
        <w:rPr>
          <w:szCs w:val="21"/>
        </w:rPr>
      </w:pPr>
      <w:r>
        <w:rPr>
          <w:szCs w:val="21"/>
        </w:rPr>
        <w:t>扫描二维码可以查看医废箱装车相关信息。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7" w:name="_Toc109989250"/>
      <w:r>
        <w:rPr>
          <w:rFonts w:ascii="宋体" w:hAnsi="宋体" w:cs="宋体"/>
          <w:sz w:val="21"/>
          <w:szCs w:val="21"/>
        </w:rPr>
        <w:t>（6）医疗废物运输管理</w:t>
      </w:r>
      <w:bookmarkEnd w:id="217"/>
    </w:p>
    <w:p>
      <w:pPr>
        <w:spacing w:line="360" w:lineRule="auto"/>
        <w:ind w:firstLine="420" w:firstLineChars="200"/>
        <w:contextualSpacing/>
        <w:rPr>
          <w:color w:val="000000"/>
          <w:szCs w:val="21"/>
        </w:rPr>
      </w:pPr>
      <w:r>
        <w:rPr>
          <w:color w:val="000000"/>
          <w:szCs w:val="21"/>
        </w:rPr>
        <w:t>运输过程监管模块主要实现车辆历史作业轨迹、途径卡口信息的回放查询和回放，对企业医疗废物运输过程的合规性进行预警。</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8" w:name="_Toc109989251"/>
      <w:r>
        <w:rPr>
          <w:rFonts w:ascii="宋体" w:hAnsi="宋体" w:cs="宋体"/>
          <w:sz w:val="21"/>
          <w:szCs w:val="21"/>
        </w:rPr>
        <w:t>（7）医疗废物接收管理</w:t>
      </w:r>
      <w:bookmarkEnd w:id="218"/>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19" w:name="_Toc109989252"/>
      <w:r>
        <w:rPr>
          <w:rFonts w:hint="eastAsia" w:ascii="宋体" w:hAnsi="宋体" w:cs="宋体"/>
          <w:sz w:val="21"/>
          <w:szCs w:val="21"/>
        </w:rPr>
        <w:t>①</w:t>
      </w:r>
      <w:r>
        <w:rPr>
          <w:rFonts w:ascii="宋体" w:hAnsi="宋体" w:cs="宋体"/>
          <w:sz w:val="21"/>
          <w:szCs w:val="21"/>
        </w:rPr>
        <w:t>地磅数据管理</w:t>
      </w:r>
      <w:bookmarkEnd w:id="219"/>
    </w:p>
    <w:p>
      <w:pPr>
        <w:spacing w:line="360" w:lineRule="auto"/>
        <w:ind w:firstLine="420" w:firstLineChars="200"/>
        <w:contextualSpacing/>
        <w:rPr>
          <w:color w:val="000000"/>
          <w:szCs w:val="21"/>
        </w:rPr>
      </w:pPr>
      <w:r>
        <w:rPr>
          <w:color w:val="000000"/>
          <w:szCs w:val="21"/>
        </w:rPr>
        <w:t>对接处置企业侧的地磅称重系统获取相关信息。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0" w:name="_Toc109989253"/>
      <w:r>
        <w:rPr>
          <w:rFonts w:hint="eastAsia" w:ascii="宋体" w:hAnsi="宋体" w:cs="宋体"/>
          <w:sz w:val="21"/>
          <w:szCs w:val="21"/>
        </w:rPr>
        <w:t>②</w:t>
      </w:r>
      <w:r>
        <w:rPr>
          <w:rFonts w:ascii="宋体" w:hAnsi="宋体" w:cs="宋体"/>
          <w:sz w:val="21"/>
          <w:szCs w:val="21"/>
        </w:rPr>
        <w:t>医废交接管理</w:t>
      </w:r>
      <w:bookmarkEnd w:id="220"/>
    </w:p>
    <w:p>
      <w:pPr>
        <w:spacing w:line="360" w:lineRule="auto"/>
        <w:ind w:firstLine="420" w:firstLineChars="200"/>
        <w:contextualSpacing/>
        <w:rPr>
          <w:szCs w:val="21"/>
        </w:rPr>
      </w:pPr>
      <w:r>
        <w:rPr>
          <w:color w:val="000000"/>
          <w:szCs w:val="21"/>
        </w:rPr>
        <w:t>处置单位的工作人员可通过手持终端设备进行扫码，查看医废收集箱内所有医废包装袋的全量信息</w:t>
      </w:r>
      <w:r>
        <w:rPr>
          <w:szCs w:val="21"/>
        </w:rPr>
        <w:t>。</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1" w:name="_Toc109989254"/>
      <w:r>
        <w:rPr>
          <w:rFonts w:ascii="宋体" w:hAnsi="宋体" w:cs="宋体"/>
          <w:sz w:val="21"/>
          <w:szCs w:val="21"/>
        </w:rPr>
        <w:t>（8）医疗废物处置过程管理</w:t>
      </w:r>
      <w:bookmarkEnd w:id="221"/>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2" w:name="_Toc109989255"/>
      <w:r>
        <w:rPr>
          <w:rFonts w:hint="eastAsia" w:ascii="宋体" w:hAnsi="宋体" w:cs="宋体"/>
          <w:sz w:val="21"/>
          <w:szCs w:val="21"/>
        </w:rPr>
        <w:t>①</w:t>
      </w:r>
      <w:r>
        <w:rPr>
          <w:rFonts w:ascii="宋体" w:hAnsi="宋体" w:cs="宋体"/>
          <w:sz w:val="21"/>
          <w:szCs w:val="21"/>
        </w:rPr>
        <w:t>处置端医废出入库管理</w:t>
      </w:r>
      <w:bookmarkEnd w:id="222"/>
    </w:p>
    <w:p>
      <w:pPr>
        <w:spacing w:line="360" w:lineRule="auto"/>
        <w:ind w:firstLine="420" w:firstLineChars="200"/>
        <w:contextualSpacing/>
        <w:rPr>
          <w:color w:val="000000"/>
          <w:szCs w:val="21"/>
        </w:rPr>
      </w:pPr>
      <w:r>
        <w:rPr>
          <w:color w:val="000000"/>
          <w:szCs w:val="21"/>
        </w:rPr>
        <w:t>对处置端医废入、出库管理以及医废出入库台账管理。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3" w:name="_Toc109989256"/>
      <w:r>
        <w:rPr>
          <w:rFonts w:hint="eastAsia" w:ascii="宋体" w:hAnsi="宋体" w:cs="宋体"/>
          <w:sz w:val="21"/>
          <w:szCs w:val="21"/>
        </w:rPr>
        <w:t>②</w:t>
      </w:r>
      <w:r>
        <w:rPr>
          <w:rFonts w:ascii="宋体" w:hAnsi="宋体" w:cs="宋体"/>
          <w:sz w:val="21"/>
          <w:szCs w:val="21"/>
        </w:rPr>
        <w:t>处置工况监管</w:t>
      </w:r>
      <w:bookmarkEnd w:id="223"/>
    </w:p>
    <w:p>
      <w:pPr>
        <w:spacing w:line="360" w:lineRule="auto"/>
        <w:ind w:firstLine="420" w:firstLineChars="200"/>
        <w:contextualSpacing/>
        <w:rPr>
          <w:color w:val="000000"/>
          <w:szCs w:val="21"/>
        </w:rPr>
      </w:pPr>
      <w:r>
        <w:rPr>
          <w:color w:val="000000"/>
          <w:szCs w:val="21"/>
        </w:rPr>
        <w:t>通过对接处置终端生产运行数据，实现对处置工况的远程监管，本项工作通过调用物联感知监管中的工况监控管理模块相关能力实现。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4" w:name="_Toc109989257"/>
      <w:r>
        <w:rPr>
          <w:rFonts w:hint="eastAsia" w:ascii="宋体" w:hAnsi="宋体" w:cs="宋体"/>
          <w:sz w:val="21"/>
          <w:szCs w:val="21"/>
        </w:rPr>
        <w:t>③</w:t>
      </w:r>
      <w:r>
        <w:rPr>
          <w:rFonts w:ascii="宋体" w:hAnsi="宋体" w:cs="宋体"/>
          <w:sz w:val="21"/>
          <w:szCs w:val="21"/>
        </w:rPr>
        <w:t>视频监控管理</w:t>
      </w:r>
      <w:bookmarkEnd w:id="224"/>
    </w:p>
    <w:p>
      <w:pPr>
        <w:spacing w:line="360" w:lineRule="auto"/>
        <w:ind w:firstLine="420" w:firstLineChars="200"/>
        <w:contextualSpacing/>
        <w:rPr>
          <w:szCs w:val="21"/>
        </w:rPr>
      </w:pPr>
      <w:r>
        <w:rPr>
          <w:szCs w:val="21"/>
        </w:rPr>
        <w:t>此块功能依托市视频共享平台，实现视频资源的在线调用、查看。本项工作通过调用物联感知监管中的视频监控管理模块相关能力实现。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5" w:name="_Toc109989258"/>
      <w:r>
        <w:rPr>
          <w:rFonts w:hint="eastAsia" w:ascii="宋体" w:hAnsi="宋体" w:cs="宋体"/>
          <w:sz w:val="21"/>
          <w:szCs w:val="21"/>
        </w:rPr>
        <w:t>④</w:t>
      </w:r>
      <w:r>
        <w:rPr>
          <w:rFonts w:ascii="宋体" w:hAnsi="宋体" w:cs="宋体"/>
          <w:sz w:val="21"/>
          <w:szCs w:val="21"/>
        </w:rPr>
        <w:t>数据趋势分析</w:t>
      </w:r>
      <w:bookmarkEnd w:id="225"/>
    </w:p>
    <w:p>
      <w:pPr>
        <w:spacing w:line="360" w:lineRule="auto"/>
        <w:ind w:firstLine="420" w:firstLineChars="200"/>
        <w:contextualSpacing/>
        <w:rPr>
          <w:szCs w:val="21"/>
        </w:rPr>
      </w:pPr>
      <w:r>
        <w:rPr>
          <w:szCs w:val="21"/>
        </w:rPr>
        <w:t>通过对历史数据进行有效的整理、计算，形成各种生产统计报表、指标考核报表，为监管者提供数据支撑。</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6" w:name="_Toc109989259"/>
      <w:r>
        <w:rPr>
          <w:rFonts w:ascii="宋体" w:hAnsi="宋体" w:cs="宋体"/>
          <w:sz w:val="21"/>
          <w:szCs w:val="21"/>
        </w:rPr>
        <w:t>5、废水废气管理升级改造</w:t>
      </w:r>
      <w:bookmarkEnd w:id="226"/>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7" w:name="_Toc109989260"/>
      <w:r>
        <w:rPr>
          <w:rFonts w:ascii="宋体" w:hAnsi="宋体" w:cs="宋体"/>
          <w:sz w:val="21"/>
          <w:szCs w:val="21"/>
        </w:rPr>
        <w:t>（1）迭代废水废气超标闭环监管</w:t>
      </w:r>
      <w:bookmarkEnd w:id="227"/>
    </w:p>
    <w:p>
      <w:pPr>
        <w:spacing w:line="360" w:lineRule="auto"/>
        <w:ind w:firstLine="420" w:firstLineChars="200"/>
        <w:rPr>
          <w:szCs w:val="21"/>
        </w:rPr>
      </w:pPr>
      <w:r>
        <w:rPr>
          <w:szCs w:val="21"/>
        </w:rPr>
        <w:t>在“一源一档”综合管理子系统基础上新增部分功能，包括系统报警通知（企业方）、报警管理（运维方）、整改反馈、研判分析、执法管理等。</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8" w:name="_Toc109989261"/>
      <w:r>
        <w:rPr>
          <w:rFonts w:ascii="宋体" w:hAnsi="宋体" w:cs="宋体"/>
          <w:sz w:val="21"/>
          <w:szCs w:val="21"/>
        </w:rPr>
        <w:t>（2）环境任务协同调度</w:t>
      </w:r>
      <w:bookmarkEnd w:id="228"/>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29" w:name="_Toc109989262"/>
      <w:r>
        <w:rPr>
          <w:rFonts w:hint="eastAsia" w:ascii="宋体" w:hAnsi="宋体" w:cs="宋体"/>
          <w:sz w:val="21"/>
          <w:szCs w:val="21"/>
        </w:rPr>
        <w:t>①</w:t>
      </w:r>
      <w:r>
        <w:rPr>
          <w:rFonts w:ascii="宋体" w:hAnsi="宋体" w:cs="宋体"/>
          <w:sz w:val="21"/>
          <w:szCs w:val="21"/>
        </w:rPr>
        <w:t>目标管理</w:t>
      </w:r>
      <w:bookmarkEnd w:id="229"/>
    </w:p>
    <w:p>
      <w:pPr>
        <w:overflowPunct w:val="0"/>
        <w:topLinePunct/>
        <w:spacing w:line="360" w:lineRule="auto"/>
        <w:ind w:firstLine="420" w:firstLineChars="200"/>
        <w:rPr>
          <w:szCs w:val="21"/>
        </w:rPr>
      </w:pPr>
      <w:r>
        <w:rPr>
          <w:szCs w:val="21"/>
        </w:rPr>
        <w:t>依据国家、浙江省相关政策、工作通知，制定环境任务工作目标，本系统将建立对应任务工作目标管理体系。</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30" w:name="_Toc109989263"/>
      <w:r>
        <w:rPr>
          <w:rFonts w:hint="eastAsia" w:ascii="宋体" w:hAnsi="宋体" w:cs="宋体"/>
          <w:sz w:val="21"/>
          <w:szCs w:val="21"/>
        </w:rPr>
        <w:t>②</w:t>
      </w:r>
      <w:r>
        <w:rPr>
          <w:rFonts w:ascii="宋体" w:hAnsi="宋体" w:cs="宋体"/>
          <w:sz w:val="21"/>
          <w:szCs w:val="21"/>
        </w:rPr>
        <w:t>组织体系管理</w:t>
      </w:r>
      <w:bookmarkEnd w:id="230"/>
    </w:p>
    <w:p>
      <w:pPr>
        <w:spacing w:line="360" w:lineRule="auto"/>
        <w:ind w:firstLine="420" w:firstLineChars="200"/>
        <w:rPr>
          <w:szCs w:val="21"/>
        </w:rPr>
      </w:pPr>
      <w:r>
        <w:rPr>
          <w:szCs w:val="21"/>
        </w:rPr>
        <w:t>在宁波市专项任务调度体系下，构建权责明确、行为规范、监督有力、高效运转的运行机制。</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31" w:name="_Toc109989264"/>
      <w:r>
        <w:rPr>
          <w:rFonts w:hint="eastAsia" w:ascii="宋体" w:hAnsi="宋体" w:cs="宋体"/>
          <w:sz w:val="21"/>
          <w:szCs w:val="21"/>
        </w:rPr>
        <w:t>③</w:t>
      </w:r>
      <w:r>
        <w:rPr>
          <w:rFonts w:ascii="宋体" w:hAnsi="宋体" w:cs="宋体"/>
          <w:sz w:val="21"/>
          <w:szCs w:val="21"/>
        </w:rPr>
        <w:t>来源管理</w:t>
      </w:r>
      <w:bookmarkEnd w:id="231"/>
    </w:p>
    <w:p>
      <w:pPr>
        <w:spacing w:line="360" w:lineRule="auto"/>
        <w:ind w:firstLine="420" w:firstLineChars="200"/>
        <w:rPr>
          <w:szCs w:val="21"/>
        </w:rPr>
      </w:pPr>
      <w:r>
        <w:rPr>
          <w:szCs w:val="21"/>
        </w:rPr>
        <w:t>提供数字化文件管理功能。</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32" w:name="_Toc109989265"/>
      <w:r>
        <w:rPr>
          <w:rFonts w:hint="eastAsia" w:ascii="宋体" w:hAnsi="宋体" w:cs="宋体"/>
          <w:sz w:val="21"/>
          <w:szCs w:val="21"/>
        </w:rPr>
        <w:t>④</w:t>
      </w:r>
      <w:r>
        <w:rPr>
          <w:rFonts w:ascii="Times New Roman" w:hAnsi="Times New Roman"/>
          <w:sz w:val="21"/>
          <w:szCs w:val="21"/>
        </w:rPr>
        <w:t>任务管理</w:t>
      </w:r>
      <w:bookmarkEnd w:id="232"/>
    </w:p>
    <w:p>
      <w:pPr>
        <w:spacing w:line="360" w:lineRule="auto"/>
        <w:ind w:firstLine="420" w:firstLineChars="200"/>
        <w:rPr>
          <w:szCs w:val="21"/>
        </w:rPr>
      </w:pPr>
      <w:r>
        <w:rPr>
          <w:szCs w:val="21"/>
        </w:rPr>
        <w:t>通过采用智能采集数据报表及建立任务流转机制。</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33" w:name="_Toc109989266"/>
      <w:r>
        <w:rPr>
          <w:rFonts w:hint="eastAsia" w:ascii="宋体" w:hAnsi="宋体" w:cs="宋体"/>
          <w:sz w:val="21"/>
          <w:szCs w:val="21"/>
        </w:rPr>
        <w:t>⑤</w:t>
      </w:r>
      <w:r>
        <w:rPr>
          <w:rFonts w:ascii="宋体" w:hAnsi="宋体" w:cs="宋体"/>
          <w:sz w:val="21"/>
          <w:szCs w:val="21"/>
        </w:rPr>
        <w:t>跟踪管理</w:t>
      </w:r>
      <w:bookmarkEnd w:id="233"/>
    </w:p>
    <w:p>
      <w:pPr>
        <w:numPr>
          <w:ilvl w:val="255"/>
          <w:numId w:val="0"/>
        </w:numPr>
        <w:spacing w:line="360" w:lineRule="auto"/>
        <w:ind w:firstLine="420" w:firstLineChars="200"/>
        <w:rPr>
          <w:szCs w:val="21"/>
        </w:rPr>
      </w:pPr>
      <w:r>
        <w:rPr>
          <w:szCs w:val="21"/>
        </w:rPr>
        <w:t>对项目任务进行跟踪管理并实现任务的闭环和评估。</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34" w:name="_Toc109989267"/>
      <w:r>
        <w:rPr>
          <w:rFonts w:hint="eastAsia" w:ascii="宋体" w:hAnsi="宋体" w:cs="宋体"/>
          <w:sz w:val="21"/>
          <w:szCs w:val="21"/>
        </w:rPr>
        <w:t>⑥</w:t>
      </w:r>
      <w:r>
        <w:rPr>
          <w:rFonts w:ascii="宋体" w:hAnsi="宋体" w:cs="宋体"/>
          <w:sz w:val="21"/>
          <w:szCs w:val="21"/>
        </w:rPr>
        <w:t>考核通报</w:t>
      </w:r>
      <w:bookmarkEnd w:id="234"/>
    </w:p>
    <w:p>
      <w:pPr>
        <w:numPr>
          <w:ilvl w:val="255"/>
          <w:numId w:val="0"/>
        </w:numPr>
        <w:spacing w:line="360" w:lineRule="auto"/>
        <w:ind w:firstLine="420" w:firstLineChars="200"/>
        <w:rPr>
          <w:szCs w:val="21"/>
        </w:rPr>
      </w:pPr>
      <w:r>
        <w:rPr>
          <w:szCs w:val="21"/>
        </w:rPr>
        <w:t>以图表的形式，提供大气环境考核指标的实时情况与变化趋势查看，提供工作进度预警规则设置功能，对工作目标发生偏离、即将预期等异常情况发出异常报警信息。</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35" w:name="_Toc109989268"/>
      <w:r>
        <w:rPr>
          <w:rFonts w:hint="eastAsia" w:ascii="宋体" w:hAnsi="宋体" w:cs="宋体"/>
          <w:sz w:val="21"/>
          <w:szCs w:val="21"/>
        </w:rPr>
        <w:t>⑦</w:t>
      </w:r>
      <w:r>
        <w:rPr>
          <w:rFonts w:ascii="宋体" w:hAnsi="宋体" w:cs="宋体"/>
          <w:sz w:val="21"/>
          <w:szCs w:val="21"/>
        </w:rPr>
        <w:t>专题管理</w:t>
      </w:r>
      <w:bookmarkEnd w:id="235"/>
    </w:p>
    <w:p>
      <w:pPr>
        <w:overflowPunct w:val="0"/>
        <w:topLinePunct/>
        <w:spacing w:line="360" w:lineRule="auto"/>
        <w:ind w:firstLine="420" w:firstLineChars="200"/>
        <w:rPr>
          <w:szCs w:val="21"/>
        </w:rPr>
      </w:pPr>
      <w:r>
        <w:rPr>
          <w:szCs w:val="21"/>
        </w:rPr>
        <w:t>根据污染防治攻坚战等省市的考核指标项，建立专项行动专题管理。</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36" w:name="_Toc109989269"/>
      <w:r>
        <w:rPr>
          <w:rFonts w:ascii="宋体" w:hAnsi="宋体" w:cs="宋体"/>
          <w:sz w:val="21"/>
          <w:szCs w:val="21"/>
        </w:rPr>
        <w:t>6、宁波市生活垃圾政府监管系统（在建系统）</w:t>
      </w:r>
      <w:bookmarkEnd w:id="236"/>
    </w:p>
    <w:p>
      <w:pPr>
        <w:overflowPunct w:val="0"/>
        <w:topLinePunct/>
        <w:spacing w:line="360" w:lineRule="auto"/>
        <w:ind w:firstLine="420" w:firstLineChars="200"/>
        <w:rPr>
          <w:szCs w:val="21"/>
        </w:rPr>
      </w:pPr>
      <w:r>
        <w:rPr>
          <w:szCs w:val="21"/>
        </w:rPr>
        <w:t>宁波市生活垃圾政府监管系统是宁波市综合行政执法局在建系统，其建设功能包括“一张图”模块、垃圾分类全流程监管、多跨协同模块、生活垃圾收费、宣传推广监管、信用评价、基础信息管理、度成效分析、建筑装修大件监管、车辆白名单管理、车辆收运线路管理等。</w:t>
      </w:r>
      <w:r>
        <w:rPr>
          <w:b/>
          <w:bCs/>
          <w:szCs w:val="21"/>
        </w:rPr>
        <w:t>本项工作由市综合行政执法局自行建设，通过数据接入方式实现生活垃圾监管。</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37" w:name="_Toc109989270"/>
      <w:r>
        <w:rPr>
          <w:rFonts w:ascii="宋体" w:hAnsi="宋体" w:cs="宋体"/>
          <w:sz w:val="21"/>
          <w:szCs w:val="21"/>
        </w:rPr>
        <w:t>7、宁波市建筑垃圾监管系统（已建）</w:t>
      </w:r>
      <w:bookmarkEnd w:id="237"/>
    </w:p>
    <w:p>
      <w:pPr>
        <w:overflowPunct w:val="0"/>
        <w:topLinePunct/>
        <w:spacing w:line="360" w:lineRule="auto"/>
        <w:ind w:firstLine="420" w:firstLineChars="200"/>
        <w:rPr>
          <w:szCs w:val="21"/>
        </w:rPr>
      </w:pPr>
      <w:r>
        <w:rPr>
          <w:szCs w:val="21"/>
        </w:rPr>
        <w:t>宁波市建筑垃圾监管系统由宁波市综合行政执法局进行建设，当前已完成软件功能建设及验收工作，主要功能包括数据采集、取证记录、实时预警、违规报警、行业服务。</w:t>
      </w:r>
      <w:r>
        <w:rPr>
          <w:b/>
          <w:bCs/>
          <w:szCs w:val="21"/>
        </w:rPr>
        <w:t>本项工作依托市综合行政执法局已建系统实现过程监管，通过数据接入方式实现建筑垃圾监管。</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38" w:name="_Toc109989271"/>
      <w:r>
        <w:rPr>
          <w:rFonts w:ascii="宋体" w:hAnsi="宋体" w:cs="宋体"/>
          <w:sz w:val="21"/>
          <w:szCs w:val="21"/>
        </w:rPr>
        <w:t>8、宁波市再生资源回收管理信息系统（已建）</w:t>
      </w:r>
      <w:bookmarkEnd w:id="238"/>
    </w:p>
    <w:p>
      <w:pPr>
        <w:overflowPunct w:val="0"/>
        <w:topLinePunct/>
        <w:spacing w:line="360" w:lineRule="auto"/>
        <w:ind w:firstLine="420" w:firstLineChars="200"/>
        <w:rPr>
          <w:szCs w:val="21"/>
        </w:rPr>
      </w:pPr>
      <w:r>
        <w:rPr>
          <w:szCs w:val="21"/>
        </w:rPr>
        <w:t>宁波市再生资源回收管理信息系统已由宁波市商务局进行建设并对外运行，主要功能包括登录系统、报表管理、系统登录、企业用户管理。</w:t>
      </w:r>
      <w:r>
        <w:rPr>
          <w:b/>
          <w:bCs/>
          <w:szCs w:val="21"/>
        </w:rPr>
        <w:t>本项工作依托市商务局已建系统实现信息监管，通过数据共享方式实现再生资源监管。</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39" w:name="_Toc12799"/>
      <w:bookmarkStart w:id="240" w:name="_Toc109989272"/>
      <w:r>
        <w:rPr>
          <w:rFonts w:hint="eastAsia" w:ascii="宋体" w:hAnsi="宋体" w:cs="宋体"/>
          <w:sz w:val="21"/>
          <w:szCs w:val="21"/>
        </w:rPr>
        <w:t>（三）</w:t>
      </w:r>
      <w:r>
        <w:rPr>
          <w:rFonts w:ascii="宋体" w:hAnsi="宋体" w:cs="宋体"/>
          <w:sz w:val="21"/>
          <w:szCs w:val="21"/>
        </w:rPr>
        <w:t>多跨场景应用</w:t>
      </w:r>
      <w:bookmarkEnd w:id="239"/>
      <w:bookmarkEnd w:id="240"/>
    </w:p>
    <w:p>
      <w:pPr>
        <w:overflowPunct w:val="0"/>
        <w:topLinePunct/>
        <w:spacing w:line="360" w:lineRule="auto"/>
        <w:ind w:firstLine="420" w:firstLineChars="200"/>
        <w:rPr>
          <w:highlight w:val="yellow"/>
        </w:rPr>
      </w:pPr>
      <w:r>
        <w:rPr>
          <w:rFonts w:hint="eastAsia"/>
        </w:rPr>
        <w:t>本项目应按照数字化改革“V”字模型，设计多跨场景应用。</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bookmarkStart w:id="241" w:name="_Toc109989273"/>
      <w:r>
        <w:rPr>
          <w:rFonts w:ascii="宋体" w:hAnsi="宋体" w:cs="宋体"/>
          <w:sz w:val="21"/>
          <w:szCs w:val="21"/>
        </w:rPr>
        <w:t>1、固废一本账应用</w:t>
      </w:r>
      <w:bookmarkEnd w:id="241"/>
    </w:p>
    <w:p>
      <w:pPr>
        <w:pStyle w:val="2"/>
        <w:numPr>
          <w:ilvl w:val="255"/>
          <w:numId w:val="0"/>
        </w:numPr>
        <w:spacing w:line="360" w:lineRule="auto"/>
        <w:ind w:firstLine="420" w:firstLineChars="200"/>
        <w:jc w:val="left"/>
        <w:rPr>
          <w:rFonts w:ascii="Times New Roman" w:hAnsi="Times New Roman"/>
          <w:szCs w:val="21"/>
        </w:rPr>
      </w:pPr>
      <w:bookmarkStart w:id="242" w:name="_Toc109989274"/>
      <w:r>
        <w:rPr>
          <w:rFonts w:hint="eastAsia" w:ascii="Times New Roman" w:hAnsi="Times New Roman"/>
          <w:szCs w:val="21"/>
        </w:rPr>
        <w:t>通过固废一本账应用，巡查、执法手机上可查看，固废信息集成，以企业为展示主体，实现涉废企业信息集成与共享，为部门协同提供数据支撑。</w:t>
      </w:r>
    </w:p>
    <w:p>
      <w:pPr>
        <w:pStyle w:val="4"/>
        <w:keepNext w:val="0"/>
        <w:keepLines w:val="0"/>
        <w:widowControl/>
        <w:numPr>
          <w:ilvl w:val="0"/>
          <w:numId w:val="0"/>
        </w:numPr>
        <w:tabs>
          <w:tab w:val="clear" w:pos="576"/>
        </w:tabs>
        <w:spacing w:before="0" w:after="0" w:line="360" w:lineRule="auto"/>
        <w:ind w:firstLine="422" w:firstLineChars="200"/>
        <w:jc w:val="left"/>
        <w:rPr>
          <w:rFonts w:ascii="宋体" w:hAnsi="宋体" w:cs="宋体"/>
          <w:sz w:val="21"/>
          <w:szCs w:val="21"/>
        </w:rPr>
      </w:pPr>
      <w:r>
        <w:rPr>
          <w:rFonts w:ascii="宋体" w:hAnsi="宋体" w:cs="宋体"/>
          <w:sz w:val="21"/>
          <w:szCs w:val="21"/>
        </w:rPr>
        <w:t>（1）产生管理</w:t>
      </w:r>
      <w:bookmarkEnd w:id="242"/>
    </w:p>
    <w:p>
      <w:pPr>
        <w:pStyle w:val="2"/>
        <w:numPr>
          <w:ilvl w:val="0"/>
          <w:numId w:val="0"/>
        </w:numPr>
        <w:spacing w:line="360" w:lineRule="auto"/>
        <w:ind w:firstLine="420" w:firstLineChars="200"/>
        <w:rPr>
          <w:rFonts w:ascii="Times New Roman" w:hAnsi="Times New Roman"/>
          <w:szCs w:val="21"/>
        </w:rPr>
      </w:pPr>
      <w:r>
        <w:rPr>
          <w:rFonts w:ascii="Times New Roman" w:hAnsi="Times New Roman"/>
          <w:szCs w:val="21"/>
        </w:rPr>
        <w:t>投标人应就涉废企业包含的静态信息和动态信息展开描述。</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43" w:name="_Toc109989275"/>
      <w:r>
        <w:rPr>
          <w:rFonts w:ascii="Times New Roman" w:hAnsi="Times New Roman"/>
          <w:sz w:val="21"/>
          <w:szCs w:val="21"/>
        </w:rPr>
        <w:t>（2）关联管理</w:t>
      </w:r>
      <w:bookmarkEnd w:id="243"/>
    </w:p>
    <w:p>
      <w:pPr>
        <w:spacing w:line="360" w:lineRule="auto"/>
        <w:ind w:firstLine="420" w:firstLineChars="200"/>
        <w:rPr>
          <w:szCs w:val="21"/>
        </w:rPr>
      </w:pPr>
      <w:r>
        <w:rPr>
          <w:szCs w:val="21"/>
        </w:rPr>
        <w:t>在固废一本账对企业全量信息的产生进行录入以后，通过系统自动核查信息外，需要进行人工审查。</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44" w:name="_Toc109989276"/>
      <w:r>
        <w:rPr>
          <w:rFonts w:ascii="Times New Roman" w:hAnsi="Times New Roman"/>
          <w:sz w:val="21"/>
          <w:szCs w:val="21"/>
        </w:rPr>
        <w:t>（3）数据分析与应用</w:t>
      </w:r>
      <w:bookmarkEnd w:id="244"/>
    </w:p>
    <w:p>
      <w:pPr>
        <w:spacing w:line="360" w:lineRule="auto"/>
        <w:ind w:firstLine="420" w:firstLineChars="200"/>
        <w:rPr>
          <w:szCs w:val="21"/>
        </w:rPr>
      </w:pPr>
      <w:r>
        <w:rPr>
          <w:szCs w:val="21"/>
        </w:rPr>
        <w:t>数据展示是面向监管端的，将各企业的各类数据以数据列表的形式进行统计分析。</w:t>
      </w:r>
      <w:bookmarkEnd w:id="137"/>
      <w:bookmarkStart w:id="245" w:name="_Toc83287237"/>
      <w:bookmarkEnd w:id="245"/>
      <w:bookmarkStart w:id="246" w:name="_Toc83287235"/>
      <w:bookmarkEnd w:id="246"/>
      <w:bookmarkStart w:id="247" w:name="_Toc83244307"/>
      <w:bookmarkEnd w:id="247"/>
      <w:bookmarkStart w:id="248" w:name="_Toc82432393"/>
      <w:bookmarkEnd w:id="248"/>
      <w:bookmarkStart w:id="249" w:name="_Toc83243470"/>
      <w:bookmarkEnd w:id="249"/>
      <w:bookmarkStart w:id="250" w:name="_Toc83244305"/>
      <w:bookmarkEnd w:id="250"/>
      <w:bookmarkStart w:id="251" w:name="_Toc83243472"/>
      <w:bookmarkEnd w:id="251"/>
      <w:bookmarkStart w:id="252" w:name="_Toc82434369"/>
      <w:bookmarkEnd w:id="252"/>
    </w:p>
    <w:bookmarkEnd w:id="35"/>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53" w:name="_Toc82434341"/>
      <w:bookmarkStart w:id="254" w:name="_Toc109989277"/>
      <w:r>
        <w:rPr>
          <w:rFonts w:ascii="Times New Roman" w:hAnsi="Times New Roman"/>
          <w:sz w:val="21"/>
          <w:szCs w:val="21"/>
        </w:rPr>
        <w:t>2、固废特征库</w:t>
      </w:r>
      <w:bookmarkEnd w:id="253"/>
      <w:bookmarkEnd w:id="254"/>
    </w:p>
    <w:p>
      <w:pPr>
        <w:spacing w:line="360" w:lineRule="auto"/>
        <w:ind w:firstLine="420" w:firstLineChars="200"/>
        <w:rPr>
          <w:szCs w:val="21"/>
        </w:rPr>
      </w:pPr>
      <w:bookmarkStart w:id="255" w:name="_Toc109989278"/>
      <w:r>
        <w:rPr>
          <w:rFonts w:hint="eastAsia" w:ascii="仿宋" w:hAnsi="仿宋" w:cs="仿宋"/>
        </w:rPr>
        <w:t>固废特征库可根据企业所在不同行业生成某种特定废物类型的比例，对企业的产废类型或可能的产废类型，与企业所在的行业进行关联。可根据企业所在行业进行判断一定会产生的固废类型以及可能会产生的固废类型，根据产废类型提前制定相关防护措施或提交相关材料资质的审核。</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r>
        <w:rPr>
          <w:rFonts w:ascii="Times New Roman" w:hAnsi="Times New Roman"/>
          <w:sz w:val="21"/>
          <w:szCs w:val="21"/>
        </w:rPr>
        <w:t>（1）固废特征库设计原则</w:t>
      </w:r>
      <w:bookmarkEnd w:id="255"/>
    </w:p>
    <w:p>
      <w:pPr>
        <w:pStyle w:val="2"/>
        <w:numPr>
          <w:ilvl w:val="0"/>
          <w:numId w:val="0"/>
        </w:numPr>
        <w:spacing w:line="360" w:lineRule="auto"/>
        <w:ind w:firstLine="420" w:firstLineChars="200"/>
        <w:rPr>
          <w:rFonts w:ascii="Times New Roman" w:hAnsi="Times New Roman"/>
          <w:szCs w:val="21"/>
        </w:rPr>
      </w:pPr>
      <w:r>
        <w:rPr>
          <w:rFonts w:ascii="Times New Roman" w:hAnsi="Times New Roman"/>
          <w:szCs w:val="21"/>
        </w:rPr>
        <w:t>描述固废特征库设计时应当遵循的原则。</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56" w:name="_Toc109989279"/>
      <w:r>
        <w:rPr>
          <w:rFonts w:ascii="Times New Roman" w:hAnsi="Times New Roman"/>
          <w:sz w:val="21"/>
          <w:szCs w:val="21"/>
        </w:rPr>
        <w:t>（2）企业抽样调查</w:t>
      </w:r>
      <w:bookmarkEnd w:id="256"/>
    </w:p>
    <w:p>
      <w:pPr>
        <w:pStyle w:val="2"/>
        <w:numPr>
          <w:ilvl w:val="0"/>
          <w:numId w:val="0"/>
        </w:numPr>
        <w:spacing w:line="360" w:lineRule="auto"/>
        <w:ind w:firstLine="420" w:firstLineChars="200"/>
        <w:rPr>
          <w:rFonts w:ascii="Times New Roman" w:hAnsi="Times New Roman"/>
          <w:szCs w:val="21"/>
        </w:rPr>
      </w:pPr>
      <w:r>
        <w:rPr>
          <w:rFonts w:ascii="Times New Roman" w:hAnsi="Times New Roman"/>
          <w:szCs w:val="21"/>
        </w:rPr>
        <w:t>选取标杆企业进行固废样品抽样，描述抽样调查流程，对采集的样品进行编码。</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57" w:name="_Toc109989280"/>
      <w:r>
        <w:rPr>
          <w:rFonts w:ascii="Times New Roman" w:hAnsi="Times New Roman"/>
          <w:sz w:val="21"/>
          <w:szCs w:val="21"/>
        </w:rPr>
        <w:t>（3）固废标识和归类</w:t>
      </w:r>
      <w:bookmarkEnd w:id="257"/>
    </w:p>
    <w:p>
      <w:pPr>
        <w:pStyle w:val="2"/>
        <w:numPr>
          <w:ilvl w:val="0"/>
          <w:numId w:val="0"/>
        </w:numPr>
        <w:spacing w:line="360" w:lineRule="auto"/>
        <w:ind w:firstLine="420" w:firstLineChars="200"/>
        <w:rPr>
          <w:rFonts w:ascii="Times New Roman" w:hAnsi="Times New Roman"/>
          <w:szCs w:val="21"/>
        </w:rPr>
      </w:pPr>
      <w:r>
        <w:rPr>
          <w:rFonts w:ascii="Times New Roman" w:hAnsi="Times New Roman"/>
          <w:szCs w:val="21"/>
        </w:rPr>
        <w:t>对涉废企业的生产固废类型进行标识和归类。</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58" w:name="_Toc109989281"/>
      <w:r>
        <w:rPr>
          <w:rFonts w:ascii="Times New Roman" w:hAnsi="Times New Roman"/>
          <w:sz w:val="21"/>
          <w:szCs w:val="21"/>
        </w:rPr>
        <w:t>（4）固废样本来源追踪</w:t>
      </w:r>
      <w:bookmarkEnd w:id="258"/>
    </w:p>
    <w:p>
      <w:pPr>
        <w:spacing w:line="360" w:lineRule="auto"/>
        <w:ind w:firstLine="420" w:firstLineChars="200"/>
        <w:rPr>
          <w:szCs w:val="21"/>
        </w:rPr>
      </w:pPr>
      <w:r>
        <w:rPr>
          <w:szCs w:val="21"/>
        </w:rPr>
        <w:t>在选定标杆企业后对该企业的产生类型、产废量、所属行业等相关信息定向跟踪。</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59" w:name="_Toc109989282"/>
      <w:r>
        <w:rPr>
          <w:rFonts w:ascii="Times New Roman" w:hAnsi="Times New Roman"/>
          <w:sz w:val="21"/>
          <w:szCs w:val="21"/>
        </w:rPr>
        <w:t>（5）固废样品描述</w:t>
      </w:r>
      <w:bookmarkEnd w:id="259"/>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0" w:name="_Toc109989283"/>
      <w:r>
        <w:rPr>
          <w:rFonts w:hint="eastAsia" w:ascii="Times New Roman" w:hAnsi="Times New Roman"/>
          <w:sz w:val="21"/>
          <w:szCs w:val="21"/>
        </w:rPr>
        <w:t>①</w:t>
      </w:r>
      <w:r>
        <w:rPr>
          <w:rFonts w:ascii="Times New Roman" w:hAnsi="Times New Roman"/>
          <w:sz w:val="21"/>
          <w:szCs w:val="21"/>
        </w:rPr>
        <w:t>物相特征识别</w:t>
      </w:r>
      <w:bookmarkEnd w:id="260"/>
    </w:p>
    <w:p>
      <w:pPr>
        <w:spacing w:line="360" w:lineRule="auto"/>
        <w:ind w:firstLine="420" w:firstLineChars="200"/>
        <w:rPr>
          <w:szCs w:val="21"/>
        </w:rPr>
      </w:pPr>
      <w:r>
        <w:rPr>
          <w:szCs w:val="21"/>
        </w:rPr>
        <w:t>根据炼油化工、家电行业固体废物的不同物相特征、形态特征，建立物相特征识别库。</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1" w:name="_Toc109989284"/>
      <w:r>
        <w:rPr>
          <w:rFonts w:hint="eastAsia" w:ascii="Times New Roman" w:hAnsi="Times New Roman"/>
          <w:sz w:val="21"/>
          <w:szCs w:val="21"/>
        </w:rPr>
        <w:t>②</w:t>
      </w:r>
      <w:r>
        <w:rPr>
          <w:rFonts w:ascii="Times New Roman" w:hAnsi="Times New Roman"/>
          <w:sz w:val="21"/>
          <w:szCs w:val="21"/>
        </w:rPr>
        <w:t>化学性质识别</w:t>
      </w:r>
      <w:bookmarkEnd w:id="261"/>
    </w:p>
    <w:p>
      <w:pPr>
        <w:spacing w:line="360" w:lineRule="auto"/>
        <w:ind w:firstLine="420" w:firstLineChars="200"/>
        <w:rPr>
          <w:szCs w:val="21"/>
        </w:rPr>
      </w:pPr>
      <w:r>
        <w:rPr>
          <w:szCs w:val="21"/>
        </w:rPr>
        <w:t>根据炼油化工、家电行业固体废物的化学性质，通过对不同废物的化验检测建立该企业产废物质的化学性质数据库。</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2" w:name="_Toc109989285"/>
      <w:r>
        <w:rPr>
          <w:rFonts w:hint="eastAsia" w:ascii="Times New Roman" w:hAnsi="Times New Roman"/>
          <w:sz w:val="21"/>
          <w:szCs w:val="21"/>
        </w:rPr>
        <w:t>③</w:t>
      </w:r>
      <w:r>
        <w:rPr>
          <w:rFonts w:ascii="Times New Roman" w:hAnsi="Times New Roman"/>
          <w:sz w:val="21"/>
          <w:szCs w:val="21"/>
        </w:rPr>
        <w:t>污染特性指标</w:t>
      </w:r>
      <w:bookmarkEnd w:id="262"/>
    </w:p>
    <w:p>
      <w:pPr>
        <w:spacing w:line="360" w:lineRule="auto"/>
        <w:ind w:firstLine="420" w:firstLineChars="200"/>
        <w:rPr>
          <w:szCs w:val="21"/>
        </w:rPr>
      </w:pPr>
      <w:r>
        <w:rPr>
          <w:szCs w:val="21"/>
        </w:rPr>
        <w:t>建立污染特性指标，在混合固体废物识别的同时，排除污染物的干扰。</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3" w:name="_Toc109989286"/>
      <w:r>
        <w:rPr>
          <w:rFonts w:hint="eastAsia" w:ascii="Times New Roman" w:hAnsi="Times New Roman"/>
          <w:sz w:val="21"/>
          <w:szCs w:val="21"/>
        </w:rPr>
        <w:t>④</w:t>
      </w:r>
      <w:r>
        <w:rPr>
          <w:rFonts w:ascii="Times New Roman" w:hAnsi="Times New Roman"/>
          <w:sz w:val="21"/>
          <w:szCs w:val="21"/>
        </w:rPr>
        <w:t>再生利用处置方式</w:t>
      </w:r>
      <w:bookmarkEnd w:id="263"/>
    </w:p>
    <w:p>
      <w:pPr>
        <w:spacing w:line="360" w:lineRule="auto"/>
        <w:ind w:firstLine="420" w:firstLineChars="200"/>
        <w:rPr>
          <w:szCs w:val="21"/>
        </w:rPr>
      </w:pPr>
      <w:r>
        <w:rPr>
          <w:szCs w:val="21"/>
        </w:rPr>
        <w:t>在处理固体废物的时候，部分固体废物可以进行再生利用方式进行描述。</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4" w:name="_Toc109989287"/>
      <w:r>
        <w:rPr>
          <w:rFonts w:hint="eastAsia" w:ascii="Times New Roman" w:hAnsi="Times New Roman"/>
          <w:sz w:val="21"/>
          <w:szCs w:val="21"/>
        </w:rPr>
        <w:t>⑤</w:t>
      </w:r>
      <w:r>
        <w:rPr>
          <w:rFonts w:ascii="Times New Roman" w:hAnsi="Times New Roman"/>
          <w:sz w:val="21"/>
          <w:szCs w:val="21"/>
        </w:rPr>
        <w:t>固废样品管理现状</w:t>
      </w:r>
      <w:bookmarkEnd w:id="264"/>
    </w:p>
    <w:p>
      <w:pPr>
        <w:spacing w:line="360" w:lineRule="auto"/>
        <w:ind w:firstLine="420" w:firstLineChars="200"/>
        <w:rPr>
          <w:szCs w:val="21"/>
        </w:rPr>
      </w:pPr>
      <w:r>
        <w:rPr>
          <w:szCs w:val="21"/>
        </w:rPr>
        <w:t>针对各采样点收集上来的固废样品管理现状描述。</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5" w:name="_Toc109989288"/>
      <w:r>
        <w:rPr>
          <w:rFonts w:ascii="Times New Roman" w:hAnsi="Times New Roman"/>
          <w:sz w:val="21"/>
          <w:szCs w:val="21"/>
        </w:rPr>
        <w:t>（6）固废贮存管理</w:t>
      </w:r>
      <w:bookmarkEnd w:id="265"/>
    </w:p>
    <w:p>
      <w:pPr>
        <w:spacing w:line="360" w:lineRule="auto"/>
        <w:ind w:firstLine="420" w:firstLineChars="200"/>
        <w:rPr>
          <w:szCs w:val="21"/>
        </w:rPr>
      </w:pPr>
      <w:r>
        <w:rPr>
          <w:szCs w:val="21"/>
        </w:rPr>
        <w:t>根据前期企业提供的对相关废物化验和鉴定，形成相关废物的特性知识库，并根据不同废物的物理特性、化学性、反应性等条件，对该废物的贮存出具相应的指南、规范等文件。将相关指南、规范形成电子文档作为企业管理指南。包括危险废物贮存管理和一般工业固废贮存管理。</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6" w:name="_Toc109989289"/>
      <w:r>
        <w:rPr>
          <w:rFonts w:ascii="Times New Roman" w:hAnsi="Times New Roman"/>
          <w:sz w:val="21"/>
          <w:szCs w:val="21"/>
        </w:rPr>
        <w:t>（7）固废特征库态势分析</w:t>
      </w:r>
      <w:bookmarkEnd w:id="266"/>
    </w:p>
    <w:p>
      <w:pPr>
        <w:pStyle w:val="178"/>
        <w:ind w:firstLine="420"/>
        <w:rPr>
          <w:rFonts w:eastAsia="宋体"/>
          <w:kern w:val="2"/>
          <w:sz w:val="21"/>
          <w:szCs w:val="21"/>
        </w:rPr>
      </w:pPr>
      <w:r>
        <w:rPr>
          <w:rFonts w:eastAsia="宋体"/>
          <w:kern w:val="2"/>
          <w:sz w:val="21"/>
          <w:szCs w:val="21"/>
        </w:rPr>
        <w:t>建立固废特征库态势分析专题，形成年度、月度重点数据态势分析报告，将特征模型的分析成果进行输出展示。</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7" w:name="_Toc109989290"/>
      <w:r>
        <w:rPr>
          <w:rFonts w:ascii="Times New Roman" w:hAnsi="Times New Roman"/>
          <w:sz w:val="21"/>
          <w:szCs w:val="21"/>
        </w:rPr>
        <w:t>（8）固废特征建模</w:t>
      </w:r>
      <w:bookmarkEnd w:id="267"/>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8" w:name="_Toc109989291"/>
      <w:r>
        <w:rPr>
          <w:rFonts w:hint="eastAsia" w:ascii="Times New Roman" w:hAnsi="Times New Roman"/>
          <w:sz w:val="21"/>
          <w:szCs w:val="21"/>
        </w:rPr>
        <w:t>①</w:t>
      </w:r>
      <w:r>
        <w:rPr>
          <w:rFonts w:ascii="Times New Roman" w:hAnsi="Times New Roman"/>
          <w:sz w:val="21"/>
          <w:szCs w:val="21"/>
        </w:rPr>
        <w:t>理论建模</w:t>
      </w:r>
      <w:bookmarkEnd w:id="268"/>
    </w:p>
    <w:p>
      <w:pPr>
        <w:spacing w:line="360" w:lineRule="auto"/>
        <w:ind w:firstLine="420" w:firstLineChars="200"/>
        <w:rPr>
          <w:szCs w:val="21"/>
        </w:rPr>
      </w:pPr>
      <w:r>
        <w:rPr>
          <w:szCs w:val="21"/>
        </w:rPr>
        <w:t>分别针对炼油化工、家电行业各自生产环节特征污染物完成固废特征库的初步建模。</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69" w:name="_Toc109989292"/>
      <w:r>
        <w:rPr>
          <w:rFonts w:hint="eastAsia" w:ascii="Times New Roman" w:hAnsi="Times New Roman"/>
          <w:sz w:val="21"/>
          <w:szCs w:val="21"/>
        </w:rPr>
        <w:t>②</w:t>
      </w:r>
      <w:r>
        <w:rPr>
          <w:rFonts w:ascii="Times New Roman" w:hAnsi="Times New Roman"/>
          <w:sz w:val="21"/>
          <w:szCs w:val="21"/>
        </w:rPr>
        <w:t>数据论证与模型输出</w:t>
      </w:r>
      <w:bookmarkEnd w:id="269"/>
    </w:p>
    <w:p>
      <w:pPr>
        <w:spacing w:line="360" w:lineRule="auto"/>
        <w:ind w:firstLine="420" w:firstLineChars="200"/>
        <w:rPr>
          <w:szCs w:val="21"/>
        </w:rPr>
      </w:pPr>
      <w:r>
        <w:rPr>
          <w:szCs w:val="21"/>
        </w:rPr>
        <w:t>结合调研企业的数据信息，修改完善固废特征库初步模型的信息数据库。</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0" w:name="_Toc109989293"/>
      <w:r>
        <w:rPr>
          <w:rFonts w:ascii="Times New Roman" w:hAnsi="Times New Roman"/>
          <w:sz w:val="21"/>
          <w:szCs w:val="21"/>
        </w:rPr>
        <w:t>（9）产废信息分析展示</w:t>
      </w:r>
      <w:bookmarkEnd w:id="270"/>
    </w:p>
    <w:p>
      <w:pPr>
        <w:spacing w:line="360" w:lineRule="auto"/>
        <w:ind w:firstLine="420" w:firstLineChars="200"/>
        <w:rPr>
          <w:szCs w:val="21"/>
        </w:rPr>
      </w:pPr>
      <w:r>
        <w:rPr>
          <w:szCs w:val="21"/>
        </w:rPr>
        <w:t>对产废数据进行校验，判断识别的正确性。</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1" w:name="_Toc109989294"/>
      <w:r>
        <w:rPr>
          <w:rFonts w:ascii="Times New Roman" w:hAnsi="Times New Roman"/>
          <w:sz w:val="21"/>
          <w:szCs w:val="21"/>
        </w:rPr>
        <w:t>3、固废多源数据分析</w:t>
      </w:r>
      <w:bookmarkEnd w:id="271"/>
    </w:p>
    <w:p>
      <w:pPr>
        <w:pStyle w:val="4"/>
        <w:keepNext w:val="0"/>
        <w:keepLines w:val="0"/>
        <w:widowControl/>
        <w:numPr>
          <w:ilvl w:val="0"/>
          <w:numId w:val="0"/>
        </w:numPr>
        <w:tabs>
          <w:tab w:val="clear" w:pos="576"/>
        </w:tabs>
        <w:spacing w:before="0" w:after="0" w:line="360" w:lineRule="auto"/>
        <w:ind w:firstLine="420" w:firstLineChars="200"/>
        <w:jc w:val="left"/>
        <w:rPr>
          <w:rFonts w:ascii="Times New Roman" w:hAnsi="Times New Roman" w:eastAsia="宋体"/>
          <w:b w:val="0"/>
          <w:bCs w:val="0"/>
          <w:kern w:val="2"/>
          <w:sz w:val="21"/>
          <w:szCs w:val="21"/>
        </w:rPr>
      </w:pPr>
      <w:bookmarkStart w:id="272" w:name="_Toc109989295"/>
      <w:r>
        <w:rPr>
          <w:rFonts w:hint="eastAsia" w:ascii="Times New Roman" w:hAnsi="Times New Roman" w:eastAsia="宋体"/>
          <w:b w:val="0"/>
          <w:bCs w:val="0"/>
          <w:kern w:val="2"/>
          <w:sz w:val="21"/>
          <w:szCs w:val="21"/>
        </w:rPr>
        <w:t>固废多源数据分析通过对企业信息、企业生产信息、过程监管信息等固废相关数据进行汇聚分析，能够对宁波固废产量、风险情况进行预测预警。</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r>
        <w:rPr>
          <w:rFonts w:ascii="Times New Roman" w:hAnsi="Times New Roman"/>
          <w:sz w:val="21"/>
          <w:szCs w:val="21"/>
        </w:rPr>
        <w:t>（1）行业预测模型分析</w:t>
      </w:r>
      <w:bookmarkEnd w:id="272"/>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3" w:name="_Toc109989296"/>
      <w:r>
        <w:rPr>
          <w:rFonts w:hint="eastAsia" w:ascii="Times New Roman" w:hAnsi="Times New Roman"/>
          <w:sz w:val="21"/>
          <w:szCs w:val="21"/>
        </w:rPr>
        <w:t>①</w:t>
      </w:r>
      <w:r>
        <w:rPr>
          <w:rFonts w:ascii="Times New Roman" w:hAnsi="Times New Roman"/>
          <w:sz w:val="21"/>
          <w:szCs w:val="21"/>
        </w:rPr>
        <w:t>一般固体废物分析</w:t>
      </w:r>
      <w:bookmarkEnd w:id="273"/>
    </w:p>
    <w:p>
      <w:pPr>
        <w:pStyle w:val="178"/>
        <w:ind w:firstLine="420"/>
        <w:jc w:val="both"/>
        <w:rPr>
          <w:rFonts w:eastAsia="宋体"/>
          <w:kern w:val="2"/>
          <w:sz w:val="21"/>
          <w:szCs w:val="21"/>
        </w:rPr>
      </w:pPr>
      <w:r>
        <w:rPr>
          <w:rFonts w:eastAsia="宋体"/>
          <w:kern w:val="2"/>
          <w:sz w:val="21"/>
          <w:szCs w:val="21"/>
        </w:rPr>
        <w:t>建立工业固体废物管理电子台账制度，支撑统一、规范、专业的固体废物全过程信息监管。</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4" w:name="_Toc109989297"/>
      <w:r>
        <w:rPr>
          <w:rFonts w:hint="eastAsia" w:ascii="Times New Roman" w:hAnsi="Times New Roman"/>
          <w:sz w:val="21"/>
          <w:szCs w:val="21"/>
        </w:rPr>
        <w:t>②</w:t>
      </w:r>
      <w:r>
        <w:rPr>
          <w:rFonts w:ascii="Times New Roman" w:hAnsi="Times New Roman"/>
          <w:sz w:val="21"/>
          <w:szCs w:val="21"/>
        </w:rPr>
        <w:t>危险废物分析</w:t>
      </w:r>
      <w:bookmarkEnd w:id="274"/>
    </w:p>
    <w:p>
      <w:pPr>
        <w:spacing w:line="360" w:lineRule="auto"/>
        <w:ind w:firstLine="420" w:firstLineChars="200"/>
        <w:contextualSpacing/>
        <w:rPr>
          <w:szCs w:val="21"/>
        </w:rPr>
      </w:pPr>
      <w:r>
        <w:rPr>
          <w:szCs w:val="21"/>
        </w:rPr>
        <w:t>分析全市各危废相关行业平均产废量、企业产废分析、智能报警与异常分析。</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5" w:name="_Toc109989298"/>
      <w:r>
        <w:rPr>
          <w:rFonts w:hint="eastAsia" w:ascii="Times New Roman" w:hAnsi="Times New Roman"/>
          <w:sz w:val="21"/>
          <w:szCs w:val="21"/>
        </w:rPr>
        <w:t>③</w:t>
      </w:r>
      <w:r>
        <w:rPr>
          <w:rFonts w:ascii="Times New Roman" w:hAnsi="Times New Roman"/>
          <w:sz w:val="21"/>
          <w:szCs w:val="21"/>
        </w:rPr>
        <w:t>农业废弃物分析</w:t>
      </w:r>
      <w:bookmarkEnd w:id="275"/>
    </w:p>
    <w:p>
      <w:pPr>
        <w:numPr>
          <w:ilvl w:val="255"/>
          <w:numId w:val="0"/>
        </w:numPr>
        <w:spacing w:line="360" w:lineRule="auto"/>
        <w:ind w:firstLine="420" w:firstLineChars="200"/>
        <w:contextualSpacing/>
        <w:rPr>
          <w:szCs w:val="21"/>
        </w:rPr>
      </w:pPr>
      <w:r>
        <w:rPr>
          <w:szCs w:val="21"/>
        </w:rPr>
        <w:t>农作物秸秆产量分析、畜禽粪污产量分析、畜禽粪污处置能力分析、农药包装废弃物产量分析、区域异常分析。</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6" w:name="_Toc109989299"/>
      <w:r>
        <w:rPr>
          <w:rFonts w:ascii="Times New Roman" w:hAnsi="Times New Roman"/>
          <w:sz w:val="21"/>
          <w:szCs w:val="21"/>
        </w:rPr>
        <w:t>（</w:t>
      </w:r>
      <w:r>
        <w:rPr>
          <w:rFonts w:hint="eastAsia" w:ascii="Times New Roman" w:hAnsi="Times New Roman"/>
          <w:sz w:val="21"/>
          <w:szCs w:val="21"/>
        </w:rPr>
        <w:t>2</w:t>
      </w:r>
      <w:r>
        <w:rPr>
          <w:rFonts w:ascii="Times New Roman" w:hAnsi="Times New Roman"/>
          <w:sz w:val="21"/>
          <w:szCs w:val="21"/>
        </w:rPr>
        <w:t>）固废产量汇总统计</w:t>
      </w:r>
      <w:bookmarkEnd w:id="276"/>
    </w:p>
    <w:p>
      <w:pPr>
        <w:spacing w:line="360" w:lineRule="auto"/>
        <w:ind w:firstLine="420" w:firstLineChars="200"/>
        <w:rPr>
          <w:szCs w:val="21"/>
        </w:rPr>
      </w:pPr>
      <w:r>
        <w:rPr>
          <w:szCs w:val="21"/>
        </w:rPr>
        <w:t>根据一般工业固废子系统、危险废物子系统获取相关固废产量数据，对固废产量进行汇总统计，建立相关的预测模型。</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7" w:name="_Toc109989300"/>
      <w:r>
        <w:rPr>
          <w:rFonts w:hint="eastAsia" w:ascii="Times New Roman" w:hAnsi="Times New Roman"/>
          <w:sz w:val="21"/>
          <w:szCs w:val="21"/>
        </w:rPr>
        <w:t>①</w:t>
      </w:r>
      <w:r>
        <w:rPr>
          <w:rFonts w:ascii="Times New Roman" w:hAnsi="Times New Roman"/>
          <w:sz w:val="21"/>
          <w:szCs w:val="21"/>
        </w:rPr>
        <w:t>固体废物总量预测模型</w:t>
      </w:r>
      <w:bookmarkEnd w:id="277"/>
    </w:p>
    <w:p>
      <w:pPr>
        <w:spacing w:line="360" w:lineRule="auto"/>
        <w:ind w:firstLine="420" w:firstLineChars="200"/>
        <w:rPr>
          <w:szCs w:val="21"/>
        </w:rPr>
      </w:pPr>
      <w:r>
        <w:rPr>
          <w:szCs w:val="21"/>
        </w:rPr>
        <w:t>通过填报相关数值，预测年固体废物排放总量。</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8" w:name="_Toc109989301"/>
      <w:r>
        <w:rPr>
          <w:rFonts w:hint="eastAsia" w:ascii="Times New Roman" w:hAnsi="Times New Roman"/>
          <w:sz w:val="21"/>
          <w:szCs w:val="21"/>
        </w:rPr>
        <w:t>②</w:t>
      </w:r>
      <w:r>
        <w:rPr>
          <w:rFonts w:ascii="Times New Roman" w:hAnsi="Times New Roman"/>
          <w:sz w:val="21"/>
          <w:szCs w:val="21"/>
        </w:rPr>
        <w:t>一般固体废物产生量预测模型</w:t>
      </w:r>
      <w:bookmarkEnd w:id="278"/>
    </w:p>
    <w:p>
      <w:pPr>
        <w:spacing w:line="360" w:lineRule="auto"/>
        <w:ind w:firstLine="420" w:firstLineChars="200"/>
        <w:rPr>
          <w:szCs w:val="21"/>
        </w:rPr>
      </w:pPr>
      <w:r>
        <w:rPr>
          <w:szCs w:val="21"/>
        </w:rPr>
        <w:t>通过填报相关数值，预测年废渣排放、积存量。</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79" w:name="_Toc109989302"/>
      <w:r>
        <w:rPr>
          <w:rFonts w:hint="eastAsia" w:ascii="Times New Roman" w:hAnsi="Times New Roman"/>
          <w:sz w:val="21"/>
          <w:szCs w:val="21"/>
        </w:rPr>
        <w:t>③</w:t>
      </w:r>
      <w:r>
        <w:rPr>
          <w:rFonts w:ascii="Times New Roman" w:hAnsi="Times New Roman"/>
          <w:sz w:val="21"/>
          <w:szCs w:val="21"/>
        </w:rPr>
        <w:t>固体废物环境影响预测模型</w:t>
      </w:r>
      <w:bookmarkEnd w:id="279"/>
    </w:p>
    <w:p>
      <w:pPr>
        <w:spacing w:line="360" w:lineRule="auto"/>
        <w:ind w:firstLine="420" w:firstLineChars="200"/>
        <w:rPr>
          <w:szCs w:val="21"/>
        </w:rPr>
      </w:pPr>
      <w:r>
        <w:rPr>
          <w:szCs w:val="21"/>
        </w:rPr>
        <w:t>通过废渣比重、年排渣量或废渣累积量等计算废渣占地面积。</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80" w:name="_Toc109989303"/>
      <w:r>
        <w:rPr>
          <w:rFonts w:hint="eastAsia" w:ascii="Times New Roman" w:hAnsi="Times New Roman"/>
          <w:sz w:val="21"/>
          <w:szCs w:val="21"/>
        </w:rPr>
        <w:t>④</w:t>
      </w:r>
      <w:r>
        <w:rPr>
          <w:rFonts w:ascii="Times New Roman" w:hAnsi="Times New Roman"/>
          <w:sz w:val="21"/>
          <w:szCs w:val="21"/>
        </w:rPr>
        <w:t>城市垃圾产生量及环境影响预测模型</w:t>
      </w:r>
      <w:bookmarkEnd w:id="280"/>
    </w:p>
    <w:p>
      <w:pPr>
        <w:spacing w:line="360" w:lineRule="auto"/>
        <w:ind w:firstLine="420" w:firstLineChars="200"/>
        <w:rPr>
          <w:szCs w:val="21"/>
        </w:rPr>
      </w:pPr>
      <w:r>
        <w:rPr>
          <w:szCs w:val="21"/>
        </w:rPr>
        <w:t>通过填报相关数值，预测年城市垃圾产生总量、环境影响评价值。</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81" w:name="_Toc109989304"/>
      <w:r>
        <w:rPr>
          <w:rFonts w:ascii="Times New Roman" w:hAnsi="Times New Roman"/>
          <w:sz w:val="21"/>
          <w:szCs w:val="21"/>
        </w:rPr>
        <w:t>（3）固废对比分析</w:t>
      </w:r>
      <w:bookmarkEnd w:id="281"/>
    </w:p>
    <w:p>
      <w:pPr>
        <w:spacing w:line="360" w:lineRule="auto"/>
        <w:ind w:firstLine="420" w:firstLineChars="200"/>
        <w:rPr>
          <w:szCs w:val="21"/>
        </w:rPr>
      </w:pPr>
      <w:r>
        <w:rPr>
          <w:szCs w:val="21"/>
        </w:rPr>
        <w:t>将固废产量预测值与实际产量值进行比对，得到变化趋势曲线图，对固废产量的合理性作出衡量。</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82" w:name="_Toc109989305"/>
      <w:r>
        <w:rPr>
          <w:rFonts w:ascii="Times New Roman" w:hAnsi="Times New Roman"/>
          <w:sz w:val="21"/>
          <w:szCs w:val="21"/>
        </w:rPr>
        <w:t>（4）固废多源数据分析应用</w:t>
      </w:r>
      <w:bookmarkEnd w:id="282"/>
    </w:p>
    <w:p>
      <w:pPr>
        <w:tabs>
          <w:tab w:val="left" w:leader="dot" w:pos="420"/>
        </w:tabs>
        <w:spacing w:line="360" w:lineRule="auto"/>
        <w:ind w:firstLine="420" w:firstLineChars="200"/>
        <w:contextualSpacing/>
        <w:rPr>
          <w:szCs w:val="21"/>
        </w:rPr>
      </w:pPr>
      <w:r>
        <w:rPr>
          <w:szCs w:val="21"/>
        </w:rPr>
        <w:t>固废多源数据分析通过对固废相关数据进行汇聚分析，能够对宁波固废产量、风险情况进行预测预警，为上层决策分析、风险预警提供分析结果支撑。</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83" w:name="_Toc109989306"/>
      <w:r>
        <w:rPr>
          <w:rFonts w:ascii="Times New Roman" w:hAnsi="Times New Roman"/>
          <w:sz w:val="21"/>
          <w:szCs w:val="21"/>
        </w:rPr>
        <w:t>4、固危废倾倒预警监测系统</w:t>
      </w:r>
      <w:bookmarkEnd w:id="283"/>
    </w:p>
    <w:p>
      <w:pPr>
        <w:widowControl/>
        <w:tabs>
          <w:tab w:val="left" w:leader="dot" w:pos="420"/>
        </w:tabs>
        <w:spacing w:line="360" w:lineRule="auto"/>
        <w:ind w:firstLine="420" w:firstLineChars="200"/>
        <w:contextualSpacing/>
        <w:jc w:val="left"/>
        <w:rPr>
          <w:szCs w:val="21"/>
        </w:rPr>
      </w:pPr>
      <w:bookmarkStart w:id="284" w:name="_Toc109989307"/>
      <w:r>
        <w:rPr>
          <w:rFonts w:hint="eastAsia"/>
          <w:szCs w:val="21"/>
        </w:rPr>
        <w:t>固危废倾倒预警监测系统通过集成固危废监管信息，标签化固危废监管信息，构建技战模型，实现疑似违规倾倒行为的发现及预警。</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r>
        <w:rPr>
          <w:rFonts w:ascii="Times New Roman" w:hAnsi="Times New Roman"/>
          <w:sz w:val="21"/>
          <w:szCs w:val="21"/>
        </w:rPr>
        <w:t>（1）技战标签管理</w:t>
      </w:r>
      <w:bookmarkEnd w:id="284"/>
    </w:p>
    <w:p>
      <w:pPr>
        <w:spacing w:line="360" w:lineRule="auto"/>
        <w:ind w:firstLine="420" w:firstLineChars="200"/>
        <w:rPr>
          <w:szCs w:val="21"/>
        </w:rPr>
      </w:pPr>
      <w:r>
        <w:rPr>
          <w:szCs w:val="21"/>
        </w:rPr>
        <w:t>为宁波市固危废倾倒预警监测系统建设提供标签分类支撑。</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85" w:name="_Toc109989308"/>
      <w:r>
        <w:rPr>
          <w:rFonts w:hint="eastAsia" w:ascii="Times New Roman" w:hAnsi="Times New Roman"/>
          <w:sz w:val="21"/>
          <w:szCs w:val="21"/>
        </w:rPr>
        <w:t>①</w:t>
      </w:r>
      <w:r>
        <w:rPr>
          <w:rFonts w:ascii="Times New Roman" w:hAnsi="Times New Roman"/>
          <w:sz w:val="21"/>
          <w:szCs w:val="21"/>
        </w:rPr>
        <w:t>企业技战标签</w:t>
      </w:r>
      <w:bookmarkEnd w:id="285"/>
    </w:p>
    <w:p>
      <w:pPr>
        <w:spacing w:line="360" w:lineRule="auto"/>
        <w:ind w:firstLine="420" w:firstLineChars="200"/>
        <w:rPr>
          <w:szCs w:val="21"/>
        </w:rPr>
      </w:pPr>
      <w:r>
        <w:rPr>
          <w:szCs w:val="21"/>
        </w:rPr>
        <w:t>为固危废倾倒预警监测系统建设提供不同维度关注企业信息和企业技战标签支撑。</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86" w:name="_Toc109989309"/>
      <w:r>
        <w:rPr>
          <w:rFonts w:hint="eastAsia" w:ascii="Times New Roman" w:hAnsi="Times New Roman"/>
          <w:sz w:val="21"/>
          <w:szCs w:val="21"/>
        </w:rPr>
        <w:t>②</w:t>
      </w:r>
      <w:r>
        <w:rPr>
          <w:rFonts w:ascii="Times New Roman" w:hAnsi="Times New Roman"/>
          <w:sz w:val="21"/>
          <w:szCs w:val="21"/>
        </w:rPr>
        <w:t>人员技战标签</w:t>
      </w:r>
      <w:bookmarkEnd w:id="286"/>
    </w:p>
    <w:p>
      <w:pPr>
        <w:spacing w:line="360" w:lineRule="auto"/>
        <w:ind w:firstLine="420" w:firstLineChars="200"/>
        <w:rPr>
          <w:szCs w:val="21"/>
        </w:rPr>
      </w:pPr>
      <w:r>
        <w:rPr>
          <w:szCs w:val="21"/>
        </w:rPr>
        <w:t>对人员信息和人员技战标签进行管理。</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87" w:name="_Toc109989310"/>
      <w:r>
        <w:rPr>
          <w:rFonts w:hint="eastAsia" w:ascii="Times New Roman" w:hAnsi="Times New Roman"/>
          <w:sz w:val="21"/>
          <w:szCs w:val="21"/>
        </w:rPr>
        <w:t>③</w:t>
      </w:r>
      <w:r>
        <w:rPr>
          <w:rFonts w:ascii="Times New Roman" w:hAnsi="Times New Roman"/>
          <w:sz w:val="21"/>
          <w:szCs w:val="21"/>
        </w:rPr>
        <w:t>车辆技战标签</w:t>
      </w:r>
      <w:bookmarkEnd w:id="287"/>
    </w:p>
    <w:p>
      <w:pPr>
        <w:spacing w:line="360" w:lineRule="auto"/>
        <w:ind w:firstLine="420" w:firstLineChars="200"/>
        <w:rPr>
          <w:szCs w:val="21"/>
        </w:rPr>
      </w:pPr>
      <w:r>
        <w:rPr>
          <w:szCs w:val="21"/>
        </w:rPr>
        <w:t>对关注车辆库和车辆技战标签进行管理。</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88" w:name="_Toc109989311"/>
      <w:r>
        <w:rPr>
          <w:rFonts w:hint="eastAsia" w:ascii="Times New Roman" w:hAnsi="Times New Roman"/>
          <w:sz w:val="21"/>
          <w:szCs w:val="21"/>
        </w:rPr>
        <w:t>④</w:t>
      </w:r>
      <w:r>
        <w:rPr>
          <w:rFonts w:ascii="Times New Roman" w:hAnsi="Times New Roman"/>
          <w:sz w:val="21"/>
          <w:szCs w:val="21"/>
        </w:rPr>
        <w:t>区域技战标签</w:t>
      </w:r>
      <w:bookmarkEnd w:id="288"/>
    </w:p>
    <w:p>
      <w:pPr>
        <w:spacing w:line="360" w:lineRule="auto"/>
        <w:ind w:firstLine="420" w:firstLineChars="200"/>
        <w:rPr>
          <w:szCs w:val="21"/>
        </w:rPr>
      </w:pPr>
      <w:r>
        <w:rPr>
          <w:szCs w:val="21"/>
        </w:rPr>
        <w:t>区域库和关注区域技战标签。</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89" w:name="_Toc109989312"/>
      <w:r>
        <w:rPr>
          <w:rFonts w:hint="eastAsia" w:ascii="Times New Roman" w:hAnsi="Times New Roman"/>
          <w:sz w:val="21"/>
          <w:szCs w:val="21"/>
        </w:rPr>
        <w:t>⑤</w:t>
      </w:r>
      <w:r>
        <w:rPr>
          <w:rFonts w:ascii="Times New Roman" w:hAnsi="Times New Roman"/>
          <w:sz w:val="21"/>
          <w:szCs w:val="21"/>
        </w:rPr>
        <w:t>感知技战标签</w:t>
      </w:r>
      <w:bookmarkEnd w:id="289"/>
    </w:p>
    <w:p>
      <w:pPr>
        <w:spacing w:line="360" w:lineRule="auto"/>
        <w:ind w:firstLine="420" w:firstLineChars="200"/>
        <w:rPr>
          <w:szCs w:val="21"/>
        </w:rPr>
      </w:pPr>
      <w:r>
        <w:rPr>
          <w:szCs w:val="21"/>
        </w:rPr>
        <w:t>感知设备库和感知设备技战标签。</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0" w:name="_Toc109989313"/>
      <w:r>
        <w:rPr>
          <w:rFonts w:ascii="Times New Roman" w:hAnsi="Times New Roman"/>
          <w:sz w:val="21"/>
          <w:szCs w:val="21"/>
        </w:rPr>
        <w:t>（2）自定义算法规则</w:t>
      </w:r>
      <w:bookmarkEnd w:id="290"/>
    </w:p>
    <w:p>
      <w:pPr>
        <w:spacing w:line="360" w:lineRule="auto"/>
        <w:ind w:firstLine="420" w:firstLineChars="200"/>
        <w:rPr>
          <w:szCs w:val="21"/>
        </w:rPr>
      </w:pPr>
      <w:r>
        <w:rPr>
          <w:szCs w:val="21"/>
        </w:rPr>
        <w:t>支持自定义算法规则，为时空伴随分析提供算法支持。</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1" w:name="_Toc109989314"/>
      <w:r>
        <w:rPr>
          <w:rFonts w:ascii="Times New Roman" w:hAnsi="Times New Roman"/>
          <w:sz w:val="21"/>
          <w:szCs w:val="21"/>
        </w:rPr>
        <w:t>（3）技战模型构建</w:t>
      </w:r>
      <w:bookmarkEnd w:id="291"/>
    </w:p>
    <w:p>
      <w:pPr>
        <w:spacing w:line="360" w:lineRule="auto"/>
        <w:ind w:firstLine="420" w:firstLineChars="200"/>
        <w:rPr>
          <w:szCs w:val="21"/>
        </w:rPr>
      </w:pPr>
      <w:r>
        <w:rPr>
          <w:szCs w:val="21"/>
        </w:rPr>
        <w:t>构建外地车辆在甬智能发现、疑似外地违法倾倒行为预警、疑似外地违法倾倒行为预警模型，挖掘非法倾倒违法犯罪行为。</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2" w:name="_Toc109989315"/>
      <w:r>
        <w:rPr>
          <w:rFonts w:ascii="Times New Roman" w:hAnsi="Times New Roman"/>
          <w:sz w:val="21"/>
          <w:szCs w:val="21"/>
        </w:rPr>
        <w:t>（4）预警跟踪分析</w:t>
      </w:r>
      <w:bookmarkEnd w:id="292"/>
    </w:p>
    <w:p>
      <w:pPr>
        <w:spacing w:line="360" w:lineRule="auto"/>
        <w:ind w:firstLine="420" w:firstLineChars="200"/>
        <w:rPr>
          <w:szCs w:val="21"/>
        </w:rPr>
      </w:pPr>
      <w:r>
        <w:rPr>
          <w:szCs w:val="21"/>
        </w:rPr>
        <w:t>对外地运输车辆在甬智能发现、固危废非法倾倒类智能分析预警结果数据进行跟踪，对预警主体是否存在违法犯罪行为进行研判分析。包括视频筛查分析和融合轨迹分析。</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3" w:name="_Toc109989316"/>
      <w:r>
        <w:rPr>
          <w:rFonts w:ascii="Times New Roman" w:hAnsi="Times New Roman"/>
          <w:sz w:val="21"/>
          <w:szCs w:val="21"/>
        </w:rPr>
        <w:t>（5）预警核查中心</w:t>
      </w:r>
      <w:bookmarkEnd w:id="293"/>
    </w:p>
    <w:p>
      <w:pPr>
        <w:spacing w:line="360" w:lineRule="auto"/>
        <w:ind w:firstLine="420" w:firstLineChars="200"/>
        <w:rPr>
          <w:szCs w:val="21"/>
        </w:rPr>
      </w:pPr>
      <w:r>
        <w:rPr>
          <w:szCs w:val="21"/>
        </w:rPr>
        <w:t>针对存在本地重大违法犯罪嫌疑的预警行为，生成预警指令,推送行政查处或刑事打击，实现公安机关预警信息的分类下发、核查处置、精准打击。</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4" w:name="_Toc109989317"/>
      <w:r>
        <w:rPr>
          <w:rFonts w:ascii="Times New Roman" w:hAnsi="Times New Roman"/>
          <w:sz w:val="21"/>
          <w:szCs w:val="21"/>
        </w:rPr>
        <w:t>（6）精准预警推送</w:t>
      </w:r>
      <w:bookmarkEnd w:id="294"/>
    </w:p>
    <w:p>
      <w:pPr>
        <w:spacing w:line="360" w:lineRule="auto"/>
        <w:ind w:firstLine="420" w:firstLineChars="200"/>
        <w:rPr>
          <w:szCs w:val="21"/>
        </w:rPr>
      </w:pPr>
      <w:r>
        <w:rPr>
          <w:szCs w:val="21"/>
        </w:rPr>
        <w:t>预警结果数据形式推送至“无废城市”综合管理服务应用中。</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5" w:name="_Toc109989318"/>
      <w:r>
        <w:rPr>
          <w:rFonts w:ascii="Times New Roman" w:hAnsi="Times New Roman"/>
          <w:sz w:val="21"/>
          <w:szCs w:val="21"/>
        </w:rPr>
        <w:t>（7）后台管理</w:t>
      </w:r>
      <w:bookmarkEnd w:id="295"/>
    </w:p>
    <w:p>
      <w:pPr>
        <w:spacing w:line="360" w:lineRule="auto"/>
        <w:ind w:firstLine="420" w:firstLineChars="200"/>
        <w:rPr>
          <w:szCs w:val="21"/>
        </w:rPr>
      </w:pPr>
      <w:r>
        <w:rPr>
          <w:szCs w:val="21"/>
        </w:rPr>
        <w:t>搭建后台管理功能，对固危废倾倒预警监测系统进行管理和监管。</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6" w:name="_Toc109989319"/>
      <w:r>
        <w:rPr>
          <w:rFonts w:ascii="Times New Roman" w:hAnsi="Times New Roman"/>
          <w:sz w:val="21"/>
          <w:szCs w:val="21"/>
        </w:rPr>
        <w:t>5、医疗废物无缝监管</w:t>
      </w:r>
      <w:bookmarkEnd w:id="296"/>
    </w:p>
    <w:p>
      <w:pPr>
        <w:spacing w:line="360" w:lineRule="auto"/>
        <w:ind w:firstLine="420" w:firstLineChars="200"/>
        <w:rPr>
          <w:szCs w:val="21"/>
        </w:rPr>
      </w:pPr>
      <w:r>
        <w:rPr>
          <w:szCs w:val="21"/>
        </w:rPr>
        <w:t>根据《宁波市“无废城市”建设集成场景应用改革实施方案》要求，需构建医疗废物无缝监管场景应用，本场景拟依托医疗废物管理子系统实现多跨场景应用。</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7" w:name="_Toc109989320"/>
      <w:r>
        <w:rPr>
          <w:rFonts w:ascii="Times New Roman" w:hAnsi="Times New Roman"/>
          <w:sz w:val="21"/>
          <w:szCs w:val="21"/>
        </w:rPr>
        <w:t>6、危险废物一码监管</w:t>
      </w:r>
      <w:bookmarkEnd w:id="297"/>
    </w:p>
    <w:p>
      <w:pPr>
        <w:spacing w:line="360" w:lineRule="auto"/>
        <w:ind w:firstLine="420" w:firstLineChars="200"/>
        <w:rPr>
          <w:szCs w:val="21"/>
        </w:rPr>
      </w:pPr>
      <w:r>
        <w:rPr>
          <w:szCs w:val="21"/>
        </w:rPr>
        <w:t>根据《宁波市“无废城市”建设集成场景应用改革实施方案》要求，需构建危险废物一码监管场景应用，本场景依托危险废物管理子系统实现多跨场景应用。</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298" w:name="_Toc109989321"/>
      <w:bookmarkStart w:id="299" w:name="_Hlk87018591"/>
      <w:r>
        <w:rPr>
          <w:rFonts w:ascii="Times New Roman" w:hAnsi="Times New Roman"/>
          <w:sz w:val="21"/>
          <w:szCs w:val="21"/>
        </w:rPr>
        <w:t>7、再生建材全生命周期监管</w:t>
      </w:r>
      <w:bookmarkEnd w:id="298"/>
      <w:bookmarkEnd w:id="299"/>
    </w:p>
    <w:p>
      <w:pPr>
        <w:spacing w:line="360" w:lineRule="auto"/>
        <w:ind w:firstLine="420" w:firstLineChars="200"/>
        <w:rPr>
          <w:szCs w:val="21"/>
        </w:rPr>
      </w:pPr>
      <w:r>
        <w:rPr>
          <w:szCs w:val="21"/>
        </w:rPr>
        <w:t>根据《宁波市“无废城市”建设集成场景应用改革实施方案》要求，“再生建材全生命周期监管”属于无废城市多跨场景组成部分，本场景由住建局“甬砼码”实现相关场景功能建设，在本项目中仅做链接跳转登录。</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00" w:name="_Toc109989322"/>
      <w:r>
        <w:rPr>
          <w:rFonts w:ascii="Times New Roman" w:hAnsi="Times New Roman"/>
          <w:sz w:val="21"/>
          <w:szCs w:val="21"/>
        </w:rPr>
        <w:t>8、建筑垃圾违规倾倒识别</w:t>
      </w:r>
      <w:bookmarkEnd w:id="300"/>
    </w:p>
    <w:p>
      <w:pPr>
        <w:spacing w:line="360" w:lineRule="auto"/>
        <w:ind w:firstLine="420" w:firstLineChars="200"/>
        <w:rPr>
          <w:szCs w:val="21"/>
        </w:rPr>
      </w:pPr>
      <w:r>
        <w:rPr>
          <w:szCs w:val="21"/>
        </w:rPr>
        <w:t>根据《宁波市“无废城市”建设集成场景应用改革实施方案》要求，“建筑垃圾违规倾倒识别”依托于综合行政执法局现有系统及本项目新建的固危废倾倒预警监测系统实现疑似违规倾倒行为的发现及预警。</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01" w:name="_Toc109989323"/>
      <w:bookmarkStart w:id="302" w:name="_Toc5810"/>
      <w:r>
        <w:rPr>
          <w:rFonts w:ascii="Times New Roman" w:hAnsi="Times New Roman"/>
          <w:sz w:val="21"/>
          <w:szCs w:val="21"/>
        </w:rPr>
        <w:t>（四）系统管理</w:t>
      </w:r>
      <w:bookmarkEnd w:id="301"/>
      <w:bookmarkEnd w:id="302"/>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03" w:name="_Toc109989324"/>
      <w:r>
        <w:rPr>
          <w:rFonts w:ascii="Times New Roman" w:hAnsi="Times New Roman"/>
          <w:sz w:val="21"/>
          <w:szCs w:val="21"/>
        </w:rPr>
        <w:t>1、统一用户管理</w:t>
      </w:r>
      <w:bookmarkEnd w:id="303"/>
    </w:p>
    <w:p>
      <w:pPr>
        <w:spacing w:line="360" w:lineRule="auto"/>
        <w:ind w:firstLine="420" w:firstLineChars="200"/>
        <w:rPr>
          <w:szCs w:val="21"/>
        </w:rPr>
      </w:pPr>
      <w:r>
        <w:rPr>
          <w:szCs w:val="21"/>
        </w:rPr>
        <w:t>统一用户管理为各级管理员（包括无废城市各级部门内设机构和下设单位）提供一个统一的用户管理入口，由各级管理员对机构、组群、用户、应用进行相应的管理维护。</w:t>
      </w:r>
      <w:r>
        <w:rPr>
          <w:b/>
          <w:szCs w:val="21"/>
        </w:rPr>
        <w:t>此项工作依托IRS强制组件，由省大数据局提供，成果供无废城市相关部门使用，本项目实现统一的用户管理入口门户及相应的系统对接。</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04" w:name="_Toc109989325"/>
      <w:r>
        <w:rPr>
          <w:rFonts w:ascii="Times New Roman" w:hAnsi="Times New Roman"/>
          <w:sz w:val="21"/>
          <w:szCs w:val="21"/>
        </w:rPr>
        <w:t>2、统一授权管理</w:t>
      </w:r>
      <w:bookmarkEnd w:id="304"/>
    </w:p>
    <w:p>
      <w:pPr>
        <w:spacing w:line="360" w:lineRule="auto"/>
        <w:ind w:firstLine="420" w:firstLineChars="200"/>
        <w:rPr>
          <w:szCs w:val="21"/>
        </w:rPr>
      </w:pPr>
      <w:r>
        <w:rPr>
          <w:szCs w:val="21"/>
        </w:rPr>
        <w:t>统一授权管理是控制系统用户系统操作权限、数据查看权限，在建立用户体系的基础上进行授权管理。</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05" w:name="_Toc109989326"/>
      <w:bookmarkStart w:id="306" w:name="_Toc5260"/>
      <w:bookmarkStart w:id="307" w:name="_Toc74294443"/>
      <w:bookmarkStart w:id="308" w:name="_Toc73797716"/>
      <w:r>
        <w:rPr>
          <w:rFonts w:ascii="Times New Roman" w:hAnsi="Times New Roman"/>
          <w:sz w:val="21"/>
          <w:szCs w:val="21"/>
        </w:rPr>
        <w:t>五、公共支撑建设</w:t>
      </w:r>
      <w:bookmarkEnd w:id="305"/>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09" w:name="_Toc109989327"/>
      <w:bookmarkStart w:id="310" w:name="_Toc17995"/>
      <w:r>
        <w:rPr>
          <w:rFonts w:ascii="Times New Roman" w:hAnsi="Times New Roman"/>
          <w:sz w:val="21"/>
          <w:szCs w:val="21"/>
        </w:rPr>
        <w:t>（一）GIS基础服务</w:t>
      </w:r>
      <w:bookmarkEnd w:id="309"/>
      <w:bookmarkEnd w:id="310"/>
    </w:p>
    <w:p>
      <w:pPr>
        <w:pStyle w:val="175"/>
        <w:ind w:firstLine="420" w:firstLineChars="200"/>
        <w:rPr>
          <w:sz w:val="21"/>
          <w:szCs w:val="21"/>
        </w:rPr>
      </w:pPr>
      <w:r>
        <w:rPr>
          <w:sz w:val="21"/>
          <w:szCs w:val="21"/>
        </w:rPr>
        <w:t>无废城市项目基于宁波市统一的GIS引擎服务，梳理并开发相关应用图层数据，包括一般工业固废图层、危废图层、医废图层、农废图层等，</w:t>
      </w:r>
      <w:r>
        <w:rPr>
          <w:b/>
          <w:bCs/>
          <w:sz w:val="21"/>
          <w:szCs w:val="21"/>
        </w:rPr>
        <w:t>GIS引擎服务依托时空云平台实现</w:t>
      </w:r>
      <w:r>
        <w:rPr>
          <w:sz w:val="21"/>
          <w:szCs w:val="21"/>
        </w:rPr>
        <w:t>。</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11" w:name="_Toc26843"/>
      <w:bookmarkStart w:id="312" w:name="_Toc109989328"/>
      <w:r>
        <w:rPr>
          <w:rFonts w:ascii="Times New Roman" w:hAnsi="Times New Roman"/>
          <w:sz w:val="21"/>
          <w:szCs w:val="21"/>
        </w:rPr>
        <w:t>（二）微服务管理</w:t>
      </w:r>
      <w:bookmarkEnd w:id="311"/>
      <w:bookmarkEnd w:id="312"/>
    </w:p>
    <w:p>
      <w:pPr>
        <w:spacing w:line="360" w:lineRule="auto"/>
        <w:ind w:firstLine="422" w:firstLineChars="200"/>
        <w:rPr>
          <w:b/>
          <w:szCs w:val="21"/>
        </w:rPr>
      </w:pPr>
      <w:r>
        <w:rPr>
          <w:b/>
          <w:szCs w:val="21"/>
        </w:rPr>
        <w:t>此项工作依托宁波市智能公共数据平台相关组件，由大数据局牵头建设，成果供无废城市项目使用。</w:t>
      </w:r>
      <w:bookmarkEnd w:id="306"/>
      <w:bookmarkEnd w:id="307"/>
      <w:bookmarkEnd w:id="308"/>
      <w:bookmarkStart w:id="313" w:name="_Toc7060"/>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14" w:name="_Toc109989329"/>
      <w:r>
        <w:rPr>
          <w:rFonts w:ascii="Times New Roman" w:hAnsi="Times New Roman"/>
          <w:sz w:val="21"/>
          <w:szCs w:val="21"/>
        </w:rPr>
        <w:t>六、</w:t>
      </w:r>
      <w:bookmarkEnd w:id="313"/>
      <w:bookmarkEnd w:id="314"/>
      <w:r>
        <w:rPr>
          <w:rFonts w:hint="eastAsia" w:ascii="Times New Roman" w:hAnsi="Times New Roman"/>
          <w:sz w:val="21"/>
          <w:szCs w:val="21"/>
        </w:rPr>
        <w:t>信息资源建设</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15" w:name="_Toc109989330"/>
      <w:bookmarkStart w:id="316" w:name="_Toc10707"/>
      <w:r>
        <w:rPr>
          <w:rFonts w:ascii="Times New Roman" w:hAnsi="Times New Roman"/>
          <w:sz w:val="21"/>
          <w:szCs w:val="21"/>
        </w:rPr>
        <w:t>（一）</w:t>
      </w:r>
      <w:r>
        <w:rPr>
          <w:rFonts w:hint="eastAsia" w:ascii="Times New Roman" w:hAnsi="Times New Roman"/>
          <w:sz w:val="21"/>
          <w:szCs w:val="21"/>
        </w:rPr>
        <w:t>数据库设计</w:t>
      </w:r>
      <w:bookmarkEnd w:id="315"/>
      <w:bookmarkEnd w:id="316"/>
    </w:p>
    <w:p>
      <w:pPr>
        <w:pStyle w:val="173"/>
        <w:ind w:firstLine="422" w:firstLineChars="200"/>
        <w:rPr>
          <w:rFonts w:eastAsia="黑体"/>
          <w:b/>
          <w:bCs/>
          <w:kern w:val="0"/>
          <w:sz w:val="21"/>
          <w:szCs w:val="21"/>
        </w:rPr>
      </w:pPr>
      <w:r>
        <w:rPr>
          <w:rFonts w:hint="eastAsia" w:eastAsia="黑体"/>
          <w:b/>
          <w:bCs/>
          <w:kern w:val="0"/>
          <w:sz w:val="21"/>
          <w:szCs w:val="21"/>
        </w:rPr>
        <w:t>1、数据库建设</w:t>
      </w:r>
    </w:p>
    <w:p>
      <w:pPr>
        <w:widowControl/>
        <w:spacing w:line="360" w:lineRule="auto"/>
        <w:ind w:firstLine="420" w:firstLineChars="200"/>
        <w:jc w:val="left"/>
        <w:rPr>
          <w:szCs w:val="21"/>
        </w:rPr>
      </w:pPr>
      <w:r>
        <w:rPr>
          <w:szCs w:val="21"/>
          <w:lang w:bidi="ar"/>
        </w:rPr>
        <w:t>包括一般工业固废、危险废物、医疗废物、农业废弃物等数据库设计，</w:t>
      </w:r>
      <w:r>
        <w:rPr>
          <w:rFonts w:hint="eastAsia"/>
          <w:szCs w:val="21"/>
        </w:rPr>
        <w:t>建立基础数据库、行业主题库、信息共享库。</w:t>
      </w:r>
    </w:p>
    <w:p>
      <w:pPr>
        <w:pStyle w:val="173"/>
        <w:ind w:firstLine="422" w:firstLineChars="200"/>
        <w:rPr>
          <w:rFonts w:eastAsia="黑体"/>
          <w:b/>
          <w:bCs/>
          <w:kern w:val="0"/>
          <w:sz w:val="21"/>
          <w:szCs w:val="21"/>
        </w:rPr>
      </w:pPr>
      <w:r>
        <w:rPr>
          <w:rFonts w:hint="eastAsia" w:eastAsia="黑体"/>
          <w:b/>
          <w:bCs/>
          <w:kern w:val="0"/>
          <w:sz w:val="21"/>
          <w:szCs w:val="21"/>
        </w:rPr>
        <w:t>2、资源目录</w:t>
      </w:r>
    </w:p>
    <w:p>
      <w:pPr>
        <w:spacing w:line="360" w:lineRule="auto"/>
        <w:ind w:firstLine="420" w:firstLineChars="200"/>
        <w:rPr>
          <w:szCs w:val="21"/>
        </w:rPr>
      </w:pPr>
      <w:r>
        <w:rPr>
          <w:szCs w:val="21"/>
        </w:rPr>
        <w:t>无废城市数据资源目录管理是对无废城市信息资源进行编目，通过整理比对形成无废城市信息资源目录体系。此项工作依托宁波市智能公共数据平台数据目录管理组件，由生态环境局</w:t>
      </w:r>
      <w:r>
        <w:rPr>
          <w:rFonts w:hint="eastAsia"/>
          <w:szCs w:val="21"/>
        </w:rPr>
        <w:t>进行</w:t>
      </w:r>
      <w:r>
        <w:rPr>
          <w:szCs w:val="21"/>
        </w:rPr>
        <w:t>牵头</w:t>
      </w:r>
      <w:r>
        <w:rPr>
          <w:rFonts w:hint="eastAsia"/>
          <w:szCs w:val="21"/>
        </w:rPr>
        <w:t>，中标单位</w:t>
      </w:r>
      <w:r>
        <w:rPr>
          <w:szCs w:val="21"/>
        </w:rPr>
        <w:t>进行资源目录编目实施。</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17" w:name="_Toc109989332"/>
      <w:bookmarkStart w:id="318" w:name="_Toc17385"/>
      <w:r>
        <w:rPr>
          <w:rFonts w:ascii="Times New Roman" w:hAnsi="Times New Roman"/>
          <w:sz w:val="21"/>
          <w:szCs w:val="21"/>
        </w:rPr>
        <w:t>（</w:t>
      </w:r>
      <w:r>
        <w:rPr>
          <w:rFonts w:hint="eastAsia" w:ascii="Times New Roman" w:hAnsi="Times New Roman"/>
          <w:sz w:val="21"/>
          <w:szCs w:val="21"/>
        </w:rPr>
        <w:t>二</w:t>
      </w:r>
      <w:r>
        <w:rPr>
          <w:rFonts w:ascii="Times New Roman" w:hAnsi="Times New Roman"/>
          <w:sz w:val="21"/>
          <w:szCs w:val="21"/>
        </w:rPr>
        <w:t>）</w:t>
      </w:r>
      <w:r>
        <w:rPr>
          <w:rFonts w:hint="eastAsia" w:ascii="Times New Roman" w:hAnsi="Times New Roman"/>
          <w:sz w:val="21"/>
          <w:szCs w:val="21"/>
        </w:rPr>
        <w:t>数据采集</w:t>
      </w:r>
      <w:bookmarkEnd w:id="317"/>
      <w:bookmarkEnd w:id="318"/>
    </w:p>
    <w:p>
      <w:pPr>
        <w:pStyle w:val="173"/>
        <w:ind w:firstLine="422" w:firstLineChars="200"/>
        <w:rPr>
          <w:rFonts w:eastAsia="黑体"/>
          <w:b/>
          <w:bCs/>
          <w:kern w:val="0"/>
          <w:sz w:val="21"/>
          <w:szCs w:val="21"/>
        </w:rPr>
      </w:pPr>
      <w:r>
        <w:rPr>
          <w:rFonts w:hint="eastAsia" w:eastAsia="黑体"/>
          <w:b/>
          <w:bCs/>
          <w:kern w:val="0"/>
          <w:sz w:val="21"/>
          <w:szCs w:val="21"/>
        </w:rPr>
        <w:t>1、</w:t>
      </w:r>
      <w:r>
        <w:rPr>
          <w:rFonts w:eastAsia="黑体"/>
          <w:b/>
          <w:bCs/>
          <w:kern w:val="0"/>
          <w:sz w:val="21"/>
          <w:szCs w:val="21"/>
        </w:rPr>
        <w:t>数据资源梳理</w:t>
      </w:r>
    </w:p>
    <w:p>
      <w:pPr>
        <w:spacing w:line="360" w:lineRule="auto"/>
        <w:ind w:firstLine="420" w:firstLineChars="200"/>
        <w:rPr>
          <w:szCs w:val="21"/>
        </w:rPr>
      </w:pPr>
      <w:r>
        <w:rPr>
          <w:rFonts w:hint="eastAsia"/>
          <w:szCs w:val="21"/>
        </w:rPr>
        <w:t>系统相关信息优先采用宁波市智能公共数据平台进行数据的接入。</w:t>
      </w:r>
    </w:p>
    <w:p>
      <w:pPr>
        <w:spacing w:line="360" w:lineRule="auto"/>
        <w:ind w:firstLine="420" w:firstLineChars="200"/>
        <w:rPr>
          <w:szCs w:val="21"/>
        </w:rPr>
      </w:pPr>
      <w:r>
        <w:rPr>
          <w:rFonts w:hint="eastAsia"/>
          <w:szCs w:val="21"/>
        </w:rPr>
        <w:t>从各主题库建设情况出发，描述项目产生数据信息、项目所需数据信息。</w:t>
      </w:r>
    </w:p>
    <w:p>
      <w:pPr>
        <w:pStyle w:val="173"/>
        <w:ind w:firstLine="422" w:firstLineChars="200"/>
        <w:rPr>
          <w:rFonts w:eastAsia="黑体"/>
          <w:b/>
          <w:bCs/>
          <w:kern w:val="0"/>
          <w:sz w:val="21"/>
          <w:szCs w:val="21"/>
        </w:rPr>
      </w:pPr>
      <w:r>
        <w:rPr>
          <w:rFonts w:hint="eastAsia" w:eastAsia="黑体"/>
          <w:b/>
          <w:bCs/>
          <w:kern w:val="0"/>
          <w:sz w:val="21"/>
          <w:szCs w:val="21"/>
        </w:rPr>
        <w:t>2、系统对接</w:t>
      </w:r>
    </w:p>
    <w:p>
      <w:pPr>
        <w:spacing w:line="360" w:lineRule="auto"/>
        <w:ind w:firstLine="420" w:firstLineChars="200"/>
        <w:rPr>
          <w:szCs w:val="21"/>
        </w:rPr>
      </w:pPr>
      <w:r>
        <w:rPr>
          <w:szCs w:val="21"/>
        </w:rPr>
        <w:t>依托一体化智能化公共数据平台，实现与省无废城市平台、省畜禽无害化处理监管平台、省固废平台等系统数据对接。</w:t>
      </w:r>
    </w:p>
    <w:p>
      <w:pPr>
        <w:pStyle w:val="4"/>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三</w:t>
      </w:r>
      <w:r>
        <w:rPr>
          <w:rFonts w:ascii="Times New Roman" w:hAnsi="Times New Roman"/>
          <w:sz w:val="21"/>
          <w:szCs w:val="21"/>
        </w:rPr>
        <w:t>）</w:t>
      </w:r>
      <w:r>
        <w:rPr>
          <w:rFonts w:hint="eastAsia" w:ascii="Times New Roman" w:hAnsi="Times New Roman"/>
          <w:sz w:val="21"/>
          <w:szCs w:val="21"/>
        </w:rPr>
        <w:t>数据治理</w:t>
      </w:r>
    </w:p>
    <w:p>
      <w:pPr>
        <w:spacing w:line="360" w:lineRule="auto"/>
        <w:ind w:firstLine="420" w:firstLineChars="200"/>
        <w:rPr>
          <w:szCs w:val="21"/>
        </w:rPr>
      </w:pPr>
      <w:r>
        <w:rPr>
          <w:szCs w:val="21"/>
          <w:lang w:bidi="ar"/>
        </w:rPr>
        <w:t>省级相关平台和市级相关系统采集的固废数据清洗、比对、去重、加密、脱敏等 。</w:t>
      </w:r>
    </w:p>
    <w:p>
      <w:pPr>
        <w:pStyle w:val="173"/>
        <w:ind w:firstLine="422" w:firstLineChars="200"/>
        <w:rPr>
          <w:rFonts w:eastAsia="黑体"/>
          <w:b/>
          <w:bCs/>
          <w:kern w:val="0"/>
          <w:sz w:val="21"/>
          <w:szCs w:val="21"/>
        </w:rPr>
      </w:pPr>
      <w:r>
        <w:rPr>
          <w:rFonts w:hint="eastAsia" w:eastAsia="黑体"/>
          <w:b/>
          <w:bCs/>
          <w:kern w:val="0"/>
          <w:sz w:val="21"/>
          <w:szCs w:val="21"/>
        </w:rPr>
        <w:t>1、数据治理</w:t>
      </w:r>
    </w:p>
    <w:p>
      <w:pPr>
        <w:spacing w:line="360" w:lineRule="auto"/>
        <w:ind w:firstLine="420" w:firstLineChars="200"/>
        <w:rPr>
          <w:szCs w:val="21"/>
        </w:rPr>
      </w:pPr>
      <w:r>
        <w:rPr>
          <w:szCs w:val="21"/>
        </w:rPr>
        <w:t>建设统一的固废监管数据库，通过多源异构数据的接入，数据的标准化接入处理，集中化抽取清洗、存储输出管理。实现各类固废数据等的集成对接。</w:t>
      </w:r>
    </w:p>
    <w:p>
      <w:pPr>
        <w:pStyle w:val="2"/>
        <w:numPr>
          <w:ilvl w:val="0"/>
          <w:numId w:val="0"/>
        </w:numPr>
        <w:spacing w:line="360" w:lineRule="auto"/>
        <w:ind w:firstLine="420" w:firstLineChars="200"/>
      </w:pPr>
      <w:r>
        <w:rPr>
          <w:rFonts w:ascii="Times New Roman" w:hAnsi="Times New Roman"/>
          <w:szCs w:val="21"/>
        </w:rPr>
        <w:t>清洗规则设置、数据清洗处理、清洗报告发布、清洗规则管理、清洗任务执行等角度对无废城市数据进行治理。</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19" w:name="_Toc109989333"/>
      <w:bookmarkStart w:id="320" w:name="_Toc26730"/>
      <w:r>
        <w:rPr>
          <w:rFonts w:hint="eastAsia" w:ascii="Times New Roman" w:hAnsi="Times New Roman"/>
          <w:sz w:val="21"/>
          <w:szCs w:val="21"/>
        </w:rPr>
        <w:t>2、</w:t>
      </w:r>
      <w:r>
        <w:rPr>
          <w:rFonts w:ascii="Times New Roman" w:hAnsi="Times New Roman"/>
          <w:sz w:val="21"/>
          <w:szCs w:val="21"/>
        </w:rPr>
        <w:t>数据加工</w:t>
      </w:r>
      <w:bookmarkEnd w:id="319"/>
      <w:bookmarkEnd w:id="320"/>
    </w:p>
    <w:p>
      <w:pPr>
        <w:widowControl/>
        <w:spacing w:line="360" w:lineRule="auto"/>
        <w:ind w:firstLine="420" w:firstLineChars="200"/>
        <w:jc w:val="left"/>
        <w:rPr>
          <w:szCs w:val="21"/>
        </w:rPr>
      </w:pPr>
      <w:r>
        <w:rPr>
          <w:szCs w:val="21"/>
        </w:rPr>
        <w:t>根据无废城市数据建模需求，对数据清洗达标的表，根据表字段和应用场景制定指标定义，并加工成可供建模团队使用的指标项。包括指标定义、指标文档整理、指标项加工、指标存储、指标值分析检查等。</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21" w:name="_Toc109989334"/>
      <w:bookmarkStart w:id="322" w:name="_Toc8088"/>
      <w:r>
        <w:rPr>
          <w:rFonts w:hint="eastAsia" w:ascii="Times New Roman" w:hAnsi="Times New Roman"/>
          <w:sz w:val="21"/>
          <w:szCs w:val="21"/>
        </w:rPr>
        <w:t>3、</w:t>
      </w:r>
      <w:r>
        <w:rPr>
          <w:rFonts w:ascii="Times New Roman" w:hAnsi="Times New Roman"/>
          <w:sz w:val="21"/>
          <w:szCs w:val="21"/>
        </w:rPr>
        <w:t>数据安全</w:t>
      </w:r>
      <w:bookmarkEnd w:id="321"/>
      <w:bookmarkEnd w:id="322"/>
    </w:p>
    <w:p>
      <w:pPr>
        <w:spacing w:line="360" w:lineRule="auto"/>
        <w:ind w:firstLine="420" w:firstLineChars="200"/>
        <w:rPr>
          <w:szCs w:val="21"/>
        </w:rPr>
      </w:pPr>
      <w:r>
        <w:rPr>
          <w:szCs w:val="21"/>
        </w:rPr>
        <w:t>宁波市“无废城市”集成应用具有数据量大、数据集成程度高、应用性强等特点，建立对各类固体废物数据安全、数据权限及敏感数据等全方位的数据安全管控功能尤为重要。</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23" w:name="_Toc109989335"/>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数据脱敏</w:t>
      </w:r>
      <w:bookmarkEnd w:id="323"/>
    </w:p>
    <w:p>
      <w:pPr>
        <w:spacing w:line="360" w:lineRule="auto"/>
        <w:ind w:firstLine="420" w:firstLineChars="200"/>
        <w:rPr>
          <w:szCs w:val="21"/>
        </w:rPr>
      </w:pPr>
      <w:r>
        <w:rPr>
          <w:szCs w:val="21"/>
        </w:rPr>
        <w:t>通过对敏感</w:t>
      </w:r>
      <w:r>
        <w:rPr>
          <w:szCs w:val="21"/>
          <w:lang w:eastAsia="zh-Hans"/>
        </w:rPr>
        <w:t>数据</w:t>
      </w:r>
      <w:r>
        <w:rPr>
          <w:szCs w:val="21"/>
        </w:rPr>
        <w:t>进行</w:t>
      </w:r>
      <w:r>
        <w:rPr>
          <w:szCs w:val="21"/>
          <w:lang w:eastAsia="zh-Hans"/>
        </w:rPr>
        <w:t>脱敏</w:t>
      </w:r>
      <w:r>
        <w:rPr>
          <w:szCs w:val="21"/>
        </w:rPr>
        <w:t>处理，能够保障系统数据的安全性。描述数据脱敏规则和数据脱敏项。</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24" w:name="_Toc109989336"/>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行级别权限管理</w:t>
      </w:r>
      <w:bookmarkEnd w:id="324"/>
    </w:p>
    <w:p>
      <w:pPr>
        <w:spacing w:line="360" w:lineRule="auto"/>
        <w:ind w:firstLine="420" w:firstLineChars="200"/>
        <w:rPr>
          <w:szCs w:val="21"/>
        </w:rPr>
      </w:pPr>
      <w:r>
        <w:rPr>
          <w:szCs w:val="21"/>
        </w:rPr>
        <w:t>通过行级别权限设置，能够实现不同的人使用同一份数据源时，可以看到不同的数据结果。</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25" w:name="_Toc109989337"/>
      <w:r>
        <w:rPr>
          <w:rFonts w:hint="eastAsia" w:ascii="Times New Roman" w:hAnsi="Times New Roman"/>
          <w:sz w:val="21"/>
          <w:szCs w:val="21"/>
        </w:rPr>
        <w:t>（3）</w:t>
      </w:r>
      <w:r>
        <w:rPr>
          <w:rFonts w:ascii="Times New Roman" w:hAnsi="Times New Roman"/>
          <w:sz w:val="21"/>
          <w:szCs w:val="21"/>
        </w:rPr>
        <w:t>数据</w:t>
      </w:r>
      <w:r>
        <w:rPr>
          <w:rFonts w:hint="eastAsia" w:ascii="Times New Roman" w:hAnsi="Times New Roman"/>
          <w:sz w:val="21"/>
          <w:szCs w:val="21"/>
        </w:rPr>
        <w:t>安全</w:t>
      </w:r>
      <w:bookmarkEnd w:id="325"/>
    </w:p>
    <w:p>
      <w:pPr>
        <w:spacing w:line="360" w:lineRule="auto"/>
        <w:ind w:firstLine="420" w:firstLineChars="200"/>
        <w:rPr>
          <w:szCs w:val="21"/>
        </w:rPr>
      </w:pPr>
      <w:r>
        <w:rPr>
          <w:rFonts w:hint="eastAsia"/>
          <w:szCs w:val="21"/>
        </w:rPr>
        <w:t>本项目需对接生态环境局现有的商用密码应用服务平台进行安全支撑</w:t>
      </w:r>
      <w:r>
        <w:rPr>
          <w:szCs w:val="21"/>
        </w:rPr>
        <w:t>。</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26" w:name="_Toc109989340"/>
      <w:r>
        <w:rPr>
          <w:rFonts w:ascii="Times New Roman" w:hAnsi="Times New Roman"/>
          <w:sz w:val="21"/>
          <w:szCs w:val="21"/>
        </w:rPr>
        <w:t>七、基础设施建设</w:t>
      </w:r>
      <w:bookmarkEnd w:id="326"/>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27" w:name="_Toc109989341"/>
      <w:bookmarkStart w:id="328" w:name="_Toc14241"/>
      <w:r>
        <w:rPr>
          <w:rFonts w:ascii="Times New Roman" w:hAnsi="Times New Roman"/>
          <w:sz w:val="21"/>
          <w:szCs w:val="21"/>
        </w:rPr>
        <w:t>（一）国产化数据库</w:t>
      </w:r>
      <w:bookmarkEnd w:id="327"/>
      <w:bookmarkEnd w:id="328"/>
    </w:p>
    <w:p>
      <w:pPr>
        <w:pStyle w:val="176"/>
        <w:spacing w:line="360" w:lineRule="auto"/>
        <w:ind w:firstLine="420" w:firstLineChars="200"/>
        <w:rPr>
          <w:szCs w:val="21"/>
        </w:rPr>
      </w:pPr>
      <w:r>
        <w:rPr>
          <w:szCs w:val="21"/>
        </w:rPr>
        <w:t>本项目部署在宁波市智能公共数据平台（信创云）中，因云平台不提供数据库软件，需另行采购2套国产数据库。国产数据库具备数据存储、访问控制、身份鉴别、安全审计和数据备份恢复等功能。</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29" w:name="_Toc22740"/>
      <w:bookmarkStart w:id="330" w:name="_Toc109989342"/>
      <w:r>
        <w:rPr>
          <w:rFonts w:ascii="Times New Roman" w:hAnsi="Times New Roman"/>
          <w:sz w:val="21"/>
          <w:szCs w:val="21"/>
        </w:rPr>
        <w:t>（二）国产操作系统</w:t>
      </w:r>
      <w:bookmarkEnd w:id="329"/>
      <w:bookmarkEnd w:id="330"/>
    </w:p>
    <w:p>
      <w:pPr>
        <w:spacing w:line="360" w:lineRule="auto"/>
        <w:ind w:firstLine="420" w:firstLineChars="200"/>
        <w:rPr>
          <w:szCs w:val="21"/>
        </w:rPr>
      </w:pPr>
      <w:r>
        <w:rPr>
          <w:szCs w:val="21"/>
        </w:rPr>
        <w:t>本项目部署在宁波市智能公共数据平台（信创云）中，根据项目实际需要采购11套国产操作系统。国产操作系统需具备文件系统管理、设备管理、用户管理、日志管理、软件包管理、磁盘管理等基本功能;提供服务配置管理和管理、进程管理、网络管理、资源管理和监控、文件共享、系统更新、备份还原等服务器常用工具和集成式开发环境；兼容主流服务器、外设和数据库、中间件、虚拟化和容器技术、云计算和大数据等平台；提供企业级稳定性、可靠性和Kysec安全机制。</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31" w:name="_Toc109989343"/>
      <w:bookmarkStart w:id="332" w:name="_Toc7378"/>
      <w:r>
        <w:rPr>
          <w:rFonts w:ascii="Times New Roman" w:hAnsi="Times New Roman"/>
          <w:sz w:val="21"/>
          <w:szCs w:val="21"/>
        </w:rPr>
        <w:t>八、其他要求</w:t>
      </w:r>
      <w:bookmarkEnd w:id="331"/>
      <w:bookmarkEnd w:id="332"/>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33" w:name="_Toc55070227"/>
      <w:bookmarkStart w:id="334" w:name="_Toc109989344"/>
      <w:bookmarkStart w:id="335" w:name="_Toc26811"/>
      <w:r>
        <w:rPr>
          <w:rFonts w:ascii="Times New Roman" w:hAnsi="Times New Roman"/>
          <w:sz w:val="21"/>
          <w:szCs w:val="21"/>
        </w:rPr>
        <w:t>（一）实施要求</w:t>
      </w:r>
      <w:bookmarkEnd w:id="333"/>
      <w:bookmarkEnd w:id="334"/>
      <w:bookmarkEnd w:id="335"/>
    </w:p>
    <w:p>
      <w:pPr>
        <w:pStyle w:val="176"/>
        <w:spacing w:line="360" w:lineRule="auto"/>
        <w:ind w:firstLine="420" w:firstLineChars="200"/>
        <w:rPr>
          <w:szCs w:val="21"/>
        </w:rPr>
      </w:pPr>
      <w:bookmarkStart w:id="336" w:name="_Toc30345"/>
      <w:bookmarkStart w:id="337" w:name="_Toc55070228"/>
      <w:r>
        <w:rPr>
          <w:rFonts w:hint="eastAsia"/>
          <w:szCs w:val="21"/>
        </w:rPr>
        <w:t>本项目要求2</w:t>
      </w:r>
      <w:r>
        <w:rPr>
          <w:szCs w:val="21"/>
        </w:rPr>
        <w:t>022</w:t>
      </w:r>
      <w:r>
        <w:rPr>
          <w:rFonts w:hint="eastAsia"/>
          <w:szCs w:val="21"/>
        </w:rPr>
        <w:t>年1</w:t>
      </w:r>
      <w:r>
        <w:rPr>
          <w:szCs w:val="21"/>
        </w:rPr>
        <w:t>1</w:t>
      </w:r>
      <w:r>
        <w:rPr>
          <w:rFonts w:hint="eastAsia"/>
          <w:szCs w:val="21"/>
        </w:rPr>
        <w:t>月底前完成“无废城市”综合管理服务应用、</w:t>
      </w:r>
      <w:r>
        <w:rPr>
          <w:szCs w:val="21"/>
        </w:rPr>
        <w:t>一般工业固废管理</w:t>
      </w:r>
      <w:r>
        <w:rPr>
          <w:rFonts w:hint="eastAsia"/>
          <w:szCs w:val="21"/>
        </w:rPr>
        <w:t>、</w:t>
      </w:r>
      <w:r>
        <w:rPr>
          <w:szCs w:val="21"/>
        </w:rPr>
        <w:t>危险废物管理</w:t>
      </w:r>
      <w:r>
        <w:rPr>
          <w:rFonts w:hint="eastAsia"/>
          <w:szCs w:val="21"/>
        </w:rPr>
        <w:t>及医疗废物管理核心业务应用，2023年3月前完成定制化软件开发，2023年4月完成项目主体内容上线部署及初验，2023年5月完成试运行，2023年6月完成项目终验</w:t>
      </w:r>
      <w:r>
        <w:rPr>
          <w:szCs w:val="21"/>
        </w:rPr>
        <w:t>，项目通过验收后提供1年运维服务</w:t>
      </w:r>
      <w:r>
        <w:rPr>
          <w:rFonts w:hint="eastAsia"/>
          <w:szCs w:val="21"/>
        </w:rPr>
        <w:t>。</w:t>
      </w:r>
    </w:p>
    <w:p>
      <w:pPr>
        <w:pStyle w:val="176"/>
        <w:spacing w:line="360" w:lineRule="auto"/>
        <w:ind w:firstLine="420" w:firstLineChars="200"/>
        <w:rPr>
          <w:szCs w:val="21"/>
        </w:rPr>
      </w:pPr>
      <w:r>
        <w:rPr>
          <w:rFonts w:hint="eastAsia"/>
          <w:szCs w:val="21"/>
        </w:rPr>
        <w:t>中标人应熟悉本项目信息化技术架构及业务，并根据项目建设内容要求，在投标时详细说明项目组成员，及各成员的职责。项目实施前，向业主单位进行备案，项目组成员不得随意变更。</w:t>
      </w:r>
    </w:p>
    <w:p>
      <w:pPr>
        <w:pStyle w:val="176"/>
        <w:spacing w:line="360" w:lineRule="auto"/>
        <w:ind w:firstLine="420" w:firstLineChars="200"/>
        <w:rPr>
          <w:szCs w:val="21"/>
        </w:rPr>
      </w:pPr>
      <w:r>
        <w:rPr>
          <w:rFonts w:hint="eastAsia"/>
          <w:szCs w:val="21"/>
        </w:rPr>
        <w:t>项目人员组织：到项目通过验收之前，至少配备熟悉类似项目并具备多年项目管理资质的项目总负责人1名，配备熟悉类似项目业务流程并具备丰富技术能力的项目技术负责人1名，配备熟悉类似项目业务并具备相关项目软件开发经验的软件开发人员若干名。项目经理在项目现场出席率不得低于项目总进度的85%。</w:t>
      </w:r>
    </w:p>
    <w:p>
      <w:pPr>
        <w:pStyle w:val="176"/>
        <w:spacing w:line="360" w:lineRule="auto"/>
        <w:ind w:firstLine="420" w:firstLineChars="200"/>
        <w:rPr>
          <w:szCs w:val="21"/>
        </w:rPr>
      </w:pPr>
      <w:r>
        <w:rPr>
          <w:rFonts w:hint="eastAsia"/>
          <w:szCs w:val="21"/>
        </w:rPr>
        <w:t>项目主要人员变更：项目主要人员指实际参加本项目的管理、技术等方面的负责人，一般指项目总负责人，项目技术负责人，软件专业项目组负责人，质量管理负责人等。项目主要人员一旦确定，未经业主单位书面许可不得更换。</w:t>
      </w:r>
    </w:p>
    <w:p>
      <w:pPr>
        <w:pStyle w:val="176"/>
        <w:spacing w:line="360" w:lineRule="auto"/>
        <w:ind w:firstLine="420" w:firstLineChars="200"/>
        <w:rPr>
          <w:szCs w:val="21"/>
        </w:rPr>
      </w:pPr>
      <w:r>
        <w:rPr>
          <w:rFonts w:hint="eastAsia"/>
          <w:szCs w:val="21"/>
        </w:rPr>
        <w:t>投标单位应确保足够的项目组人员，并如期完成业主单位规定的各阶段项目工作任务，并负责内部资源协调，以确保本项目所需的人力、技术等方面的保障。</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38" w:name="_Toc109989345"/>
      <w:r>
        <w:rPr>
          <w:rFonts w:ascii="Times New Roman" w:hAnsi="Times New Roman"/>
          <w:sz w:val="21"/>
          <w:szCs w:val="21"/>
        </w:rPr>
        <w:t>（二）培训要求</w:t>
      </w:r>
      <w:bookmarkEnd w:id="336"/>
      <w:bookmarkEnd w:id="337"/>
      <w:bookmarkEnd w:id="338"/>
    </w:p>
    <w:p>
      <w:pPr>
        <w:pStyle w:val="176"/>
        <w:spacing w:line="360" w:lineRule="auto"/>
        <w:ind w:firstLine="420" w:firstLineChars="200"/>
        <w:rPr>
          <w:szCs w:val="21"/>
        </w:rPr>
      </w:pPr>
      <w:r>
        <w:rPr>
          <w:szCs w:val="21"/>
        </w:rPr>
        <w:t>中标人负责对采购单位相关使用人员和系统管理人员进行培训，中标人全面负责培训资料、场地等费用。</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39" w:name="_Toc55209845"/>
      <w:bookmarkStart w:id="340" w:name="_Toc55070224"/>
      <w:bookmarkStart w:id="341" w:name="_Toc109989346"/>
      <w:bookmarkStart w:id="342" w:name="_Toc55070230"/>
      <w:bookmarkStart w:id="343" w:name="_Toc18162"/>
      <w:r>
        <w:rPr>
          <w:rFonts w:ascii="Times New Roman" w:hAnsi="Times New Roman"/>
          <w:sz w:val="21"/>
          <w:szCs w:val="21"/>
        </w:rPr>
        <w:t>（三）第三方测评</w:t>
      </w:r>
      <w:bookmarkEnd w:id="339"/>
      <w:bookmarkEnd w:id="340"/>
      <w:r>
        <w:rPr>
          <w:rFonts w:ascii="Times New Roman" w:hAnsi="Times New Roman"/>
          <w:sz w:val="21"/>
          <w:szCs w:val="21"/>
        </w:rPr>
        <w:t>要求</w:t>
      </w:r>
      <w:bookmarkEnd w:id="341"/>
    </w:p>
    <w:p>
      <w:pPr>
        <w:spacing w:line="360" w:lineRule="auto"/>
        <w:ind w:firstLine="420" w:firstLineChars="200"/>
        <w:rPr>
          <w:szCs w:val="21"/>
        </w:rPr>
      </w:pPr>
      <w:r>
        <w:rPr>
          <w:szCs w:val="21"/>
        </w:rPr>
        <w:t>1、信息安全等级保护测评</w:t>
      </w:r>
    </w:p>
    <w:p>
      <w:pPr>
        <w:spacing w:line="360" w:lineRule="auto"/>
        <w:ind w:firstLine="420" w:firstLineChars="200"/>
        <w:rPr>
          <w:szCs w:val="21"/>
        </w:rPr>
      </w:pPr>
      <w:r>
        <w:rPr>
          <w:szCs w:val="21"/>
        </w:rPr>
        <w:t>按照国家信息安全等级保护要求及平台定级情况，</w:t>
      </w:r>
      <w:r>
        <w:rPr>
          <w:rFonts w:hint="eastAsia"/>
          <w:szCs w:val="21"/>
        </w:rPr>
        <w:t>中标单位需</w:t>
      </w:r>
      <w:r>
        <w:rPr>
          <w:szCs w:val="21"/>
        </w:rPr>
        <w:t>配合完成整体平台等保2.0二级测评工作，评测费用由采购方承担。</w:t>
      </w:r>
    </w:p>
    <w:p>
      <w:pPr>
        <w:pStyle w:val="176"/>
        <w:spacing w:line="360" w:lineRule="auto"/>
        <w:ind w:firstLine="420" w:firstLineChars="200"/>
        <w:rPr>
          <w:szCs w:val="21"/>
        </w:rPr>
      </w:pPr>
      <w:r>
        <w:rPr>
          <w:szCs w:val="21"/>
        </w:rPr>
        <w:t>2、软件评测要求</w:t>
      </w:r>
    </w:p>
    <w:p>
      <w:pPr>
        <w:pStyle w:val="176"/>
        <w:spacing w:line="360" w:lineRule="auto"/>
        <w:ind w:firstLine="420" w:firstLineChars="200"/>
        <w:rPr>
          <w:szCs w:val="21"/>
        </w:rPr>
      </w:pPr>
      <w:r>
        <w:rPr>
          <w:szCs w:val="21"/>
        </w:rPr>
        <w:t>在项目终验前，中标单位配合完成本次项目的软件评测事宜，评测费用由采购方承担。</w:t>
      </w:r>
    </w:p>
    <w:p>
      <w:pPr>
        <w:pStyle w:val="4"/>
        <w:keepNext w:val="0"/>
        <w:keepLines w:val="0"/>
        <w:widowControl/>
        <w:numPr>
          <w:ilvl w:val="0"/>
          <w:numId w:val="0"/>
        </w:numPr>
        <w:tabs>
          <w:tab w:val="clear" w:pos="576"/>
        </w:tabs>
        <w:spacing w:before="0" w:after="0" w:line="360" w:lineRule="auto"/>
        <w:ind w:firstLine="422" w:firstLineChars="200"/>
        <w:jc w:val="left"/>
        <w:rPr>
          <w:rFonts w:ascii="Times New Roman" w:hAnsi="Times New Roman"/>
          <w:sz w:val="21"/>
          <w:szCs w:val="21"/>
        </w:rPr>
      </w:pPr>
      <w:bookmarkStart w:id="344" w:name="_Toc109989347"/>
      <w:r>
        <w:rPr>
          <w:rFonts w:ascii="Times New Roman" w:hAnsi="Times New Roman"/>
          <w:sz w:val="21"/>
          <w:szCs w:val="21"/>
        </w:rPr>
        <w:t>（四）运维服务</w:t>
      </w:r>
      <w:bookmarkEnd w:id="342"/>
      <w:bookmarkEnd w:id="343"/>
      <w:bookmarkEnd w:id="344"/>
    </w:p>
    <w:p>
      <w:pPr>
        <w:spacing w:line="360" w:lineRule="auto"/>
        <w:ind w:firstLine="420" w:firstLineChars="200"/>
        <w:rPr>
          <w:szCs w:val="21"/>
        </w:rPr>
      </w:pPr>
      <w:r>
        <w:rPr>
          <w:szCs w:val="21"/>
        </w:rPr>
        <w:t>1、运维服务期：自项目</w:t>
      </w:r>
      <w:r>
        <w:rPr>
          <w:rFonts w:hint="eastAsia"/>
          <w:szCs w:val="21"/>
        </w:rPr>
        <w:t>最终验收</w:t>
      </w:r>
      <w:r>
        <w:rPr>
          <w:szCs w:val="21"/>
        </w:rPr>
        <w:t>通过之日起1年</w:t>
      </w:r>
      <w:r>
        <w:rPr>
          <w:rFonts w:hint="eastAsia"/>
          <w:szCs w:val="21"/>
        </w:rPr>
        <w:t>。</w:t>
      </w:r>
    </w:p>
    <w:p>
      <w:pPr>
        <w:spacing w:line="360" w:lineRule="auto"/>
        <w:rPr>
          <w:szCs w:val="21"/>
        </w:rPr>
      </w:pPr>
      <w:r>
        <w:rPr>
          <w:szCs w:val="21"/>
        </w:rPr>
        <w:t>2、中标人须按采购人要求建立运维工作机制，提供7×24小时热线电话服务，确保系统故障能够最快速、便捷、有效的得到运维响应，在接到系统故障通知后30分钟内响应，4小时内解决故障；需要现场支撑的应在接到电话后1小时内抵达现场解决问题，中标人在运维服务期内需提供一名驻场运维服务人员。</w:t>
      </w:r>
    </w:p>
    <w:p>
      <w:pPr>
        <w:pStyle w:val="3"/>
        <w:numPr>
          <w:ilvl w:val="0"/>
          <w:numId w:val="10"/>
        </w:numPr>
        <w:spacing w:before="0" w:after="0" w:line="360" w:lineRule="auto"/>
        <w:ind w:left="1134"/>
        <w:jc w:val="center"/>
        <w:rPr>
          <w:rFonts w:ascii="Times New Roman" w:hAnsi="Times New Roman"/>
          <w:color w:val="000000"/>
        </w:rPr>
      </w:pPr>
      <w:r>
        <w:rPr>
          <w:b w:val="0"/>
          <w:bCs w:val="0"/>
          <w:color w:val="000000"/>
        </w:rPr>
        <w:br w:type="page"/>
      </w:r>
      <w:bookmarkStart w:id="345" w:name="_Toc109989348"/>
      <w:r>
        <w:rPr>
          <w:rFonts w:ascii="Times New Roman" w:hAnsi="Times New Roman"/>
          <w:color w:val="000000"/>
        </w:rPr>
        <w:t>供应商须知</w:t>
      </w:r>
      <w:bookmarkEnd w:id="7"/>
      <w:bookmarkEnd w:id="8"/>
      <w:bookmarkEnd w:id="345"/>
    </w:p>
    <w:p>
      <w:pPr>
        <w:pStyle w:val="4"/>
        <w:numPr>
          <w:ilvl w:val="0"/>
          <w:numId w:val="0"/>
        </w:numPr>
        <w:tabs>
          <w:tab w:val="clear" w:pos="576"/>
        </w:tabs>
        <w:spacing w:before="0" w:after="0" w:line="360" w:lineRule="auto"/>
        <w:jc w:val="center"/>
        <w:rPr>
          <w:rFonts w:ascii="Times New Roman" w:hAnsi="Times New Roman" w:eastAsia="宋体"/>
          <w:color w:val="000000"/>
          <w:sz w:val="21"/>
          <w:szCs w:val="21"/>
        </w:rPr>
      </w:pPr>
      <w:bookmarkStart w:id="346" w:name="_Toc460416644"/>
      <w:bookmarkStart w:id="347" w:name="_Toc460857896"/>
      <w:bookmarkStart w:id="348" w:name="_Toc460416595"/>
      <w:bookmarkStart w:id="349" w:name="_Toc460416339"/>
      <w:bookmarkStart w:id="350" w:name="_Toc109989349"/>
      <w:r>
        <w:rPr>
          <w:rFonts w:ascii="Times New Roman" w:hAnsi="Times New Roman" w:eastAsia="宋体"/>
          <w:color w:val="000000"/>
          <w:sz w:val="21"/>
          <w:szCs w:val="21"/>
        </w:rPr>
        <w:t>前附表</w:t>
      </w:r>
      <w:bookmarkEnd w:id="346"/>
      <w:bookmarkEnd w:id="347"/>
      <w:bookmarkEnd w:id="348"/>
      <w:bookmarkEnd w:id="349"/>
      <w:bookmarkEnd w:id="350"/>
    </w:p>
    <w:tbl>
      <w:tblPr>
        <w:tblStyle w:val="4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序号</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1</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szCs w:val="21"/>
              </w:rPr>
            </w:pPr>
            <w:r>
              <w:rPr>
                <w:b/>
                <w:szCs w:val="21"/>
              </w:rPr>
              <w:t>项目名称：</w:t>
            </w:r>
            <w:r>
              <w:rPr>
                <w:kern w:val="0"/>
                <w:szCs w:val="21"/>
              </w:rPr>
              <w:t>宁波市“无废城市”建设集成场景应用项目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szCs w:val="21"/>
              </w:rPr>
            </w:pPr>
            <w:r>
              <w:rPr>
                <w:b/>
                <w:snapToGrid w:val="0"/>
                <w:kern w:val="0"/>
                <w:szCs w:val="21"/>
              </w:rPr>
              <w:t>*</w:t>
            </w:r>
            <w:r>
              <w:rPr>
                <w:szCs w:val="21"/>
              </w:rPr>
              <w:t>2</w:t>
            </w:r>
          </w:p>
        </w:tc>
        <w:tc>
          <w:tcPr>
            <w:tcW w:w="854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
                <w:szCs w:val="21"/>
              </w:rPr>
            </w:pPr>
            <w:r>
              <w:rPr>
                <w:b/>
                <w:szCs w:val="21"/>
              </w:rPr>
              <w:t>本项目预算金额（最高限价）：</w:t>
            </w:r>
            <w:r>
              <w:t>详见采购公告。报价超过预算金额或最高限价的作无效标处理。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3</w:t>
            </w:r>
          </w:p>
        </w:tc>
        <w:tc>
          <w:tcPr>
            <w:tcW w:w="854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
                <w:szCs w:val="21"/>
              </w:rPr>
            </w:pPr>
            <w:r>
              <w:rPr>
                <w:b/>
                <w:szCs w:val="21"/>
              </w:rPr>
              <w:t>项目时间要求：</w:t>
            </w:r>
            <w:r>
              <w:t>详见各招标采购公告和各标段采购需求。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b/>
                <w:snapToGrid w:val="0"/>
                <w:kern w:val="0"/>
                <w:szCs w:val="21"/>
              </w:rPr>
              <w:t>*</w:t>
            </w:r>
            <w:r>
              <w:rPr>
                <w:color w:val="000000"/>
                <w:szCs w:val="21"/>
              </w:rPr>
              <w:t>4</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b/>
                <w:szCs w:val="21"/>
              </w:rPr>
            </w:pPr>
            <w:r>
              <w:rPr>
                <w:b/>
                <w:szCs w:val="21"/>
              </w:rPr>
              <w:t>投标报价及费用：</w:t>
            </w:r>
          </w:p>
          <w:p>
            <w:pPr>
              <w:widowControl/>
              <w:tabs>
                <w:tab w:val="left" w:pos="3969"/>
              </w:tabs>
              <w:spacing w:before="120" w:beforeLines="50" w:after="120" w:afterLines="50"/>
              <w:rPr>
                <w:szCs w:val="21"/>
              </w:rPr>
            </w:pPr>
            <w:r>
              <w:rPr>
                <w:szCs w:val="21"/>
              </w:rPr>
              <w:t>1、报价方式：</w:t>
            </w:r>
            <w:r>
              <w:rPr>
                <w:b/>
                <w:szCs w:val="21"/>
              </w:rPr>
              <w:t>本项目投标应以人民币报价。</w:t>
            </w:r>
            <w:r>
              <w:rPr>
                <w:szCs w:val="21"/>
              </w:rPr>
              <w:t>供应商须报完成招标内容及要求所提供的服务过程中涉及的所有费用。包括但不限于以下内容：技术服务成果的人工费、设备费、售后服务、管理费、利润、风险因素、规费、税金</w:t>
            </w:r>
            <w:r>
              <w:rPr>
                <w:rFonts w:hint="eastAsia"/>
                <w:szCs w:val="21"/>
              </w:rPr>
              <w:t>、</w:t>
            </w:r>
            <w:r>
              <w:rPr>
                <w:rFonts w:hint="eastAsia"/>
              </w:rPr>
              <w:t>一年</w:t>
            </w:r>
            <w:r>
              <w:rPr>
                <w:szCs w:val="21"/>
              </w:rPr>
              <w:t>运维服务</w:t>
            </w:r>
            <w:r>
              <w:rPr>
                <w:rFonts w:hint="eastAsia"/>
                <w:szCs w:val="21"/>
              </w:rPr>
              <w:t>费等</w:t>
            </w:r>
            <w:r>
              <w:rPr>
                <w:szCs w:val="21"/>
              </w:rPr>
              <w:t>一切与完成本项目相关的费用。</w:t>
            </w:r>
          </w:p>
          <w:p>
            <w:pPr>
              <w:widowControl/>
              <w:tabs>
                <w:tab w:val="left" w:pos="3969"/>
              </w:tabs>
              <w:spacing w:before="120" w:beforeLines="50" w:after="120" w:afterLines="50"/>
              <w:rPr>
                <w:szCs w:val="21"/>
              </w:rPr>
            </w:pPr>
            <w:r>
              <w:rPr>
                <w:szCs w:val="21"/>
              </w:rPr>
              <w:t>2、本项目不接受有选择的报价。</w:t>
            </w:r>
          </w:p>
          <w:p>
            <w:pPr>
              <w:snapToGrid w:val="0"/>
              <w:spacing w:before="120" w:beforeLines="50" w:after="120" w:afterLines="50"/>
              <w:rPr>
                <w:szCs w:val="21"/>
              </w:rPr>
            </w:pPr>
            <w:r>
              <w:rPr>
                <w:szCs w:val="21"/>
              </w:rPr>
              <w:t>3、不论投标结果如何，供应商均应自行承担所有与投标有关的全部费用。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5</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szCs w:val="21"/>
              </w:rPr>
            </w:pPr>
            <w:r>
              <w:rPr>
                <w:b/>
                <w:szCs w:val="21"/>
              </w:rPr>
              <w:t>投标保证金：</w:t>
            </w:r>
            <w:r>
              <w:rPr>
                <w:szCs w:val="21"/>
              </w:rPr>
              <w:t>无</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6</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b/>
                <w:szCs w:val="21"/>
              </w:rPr>
            </w:pPr>
            <w:r>
              <w:rPr>
                <w:b/>
                <w:szCs w:val="21"/>
              </w:rPr>
              <w:t>现场踏勘：</w:t>
            </w:r>
            <w:r>
              <w:rPr>
                <w:rFonts w:hint="eastAsia"/>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7</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b/>
                <w:szCs w:val="21"/>
              </w:rPr>
            </w:pPr>
            <w:r>
              <w:rPr>
                <w:b/>
                <w:szCs w:val="21"/>
              </w:rPr>
              <w:t>演示时间及地点：</w:t>
            </w:r>
            <w:r>
              <w:rPr>
                <w:rFonts w:hint="eastAsia"/>
              </w:rPr>
              <w:t>具体演示内容见“评分标准表”。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b/>
                <w:snapToGrid w:val="0"/>
                <w:kern w:val="0"/>
                <w:szCs w:val="21"/>
              </w:rPr>
              <w:t>*</w:t>
            </w:r>
            <w:r>
              <w:rPr>
                <w:color w:val="000000"/>
                <w:szCs w:val="21"/>
              </w:rPr>
              <w:t>8</w:t>
            </w:r>
          </w:p>
        </w:tc>
        <w:tc>
          <w:tcPr>
            <w:tcW w:w="85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120" w:beforeLines="50" w:after="120" w:afterLines="50"/>
              <w:textAlignment w:val="bottom"/>
              <w:rPr>
                <w:b/>
                <w:color w:val="000000"/>
                <w:szCs w:val="21"/>
              </w:rPr>
            </w:pPr>
            <w:r>
              <w:rPr>
                <w:b/>
                <w:color w:val="000000"/>
                <w:szCs w:val="21"/>
              </w:rPr>
              <w:t>本项目实行网上投标，供应商应准备以下投标文件：</w:t>
            </w:r>
          </w:p>
          <w:p>
            <w:pPr>
              <w:autoSpaceDE w:val="0"/>
              <w:autoSpaceDN w:val="0"/>
              <w:snapToGrid w:val="0"/>
              <w:spacing w:before="120" w:beforeLines="50" w:after="120" w:afterLines="50"/>
              <w:textAlignment w:val="bottom"/>
              <w:rPr>
                <w:szCs w:val="21"/>
              </w:rPr>
            </w:pPr>
            <w:r>
              <w:rPr>
                <w:rFonts w:hint="eastAsia"/>
                <w:szCs w:val="21"/>
              </w:rPr>
              <w:t>1、</w:t>
            </w:r>
            <w:r>
              <w:rPr>
                <w:szCs w:val="21"/>
              </w:rPr>
              <w:t>上传到政府采购云平台的电子投标文件（资格证明文件、商务技术文件、报价文件）1份。</w:t>
            </w:r>
          </w:p>
          <w:p>
            <w:pPr>
              <w:autoSpaceDE w:val="0"/>
              <w:autoSpaceDN w:val="0"/>
              <w:snapToGrid w:val="0"/>
              <w:spacing w:before="120" w:beforeLines="50" w:after="120" w:afterLines="50"/>
              <w:textAlignment w:val="bottom"/>
              <w:rPr>
                <w:szCs w:val="21"/>
              </w:rPr>
            </w:pPr>
            <w:r>
              <w:rPr>
                <w:rFonts w:hint="eastAsia"/>
                <w:szCs w:val="21"/>
              </w:rPr>
              <w:t>2、</w:t>
            </w:r>
            <w:r>
              <w:rPr>
                <w:szCs w:val="21"/>
              </w:rPr>
              <w:t>以U盘存储的电子备份投标文件（资格证明文件、商务技术文件、报价文件）1份。</w:t>
            </w:r>
          </w:p>
          <w:p>
            <w:pPr>
              <w:autoSpaceDE w:val="0"/>
              <w:autoSpaceDN w:val="0"/>
              <w:snapToGrid w:val="0"/>
              <w:spacing w:before="120" w:beforeLines="50" w:after="120" w:afterLines="50"/>
              <w:ind w:right="128" w:rightChars="61"/>
              <w:textAlignment w:val="bottom"/>
              <w:rPr>
                <w:color w:val="000000"/>
                <w:szCs w:val="21"/>
              </w:rPr>
            </w:pPr>
            <w:r>
              <w:rPr>
                <w:rFonts w:hint="eastAsia"/>
                <w:szCs w:val="21"/>
              </w:rPr>
              <w:t>3、</w:t>
            </w:r>
            <w:r>
              <w:rPr>
                <w:szCs w:val="21"/>
              </w:rPr>
              <w:t>纸质备份投标文件：资格证明文件、商务技术文件、报价文件（各正本1份，副本1份）。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b/>
                <w:snapToGrid w:val="0"/>
                <w:kern w:val="0"/>
                <w:szCs w:val="21"/>
              </w:rPr>
              <w:t>*</w:t>
            </w:r>
            <w:r>
              <w:rPr>
                <w:color w:val="000000"/>
                <w:szCs w:val="21"/>
              </w:rPr>
              <w:t>9</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color w:val="000000"/>
                <w:szCs w:val="21"/>
              </w:rPr>
            </w:pPr>
            <w:r>
              <w:rPr>
                <w:b/>
                <w:color w:val="000000"/>
                <w:szCs w:val="21"/>
              </w:rPr>
              <w:t>投标截止时间及地点：</w:t>
            </w:r>
            <w:r>
              <w:rPr>
                <w:color w:val="000000"/>
                <w:szCs w:val="21"/>
              </w:rPr>
              <w:t>详见《公开招标采购公告》</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b/>
                <w:snapToGrid w:val="0"/>
                <w:kern w:val="0"/>
                <w:szCs w:val="21"/>
              </w:rPr>
              <w:t>*</w:t>
            </w:r>
            <w:r>
              <w:rPr>
                <w:color w:val="000000"/>
                <w:szCs w:val="21"/>
              </w:rPr>
              <w:t>10</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color w:val="000000"/>
                <w:szCs w:val="21"/>
              </w:rPr>
            </w:pPr>
            <w:r>
              <w:rPr>
                <w:b/>
                <w:color w:val="000000"/>
                <w:szCs w:val="21"/>
              </w:rPr>
              <w:t>开标时间及地点：</w:t>
            </w:r>
            <w:r>
              <w:rPr>
                <w:color w:val="000000"/>
                <w:szCs w:val="21"/>
              </w:rPr>
              <w:t>详见《公开招标采购公告》</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11</w:t>
            </w:r>
          </w:p>
        </w:tc>
        <w:tc>
          <w:tcPr>
            <w:tcW w:w="85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120" w:beforeLines="50" w:after="120" w:afterLines="50"/>
              <w:textAlignment w:val="bottom"/>
              <w:rPr>
                <w:color w:val="000000"/>
                <w:szCs w:val="21"/>
              </w:rPr>
            </w:pPr>
            <w:r>
              <w:rPr>
                <w:b/>
                <w:color w:val="000000"/>
                <w:szCs w:val="21"/>
              </w:rPr>
              <w:t>评标办法及评分标准：</w:t>
            </w:r>
            <w:r>
              <w:rPr>
                <w:color w:val="000000"/>
                <w:szCs w:val="21"/>
              </w:rPr>
              <w:t>详见第四章</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12</w:t>
            </w:r>
          </w:p>
        </w:tc>
        <w:tc>
          <w:tcPr>
            <w:tcW w:w="85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120" w:beforeLines="50" w:after="120" w:afterLines="50"/>
              <w:textAlignment w:val="bottom"/>
              <w:rPr>
                <w:color w:val="000000"/>
                <w:szCs w:val="21"/>
              </w:rPr>
            </w:pPr>
            <w:r>
              <w:rPr>
                <w:b/>
                <w:color w:val="000000"/>
                <w:szCs w:val="21"/>
              </w:rPr>
              <w:t>中标结果公告：</w:t>
            </w:r>
            <w:r>
              <w:rPr>
                <w:szCs w:val="21"/>
              </w:rPr>
              <w:t>评标结束后，评标结果公示网站详见第一章《公开招标公告》</w:t>
            </w:r>
            <w:r>
              <w:rPr>
                <w:color w:val="000000"/>
                <w:szCs w:val="21"/>
              </w:rPr>
              <w:t>，同时向中标供应商发出中标通知书。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13</w:t>
            </w:r>
          </w:p>
        </w:tc>
        <w:tc>
          <w:tcPr>
            <w:tcW w:w="85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120" w:beforeLines="50" w:after="120" w:afterLines="50"/>
              <w:textAlignment w:val="bottom"/>
              <w:rPr>
                <w:color w:val="000000"/>
                <w:szCs w:val="21"/>
              </w:rPr>
            </w:pPr>
            <w:r>
              <w:rPr>
                <w:b/>
                <w:color w:val="000000"/>
                <w:szCs w:val="21"/>
              </w:rPr>
              <w:t>投标保证金退还（不计息）：</w:t>
            </w:r>
            <w:r>
              <w:rPr>
                <w:color w:val="000000"/>
                <w:szCs w:val="21"/>
              </w:rPr>
              <w:t>无</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14</w:t>
            </w:r>
          </w:p>
        </w:tc>
        <w:tc>
          <w:tcPr>
            <w:tcW w:w="85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120" w:beforeLines="50" w:after="120" w:afterLines="50"/>
              <w:textAlignment w:val="bottom"/>
              <w:rPr>
                <w:color w:val="000000"/>
                <w:szCs w:val="21"/>
              </w:rPr>
            </w:pPr>
            <w:r>
              <w:rPr>
                <w:b/>
                <w:color w:val="000000"/>
                <w:szCs w:val="21"/>
              </w:rPr>
              <w:t>签订合同时间：</w:t>
            </w:r>
            <w:r>
              <w:rPr>
                <w:color w:val="000000"/>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szCs w:val="21"/>
              </w:rPr>
            </w:pPr>
            <w:r>
              <w:rPr>
                <w:b/>
                <w:snapToGrid w:val="0"/>
                <w:kern w:val="0"/>
                <w:szCs w:val="21"/>
              </w:rPr>
              <w:t>*</w:t>
            </w:r>
            <w:r>
              <w:rPr>
                <w:szCs w:val="21"/>
              </w:rPr>
              <w:t>15</w:t>
            </w:r>
          </w:p>
        </w:tc>
        <w:tc>
          <w:tcPr>
            <w:tcW w:w="85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b/>
                <w:szCs w:val="21"/>
              </w:rPr>
            </w:pPr>
            <w:r>
              <w:rPr>
                <w:b/>
                <w:szCs w:val="21"/>
              </w:rPr>
              <w:t>采购资金的支付方式、时间及条件：</w:t>
            </w:r>
          </w:p>
          <w:p>
            <w:pPr>
              <w:autoSpaceDE w:val="0"/>
              <w:autoSpaceDN w:val="0"/>
              <w:snapToGrid w:val="0"/>
              <w:spacing w:line="360" w:lineRule="auto"/>
              <w:textAlignment w:val="bottom"/>
              <w:rPr>
                <w:szCs w:val="21"/>
              </w:rPr>
            </w:pPr>
            <w:r>
              <w:rPr>
                <w:rFonts w:hint="eastAsia"/>
                <w:szCs w:val="21"/>
              </w:rPr>
              <w:t>1、</w:t>
            </w:r>
            <w:r>
              <w:rPr>
                <w:szCs w:val="21"/>
              </w:rPr>
              <w:t>合同签订后7个工作日内支付合同</w:t>
            </w:r>
            <w:r>
              <w:rPr>
                <w:rFonts w:hint="eastAsia"/>
                <w:szCs w:val="21"/>
              </w:rPr>
              <w:t>总价</w:t>
            </w:r>
            <w:r>
              <w:rPr>
                <w:szCs w:val="21"/>
              </w:rPr>
              <w:t>的</w:t>
            </w:r>
            <w:r>
              <w:rPr>
                <w:rFonts w:hint="eastAsia"/>
                <w:szCs w:val="21"/>
              </w:rPr>
              <w:t>20</w:t>
            </w:r>
            <w:r>
              <w:rPr>
                <w:szCs w:val="21"/>
              </w:rPr>
              <w:t>%</w:t>
            </w:r>
            <w:r>
              <w:rPr>
                <w:rFonts w:hint="eastAsia"/>
                <w:szCs w:val="21"/>
              </w:rPr>
              <w:t>作为合同预付款。</w:t>
            </w:r>
          </w:p>
          <w:p>
            <w:pPr>
              <w:autoSpaceDE w:val="0"/>
              <w:autoSpaceDN w:val="0"/>
              <w:snapToGrid w:val="0"/>
              <w:spacing w:line="360" w:lineRule="auto"/>
              <w:textAlignment w:val="bottom"/>
              <w:rPr>
                <w:szCs w:val="21"/>
              </w:rPr>
            </w:pPr>
            <w:r>
              <w:rPr>
                <w:rFonts w:hint="eastAsia"/>
                <w:szCs w:val="21"/>
              </w:rPr>
              <w:t>2、项目建设内容中的“无废城市”综合管理服务应用、</w:t>
            </w:r>
            <w:r>
              <w:rPr>
                <w:szCs w:val="21"/>
              </w:rPr>
              <w:t>一般工业固废管理</w:t>
            </w:r>
            <w:r>
              <w:rPr>
                <w:rFonts w:hint="eastAsia"/>
                <w:szCs w:val="21"/>
              </w:rPr>
              <w:t>、</w:t>
            </w:r>
            <w:r>
              <w:rPr>
                <w:szCs w:val="21"/>
              </w:rPr>
              <w:t>危险废物管理</w:t>
            </w:r>
            <w:r>
              <w:rPr>
                <w:rFonts w:hint="eastAsia"/>
                <w:szCs w:val="21"/>
              </w:rPr>
              <w:t>及医疗废物管理核心业务应用完成基本功能开发后7个工作日内</w:t>
            </w:r>
            <w:r>
              <w:rPr>
                <w:szCs w:val="21"/>
              </w:rPr>
              <w:t>支付合同</w:t>
            </w:r>
            <w:r>
              <w:rPr>
                <w:rFonts w:hint="eastAsia"/>
                <w:szCs w:val="21"/>
              </w:rPr>
              <w:t>总价的30%。</w:t>
            </w:r>
          </w:p>
          <w:p>
            <w:pPr>
              <w:autoSpaceDE w:val="0"/>
              <w:autoSpaceDN w:val="0"/>
              <w:snapToGrid w:val="0"/>
              <w:spacing w:line="360" w:lineRule="auto"/>
              <w:textAlignment w:val="bottom"/>
              <w:rPr>
                <w:szCs w:val="21"/>
              </w:rPr>
            </w:pPr>
            <w:r>
              <w:rPr>
                <w:rFonts w:hint="eastAsia"/>
                <w:szCs w:val="21"/>
              </w:rPr>
              <w:t>3、完成项目主体内容上线部署并按照合同条款进行初验通过后7个工作日内</w:t>
            </w:r>
            <w:r>
              <w:rPr>
                <w:szCs w:val="21"/>
              </w:rPr>
              <w:t>支付合同</w:t>
            </w:r>
            <w:r>
              <w:rPr>
                <w:rFonts w:hint="eastAsia"/>
                <w:szCs w:val="21"/>
              </w:rPr>
              <w:t>总价的</w:t>
            </w:r>
            <w:r>
              <w:rPr>
                <w:szCs w:val="21"/>
              </w:rPr>
              <w:t>3</w:t>
            </w:r>
            <w:r>
              <w:rPr>
                <w:rFonts w:hint="eastAsia"/>
                <w:szCs w:val="21"/>
              </w:rPr>
              <w:t>0%。</w:t>
            </w:r>
          </w:p>
          <w:p>
            <w:pPr>
              <w:autoSpaceDE w:val="0"/>
              <w:autoSpaceDN w:val="0"/>
              <w:snapToGrid w:val="0"/>
              <w:spacing w:line="360" w:lineRule="auto"/>
              <w:textAlignment w:val="bottom"/>
              <w:rPr>
                <w:szCs w:val="21"/>
              </w:rPr>
            </w:pPr>
            <w:r>
              <w:rPr>
                <w:rFonts w:hint="eastAsia"/>
                <w:szCs w:val="21"/>
              </w:rPr>
              <w:t>4、项目通过竣工验收后7个工作日内支付剩余合同款项，即</w:t>
            </w:r>
            <w:r>
              <w:rPr>
                <w:szCs w:val="21"/>
              </w:rPr>
              <w:t>合同</w:t>
            </w:r>
            <w:r>
              <w:rPr>
                <w:rFonts w:hint="eastAsia"/>
                <w:szCs w:val="21"/>
              </w:rPr>
              <w:t>总价的</w:t>
            </w:r>
            <w:r>
              <w:rPr>
                <w:szCs w:val="21"/>
              </w:rPr>
              <w:t>2</w:t>
            </w:r>
            <w:r>
              <w:rPr>
                <w:rFonts w:hint="eastAsia"/>
                <w:szCs w:val="21"/>
              </w:rPr>
              <w:t>0%。</w:t>
            </w:r>
          </w:p>
          <w:p>
            <w:pPr>
              <w:pStyle w:val="52"/>
              <w:jc w:val="both"/>
            </w:pPr>
            <w:r>
              <w:rPr>
                <w:sz w:val="21"/>
                <w:szCs w:val="16"/>
              </w:rPr>
              <w:t>5</w:t>
            </w:r>
            <w:r>
              <w:rPr>
                <w:rFonts w:hint="eastAsia"/>
                <w:sz w:val="21"/>
                <w:szCs w:val="16"/>
              </w:rPr>
              <w:t>、具体款项支付时间根据财政资金拨付到账时间确定。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16</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b/>
                <w:color w:val="000000"/>
                <w:szCs w:val="21"/>
              </w:rPr>
            </w:pPr>
            <w:r>
              <w:rPr>
                <w:b/>
                <w:color w:val="000000"/>
                <w:szCs w:val="21"/>
              </w:rPr>
              <w:t>履约保证金的收取及退还</w:t>
            </w:r>
            <w:r>
              <w:rPr>
                <w:rFonts w:hint="eastAsia"/>
                <w:b/>
                <w:color w:val="000000"/>
                <w:szCs w:val="21"/>
              </w:rPr>
              <w:t>：</w:t>
            </w:r>
            <w:r>
              <w:rPr>
                <w:color w:val="000000"/>
                <w:szCs w:val="21"/>
              </w:rPr>
              <w:t>无</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b/>
                <w:snapToGrid w:val="0"/>
                <w:kern w:val="0"/>
                <w:szCs w:val="21"/>
              </w:rPr>
              <w:t>*</w:t>
            </w:r>
            <w:r>
              <w:rPr>
                <w:color w:val="000000"/>
                <w:szCs w:val="21"/>
              </w:rPr>
              <w:t>17</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color w:val="000000"/>
                <w:szCs w:val="21"/>
              </w:rPr>
            </w:pPr>
            <w:r>
              <w:rPr>
                <w:b/>
                <w:color w:val="000000"/>
                <w:szCs w:val="21"/>
              </w:rPr>
              <w:t>投标文件有效期：</w:t>
            </w:r>
            <w:r>
              <w:rPr>
                <w:color w:val="000000"/>
                <w:szCs w:val="21"/>
              </w:rPr>
              <w:t>90天</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color w:val="000000"/>
                <w:szCs w:val="21"/>
              </w:rPr>
            </w:pPr>
            <w:r>
              <w:rPr>
                <w:color w:val="000000"/>
                <w:szCs w:val="21"/>
              </w:rPr>
              <w:t>18</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b/>
                <w:color w:val="000000"/>
                <w:szCs w:val="21"/>
              </w:rPr>
            </w:pPr>
            <w:r>
              <w:rPr>
                <w:b/>
                <w:szCs w:val="21"/>
              </w:rPr>
              <w:t>招标代理服务费：</w:t>
            </w:r>
            <w:r>
              <w:rPr>
                <w:color w:val="000000"/>
                <w:szCs w:val="21"/>
              </w:rPr>
              <w:t>本招标公司按照定额50000元向中标人收取招标服务费。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snapToGrid w:val="0"/>
                <w:kern w:val="0"/>
                <w:szCs w:val="21"/>
              </w:rPr>
            </w:pPr>
            <w:r>
              <w:rPr>
                <w:snapToGrid w:val="0"/>
                <w:kern w:val="0"/>
                <w:szCs w:val="21"/>
              </w:rPr>
              <w:t>19</w:t>
            </w:r>
          </w:p>
        </w:tc>
        <w:tc>
          <w:tcPr>
            <w:tcW w:w="8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color w:val="000000"/>
                <w:szCs w:val="21"/>
              </w:rPr>
            </w:pPr>
            <w:r>
              <w:rPr>
                <w:b/>
                <w:color w:val="000000"/>
                <w:szCs w:val="21"/>
              </w:rPr>
              <w:t>解释：</w:t>
            </w:r>
            <w:r>
              <w:rPr>
                <w:color w:val="000000"/>
                <w:szCs w:val="21"/>
              </w:rPr>
              <w:t>本采购文件的解释权属于采购单位和招标代理机构。</w:t>
            </w:r>
          </w:p>
        </w:tc>
      </w:tr>
    </w:tbl>
    <w:p>
      <w:pPr>
        <w:spacing w:line="360" w:lineRule="auto"/>
        <w:rPr>
          <w:szCs w:val="21"/>
        </w:rPr>
      </w:pPr>
      <w:r>
        <w:rPr>
          <w:b/>
          <w:snapToGrid w:val="0"/>
          <w:kern w:val="0"/>
          <w:szCs w:val="21"/>
        </w:rPr>
        <w:t>注：本前附表内打有“*”号的条款为“实质性要求”条款，投标文件对这些条款的任何负偏离将视为没有对采购文件的实质性要求做出响应，将被认定为无效投标。</w:t>
      </w:r>
    </w:p>
    <w:p>
      <w:pPr>
        <w:pStyle w:val="4"/>
        <w:numPr>
          <w:ilvl w:val="0"/>
          <w:numId w:val="0"/>
        </w:numPr>
        <w:tabs>
          <w:tab w:val="clear" w:pos="576"/>
        </w:tabs>
        <w:spacing w:before="0" w:after="0" w:line="360" w:lineRule="auto"/>
        <w:jc w:val="left"/>
        <w:rPr>
          <w:rFonts w:ascii="Times New Roman" w:hAnsi="Times New Roman" w:eastAsia="宋体"/>
          <w:color w:val="000000"/>
          <w:sz w:val="21"/>
          <w:szCs w:val="21"/>
        </w:rPr>
      </w:pPr>
      <w:r>
        <w:rPr>
          <w:rFonts w:ascii="Times New Roman" w:hAnsi="Times New Roman" w:eastAsia="宋体"/>
          <w:color w:val="000000"/>
        </w:rPr>
        <w:br w:type="page"/>
      </w:r>
      <w:bookmarkStart w:id="351" w:name="_Toc460857897"/>
      <w:bookmarkStart w:id="352" w:name="_Toc17707910"/>
      <w:bookmarkStart w:id="353" w:name="_Toc109989350"/>
      <w:r>
        <w:rPr>
          <w:rFonts w:ascii="Times New Roman" w:hAnsi="Times New Roman" w:eastAsia="宋体"/>
          <w:color w:val="000000"/>
          <w:sz w:val="21"/>
          <w:szCs w:val="21"/>
        </w:rPr>
        <w:t>一、总则</w:t>
      </w:r>
      <w:bookmarkEnd w:id="351"/>
      <w:bookmarkEnd w:id="352"/>
      <w:bookmarkEnd w:id="353"/>
    </w:p>
    <w:p>
      <w:pPr>
        <w:pStyle w:val="5"/>
        <w:numPr>
          <w:ilvl w:val="0"/>
          <w:numId w:val="0"/>
        </w:numPr>
        <w:spacing w:before="0" w:after="0" w:line="360" w:lineRule="auto"/>
        <w:rPr>
          <w:rFonts w:ascii="Times New Roman" w:hAnsi="Times New Roman"/>
          <w:color w:val="000000"/>
          <w:kern w:val="2"/>
          <w:sz w:val="21"/>
          <w:szCs w:val="21"/>
        </w:rPr>
      </w:pPr>
      <w:bookmarkStart w:id="354" w:name="_Toc17707911"/>
      <w:bookmarkStart w:id="355" w:name="_Toc109989351"/>
      <w:bookmarkStart w:id="356" w:name="_Toc460416645"/>
      <w:bookmarkStart w:id="357" w:name="_Toc460416340"/>
      <w:bookmarkStart w:id="358" w:name="_Toc460416596"/>
      <w:bookmarkStart w:id="359" w:name="_Toc460857898"/>
      <w:r>
        <w:rPr>
          <w:rFonts w:ascii="Times New Roman" w:hAnsi="Times New Roman"/>
          <w:color w:val="000000"/>
          <w:kern w:val="2"/>
          <w:sz w:val="21"/>
          <w:szCs w:val="21"/>
        </w:rPr>
        <w:t>（一）适用范围</w:t>
      </w:r>
      <w:bookmarkEnd w:id="354"/>
      <w:bookmarkEnd w:id="355"/>
      <w:bookmarkEnd w:id="356"/>
      <w:bookmarkEnd w:id="357"/>
      <w:bookmarkEnd w:id="358"/>
      <w:bookmarkEnd w:id="359"/>
    </w:p>
    <w:p>
      <w:pPr>
        <w:snapToGrid w:val="0"/>
        <w:spacing w:line="360" w:lineRule="auto"/>
        <w:ind w:firstLine="420" w:firstLineChars="200"/>
        <w:jc w:val="left"/>
        <w:rPr>
          <w:color w:val="000000"/>
          <w:szCs w:val="21"/>
        </w:rPr>
      </w:pPr>
      <w:r>
        <w:rPr>
          <w:color w:val="000000"/>
          <w:szCs w:val="21"/>
        </w:rPr>
        <w:t>本采购文件适用于本采购项目的招标、投标、评标、定标、验收、合同履约、付款等行为（法律、法规另有规定的，从其规定）。</w:t>
      </w:r>
    </w:p>
    <w:p>
      <w:pPr>
        <w:pStyle w:val="5"/>
        <w:numPr>
          <w:ilvl w:val="0"/>
          <w:numId w:val="0"/>
        </w:numPr>
        <w:spacing w:before="0" w:after="0" w:line="360" w:lineRule="auto"/>
        <w:rPr>
          <w:rFonts w:ascii="Times New Roman" w:hAnsi="Times New Roman"/>
          <w:color w:val="000000"/>
          <w:kern w:val="2"/>
          <w:sz w:val="21"/>
          <w:szCs w:val="21"/>
        </w:rPr>
      </w:pPr>
      <w:bookmarkStart w:id="360" w:name="_Toc109989352"/>
      <w:bookmarkStart w:id="361" w:name="_Toc460857899"/>
      <w:bookmarkStart w:id="362" w:name="_Toc17707912"/>
      <w:bookmarkStart w:id="363" w:name="_Toc460416341"/>
      <w:bookmarkStart w:id="364" w:name="_Toc460416597"/>
      <w:bookmarkStart w:id="365" w:name="_Toc460416646"/>
      <w:r>
        <w:rPr>
          <w:rFonts w:ascii="Times New Roman" w:hAnsi="Times New Roman"/>
          <w:color w:val="000000"/>
          <w:kern w:val="2"/>
          <w:sz w:val="21"/>
          <w:szCs w:val="21"/>
        </w:rPr>
        <w:t>（二）定义</w:t>
      </w:r>
      <w:bookmarkEnd w:id="360"/>
      <w:bookmarkEnd w:id="361"/>
      <w:bookmarkEnd w:id="362"/>
      <w:bookmarkEnd w:id="363"/>
      <w:bookmarkEnd w:id="364"/>
      <w:bookmarkEnd w:id="365"/>
    </w:p>
    <w:p>
      <w:pPr>
        <w:snapToGrid w:val="0"/>
        <w:spacing w:line="360" w:lineRule="auto"/>
        <w:ind w:firstLine="420" w:firstLineChars="200"/>
        <w:jc w:val="left"/>
        <w:rPr>
          <w:color w:val="000000"/>
          <w:szCs w:val="21"/>
        </w:rPr>
      </w:pPr>
      <w:r>
        <w:rPr>
          <w:color w:val="000000"/>
          <w:szCs w:val="21"/>
        </w:rPr>
        <w:t>1.“采购人”系指组织本次招标的采购单位（“采购人”）。</w:t>
      </w:r>
    </w:p>
    <w:p>
      <w:pPr>
        <w:snapToGrid w:val="0"/>
        <w:spacing w:line="360" w:lineRule="auto"/>
        <w:ind w:firstLine="420" w:firstLineChars="200"/>
        <w:jc w:val="left"/>
        <w:rPr>
          <w:color w:val="000000"/>
          <w:szCs w:val="21"/>
        </w:rPr>
      </w:pPr>
      <w:r>
        <w:rPr>
          <w:color w:val="000000"/>
          <w:szCs w:val="21"/>
        </w:rPr>
        <w:t>2.“投标人”系指向采购人提交投标文件的单位或个人（“供应商”）。</w:t>
      </w:r>
    </w:p>
    <w:p>
      <w:pPr>
        <w:snapToGrid w:val="0"/>
        <w:spacing w:line="360" w:lineRule="auto"/>
        <w:ind w:firstLine="420" w:firstLineChars="200"/>
        <w:jc w:val="left"/>
        <w:rPr>
          <w:color w:val="000000"/>
          <w:szCs w:val="21"/>
        </w:rPr>
      </w:pPr>
      <w:r>
        <w:rPr>
          <w:color w:val="000000"/>
          <w:szCs w:val="21"/>
        </w:rPr>
        <w:t>3.“服务”系指采购文件规定投标人须承担的完成与本项目有关的一切服务以及其他类似的义务。</w:t>
      </w:r>
    </w:p>
    <w:p>
      <w:pPr>
        <w:snapToGrid w:val="0"/>
        <w:spacing w:line="360" w:lineRule="auto"/>
        <w:ind w:firstLine="420" w:firstLineChars="200"/>
        <w:jc w:val="left"/>
        <w:rPr>
          <w:color w:val="000000"/>
          <w:szCs w:val="21"/>
        </w:rPr>
      </w:pPr>
      <w:r>
        <w:rPr>
          <w:color w:val="000000"/>
          <w:szCs w:val="21"/>
        </w:rPr>
        <w:t>4.“项目”系指投标人按采购文件规定向采购人提供的产品和服务。</w:t>
      </w:r>
    </w:p>
    <w:p>
      <w:pPr>
        <w:snapToGrid w:val="0"/>
        <w:spacing w:line="360" w:lineRule="auto"/>
        <w:ind w:firstLine="420" w:firstLineChars="200"/>
        <w:jc w:val="left"/>
        <w:rPr>
          <w:color w:val="000000"/>
          <w:szCs w:val="21"/>
        </w:rPr>
      </w:pPr>
      <w:r>
        <w:rPr>
          <w:color w:val="000000"/>
          <w:szCs w:val="21"/>
        </w:rPr>
        <w:t>5.“书面形式”包括信函、传真、电报等。</w:t>
      </w:r>
    </w:p>
    <w:p>
      <w:pPr>
        <w:snapToGrid w:val="0"/>
        <w:spacing w:line="360" w:lineRule="auto"/>
        <w:ind w:firstLine="422" w:firstLineChars="200"/>
        <w:jc w:val="left"/>
        <w:rPr>
          <w:b/>
          <w:color w:val="000000"/>
          <w:szCs w:val="21"/>
        </w:rPr>
      </w:pPr>
      <w:r>
        <w:rPr>
          <w:b/>
          <w:color w:val="000000"/>
          <w:szCs w:val="21"/>
        </w:rPr>
        <w:t>6.“*”系指实质性要求条款。</w:t>
      </w:r>
    </w:p>
    <w:p>
      <w:pPr>
        <w:pStyle w:val="5"/>
        <w:numPr>
          <w:ilvl w:val="0"/>
          <w:numId w:val="0"/>
        </w:numPr>
        <w:spacing w:before="0" w:after="0" w:line="360" w:lineRule="auto"/>
        <w:rPr>
          <w:rFonts w:ascii="Times New Roman" w:hAnsi="Times New Roman"/>
          <w:color w:val="000000"/>
          <w:kern w:val="2"/>
          <w:sz w:val="21"/>
          <w:szCs w:val="21"/>
        </w:rPr>
      </w:pPr>
      <w:bookmarkStart w:id="366" w:name="_Toc460857900"/>
      <w:bookmarkStart w:id="367" w:name="_Toc17707913"/>
      <w:bookmarkStart w:id="368" w:name="_Toc109989353"/>
      <w:bookmarkStart w:id="369" w:name="_Toc460416342"/>
      <w:bookmarkStart w:id="370" w:name="_Toc460416598"/>
      <w:bookmarkStart w:id="371" w:name="_Toc460416647"/>
      <w:r>
        <w:rPr>
          <w:rFonts w:ascii="Times New Roman" w:hAnsi="Times New Roman"/>
          <w:color w:val="000000"/>
          <w:kern w:val="2"/>
          <w:sz w:val="21"/>
          <w:szCs w:val="21"/>
        </w:rPr>
        <w:t>（三）招标方式</w:t>
      </w:r>
      <w:bookmarkEnd w:id="366"/>
      <w:bookmarkEnd w:id="367"/>
      <w:bookmarkEnd w:id="368"/>
      <w:bookmarkEnd w:id="369"/>
      <w:bookmarkEnd w:id="370"/>
      <w:bookmarkEnd w:id="371"/>
    </w:p>
    <w:p>
      <w:pPr>
        <w:snapToGrid w:val="0"/>
        <w:spacing w:line="360" w:lineRule="auto"/>
        <w:ind w:firstLine="420" w:firstLineChars="200"/>
        <w:jc w:val="left"/>
        <w:rPr>
          <w:color w:val="000000"/>
          <w:szCs w:val="21"/>
        </w:rPr>
      </w:pPr>
      <w:r>
        <w:rPr>
          <w:color w:val="000000"/>
          <w:szCs w:val="21"/>
        </w:rPr>
        <w:t>本次招标采用公开招标方式进行。</w:t>
      </w:r>
    </w:p>
    <w:p>
      <w:pPr>
        <w:pStyle w:val="5"/>
        <w:numPr>
          <w:ilvl w:val="0"/>
          <w:numId w:val="0"/>
        </w:numPr>
        <w:spacing w:before="0" w:after="0" w:line="360" w:lineRule="auto"/>
        <w:rPr>
          <w:rFonts w:ascii="Times New Roman" w:hAnsi="Times New Roman"/>
          <w:color w:val="000000"/>
          <w:kern w:val="2"/>
          <w:sz w:val="21"/>
          <w:szCs w:val="21"/>
        </w:rPr>
      </w:pPr>
      <w:bookmarkStart w:id="372" w:name="_Toc460416648"/>
      <w:bookmarkStart w:id="373" w:name="_Toc460416343"/>
      <w:bookmarkStart w:id="374" w:name="_Toc460416599"/>
      <w:bookmarkStart w:id="375" w:name="_Toc17707914"/>
      <w:bookmarkStart w:id="376" w:name="_Toc460857901"/>
      <w:bookmarkStart w:id="377" w:name="_Toc109989354"/>
      <w:r>
        <w:rPr>
          <w:rFonts w:ascii="Times New Roman" w:hAnsi="Times New Roman"/>
          <w:color w:val="000000"/>
          <w:kern w:val="2"/>
          <w:sz w:val="21"/>
          <w:szCs w:val="21"/>
        </w:rPr>
        <w:t>（四）投标委托</w:t>
      </w:r>
      <w:bookmarkEnd w:id="372"/>
      <w:bookmarkEnd w:id="373"/>
      <w:bookmarkEnd w:id="374"/>
      <w:bookmarkEnd w:id="375"/>
      <w:bookmarkEnd w:id="376"/>
      <w:bookmarkEnd w:id="377"/>
    </w:p>
    <w:p>
      <w:pPr>
        <w:pStyle w:val="16"/>
        <w:snapToGrid w:val="0"/>
        <w:spacing w:line="360" w:lineRule="auto"/>
        <w:ind w:firstLine="420" w:firstLineChars="200"/>
        <w:jc w:val="left"/>
        <w:rPr>
          <w:rFonts w:ascii="Times New Roman" w:hAnsi="Times New Roman"/>
          <w:sz w:val="21"/>
          <w:szCs w:val="21"/>
        </w:rPr>
      </w:pPr>
      <w:r>
        <w:rPr>
          <w:rFonts w:ascii="Times New Roman" w:hAnsi="Times New Roman"/>
          <w:spacing w:val="0"/>
          <w:sz w:val="21"/>
          <w:szCs w:val="21"/>
        </w:rPr>
        <w:t>如供应商派授权代表出席开标会议，授权代表须携带有效身份证件。投标人代表须为投标人的在职员工，如投标人代表不是法定代表人，须有法定代表人出具的授权委托书并在投标文件中提供投标人代表身份证正反面复印件及授权代表开标之日前</w:t>
      </w:r>
      <w:r>
        <w:rPr>
          <w:rFonts w:hint="eastAsia" w:ascii="Times New Roman" w:hAnsi="Times New Roman"/>
          <w:spacing w:val="0"/>
          <w:sz w:val="21"/>
          <w:szCs w:val="21"/>
        </w:rPr>
        <w:t>近三个月内任意一个月</w:t>
      </w:r>
      <w:r>
        <w:rPr>
          <w:rFonts w:ascii="Times New Roman" w:hAnsi="Times New Roman"/>
          <w:spacing w:val="0"/>
          <w:sz w:val="21"/>
          <w:szCs w:val="21"/>
        </w:rPr>
        <w:t>投标人所缴纳的社保证明（投标文件正本用原件，副本可用复印件，格式见第六部分）</w:t>
      </w:r>
      <w:r>
        <w:rPr>
          <w:rFonts w:ascii="Times New Roman" w:hAnsi="Times New Roman"/>
          <w:sz w:val="21"/>
          <w:szCs w:val="21"/>
        </w:rPr>
        <w:t>。</w:t>
      </w:r>
    </w:p>
    <w:p>
      <w:pPr>
        <w:pStyle w:val="5"/>
        <w:numPr>
          <w:ilvl w:val="0"/>
          <w:numId w:val="0"/>
        </w:numPr>
        <w:spacing w:before="0" w:after="0" w:line="360" w:lineRule="auto"/>
        <w:rPr>
          <w:rFonts w:ascii="Times New Roman" w:hAnsi="Times New Roman"/>
          <w:color w:val="000000"/>
          <w:kern w:val="2"/>
          <w:sz w:val="21"/>
          <w:szCs w:val="21"/>
        </w:rPr>
      </w:pPr>
      <w:bookmarkStart w:id="378" w:name="_Toc460857902"/>
      <w:bookmarkStart w:id="379" w:name="_Toc17707915"/>
      <w:bookmarkStart w:id="380" w:name="_Toc109989355"/>
      <w:bookmarkStart w:id="381" w:name="_Toc460416600"/>
      <w:bookmarkStart w:id="382" w:name="_Toc460416649"/>
      <w:bookmarkStart w:id="383" w:name="_Toc460416344"/>
      <w:r>
        <w:rPr>
          <w:rFonts w:ascii="Times New Roman" w:hAnsi="Times New Roman"/>
          <w:color w:val="000000"/>
          <w:kern w:val="2"/>
          <w:sz w:val="21"/>
          <w:szCs w:val="21"/>
        </w:rPr>
        <w:t>（五）投标费用</w:t>
      </w:r>
      <w:bookmarkEnd w:id="378"/>
      <w:bookmarkEnd w:id="379"/>
      <w:bookmarkEnd w:id="380"/>
      <w:bookmarkEnd w:id="381"/>
      <w:bookmarkEnd w:id="382"/>
      <w:bookmarkEnd w:id="383"/>
    </w:p>
    <w:p>
      <w:pPr>
        <w:snapToGrid w:val="0"/>
        <w:spacing w:line="360" w:lineRule="auto"/>
        <w:ind w:firstLine="420" w:firstLineChars="200"/>
        <w:jc w:val="left"/>
        <w:rPr>
          <w:szCs w:val="21"/>
        </w:rPr>
      </w:pPr>
      <w:r>
        <w:rPr>
          <w:color w:val="000000"/>
          <w:szCs w:val="21"/>
        </w:rPr>
        <w:t>不论投标结果如何，投标人均应自行承担所有与投标有关的全部费用（采购文件有相反规定除外）。</w:t>
      </w:r>
    </w:p>
    <w:p>
      <w:pPr>
        <w:pStyle w:val="5"/>
        <w:numPr>
          <w:ilvl w:val="0"/>
          <w:numId w:val="0"/>
        </w:numPr>
        <w:spacing w:before="0" w:after="0" w:line="360" w:lineRule="auto"/>
        <w:rPr>
          <w:rFonts w:ascii="Times New Roman" w:hAnsi="Times New Roman"/>
          <w:kern w:val="2"/>
          <w:sz w:val="21"/>
          <w:szCs w:val="21"/>
        </w:rPr>
      </w:pPr>
      <w:bookmarkStart w:id="384" w:name="_Toc109989356"/>
      <w:bookmarkStart w:id="385" w:name="_Toc460857903"/>
      <w:bookmarkStart w:id="386" w:name="_Toc17707916"/>
      <w:r>
        <w:rPr>
          <w:rFonts w:ascii="Times New Roman" w:hAnsi="Times New Roman"/>
          <w:kern w:val="2"/>
          <w:sz w:val="21"/>
          <w:szCs w:val="21"/>
        </w:rPr>
        <w:t>（六）联合体投标</w:t>
      </w:r>
      <w:bookmarkEnd w:id="384"/>
      <w:bookmarkEnd w:id="385"/>
      <w:bookmarkEnd w:id="386"/>
    </w:p>
    <w:p>
      <w:pPr>
        <w:snapToGrid w:val="0"/>
        <w:spacing w:line="360" w:lineRule="auto"/>
        <w:ind w:firstLine="420" w:firstLineChars="200"/>
        <w:jc w:val="left"/>
        <w:rPr>
          <w:szCs w:val="21"/>
        </w:rPr>
      </w:pPr>
      <w:r>
        <w:rPr>
          <w:szCs w:val="21"/>
        </w:rPr>
        <w:t>不接受联合体投标。</w:t>
      </w:r>
    </w:p>
    <w:p>
      <w:pPr>
        <w:pStyle w:val="5"/>
        <w:numPr>
          <w:ilvl w:val="0"/>
          <w:numId w:val="0"/>
        </w:numPr>
        <w:spacing w:before="0" w:after="0" w:line="360" w:lineRule="auto"/>
        <w:rPr>
          <w:rFonts w:ascii="Times New Roman" w:hAnsi="Times New Roman"/>
          <w:color w:val="000000"/>
          <w:kern w:val="2"/>
          <w:sz w:val="21"/>
          <w:szCs w:val="21"/>
        </w:rPr>
      </w:pPr>
      <w:bookmarkStart w:id="387" w:name="_Toc109989357"/>
      <w:bookmarkStart w:id="388" w:name="_Toc460857904"/>
      <w:bookmarkStart w:id="389" w:name="_Toc17707917"/>
      <w:r>
        <w:rPr>
          <w:rFonts w:ascii="Times New Roman" w:hAnsi="Times New Roman"/>
          <w:color w:val="000000"/>
          <w:kern w:val="2"/>
          <w:sz w:val="21"/>
          <w:szCs w:val="21"/>
        </w:rPr>
        <w:t>（七）转包与分包</w:t>
      </w:r>
      <w:bookmarkEnd w:id="387"/>
      <w:bookmarkEnd w:id="388"/>
      <w:bookmarkEnd w:id="389"/>
    </w:p>
    <w:p>
      <w:pPr>
        <w:snapToGrid w:val="0"/>
        <w:spacing w:line="360" w:lineRule="auto"/>
        <w:ind w:firstLine="420" w:firstLineChars="200"/>
        <w:jc w:val="left"/>
        <w:rPr>
          <w:kern w:val="0"/>
          <w:szCs w:val="21"/>
        </w:rPr>
      </w:pPr>
      <w:r>
        <w:rPr>
          <w:kern w:val="0"/>
          <w:szCs w:val="21"/>
        </w:rPr>
        <w:t>本项目不允许转包，经采购人同意后允许分包。</w:t>
      </w:r>
    </w:p>
    <w:p>
      <w:pPr>
        <w:pStyle w:val="5"/>
        <w:numPr>
          <w:ilvl w:val="0"/>
          <w:numId w:val="0"/>
        </w:numPr>
        <w:spacing w:before="0" w:after="0" w:line="360" w:lineRule="auto"/>
        <w:rPr>
          <w:rFonts w:ascii="Times New Roman" w:hAnsi="Times New Roman"/>
          <w:color w:val="000000"/>
          <w:kern w:val="2"/>
          <w:sz w:val="21"/>
          <w:szCs w:val="21"/>
        </w:rPr>
      </w:pPr>
      <w:bookmarkStart w:id="390" w:name="_Toc460416650"/>
      <w:bookmarkStart w:id="391" w:name="_Toc460857905"/>
      <w:bookmarkStart w:id="392" w:name="_Toc460416601"/>
      <w:bookmarkStart w:id="393" w:name="_Toc460416345"/>
      <w:bookmarkStart w:id="394" w:name="_Toc17707918"/>
      <w:bookmarkStart w:id="395" w:name="_Toc109989358"/>
      <w:r>
        <w:rPr>
          <w:rFonts w:ascii="Times New Roman" w:hAnsi="Times New Roman"/>
          <w:color w:val="000000"/>
          <w:kern w:val="2"/>
          <w:sz w:val="21"/>
          <w:szCs w:val="21"/>
        </w:rPr>
        <w:t>（八）特别说明</w:t>
      </w:r>
      <w:bookmarkEnd w:id="390"/>
      <w:bookmarkEnd w:id="391"/>
      <w:bookmarkEnd w:id="392"/>
      <w:bookmarkEnd w:id="393"/>
      <w:bookmarkEnd w:id="394"/>
      <w:bookmarkEnd w:id="395"/>
    </w:p>
    <w:p>
      <w:pPr>
        <w:pStyle w:val="21"/>
        <w:snapToGrid w:val="0"/>
        <w:spacing w:beforeLines="0" w:afterLines="0" w:line="360" w:lineRule="auto"/>
        <w:ind w:left="2" w:leftChars="1" w:firstLine="422" w:firstLineChars="200"/>
        <w:jc w:val="left"/>
        <w:rPr>
          <w:rFonts w:ascii="Times New Roman" w:hAnsi="Times New Roman"/>
          <w:b/>
          <w:color w:val="000000"/>
          <w:sz w:val="21"/>
          <w:szCs w:val="21"/>
        </w:rPr>
      </w:pPr>
      <w:r>
        <w:rPr>
          <w:rFonts w:ascii="Times New Roman" w:hAnsi="Times New Roman"/>
          <w:b/>
          <w:color w:val="000000"/>
          <w:sz w:val="21"/>
          <w:szCs w:val="21"/>
        </w:rPr>
        <w:t>*1.投标人应仔细阅读采购文件的所有内容，按照采购文件的要求提交投标文件，并对所提供的全部资料的真实性承担法律责任。</w:t>
      </w:r>
    </w:p>
    <w:p>
      <w:pPr>
        <w:pStyle w:val="21"/>
        <w:snapToGrid w:val="0"/>
        <w:spacing w:beforeLines="0" w:afterLines="0" w:line="360" w:lineRule="auto"/>
        <w:ind w:left="2" w:leftChars="1" w:firstLine="422" w:firstLineChars="200"/>
        <w:jc w:val="left"/>
        <w:rPr>
          <w:rFonts w:ascii="Times New Roman" w:hAnsi="Times New Roman"/>
          <w:b/>
          <w:color w:val="000000"/>
          <w:sz w:val="21"/>
          <w:szCs w:val="21"/>
        </w:rPr>
      </w:pPr>
      <w:r>
        <w:rPr>
          <w:rFonts w:ascii="Times New Roman" w:hAnsi="Times New Roman"/>
          <w:b/>
          <w:color w:val="000000"/>
          <w:sz w:val="21"/>
          <w:szCs w:val="21"/>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5"/>
        <w:numPr>
          <w:ilvl w:val="0"/>
          <w:numId w:val="0"/>
        </w:numPr>
        <w:spacing w:before="0" w:after="0" w:line="360" w:lineRule="auto"/>
        <w:rPr>
          <w:rFonts w:ascii="Times New Roman" w:hAnsi="Times New Roman"/>
          <w:color w:val="000000"/>
          <w:kern w:val="2"/>
          <w:sz w:val="21"/>
          <w:szCs w:val="21"/>
        </w:rPr>
      </w:pPr>
      <w:bookmarkStart w:id="396" w:name="_Toc17707919"/>
      <w:bookmarkStart w:id="397" w:name="_Toc109989359"/>
      <w:r>
        <w:rPr>
          <w:rFonts w:ascii="Times New Roman" w:hAnsi="Times New Roman"/>
          <w:color w:val="000000"/>
          <w:kern w:val="2"/>
          <w:sz w:val="21"/>
          <w:szCs w:val="21"/>
        </w:rPr>
        <w:t>（九）关于分公司投标</w:t>
      </w:r>
      <w:bookmarkEnd w:id="396"/>
      <w:bookmarkEnd w:id="397"/>
    </w:p>
    <w:p>
      <w:pPr>
        <w:widowControl/>
        <w:spacing w:line="360" w:lineRule="auto"/>
        <w:ind w:firstLine="420" w:firstLineChars="200"/>
        <w:jc w:val="left"/>
        <w:rPr>
          <w:bCs/>
          <w:szCs w:val="21"/>
        </w:rPr>
      </w:pPr>
      <w:r>
        <w:rPr>
          <w:bCs/>
          <w:szCs w:val="21"/>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pStyle w:val="5"/>
        <w:numPr>
          <w:ilvl w:val="0"/>
          <w:numId w:val="0"/>
        </w:numPr>
        <w:spacing w:before="0" w:after="0" w:line="360" w:lineRule="auto"/>
        <w:rPr>
          <w:rFonts w:ascii="Times New Roman" w:hAnsi="Times New Roman"/>
          <w:color w:val="000000"/>
          <w:kern w:val="2"/>
          <w:sz w:val="21"/>
          <w:szCs w:val="21"/>
        </w:rPr>
      </w:pPr>
      <w:bookmarkStart w:id="398" w:name="_Toc109989360"/>
      <w:bookmarkStart w:id="399" w:name="_Toc17707920"/>
      <w:r>
        <w:rPr>
          <w:rFonts w:ascii="Times New Roman" w:hAnsi="Times New Roman"/>
          <w:color w:val="000000"/>
          <w:kern w:val="2"/>
          <w:sz w:val="21"/>
          <w:szCs w:val="21"/>
        </w:rPr>
        <w:t>（十）关于知识产权</w:t>
      </w:r>
      <w:bookmarkEnd w:id="398"/>
      <w:bookmarkEnd w:id="399"/>
    </w:p>
    <w:p>
      <w:pPr>
        <w:widowControl/>
        <w:snapToGrid w:val="0"/>
        <w:spacing w:line="360" w:lineRule="auto"/>
        <w:ind w:firstLine="420" w:firstLineChars="200"/>
        <w:jc w:val="left"/>
        <w:rPr>
          <w:bCs/>
          <w:szCs w:val="21"/>
        </w:rPr>
      </w:pPr>
      <w:r>
        <w:rPr>
          <w:bCs/>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napToGrid w:val="0"/>
        <w:spacing w:line="360" w:lineRule="auto"/>
        <w:ind w:firstLine="420" w:firstLineChars="200"/>
        <w:jc w:val="left"/>
        <w:rPr>
          <w:bCs/>
          <w:szCs w:val="21"/>
        </w:rPr>
      </w:pPr>
      <w:r>
        <w:rPr>
          <w:bCs/>
          <w:szCs w:val="21"/>
        </w:rPr>
        <w:t>2.投标报价应包含所有应向所有权人支付的专利权、商标权或其它知识产权的一切相关费用。</w:t>
      </w:r>
    </w:p>
    <w:p>
      <w:pPr>
        <w:widowControl/>
        <w:snapToGrid w:val="0"/>
        <w:spacing w:line="360" w:lineRule="auto"/>
        <w:ind w:firstLine="420" w:firstLineChars="200"/>
        <w:jc w:val="left"/>
        <w:rPr>
          <w:bCs/>
          <w:szCs w:val="21"/>
        </w:rPr>
      </w:pPr>
      <w:r>
        <w:rPr>
          <w:bCs/>
          <w:szCs w:val="21"/>
        </w:rPr>
        <w:t>3.系统软件、通用软件必须是具有在中国境内的合法使用权或版权的正版软件，涉及到第三方提出侵权或知识产权的起诉及支付版税等费用由投标人承担所有责任及费用。</w:t>
      </w:r>
    </w:p>
    <w:p>
      <w:pPr>
        <w:pStyle w:val="5"/>
        <w:numPr>
          <w:ilvl w:val="0"/>
          <w:numId w:val="0"/>
        </w:numPr>
        <w:spacing w:before="0" w:after="0" w:line="360" w:lineRule="auto"/>
        <w:rPr>
          <w:rFonts w:ascii="Times New Roman" w:hAnsi="Times New Roman"/>
          <w:color w:val="000000"/>
          <w:kern w:val="2"/>
          <w:sz w:val="21"/>
          <w:szCs w:val="21"/>
        </w:rPr>
      </w:pPr>
      <w:bookmarkStart w:id="400" w:name="_Toc460416346"/>
      <w:bookmarkStart w:id="401" w:name="_Toc460416651"/>
      <w:bookmarkStart w:id="402" w:name="_Toc17707921"/>
      <w:bookmarkStart w:id="403" w:name="_Toc460857906"/>
      <w:bookmarkStart w:id="404" w:name="_Toc460416602"/>
      <w:bookmarkStart w:id="405" w:name="_Toc109989361"/>
      <w:r>
        <w:rPr>
          <w:rFonts w:ascii="Times New Roman" w:hAnsi="Times New Roman"/>
          <w:color w:val="000000"/>
          <w:kern w:val="2"/>
          <w:sz w:val="21"/>
          <w:szCs w:val="21"/>
        </w:rPr>
        <w:t>（十一）质疑和投诉</w:t>
      </w:r>
      <w:bookmarkEnd w:id="400"/>
      <w:bookmarkEnd w:id="401"/>
      <w:bookmarkEnd w:id="402"/>
      <w:bookmarkEnd w:id="403"/>
      <w:bookmarkEnd w:id="404"/>
      <w:bookmarkEnd w:id="405"/>
    </w:p>
    <w:p>
      <w:pPr>
        <w:pStyle w:val="15"/>
        <w:spacing w:after="0" w:line="360" w:lineRule="auto"/>
        <w:ind w:firstLine="420" w:firstLineChars="200"/>
        <w:rPr>
          <w:rFonts w:ascii="Times New Roman" w:hAnsi="Times New Roman"/>
          <w:color w:val="000000"/>
        </w:rPr>
      </w:pPr>
      <w:r>
        <w:rPr>
          <w:rFonts w:ascii="Times New Roman" w:hAnsi="Times New Roman"/>
          <w:color w:val="000000"/>
          <w:sz w:val="21"/>
          <w:szCs w:val="21"/>
        </w:rPr>
        <w:t>1.供应商认为采购文件、采购过程、中标或者成交结果使自己的权益受到损害的，须在应</w:t>
      </w:r>
      <w:r>
        <w:rPr>
          <w:rFonts w:ascii="Times New Roman" w:hAnsi="Times New Roman"/>
          <w:color w:val="000000"/>
          <w:spacing w:val="2"/>
          <w:sz w:val="21"/>
        </w:rPr>
        <w:t>知其利益受损之日起七个工作日内以书面形式向采购人、采购代理机构提出质疑。供应商应当在法定质疑期内一次性提出针对同一采购程序环节的质疑。</w:t>
      </w:r>
    </w:p>
    <w:p>
      <w:pPr>
        <w:tabs>
          <w:tab w:val="left" w:pos="518"/>
        </w:tabs>
        <w:adjustRightInd w:val="0"/>
        <w:snapToGrid w:val="0"/>
        <w:spacing w:line="360" w:lineRule="auto"/>
        <w:ind w:firstLine="420" w:firstLineChars="200"/>
        <w:jc w:val="left"/>
        <w:rPr>
          <w:color w:val="000000"/>
          <w:szCs w:val="21"/>
        </w:rPr>
      </w:pPr>
      <w:r>
        <w:rPr>
          <w:color w:val="000000"/>
          <w:szCs w:val="21"/>
        </w:rPr>
        <w:t>2.</w:t>
      </w:r>
      <w:r>
        <w:rPr>
          <w:color w:val="000000"/>
        </w:rPr>
        <w:t>提出质疑的供应商应当是参与所质疑项目采购活动的供应商。未依法获取采</w:t>
      </w:r>
      <w:r>
        <w:rPr>
          <w:color w:val="000000"/>
          <w:spacing w:val="2"/>
        </w:rPr>
        <w:t>购文件的，不得就采购文件提出质疑；未提交投标文件的供应商，视为与采购结</w:t>
      </w:r>
      <w:r>
        <w:rPr>
          <w:color w:val="000000"/>
        </w:rPr>
        <w:t>果没有利害关系，不得就采购响应截止时间后的采购过程、采购结果提出质疑。</w:t>
      </w:r>
    </w:p>
    <w:p>
      <w:pPr>
        <w:tabs>
          <w:tab w:val="left" w:pos="518"/>
        </w:tabs>
        <w:adjustRightInd w:val="0"/>
        <w:snapToGrid w:val="0"/>
        <w:spacing w:line="360" w:lineRule="auto"/>
        <w:ind w:firstLine="420" w:firstLineChars="200"/>
        <w:jc w:val="left"/>
        <w:rPr>
          <w:color w:val="000000"/>
          <w:szCs w:val="21"/>
        </w:rPr>
      </w:pPr>
      <w:r>
        <w:rPr>
          <w:color w:val="000000"/>
          <w:szCs w:val="21"/>
        </w:rPr>
        <w:t>3.</w:t>
      </w:r>
      <w:r>
        <w:rPr>
          <w:color w:val="000000"/>
        </w:rPr>
        <w:t>供应商提出质疑应当提交质疑函和必要的证明材料，质疑函应当以书面形式</w:t>
      </w:r>
      <w:r>
        <w:rPr>
          <w:color w:val="000000"/>
          <w:szCs w:val="21"/>
        </w:rPr>
        <w:t>（需符合财政部令第94号政府采购质疑和投诉办法要求）</w:t>
      </w:r>
      <w:r>
        <w:rPr>
          <w:color w:val="000000"/>
          <w:spacing w:val="2"/>
        </w:rPr>
        <w:t>提出</w:t>
      </w:r>
      <w:r>
        <w:rPr>
          <w:color w:val="000000"/>
          <w:szCs w:val="21"/>
        </w:rPr>
        <w:t>。</w:t>
      </w:r>
    </w:p>
    <w:p>
      <w:pPr>
        <w:tabs>
          <w:tab w:val="left" w:pos="518"/>
        </w:tabs>
        <w:adjustRightInd w:val="0"/>
        <w:snapToGrid w:val="0"/>
        <w:spacing w:line="360" w:lineRule="auto"/>
        <w:ind w:firstLine="420" w:firstLineChars="200"/>
        <w:jc w:val="left"/>
        <w:rPr>
          <w:color w:val="000000"/>
          <w:szCs w:val="21"/>
        </w:rPr>
      </w:pPr>
      <w:r>
        <w:rPr>
          <w:color w:val="000000"/>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tabs>
          <w:tab w:val="left" w:pos="518"/>
        </w:tabs>
        <w:adjustRightInd w:val="0"/>
        <w:snapToGrid w:val="0"/>
        <w:spacing w:line="360" w:lineRule="auto"/>
        <w:ind w:firstLine="420" w:firstLineChars="200"/>
        <w:jc w:val="left"/>
        <w:rPr>
          <w:color w:val="000000"/>
          <w:szCs w:val="21"/>
        </w:rPr>
      </w:pPr>
      <w:r>
        <w:rPr>
          <w:color w:val="000000"/>
          <w:szCs w:val="21"/>
        </w:rPr>
        <w:t>5.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pPr>
        <w:pStyle w:val="4"/>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406" w:name="_Toc109989362"/>
      <w:bookmarkStart w:id="407" w:name="_Toc460416347"/>
      <w:bookmarkStart w:id="408" w:name="_Toc17707922"/>
      <w:bookmarkStart w:id="409" w:name="_Toc460857907"/>
      <w:bookmarkStart w:id="410" w:name="_Toc460416652"/>
      <w:r>
        <w:rPr>
          <w:rFonts w:ascii="Times New Roman" w:hAnsi="Times New Roman" w:eastAsia="宋体"/>
          <w:color w:val="000000"/>
          <w:sz w:val="21"/>
          <w:szCs w:val="21"/>
        </w:rPr>
        <w:t>二、采购文件</w:t>
      </w:r>
      <w:bookmarkEnd w:id="406"/>
      <w:bookmarkEnd w:id="407"/>
      <w:bookmarkEnd w:id="408"/>
      <w:bookmarkEnd w:id="409"/>
      <w:bookmarkEnd w:id="410"/>
    </w:p>
    <w:p>
      <w:pPr>
        <w:pStyle w:val="5"/>
        <w:numPr>
          <w:ilvl w:val="0"/>
          <w:numId w:val="0"/>
        </w:numPr>
        <w:spacing w:before="0" w:after="0" w:line="360" w:lineRule="auto"/>
        <w:rPr>
          <w:rFonts w:ascii="Times New Roman" w:hAnsi="Times New Roman"/>
          <w:color w:val="000000"/>
          <w:kern w:val="2"/>
          <w:sz w:val="21"/>
          <w:szCs w:val="21"/>
        </w:rPr>
      </w:pPr>
      <w:bookmarkStart w:id="411" w:name="_Toc109989363"/>
      <w:bookmarkStart w:id="412" w:name="_Toc460857908"/>
      <w:bookmarkStart w:id="413" w:name="_Toc17707923"/>
      <w:r>
        <w:rPr>
          <w:rFonts w:ascii="Times New Roman" w:hAnsi="Times New Roman"/>
          <w:color w:val="000000"/>
          <w:kern w:val="2"/>
          <w:sz w:val="21"/>
          <w:szCs w:val="21"/>
        </w:rPr>
        <w:t>（一）采购文件的构成</w:t>
      </w:r>
      <w:bookmarkEnd w:id="411"/>
    </w:p>
    <w:p>
      <w:pPr>
        <w:spacing w:line="360" w:lineRule="auto"/>
        <w:ind w:firstLine="422" w:firstLineChars="201"/>
        <w:rPr>
          <w:color w:val="000000"/>
          <w:szCs w:val="21"/>
        </w:rPr>
      </w:pPr>
      <w:r>
        <w:rPr>
          <w:color w:val="000000"/>
          <w:szCs w:val="21"/>
        </w:rPr>
        <w:t>本采购文件由以下部分组成：</w:t>
      </w:r>
      <w:bookmarkEnd w:id="412"/>
      <w:bookmarkEnd w:id="413"/>
    </w:p>
    <w:p>
      <w:pPr>
        <w:snapToGrid w:val="0"/>
        <w:spacing w:line="360" w:lineRule="auto"/>
        <w:ind w:firstLine="420" w:firstLineChars="200"/>
        <w:jc w:val="left"/>
        <w:rPr>
          <w:color w:val="000000"/>
          <w:szCs w:val="21"/>
        </w:rPr>
      </w:pPr>
      <w:r>
        <w:rPr>
          <w:color w:val="000000"/>
          <w:szCs w:val="21"/>
        </w:rPr>
        <w:t>1.公开招标采购公告</w:t>
      </w:r>
    </w:p>
    <w:p>
      <w:pPr>
        <w:snapToGrid w:val="0"/>
        <w:spacing w:line="360" w:lineRule="auto"/>
        <w:ind w:firstLine="420" w:firstLineChars="200"/>
        <w:jc w:val="left"/>
        <w:rPr>
          <w:color w:val="000000"/>
          <w:szCs w:val="21"/>
        </w:rPr>
      </w:pPr>
      <w:r>
        <w:rPr>
          <w:color w:val="000000"/>
          <w:szCs w:val="21"/>
        </w:rPr>
        <w:t>2.采购需求</w:t>
      </w:r>
    </w:p>
    <w:p>
      <w:pPr>
        <w:snapToGrid w:val="0"/>
        <w:spacing w:line="360" w:lineRule="auto"/>
        <w:ind w:firstLine="420" w:firstLineChars="200"/>
        <w:jc w:val="left"/>
        <w:rPr>
          <w:color w:val="000000"/>
          <w:szCs w:val="21"/>
        </w:rPr>
      </w:pPr>
      <w:r>
        <w:rPr>
          <w:color w:val="000000"/>
          <w:szCs w:val="21"/>
        </w:rPr>
        <w:t>3.供应商须知</w:t>
      </w:r>
    </w:p>
    <w:p>
      <w:pPr>
        <w:snapToGrid w:val="0"/>
        <w:spacing w:line="360" w:lineRule="auto"/>
        <w:ind w:firstLine="420" w:firstLineChars="200"/>
        <w:jc w:val="left"/>
        <w:rPr>
          <w:color w:val="000000"/>
          <w:szCs w:val="21"/>
        </w:rPr>
      </w:pPr>
      <w:r>
        <w:rPr>
          <w:color w:val="000000"/>
          <w:szCs w:val="21"/>
        </w:rPr>
        <w:t>4.评标办法及评分标准</w:t>
      </w:r>
    </w:p>
    <w:p>
      <w:pPr>
        <w:snapToGrid w:val="0"/>
        <w:spacing w:line="360" w:lineRule="auto"/>
        <w:ind w:firstLine="420" w:firstLineChars="200"/>
        <w:jc w:val="left"/>
        <w:rPr>
          <w:color w:val="000000"/>
          <w:szCs w:val="21"/>
        </w:rPr>
      </w:pPr>
      <w:r>
        <w:rPr>
          <w:color w:val="000000"/>
          <w:szCs w:val="21"/>
        </w:rPr>
        <w:t>5.政府采购合同主要条款</w:t>
      </w:r>
    </w:p>
    <w:p>
      <w:pPr>
        <w:snapToGrid w:val="0"/>
        <w:spacing w:line="360" w:lineRule="auto"/>
        <w:ind w:firstLine="420" w:firstLineChars="200"/>
        <w:jc w:val="left"/>
        <w:rPr>
          <w:color w:val="000000"/>
          <w:szCs w:val="21"/>
        </w:rPr>
      </w:pPr>
      <w:r>
        <w:rPr>
          <w:color w:val="000000"/>
          <w:szCs w:val="21"/>
        </w:rPr>
        <w:t>6.投标文件格式</w:t>
      </w:r>
    </w:p>
    <w:p>
      <w:pPr>
        <w:snapToGrid w:val="0"/>
        <w:spacing w:line="360" w:lineRule="auto"/>
        <w:ind w:firstLine="420" w:firstLineChars="200"/>
        <w:jc w:val="left"/>
        <w:rPr>
          <w:color w:val="000000"/>
          <w:szCs w:val="21"/>
        </w:rPr>
      </w:pPr>
      <w:r>
        <w:rPr>
          <w:color w:val="000000"/>
          <w:szCs w:val="21"/>
        </w:rPr>
        <w:t>7.本项目采购文件的澄清、答复、修改、补充的内容</w:t>
      </w:r>
    </w:p>
    <w:p>
      <w:pPr>
        <w:pStyle w:val="5"/>
        <w:numPr>
          <w:ilvl w:val="0"/>
          <w:numId w:val="0"/>
        </w:numPr>
        <w:spacing w:before="0" w:after="0" w:line="360" w:lineRule="auto"/>
        <w:rPr>
          <w:rFonts w:ascii="Times New Roman" w:hAnsi="Times New Roman"/>
          <w:color w:val="000000"/>
          <w:kern w:val="2"/>
          <w:sz w:val="21"/>
          <w:szCs w:val="21"/>
        </w:rPr>
      </w:pPr>
      <w:bookmarkStart w:id="414" w:name="_Toc17707924"/>
      <w:bookmarkStart w:id="415" w:name="_Toc109989364"/>
      <w:bookmarkStart w:id="416" w:name="_Toc460857909"/>
      <w:r>
        <w:rPr>
          <w:rFonts w:ascii="Times New Roman" w:hAnsi="Times New Roman"/>
          <w:color w:val="000000"/>
          <w:kern w:val="2"/>
          <w:sz w:val="21"/>
          <w:szCs w:val="21"/>
        </w:rPr>
        <w:t>（二）供应商的风险</w:t>
      </w:r>
      <w:bookmarkEnd w:id="414"/>
      <w:bookmarkEnd w:id="415"/>
      <w:bookmarkEnd w:id="416"/>
    </w:p>
    <w:p>
      <w:pPr>
        <w:pStyle w:val="33"/>
        <w:numPr>
          <w:ilvl w:val="0"/>
          <w:numId w:val="0"/>
        </w:numPr>
        <w:spacing w:line="360" w:lineRule="auto"/>
        <w:ind w:firstLine="420" w:firstLineChars="200"/>
        <w:rPr>
          <w:rFonts w:ascii="Times New Roman" w:hAnsi="Times New Roman" w:eastAsia="宋体"/>
          <w:sz w:val="21"/>
          <w:szCs w:val="21"/>
        </w:rPr>
      </w:pPr>
      <w:r>
        <w:rPr>
          <w:rFonts w:ascii="Times New Roman" w:hAnsi="Times New Roman" w:eastAsia="宋体"/>
          <w:sz w:val="21"/>
          <w:szCs w:val="21"/>
        </w:rPr>
        <w:t>1、供应商没有按照采购文件要求提供全部资料，或者供应商没有对采购文件在各方面作出实质性响应是供应商的风险，并可能导致其投标被拒绝。</w:t>
      </w:r>
    </w:p>
    <w:p>
      <w:pPr>
        <w:pStyle w:val="33"/>
        <w:numPr>
          <w:ilvl w:val="0"/>
          <w:numId w:val="0"/>
        </w:numPr>
        <w:spacing w:line="360" w:lineRule="auto"/>
        <w:ind w:firstLine="420" w:firstLineChars="200"/>
        <w:rPr>
          <w:rFonts w:ascii="Times New Roman" w:hAnsi="Times New Roman" w:eastAsia="宋体"/>
          <w:sz w:val="21"/>
          <w:szCs w:val="21"/>
        </w:rPr>
      </w:pPr>
      <w:r>
        <w:rPr>
          <w:rFonts w:ascii="Times New Roman" w:hAnsi="Times New Roman" w:eastAsia="宋体"/>
          <w:sz w:val="21"/>
          <w:szCs w:val="21"/>
        </w:rPr>
        <w:t>2、采购文件中标注“</w:t>
      </w:r>
      <w:r>
        <w:rPr>
          <w:rFonts w:ascii="Times New Roman" w:hAnsi="Times New Roman" w:eastAsia="宋体"/>
          <w:b/>
          <w:sz w:val="21"/>
          <w:szCs w:val="21"/>
        </w:rPr>
        <w:t>*</w:t>
      </w:r>
      <w:r>
        <w:rPr>
          <w:rFonts w:ascii="Times New Roman" w:hAnsi="Times New Roman" w:eastAsia="宋体"/>
          <w:sz w:val="21"/>
          <w:szCs w:val="21"/>
        </w:rPr>
        <w:t>”号的为要求供应商作实质性响应的重要商务或技术条款，供应商的投标对任何带“</w:t>
      </w:r>
      <w:r>
        <w:rPr>
          <w:rFonts w:ascii="Times New Roman" w:hAnsi="Times New Roman" w:eastAsia="宋体"/>
          <w:b/>
          <w:sz w:val="21"/>
          <w:szCs w:val="21"/>
        </w:rPr>
        <w:t>*</w:t>
      </w:r>
      <w:r>
        <w:rPr>
          <w:rFonts w:ascii="Times New Roman" w:hAnsi="Times New Roman" w:eastAsia="宋体"/>
          <w:sz w:val="21"/>
          <w:szCs w:val="21"/>
        </w:rPr>
        <w:t>”号的重要商务或技术条款的偏离或未作实质性响应都将直接导致投标被拒绝或评定为无效投标。</w:t>
      </w:r>
    </w:p>
    <w:p>
      <w:pPr>
        <w:pStyle w:val="5"/>
        <w:numPr>
          <w:ilvl w:val="0"/>
          <w:numId w:val="0"/>
        </w:numPr>
        <w:spacing w:before="0" w:after="0" w:line="360" w:lineRule="auto"/>
        <w:rPr>
          <w:rFonts w:ascii="Times New Roman" w:hAnsi="Times New Roman"/>
          <w:color w:val="000000"/>
          <w:kern w:val="2"/>
          <w:sz w:val="21"/>
          <w:szCs w:val="21"/>
        </w:rPr>
      </w:pPr>
      <w:bookmarkStart w:id="417" w:name="_Toc17707925"/>
      <w:bookmarkStart w:id="418" w:name="_Toc109989365"/>
      <w:bookmarkStart w:id="419" w:name="_Toc460857910"/>
      <w:r>
        <w:rPr>
          <w:rFonts w:ascii="Times New Roman" w:hAnsi="Times New Roman"/>
          <w:color w:val="000000"/>
          <w:kern w:val="2"/>
          <w:sz w:val="21"/>
          <w:szCs w:val="21"/>
        </w:rPr>
        <w:t>（三）采购文件的澄清与修改</w:t>
      </w:r>
      <w:bookmarkEnd w:id="417"/>
      <w:bookmarkEnd w:id="418"/>
      <w:bookmarkEnd w:id="419"/>
    </w:p>
    <w:p>
      <w:pPr>
        <w:pStyle w:val="15"/>
        <w:tabs>
          <w:tab w:val="left" w:pos="948"/>
        </w:tabs>
        <w:spacing w:after="0" w:line="360" w:lineRule="auto"/>
        <w:ind w:firstLine="420" w:firstLineChars="200"/>
        <w:rPr>
          <w:rFonts w:ascii="Times New Roman" w:hAnsi="Times New Roman"/>
          <w:color w:val="000000"/>
          <w:sz w:val="21"/>
          <w:szCs w:val="21"/>
        </w:rPr>
      </w:pPr>
      <w:bookmarkStart w:id="420" w:name="_Toc460416348"/>
      <w:bookmarkStart w:id="421" w:name="_Toc460857912"/>
      <w:bookmarkStart w:id="422" w:name="_Toc460416653"/>
      <w:r>
        <w:rPr>
          <w:rFonts w:ascii="Times New Roman" w:hAnsi="Times New Roman"/>
          <w:color w:val="000000"/>
          <w:sz w:val="21"/>
          <w:szCs w:val="21"/>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pPr>
        <w:pStyle w:val="15"/>
        <w:tabs>
          <w:tab w:val="left" w:pos="948"/>
        </w:tabs>
        <w:spacing w:after="0"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pPr>
        <w:pStyle w:val="15"/>
        <w:tabs>
          <w:tab w:val="left" w:pos="948"/>
        </w:tabs>
        <w:spacing w:after="0"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因潜在投标人原因或通讯线路故障导致通知逾期送达或无法送达，采购代理机构不因此承担任何责任，有关的招标采购活动可以继续有效进行。</w:t>
      </w:r>
    </w:p>
    <w:p>
      <w:pPr>
        <w:pStyle w:val="15"/>
        <w:tabs>
          <w:tab w:val="left" w:pos="948"/>
        </w:tabs>
        <w:spacing w:after="0" w:line="360" w:lineRule="auto"/>
        <w:ind w:firstLine="420" w:firstLineChars="200"/>
        <w:rPr>
          <w:rFonts w:ascii="Times New Roman" w:hAnsi="Times New Roman"/>
          <w:color w:val="000000"/>
          <w:sz w:val="21"/>
          <w:szCs w:val="21"/>
        </w:rPr>
      </w:pPr>
      <w:r>
        <w:rPr>
          <w:rFonts w:ascii="Times New Roman" w:hAnsi="Times New Roman"/>
          <w:color w:val="000000"/>
          <w:sz w:val="21"/>
          <w:szCs w:val="21"/>
        </w:rPr>
        <w:t>3.如更正公告有重新发布电子采购文件的，投标人应下载最新发布的电子采购文件制作投标文件。</w:t>
      </w:r>
    </w:p>
    <w:p>
      <w:pPr>
        <w:pStyle w:val="15"/>
        <w:tabs>
          <w:tab w:val="left" w:pos="948"/>
        </w:tabs>
        <w:spacing w:after="0" w:line="360" w:lineRule="auto"/>
        <w:ind w:firstLine="420" w:firstLineChars="200"/>
        <w:rPr>
          <w:rFonts w:ascii="Times New Roman" w:hAnsi="Times New Roman"/>
          <w:color w:val="000000"/>
          <w:szCs w:val="21"/>
        </w:rPr>
      </w:pPr>
      <w:r>
        <w:rPr>
          <w:rFonts w:ascii="Times New Roman" w:hAnsi="Times New Roman"/>
          <w:color w:val="000000"/>
          <w:sz w:val="21"/>
          <w:szCs w:val="21"/>
        </w:rPr>
        <w:t>4.投标人在规定的时间内未对采购文件提出疑问、质疑或要求澄清的，将视其为无异议。对采购文件中描述有歧义或前后不一致的地方，评标委员会有权进行评判，但对同一条款的评判应适用于每个投标人。</w:t>
      </w:r>
    </w:p>
    <w:p>
      <w:pPr>
        <w:pStyle w:val="4"/>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423" w:name="_Toc17707926"/>
      <w:bookmarkStart w:id="424" w:name="_Toc109989366"/>
      <w:r>
        <w:rPr>
          <w:rFonts w:ascii="Times New Roman" w:hAnsi="Times New Roman" w:eastAsia="宋体"/>
          <w:color w:val="000000"/>
          <w:sz w:val="21"/>
          <w:szCs w:val="21"/>
        </w:rPr>
        <w:t>三、投标文件的编制</w:t>
      </w:r>
      <w:bookmarkEnd w:id="420"/>
      <w:bookmarkEnd w:id="421"/>
      <w:bookmarkEnd w:id="422"/>
      <w:bookmarkEnd w:id="423"/>
      <w:bookmarkEnd w:id="424"/>
    </w:p>
    <w:p>
      <w:r>
        <w:t>供应商应按照采购文件的要求编制投标文件，并对采购文件提出的要求和条件作出实质性响应。</w:t>
      </w:r>
    </w:p>
    <w:p>
      <w:pPr>
        <w:pStyle w:val="5"/>
        <w:numPr>
          <w:ilvl w:val="0"/>
          <w:numId w:val="0"/>
        </w:numPr>
        <w:spacing w:before="0" w:after="0" w:line="360" w:lineRule="auto"/>
        <w:rPr>
          <w:rFonts w:ascii="Times New Roman" w:hAnsi="Times New Roman"/>
          <w:color w:val="000000"/>
          <w:kern w:val="2"/>
          <w:sz w:val="21"/>
          <w:szCs w:val="21"/>
        </w:rPr>
      </w:pPr>
      <w:bookmarkStart w:id="425" w:name="_Toc460857913"/>
      <w:bookmarkStart w:id="426" w:name="_Toc109989367"/>
      <w:bookmarkStart w:id="427" w:name="_Toc460416654"/>
      <w:bookmarkStart w:id="428" w:name="_Toc460416349"/>
      <w:bookmarkStart w:id="429" w:name="_Toc17707927"/>
      <w:r>
        <w:rPr>
          <w:rFonts w:ascii="Times New Roman" w:hAnsi="Times New Roman"/>
          <w:color w:val="000000"/>
          <w:kern w:val="2"/>
          <w:sz w:val="21"/>
          <w:szCs w:val="21"/>
        </w:rPr>
        <w:t>（一）投标文件的组成</w:t>
      </w:r>
      <w:bookmarkEnd w:id="425"/>
      <w:bookmarkEnd w:id="426"/>
      <w:bookmarkEnd w:id="427"/>
      <w:bookmarkEnd w:id="428"/>
      <w:bookmarkEnd w:id="429"/>
    </w:p>
    <w:p>
      <w:pPr>
        <w:snapToGrid w:val="0"/>
        <w:spacing w:line="360" w:lineRule="auto"/>
        <w:ind w:firstLine="420" w:firstLineChars="200"/>
        <w:jc w:val="left"/>
        <w:rPr>
          <w:color w:val="000000"/>
          <w:szCs w:val="21"/>
        </w:rPr>
      </w:pPr>
      <w:r>
        <w:rPr>
          <w:szCs w:val="21"/>
        </w:rPr>
        <w:t>投标文件由资格证明部分、商务技术部分、投标报价部分组成。</w:t>
      </w:r>
    </w:p>
    <w:p>
      <w:pPr>
        <w:tabs>
          <w:tab w:val="left" w:pos="0"/>
        </w:tabs>
        <w:snapToGrid w:val="0"/>
        <w:spacing w:line="360" w:lineRule="auto"/>
        <w:ind w:left="413"/>
        <w:rPr>
          <w:b/>
          <w:szCs w:val="21"/>
        </w:rPr>
      </w:pPr>
      <w:r>
        <w:rPr>
          <w:b/>
          <w:szCs w:val="21"/>
        </w:rPr>
        <w:t>资格证明文件：</w:t>
      </w:r>
    </w:p>
    <w:p>
      <w:pPr>
        <w:spacing w:line="360" w:lineRule="auto"/>
        <w:ind w:firstLine="420" w:firstLineChars="200"/>
        <w:rPr>
          <w:szCs w:val="21"/>
        </w:rPr>
      </w:pPr>
      <w:r>
        <w:rPr>
          <w:szCs w:val="21"/>
        </w:rPr>
        <w:t>（1）</w:t>
      </w:r>
      <w:r>
        <w:rPr>
          <w:rFonts w:hint="eastAsia"/>
          <w:szCs w:val="21"/>
        </w:rPr>
        <w:t>有效的企业法人营业执照（或事业法人登记证）、其他组织（个体工商户）的营业执照或者民办非企业单位登记证书复印件（复印件加盖公章）</w:t>
      </w:r>
      <w:r>
        <w:rPr>
          <w:szCs w:val="21"/>
        </w:rPr>
        <w:t>；</w:t>
      </w:r>
    </w:p>
    <w:p>
      <w:pPr>
        <w:spacing w:line="360" w:lineRule="auto"/>
        <w:ind w:firstLine="420" w:firstLineChars="200"/>
        <w:rPr>
          <w:szCs w:val="21"/>
        </w:rPr>
      </w:pPr>
      <w:r>
        <w:rPr>
          <w:szCs w:val="21"/>
        </w:rPr>
        <w:t>（2）</w:t>
      </w:r>
      <w:r>
        <w:rPr>
          <w:rFonts w:hint="eastAsia"/>
          <w:szCs w:val="21"/>
        </w:rPr>
        <w:t>投标人资格声明函</w:t>
      </w:r>
      <w:r>
        <w:rPr>
          <w:szCs w:val="21"/>
        </w:rPr>
        <w:t>（格式见附件）；</w:t>
      </w:r>
    </w:p>
    <w:p>
      <w:pPr>
        <w:spacing w:line="360" w:lineRule="auto"/>
        <w:ind w:firstLine="420" w:firstLineChars="200"/>
        <w:rPr>
          <w:szCs w:val="21"/>
        </w:rPr>
      </w:pPr>
      <w:r>
        <w:rPr>
          <w:szCs w:val="21"/>
        </w:rPr>
        <w:t>（3）特定的资格要求：无。</w:t>
      </w:r>
    </w:p>
    <w:p>
      <w:pPr>
        <w:snapToGrid w:val="0"/>
        <w:spacing w:line="360" w:lineRule="auto"/>
        <w:ind w:firstLine="413" w:firstLineChars="196"/>
        <w:jc w:val="left"/>
        <w:rPr>
          <w:szCs w:val="21"/>
        </w:rPr>
      </w:pPr>
      <w:r>
        <w:rPr>
          <w:b/>
          <w:bCs/>
          <w:szCs w:val="21"/>
        </w:rPr>
        <w:t>商务技术部分：</w:t>
      </w:r>
    </w:p>
    <w:p>
      <w:pPr>
        <w:tabs>
          <w:tab w:val="left" w:pos="518"/>
        </w:tabs>
        <w:adjustRightInd w:val="0"/>
        <w:snapToGrid w:val="0"/>
        <w:spacing w:line="360" w:lineRule="auto"/>
        <w:ind w:firstLine="420" w:firstLineChars="200"/>
        <w:jc w:val="left"/>
        <w:rPr>
          <w:szCs w:val="21"/>
        </w:rPr>
      </w:pPr>
      <w:r>
        <w:rPr>
          <w:szCs w:val="21"/>
        </w:rPr>
        <w:t>（1）法定代表人的身份证明或法定代表人授权书【供应商的代表若为非法定代表人的，必须提交法定代表人授权书及授权代表首次开标之日前</w:t>
      </w:r>
      <w:r>
        <w:rPr>
          <w:rFonts w:hint="eastAsia"/>
          <w:szCs w:val="21"/>
        </w:rPr>
        <w:t>近三个月内任意一个月</w:t>
      </w:r>
      <w:r>
        <w:rPr>
          <w:szCs w:val="21"/>
        </w:rPr>
        <w:t>供应商所缴纳社保证明（均加盖公章），格式见附件】</w:t>
      </w:r>
      <w:r>
        <w:rPr>
          <w:rFonts w:hint="eastAsia"/>
          <w:szCs w:val="21"/>
        </w:rPr>
        <w:t>；</w:t>
      </w:r>
    </w:p>
    <w:p>
      <w:pPr>
        <w:tabs>
          <w:tab w:val="left" w:pos="518"/>
        </w:tabs>
        <w:adjustRightInd w:val="0"/>
        <w:snapToGrid w:val="0"/>
        <w:spacing w:line="360" w:lineRule="auto"/>
        <w:ind w:firstLine="420" w:firstLineChars="200"/>
        <w:jc w:val="left"/>
        <w:rPr>
          <w:szCs w:val="21"/>
        </w:rPr>
      </w:pPr>
      <w:r>
        <w:rPr>
          <w:szCs w:val="21"/>
        </w:rPr>
        <w:t>（2）供应商基本情况说明（格式见附件</w:t>
      </w:r>
      <w:r>
        <w:rPr>
          <w:rFonts w:hint="eastAsia"/>
          <w:szCs w:val="21"/>
        </w:rPr>
        <w:t>）；</w:t>
      </w:r>
    </w:p>
    <w:p>
      <w:pPr>
        <w:tabs>
          <w:tab w:val="left" w:pos="518"/>
        </w:tabs>
        <w:adjustRightInd w:val="0"/>
        <w:snapToGrid w:val="0"/>
        <w:spacing w:line="360" w:lineRule="auto"/>
        <w:ind w:firstLine="420" w:firstLineChars="200"/>
        <w:jc w:val="left"/>
        <w:rPr>
          <w:szCs w:val="21"/>
        </w:rPr>
      </w:pPr>
      <w:r>
        <w:rPr>
          <w:szCs w:val="21"/>
        </w:rPr>
        <w:t>（3）商务条款偏离表</w:t>
      </w:r>
      <w:r>
        <w:rPr>
          <w:rFonts w:hint="eastAsia"/>
          <w:szCs w:val="21"/>
        </w:rPr>
        <w:t>（</w:t>
      </w:r>
      <w:r>
        <w:rPr>
          <w:szCs w:val="21"/>
        </w:rPr>
        <w:t>格式见附件</w:t>
      </w:r>
      <w:r>
        <w:rPr>
          <w:rFonts w:hint="eastAsia"/>
          <w:szCs w:val="21"/>
        </w:rPr>
        <w:t>）；</w:t>
      </w:r>
    </w:p>
    <w:p>
      <w:pPr>
        <w:tabs>
          <w:tab w:val="left" w:pos="518"/>
        </w:tabs>
        <w:adjustRightInd w:val="0"/>
        <w:snapToGrid w:val="0"/>
        <w:spacing w:line="360" w:lineRule="auto"/>
        <w:ind w:firstLine="420" w:firstLineChars="200"/>
        <w:jc w:val="left"/>
        <w:rPr>
          <w:szCs w:val="21"/>
        </w:rPr>
      </w:pPr>
      <w:r>
        <w:rPr>
          <w:szCs w:val="21"/>
        </w:rPr>
        <w:t>（</w:t>
      </w:r>
      <w:r>
        <w:rPr>
          <w:rFonts w:hint="eastAsia"/>
          <w:szCs w:val="21"/>
        </w:rPr>
        <w:t>4</w:t>
      </w:r>
      <w:r>
        <w:rPr>
          <w:szCs w:val="21"/>
        </w:rPr>
        <w:t>）类似项目业绩表（格式见附件）；</w:t>
      </w:r>
    </w:p>
    <w:p>
      <w:pPr>
        <w:tabs>
          <w:tab w:val="left" w:pos="518"/>
        </w:tabs>
        <w:adjustRightInd w:val="0"/>
        <w:snapToGrid w:val="0"/>
        <w:spacing w:line="360" w:lineRule="auto"/>
        <w:ind w:firstLine="420" w:firstLineChars="200"/>
        <w:jc w:val="left"/>
        <w:rPr>
          <w:szCs w:val="21"/>
        </w:rPr>
      </w:pPr>
      <w:r>
        <w:rPr>
          <w:szCs w:val="21"/>
        </w:rPr>
        <w:t>（</w:t>
      </w:r>
      <w:r>
        <w:rPr>
          <w:rFonts w:hint="eastAsia"/>
          <w:szCs w:val="21"/>
        </w:rPr>
        <w:t>5</w:t>
      </w:r>
      <w:r>
        <w:rPr>
          <w:szCs w:val="21"/>
        </w:rPr>
        <w:t>）项目人员配置表（格式见附件）；</w:t>
      </w:r>
    </w:p>
    <w:p>
      <w:pPr>
        <w:tabs>
          <w:tab w:val="left" w:pos="518"/>
        </w:tabs>
        <w:adjustRightInd w:val="0"/>
        <w:snapToGrid w:val="0"/>
        <w:spacing w:line="360" w:lineRule="auto"/>
        <w:ind w:firstLine="420" w:firstLineChars="200"/>
        <w:jc w:val="left"/>
        <w:rPr>
          <w:szCs w:val="21"/>
        </w:rPr>
      </w:pPr>
      <w:r>
        <w:rPr>
          <w:szCs w:val="21"/>
        </w:rPr>
        <w:t>（</w:t>
      </w:r>
      <w:r>
        <w:rPr>
          <w:rFonts w:hint="eastAsia"/>
          <w:szCs w:val="21"/>
        </w:rPr>
        <w:t>6</w:t>
      </w:r>
      <w:r>
        <w:rPr>
          <w:szCs w:val="21"/>
        </w:rPr>
        <w:t>）项目</w:t>
      </w:r>
      <w:r>
        <w:rPr>
          <w:rFonts w:hint="eastAsia"/>
          <w:szCs w:val="21"/>
        </w:rPr>
        <w:t>总</w:t>
      </w:r>
      <w:r>
        <w:rPr>
          <w:szCs w:val="21"/>
        </w:rPr>
        <w:t>负责人简历表（格式见附件）；</w:t>
      </w:r>
    </w:p>
    <w:p>
      <w:pPr>
        <w:tabs>
          <w:tab w:val="left" w:pos="518"/>
        </w:tabs>
        <w:adjustRightInd w:val="0"/>
        <w:snapToGrid w:val="0"/>
        <w:spacing w:line="360" w:lineRule="auto"/>
        <w:ind w:firstLine="420" w:firstLineChars="200"/>
        <w:jc w:val="left"/>
        <w:rPr>
          <w:szCs w:val="21"/>
        </w:rPr>
      </w:pPr>
      <w:r>
        <w:rPr>
          <w:szCs w:val="21"/>
        </w:rPr>
        <w:t>（</w:t>
      </w:r>
      <w:r>
        <w:rPr>
          <w:rFonts w:hint="eastAsia"/>
          <w:szCs w:val="21"/>
        </w:rPr>
        <w:t>7</w:t>
      </w:r>
      <w:r>
        <w:rPr>
          <w:szCs w:val="21"/>
        </w:rPr>
        <w:t>）项目</w:t>
      </w:r>
      <w:r>
        <w:rPr>
          <w:rFonts w:hint="eastAsia"/>
          <w:szCs w:val="21"/>
        </w:rPr>
        <w:t>技术</w:t>
      </w:r>
      <w:r>
        <w:rPr>
          <w:szCs w:val="21"/>
        </w:rPr>
        <w:t>负责人简历表（格式见附件）；</w:t>
      </w:r>
    </w:p>
    <w:p>
      <w:pPr>
        <w:tabs>
          <w:tab w:val="left" w:pos="518"/>
        </w:tabs>
        <w:adjustRightInd w:val="0"/>
        <w:snapToGrid w:val="0"/>
        <w:spacing w:line="360" w:lineRule="auto"/>
        <w:ind w:firstLine="420" w:firstLineChars="200"/>
        <w:jc w:val="left"/>
        <w:rPr>
          <w:szCs w:val="21"/>
        </w:rPr>
      </w:pPr>
      <w:r>
        <w:rPr>
          <w:szCs w:val="21"/>
        </w:rPr>
        <w:t>（</w:t>
      </w:r>
      <w:r>
        <w:rPr>
          <w:rFonts w:hint="eastAsia"/>
          <w:szCs w:val="21"/>
        </w:rPr>
        <w:t>8</w:t>
      </w:r>
      <w:r>
        <w:rPr>
          <w:szCs w:val="21"/>
        </w:rPr>
        <w:t>）服务方案及服务承诺；</w:t>
      </w:r>
    </w:p>
    <w:p>
      <w:pPr>
        <w:tabs>
          <w:tab w:val="left" w:pos="518"/>
        </w:tabs>
        <w:adjustRightInd w:val="0"/>
        <w:snapToGrid w:val="0"/>
        <w:spacing w:line="360" w:lineRule="auto"/>
        <w:ind w:firstLine="420" w:firstLineChars="200"/>
        <w:jc w:val="left"/>
        <w:rPr>
          <w:szCs w:val="21"/>
        </w:rPr>
      </w:pPr>
      <w:r>
        <w:rPr>
          <w:szCs w:val="21"/>
        </w:rPr>
        <w:t>（</w:t>
      </w:r>
      <w:r>
        <w:rPr>
          <w:rFonts w:hint="eastAsia"/>
          <w:szCs w:val="21"/>
        </w:rPr>
        <w:t>9</w:t>
      </w:r>
      <w:r>
        <w:rPr>
          <w:szCs w:val="21"/>
        </w:rPr>
        <w:t>）供应商认为有必要提交的其他商务技术说明文件和资料</w:t>
      </w:r>
      <w:r>
        <w:rPr>
          <w:rFonts w:hint="eastAsia"/>
          <w:szCs w:val="21"/>
        </w:rPr>
        <w:t>；</w:t>
      </w:r>
    </w:p>
    <w:p>
      <w:pPr>
        <w:tabs>
          <w:tab w:val="left" w:pos="518"/>
        </w:tabs>
        <w:adjustRightInd w:val="0"/>
        <w:snapToGrid w:val="0"/>
        <w:spacing w:line="360" w:lineRule="auto"/>
        <w:ind w:firstLine="420" w:firstLineChars="200"/>
        <w:jc w:val="left"/>
        <w:rPr>
          <w:szCs w:val="21"/>
        </w:rPr>
      </w:pPr>
      <w:r>
        <w:rPr>
          <w:szCs w:val="21"/>
        </w:rPr>
        <w:t>（</w:t>
      </w:r>
      <w:r>
        <w:rPr>
          <w:rFonts w:hint="eastAsia"/>
          <w:szCs w:val="21"/>
        </w:rPr>
        <w:t>10</w:t>
      </w:r>
      <w:r>
        <w:rPr>
          <w:szCs w:val="21"/>
        </w:rPr>
        <w:t>）相关管理体系认证证书</w:t>
      </w:r>
      <w:r>
        <w:rPr>
          <w:rFonts w:hint="eastAsia"/>
          <w:szCs w:val="21"/>
        </w:rPr>
        <w:t>；</w:t>
      </w:r>
    </w:p>
    <w:p>
      <w:pPr>
        <w:tabs>
          <w:tab w:val="left" w:pos="518"/>
        </w:tabs>
        <w:adjustRightInd w:val="0"/>
        <w:snapToGrid w:val="0"/>
        <w:spacing w:line="360" w:lineRule="auto"/>
        <w:ind w:firstLine="420" w:firstLineChars="200"/>
        <w:jc w:val="left"/>
        <w:rPr>
          <w:szCs w:val="21"/>
        </w:rPr>
      </w:pPr>
      <w:r>
        <w:rPr>
          <w:szCs w:val="21"/>
        </w:rPr>
        <w:t>（1</w:t>
      </w:r>
      <w:r>
        <w:rPr>
          <w:rFonts w:hint="eastAsia"/>
          <w:szCs w:val="21"/>
        </w:rPr>
        <w:t>1</w:t>
      </w:r>
      <w:r>
        <w:rPr>
          <w:szCs w:val="21"/>
        </w:rPr>
        <w:t>）业绩合同</w:t>
      </w:r>
      <w:r>
        <w:rPr>
          <w:rFonts w:hint="eastAsia"/>
          <w:szCs w:val="21"/>
        </w:rPr>
        <w:t>；</w:t>
      </w:r>
    </w:p>
    <w:p>
      <w:pPr>
        <w:tabs>
          <w:tab w:val="left" w:pos="518"/>
        </w:tabs>
        <w:adjustRightInd w:val="0"/>
        <w:snapToGrid w:val="0"/>
        <w:spacing w:line="360" w:lineRule="auto"/>
        <w:ind w:firstLine="420" w:firstLineChars="200"/>
        <w:jc w:val="left"/>
        <w:rPr>
          <w:szCs w:val="21"/>
        </w:rPr>
      </w:pPr>
      <w:r>
        <w:rPr>
          <w:szCs w:val="21"/>
        </w:rPr>
        <w:t>（1</w:t>
      </w:r>
      <w:r>
        <w:rPr>
          <w:rFonts w:hint="eastAsia"/>
          <w:szCs w:val="21"/>
        </w:rPr>
        <w:t>2</w:t>
      </w:r>
      <w:r>
        <w:rPr>
          <w:szCs w:val="21"/>
        </w:rPr>
        <w:t>）政策加分说明</w:t>
      </w:r>
      <w:r>
        <w:rPr>
          <w:rFonts w:hint="eastAsia"/>
          <w:szCs w:val="21"/>
        </w:rPr>
        <w:t>；</w:t>
      </w:r>
    </w:p>
    <w:p>
      <w:pPr>
        <w:tabs>
          <w:tab w:val="left" w:pos="518"/>
        </w:tabs>
        <w:adjustRightInd w:val="0"/>
        <w:snapToGrid w:val="0"/>
        <w:spacing w:line="360" w:lineRule="auto"/>
        <w:ind w:firstLine="420" w:firstLineChars="200"/>
        <w:jc w:val="left"/>
        <w:rPr>
          <w:szCs w:val="21"/>
        </w:rPr>
      </w:pPr>
      <w:r>
        <w:rPr>
          <w:szCs w:val="21"/>
        </w:rPr>
        <w:t>（1</w:t>
      </w:r>
      <w:r>
        <w:rPr>
          <w:rFonts w:hint="eastAsia"/>
          <w:szCs w:val="21"/>
        </w:rPr>
        <w:t>3</w:t>
      </w:r>
      <w:r>
        <w:rPr>
          <w:szCs w:val="21"/>
        </w:rPr>
        <w:t>）项目</w:t>
      </w:r>
      <w:r>
        <w:rPr>
          <w:color w:val="000000"/>
          <w:kern w:val="0"/>
          <w:szCs w:val="21"/>
        </w:rPr>
        <w:t>现状及需求的理解</w:t>
      </w:r>
      <w:r>
        <w:rPr>
          <w:rFonts w:hint="eastAsia"/>
          <w:color w:val="000000"/>
          <w:kern w:val="0"/>
          <w:szCs w:val="21"/>
        </w:rPr>
        <w:t>；</w:t>
      </w:r>
    </w:p>
    <w:p>
      <w:pPr>
        <w:tabs>
          <w:tab w:val="left" w:pos="518"/>
        </w:tabs>
        <w:adjustRightInd w:val="0"/>
        <w:snapToGrid w:val="0"/>
        <w:spacing w:line="360" w:lineRule="auto"/>
        <w:ind w:firstLine="420" w:firstLineChars="200"/>
        <w:jc w:val="left"/>
        <w:rPr>
          <w:color w:val="000000"/>
          <w:kern w:val="0"/>
          <w:szCs w:val="21"/>
        </w:rPr>
      </w:pPr>
      <w:r>
        <w:rPr>
          <w:szCs w:val="21"/>
        </w:rPr>
        <w:t>（1</w:t>
      </w:r>
      <w:r>
        <w:rPr>
          <w:rFonts w:hint="eastAsia"/>
          <w:szCs w:val="21"/>
        </w:rPr>
        <w:t>4</w:t>
      </w:r>
      <w:r>
        <w:rPr>
          <w:szCs w:val="21"/>
        </w:rPr>
        <w:t>）</w:t>
      </w:r>
      <w:r>
        <w:rPr>
          <w:color w:val="000000"/>
          <w:kern w:val="0"/>
          <w:szCs w:val="21"/>
        </w:rPr>
        <w:t>项目设计方案</w:t>
      </w:r>
      <w:r>
        <w:rPr>
          <w:rFonts w:hint="eastAsia"/>
          <w:color w:val="000000"/>
          <w:kern w:val="0"/>
          <w:szCs w:val="21"/>
        </w:rPr>
        <w:t>；</w:t>
      </w:r>
    </w:p>
    <w:p>
      <w:pPr>
        <w:tabs>
          <w:tab w:val="left" w:pos="518"/>
        </w:tabs>
        <w:adjustRightInd w:val="0"/>
        <w:snapToGrid w:val="0"/>
        <w:spacing w:line="360" w:lineRule="auto"/>
        <w:ind w:firstLine="420" w:firstLineChars="200"/>
        <w:jc w:val="left"/>
        <w:rPr>
          <w:kern w:val="0"/>
          <w:szCs w:val="21"/>
        </w:rPr>
      </w:pPr>
      <w:r>
        <w:rPr>
          <w:color w:val="000000"/>
          <w:kern w:val="0"/>
          <w:szCs w:val="21"/>
        </w:rPr>
        <w:t>（1</w:t>
      </w:r>
      <w:r>
        <w:rPr>
          <w:rFonts w:hint="eastAsia"/>
          <w:color w:val="000000"/>
          <w:kern w:val="0"/>
          <w:szCs w:val="21"/>
        </w:rPr>
        <w:t>5</w:t>
      </w:r>
      <w:r>
        <w:rPr>
          <w:color w:val="000000"/>
          <w:kern w:val="0"/>
          <w:szCs w:val="21"/>
        </w:rPr>
        <w:t>）项目</w:t>
      </w:r>
      <w:r>
        <w:rPr>
          <w:kern w:val="0"/>
          <w:szCs w:val="21"/>
        </w:rPr>
        <w:t>实施方案</w:t>
      </w:r>
      <w:r>
        <w:rPr>
          <w:rFonts w:hint="eastAsia"/>
          <w:kern w:val="0"/>
          <w:szCs w:val="21"/>
        </w:rPr>
        <w:t>；</w:t>
      </w:r>
    </w:p>
    <w:p>
      <w:pPr>
        <w:tabs>
          <w:tab w:val="left" w:pos="518"/>
        </w:tabs>
        <w:adjustRightInd w:val="0"/>
        <w:snapToGrid w:val="0"/>
        <w:spacing w:line="360" w:lineRule="auto"/>
        <w:ind w:firstLine="420" w:firstLineChars="200"/>
        <w:jc w:val="left"/>
        <w:rPr>
          <w:kern w:val="0"/>
          <w:szCs w:val="21"/>
        </w:rPr>
      </w:pPr>
      <w:r>
        <w:rPr>
          <w:kern w:val="0"/>
          <w:szCs w:val="21"/>
        </w:rPr>
        <w:t>（1</w:t>
      </w:r>
      <w:r>
        <w:rPr>
          <w:rFonts w:hint="eastAsia"/>
          <w:kern w:val="0"/>
          <w:szCs w:val="21"/>
        </w:rPr>
        <w:t>6</w:t>
      </w:r>
      <w:r>
        <w:rPr>
          <w:kern w:val="0"/>
          <w:szCs w:val="21"/>
        </w:rPr>
        <w:t>）项目培训方案</w:t>
      </w:r>
      <w:r>
        <w:rPr>
          <w:rFonts w:hint="eastAsia"/>
          <w:kern w:val="0"/>
          <w:szCs w:val="21"/>
        </w:rPr>
        <w:t>；</w:t>
      </w:r>
    </w:p>
    <w:p>
      <w:pPr>
        <w:tabs>
          <w:tab w:val="left" w:pos="518"/>
        </w:tabs>
        <w:adjustRightInd w:val="0"/>
        <w:snapToGrid w:val="0"/>
        <w:spacing w:line="360" w:lineRule="auto"/>
        <w:ind w:firstLine="420" w:firstLineChars="200"/>
        <w:jc w:val="left"/>
        <w:rPr>
          <w:kern w:val="0"/>
          <w:szCs w:val="21"/>
        </w:rPr>
      </w:pPr>
      <w:r>
        <w:rPr>
          <w:kern w:val="0"/>
          <w:szCs w:val="21"/>
        </w:rPr>
        <w:t>（1</w:t>
      </w:r>
      <w:r>
        <w:rPr>
          <w:rFonts w:hint="eastAsia"/>
          <w:kern w:val="0"/>
          <w:szCs w:val="21"/>
        </w:rPr>
        <w:t>7</w:t>
      </w:r>
      <w:r>
        <w:rPr>
          <w:kern w:val="0"/>
          <w:szCs w:val="21"/>
        </w:rPr>
        <w:t>）项目售后服务方案</w:t>
      </w:r>
      <w:r>
        <w:rPr>
          <w:rFonts w:hint="eastAsia"/>
          <w:kern w:val="0"/>
          <w:szCs w:val="21"/>
        </w:rPr>
        <w:t>。</w:t>
      </w:r>
    </w:p>
    <w:p>
      <w:pPr>
        <w:snapToGrid w:val="0"/>
        <w:spacing w:line="360" w:lineRule="auto"/>
        <w:ind w:firstLine="413" w:firstLineChars="196"/>
        <w:jc w:val="left"/>
        <w:rPr>
          <w:b/>
          <w:szCs w:val="21"/>
        </w:rPr>
      </w:pPr>
      <w:r>
        <w:rPr>
          <w:b/>
          <w:szCs w:val="21"/>
        </w:rPr>
        <w:t>报价部分：</w:t>
      </w:r>
    </w:p>
    <w:p>
      <w:pPr>
        <w:snapToGrid w:val="0"/>
        <w:spacing w:line="360" w:lineRule="auto"/>
        <w:ind w:firstLine="411" w:firstLineChars="196"/>
        <w:jc w:val="left"/>
        <w:rPr>
          <w:szCs w:val="21"/>
        </w:rPr>
      </w:pPr>
      <w:r>
        <w:rPr>
          <w:szCs w:val="21"/>
        </w:rPr>
        <w:t>（1）投标函（格式见附件）；</w:t>
      </w:r>
    </w:p>
    <w:p>
      <w:pPr>
        <w:snapToGrid w:val="0"/>
        <w:spacing w:line="360" w:lineRule="auto"/>
        <w:ind w:firstLine="411" w:firstLineChars="196"/>
        <w:jc w:val="left"/>
        <w:rPr>
          <w:szCs w:val="21"/>
        </w:rPr>
      </w:pPr>
      <w:r>
        <w:rPr>
          <w:szCs w:val="21"/>
        </w:rPr>
        <w:t>（2）开标一览表（格式见附件）；</w:t>
      </w:r>
    </w:p>
    <w:p>
      <w:pPr>
        <w:snapToGrid w:val="0"/>
        <w:spacing w:line="360" w:lineRule="auto"/>
        <w:ind w:firstLine="411" w:firstLineChars="196"/>
        <w:jc w:val="left"/>
        <w:rPr>
          <w:szCs w:val="21"/>
        </w:rPr>
      </w:pPr>
      <w:r>
        <w:rPr>
          <w:szCs w:val="21"/>
        </w:rPr>
        <w:t>（3）报价明细表（格式见附件）；</w:t>
      </w:r>
    </w:p>
    <w:p>
      <w:pPr>
        <w:snapToGrid w:val="0"/>
        <w:spacing w:line="360" w:lineRule="auto"/>
        <w:ind w:firstLine="411" w:firstLineChars="196"/>
        <w:jc w:val="left"/>
        <w:rPr>
          <w:szCs w:val="21"/>
        </w:rPr>
      </w:pPr>
      <w:r>
        <w:rPr>
          <w:szCs w:val="21"/>
        </w:rPr>
        <w:t>（4）中小企业声明函（若有，格式见附件）；</w:t>
      </w:r>
    </w:p>
    <w:p>
      <w:pPr>
        <w:snapToGrid w:val="0"/>
        <w:spacing w:line="360" w:lineRule="auto"/>
        <w:ind w:firstLine="411" w:firstLineChars="196"/>
        <w:jc w:val="left"/>
        <w:rPr>
          <w:szCs w:val="21"/>
        </w:rPr>
      </w:pPr>
      <w:r>
        <w:rPr>
          <w:szCs w:val="21"/>
        </w:rPr>
        <w:t>本项目为非专门面向中小企业采购的项目，如果供应商和制造商均为小微企业，提供《中小企业声明函》。如未按照要求提供，将不得享受评标标准中注明的针对小微企业的价格扣除优惠；</w:t>
      </w:r>
    </w:p>
    <w:p>
      <w:pPr>
        <w:snapToGrid w:val="0"/>
        <w:spacing w:line="360" w:lineRule="auto"/>
        <w:ind w:firstLine="411" w:firstLineChars="196"/>
        <w:jc w:val="left"/>
        <w:rPr>
          <w:szCs w:val="21"/>
        </w:rPr>
      </w:pPr>
      <w:r>
        <w:rPr>
          <w:szCs w:val="21"/>
        </w:rPr>
        <w:t>（5）残疾人福利性单位声明函（若有，格式见附件）</w:t>
      </w:r>
      <w:r>
        <w:rPr>
          <w:rFonts w:hint="eastAsia"/>
          <w:szCs w:val="21"/>
        </w:rPr>
        <w:t>；</w:t>
      </w:r>
    </w:p>
    <w:p>
      <w:pPr>
        <w:snapToGrid w:val="0"/>
        <w:spacing w:line="360" w:lineRule="auto"/>
        <w:ind w:firstLine="411" w:firstLineChars="196"/>
        <w:jc w:val="left"/>
        <w:rPr>
          <w:szCs w:val="21"/>
        </w:rPr>
      </w:pPr>
      <w:r>
        <w:rPr>
          <w:szCs w:val="21"/>
        </w:rPr>
        <w:t>（6）供应商自觉抵制政府采购领域商业贿赂行为承诺书</w:t>
      </w:r>
      <w:r>
        <w:rPr>
          <w:rFonts w:hint="eastAsia"/>
          <w:szCs w:val="21"/>
        </w:rPr>
        <w:t>；</w:t>
      </w:r>
    </w:p>
    <w:p>
      <w:pPr>
        <w:snapToGrid w:val="0"/>
        <w:spacing w:line="360" w:lineRule="auto"/>
        <w:ind w:firstLine="411" w:firstLineChars="196"/>
        <w:jc w:val="left"/>
        <w:rPr>
          <w:szCs w:val="21"/>
        </w:rPr>
      </w:pPr>
      <w:r>
        <w:rPr>
          <w:szCs w:val="21"/>
        </w:rPr>
        <w:t>（7）供应商针对报价需要说明的其他文件和说明</w:t>
      </w:r>
      <w:r>
        <w:rPr>
          <w:rFonts w:hint="eastAsia"/>
          <w:szCs w:val="21"/>
        </w:rPr>
        <w:t>。</w:t>
      </w:r>
    </w:p>
    <w:p>
      <w:pPr>
        <w:pStyle w:val="5"/>
        <w:numPr>
          <w:ilvl w:val="0"/>
          <w:numId w:val="0"/>
        </w:numPr>
        <w:spacing w:before="0" w:after="0" w:line="360" w:lineRule="auto"/>
        <w:rPr>
          <w:rFonts w:ascii="Times New Roman" w:hAnsi="Times New Roman"/>
          <w:color w:val="000000"/>
          <w:kern w:val="2"/>
          <w:sz w:val="21"/>
          <w:szCs w:val="21"/>
        </w:rPr>
      </w:pPr>
      <w:bookmarkStart w:id="430" w:name="_Toc460416350"/>
      <w:bookmarkStart w:id="431" w:name="_Toc109989368"/>
      <w:bookmarkStart w:id="432" w:name="_Toc460857914"/>
      <w:bookmarkStart w:id="433" w:name="_Toc460416655"/>
      <w:bookmarkStart w:id="434" w:name="_Toc17707928"/>
      <w:r>
        <w:rPr>
          <w:rFonts w:ascii="Times New Roman" w:hAnsi="Times New Roman"/>
          <w:color w:val="000000"/>
          <w:kern w:val="2"/>
          <w:sz w:val="21"/>
          <w:szCs w:val="21"/>
        </w:rPr>
        <w:t>（二）投标文件的语言及计量</w:t>
      </w:r>
      <w:bookmarkEnd w:id="430"/>
      <w:bookmarkEnd w:id="431"/>
      <w:bookmarkEnd w:id="432"/>
      <w:bookmarkEnd w:id="433"/>
      <w:bookmarkEnd w:id="434"/>
    </w:p>
    <w:p>
      <w:pPr>
        <w:snapToGrid w:val="0"/>
        <w:spacing w:line="360" w:lineRule="auto"/>
        <w:ind w:firstLine="422" w:firstLineChars="200"/>
        <w:jc w:val="left"/>
        <w:rPr>
          <w:b/>
          <w:color w:val="000000"/>
          <w:szCs w:val="21"/>
        </w:rPr>
      </w:pPr>
      <w:r>
        <w:rPr>
          <w:b/>
          <w:color w:val="000000"/>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b/>
          <w:color w:val="000000"/>
          <w:szCs w:val="21"/>
        </w:rPr>
      </w:pPr>
      <w:r>
        <w:rPr>
          <w:b/>
          <w:color w:val="000000"/>
          <w:szCs w:val="21"/>
        </w:rPr>
        <w:t>*2.投标计量单位，采购文件已有明确规定的，使用采购文件规定的计量单位；采购文件没有规定的，应采用中华人民共和国法定计量单位（货币单位：人民币元），否则视同未响应。</w:t>
      </w:r>
    </w:p>
    <w:p>
      <w:pPr>
        <w:pStyle w:val="5"/>
        <w:numPr>
          <w:ilvl w:val="0"/>
          <w:numId w:val="0"/>
        </w:numPr>
        <w:spacing w:before="0" w:after="0" w:line="360" w:lineRule="auto"/>
        <w:rPr>
          <w:rFonts w:ascii="Times New Roman" w:hAnsi="Times New Roman"/>
          <w:color w:val="000000"/>
          <w:kern w:val="2"/>
          <w:sz w:val="21"/>
          <w:szCs w:val="21"/>
        </w:rPr>
      </w:pPr>
      <w:bookmarkStart w:id="435" w:name="_Toc109989369"/>
      <w:bookmarkStart w:id="436" w:name="_Toc17707929"/>
      <w:bookmarkStart w:id="437" w:name="_Toc460416656"/>
      <w:bookmarkStart w:id="438" w:name="_Toc460857915"/>
      <w:bookmarkStart w:id="439" w:name="_Toc460416351"/>
      <w:bookmarkStart w:id="440" w:name="_Toc460857916"/>
      <w:bookmarkStart w:id="441" w:name="_Toc17707930"/>
      <w:r>
        <w:rPr>
          <w:rFonts w:ascii="Times New Roman" w:hAnsi="Times New Roman"/>
          <w:color w:val="000000"/>
          <w:kern w:val="2"/>
          <w:sz w:val="21"/>
          <w:szCs w:val="21"/>
        </w:rPr>
        <w:t>（三）投标报价</w:t>
      </w:r>
      <w:bookmarkEnd w:id="435"/>
      <w:bookmarkEnd w:id="436"/>
      <w:bookmarkEnd w:id="437"/>
      <w:bookmarkEnd w:id="438"/>
      <w:bookmarkEnd w:id="439"/>
    </w:p>
    <w:p>
      <w:pPr>
        <w:pStyle w:val="21"/>
        <w:snapToGrid w:val="0"/>
        <w:spacing w:beforeLines="0" w:afterLines="0" w:line="360" w:lineRule="auto"/>
        <w:ind w:firstLine="420" w:firstLineChars="200"/>
        <w:jc w:val="left"/>
        <w:rPr>
          <w:rFonts w:ascii="Times New Roman" w:hAnsi="Times New Roman"/>
          <w:color w:val="000000"/>
          <w:sz w:val="21"/>
          <w:szCs w:val="21"/>
        </w:rPr>
      </w:pPr>
      <w:r>
        <w:rPr>
          <w:rFonts w:ascii="Times New Roman" w:hAnsi="Times New Roman"/>
          <w:color w:val="000000"/>
          <w:sz w:val="21"/>
          <w:szCs w:val="21"/>
        </w:rPr>
        <w:t>1.投标报价应按采购文件中相关附表格式填写。</w:t>
      </w:r>
    </w:p>
    <w:p>
      <w:pPr>
        <w:tabs>
          <w:tab w:val="left" w:pos="525"/>
        </w:tabs>
        <w:snapToGrid w:val="0"/>
        <w:spacing w:line="360" w:lineRule="auto"/>
        <w:ind w:firstLine="422" w:firstLineChars="200"/>
        <w:jc w:val="left"/>
        <w:rPr>
          <w:b/>
          <w:color w:val="000000"/>
          <w:szCs w:val="21"/>
        </w:rPr>
      </w:pPr>
      <w:r>
        <w:rPr>
          <w:b/>
          <w:color w:val="000000"/>
          <w:szCs w:val="21"/>
        </w:rPr>
        <w:t>*2.投标文件只允许有一个报价，有选择的或有条件的报价将不予接受。</w:t>
      </w:r>
    </w:p>
    <w:p>
      <w:pPr>
        <w:pStyle w:val="5"/>
        <w:numPr>
          <w:ilvl w:val="0"/>
          <w:numId w:val="0"/>
        </w:numPr>
        <w:spacing w:before="0" w:after="0" w:line="360" w:lineRule="auto"/>
        <w:rPr>
          <w:rFonts w:ascii="Times New Roman" w:hAnsi="Times New Roman"/>
          <w:color w:val="000000"/>
          <w:kern w:val="2"/>
          <w:sz w:val="21"/>
          <w:szCs w:val="21"/>
        </w:rPr>
      </w:pPr>
      <w:bookmarkStart w:id="442" w:name="_Toc109989370"/>
      <w:r>
        <w:rPr>
          <w:rFonts w:ascii="Times New Roman" w:hAnsi="Times New Roman"/>
          <w:color w:val="000000"/>
          <w:kern w:val="2"/>
          <w:sz w:val="21"/>
          <w:szCs w:val="21"/>
        </w:rPr>
        <w:t>（四）投标文件的有效期</w:t>
      </w:r>
      <w:bookmarkEnd w:id="440"/>
      <w:bookmarkEnd w:id="441"/>
      <w:bookmarkEnd w:id="442"/>
    </w:p>
    <w:p>
      <w:pPr>
        <w:pStyle w:val="10"/>
        <w:widowControl w:val="0"/>
        <w:tabs>
          <w:tab w:val="clear" w:pos="454"/>
        </w:tabs>
        <w:snapToGrid w:val="0"/>
        <w:spacing w:afterLines="0" w:line="360" w:lineRule="auto"/>
        <w:ind w:left="0" w:firstLine="422" w:firstLineChars="200"/>
        <w:rPr>
          <w:rFonts w:ascii="Times New Roman" w:hAnsi="Times New Roman"/>
          <w:b/>
          <w:color w:val="000000"/>
          <w:sz w:val="21"/>
          <w:szCs w:val="21"/>
        </w:rPr>
      </w:pPr>
      <w:r>
        <w:rPr>
          <w:rFonts w:ascii="Times New Roman" w:hAnsi="Times New Roman"/>
          <w:b/>
          <w:color w:val="000000"/>
          <w:sz w:val="21"/>
          <w:szCs w:val="21"/>
        </w:rPr>
        <w:t>*1.自投标截止日起</w:t>
      </w:r>
      <w:r>
        <w:rPr>
          <w:rFonts w:ascii="Times New Roman" w:hAnsi="Times New Roman"/>
          <w:b/>
          <w:color w:val="000000"/>
          <w:sz w:val="21"/>
          <w:szCs w:val="21"/>
          <w:u w:val="single"/>
        </w:rPr>
        <w:t>90</w:t>
      </w:r>
      <w:r>
        <w:rPr>
          <w:rFonts w:ascii="Times New Roman" w:hAnsi="Times New Roman"/>
          <w:b/>
          <w:color w:val="000000"/>
          <w:sz w:val="21"/>
          <w:szCs w:val="21"/>
        </w:rPr>
        <w:t>天投标文件应保持有效。有效期不足的投标文件将被拒绝。</w:t>
      </w:r>
    </w:p>
    <w:p>
      <w:pPr>
        <w:pStyle w:val="10"/>
        <w:widowControl w:val="0"/>
        <w:tabs>
          <w:tab w:val="clear" w:pos="454"/>
        </w:tabs>
        <w:snapToGrid w:val="0"/>
        <w:spacing w:afterLines="0" w:line="360" w:lineRule="auto"/>
        <w:ind w:left="0" w:firstLine="420" w:firstLineChars="200"/>
        <w:rPr>
          <w:rFonts w:ascii="Times New Roman" w:hAnsi="Times New Roman"/>
          <w:color w:val="000000"/>
          <w:sz w:val="21"/>
          <w:szCs w:val="21"/>
        </w:rPr>
      </w:pPr>
      <w:r>
        <w:rPr>
          <w:rFonts w:ascii="Times New Roman" w:hAnsi="Times New Roman"/>
          <w:color w:val="000000"/>
          <w:sz w:val="21"/>
          <w:szCs w:val="21"/>
        </w:rPr>
        <w:t>2.在特殊情况下，采购人可与投标人协商延长投标书的有效期，这种要求和答复均以书面形式进行。</w:t>
      </w:r>
    </w:p>
    <w:p>
      <w:pPr>
        <w:pStyle w:val="10"/>
        <w:widowControl w:val="0"/>
        <w:tabs>
          <w:tab w:val="clear" w:pos="454"/>
        </w:tabs>
        <w:snapToGrid w:val="0"/>
        <w:spacing w:afterLines="0" w:line="360" w:lineRule="auto"/>
        <w:ind w:left="0" w:firstLine="420" w:firstLineChars="200"/>
        <w:rPr>
          <w:rFonts w:ascii="Times New Roman" w:hAnsi="Times New Roman"/>
          <w:color w:val="000000"/>
          <w:sz w:val="21"/>
          <w:szCs w:val="21"/>
        </w:rPr>
      </w:pPr>
      <w:bookmarkStart w:id="443" w:name="_Toc460416352"/>
      <w:bookmarkStart w:id="444" w:name="_Toc460416657"/>
      <w:r>
        <w:rPr>
          <w:rFonts w:ascii="Times New Roman" w:hAnsi="Times New Roman"/>
          <w:color w:val="000000"/>
          <w:sz w:val="21"/>
          <w:szCs w:val="21"/>
        </w:rPr>
        <w:t>3.投标人可拒绝接受延期要求。同意延长有效期的投标人，不能修改投标文件。</w:t>
      </w:r>
      <w:bookmarkEnd w:id="443"/>
      <w:bookmarkEnd w:id="444"/>
    </w:p>
    <w:p>
      <w:pPr>
        <w:pStyle w:val="10"/>
        <w:widowControl w:val="0"/>
        <w:tabs>
          <w:tab w:val="clear" w:pos="454"/>
        </w:tabs>
        <w:snapToGrid w:val="0"/>
        <w:spacing w:afterLines="0" w:line="360" w:lineRule="auto"/>
        <w:ind w:left="0" w:firstLine="420" w:firstLineChars="200"/>
        <w:rPr>
          <w:rFonts w:ascii="Times New Roman" w:hAnsi="Times New Roman"/>
          <w:color w:val="000000"/>
          <w:sz w:val="21"/>
          <w:szCs w:val="21"/>
        </w:rPr>
      </w:pPr>
      <w:bookmarkStart w:id="445" w:name="_Toc460416353"/>
      <w:bookmarkStart w:id="446" w:name="_Toc460416658"/>
      <w:r>
        <w:rPr>
          <w:rFonts w:ascii="Times New Roman" w:hAnsi="Times New Roman"/>
          <w:color w:val="000000"/>
          <w:sz w:val="21"/>
          <w:szCs w:val="21"/>
        </w:rPr>
        <w:t>4.中标人的投标文件自开标之日起至合同履行完毕止均应保持有效。</w:t>
      </w:r>
      <w:bookmarkEnd w:id="445"/>
      <w:bookmarkEnd w:id="446"/>
    </w:p>
    <w:p>
      <w:pPr>
        <w:pStyle w:val="5"/>
        <w:numPr>
          <w:ilvl w:val="0"/>
          <w:numId w:val="0"/>
        </w:numPr>
        <w:spacing w:before="0" w:after="0" w:line="360" w:lineRule="auto"/>
        <w:rPr>
          <w:rFonts w:ascii="Times New Roman" w:hAnsi="Times New Roman"/>
          <w:color w:val="000000"/>
          <w:kern w:val="2"/>
          <w:sz w:val="21"/>
          <w:szCs w:val="21"/>
        </w:rPr>
      </w:pPr>
      <w:bookmarkStart w:id="447" w:name="_Toc460416660"/>
      <w:bookmarkStart w:id="448" w:name="_Toc460416355"/>
      <w:bookmarkStart w:id="449" w:name="_Toc17707932"/>
      <w:bookmarkStart w:id="450" w:name="_Toc460857918"/>
      <w:bookmarkStart w:id="451" w:name="_Toc109989371"/>
      <w:r>
        <w:rPr>
          <w:rFonts w:ascii="Times New Roman" w:hAnsi="Times New Roman"/>
          <w:color w:val="000000"/>
          <w:kern w:val="2"/>
          <w:sz w:val="21"/>
          <w:szCs w:val="21"/>
        </w:rPr>
        <w:t>（五）投标文件的盖章、签署、份数</w:t>
      </w:r>
      <w:bookmarkEnd w:id="447"/>
      <w:bookmarkEnd w:id="448"/>
      <w:bookmarkEnd w:id="449"/>
      <w:bookmarkEnd w:id="450"/>
      <w:r>
        <w:rPr>
          <w:rFonts w:ascii="Times New Roman" w:hAnsi="Times New Roman"/>
          <w:color w:val="000000"/>
          <w:kern w:val="2"/>
          <w:sz w:val="21"/>
          <w:szCs w:val="21"/>
        </w:rPr>
        <w:t>、要求及效力</w:t>
      </w:r>
      <w:bookmarkEnd w:id="451"/>
    </w:p>
    <w:p>
      <w:pPr>
        <w:spacing w:line="360" w:lineRule="auto"/>
        <w:ind w:firstLine="525" w:firstLineChars="250"/>
        <w:rPr>
          <w:color w:val="000000"/>
          <w:kern w:val="0"/>
          <w:szCs w:val="21"/>
        </w:rPr>
      </w:pPr>
      <w:r>
        <w:rPr>
          <w:color w:val="000000"/>
          <w:kern w:val="0"/>
          <w:szCs w:val="21"/>
        </w:rPr>
        <w:t>1、供应商应按本采购文件规定的格式和顺序编制、装订投标文件，投标文件要求有目录并标注页码，投标文件内容不完整、编排混乱导致投标文件被误读、漏读或者查找不到相关内容的，是供应商的责任。</w:t>
      </w:r>
    </w:p>
    <w:p>
      <w:pPr>
        <w:spacing w:line="360" w:lineRule="auto"/>
        <w:ind w:firstLine="525" w:firstLineChars="250"/>
        <w:rPr>
          <w:color w:val="000000"/>
          <w:kern w:val="0"/>
          <w:szCs w:val="21"/>
        </w:rPr>
      </w:pPr>
      <w:r>
        <w:rPr>
          <w:color w:val="000000"/>
          <w:kern w:val="0"/>
          <w:szCs w:val="21"/>
        </w:rPr>
        <w:t>2、投标文件的盖章、签署：</w:t>
      </w:r>
    </w:p>
    <w:p>
      <w:pPr>
        <w:spacing w:line="360" w:lineRule="auto"/>
        <w:ind w:firstLine="525" w:firstLineChars="250"/>
        <w:rPr>
          <w:szCs w:val="21"/>
        </w:rPr>
      </w:pPr>
      <w:r>
        <w:rPr>
          <w:kern w:val="0"/>
          <w:szCs w:val="21"/>
        </w:rPr>
        <w:t>（1）</w:t>
      </w:r>
      <w:r>
        <w:rPr>
          <w:szCs w:val="21"/>
        </w:rPr>
        <w:t>纸质备份投标文件中涉及到加盖公章或签字的，须加盖供应商公章或其法定代表人（或授权代表）签字。授权代表签字的，投标文件应附法定代表人签署的法定代表人授权书。</w:t>
      </w:r>
    </w:p>
    <w:p>
      <w:pPr>
        <w:spacing w:line="360" w:lineRule="auto"/>
        <w:ind w:firstLine="525" w:firstLineChars="250"/>
        <w:rPr>
          <w:kern w:val="0"/>
          <w:szCs w:val="21"/>
        </w:rPr>
      </w:pPr>
      <w:r>
        <w:rPr>
          <w:kern w:val="0"/>
          <w:szCs w:val="21"/>
        </w:rPr>
        <w:t>（2）</w:t>
      </w:r>
      <w:r>
        <w:rPr>
          <w:szCs w:val="21"/>
        </w:rPr>
        <w:t>电子投标文件及电子备份投标文件中涉及到加盖公章或签字的，加盖供应商公章部分均采用CA签章，签字部分采用电子</w:t>
      </w:r>
      <w:r>
        <w:t>签章或</w:t>
      </w:r>
      <w:r>
        <w:rPr>
          <w:szCs w:val="21"/>
        </w:rPr>
        <w:t>按纸质备份投标文件要求签字后扫描上传</w:t>
      </w:r>
      <w:r>
        <w:t>均认可</w:t>
      </w:r>
      <w:r>
        <w:rPr>
          <w:szCs w:val="21"/>
        </w:rPr>
        <w:t>。</w:t>
      </w:r>
    </w:p>
    <w:p>
      <w:pPr>
        <w:spacing w:line="360" w:lineRule="auto"/>
        <w:ind w:firstLine="525" w:firstLineChars="250"/>
        <w:rPr>
          <w:color w:val="000000"/>
          <w:kern w:val="0"/>
          <w:szCs w:val="21"/>
        </w:rPr>
      </w:pPr>
      <w:r>
        <w:rPr>
          <w:color w:val="000000"/>
          <w:kern w:val="0"/>
          <w:szCs w:val="21"/>
        </w:rPr>
        <w:t>3、投标文件的份数：</w:t>
      </w:r>
    </w:p>
    <w:p>
      <w:pPr>
        <w:spacing w:line="360" w:lineRule="auto"/>
        <w:ind w:firstLine="525" w:firstLineChars="250"/>
        <w:rPr>
          <w:color w:val="000000"/>
          <w:kern w:val="0"/>
          <w:szCs w:val="21"/>
        </w:rPr>
      </w:pPr>
      <w:r>
        <w:rPr>
          <w:color w:val="000000"/>
          <w:kern w:val="0"/>
          <w:szCs w:val="21"/>
        </w:rPr>
        <w:t>本项目供应商应准备以下投标文件：</w:t>
      </w:r>
    </w:p>
    <w:p>
      <w:pPr>
        <w:spacing w:line="360" w:lineRule="auto"/>
        <w:ind w:firstLine="525" w:firstLineChars="250"/>
        <w:rPr>
          <w:color w:val="000000"/>
          <w:kern w:val="0"/>
          <w:szCs w:val="21"/>
        </w:rPr>
      </w:pPr>
      <w:r>
        <w:rPr>
          <w:color w:val="000000"/>
          <w:kern w:val="0"/>
          <w:szCs w:val="21"/>
        </w:rPr>
        <w:t>（1）上传到政府采购云平台的电子投标文件（含资格证明文件、商务技术文件、报价文件）1份。</w:t>
      </w:r>
    </w:p>
    <w:p>
      <w:pPr>
        <w:spacing w:line="360" w:lineRule="auto"/>
        <w:ind w:firstLine="525" w:firstLineChars="250"/>
        <w:rPr>
          <w:color w:val="000000"/>
          <w:kern w:val="0"/>
          <w:szCs w:val="21"/>
        </w:rPr>
      </w:pPr>
      <w:r>
        <w:rPr>
          <w:color w:val="000000"/>
          <w:kern w:val="0"/>
          <w:szCs w:val="21"/>
        </w:rPr>
        <w:t>（2）以U盘存储的电子备份投标文件（含资格证明文件、商务技术文件、报价文件）1份。</w:t>
      </w:r>
    </w:p>
    <w:p>
      <w:pPr>
        <w:spacing w:line="360" w:lineRule="auto"/>
        <w:ind w:firstLine="525" w:firstLineChars="250"/>
        <w:rPr>
          <w:color w:val="000000"/>
          <w:kern w:val="0"/>
          <w:szCs w:val="21"/>
        </w:rPr>
      </w:pPr>
      <w:r>
        <w:rPr>
          <w:color w:val="000000"/>
          <w:kern w:val="0"/>
          <w:szCs w:val="21"/>
        </w:rPr>
        <w:t>（3）纸质备份投标文件：资格证明文件（正本1份，副本1份）、商务技术文件（正本1份，副本1份）、报价文件（正本1份，副本1份）。</w:t>
      </w:r>
    </w:p>
    <w:p>
      <w:pPr>
        <w:spacing w:line="360" w:lineRule="auto"/>
        <w:ind w:firstLine="525" w:firstLineChars="250"/>
        <w:rPr>
          <w:color w:val="000000"/>
          <w:kern w:val="0"/>
          <w:szCs w:val="21"/>
        </w:rPr>
      </w:pPr>
      <w:r>
        <w:rPr>
          <w:color w:val="000000"/>
          <w:kern w:val="0"/>
          <w:szCs w:val="21"/>
        </w:rPr>
        <w:t>4、电子投标文件：</w:t>
      </w:r>
    </w:p>
    <w:p>
      <w:pPr>
        <w:spacing w:line="360" w:lineRule="auto"/>
        <w:ind w:firstLine="525" w:firstLineChars="250"/>
        <w:rPr>
          <w:color w:val="000000"/>
          <w:kern w:val="0"/>
          <w:szCs w:val="21"/>
        </w:rPr>
      </w:pPr>
      <w:r>
        <w:rPr>
          <w:color w:val="000000"/>
          <w:kern w:val="0"/>
          <w:szCs w:val="21"/>
        </w:rPr>
        <w:t>4.1供应商应根据</w:t>
      </w:r>
      <w:r>
        <w:rPr>
          <w:bCs/>
          <w:szCs w:val="21"/>
        </w:rPr>
        <w:t>“政采云供应商项目采购-电子招投标操作指南”</w:t>
      </w:r>
      <w:r>
        <w:rPr>
          <w:color w:val="000000"/>
          <w:kern w:val="0"/>
          <w:szCs w:val="21"/>
        </w:rPr>
        <w:t>及本采购文件规定的格式和顺序编制电子投标文件并进行关联定位。</w:t>
      </w:r>
    </w:p>
    <w:p>
      <w:pPr>
        <w:spacing w:line="360" w:lineRule="auto"/>
        <w:ind w:firstLine="525" w:firstLineChars="250"/>
        <w:rPr>
          <w:color w:val="000000"/>
          <w:kern w:val="0"/>
          <w:szCs w:val="21"/>
        </w:rPr>
      </w:pPr>
      <w:r>
        <w:rPr>
          <w:color w:val="000000"/>
          <w:kern w:val="0"/>
          <w:szCs w:val="21"/>
        </w:rPr>
        <w:t>5、纸质备份投标文件：</w:t>
      </w:r>
    </w:p>
    <w:p>
      <w:pPr>
        <w:spacing w:line="360" w:lineRule="auto"/>
        <w:ind w:firstLine="525" w:firstLineChars="250"/>
        <w:rPr>
          <w:color w:val="000000"/>
          <w:kern w:val="0"/>
          <w:szCs w:val="21"/>
        </w:rPr>
      </w:pPr>
      <w:r>
        <w:rPr>
          <w:color w:val="000000"/>
          <w:kern w:val="0"/>
          <w:szCs w:val="21"/>
        </w:rPr>
        <w:t>5.1投标文件应按采购文件要求由资格证明文件、商务技术文件和报价文件三部分组成。三部分分别编制并单独装订成册。投标文件的封面应注明“正本”、“副本”字样。</w:t>
      </w:r>
    </w:p>
    <w:p>
      <w:pPr>
        <w:spacing w:line="360" w:lineRule="auto"/>
        <w:ind w:firstLine="525" w:firstLineChars="250"/>
        <w:rPr>
          <w:color w:val="000000"/>
          <w:kern w:val="0"/>
          <w:szCs w:val="21"/>
        </w:rPr>
      </w:pPr>
      <w:r>
        <w:rPr>
          <w:color w:val="000000"/>
          <w:kern w:val="0"/>
          <w:szCs w:val="21"/>
        </w:rPr>
        <w:t>5.2若有多个子包，资格证明文件、商务技术文件可装订成一册，报价文件应按子包分别装订、密封、包装，未按规定装订、密封、包装的投标文件将被拒绝。</w:t>
      </w:r>
    </w:p>
    <w:p>
      <w:pPr>
        <w:spacing w:line="360" w:lineRule="auto"/>
        <w:ind w:firstLine="525" w:firstLineChars="250"/>
        <w:rPr>
          <w:color w:val="000000"/>
          <w:kern w:val="0"/>
          <w:szCs w:val="21"/>
        </w:rPr>
      </w:pPr>
      <w:r>
        <w:rPr>
          <w:color w:val="000000"/>
          <w:kern w:val="0"/>
          <w:szCs w:val="21"/>
        </w:rPr>
        <w:t>5.3投标文件的正本需打印或用不褪色的墨水填写，投标文件正本除本《供应商须知》中规定的可提供复印件外均须提供原件。副本可以为正本的复印件，投标文件正、副本内容不一致的，以正本为准。</w:t>
      </w:r>
    </w:p>
    <w:p>
      <w:pPr>
        <w:spacing w:line="360" w:lineRule="auto"/>
        <w:ind w:firstLine="525" w:firstLineChars="250"/>
        <w:rPr>
          <w:color w:val="000000"/>
          <w:kern w:val="0"/>
          <w:szCs w:val="21"/>
        </w:rPr>
      </w:pPr>
      <w:r>
        <w:rPr>
          <w:color w:val="000000"/>
          <w:kern w:val="0"/>
          <w:szCs w:val="21"/>
        </w:rPr>
        <w:t>5.4投标文件不得涂改，若有修改错漏处，须加盖单位公章或者法定代表人或授权委托人签名或盖章。投标文件因字迹潦草或表达不清所引起的后果由供应商负责。</w:t>
      </w:r>
    </w:p>
    <w:p>
      <w:pPr>
        <w:spacing w:line="360" w:lineRule="auto"/>
        <w:ind w:firstLine="525" w:firstLineChars="250"/>
        <w:rPr>
          <w:color w:val="000000"/>
          <w:kern w:val="0"/>
          <w:szCs w:val="21"/>
        </w:rPr>
      </w:pPr>
      <w:r>
        <w:rPr>
          <w:color w:val="000000"/>
          <w:kern w:val="0"/>
          <w:szCs w:val="21"/>
        </w:rPr>
        <w:t>5.5投标文件须由供应商在规定位置盖章并由法定代表人或法定代表人的授权委托人签署，供应商应写全称。</w:t>
      </w:r>
    </w:p>
    <w:p>
      <w:pPr>
        <w:spacing w:line="360" w:lineRule="auto"/>
        <w:ind w:firstLine="525" w:firstLineChars="250"/>
        <w:rPr>
          <w:color w:val="000000"/>
          <w:kern w:val="0"/>
          <w:szCs w:val="21"/>
        </w:rPr>
      </w:pPr>
      <w:r>
        <w:rPr>
          <w:kern w:val="0"/>
          <w:szCs w:val="21"/>
        </w:rPr>
        <w:t>6、投标文件的效力：</w:t>
      </w:r>
    </w:p>
    <w:p>
      <w:pPr>
        <w:spacing w:line="360" w:lineRule="auto"/>
        <w:ind w:firstLine="525" w:firstLineChars="250"/>
        <w:rPr>
          <w:color w:val="000000"/>
          <w:kern w:val="0"/>
          <w:szCs w:val="21"/>
        </w:rPr>
      </w:pPr>
      <w:r>
        <w:rPr>
          <w:kern w:val="0"/>
          <w:szCs w:val="21"/>
        </w:rPr>
        <w:t>投标文件的启用，按先后顺位分别为“电子加密投标文件”→“电子备份投标文件”→“纸质备份投标文件”。在下一顺位的投标文件启用时，前一顺位的投标文件自动失效。</w:t>
      </w:r>
    </w:p>
    <w:p>
      <w:pPr>
        <w:pStyle w:val="5"/>
        <w:numPr>
          <w:ilvl w:val="0"/>
          <w:numId w:val="0"/>
        </w:numPr>
        <w:spacing w:before="0" w:after="0" w:line="360" w:lineRule="auto"/>
        <w:rPr>
          <w:rFonts w:ascii="Times New Roman" w:hAnsi="Times New Roman"/>
          <w:color w:val="000000"/>
          <w:kern w:val="2"/>
          <w:sz w:val="21"/>
          <w:szCs w:val="21"/>
        </w:rPr>
      </w:pPr>
      <w:bookmarkStart w:id="452" w:name="_Toc17707933"/>
      <w:bookmarkStart w:id="453" w:name="_Toc109989372"/>
      <w:bookmarkStart w:id="454" w:name="_Toc460857919"/>
      <w:r>
        <w:rPr>
          <w:rFonts w:ascii="Times New Roman" w:hAnsi="Times New Roman"/>
          <w:color w:val="000000"/>
          <w:kern w:val="2"/>
          <w:sz w:val="21"/>
          <w:szCs w:val="21"/>
        </w:rPr>
        <w:t>（六）投标文件的包装、递交、修改和撤回</w:t>
      </w:r>
      <w:bookmarkEnd w:id="452"/>
      <w:bookmarkEnd w:id="453"/>
      <w:bookmarkEnd w:id="454"/>
    </w:p>
    <w:p>
      <w:pPr>
        <w:snapToGrid w:val="0"/>
        <w:spacing w:line="360" w:lineRule="auto"/>
        <w:ind w:firstLine="420"/>
        <w:jc w:val="left"/>
        <w:rPr>
          <w:color w:val="000000"/>
          <w:kern w:val="0"/>
          <w:szCs w:val="21"/>
        </w:rPr>
      </w:pPr>
      <w:r>
        <w:rPr>
          <w:color w:val="000000"/>
          <w:kern w:val="0"/>
          <w:szCs w:val="21"/>
        </w:rPr>
        <w:t>1、以U盘存储的电子备份投标文件用封袋密封后递交。</w:t>
      </w:r>
    </w:p>
    <w:p>
      <w:pPr>
        <w:snapToGrid w:val="0"/>
        <w:spacing w:line="360" w:lineRule="auto"/>
        <w:ind w:firstLine="420"/>
        <w:jc w:val="left"/>
        <w:rPr>
          <w:color w:val="000000"/>
          <w:kern w:val="0"/>
          <w:szCs w:val="21"/>
        </w:rPr>
      </w:pPr>
      <w:r>
        <w:rPr>
          <w:color w:val="000000"/>
          <w:kern w:val="0"/>
          <w:szCs w:val="21"/>
        </w:rPr>
        <w:t>2、纸质备份投标文件，要求分别按资格证明文件、商务技术文件和报价文件三部分分开包装。</w:t>
      </w:r>
    </w:p>
    <w:p>
      <w:pPr>
        <w:snapToGrid w:val="0"/>
        <w:spacing w:line="360" w:lineRule="auto"/>
        <w:ind w:firstLine="420"/>
        <w:jc w:val="left"/>
        <w:rPr>
          <w:color w:val="000000"/>
          <w:kern w:val="0"/>
          <w:szCs w:val="21"/>
        </w:rPr>
      </w:pPr>
      <w:r>
        <w:rPr>
          <w:color w:val="000000"/>
          <w:kern w:val="0"/>
          <w:szCs w:val="21"/>
        </w:rPr>
        <w:t>3、投标文件的包装封面上应注明供应商名称、供应商地址、投标文件名称(电子备份投标文件/资格文件/商务技术文件/报价文件)、投标项目名称、项目编号、子包号，并加盖供应商公章。</w:t>
      </w:r>
    </w:p>
    <w:p>
      <w:pPr>
        <w:snapToGrid w:val="0"/>
        <w:spacing w:line="360" w:lineRule="auto"/>
        <w:ind w:firstLine="420"/>
        <w:jc w:val="left"/>
        <w:rPr>
          <w:color w:val="000000"/>
          <w:kern w:val="0"/>
          <w:szCs w:val="21"/>
        </w:rPr>
      </w:pPr>
      <w:r>
        <w:rPr>
          <w:color w:val="000000"/>
          <w:kern w:val="0"/>
          <w:szCs w:val="21"/>
        </w:rPr>
        <w:t>4、未按规定密封或标记的投标文件将被拒绝，由此造成投标文件被误投或提前拆封的风险由供应商承担。</w:t>
      </w:r>
    </w:p>
    <w:p>
      <w:pPr>
        <w:snapToGrid w:val="0"/>
        <w:spacing w:line="360" w:lineRule="auto"/>
        <w:ind w:firstLine="420"/>
        <w:jc w:val="left"/>
        <w:rPr>
          <w:color w:val="000000"/>
          <w:kern w:val="0"/>
          <w:szCs w:val="21"/>
        </w:rPr>
      </w:pPr>
      <w:r>
        <w:rPr>
          <w:color w:val="000000"/>
          <w:kern w:val="0"/>
          <w:szCs w:val="21"/>
        </w:rPr>
        <w:t>5、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采购文件的要求签署、盖章和密封。</w:t>
      </w:r>
    </w:p>
    <w:p>
      <w:pPr>
        <w:snapToGrid w:val="0"/>
        <w:spacing w:line="360" w:lineRule="auto"/>
        <w:ind w:firstLine="420"/>
        <w:jc w:val="left"/>
        <w:rPr>
          <w:color w:val="000000"/>
          <w:kern w:val="0"/>
          <w:szCs w:val="21"/>
        </w:rPr>
      </w:pPr>
      <w:r>
        <w:rPr>
          <w:color w:val="000000"/>
          <w:kern w:val="0"/>
          <w:szCs w:val="21"/>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投标文件，将被拒收。</w:t>
      </w:r>
    </w:p>
    <w:p>
      <w:pPr>
        <w:pStyle w:val="5"/>
        <w:numPr>
          <w:ilvl w:val="0"/>
          <w:numId w:val="0"/>
        </w:numPr>
        <w:spacing w:before="0" w:after="0" w:line="360" w:lineRule="auto"/>
        <w:rPr>
          <w:rFonts w:ascii="Times New Roman" w:hAnsi="Times New Roman"/>
          <w:color w:val="000000"/>
          <w:kern w:val="2"/>
          <w:sz w:val="21"/>
          <w:szCs w:val="21"/>
        </w:rPr>
      </w:pPr>
      <w:bookmarkStart w:id="455" w:name="_Toc460857920"/>
      <w:bookmarkStart w:id="456" w:name="_Toc460416356"/>
      <w:bookmarkStart w:id="457" w:name="_Toc460416661"/>
      <w:bookmarkStart w:id="458" w:name="_Toc109989373"/>
      <w:bookmarkStart w:id="459" w:name="_Toc17707934"/>
      <w:r>
        <w:rPr>
          <w:rFonts w:ascii="Times New Roman" w:hAnsi="Times New Roman"/>
          <w:color w:val="000000"/>
          <w:kern w:val="2"/>
          <w:sz w:val="21"/>
          <w:szCs w:val="21"/>
        </w:rPr>
        <w:t>（七）投标无效的情形</w:t>
      </w:r>
      <w:bookmarkEnd w:id="455"/>
      <w:bookmarkEnd w:id="456"/>
      <w:bookmarkEnd w:id="457"/>
      <w:bookmarkEnd w:id="458"/>
      <w:bookmarkEnd w:id="459"/>
    </w:p>
    <w:p>
      <w:pPr>
        <w:snapToGrid w:val="0"/>
        <w:spacing w:line="360" w:lineRule="auto"/>
        <w:ind w:firstLine="420" w:firstLineChars="200"/>
        <w:rPr>
          <w:bCs/>
          <w:color w:val="000000"/>
          <w:szCs w:val="21"/>
        </w:rPr>
      </w:pPr>
      <w:r>
        <w:rPr>
          <w:bCs/>
          <w:color w:val="000000"/>
          <w:szCs w:val="21"/>
        </w:rPr>
        <w:t>实质上没有响应采购文件要求的投标将被视为无效投标。投标人不得通过修正或撤消不合要求的偏离或保留从而使其投标成为实质上响应的投标。投标无效情形详见第四章《评标办法及评分标准》。</w:t>
      </w:r>
    </w:p>
    <w:p>
      <w:pPr>
        <w:pStyle w:val="4"/>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460" w:name="_Toc460416662"/>
      <w:bookmarkStart w:id="461" w:name="_Toc460857921"/>
      <w:bookmarkStart w:id="462" w:name="_Toc460416357"/>
      <w:bookmarkStart w:id="463" w:name="_Toc17707935"/>
      <w:bookmarkStart w:id="464" w:name="_Toc109989374"/>
      <w:r>
        <w:rPr>
          <w:rFonts w:ascii="Times New Roman" w:hAnsi="Times New Roman" w:eastAsia="宋体"/>
          <w:color w:val="000000"/>
          <w:sz w:val="21"/>
          <w:szCs w:val="21"/>
        </w:rPr>
        <w:t>四、开标</w:t>
      </w:r>
      <w:bookmarkEnd w:id="460"/>
      <w:bookmarkEnd w:id="461"/>
      <w:bookmarkEnd w:id="462"/>
      <w:bookmarkEnd w:id="463"/>
      <w:bookmarkEnd w:id="464"/>
    </w:p>
    <w:p>
      <w:pPr>
        <w:pStyle w:val="5"/>
        <w:numPr>
          <w:ilvl w:val="0"/>
          <w:numId w:val="0"/>
        </w:numPr>
        <w:spacing w:before="0" w:after="0" w:line="360" w:lineRule="auto"/>
        <w:rPr>
          <w:rFonts w:ascii="Times New Roman" w:hAnsi="Times New Roman"/>
          <w:color w:val="000000"/>
          <w:kern w:val="2"/>
          <w:sz w:val="21"/>
          <w:szCs w:val="21"/>
        </w:rPr>
      </w:pPr>
      <w:bookmarkStart w:id="465" w:name="_Toc17707936"/>
      <w:bookmarkStart w:id="466" w:name="_Toc460857922"/>
      <w:bookmarkStart w:id="467" w:name="_Toc109989375"/>
      <w:r>
        <w:rPr>
          <w:rFonts w:ascii="Times New Roman" w:hAnsi="Times New Roman"/>
          <w:color w:val="000000"/>
          <w:kern w:val="2"/>
          <w:sz w:val="21"/>
          <w:szCs w:val="21"/>
        </w:rPr>
        <w:t>（一）开标准备</w:t>
      </w:r>
      <w:bookmarkEnd w:id="465"/>
      <w:bookmarkEnd w:id="466"/>
      <w:bookmarkEnd w:id="467"/>
    </w:p>
    <w:p>
      <w:pPr>
        <w:pStyle w:val="21"/>
        <w:snapToGrid w:val="0"/>
        <w:spacing w:beforeLines="0" w:afterLines="0" w:line="360" w:lineRule="auto"/>
        <w:ind w:firstLine="420" w:firstLineChars="200"/>
        <w:jc w:val="left"/>
        <w:rPr>
          <w:rFonts w:ascii="Times New Roman" w:hAnsi="Times New Roman"/>
          <w:color w:val="000000"/>
          <w:kern w:val="2"/>
          <w:sz w:val="21"/>
          <w:szCs w:val="21"/>
        </w:rPr>
      </w:pPr>
      <w:r>
        <w:rPr>
          <w:rFonts w:ascii="Times New Roman" w:hAnsi="Times New Roman"/>
          <w:color w:val="000000"/>
          <w:kern w:val="2"/>
          <w:sz w:val="21"/>
          <w:szCs w:val="21"/>
        </w:rPr>
        <w:t>采购代理机构将在规定的时间和地点进行开标，供应商的法定代表人或其授权代表可参加开标会。供应商的法定代表人或其授权代表未参加开标会的，视同放弃开标监督权利、认可开标结果。</w:t>
      </w:r>
    </w:p>
    <w:p>
      <w:pPr>
        <w:pStyle w:val="5"/>
        <w:numPr>
          <w:ilvl w:val="0"/>
          <w:numId w:val="0"/>
        </w:numPr>
        <w:spacing w:before="0" w:after="0" w:line="360" w:lineRule="auto"/>
        <w:rPr>
          <w:rFonts w:ascii="Times New Roman" w:hAnsi="Times New Roman"/>
          <w:color w:val="000000"/>
          <w:kern w:val="2"/>
          <w:sz w:val="21"/>
          <w:szCs w:val="21"/>
        </w:rPr>
      </w:pPr>
      <w:bookmarkStart w:id="468" w:name="_Toc17707937"/>
      <w:bookmarkStart w:id="469" w:name="_Toc460857923"/>
      <w:bookmarkStart w:id="470" w:name="_Toc109989376"/>
      <w:r>
        <w:rPr>
          <w:rFonts w:ascii="Times New Roman" w:hAnsi="Times New Roman"/>
          <w:color w:val="000000"/>
          <w:kern w:val="2"/>
          <w:sz w:val="21"/>
          <w:szCs w:val="21"/>
        </w:rPr>
        <w:t>（二）开标程序</w:t>
      </w:r>
      <w:bookmarkEnd w:id="468"/>
      <w:bookmarkEnd w:id="469"/>
      <w:bookmarkEnd w:id="470"/>
    </w:p>
    <w:p>
      <w:pPr>
        <w:snapToGrid w:val="0"/>
        <w:spacing w:line="360" w:lineRule="auto"/>
        <w:ind w:firstLine="420" w:firstLineChars="200"/>
        <w:rPr>
          <w:color w:val="000000"/>
          <w:szCs w:val="21"/>
        </w:rPr>
      </w:pPr>
      <w:bookmarkStart w:id="471" w:name="_Toc460416358"/>
      <w:bookmarkStart w:id="472" w:name="_Toc460416663"/>
      <w:bookmarkStart w:id="473" w:name="_Toc460857924"/>
      <w:r>
        <w:rPr>
          <w:color w:val="000000"/>
          <w:szCs w:val="21"/>
        </w:rPr>
        <w:t>1、电子招投标开标程序：</w:t>
      </w:r>
    </w:p>
    <w:p>
      <w:pPr>
        <w:spacing w:line="360" w:lineRule="auto"/>
        <w:ind w:firstLine="420" w:firstLineChars="200"/>
        <w:rPr>
          <w:color w:val="000000"/>
          <w:szCs w:val="21"/>
        </w:rPr>
      </w:pPr>
      <w:r>
        <w:rPr>
          <w:color w:val="000000"/>
          <w:szCs w:val="21"/>
        </w:rPr>
        <w:t>第一阶段：</w:t>
      </w:r>
    </w:p>
    <w:p>
      <w:pPr>
        <w:numPr>
          <w:ilvl w:val="0"/>
          <w:numId w:val="11"/>
        </w:numPr>
        <w:spacing w:line="360" w:lineRule="auto"/>
        <w:ind w:firstLine="420" w:firstLineChars="200"/>
        <w:rPr>
          <w:color w:val="000000"/>
          <w:szCs w:val="21"/>
        </w:rPr>
      </w:pPr>
      <w:r>
        <w:rPr>
          <w:color w:val="000000"/>
          <w:szCs w:val="21"/>
        </w:rPr>
        <w:t>投标截止时间后，供应商登录政府采购云平台，用</w:t>
      </w:r>
      <w:r>
        <w:rPr>
          <w:rFonts w:hint="eastAsia"/>
          <w:color w:val="000000"/>
          <w:szCs w:val="21"/>
        </w:rPr>
        <w:t>“</w:t>
      </w:r>
      <w:r>
        <w:rPr>
          <w:color w:val="000000"/>
          <w:szCs w:val="21"/>
        </w:rPr>
        <w:t>项目采购-开标评标</w:t>
      </w:r>
      <w:r>
        <w:rPr>
          <w:rFonts w:hint="eastAsia"/>
          <w:color w:val="000000"/>
          <w:szCs w:val="21"/>
        </w:rPr>
        <w:t>”</w:t>
      </w:r>
      <w:r>
        <w:rPr>
          <w:color w:val="000000"/>
          <w:szCs w:val="21"/>
        </w:rPr>
        <w:t>功能对电子投标文件进行在线解密，在线解密电子投标文件时间为开标时间后30分钟内</w:t>
      </w:r>
      <w:r>
        <w:rPr>
          <w:rFonts w:hint="eastAsia"/>
          <w:color w:val="000000"/>
          <w:szCs w:val="21"/>
        </w:rPr>
        <w:t>。</w:t>
      </w:r>
    </w:p>
    <w:p>
      <w:pPr>
        <w:numPr>
          <w:ilvl w:val="0"/>
          <w:numId w:val="11"/>
        </w:numPr>
        <w:spacing w:line="360" w:lineRule="auto"/>
        <w:ind w:firstLine="420" w:firstLineChars="200"/>
        <w:rPr>
          <w:color w:val="000000"/>
          <w:szCs w:val="21"/>
        </w:rPr>
      </w:pPr>
      <w:r>
        <w:rPr>
          <w:color w:val="000000"/>
          <w:szCs w:val="21"/>
        </w:rPr>
        <w:t>在政府采购云平台开启已解密供应商的</w:t>
      </w:r>
      <w:r>
        <w:rPr>
          <w:rFonts w:hint="eastAsia"/>
          <w:color w:val="000000"/>
          <w:szCs w:val="21"/>
        </w:rPr>
        <w:t>“</w:t>
      </w:r>
      <w:r>
        <w:rPr>
          <w:color w:val="000000"/>
          <w:szCs w:val="21"/>
        </w:rPr>
        <w:t>投标文件</w:t>
      </w:r>
      <w:r>
        <w:rPr>
          <w:rFonts w:hint="eastAsia"/>
          <w:color w:val="000000"/>
          <w:szCs w:val="21"/>
        </w:rPr>
        <w:t>”。</w:t>
      </w:r>
    </w:p>
    <w:p>
      <w:pPr>
        <w:spacing w:line="360" w:lineRule="auto"/>
        <w:ind w:firstLine="420" w:firstLineChars="200"/>
        <w:rPr>
          <w:color w:val="000000"/>
          <w:szCs w:val="21"/>
        </w:rPr>
      </w:pPr>
      <w:r>
        <w:rPr>
          <w:color w:val="000000"/>
          <w:szCs w:val="21"/>
        </w:rPr>
        <w:t>第二阶段：</w:t>
      </w:r>
    </w:p>
    <w:p>
      <w:pPr>
        <w:spacing w:line="360" w:lineRule="auto"/>
        <w:ind w:firstLine="420" w:firstLineChars="200"/>
        <w:rPr>
          <w:color w:val="000000"/>
          <w:szCs w:val="21"/>
        </w:rPr>
      </w:pPr>
      <w:r>
        <w:rPr>
          <w:color w:val="000000"/>
          <w:szCs w:val="21"/>
        </w:rPr>
        <w:t>（1）在政府采购云平台宣告第一阶段评审无效供应商名单及理由</w:t>
      </w:r>
      <w:r>
        <w:rPr>
          <w:rFonts w:hint="eastAsia"/>
          <w:color w:val="000000"/>
          <w:szCs w:val="21"/>
        </w:rPr>
        <w:t>。</w:t>
      </w:r>
    </w:p>
    <w:p>
      <w:pPr>
        <w:spacing w:line="360" w:lineRule="auto"/>
        <w:ind w:firstLine="420" w:firstLineChars="200"/>
        <w:rPr>
          <w:color w:val="000000"/>
          <w:szCs w:val="21"/>
        </w:rPr>
      </w:pPr>
      <w:r>
        <w:rPr>
          <w:color w:val="000000"/>
          <w:szCs w:val="21"/>
        </w:rPr>
        <w:t>（2）公布经第一阶段评审符合采购文件要求的供应商的商务技术得分和报价得分情况</w:t>
      </w:r>
      <w:r>
        <w:rPr>
          <w:rFonts w:hint="eastAsia"/>
          <w:color w:val="000000"/>
          <w:szCs w:val="21"/>
        </w:rPr>
        <w:t>。</w:t>
      </w:r>
    </w:p>
    <w:p>
      <w:pPr>
        <w:spacing w:line="360" w:lineRule="auto"/>
        <w:ind w:firstLine="420" w:firstLineChars="200"/>
        <w:rPr>
          <w:color w:val="000000"/>
          <w:szCs w:val="21"/>
        </w:rPr>
      </w:pPr>
      <w:r>
        <w:rPr>
          <w:color w:val="000000"/>
          <w:szCs w:val="21"/>
        </w:rPr>
        <w:t>（3）在政府采购云平台公布评审结果</w:t>
      </w:r>
      <w:r>
        <w:rPr>
          <w:rFonts w:hint="eastAsia"/>
          <w:color w:val="000000"/>
          <w:szCs w:val="21"/>
        </w:rPr>
        <w:t>。</w:t>
      </w:r>
    </w:p>
    <w:p>
      <w:pPr>
        <w:spacing w:line="360" w:lineRule="auto"/>
        <w:ind w:firstLine="420" w:firstLineChars="200"/>
        <w:rPr>
          <w:color w:val="000000"/>
          <w:szCs w:val="21"/>
        </w:rPr>
      </w:pPr>
      <w:r>
        <w:rPr>
          <w:color w:val="000000"/>
          <w:szCs w:val="21"/>
        </w:rPr>
        <w:t>（4）开标会议结束</w:t>
      </w:r>
      <w:r>
        <w:rPr>
          <w:rFonts w:hint="eastAsia"/>
          <w:color w:val="000000"/>
          <w:szCs w:val="21"/>
        </w:rPr>
        <w:t>。</w:t>
      </w:r>
    </w:p>
    <w:p>
      <w:pPr>
        <w:spacing w:line="360" w:lineRule="auto"/>
        <w:ind w:firstLine="420" w:firstLineChars="200"/>
        <w:rPr>
          <w:color w:val="000000"/>
          <w:szCs w:val="21"/>
        </w:rPr>
      </w:pPr>
      <w:r>
        <w:rPr>
          <w:rFonts w:hint="eastAsia"/>
          <w:color w:val="000000"/>
          <w:szCs w:val="21"/>
        </w:rPr>
        <w:t>2</w:t>
      </w:r>
      <w:r>
        <w:rPr>
          <w:color w:val="000000"/>
          <w:szCs w:val="21"/>
        </w:rPr>
        <w:t>、特别说明：政府采购云平台如对电子化开标及评审程序有调整的，按调整后的程序操作。</w:t>
      </w:r>
    </w:p>
    <w:p>
      <w:pPr>
        <w:spacing w:line="360" w:lineRule="auto"/>
        <w:ind w:firstLine="420" w:firstLineChars="200"/>
        <w:rPr>
          <w:color w:val="000000"/>
          <w:szCs w:val="21"/>
        </w:rPr>
      </w:pPr>
      <w:r>
        <w:rPr>
          <w:color w:val="000000"/>
          <w:szCs w:val="21"/>
        </w:rPr>
        <w:t>本项目原则上采用政采云电子招投标开标程序，但有以下情形之一的，按以下情况处理：</w:t>
      </w:r>
    </w:p>
    <w:p>
      <w:pPr>
        <w:spacing w:line="360" w:lineRule="auto"/>
        <w:ind w:firstLine="420" w:firstLineChars="200"/>
        <w:rPr>
          <w:color w:val="000000"/>
          <w:szCs w:val="21"/>
        </w:rPr>
      </w:pPr>
      <w:r>
        <w:rPr>
          <w:color w:val="000000"/>
          <w:szCs w:val="21"/>
        </w:rPr>
        <w:t>（1）若有供应商在规定时间内无法解密或解密失败，代理机构将开启该供应商递交的以U盘存储的电子备份投标文件，上传至政采云平台项目采购模块，以完成开标，电子投标文件自动失效。</w:t>
      </w:r>
    </w:p>
    <w:p>
      <w:pPr>
        <w:spacing w:line="360" w:lineRule="auto"/>
        <w:ind w:firstLine="420" w:firstLineChars="200"/>
        <w:rPr>
          <w:color w:val="000000"/>
          <w:szCs w:val="21"/>
        </w:rPr>
      </w:pPr>
      <w:r>
        <w:rPr>
          <w:color w:val="000000"/>
          <w:szCs w:val="21"/>
        </w:rPr>
        <w:t>（2）若因政府采购云平台原因无法读取或电子开评标无法正常进行，代理机构将开启所有供应商递交的纸质备份投标文件，以完成开标，电子投标文件及以U盘存储的电子备份投标文件自动失效。</w:t>
      </w:r>
    </w:p>
    <w:p>
      <w:pPr>
        <w:spacing w:line="360" w:lineRule="auto"/>
        <w:ind w:firstLine="420" w:firstLineChars="200"/>
        <w:rPr>
          <w:color w:val="000000"/>
          <w:szCs w:val="21"/>
        </w:rPr>
      </w:pPr>
      <w:r>
        <w:rPr>
          <w:color w:val="000000"/>
          <w:szCs w:val="21"/>
        </w:rPr>
        <w:t>（3）采购过程中出现以下情形，导致电子交易平台无法正常运行，或者无法保证电子交易的公平、公正和安全时，采购人（或代理机构）可中止电子交易活动：</w:t>
      </w:r>
    </w:p>
    <w:p>
      <w:pPr>
        <w:spacing w:line="360" w:lineRule="auto"/>
        <w:ind w:firstLine="420" w:firstLineChars="200"/>
        <w:rPr>
          <w:color w:val="000000"/>
          <w:szCs w:val="21"/>
        </w:rPr>
      </w:pPr>
      <w:r>
        <w:rPr>
          <w:color w:val="000000"/>
          <w:szCs w:val="21"/>
        </w:rPr>
        <w:t>3.1电子交易平台发生故障而无法登录访问的；</w:t>
      </w:r>
    </w:p>
    <w:p>
      <w:pPr>
        <w:spacing w:line="360" w:lineRule="auto"/>
        <w:ind w:firstLine="420" w:firstLineChars="200"/>
        <w:rPr>
          <w:color w:val="000000"/>
          <w:szCs w:val="21"/>
        </w:rPr>
      </w:pPr>
      <w:r>
        <w:rPr>
          <w:color w:val="000000"/>
          <w:szCs w:val="21"/>
        </w:rPr>
        <w:t>3.2电子交易平台应用或数据库出现错误，不能进行正常操作的；</w:t>
      </w:r>
    </w:p>
    <w:p>
      <w:pPr>
        <w:spacing w:line="360" w:lineRule="auto"/>
        <w:ind w:firstLine="420" w:firstLineChars="200"/>
        <w:rPr>
          <w:color w:val="000000"/>
          <w:szCs w:val="21"/>
        </w:rPr>
      </w:pPr>
      <w:r>
        <w:rPr>
          <w:color w:val="000000"/>
          <w:szCs w:val="21"/>
        </w:rPr>
        <w:t>3.3电子交易平台发现严重安全漏洞，有潜在泄密危险的；</w:t>
      </w:r>
    </w:p>
    <w:p>
      <w:pPr>
        <w:spacing w:line="360" w:lineRule="auto"/>
        <w:ind w:firstLine="420" w:firstLineChars="200"/>
        <w:rPr>
          <w:color w:val="000000"/>
          <w:szCs w:val="21"/>
        </w:rPr>
      </w:pPr>
      <w:r>
        <w:rPr>
          <w:color w:val="000000"/>
          <w:szCs w:val="21"/>
        </w:rPr>
        <w:t>3.4病毒发作导致不能进行正常操作的；</w:t>
      </w:r>
    </w:p>
    <w:p>
      <w:pPr>
        <w:spacing w:line="360" w:lineRule="auto"/>
        <w:ind w:firstLine="420" w:firstLineChars="200"/>
        <w:rPr>
          <w:color w:val="000000"/>
          <w:szCs w:val="21"/>
        </w:rPr>
      </w:pPr>
      <w:r>
        <w:rPr>
          <w:color w:val="000000"/>
          <w:szCs w:val="21"/>
        </w:rPr>
        <w:t>3.5其他无法保证电子交易的公平、公正和安全的情况。</w:t>
      </w:r>
    </w:p>
    <w:p>
      <w:pPr>
        <w:spacing w:line="360" w:lineRule="auto"/>
        <w:ind w:firstLine="420" w:firstLineChars="200"/>
        <w:rPr>
          <w:color w:val="000000"/>
          <w:szCs w:val="21"/>
        </w:rPr>
      </w:pPr>
      <w:r>
        <w:rPr>
          <w:color w:val="000000"/>
          <w:szCs w:val="21"/>
        </w:rPr>
        <w:t>出现前款规定情形，不影响采购公平、公正性的，采购人（或代理机构）可以待上述情形消除后继续组织电子交易活动，也可以决定某些环节以纸质形式进行。</w:t>
      </w:r>
    </w:p>
    <w:p>
      <w:pPr>
        <w:spacing w:line="360" w:lineRule="auto"/>
        <w:ind w:firstLine="420" w:firstLineChars="200"/>
        <w:rPr>
          <w:color w:val="000000"/>
          <w:szCs w:val="21"/>
        </w:rPr>
      </w:pPr>
      <w:r>
        <w:rPr>
          <w:color w:val="000000"/>
          <w:szCs w:val="21"/>
        </w:rPr>
        <w:t>（4）未开启的备份投标文件</w:t>
      </w:r>
      <w:r>
        <w:rPr>
          <w:rFonts w:hint="eastAsia"/>
          <w:color w:val="000000"/>
          <w:szCs w:val="21"/>
        </w:rPr>
        <w:t>不予</w:t>
      </w:r>
      <w:r>
        <w:rPr>
          <w:color w:val="000000"/>
          <w:szCs w:val="21"/>
        </w:rPr>
        <w:t>退还。</w:t>
      </w:r>
    </w:p>
    <w:p>
      <w:pPr>
        <w:pStyle w:val="4"/>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474" w:name="_Toc109989377"/>
      <w:bookmarkStart w:id="475" w:name="_Toc17707938"/>
      <w:r>
        <w:rPr>
          <w:rFonts w:ascii="Times New Roman" w:hAnsi="Times New Roman" w:eastAsia="宋体"/>
          <w:color w:val="000000"/>
          <w:sz w:val="21"/>
          <w:szCs w:val="21"/>
        </w:rPr>
        <w:t>五、评标</w:t>
      </w:r>
      <w:bookmarkEnd w:id="471"/>
      <w:bookmarkEnd w:id="472"/>
      <w:bookmarkEnd w:id="473"/>
      <w:bookmarkEnd w:id="474"/>
      <w:bookmarkEnd w:id="475"/>
    </w:p>
    <w:p>
      <w:pPr>
        <w:pStyle w:val="5"/>
        <w:numPr>
          <w:ilvl w:val="0"/>
          <w:numId w:val="0"/>
        </w:numPr>
        <w:spacing w:before="0" w:after="0" w:line="360" w:lineRule="auto"/>
        <w:rPr>
          <w:rFonts w:ascii="Times New Roman" w:hAnsi="Times New Roman"/>
          <w:color w:val="000000"/>
          <w:kern w:val="2"/>
          <w:sz w:val="21"/>
          <w:szCs w:val="21"/>
        </w:rPr>
      </w:pPr>
      <w:bookmarkStart w:id="476" w:name="_Toc17707939"/>
      <w:bookmarkStart w:id="477" w:name="_Toc109989378"/>
      <w:bookmarkStart w:id="478" w:name="_Toc460857925"/>
      <w:r>
        <w:rPr>
          <w:rFonts w:ascii="Times New Roman" w:hAnsi="Times New Roman"/>
          <w:color w:val="000000"/>
          <w:kern w:val="2"/>
          <w:sz w:val="21"/>
          <w:szCs w:val="21"/>
        </w:rPr>
        <w:t>（一）组建评标委员会</w:t>
      </w:r>
      <w:bookmarkEnd w:id="476"/>
      <w:bookmarkEnd w:id="477"/>
      <w:bookmarkEnd w:id="478"/>
    </w:p>
    <w:p>
      <w:pPr>
        <w:pStyle w:val="21"/>
        <w:snapToGrid w:val="0"/>
        <w:spacing w:beforeLines="0" w:afterLines="0" w:line="360" w:lineRule="auto"/>
        <w:ind w:firstLine="420" w:firstLineChars="200"/>
        <w:jc w:val="left"/>
        <w:rPr>
          <w:rFonts w:ascii="Times New Roman" w:hAnsi="Times New Roman"/>
          <w:color w:val="000000"/>
          <w:sz w:val="21"/>
          <w:szCs w:val="21"/>
        </w:rPr>
      </w:pPr>
      <w:r>
        <w:rPr>
          <w:rFonts w:ascii="Times New Roman" w:hAnsi="Times New Roman"/>
          <w:color w:val="000000"/>
          <w:sz w:val="21"/>
          <w:szCs w:val="21"/>
        </w:rPr>
        <w:t>本项目评标委员会由采购人代表和评审专家组成或全部由评审专家组成，评审专家从专家库随机抽取。</w:t>
      </w:r>
    </w:p>
    <w:p>
      <w:pPr>
        <w:pStyle w:val="5"/>
        <w:numPr>
          <w:ilvl w:val="0"/>
          <w:numId w:val="0"/>
        </w:numPr>
        <w:spacing w:before="0" w:after="0" w:line="360" w:lineRule="auto"/>
        <w:rPr>
          <w:rFonts w:ascii="Times New Roman" w:hAnsi="Times New Roman"/>
          <w:color w:val="000000"/>
          <w:kern w:val="2"/>
          <w:sz w:val="21"/>
          <w:szCs w:val="21"/>
        </w:rPr>
      </w:pPr>
      <w:bookmarkStart w:id="479" w:name="_Toc109989379"/>
      <w:bookmarkStart w:id="480" w:name="_Toc17707941"/>
      <w:bookmarkStart w:id="481" w:name="_Toc460857927"/>
      <w:r>
        <w:rPr>
          <w:rFonts w:ascii="Times New Roman" w:hAnsi="Times New Roman"/>
          <w:color w:val="000000"/>
          <w:kern w:val="2"/>
          <w:sz w:val="21"/>
          <w:szCs w:val="21"/>
        </w:rPr>
        <w:t>（二）评标方法</w:t>
      </w:r>
      <w:bookmarkEnd w:id="479"/>
    </w:p>
    <w:p>
      <w:pPr>
        <w:pStyle w:val="21"/>
        <w:snapToGrid w:val="0"/>
        <w:spacing w:beforeLines="0" w:afterLines="0" w:line="360" w:lineRule="auto"/>
        <w:ind w:firstLine="420" w:firstLineChars="200"/>
        <w:jc w:val="left"/>
        <w:rPr>
          <w:rFonts w:ascii="Times New Roman" w:hAnsi="Times New Roman"/>
          <w:color w:val="000000"/>
          <w:sz w:val="21"/>
          <w:szCs w:val="21"/>
        </w:rPr>
      </w:pPr>
      <w:r>
        <w:rPr>
          <w:rFonts w:ascii="Times New Roman" w:hAnsi="Times New Roman"/>
          <w:color w:val="000000"/>
          <w:sz w:val="21"/>
          <w:szCs w:val="21"/>
        </w:rPr>
        <w:t>评标方法见第四章。</w:t>
      </w:r>
    </w:p>
    <w:p>
      <w:pPr>
        <w:pStyle w:val="5"/>
        <w:numPr>
          <w:ilvl w:val="0"/>
          <w:numId w:val="0"/>
        </w:numPr>
        <w:spacing w:before="0" w:after="0" w:line="360" w:lineRule="auto"/>
        <w:rPr>
          <w:rFonts w:ascii="Times New Roman" w:hAnsi="Times New Roman"/>
          <w:color w:val="000000"/>
          <w:kern w:val="2"/>
          <w:sz w:val="21"/>
          <w:szCs w:val="21"/>
        </w:rPr>
      </w:pPr>
      <w:bookmarkStart w:id="482" w:name="_Toc109989380"/>
      <w:r>
        <w:rPr>
          <w:rFonts w:ascii="Times New Roman" w:hAnsi="Times New Roman"/>
          <w:color w:val="000000"/>
          <w:kern w:val="2"/>
          <w:sz w:val="21"/>
          <w:szCs w:val="21"/>
        </w:rPr>
        <w:t>（三）评标程序</w:t>
      </w:r>
      <w:bookmarkEnd w:id="480"/>
      <w:bookmarkEnd w:id="481"/>
      <w:bookmarkEnd w:id="482"/>
    </w:p>
    <w:p>
      <w:pPr>
        <w:pStyle w:val="21"/>
        <w:snapToGrid w:val="0"/>
        <w:spacing w:beforeLines="0" w:afterLines="0" w:line="360" w:lineRule="auto"/>
        <w:ind w:firstLine="420" w:firstLineChars="200"/>
        <w:jc w:val="left"/>
        <w:rPr>
          <w:rFonts w:ascii="Times New Roman" w:hAnsi="Times New Roman"/>
          <w:color w:val="000000"/>
          <w:sz w:val="21"/>
          <w:szCs w:val="21"/>
        </w:rPr>
      </w:pPr>
      <w:r>
        <w:rPr>
          <w:rFonts w:ascii="Times New Roman" w:hAnsi="Times New Roman"/>
          <w:color w:val="000000"/>
          <w:sz w:val="21"/>
          <w:szCs w:val="21"/>
        </w:rPr>
        <w:t>评标程序见第四章</w:t>
      </w:r>
      <w:r>
        <w:rPr>
          <w:rFonts w:hint="eastAsia" w:ascii="Times New Roman" w:hAnsi="Times New Roman"/>
          <w:color w:val="000000"/>
          <w:sz w:val="21"/>
          <w:szCs w:val="21"/>
        </w:rPr>
        <w:t>。</w:t>
      </w:r>
    </w:p>
    <w:p>
      <w:pPr>
        <w:pStyle w:val="5"/>
        <w:numPr>
          <w:ilvl w:val="0"/>
          <w:numId w:val="0"/>
        </w:numPr>
        <w:spacing w:before="0" w:after="0" w:line="360" w:lineRule="auto"/>
        <w:rPr>
          <w:rFonts w:ascii="Times New Roman" w:hAnsi="Times New Roman"/>
          <w:color w:val="000000"/>
          <w:kern w:val="2"/>
          <w:sz w:val="21"/>
          <w:szCs w:val="21"/>
        </w:rPr>
      </w:pPr>
      <w:bookmarkStart w:id="483" w:name="_Toc109989381"/>
      <w:r>
        <w:rPr>
          <w:rFonts w:ascii="Times New Roman" w:hAnsi="Times New Roman"/>
          <w:color w:val="000000"/>
          <w:kern w:val="2"/>
          <w:sz w:val="21"/>
          <w:szCs w:val="21"/>
        </w:rPr>
        <w:t>（四）评标过程保密</w:t>
      </w:r>
      <w:bookmarkEnd w:id="483"/>
    </w:p>
    <w:p>
      <w:pPr>
        <w:pStyle w:val="21"/>
        <w:snapToGrid w:val="0"/>
        <w:spacing w:beforeLines="0" w:afterLines="0" w:line="360" w:lineRule="auto"/>
        <w:ind w:firstLine="420" w:firstLineChars="200"/>
        <w:jc w:val="left"/>
        <w:rPr>
          <w:rFonts w:ascii="Times New Roman" w:hAnsi="Times New Roman"/>
          <w:sz w:val="21"/>
          <w:szCs w:val="21"/>
        </w:rPr>
      </w:pPr>
      <w:r>
        <w:rPr>
          <w:rFonts w:ascii="Times New Roman" w:hAnsi="Times New Roman"/>
          <w:sz w:val="21"/>
          <w:szCs w:val="21"/>
        </w:rPr>
        <w:t>中标结果公示发布之前，评标委员会名单应该保密。评标委员会成员、采购人和采购代理机构的有关参与人员应该对评标过程保密，不得向投标人或其他无关的人员透露。</w:t>
      </w:r>
    </w:p>
    <w:p>
      <w:pPr>
        <w:pStyle w:val="4"/>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484" w:name="_Toc17707945"/>
      <w:bookmarkStart w:id="485" w:name="_Toc460857932"/>
      <w:bookmarkStart w:id="486" w:name="_Toc109989382"/>
      <w:r>
        <w:rPr>
          <w:rFonts w:ascii="Times New Roman" w:hAnsi="Times New Roman" w:eastAsia="宋体"/>
          <w:color w:val="000000"/>
          <w:sz w:val="21"/>
          <w:szCs w:val="21"/>
        </w:rPr>
        <w:t>六、定标</w:t>
      </w:r>
      <w:bookmarkEnd w:id="484"/>
      <w:bookmarkEnd w:id="485"/>
      <w:bookmarkEnd w:id="486"/>
    </w:p>
    <w:p>
      <w:pPr>
        <w:pStyle w:val="5"/>
        <w:numPr>
          <w:ilvl w:val="0"/>
          <w:numId w:val="0"/>
        </w:numPr>
        <w:spacing w:before="0" w:after="0" w:line="360" w:lineRule="auto"/>
        <w:rPr>
          <w:rFonts w:ascii="Times New Roman" w:hAnsi="Times New Roman"/>
          <w:color w:val="000000"/>
          <w:kern w:val="2"/>
          <w:sz w:val="21"/>
          <w:szCs w:val="21"/>
        </w:rPr>
      </w:pPr>
      <w:bookmarkStart w:id="487" w:name="_Toc17707946"/>
      <w:bookmarkStart w:id="488" w:name="_Toc109989383"/>
      <w:bookmarkStart w:id="489" w:name="_Toc460857933"/>
      <w:r>
        <w:rPr>
          <w:rFonts w:ascii="Times New Roman" w:hAnsi="Times New Roman"/>
          <w:color w:val="000000"/>
          <w:kern w:val="2"/>
          <w:sz w:val="21"/>
          <w:szCs w:val="21"/>
        </w:rPr>
        <w:t>（一）确定中标人</w:t>
      </w:r>
      <w:bookmarkEnd w:id="487"/>
      <w:bookmarkEnd w:id="488"/>
      <w:bookmarkEnd w:id="489"/>
    </w:p>
    <w:p>
      <w:pPr>
        <w:pStyle w:val="21"/>
        <w:widowControl/>
        <w:spacing w:beforeLines="0" w:afterLines="0" w:line="360" w:lineRule="auto"/>
        <w:ind w:firstLine="420" w:firstLineChars="200"/>
        <w:jc w:val="left"/>
        <w:rPr>
          <w:rFonts w:ascii="Times New Roman" w:hAnsi="Times New Roman"/>
          <w:sz w:val="21"/>
          <w:szCs w:val="21"/>
        </w:rPr>
      </w:pPr>
      <w:r>
        <w:rPr>
          <w:rFonts w:ascii="Times New Roman" w:hAnsi="Times New Roman"/>
          <w:sz w:val="21"/>
          <w:szCs w:val="21"/>
        </w:rPr>
        <w:t>1.本项目由评标委员会推荐中标候选人，采购人不得在评标委员会推荐的中标候选人以外确定中标候选人。</w:t>
      </w:r>
    </w:p>
    <w:p>
      <w:pPr>
        <w:pStyle w:val="21"/>
        <w:widowControl/>
        <w:spacing w:beforeLines="0" w:afterLines="0" w:line="360" w:lineRule="auto"/>
        <w:ind w:firstLine="420" w:firstLineChars="200"/>
        <w:jc w:val="left"/>
        <w:rPr>
          <w:rFonts w:ascii="Times New Roman" w:hAnsi="Times New Roman"/>
          <w:sz w:val="21"/>
          <w:szCs w:val="21"/>
        </w:rPr>
      </w:pPr>
      <w:r>
        <w:rPr>
          <w:rFonts w:ascii="Times New Roman" w:hAnsi="Times New Roman"/>
          <w:sz w:val="21"/>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综合得分第一的中标候选人为中标人。</w:t>
      </w:r>
    </w:p>
    <w:p>
      <w:pPr>
        <w:pStyle w:val="21"/>
        <w:widowControl/>
        <w:spacing w:beforeLines="0" w:afterLines="0" w:line="360" w:lineRule="auto"/>
        <w:ind w:firstLine="420" w:firstLineChars="200"/>
        <w:jc w:val="left"/>
        <w:rPr>
          <w:rFonts w:ascii="Times New Roman" w:hAnsi="Times New Roman"/>
          <w:sz w:val="21"/>
          <w:szCs w:val="21"/>
        </w:rPr>
      </w:pPr>
      <w:r>
        <w:rPr>
          <w:rFonts w:ascii="Times New Roman" w:hAnsi="Times New Roman"/>
          <w:sz w:val="21"/>
          <w:szCs w:val="21"/>
        </w:rPr>
        <w:t>3.采购代理机构自中标人确定之日起2个工作日内，在发布招标公告的网站上对中标结果进行公示，中标结果公告期限为1个工作日。</w:t>
      </w:r>
    </w:p>
    <w:p>
      <w:pPr>
        <w:pStyle w:val="21"/>
        <w:widowControl/>
        <w:spacing w:beforeLines="0" w:afterLines="0" w:line="360" w:lineRule="auto"/>
        <w:ind w:firstLine="420" w:firstLineChars="200"/>
        <w:jc w:val="left"/>
        <w:rPr>
          <w:rFonts w:ascii="Times New Roman" w:hAnsi="Times New Roman"/>
          <w:sz w:val="21"/>
          <w:szCs w:val="21"/>
        </w:rPr>
      </w:pPr>
      <w:r>
        <w:rPr>
          <w:rFonts w:ascii="Times New Roman" w:hAnsi="Times New Roman"/>
          <w:sz w:val="21"/>
          <w:szCs w:val="21"/>
        </w:rPr>
        <w:t>4.凡发现中标人有下列行为之一的，将移交政府采购监督管理部门依法处理：</w:t>
      </w:r>
    </w:p>
    <w:p>
      <w:pPr>
        <w:numPr>
          <w:ilvl w:val="0"/>
          <w:numId w:val="12"/>
        </w:numPr>
        <w:spacing w:line="360" w:lineRule="auto"/>
        <w:rPr>
          <w:szCs w:val="21"/>
        </w:rPr>
      </w:pPr>
      <w:r>
        <w:rPr>
          <w:szCs w:val="21"/>
        </w:rPr>
        <w:t>提供虚假材料谋取中标的；</w:t>
      </w:r>
    </w:p>
    <w:p>
      <w:pPr>
        <w:numPr>
          <w:ilvl w:val="0"/>
          <w:numId w:val="12"/>
        </w:numPr>
        <w:spacing w:line="360" w:lineRule="auto"/>
        <w:rPr>
          <w:szCs w:val="21"/>
        </w:rPr>
      </w:pPr>
      <w:r>
        <w:rPr>
          <w:szCs w:val="21"/>
        </w:rPr>
        <w:t>采取不正当手段诋毁、排挤其他投标人的；</w:t>
      </w:r>
    </w:p>
    <w:p>
      <w:pPr>
        <w:numPr>
          <w:ilvl w:val="0"/>
          <w:numId w:val="12"/>
        </w:numPr>
        <w:spacing w:line="360" w:lineRule="auto"/>
        <w:rPr>
          <w:szCs w:val="21"/>
        </w:rPr>
      </w:pPr>
      <w:r>
        <w:rPr>
          <w:szCs w:val="21"/>
        </w:rPr>
        <w:t>与采购人、其他投标人或者采购代理机构工作人员恶意串通的；</w:t>
      </w:r>
    </w:p>
    <w:p>
      <w:pPr>
        <w:numPr>
          <w:ilvl w:val="0"/>
          <w:numId w:val="12"/>
        </w:numPr>
        <w:spacing w:line="360" w:lineRule="auto"/>
        <w:rPr>
          <w:szCs w:val="21"/>
        </w:rPr>
      </w:pPr>
      <w:r>
        <w:rPr>
          <w:szCs w:val="21"/>
        </w:rPr>
        <w:t>向采购人或采购代理机构人员行贿或者提供其他不正当利益的；</w:t>
      </w:r>
    </w:p>
    <w:p>
      <w:pPr>
        <w:numPr>
          <w:ilvl w:val="0"/>
          <w:numId w:val="12"/>
        </w:numPr>
        <w:spacing w:line="360" w:lineRule="auto"/>
        <w:rPr>
          <w:szCs w:val="21"/>
        </w:rPr>
      </w:pPr>
      <w:r>
        <w:rPr>
          <w:szCs w:val="21"/>
        </w:rPr>
        <w:t>拒绝有关部门监督检查或者提供虚假情况的；</w:t>
      </w:r>
    </w:p>
    <w:p>
      <w:pPr>
        <w:numPr>
          <w:ilvl w:val="0"/>
          <w:numId w:val="12"/>
        </w:numPr>
        <w:spacing w:line="360" w:lineRule="auto"/>
        <w:rPr>
          <w:szCs w:val="21"/>
        </w:rPr>
      </w:pPr>
      <w:r>
        <w:rPr>
          <w:szCs w:val="21"/>
        </w:rPr>
        <w:t>有法律、法规规定的其他损害采购人利益和社会公共利益情形的。</w:t>
      </w:r>
    </w:p>
    <w:p>
      <w:pPr>
        <w:snapToGrid w:val="0"/>
        <w:spacing w:line="360" w:lineRule="auto"/>
        <w:ind w:firstLine="420" w:firstLineChars="200"/>
        <w:jc w:val="left"/>
        <w:rPr>
          <w:bCs/>
          <w:iCs/>
          <w:color w:val="000000"/>
          <w:szCs w:val="21"/>
        </w:rPr>
      </w:pPr>
      <w:r>
        <w:rPr>
          <w:bCs/>
          <w:iCs/>
          <w:color w:val="000000"/>
          <w:szCs w:val="21"/>
        </w:rPr>
        <w:t>或</w:t>
      </w:r>
    </w:p>
    <w:p>
      <w:pPr>
        <w:snapToGrid w:val="0"/>
        <w:spacing w:line="360" w:lineRule="auto"/>
        <w:ind w:firstLine="420" w:firstLineChars="200"/>
        <w:jc w:val="left"/>
        <w:rPr>
          <w:color w:val="000000"/>
        </w:rPr>
      </w:pPr>
      <w:r>
        <w:rPr>
          <w:bCs/>
          <w:color w:val="000000"/>
          <w:szCs w:val="21"/>
        </w:rPr>
        <w:t>1.</w:t>
      </w:r>
      <w:r>
        <w:rPr>
          <w:color w:val="000000"/>
        </w:rPr>
        <w:t>本项目由采购人事先授权评标委员会直接确定中标人。</w:t>
      </w:r>
    </w:p>
    <w:p>
      <w:pPr>
        <w:snapToGrid w:val="0"/>
        <w:spacing w:line="360" w:lineRule="auto"/>
        <w:ind w:firstLine="420" w:firstLineChars="200"/>
        <w:jc w:val="left"/>
        <w:rPr>
          <w:szCs w:val="21"/>
        </w:rPr>
      </w:pPr>
      <w:r>
        <w:rPr>
          <w:color w:val="000000"/>
          <w:szCs w:val="21"/>
        </w:rPr>
        <w:t>2.</w:t>
      </w:r>
      <w:r>
        <w:rPr>
          <w:szCs w:val="21"/>
        </w:rPr>
        <w:t>凡发现中标人有下列行为之一的，将移交政府采购监督管理部门依法处理：</w:t>
      </w:r>
    </w:p>
    <w:p>
      <w:pPr>
        <w:numPr>
          <w:ilvl w:val="0"/>
          <w:numId w:val="13"/>
        </w:numPr>
        <w:spacing w:line="360" w:lineRule="auto"/>
        <w:rPr>
          <w:szCs w:val="21"/>
        </w:rPr>
      </w:pPr>
      <w:r>
        <w:rPr>
          <w:szCs w:val="21"/>
        </w:rPr>
        <w:t>提供虚假材料谋取中标的；</w:t>
      </w:r>
    </w:p>
    <w:p>
      <w:pPr>
        <w:numPr>
          <w:ilvl w:val="0"/>
          <w:numId w:val="13"/>
        </w:numPr>
        <w:spacing w:line="360" w:lineRule="auto"/>
        <w:rPr>
          <w:szCs w:val="21"/>
        </w:rPr>
      </w:pPr>
      <w:r>
        <w:rPr>
          <w:szCs w:val="21"/>
        </w:rPr>
        <w:t>采取不正当手段诋毁、排挤其他投标人的；</w:t>
      </w:r>
    </w:p>
    <w:p>
      <w:pPr>
        <w:numPr>
          <w:ilvl w:val="0"/>
          <w:numId w:val="13"/>
        </w:numPr>
        <w:spacing w:line="360" w:lineRule="auto"/>
        <w:rPr>
          <w:szCs w:val="21"/>
        </w:rPr>
      </w:pPr>
      <w:r>
        <w:rPr>
          <w:szCs w:val="21"/>
        </w:rPr>
        <w:t>与采购人、其他投标人或者采购代理机构工作人员恶意串通的；</w:t>
      </w:r>
    </w:p>
    <w:p>
      <w:pPr>
        <w:numPr>
          <w:ilvl w:val="0"/>
          <w:numId w:val="13"/>
        </w:numPr>
        <w:spacing w:line="360" w:lineRule="auto"/>
        <w:rPr>
          <w:szCs w:val="21"/>
        </w:rPr>
      </w:pPr>
      <w:r>
        <w:rPr>
          <w:szCs w:val="21"/>
        </w:rPr>
        <w:t>向采购人或采购代理机构人员行贿或者提供其他不正当利益的；</w:t>
      </w:r>
    </w:p>
    <w:p>
      <w:pPr>
        <w:numPr>
          <w:ilvl w:val="0"/>
          <w:numId w:val="13"/>
        </w:numPr>
        <w:spacing w:line="360" w:lineRule="auto"/>
        <w:rPr>
          <w:szCs w:val="21"/>
        </w:rPr>
      </w:pPr>
      <w:r>
        <w:rPr>
          <w:szCs w:val="21"/>
        </w:rPr>
        <w:t>拒绝有关部门监督检查或者提供虚假情况的；</w:t>
      </w:r>
    </w:p>
    <w:p>
      <w:pPr>
        <w:numPr>
          <w:ilvl w:val="0"/>
          <w:numId w:val="13"/>
        </w:numPr>
        <w:spacing w:line="360" w:lineRule="auto"/>
        <w:rPr>
          <w:szCs w:val="21"/>
        </w:rPr>
      </w:pPr>
      <w:r>
        <w:rPr>
          <w:szCs w:val="21"/>
        </w:rPr>
        <w:t>有法律、法规规定的其他损害采购人利益和社会公共利益情形的。</w:t>
      </w:r>
    </w:p>
    <w:p>
      <w:pPr>
        <w:pStyle w:val="4"/>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490" w:name="_Toc109989384"/>
      <w:bookmarkStart w:id="491" w:name="_Toc17707947"/>
      <w:r>
        <w:rPr>
          <w:rFonts w:ascii="Times New Roman" w:hAnsi="Times New Roman" w:eastAsia="宋体"/>
          <w:color w:val="000000"/>
          <w:sz w:val="21"/>
          <w:szCs w:val="21"/>
        </w:rPr>
        <w:t>七、评标过程的监控</w:t>
      </w:r>
      <w:bookmarkEnd w:id="490"/>
      <w:bookmarkEnd w:id="491"/>
    </w:p>
    <w:p>
      <w:pPr>
        <w:snapToGrid w:val="0"/>
        <w:spacing w:line="360" w:lineRule="auto"/>
        <w:ind w:firstLine="420" w:firstLineChars="200"/>
        <w:jc w:val="left"/>
        <w:rPr>
          <w:szCs w:val="21"/>
          <w:highlight w:val="yellow"/>
        </w:rPr>
      </w:pPr>
      <w:r>
        <w:rPr>
          <w:bCs/>
          <w:szCs w:val="28"/>
        </w:rPr>
        <w:t>本项目评标过程实行全程录音、录像监控，投标人在评标过程中所进行的试图影响评标结果的不公正活动，可能导致其投标被拒绝。</w:t>
      </w:r>
    </w:p>
    <w:p>
      <w:pPr>
        <w:pStyle w:val="4"/>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492" w:name="_Toc460857934"/>
      <w:bookmarkStart w:id="493" w:name="_Toc460416664"/>
      <w:bookmarkStart w:id="494" w:name="_Toc109989385"/>
      <w:bookmarkStart w:id="495" w:name="_Toc17707948"/>
      <w:bookmarkStart w:id="496" w:name="_Toc460416359"/>
      <w:r>
        <w:rPr>
          <w:rFonts w:ascii="Times New Roman" w:hAnsi="Times New Roman" w:eastAsia="宋体"/>
          <w:color w:val="000000"/>
          <w:sz w:val="21"/>
          <w:szCs w:val="21"/>
        </w:rPr>
        <w:t>八、合同授予</w:t>
      </w:r>
      <w:bookmarkEnd w:id="492"/>
      <w:bookmarkEnd w:id="493"/>
      <w:bookmarkEnd w:id="494"/>
      <w:bookmarkEnd w:id="495"/>
      <w:bookmarkEnd w:id="496"/>
    </w:p>
    <w:p>
      <w:pPr>
        <w:pStyle w:val="5"/>
        <w:numPr>
          <w:ilvl w:val="0"/>
          <w:numId w:val="0"/>
        </w:numPr>
        <w:spacing w:before="0" w:after="0" w:line="360" w:lineRule="auto"/>
        <w:rPr>
          <w:rFonts w:ascii="Times New Roman" w:hAnsi="Times New Roman"/>
          <w:color w:val="000000"/>
          <w:kern w:val="2"/>
          <w:sz w:val="21"/>
          <w:szCs w:val="21"/>
        </w:rPr>
      </w:pPr>
      <w:bookmarkStart w:id="497" w:name="_Toc17707949"/>
      <w:bookmarkStart w:id="498" w:name="_Toc109989386"/>
      <w:bookmarkStart w:id="499" w:name="_Toc460857935"/>
      <w:r>
        <w:rPr>
          <w:rFonts w:ascii="Times New Roman" w:hAnsi="Times New Roman"/>
          <w:color w:val="000000"/>
          <w:kern w:val="2"/>
          <w:sz w:val="21"/>
          <w:szCs w:val="21"/>
        </w:rPr>
        <w:t>（一）签订合同</w:t>
      </w:r>
      <w:bookmarkEnd w:id="497"/>
      <w:bookmarkEnd w:id="498"/>
      <w:bookmarkEnd w:id="499"/>
    </w:p>
    <w:p>
      <w:pPr>
        <w:snapToGrid w:val="0"/>
        <w:spacing w:line="360" w:lineRule="auto"/>
        <w:ind w:firstLine="420" w:firstLineChars="200"/>
        <w:rPr>
          <w:color w:val="000000"/>
          <w:szCs w:val="21"/>
        </w:rPr>
      </w:pPr>
      <w:r>
        <w:rPr>
          <w:color w:val="000000"/>
          <w:szCs w:val="21"/>
        </w:rPr>
        <w:t>1.采购人应当自中标通知书发出之日起30日内，按照采购文件和中标人投标文件的规定，与中标人签订书面合同。所签订的合同不得对采购文件确定的事项和中标人投标文件作实质性修改。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360" w:lineRule="auto"/>
        <w:ind w:firstLine="420" w:firstLineChars="200"/>
        <w:rPr>
          <w:color w:val="000000"/>
          <w:szCs w:val="21"/>
        </w:rPr>
      </w:pPr>
      <w:r>
        <w:rPr>
          <w:color w:val="000000"/>
          <w:szCs w:val="21"/>
        </w:rPr>
        <w:t>采购人不得向中标人提出任何不合理的要求作为签订合同的条件。</w:t>
      </w:r>
    </w:p>
    <w:p>
      <w:pPr>
        <w:pStyle w:val="21"/>
        <w:snapToGrid w:val="0"/>
        <w:spacing w:beforeLines="0" w:afterLines="0" w:line="360" w:lineRule="auto"/>
        <w:ind w:firstLine="411" w:firstLineChars="196"/>
        <w:rPr>
          <w:rFonts w:ascii="Times New Roman" w:hAnsi="Times New Roman"/>
          <w:color w:val="000000"/>
          <w:kern w:val="2"/>
          <w:sz w:val="21"/>
          <w:szCs w:val="21"/>
        </w:rPr>
      </w:pPr>
      <w:r>
        <w:rPr>
          <w:rFonts w:ascii="Times New Roman" w:hAnsi="Times New Roman"/>
          <w:color w:val="000000"/>
          <w:kern w:val="2"/>
          <w:sz w:val="21"/>
          <w:szCs w:val="21"/>
        </w:rPr>
        <w:t>2.采购人在签订合同时，在合同金额变更范围内，如需审批的办理相关审批手续。有权变更采购项目的数量和服务内容，但不能对单价或其他条款和条件作任何改变。</w:t>
      </w:r>
    </w:p>
    <w:p>
      <w:pPr>
        <w:pStyle w:val="21"/>
        <w:snapToGrid w:val="0"/>
        <w:spacing w:beforeLines="0" w:afterLines="0" w:line="360" w:lineRule="auto"/>
        <w:ind w:firstLine="411" w:firstLineChars="196"/>
        <w:rPr>
          <w:rFonts w:ascii="Times New Roman" w:hAnsi="Times New Roman"/>
          <w:color w:val="000000"/>
          <w:kern w:val="2"/>
          <w:sz w:val="21"/>
          <w:szCs w:val="21"/>
        </w:rPr>
      </w:pPr>
      <w:r>
        <w:rPr>
          <w:rFonts w:ascii="Times New Roman" w:hAnsi="Times New Roman"/>
          <w:color w:val="000000"/>
          <w:kern w:val="2"/>
          <w:sz w:val="21"/>
          <w:szCs w:val="21"/>
        </w:rPr>
        <w:t>3.采购文件、中标供应商的投标文件及评标过程中有关的澄清文件均应作为合同签订的附件。</w:t>
      </w:r>
    </w:p>
    <w:p>
      <w:pPr>
        <w:pStyle w:val="21"/>
        <w:snapToGrid w:val="0"/>
        <w:spacing w:beforeLines="0" w:afterLines="0" w:line="360" w:lineRule="auto"/>
        <w:ind w:firstLine="411" w:firstLineChars="196"/>
        <w:rPr>
          <w:rFonts w:ascii="Times New Roman" w:hAnsi="Times New Roman"/>
          <w:color w:val="000000"/>
          <w:kern w:val="2"/>
          <w:sz w:val="21"/>
          <w:szCs w:val="21"/>
        </w:rPr>
      </w:pPr>
      <w:r>
        <w:rPr>
          <w:rFonts w:ascii="Times New Roman" w:hAnsi="Times New Roman"/>
          <w:color w:val="000000"/>
          <w:kern w:val="2"/>
          <w:sz w:val="21"/>
          <w:szCs w:val="21"/>
        </w:rPr>
        <w:t>4.中标或者成交供应商拒绝与采购人签订合同的，采购人应重新招标。</w:t>
      </w:r>
    </w:p>
    <w:p>
      <w:pPr>
        <w:snapToGrid w:val="0"/>
        <w:spacing w:line="360" w:lineRule="auto"/>
        <w:ind w:firstLine="420" w:firstLineChars="200"/>
        <w:jc w:val="left"/>
        <w:rPr>
          <w:color w:val="000000"/>
          <w:szCs w:val="21"/>
        </w:rPr>
      </w:pPr>
      <w:r>
        <w:rPr>
          <w:color w:val="000000"/>
          <w:szCs w:val="21"/>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5"/>
        <w:numPr>
          <w:ilvl w:val="0"/>
          <w:numId w:val="0"/>
        </w:numPr>
        <w:spacing w:before="0" w:after="0" w:line="360" w:lineRule="auto"/>
        <w:rPr>
          <w:rFonts w:ascii="Times New Roman" w:hAnsi="Times New Roman"/>
          <w:color w:val="000000"/>
          <w:kern w:val="2"/>
          <w:sz w:val="21"/>
          <w:szCs w:val="21"/>
        </w:rPr>
      </w:pPr>
      <w:bookmarkStart w:id="500" w:name="_Toc460857936"/>
      <w:bookmarkStart w:id="501" w:name="_Toc109989387"/>
      <w:bookmarkStart w:id="502" w:name="_Toc17707950"/>
      <w:r>
        <w:rPr>
          <w:rFonts w:ascii="Times New Roman" w:hAnsi="Times New Roman"/>
          <w:color w:val="000000"/>
          <w:kern w:val="2"/>
          <w:sz w:val="21"/>
          <w:szCs w:val="21"/>
        </w:rPr>
        <w:t>（二）履约保证金</w:t>
      </w:r>
      <w:bookmarkEnd w:id="500"/>
      <w:bookmarkEnd w:id="501"/>
      <w:bookmarkEnd w:id="502"/>
    </w:p>
    <w:p>
      <w:pPr>
        <w:pStyle w:val="21"/>
        <w:snapToGrid w:val="0"/>
        <w:spacing w:beforeLines="0" w:afterLines="0" w:line="360" w:lineRule="auto"/>
        <w:ind w:firstLine="420" w:firstLineChars="200"/>
        <w:jc w:val="left"/>
        <w:rPr>
          <w:rFonts w:ascii="Times New Roman" w:hAnsi="Times New Roman"/>
          <w:color w:val="000000"/>
          <w:sz w:val="21"/>
          <w:szCs w:val="21"/>
        </w:rPr>
      </w:pPr>
      <w:r>
        <w:rPr>
          <w:rFonts w:ascii="Times New Roman" w:hAnsi="Times New Roman"/>
          <w:color w:val="000000"/>
          <w:sz w:val="21"/>
          <w:szCs w:val="21"/>
        </w:rPr>
        <w:t>1.签订合同时，中标人应按采购文件确定的履约保证金的金额，向采购人交纳履约保证金。</w:t>
      </w:r>
    </w:p>
    <w:p>
      <w:pPr>
        <w:pStyle w:val="21"/>
        <w:snapToGrid w:val="0"/>
        <w:spacing w:beforeLines="0" w:afterLines="0" w:line="360" w:lineRule="auto"/>
        <w:ind w:firstLine="420" w:firstLineChars="200"/>
        <w:jc w:val="left"/>
        <w:rPr>
          <w:rFonts w:ascii="Times New Roman" w:hAnsi="Times New Roman"/>
          <w:color w:val="000000"/>
          <w:sz w:val="21"/>
          <w:szCs w:val="21"/>
        </w:rPr>
      </w:pPr>
      <w:r>
        <w:rPr>
          <w:rFonts w:ascii="Times New Roman" w:hAnsi="Times New Roman"/>
          <w:color w:val="000000"/>
          <w:sz w:val="21"/>
          <w:szCs w:val="21"/>
        </w:rPr>
        <w:t>2.签订合同后，如中标人不按双方合同约定履约，则没收其全部履约保证金，履约保证金不足以赔偿损失的，按实际损失赔偿。</w:t>
      </w:r>
    </w:p>
    <w:p>
      <w:pPr>
        <w:pStyle w:val="21"/>
        <w:snapToGrid w:val="0"/>
        <w:spacing w:beforeLines="0" w:afterLines="0" w:line="360" w:lineRule="auto"/>
        <w:ind w:firstLine="420" w:firstLineChars="200"/>
        <w:jc w:val="left"/>
        <w:rPr>
          <w:rFonts w:ascii="Times New Roman" w:hAnsi="Times New Roman"/>
          <w:color w:val="000000"/>
          <w:sz w:val="21"/>
          <w:szCs w:val="21"/>
        </w:rPr>
      </w:pPr>
      <w:r>
        <w:rPr>
          <w:rFonts w:ascii="Times New Roman" w:hAnsi="Times New Roman"/>
          <w:color w:val="000000"/>
          <w:sz w:val="21"/>
          <w:szCs w:val="21"/>
        </w:rPr>
        <w:t>3.合同履行完毕后，采购人全额退还中标人的履约保证金</w:t>
      </w:r>
      <w:r>
        <w:rPr>
          <w:rFonts w:hint="eastAsia" w:ascii="Times New Roman" w:hAnsi="Times New Roman"/>
          <w:color w:val="000000"/>
          <w:sz w:val="21"/>
          <w:szCs w:val="21"/>
        </w:rPr>
        <w:t>。</w:t>
      </w:r>
    </w:p>
    <w:p>
      <w:pPr>
        <w:pStyle w:val="4"/>
        <w:numPr>
          <w:ilvl w:val="0"/>
          <w:numId w:val="0"/>
        </w:numPr>
        <w:tabs>
          <w:tab w:val="clear" w:pos="576"/>
        </w:tabs>
        <w:spacing w:before="0" w:after="0" w:line="360" w:lineRule="auto"/>
        <w:jc w:val="left"/>
        <w:rPr>
          <w:rFonts w:ascii="Times New Roman" w:hAnsi="Times New Roman" w:eastAsia="宋体"/>
          <w:color w:val="000000"/>
          <w:sz w:val="21"/>
          <w:szCs w:val="21"/>
        </w:rPr>
      </w:pPr>
      <w:bookmarkStart w:id="503" w:name="_Toc17707951"/>
      <w:bookmarkStart w:id="504" w:name="_Toc109989388"/>
      <w:bookmarkStart w:id="505" w:name="_Toc460857937"/>
      <w:r>
        <w:rPr>
          <w:rFonts w:ascii="Times New Roman" w:hAnsi="Times New Roman" w:eastAsia="宋体"/>
          <w:color w:val="000000"/>
          <w:sz w:val="21"/>
          <w:szCs w:val="21"/>
        </w:rPr>
        <w:t>九、特别说明</w:t>
      </w:r>
      <w:bookmarkEnd w:id="503"/>
      <w:bookmarkEnd w:id="504"/>
      <w:bookmarkEnd w:id="505"/>
    </w:p>
    <w:p>
      <w:pPr>
        <w:spacing w:line="360" w:lineRule="auto"/>
        <w:ind w:firstLine="315" w:firstLineChars="150"/>
        <w:rPr>
          <w:color w:val="000000"/>
        </w:rPr>
      </w:pPr>
      <w:r>
        <w:rPr>
          <w:color w:val="000000"/>
          <w:szCs w:val="21"/>
        </w:rPr>
        <w:t>1.</w:t>
      </w:r>
      <w:r>
        <w:rPr>
          <w:color w:val="000000"/>
        </w:rPr>
        <w:t>提供相同品牌产品且通过资格审查、符合性审查的不同投标人参加同一合同项下投标的，按一家投标人计算。</w:t>
      </w:r>
    </w:p>
    <w:p>
      <w:pPr>
        <w:spacing w:line="360" w:lineRule="auto"/>
        <w:ind w:firstLine="525" w:firstLineChars="250"/>
        <w:rPr>
          <w:color w:val="000000"/>
        </w:rPr>
      </w:pPr>
      <w:r>
        <w:rPr>
          <w:color w:val="000000"/>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525" w:firstLineChars="250"/>
        <w:rPr>
          <w:color w:val="000000"/>
        </w:rPr>
      </w:pPr>
      <w:r>
        <w:rPr>
          <w:color w:val="000000"/>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315" w:firstLineChars="150"/>
        <w:rPr>
          <w:color w:val="000000"/>
        </w:rPr>
      </w:pPr>
      <w:r>
        <w:rPr>
          <w:color w:val="000000"/>
        </w:rPr>
        <w:t>非单一产品采购项目，投标人使用相同制造产品（相同制造产品是指采购文件中指定的“核心产品”）作为其项目的一部分，按一家投标人认定。</w:t>
      </w:r>
    </w:p>
    <w:p>
      <w:pPr>
        <w:tabs>
          <w:tab w:val="left" w:pos="518"/>
        </w:tabs>
        <w:adjustRightInd w:val="0"/>
        <w:snapToGrid w:val="0"/>
        <w:spacing w:line="360" w:lineRule="auto"/>
        <w:ind w:firstLine="420" w:firstLineChars="200"/>
        <w:rPr>
          <w:color w:val="000000"/>
          <w:szCs w:val="21"/>
        </w:rPr>
      </w:pPr>
      <w:r>
        <w:rPr>
          <w:color w:val="000000"/>
          <w:szCs w:val="21"/>
        </w:rPr>
        <w:t>2.政府采购活动中有关中小企业的相关规定（采购进口产品的项目不适用）</w:t>
      </w:r>
    </w:p>
    <w:p>
      <w:pPr>
        <w:pStyle w:val="15"/>
        <w:spacing w:line="400" w:lineRule="exact"/>
        <w:rPr>
          <w:rFonts w:ascii="Times New Roman" w:hAnsi="Times New Roman"/>
          <w:sz w:val="21"/>
          <w:szCs w:val="21"/>
        </w:rPr>
      </w:pPr>
      <w:r>
        <w:rPr>
          <w:rFonts w:ascii="Times New Roman" w:hAnsi="Times New Roman"/>
          <w:sz w:val="21"/>
          <w:szCs w:val="21"/>
        </w:rPr>
        <w:t>2.1本项目</w:t>
      </w:r>
      <w:r>
        <w:rPr>
          <w:rFonts w:ascii="Times New Roman" w:hAnsi="Times New Roman"/>
          <w:b/>
          <w:bCs/>
          <w:sz w:val="21"/>
          <w:szCs w:val="21"/>
          <w:u w:val="single"/>
        </w:rPr>
        <w:t>非</w:t>
      </w:r>
      <w:r>
        <w:rPr>
          <w:rFonts w:ascii="Times New Roman" w:hAnsi="Times New Roman"/>
          <w:sz w:val="21"/>
          <w:szCs w:val="21"/>
        </w:rPr>
        <w:t>专门面向中小企业采购。</w:t>
      </w:r>
    </w:p>
    <w:p>
      <w:pPr>
        <w:pStyle w:val="15"/>
        <w:spacing w:line="400" w:lineRule="exact"/>
        <w:rPr>
          <w:rFonts w:ascii="Times New Roman" w:hAnsi="Times New Roman"/>
          <w:sz w:val="21"/>
          <w:szCs w:val="21"/>
        </w:rPr>
      </w:pPr>
      <w:r>
        <w:rPr>
          <w:rFonts w:ascii="Times New Roman" w:hAnsi="Times New Roman"/>
          <w:sz w:val="21"/>
          <w:szCs w:val="21"/>
        </w:rPr>
        <w:t>2.2本项目对应的中小企业划分标准所属行业：</w:t>
      </w:r>
      <w:r>
        <w:rPr>
          <w:rFonts w:ascii="Times New Roman" w:hAnsi="Times New Roman"/>
          <w:b/>
          <w:sz w:val="21"/>
          <w:szCs w:val="21"/>
          <w:u w:val="single"/>
        </w:rPr>
        <w:t>软件和信息技术服务业</w:t>
      </w:r>
      <w:r>
        <w:rPr>
          <w:rFonts w:ascii="Times New Roman" w:hAnsi="Times New Roman"/>
          <w:sz w:val="21"/>
          <w:szCs w:val="21"/>
        </w:rPr>
        <w:t>。</w:t>
      </w:r>
    </w:p>
    <w:p>
      <w:pPr>
        <w:spacing w:line="400" w:lineRule="exact"/>
        <w:rPr>
          <w:szCs w:val="21"/>
        </w:rPr>
      </w:pPr>
      <w:r>
        <w:rPr>
          <w:szCs w:val="21"/>
        </w:rPr>
        <w:t>2.3中小企业是指中华人民共和国境内依法设立，依据国务院批准的中小企业划分标准确定的小型企业和微型企业，但与大企业的负责人为同一人，或者与大企业存在直接控股、管理关系的除外。</w:t>
      </w:r>
    </w:p>
    <w:p>
      <w:pPr>
        <w:spacing w:line="400" w:lineRule="exact"/>
        <w:ind w:firstLine="210" w:firstLineChars="100"/>
        <w:rPr>
          <w:szCs w:val="21"/>
        </w:rPr>
      </w:pPr>
      <w:r>
        <w:rPr>
          <w:szCs w:val="21"/>
        </w:rPr>
        <w:t>符合中小企业划分标准的个体工商户，在政府采购活动中视同中小企业。</w:t>
      </w:r>
    </w:p>
    <w:p>
      <w:pPr>
        <w:spacing w:line="400" w:lineRule="exact"/>
        <w:ind w:firstLine="210" w:firstLineChars="100"/>
        <w:rPr>
          <w:szCs w:val="21"/>
        </w:rPr>
      </w:pPr>
      <w:r>
        <w:rPr>
          <w:szCs w:val="21"/>
        </w:rPr>
        <w:t>国务院批准的中小企业划分标准：具体见工信部联企业[2011]300号。</w:t>
      </w:r>
    </w:p>
    <w:p>
      <w:pPr>
        <w:spacing w:line="400" w:lineRule="exact"/>
        <w:rPr>
          <w:szCs w:val="21"/>
        </w:rPr>
      </w:pPr>
      <w:r>
        <w:rPr>
          <w:szCs w:val="21"/>
        </w:rPr>
        <w:t>2.4在政府采购活动中，供应商提供的货物、工程或者服务符合下列情形的，可享受小型、微型企业（以下简称小微企业）的价格扣除：</w:t>
      </w:r>
    </w:p>
    <w:p>
      <w:pPr>
        <w:spacing w:line="400" w:lineRule="exact"/>
        <w:rPr>
          <w:szCs w:val="21"/>
        </w:rPr>
      </w:pPr>
      <w:r>
        <w:rPr>
          <w:szCs w:val="21"/>
        </w:rPr>
        <w:t>（1）在货物采购项目中，货物由小微企业制造，即货物由小微企业生产且使用该小微企业商号或者注册商标；</w:t>
      </w:r>
    </w:p>
    <w:p>
      <w:pPr>
        <w:spacing w:line="400" w:lineRule="exact"/>
        <w:rPr>
          <w:szCs w:val="21"/>
        </w:rPr>
      </w:pPr>
      <w:r>
        <w:rPr>
          <w:szCs w:val="21"/>
        </w:rPr>
        <w:t>（2）在工程采购项目中，工程由小微企业承建，即工程施工单位为小微企业；</w:t>
      </w:r>
    </w:p>
    <w:p>
      <w:pPr>
        <w:spacing w:line="400" w:lineRule="exact"/>
        <w:rPr>
          <w:szCs w:val="21"/>
        </w:rPr>
      </w:pPr>
      <w:r>
        <w:rPr>
          <w:szCs w:val="21"/>
        </w:rPr>
        <w:t>（3）在服务采购项目中，服务由小微企业承接，即提供服务的人员为小微企业依照《中华人民共和国劳动合同法》订立劳动合同的从业人员。</w:t>
      </w:r>
    </w:p>
    <w:p>
      <w:pPr>
        <w:spacing w:line="400" w:lineRule="exact"/>
        <w:ind w:firstLine="420" w:firstLineChars="200"/>
        <w:rPr>
          <w:szCs w:val="21"/>
        </w:rPr>
      </w:pPr>
      <w:r>
        <w:rPr>
          <w:szCs w:val="21"/>
        </w:rPr>
        <w:t>以联合体形式参加政府采购活动，联合体各方均为小微企业的，联合体视同小微企业。</w:t>
      </w:r>
    </w:p>
    <w:p>
      <w:pPr>
        <w:spacing w:line="400" w:lineRule="exact"/>
        <w:rPr>
          <w:szCs w:val="21"/>
        </w:rPr>
      </w:pPr>
      <w:r>
        <w:rPr>
          <w:szCs w:val="21"/>
        </w:rPr>
        <w:t>2.5在货物采购项目中，供应商提供的货物既有中小企业制造货物，也有大型企业制造货物的，不享受的小微企业价格扣除。</w:t>
      </w:r>
    </w:p>
    <w:p>
      <w:pPr>
        <w:spacing w:line="400" w:lineRule="exact"/>
        <w:rPr>
          <w:szCs w:val="21"/>
        </w:rPr>
      </w:pPr>
      <w:r>
        <w:rPr>
          <w:szCs w:val="21"/>
        </w:rPr>
        <w:t>2.6对于非专门面向中小企业采购的采购项目，小微企业报价</w:t>
      </w:r>
      <w:r>
        <w:rPr>
          <w:color w:val="000000"/>
          <w:szCs w:val="21"/>
        </w:rPr>
        <w:t>给予20%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6</w:t>
      </w:r>
      <w:r>
        <w:rPr>
          <w:rFonts w:hint="eastAsia"/>
          <w:color w:val="000000"/>
          <w:szCs w:val="21"/>
        </w:rPr>
        <w:t>%</w:t>
      </w:r>
      <w:r>
        <w:rPr>
          <w:color w:val="000000"/>
          <w:szCs w:val="21"/>
        </w:rPr>
        <w:t>（工程项目为2%）的价格扣</w:t>
      </w:r>
      <w:r>
        <w:rPr>
          <w:szCs w:val="21"/>
        </w:rPr>
        <w:t>除，用扣除后的价格参与评审。组成联合体或者接受分包的小微企业与联合体内其他企业、分包企业之间存在直接控股、管理关系的，不享受价格扣除优惠政策。</w:t>
      </w:r>
    </w:p>
    <w:p>
      <w:pPr>
        <w:spacing w:line="400" w:lineRule="exact"/>
        <w:rPr>
          <w:szCs w:val="21"/>
        </w:rPr>
      </w:pPr>
      <w:r>
        <w:rPr>
          <w:szCs w:val="21"/>
        </w:rPr>
        <w:t>2.7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rPr>
          <w:szCs w:val="21"/>
        </w:rPr>
      </w:pPr>
      <w:r>
        <w:rPr>
          <w:szCs w:val="21"/>
        </w:rPr>
        <w:t>供应商提供声明函内容不实的，属于提供虚假材料谋取中标、成交，依照《中华人民共和国政府采购法》等国家有关规定追究相应责任。</w:t>
      </w:r>
    </w:p>
    <w:p>
      <w:pPr>
        <w:spacing w:line="400" w:lineRule="exact"/>
        <w:rPr>
          <w:szCs w:val="21"/>
        </w:rPr>
      </w:pPr>
      <w:r>
        <w:rPr>
          <w:szCs w:val="21"/>
        </w:rPr>
        <w:t>适用招标投标法的政府采购工程建设项目，投标人提供声明函内容不实的，属于弄虚作假骗取中标，依照《中华人民共和国招标投标法》等国家有关规定追究相应责任。</w:t>
      </w:r>
    </w:p>
    <w:p>
      <w:pPr>
        <w:pStyle w:val="21"/>
        <w:snapToGrid w:val="0"/>
        <w:spacing w:beforeLines="0" w:afterLines="0" w:line="360" w:lineRule="auto"/>
        <w:ind w:firstLine="420" w:firstLineChars="200"/>
        <w:rPr>
          <w:rFonts w:ascii="Times New Roman" w:hAnsi="Times New Roman"/>
          <w:kern w:val="2"/>
          <w:sz w:val="21"/>
          <w:szCs w:val="21"/>
        </w:rPr>
      </w:pPr>
      <w:r>
        <w:rPr>
          <w:rFonts w:ascii="Times New Roman" w:hAnsi="Times New Roman"/>
          <w:kern w:val="2"/>
          <w:sz w:val="21"/>
          <w:szCs w:val="21"/>
        </w:rPr>
        <w:t>2.8按规定享受扶持政策获得政府采购合同的，小微企业不得将合同分包给大中型企业，中型企业不得将合同分包给大型企业。</w:t>
      </w:r>
    </w:p>
    <w:p>
      <w:pPr>
        <w:tabs>
          <w:tab w:val="left" w:pos="518"/>
        </w:tabs>
        <w:adjustRightInd w:val="0"/>
        <w:snapToGrid w:val="0"/>
        <w:spacing w:line="360" w:lineRule="auto"/>
        <w:ind w:firstLine="420" w:firstLineChars="200"/>
        <w:rPr>
          <w:color w:val="000000"/>
          <w:szCs w:val="21"/>
        </w:rPr>
      </w:pPr>
      <w:r>
        <w:rPr>
          <w:color w:val="000000"/>
          <w:szCs w:val="21"/>
        </w:rPr>
        <w:t>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tabs>
          <w:tab w:val="left" w:pos="518"/>
        </w:tabs>
        <w:adjustRightInd w:val="0"/>
        <w:snapToGrid w:val="0"/>
        <w:spacing w:line="360" w:lineRule="auto"/>
        <w:ind w:firstLine="420" w:firstLineChars="200"/>
        <w:rPr>
          <w:color w:val="000000"/>
          <w:szCs w:val="21"/>
        </w:rPr>
      </w:pPr>
      <w:r>
        <w:rPr>
          <w:color w:val="000000"/>
          <w:szCs w:val="21"/>
        </w:rPr>
        <w:t>4.根据《关于促进残疾人就业政府采购政策的通知》（财库[2017]141号）规定，在政府采购活动中，残疾人福利性单位视同小型、微型企业。残疾人福利性单位参加政府采购活动时，提供《残疾人福利性单位声明函》。</w:t>
      </w:r>
    </w:p>
    <w:p>
      <w:pPr>
        <w:widowControl/>
        <w:spacing w:line="360" w:lineRule="auto"/>
        <w:ind w:firstLine="420" w:firstLineChars="200"/>
        <w:jc w:val="left"/>
        <w:rPr>
          <w:bCs/>
          <w:szCs w:val="21"/>
        </w:rPr>
      </w:pPr>
      <w:r>
        <w:rPr>
          <w:bCs/>
          <w:szCs w:val="21"/>
        </w:rPr>
        <w:t>*5</w:t>
      </w:r>
      <w:r>
        <w:rPr>
          <w:color w:val="000000"/>
          <w:szCs w:val="21"/>
        </w:rPr>
        <w:t>.</w:t>
      </w:r>
      <w:r>
        <w:rPr>
          <w:bCs/>
          <w:szCs w:val="21"/>
        </w:rPr>
        <w:t>投标人应仔细阅读采购文件的所有内容，按照采购文件的要求提交投标文件，并对所提供的全部资料的真实性承担法律责任。</w:t>
      </w:r>
    </w:p>
    <w:p>
      <w:pPr>
        <w:pStyle w:val="21"/>
        <w:spacing w:beforeLines="0" w:afterLines="0" w:line="360" w:lineRule="auto"/>
        <w:ind w:firstLine="420" w:firstLineChars="200"/>
        <w:rPr>
          <w:rFonts w:ascii="Times New Roman" w:hAnsi="Times New Roman"/>
          <w:bCs/>
          <w:sz w:val="21"/>
          <w:szCs w:val="21"/>
        </w:rPr>
      </w:pPr>
      <w:r>
        <w:rPr>
          <w:rFonts w:ascii="Times New Roman" w:hAnsi="Times New Roman"/>
          <w:bCs/>
          <w:sz w:val="21"/>
          <w:szCs w:val="21"/>
        </w:rPr>
        <w:t>*6.投标人在投标活动中提供任何虚假材料，其投标无效。</w:t>
      </w:r>
    </w:p>
    <w:p>
      <w:pPr>
        <w:pStyle w:val="21"/>
        <w:spacing w:beforeLines="0" w:afterLines="0" w:line="360" w:lineRule="auto"/>
        <w:ind w:firstLine="480" w:firstLineChars="200"/>
        <w:rPr>
          <w:rFonts w:ascii="Times New Roman" w:hAnsi="Times New Roman"/>
          <w:color w:val="000000"/>
          <w:szCs w:val="21"/>
        </w:rPr>
      </w:pPr>
      <w:r>
        <w:rPr>
          <w:rFonts w:ascii="Times New Roman" w:hAnsi="Times New Roman"/>
          <w:color w:val="000000"/>
          <w:szCs w:val="21"/>
        </w:rPr>
        <w:br w:type="page"/>
      </w:r>
    </w:p>
    <w:p>
      <w:pPr>
        <w:pStyle w:val="3"/>
        <w:numPr>
          <w:ilvl w:val="0"/>
          <w:numId w:val="10"/>
        </w:numPr>
        <w:spacing w:before="0" w:after="0" w:line="360" w:lineRule="auto"/>
        <w:ind w:left="1134"/>
        <w:jc w:val="center"/>
        <w:rPr>
          <w:rFonts w:ascii="Times New Roman" w:hAnsi="Times New Roman"/>
          <w:color w:val="000000"/>
        </w:rPr>
      </w:pPr>
      <w:bookmarkStart w:id="506" w:name="_Hlk22492252"/>
      <w:bookmarkStart w:id="507" w:name="_Toc17707952"/>
      <w:bookmarkStart w:id="508" w:name="_Toc109989389"/>
      <w:r>
        <w:rPr>
          <w:rFonts w:ascii="Times New Roman" w:hAnsi="Times New Roman"/>
          <w:color w:val="000000"/>
        </w:rPr>
        <w:t>评标办法及评分标准</w:t>
      </w:r>
      <w:bookmarkEnd w:id="506"/>
      <w:bookmarkEnd w:id="507"/>
      <w:bookmarkEnd w:id="508"/>
    </w:p>
    <w:p>
      <w:pPr>
        <w:pStyle w:val="24"/>
        <w:widowControl/>
        <w:snapToGrid/>
        <w:spacing w:line="360" w:lineRule="auto"/>
        <w:ind w:firstLine="422" w:firstLineChars="200"/>
        <w:rPr>
          <w:rFonts w:ascii="Times New Roman" w:hAnsi="Times New Roman"/>
          <w:color w:val="auto"/>
          <w:sz w:val="21"/>
          <w:szCs w:val="21"/>
        </w:rPr>
      </w:pPr>
      <w:bookmarkStart w:id="509" w:name="_Toc317685600"/>
      <w:r>
        <w:rPr>
          <w:rFonts w:hint="eastAsia" w:ascii="Times New Roman" w:hAnsi="Times New Roman"/>
          <w:color w:val="auto"/>
          <w:sz w:val="21"/>
          <w:szCs w:val="21"/>
        </w:rPr>
        <w:t>本办法严格遵照《中华人民共和国政府采购法》、《中华人民共和国政府采购法实施条例》、《政府采购货物和服务招标投标管理办法》，结合项目所在地政府有关政府采购规定和项目的实际情况制定。本次采购为非专门面向中小企业，本次评标将对中小企业声明函满足要求的小型和微型企业（或视同小微企业）的价格给予20%的扣除，对联合体投标（如有）中满足要求的小型和微型企业的价格给予6%的扣除，用扣除后的价格参与评审。</w:t>
      </w:r>
    </w:p>
    <w:bookmarkEnd w:id="509"/>
    <w:p>
      <w:pPr>
        <w:pStyle w:val="30"/>
        <w:spacing w:before="120" w:beforeLines="50" w:after="120" w:afterLines="50" w:line="240" w:lineRule="auto"/>
        <w:ind w:firstLine="413" w:firstLineChars="196"/>
        <w:jc w:val="left"/>
        <w:rPr>
          <w:rFonts w:ascii="Times New Roman" w:hAnsi="Times New Roman"/>
          <w:color w:val="000000"/>
          <w:sz w:val="21"/>
          <w:szCs w:val="21"/>
        </w:rPr>
      </w:pPr>
      <w:bookmarkStart w:id="510" w:name="_Toc109989390"/>
      <w:bookmarkStart w:id="511" w:name="_Toc493058316"/>
      <w:bookmarkStart w:id="512" w:name="_Toc495957614"/>
      <w:bookmarkStart w:id="513" w:name="_Toc17707954"/>
      <w:bookmarkStart w:id="514" w:name="_Toc249866769"/>
      <w:bookmarkStart w:id="515" w:name="_Toc259108326"/>
      <w:r>
        <w:rPr>
          <w:rFonts w:ascii="Times New Roman" w:hAnsi="Times New Roman"/>
          <w:color w:val="000000"/>
          <w:sz w:val="21"/>
          <w:szCs w:val="21"/>
        </w:rPr>
        <w:t>一、评标委员会</w:t>
      </w:r>
      <w:bookmarkEnd w:id="510"/>
      <w:bookmarkEnd w:id="511"/>
      <w:bookmarkEnd w:id="512"/>
      <w:bookmarkEnd w:id="513"/>
    </w:p>
    <w:p>
      <w:pPr>
        <w:spacing w:line="360" w:lineRule="auto"/>
        <w:ind w:firstLine="315" w:firstLineChars="150"/>
        <w:rPr>
          <w:i/>
          <w:iCs/>
          <w:color w:val="000000"/>
          <w:szCs w:val="21"/>
        </w:rPr>
      </w:pPr>
      <w:r>
        <w:rPr>
          <w:color w:val="000000"/>
          <w:szCs w:val="21"/>
        </w:rPr>
        <w:t>（一）本次招标依法组建评标委员会。评标委员会由采购人代表和评审专家组成或全部由评审专家组成，评审专家从专家库随机抽取。</w:t>
      </w:r>
    </w:p>
    <w:p>
      <w:pPr>
        <w:spacing w:line="360" w:lineRule="auto"/>
        <w:ind w:firstLine="315" w:firstLineChars="150"/>
        <w:rPr>
          <w:color w:val="000000"/>
          <w:szCs w:val="21"/>
        </w:rPr>
      </w:pPr>
      <w:r>
        <w:rPr>
          <w:color w:val="000000"/>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315" w:firstLineChars="150"/>
        <w:rPr>
          <w:color w:val="000000"/>
          <w:szCs w:val="21"/>
        </w:rPr>
      </w:pPr>
      <w:r>
        <w:rPr>
          <w:color w:val="000000"/>
          <w:szCs w:val="21"/>
        </w:rPr>
        <w:t>（三）评审专家有下列情形之一的，受到邀请应主动提出回避，采购当事人也可以要求该评审专家回避：</w:t>
      </w:r>
    </w:p>
    <w:p>
      <w:pPr>
        <w:spacing w:line="360" w:lineRule="auto"/>
        <w:ind w:firstLine="420" w:firstLineChars="200"/>
        <w:rPr>
          <w:color w:val="000000"/>
          <w:szCs w:val="21"/>
        </w:rPr>
      </w:pPr>
      <w:r>
        <w:rPr>
          <w:rFonts w:hint="eastAsia"/>
          <w:color w:val="000000"/>
          <w:szCs w:val="21"/>
        </w:rPr>
        <w:t>1、本人、配偶或直系亲属3年内曾在参加该招标项目的供应商中任职（包括一般工作）或担任顾问，或与参加该招标项目的供应商发生过法律纠纷；</w:t>
      </w:r>
    </w:p>
    <w:p>
      <w:pPr>
        <w:spacing w:line="360" w:lineRule="auto"/>
        <w:ind w:firstLine="420" w:firstLineChars="200"/>
        <w:rPr>
          <w:color w:val="000000"/>
          <w:szCs w:val="21"/>
        </w:rPr>
      </w:pPr>
      <w:r>
        <w:rPr>
          <w:rFonts w:hint="eastAsia"/>
          <w:color w:val="000000"/>
          <w:szCs w:val="21"/>
        </w:rPr>
        <w:t>2、任职单位与招标人或参加该招标项目供应商存在行政隶属关系；</w:t>
      </w:r>
    </w:p>
    <w:p>
      <w:pPr>
        <w:spacing w:line="360" w:lineRule="auto"/>
        <w:ind w:firstLine="420" w:firstLineChars="200"/>
        <w:rPr>
          <w:color w:val="000000"/>
          <w:szCs w:val="21"/>
        </w:rPr>
      </w:pPr>
      <w:r>
        <w:rPr>
          <w:rFonts w:hint="eastAsia"/>
          <w:color w:val="000000"/>
          <w:szCs w:val="21"/>
        </w:rPr>
        <w:t>3、曾经参加过该招标项目的进口产品或招标文件、采购需求、招标方式的论证和咨询服务工作；</w:t>
      </w:r>
    </w:p>
    <w:p>
      <w:pPr>
        <w:spacing w:line="360" w:lineRule="auto"/>
        <w:ind w:firstLine="420" w:firstLineChars="200"/>
        <w:rPr>
          <w:color w:val="000000"/>
          <w:szCs w:val="21"/>
        </w:rPr>
      </w:pPr>
      <w:r>
        <w:rPr>
          <w:rFonts w:hint="eastAsia"/>
          <w:color w:val="000000"/>
          <w:szCs w:val="21"/>
        </w:rPr>
        <w:t>4、是参加该招标项目供应商的上级主管部门、控股或参股单位的工作人员，或与该供应商存在其他经济利益关系；</w:t>
      </w:r>
    </w:p>
    <w:p>
      <w:pPr>
        <w:spacing w:line="360" w:lineRule="auto"/>
        <w:ind w:firstLine="420" w:firstLineChars="200"/>
        <w:rPr>
          <w:color w:val="000000"/>
          <w:szCs w:val="21"/>
        </w:rPr>
      </w:pPr>
      <w:r>
        <w:rPr>
          <w:rFonts w:hint="eastAsia"/>
          <w:color w:val="000000"/>
          <w:szCs w:val="21"/>
        </w:rPr>
        <w:t>5、评审委员会成员之间具有配偶、近亲属关系；</w:t>
      </w:r>
    </w:p>
    <w:p>
      <w:pPr>
        <w:spacing w:line="360" w:lineRule="auto"/>
        <w:ind w:firstLine="420" w:firstLineChars="200"/>
        <w:rPr>
          <w:color w:val="000000"/>
          <w:szCs w:val="21"/>
        </w:rPr>
      </w:pPr>
      <w:r>
        <w:rPr>
          <w:rFonts w:hint="eastAsia"/>
          <w:color w:val="000000"/>
          <w:szCs w:val="21"/>
        </w:rPr>
        <w:t>6、法律、法规、规章规定应当回避以及其他可能影响公正评审的。</w:t>
      </w:r>
    </w:p>
    <w:p>
      <w:pPr>
        <w:spacing w:line="360" w:lineRule="auto"/>
        <w:ind w:firstLine="420" w:firstLineChars="200"/>
        <w:rPr>
          <w:color w:val="000000"/>
          <w:szCs w:val="21"/>
        </w:rPr>
      </w:pPr>
      <w:r>
        <w:rPr>
          <w:color w:val="000000"/>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315" w:firstLineChars="150"/>
        <w:rPr>
          <w:color w:val="000000"/>
          <w:szCs w:val="21"/>
        </w:rPr>
      </w:pPr>
      <w:r>
        <w:rPr>
          <w:color w:val="000000"/>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30"/>
        <w:spacing w:before="120" w:beforeLines="50" w:after="120" w:afterLines="50" w:line="240" w:lineRule="auto"/>
        <w:ind w:firstLine="413" w:firstLineChars="196"/>
        <w:jc w:val="left"/>
        <w:rPr>
          <w:rFonts w:ascii="Times New Roman" w:hAnsi="Times New Roman"/>
          <w:color w:val="000000"/>
          <w:sz w:val="21"/>
          <w:szCs w:val="21"/>
        </w:rPr>
      </w:pPr>
      <w:bookmarkStart w:id="516" w:name="_Toc495957615"/>
      <w:bookmarkStart w:id="517" w:name="_Toc17707956"/>
      <w:bookmarkStart w:id="518" w:name="_Toc481567076"/>
      <w:bookmarkStart w:id="519" w:name="_Toc493058317"/>
      <w:bookmarkStart w:id="520" w:name="_Toc109989391"/>
      <w:r>
        <w:rPr>
          <w:rFonts w:ascii="Times New Roman" w:hAnsi="Times New Roman"/>
          <w:color w:val="000000"/>
          <w:sz w:val="21"/>
          <w:szCs w:val="21"/>
        </w:rPr>
        <w:t>二、评标方法</w:t>
      </w:r>
      <w:bookmarkEnd w:id="516"/>
      <w:bookmarkEnd w:id="517"/>
      <w:bookmarkEnd w:id="518"/>
      <w:bookmarkEnd w:id="519"/>
      <w:bookmarkEnd w:id="520"/>
    </w:p>
    <w:p>
      <w:pPr>
        <w:spacing w:line="360" w:lineRule="auto"/>
        <w:ind w:firstLine="420" w:firstLineChars="200"/>
        <w:rPr>
          <w:color w:val="000000"/>
          <w:szCs w:val="21"/>
        </w:rPr>
      </w:pPr>
      <w:r>
        <w:rPr>
          <w:color w:val="000000"/>
          <w:szCs w:val="21"/>
        </w:rPr>
        <w:t>（一）本次招标项目的评标方法为：综合评分法。</w:t>
      </w:r>
    </w:p>
    <w:p>
      <w:pPr>
        <w:spacing w:line="360" w:lineRule="auto"/>
        <w:ind w:firstLine="420" w:firstLineChars="200"/>
        <w:rPr>
          <w:color w:val="000000"/>
          <w:szCs w:val="21"/>
        </w:rPr>
      </w:pPr>
      <w:r>
        <w:rPr>
          <w:color w:val="000000"/>
          <w:szCs w:val="21"/>
        </w:rPr>
        <w:t>（二）评分权重</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pPr>
              <w:spacing w:before="120" w:beforeLines="50" w:after="120" w:afterLines="50"/>
              <w:ind w:firstLine="198"/>
              <w:jc w:val="center"/>
              <w:rPr>
                <w:color w:val="000000"/>
                <w:szCs w:val="21"/>
              </w:rPr>
            </w:pPr>
            <w:r>
              <w:rPr>
                <w:color w:val="000000"/>
                <w:szCs w:val="21"/>
              </w:rPr>
              <w:t>评分项目</w:t>
            </w:r>
          </w:p>
        </w:tc>
        <w:tc>
          <w:tcPr>
            <w:tcW w:w="3714" w:type="dxa"/>
            <w:vAlign w:val="center"/>
          </w:tcPr>
          <w:p>
            <w:pPr>
              <w:spacing w:before="120" w:beforeLines="50" w:after="120" w:afterLines="50"/>
              <w:ind w:firstLine="198"/>
              <w:jc w:val="center"/>
              <w:rPr>
                <w:szCs w:val="21"/>
              </w:rPr>
            </w:pPr>
            <w:r>
              <w:rPr>
                <w:szCs w:val="21"/>
              </w:rPr>
              <w:t>商务技术分（分）</w:t>
            </w:r>
          </w:p>
        </w:tc>
        <w:tc>
          <w:tcPr>
            <w:tcW w:w="2615" w:type="dxa"/>
            <w:vAlign w:val="center"/>
          </w:tcPr>
          <w:p>
            <w:pPr>
              <w:spacing w:before="120" w:beforeLines="50" w:after="120" w:afterLines="50"/>
              <w:ind w:firstLine="198"/>
              <w:jc w:val="center"/>
              <w:rPr>
                <w:szCs w:val="21"/>
              </w:rPr>
            </w:pPr>
            <w:r>
              <w:rPr>
                <w:szCs w:val="21"/>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pPr>
              <w:spacing w:before="120" w:beforeLines="50" w:after="120" w:afterLines="50"/>
              <w:ind w:firstLine="198"/>
              <w:jc w:val="center"/>
              <w:rPr>
                <w:color w:val="000000"/>
                <w:szCs w:val="21"/>
              </w:rPr>
            </w:pPr>
            <w:r>
              <w:rPr>
                <w:color w:val="000000"/>
                <w:szCs w:val="21"/>
              </w:rPr>
              <w:t>权重</w:t>
            </w:r>
          </w:p>
        </w:tc>
        <w:tc>
          <w:tcPr>
            <w:tcW w:w="3714" w:type="dxa"/>
            <w:vAlign w:val="center"/>
          </w:tcPr>
          <w:p>
            <w:pPr>
              <w:spacing w:before="120" w:beforeLines="50" w:after="120" w:afterLines="50"/>
              <w:ind w:firstLine="198"/>
              <w:jc w:val="center"/>
              <w:rPr>
                <w:szCs w:val="21"/>
              </w:rPr>
            </w:pPr>
            <w:r>
              <w:rPr>
                <w:szCs w:val="21"/>
              </w:rPr>
              <w:t>90</w:t>
            </w:r>
          </w:p>
        </w:tc>
        <w:tc>
          <w:tcPr>
            <w:tcW w:w="2615" w:type="dxa"/>
            <w:vAlign w:val="center"/>
          </w:tcPr>
          <w:p>
            <w:pPr>
              <w:spacing w:before="120" w:beforeLines="50" w:after="120" w:afterLines="50"/>
              <w:ind w:firstLine="198"/>
              <w:jc w:val="center"/>
              <w:rPr>
                <w:szCs w:val="21"/>
              </w:rPr>
            </w:pPr>
            <w:r>
              <w:rPr>
                <w:szCs w:val="21"/>
              </w:rPr>
              <w:t>10</w:t>
            </w:r>
          </w:p>
        </w:tc>
      </w:tr>
    </w:tbl>
    <w:p>
      <w:pPr>
        <w:spacing w:line="360" w:lineRule="auto"/>
        <w:ind w:firstLine="420" w:firstLineChars="200"/>
        <w:rPr>
          <w:color w:val="000000"/>
          <w:szCs w:val="21"/>
        </w:rPr>
      </w:pPr>
      <w:r>
        <w:rPr>
          <w:color w:val="000000"/>
          <w:szCs w:val="21"/>
        </w:rPr>
        <w:t>1、价格分采用低价优先法计算，即满足采购文件要求且参与评审价格最低为评标基准价，其价格分为满分。其他投标人的价格分按照下列公式计算：</w:t>
      </w:r>
    </w:p>
    <w:p>
      <w:pPr>
        <w:spacing w:line="360" w:lineRule="auto"/>
        <w:ind w:firstLine="420" w:firstLineChars="200"/>
        <w:rPr>
          <w:color w:val="000000"/>
          <w:szCs w:val="21"/>
        </w:rPr>
      </w:pPr>
      <w:r>
        <w:rPr>
          <w:color w:val="000000"/>
          <w:szCs w:val="21"/>
        </w:rPr>
        <w:t>参与评审价格=投标价格-小微企业价格扣除优惠值20%</w:t>
      </w:r>
    </w:p>
    <w:p>
      <w:pPr>
        <w:spacing w:line="360" w:lineRule="auto"/>
        <w:ind w:firstLine="420" w:firstLineChars="200"/>
        <w:rPr>
          <w:color w:val="000000"/>
          <w:szCs w:val="21"/>
        </w:rPr>
      </w:pPr>
      <w:r>
        <w:rPr>
          <w:color w:val="000000"/>
          <w:szCs w:val="21"/>
        </w:rPr>
        <w:t>价格分=（评标基准价/参与评审的价格）×价格权值×100</w:t>
      </w:r>
    </w:p>
    <w:p>
      <w:pPr>
        <w:spacing w:line="360" w:lineRule="auto"/>
        <w:ind w:firstLine="420" w:firstLineChars="200"/>
        <w:rPr>
          <w:color w:val="000000"/>
          <w:szCs w:val="21"/>
        </w:rPr>
      </w:pPr>
      <w:r>
        <w:rPr>
          <w:color w:val="000000"/>
          <w:szCs w:val="21"/>
        </w:rPr>
        <w:t>2、合格投标人评标综合得分=商务技术分+价格分。</w:t>
      </w:r>
    </w:p>
    <w:p>
      <w:pPr>
        <w:spacing w:line="360" w:lineRule="auto"/>
        <w:ind w:firstLine="420" w:firstLineChars="200"/>
        <w:rPr>
          <w:color w:val="000000"/>
          <w:szCs w:val="21"/>
        </w:rPr>
      </w:pPr>
      <w:r>
        <w:rPr>
          <w:color w:val="000000"/>
          <w:szCs w:val="21"/>
        </w:rPr>
        <w:t>3、报价要求：本次招标设有预算价(或最高限价)，投标人报价超出预算价(或最高限价)的投标文件作无效处理。</w:t>
      </w:r>
    </w:p>
    <w:p>
      <w:pPr>
        <w:spacing w:line="360" w:lineRule="auto"/>
        <w:ind w:firstLine="420" w:firstLineChars="200"/>
        <w:rPr>
          <w:color w:val="000000"/>
          <w:kern w:val="0"/>
          <w:szCs w:val="21"/>
        </w:rPr>
      </w:pPr>
      <w:r>
        <w:rPr>
          <w:color w:val="000000"/>
          <w:szCs w:val="21"/>
        </w:rPr>
        <w:t>4、</w:t>
      </w:r>
      <w:r>
        <w:rPr>
          <w:color w:val="000000"/>
          <w:kern w:val="0"/>
          <w:szCs w:val="21"/>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360" w:lineRule="auto"/>
        <w:ind w:firstLine="315" w:firstLineChars="150"/>
        <w:rPr>
          <w:color w:val="000000"/>
          <w:szCs w:val="21"/>
        </w:rPr>
      </w:pPr>
      <w:r>
        <w:rPr>
          <w:color w:val="000000"/>
          <w:szCs w:val="21"/>
        </w:rPr>
        <w:t>（三）</w:t>
      </w:r>
      <w:bookmarkStart w:id="521" w:name="_Toc481567079"/>
      <w:r>
        <w:rPr>
          <w:color w:val="000000"/>
          <w:szCs w:val="21"/>
        </w:rPr>
        <w:t>投标文件的澄清</w:t>
      </w:r>
      <w:bookmarkEnd w:id="521"/>
    </w:p>
    <w:p>
      <w:pPr>
        <w:spacing w:line="360" w:lineRule="auto"/>
        <w:ind w:firstLine="420" w:firstLineChars="200"/>
        <w:rPr>
          <w:color w:val="000000"/>
          <w:kern w:val="0"/>
          <w:szCs w:val="21"/>
        </w:rPr>
      </w:pPr>
      <w:r>
        <w:rPr>
          <w:color w:val="000000"/>
          <w:kern w:val="0"/>
          <w:szCs w:val="21"/>
        </w:rPr>
        <w:t>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color w:val="000000"/>
          <w:kern w:val="0"/>
          <w:szCs w:val="21"/>
        </w:rPr>
      </w:pPr>
      <w:r>
        <w:rPr>
          <w:color w:val="000000"/>
          <w:kern w:val="0"/>
          <w:szCs w:val="21"/>
        </w:rPr>
        <w:t>2、投标人的澄清、说明或者补正应当采用书面形式</w:t>
      </w:r>
      <w:r>
        <w:rPr>
          <w:szCs w:val="21"/>
        </w:rPr>
        <w:t>（或扫描件上传政采云平台）</w:t>
      </w:r>
      <w:r>
        <w:rPr>
          <w:color w:val="000000"/>
          <w:kern w:val="0"/>
          <w:szCs w:val="21"/>
        </w:rPr>
        <w:t>，并加盖公章，或者由法定代表人或其授权的代表签字。投标人的澄清、说明或者补正不得超出投标文件的范围或者改变投标文件的实质性内容。</w:t>
      </w:r>
    </w:p>
    <w:p>
      <w:pPr>
        <w:spacing w:line="360" w:lineRule="auto"/>
        <w:ind w:firstLine="420" w:firstLineChars="200"/>
        <w:rPr>
          <w:color w:val="000000"/>
          <w:szCs w:val="21"/>
        </w:rPr>
      </w:pPr>
      <w:r>
        <w:rPr>
          <w:color w:val="000000"/>
          <w:szCs w:val="21"/>
        </w:rPr>
        <w:t>（四）投标文件错误修正原则</w:t>
      </w:r>
    </w:p>
    <w:p>
      <w:pPr>
        <w:pStyle w:val="159"/>
        <w:widowControl/>
        <w:spacing w:before="0" w:beforeLines="0" w:after="0" w:afterLines="0" w:line="360" w:lineRule="auto"/>
        <w:ind w:left="689" w:leftChars="228" w:hanging="210" w:hangingChars="100"/>
        <w:jc w:val="left"/>
        <w:rPr>
          <w:rFonts w:ascii="Times New Roman" w:hAnsi="Times New Roman"/>
          <w:sz w:val="21"/>
          <w:szCs w:val="21"/>
        </w:rPr>
      </w:pPr>
      <w:r>
        <w:rPr>
          <w:rFonts w:ascii="Times New Roman" w:hAnsi="Times New Roman"/>
          <w:sz w:val="21"/>
          <w:szCs w:val="21"/>
        </w:rPr>
        <w:t>投标文件报价出现前后不一致的，除采购文件另有规定外，按照下列规定修正：</w:t>
      </w:r>
    </w:p>
    <w:p>
      <w:pPr>
        <w:widowControl/>
        <w:numPr>
          <w:ilvl w:val="0"/>
          <w:numId w:val="14"/>
        </w:numPr>
        <w:spacing w:line="360" w:lineRule="auto"/>
        <w:ind w:firstLine="420" w:firstLineChars="200"/>
        <w:jc w:val="left"/>
        <w:rPr>
          <w:szCs w:val="21"/>
        </w:rPr>
      </w:pPr>
      <w:r>
        <w:rPr>
          <w:szCs w:val="21"/>
        </w:rPr>
        <w:t>投标文件中开标一览表（报价表）内容与投标文件中相应内容不一致的，以开标一览表（报价表）为准；</w:t>
      </w:r>
    </w:p>
    <w:p>
      <w:pPr>
        <w:widowControl/>
        <w:numPr>
          <w:ilvl w:val="0"/>
          <w:numId w:val="14"/>
        </w:numPr>
        <w:spacing w:line="360" w:lineRule="auto"/>
        <w:ind w:firstLine="420" w:firstLineChars="200"/>
        <w:jc w:val="left"/>
        <w:rPr>
          <w:szCs w:val="21"/>
        </w:rPr>
      </w:pPr>
      <w:r>
        <w:rPr>
          <w:szCs w:val="21"/>
        </w:rPr>
        <w:t>大写金额和小写金额不一致的，以大写金额为准；</w:t>
      </w:r>
    </w:p>
    <w:p>
      <w:pPr>
        <w:widowControl/>
        <w:numPr>
          <w:ilvl w:val="0"/>
          <w:numId w:val="14"/>
        </w:numPr>
        <w:spacing w:line="360" w:lineRule="auto"/>
        <w:ind w:firstLine="420" w:firstLineChars="200"/>
        <w:jc w:val="left"/>
        <w:rPr>
          <w:szCs w:val="21"/>
        </w:rPr>
      </w:pPr>
      <w:r>
        <w:rPr>
          <w:szCs w:val="21"/>
        </w:rPr>
        <w:t>单价金额小数点或者百分比有明显错位的，以开标一览表的总价为准，并修改单价；</w:t>
      </w:r>
    </w:p>
    <w:p>
      <w:pPr>
        <w:widowControl/>
        <w:numPr>
          <w:ilvl w:val="0"/>
          <w:numId w:val="14"/>
        </w:numPr>
        <w:spacing w:line="360" w:lineRule="auto"/>
        <w:ind w:firstLine="420" w:firstLineChars="200"/>
        <w:jc w:val="left"/>
        <w:rPr>
          <w:szCs w:val="21"/>
        </w:rPr>
      </w:pPr>
      <w:r>
        <w:rPr>
          <w:szCs w:val="21"/>
        </w:rPr>
        <w:t>总价金额与按单价汇总金额不一致的，以单价金额计算结果为准；</w:t>
      </w:r>
    </w:p>
    <w:p>
      <w:pPr>
        <w:pStyle w:val="52"/>
        <w:ind w:left="420" w:leftChars="200"/>
        <w:jc w:val="both"/>
        <w:rPr>
          <w:sz w:val="21"/>
          <w:szCs w:val="21"/>
        </w:rPr>
      </w:pPr>
      <w:r>
        <w:rPr>
          <w:rFonts w:hint="eastAsia"/>
          <w:sz w:val="21"/>
          <w:szCs w:val="21"/>
        </w:rPr>
        <w:t>5.政采云平台填报的开标一览表中的价格与上传的报价文件中开标一览表的报价不一致的，以上传的报价文件为准。</w:t>
      </w:r>
    </w:p>
    <w:p>
      <w:pPr>
        <w:pStyle w:val="159"/>
        <w:widowControl/>
        <w:spacing w:before="0" w:beforeLines="0" w:after="0" w:afterLines="0" w:line="360" w:lineRule="auto"/>
        <w:ind w:firstLine="422" w:firstLineChars="200"/>
        <w:jc w:val="left"/>
        <w:rPr>
          <w:rFonts w:ascii="Times New Roman" w:hAnsi="Times New Roman"/>
          <w:b/>
          <w:bCs/>
          <w:sz w:val="21"/>
          <w:szCs w:val="21"/>
        </w:rPr>
      </w:pPr>
      <w:r>
        <w:rPr>
          <w:rFonts w:ascii="Times New Roman" w:hAnsi="Times New Roman"/>
          <w:b/>
          <w:bCs/>
          <w:sz w:val="21"/>
          <w:szCs w:val="21"/>
        </w:rPr>
        <w:t>同时出现两种以上不一致的，按照前款规定的顺序修正。修正后的报价经投标人确认后具有约束力，若投标人不确认的，则其投标无效。</w:t>
      </w:r>
    </w:p>
    <w:p>
      <w:pPr>
        <w:spacing w:line="360" w:lineRule="auto"/>
        <w:ind w:firstLine="420" w:firstLineChars="200"/>
        <w:rPr>
          <w:color w:val="000000"/>
          <w:szCs w:val="21"/>
        </w:rPr>
      </w:pPr>
      <w:r>
        <w:rPr>
          <w:color w:val="000000"/>
          <w:szCs w:val="21"/>
        </w:rPr>
        <w:t>（五）废标情况</w:t>
      </w:r>
    </w:p>
    <w:p>
      <w:pPr>
        <w:pStyle w:val="159"/>
        <w:widowControl/>
        <w:spacing w:before="0" w:beforeLines="0" w:after="0" w:afterLines="0" w:line="360" w:lineRule="auto"/>
        <w:ind w:left="689" w:leftChars="228" w:hanging="210" w:hangingChars="100"/>
        <w:jc w:val="left"/>
        <w:rPr>
          <w:rFonts w:ascii="Times New Roman" w:hAnsi="Times New Roman"/>
          <w:sz w:val="21"/>
          <w:szCs w:val="21"/>
        </w:rPr>
      </w:pPr>
      <w:r>
        <w:rPr>
          <w:rFonts w:ascii="Times New Roman" w:hAnsi="Times New Roman"/>
          <w:sz w:val="21"/>
          <w:szCs w:val="21"/>
        </w:rPr>
        <w:t>评标过程中，出现下列情形之一的，应予废标，评标终止：</w:t>
      </w:r>
    </w:p>
    <w:p>
      <w:pPr>
        <w:pStyle w:val="159"/>
        <w:widowControl/>
        <w:spacing w:before="0" w:beforeLines="0" w:after="0" w:afterLines="0" w:line="360" w:lineRule="auto"/>
        <w:ind w:left="689" w:leftChars="228" w:hanging="210" w:hangingChars="100"/>
        <w:jc w:val="left"/>
        <w:rPr>
          <w:rFonts w:ascii="Times New Roman" w:hAnsi="Times New Roman"/>
          <w:sz w:val="21"/>
          <w:szCs w:val="21"/>
        </w:rPr>
      </w:pPr>
      <w:r>
        <w:rPr>
          <w:rFonts w:ascii="Times New Roman" w:hAnsi="Times New Roman"/>
          <w:sz w:val="21"/>
          <w:szCs w:val="21"/>
        </w:rPr>
        <w:t>1.通过资格审查、符合性审查的投标人不足三家的；</w:t>
      </w:r>
    </w:p>
    <w:p>
      <w:pPr>
        <w:pStyle w:val="159"/>
        <w:widowControl/>
        <w:spacing w:before="0" w:beforeLines="0" w:after="0" w:afterLines="0" w:line="360" w:lineRule="auto"/>
        <w:ind w:left="689" w:leftChars="228" w:hanging="210" w:hangingChars="100"/>
        <w:jc w:val="left"/>
        <w:rPr>
          <w:rFonts w:ascii="Times New Roman" w:hAnsi="Times New Roman"/>
          <w:sz w:val="21"/>
          <w:szCs w:val="21"/>
        </w:rPr>
      </w:pPr>
      <w:r>
        <w:rPr>
          <w:rFonts w:ascii="Times New Roman" w:hAnsi="Times New Roman"/>
          <w:sz w:val="21"/>
          <w:szCs w:val="21"/>
        </w:rPr>
        <w:t>2.出现影响采购公正的违法、违规行为的；</w:t>
      </w:r>
    </w:p>
    <w:p>
      <w:pPr>
        <w:pStyle w:val="159"/>
        <w:widowControl/>
        <w:spacing w:before="0" w:beforeLines="0" w:after="0" w:afterLines="0" w:line="360" w:lineRule="auto"/>
        <w:ind w:left="689" w:leftChars="228" w:hanging="210" w:hangingChars="100"/>
        <w:jc w:val="left"/>
        <w:rPr>
          <w:rFonts w:ascii="Times New Roman" w:hAnsi="Times New Roman"/>
          <w:sz w:val="21"/>
          <w:szCs w:val="21"/>
        </w:rPr>
      </w:pPr>
      <w:r>
        <w:rPr>
          <w:rFonts w:ascii="Times New Roman" w:hAnsi="Times New Roman"/>
          <w:sz w:val="21"/>
          <w:szCs w:val="21"/>
        </w:rPr>
        <w:t>3.投标人的报价均超过了采购预算，采购人不能支付的；</w:t>
      </w:r>
    </w:p>
    <w:p>
      <w:pPr>
        <w:pStyle w:val="159"/>
        <w:widowControl/>
        <w:spacing w:before="0" w:beforeLines="0" w:after="0" w:afterLines="0" w:line="360" w:lineRule="auto"/>
        <w:ind w:left="689" w:leftChars="228" w:hanging="210" w:hangingChars="100"/>
        <w:jc w:val="left"/>
        <w:rPr>
          <w:rFonts w:ascii="Times New Roman" w:hAnsi="Times New Roman"/>
          <w:sz w:val="21"/>
          <w:szCs w:val="21"/>
        </w:rPr>
      </w:pPr>
      <w:r>
        <w:rPr>
          <w:rFonts w:ascii="Times New Roman" w:hAnsi="Times New Roman"/>
          <w:sz w:val="21"/>
          <w:szCs w:val="21"/>
        </w:rPr>
        <w:t>4.因重大变故，采购任务取消的。</w:t>
      </w:r>
    </w:p>
    <w:p>
      <w:pPr>
        <w:pStyle w:val="30"/>
        <w:spacing w:before="120" w:beforeLines="50" w:after="120" w:afterLines="50" w:line="240" w:lineRule="auto"/>
        <w:ind w:firstLine="413" w:firstLineChars="196"/>
        <w:jc w:val="left"/>
        <w:rPr>
          <w:rFonts w:ascii="Times New Roman" w:hAnsi="Times New Roman"/>
          <w:color w:val="000000"/>
          <w:sz w:val="21"/>
          <w:szCs w:val="21"/>
        </w:rPr>
      </w:pPr>
      <w:bookmarkStart w:id="522" w:name="_Toc495957616"/>
      <w:bookmarkStart w:id="523" w:name="_Toc481567077"/>
      <w:bookmarkStart w:id="524" w:name="_Toc493058318"/>
      <w:bookmarkStart w:id="525" w:name="_Toc109989392"/>
      <w:bookmarkStart w:id="526" w:name="_Toc17707957"/>
      <w:r>
        <w:rPr>
          <w:rFonts w:ascii="Times New Roman" w:hAnsi="Times New Roman"/>
          <w:color w:val="000000"/>
          <w:sz w:val="21"/>
          <w:szCs w:val="21"/>
        </w:rPr>
        <w:t>三、评标</w:t>
      </w:r>
      <w:bookmarkEnd w:id="514"/>
      <w:bookmarkEnd w:id="515"/>
      <w:bookmarkEnd w:id="522"/>
      <w:bookmarkEnd w:id="523"/>
      <w:bookmarkEnd w:id="524"/>
      <w:r>
        <w:rPr>
          <w:rFonts w:ascii="Times New Roman" w:hAnsi="Times New Roman"/>
          <w:color w:val="000000"/>
          <w:sz w:val="21"/>
          <w:szCs w:val="21"/>
        </w:rPr>
        <w:t>过程</w:t>
      </w:r>
      <w:bookmarkEnd w:id="525"/>
      <w:bookmarkEnd w:id="526"/>
    </w:p>
    <w:p>
      <w:pPr>
        <w:pStyle w:val="24"/>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1.资格审查</w:t>
      </w:r>
    </w:p>
    <w:p>
      <w:pPr>
        <w:pStyle w:val="24"/>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依据法律法规和采购文件的规定，采购人或采购代理机构对投标人对投标文件中的资格证明进行审查，以确定投标人是否具备投标资格。</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8368" w:type="dxa"/>
            <w:vAlign w:val="center"/>
          </w:tcPr>
          <w:p>
            <w:pPr>
              <w:spacing w:line="360" w:lineRule="auto"/>
              <w:jc w:val="center"/>
              <w:rPr>
                <w:b/>
                <w:kern w:val="0"/>
                <w:szCs w:val="21"/>
              </w:rPr>
            </w:pPr>
            <w:r>
              <w:rPr>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8368" w:type="dxa"/>
            <w:vAlign w:val="center"/>
          </w:tcPr>
          <w:p>
            <w:pPr>
              <w:spacing w:line="360" w:lineRule="auto"/>
              <w:rPr>
                <w:szCs w:val="21"/>
              </w:rPr>
            </w:pPr>
            <w:r>
              <w:rPr>
                <w:szCs w:val="21"/>
              </w:rPr>
              <w:t>（1）有效的企业法人营业执照（或事业法人登记证）、其他组织（个体工商户）的营业执照或者民办非企业单位登记证书复印件（复印件加盖公章）；</w:t>
            </w:r>
          </w:p>
          <w:p>
            <w:pPr>
              <w:spacing w:line="360" w:lineRule="auto"/>
              <w:rPr>
                <w:szCs w:val="21"/>
              </w:rPr>
            </w:pPr>
            <w:r>
              <w:rPr>
                <w:szCs w:val="21"/>
              </w:rPr>
              <w:t>（2）</w:t>
            </w:r>
            <w:r>
              <w:rPr>
                <w:rFonts w:hint="eastAsia"/>
                <w:szCs w:val="21"/>
              </w:rPr>
              <w:t>投标人资格声明函</w:t>
            </w:r>
            <w:r>
              <w:rPr>
                <w:szCs w:val="21"/>
              </w:rPr>
              <w:t>（格式见附件）；</w:t>
            </w:r>
          </w:p>
          <w:p>
            <w:pPr>
              <w:spacing w:line="360" w:lineRule="auto"/>
              <w:rPr>
                <w:szCs w:val="21"/>
              </w:rPr>
            </w:pPr>
            <w:r>
              <w:rPr>
                <w:szCs w:val="21"/>
              </w:rPr>
              <w:t>（3）特定的资格要求：无。</w:t>
            </w:r>
          </w:p>
        </w:tc>
      </w:tr>
    </w:tbl>
    <w:p>
      <w:pPr>
        <w:pStyle w:val="24"/>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2.符合性审查</w:t>
      </w:r>
    </w:p>
    <w:p>
      <w:pPr>
        <w:spacing w:line="360" w:lineRule="auto"/>
        <w:ind w:firstLine="420" w:firstLineChars="200"/>
        <w:rPr>
          <w:color w:val="000000"/>
          <w:szCs w:val="21"/>
        </w:rPr>
      </w:pPr>
      <w:r>
        <w:rPr>
          <w:szCs w:val="21"/>
        </w:rPr>
        <w:t>依据采购文件的规定，</w:t>
      </w:r>
      <w:r>
        <w:rPr>
          <w:color w:val="000000"/>
          <w:kern w:val="0"/>
          <w:szCs w:val="21"/>
        </w:rPr>
        <w:t>评标委员会应当对符合资格的投标人的投标文件进行符合性审查，以确定其是否满足采购文件的实质性要求。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5"/>
        <w:gridCol w:w="1179"/>
        <w:gridCol w:w="172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1" w:hRule="atLeast"/>
          <w:jc w:val="center"/>
        </w:trPr>
        <w:tc>
          <w:tcPr>
            <w:tcW w:w="645" w:type="dxa"/>
            <w:vAlign w:val="center"/>
          </w:tcPr>
          <w:p>
            <w:pPr>
              <w:jc w:val="center"/>
              <w:rPr>
                <w:b/>
                <w:kern w:val="0"/>
                <w:szCs w:val="21"/>
              </w:rPr>
            </w:pPr>
            <w:r>
              <w:rPr>
                <w:b/>
                <w:kern w:val="0"/>
                <w:szCs w:val="21"/>
              </w:rPr>
              <w:t>序号</w:t>
            </w:r>
          </w:p>
        </w:tc>
        <w:tc>
          <w:tcPr>
            <w:tcW w:w="2901" w:type="dxa"/>
            <w:gridSpan w:val="2"/>
            <w:vAlign w:val="center"/>
          </w:tcPr>
          <w:p>
            <w:pPr>
              <w:jc w:val="center"/>
              <w:rPr>
                <w:b/>
                <w:kern w:val="0"/>
                <w:szCs w:val="21"/>
              </w:rPr>
            </w:pPr>
            <w:r>
              <w:rPr>
                <w:b/>
                <w:kern w:val="0"/>
                <w:szCs w:val="21"/>
              </w:rPr>
              <w:t>评审因素</w:t>
            </w:r>
          </w:p>
        </w:tc>
        <w:tc>
          <w:tcPr>
            <w:tcW w:w="4820" w:type="dxa"/>
            <w:vAlign w:val="center"/>
          </w:tcPr>
          <w:p>
            <w:pPr>
              <w:jc w:val="center"/>
              <w:rPr>
                <w:b/>
                <w:kern w:val="0"/>
                <w:szCs w:val="21"/>
              </w:rPr>
            </w:pPr>
            <w:r>
              <w:rPr>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645" w:type="dxa"/>
            <w:vMerge w:val="restart"/>
            <w:vAlign w:val="center"/>
          </w:tcPr>
          <w:p>
            <w:pPr>
              <w:jc w:val="center"/>
              <w:rPr>
                <w:kern w:val="0"/>
                <w:szCs w:val="21"/>
              </w:rPr>
            </w:pPr>
            <w:r>
              <w:rPr>
                <w:kern w:val="0"/>
                <w:szCs w:val="21"/>
              </w:rPr>
              <w:t>1</w:t>
            </w:r>
          </w:p>
        </w:tc>
        <w:tc>
          <w:tcPr>
            <w:tcW w:w="1179" w:type="dxa"/>
            <w:vMerge w:val="restart"/>
            <w:vAlign w:val="center"/>
          </w:tcPr>
          <w:p>
            <w:pPr>
              <w:jc w:val="center"/>
              <w:rPr>
                <w:kern w:val="0"/>
                <w:szCs w:val="21"/>
              </w:rPr>
            </w:pPr>
            <w:r>
              <w:rPr>
                <w:kern w:val="0"/>
                <w:szCs w:val="21"/>
              </w:rPr>
              <w:t>有效性审查</w:t>
            </w:r>
          </w:p>
        </w:tc>
        <w:tc>
          <w:tcPr>
            <w:tcW w:w="1722" w:type="dxa"/>
            <w:vAlign w:val="center"/>
          </w:tcPr>
          <w:p>
            <w:pPr>
              <w:jc w:val="center"/>
              <w:rPr>
                <w:kern w:val="0"/>
                <w:szCs w:val="21"/>
              </w:rPr>
            </w:pPr>
            <w:r>
              <w:rPr>
                <w:szCs w:val="21"/>
              </w:rPr>
              <w:t>投标文件签署</w:t>
            </w:r>
          </w:p>
        </w:tc>
        <w:tc>
          <w:tcPr>
            <w:tcW w:w="4820" w:type="dxa"/>
            <w:vAlign w:val="center"/>
          </w:tcPr>
          <w:p>
            <w:pPr>
              <w:rPr>
                <w:kern w:val="0"/>
                <w:szCs w:val="21"/>
              </w:rPr>
            </w:pPr>
            <w:r>
              <w:rPr>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atLeast"/>
          <w:jc w:val="center"/>
        </w:trPr>
        <w:tc>
          <w:tcPr>
            <w:tcW w:w="645" w:type="dxa"/>
            <w:vMerge w:val="continue"/>
            <w:vAlign w:val="center"/>
          </w:tcPr>
          <w:p>
            <w:pPr>
              <w:jc w:val="center"/>
              <w:rPr>
                <w:kern w:val="0"/>
                <w:szCs w:val="21"/>
              </w:rPr>
            </w:pPr>
          </w:p>
        </w:tc>
        <w:tc>
          <w:tcPr>
            <w:tcW w:w="1179" w:type="dxa"/>
            <w:vMerge w:val="continue"/>
            <w:vAlign w:val="center"/>
          </w:tcPr>
          <w:p>
            <w:pPr>
              <w:jc w:val="center"/>
              <w:rPr>
                <w:kern w:val="0"/>
                <w:szCs w:val="21"/>
              </w:rPr>
            </w:pPr>
          </w:p>
        </w:tc>
        <w:tc>
          <w:tcPr>
            <w:tcW w:w="1722" w:type="dxa"/>
            <w:vAlign w:val="center"/>
          </w:tcPr>
          <w:p>
            <w:pPr>
              <w:jc w:val="center"/>
              <w:rPr>
                <w:szCs w:val="21"/>
              </w:rPr>
            </w:pPr>
            <w:r>
              <w:rPr>
                <w:szCs w:val="21"/>
              </w:rPr>
              <w:t>法定代表人身份证明及授权委托书</w:t>
            </w:r>
          </w:p>
        </w:tc>
        <w:tc>
          <w:tcPr>
            <w:tcW w:w="4820" w:type="dxa"/>
            <w:vAlign w:val="center"/>
          </w:tcPr>
          <w:p>
            <w:pPr>
              <w:rPr>
                <w:szCs w:val="21"/>
              </w:rPr>
            </w:pPr>
            <w:r>
              <w:rPr>
                <w:szCs w:val="21"/>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jc w:val="center"/>
        </w:trPr>
        <w:tc>
          <w:tcPr>
            <w:tcW w:w="645" w:type="dxa"/>
            <w:vMerge w:val="continue"/>
            <w:vAlign w:val="center"/>
          </w:tcPr>
          <w:p>
            <w:pPr>
              <w:jc w:val="center"/>
              <w:rPr>
                <w:kern w:val="0"/>
                <w:szCs w:val="21"/>
              </w:rPr>
            </w:pPr>
          </w:p>
        </w:tc>
        <w:tc>
          <w:tcPr>
            <w:tcW w:w="1179" w:type="dxa"/>
            <w:vMerge w:val="continue"/>
            <w:vAlign w:val="center"/>
          </w:tcPr>
          <w:p>
            <w:pPr>
              <w:jc w:val="center"/>
              <w:rPr>
                <w:kern w:val="0"/>
                <w:szCs w:val="21"/>
              </w:rPr>
            </w:pPr>
          </w:p>
        </w:tc>
        <w:tc>
          <w:tcPr>
            <w:tcW w:w="1722" w:type="dxa"/>
            <w:vAlign w:val="center"/>
          </w:tcPr>
          <w:p>
            <w:pPr>
              <w:jc w:val="center"/>
              <w:rPr>
                <w:szCs w:val="21"/>
                <w:lang w:val="zh-CN"/>
              </w:rPr>
            </w:pPr>
            <w:r>
              <w:rPr>
                <w:szCs w:val="21"/>
                <w:lang w:val="zh-CN"/>
              </w:rPr>
              <w:t>投标方案</w:t>
            </w:r>
          </w:p>
        </w:tc>
        <w:tc>
          <w:tcPr>
            <w:tcW w:w="4820" w:type="dxa"/>
            <w:vAlign w:val="center"/>
          </w:tcPr>
          <w:p>
            <w:pPr>
              <w:rPr>
                <w:kern w:val="0"/>
                <w:szCs w:val="21"/>
              </w:rPr>
            </w:pPr>
            <w:r>
              <w:rPr>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4" w:hRule="atLeast"/>
          <w:jc w:val="center"/>
        </w:trPr>
        <w:tc>
          <w:tcPr>
            <w:tcW w:w="645" w:type="dxa"/>
            <w:vMerge w:val="continue"/>
            <w:vAlign w:val="center"/>
          </w:tcPr>
          <w:p>
            <w:pPr>
              <w:jc w:val="center"/>
              <w:rPr>
                <w:kern w:val="0"/>
                <w:szCs w:val="21"/>
              </w:rPr>
            </w:pPr>
          </w:p>
        </w:tc>
        <w:tc>
          <w:tcPr>
            <w:tcW w:w="1179" w:type="dxa"/>
            <w:vMerge w:val="continue"/>
            <w:vAlign w:val="center"/>
          </w:tcPr>
          <w:p>
            <w:pPr>
              <w:jc w:val="center"/>
              <w:rPr>
                <w:kern w:val="0"/>
                <w:szCs w:val="21"/>
              </w:rPr>
            </w:pPr>
          </w:p>
        </w:tc>
        <w:tc>
          <w:tcPr>
            <w:tcW w:w="1722" w:type="dxa"/>
            <w:vAlign w:val="center"/>
          </w:tcPr>
          <w:p>
            <w:pPr>
              <w:jc w:val="center"/>
              <w:rPr>
                <w:szCs w:val="21"/>
                <w:lang w:val="zh-CN"/>
              </w:rPr>
            </w:pPr>
            <w:r>
              <w:rPr>
                <w:szCs w:val="21"/>
              </w:rPr>
              <w:t>报价唯一</w:t>
            </w:r>
          </w:p>
        </w:tc>
        <w:tc>
          <w:tcPr>
            <w:tcW w:w="4820" w:type="dxa"/>
            <w:vAlign w:val="center"/>
          </w:tcPr>
          <w:p>
            <w:pPr>
              <w:rPr>
                <w:kern w:val="0"/>
                <w:szCs w:val="21"/>
              </w:rPr>
            </w:pPr>
            <w:r>
              <w:rPr>
                <w:szCs w:val="21"/>
                <w:lang w:val="zh-CN"/>
              </w:rPr>
              <w:t>只能在采购预算范围内报价，</w:t>
            </w:r>
            <w:r>
              <w:rPr>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645" w:type="dxa"/>
            <w:vMerge w:val="restart"/>
            <w:vAlign w:val="center"/>
          </w:tcPr>
          <w:p>
            <w:pPr>
              <w:jc w:val="center"/>
              <w:rPr>
                <w:kern w:val="0"/>
                <w:szCs w:val="21"/>
              </w:rPr>
            </w:pPr>
            <w:r>
              <w:rPr>
                <w:kern w:val="0"/>
                <w:szCs w:val="21"/>
              </w:rPr>
              <w:t>2</w:t>
            </w:r>
          </w:p>
        </w:tc>
        <w:tc>
          <w:tcPr>
            <w:tcW w:w="1179" w:type="dxa"/>
            <w:vMerge w:val="restart"/>
            <w:vAlign w:val="center"/>
          </w:tcPr>
          <w:p>
            <w:pPr>
              <w:jc w:val="center"/>
              <w:rPr>
                <w:kern w:val="0"/>
                <w:szCs w:val="21"/>
              </w:rPr>
            </w:pPr>
            <w:r>
              <w:rPr>
                <w:kern w:val="0"/>
                <w:szCs w:val="21"/>
              </w:rPr>
              <w:t>完整性审查</w:t>
            </w:r>
          </w:p>
        </w:tc>
        <w:tc>
          <w:tcPr>
            <w:tcW w:w="1722" w:type="dxa"/>
            <w:vAlign w:val="center"/>
          </w:tcPr>
          <w:p>
            <w:pPr>
              <w:jc w:val="center"/>
              <w:rPr>
                <w:kern w:val="0"/>
                <w:szCs w:val="21"/>
              </w:rPr>
            </w:pPr>
            <w:r>
              <w:rPr>
                <w:szCs w:val="21"/>
                <w:lang w:val="zh-CN"/>
              </w:rPr>
              <w:t>投标文件份数</w:t>
            </w:r>
          </w:p>
        </w:tc>
        <w:tc>
          <w:tcPr>
            <w:tcW w:w="4820" w:type="dxa"/>
            <w:vAlign w:val="center"/>
          </w:tcPr>
          <w:p>
            <w:pPr>
              <w:rPr>
                <w:kern w:val="0"/>
                <w:szCs w:val="21"/>
              </w:rPr>
            </w:pPr>
            <w:r>
              <w:rPr>
                <w:szCs w:val="21"/>
                <w:lang w:val="zh-CN"/>
              </w:rPr>
              <w:t>投标文件正、副本数量符合采购文件要求（若转为线下开标的，此条进行审查）。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645" w:type="dxa"/>
            <w:vMerge w:val="continue"/>
            <w:vAlign w:val="center"/>
          </w:tcPr>
          <w:p>
            <w:pPr>
              <w:jc w:val="center"/>
              <w:rPr>
                <w:kern w:val="0"/>
                <w:szCs w:val="21"/>
              </w:rPr>
            </w:pPr>
          </w:p>
        </w:tc>
        <w:tc>
          <w:tcPr>
            <w:tcW w:w="1179" w:type="dxa"/>
            <w:vMerge w:val="continue"/>
            <w:vAlign w:val="center"/>
          </w:tcPr>
          <w:p>
            <w:pPr>
              <w:jc w:val="center"/>
              <w:rPr>
                <w:kern w:val="0"/>
                <w:szCs w:val="21"/>
              </w:rPr>
            </w:pPr>
          </w:p>
        </w:tc>
        <w:tc>
          <w:tcPr>
            <w:tcW w:w="1722" w:type="dxa"/>
            <w:vAlign w:val="center"/>
          </w:tcPr>
          <w:p>
            <w:pPr>
              <w:jc w:val="center"/>
              <w:rPr>
                <w:szCs w:val="21"/>
                <w:lang w:val="zh-CN"/>
              </w:rPr>
            </w:pPr>
            <w:r>
              <w:rPr>
                <w:szCs w:val="21"/>
                <w:lang w:val="zh-CN"/>
              </w:rPr>
              <w:t>投标文件内容</w:t>
            </w:r>
          </w:p>
        </w:tc>
        <w:tc>
          <w:tcPr>
            <w:tcW w:w="4820" w:type="dxa"/>
            <w:vAlign w:val="center"/>
          </w:tcPr>
          <w:p>
            <w:pPr>
              <w:rPr>
                <w:szCs w:val="21"/>
                <w:lang w:val="zh-CN"/>
              </w:rPr>
            </w:pPr>
            <w:r>
              <w:rPr>
                <w:szCs w:val="21"/>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645" w:type="dxa"/>
            <w:vAlign w:val="center"/>
          </w:tcPr>
          <w:p>
            <w:pPr>
              <w:jc w:val="center"/>
              <w:rPr>
                <w:kern w:val="0"/>
                <w:szCs w:val="21"/>
              </w:rPr>
            </w:pPr>
            <w:r>
              <w:rPr>
                <w:kern w:val="0"/>
                <w:szCs w:val="21"/>
              </w:rPr>
              <w:t>3</w:t>
            </w:r>
          </w:p>
        </w:tc>
        <w:tc>
          <w:tcPr>
            <w:tcW w:w="1179" w:type="dxa"/>
            <w:vAlign w:val="center"/>
          </w:tcPr>
          <w:p>
            <w:pPr>
              <w:jc w:val="center"/>
              <w:rPr>
                <w:szCs w:val="21"/>
                <w:lang w:val="zh-CN"/>
              </w:rPr>
            </w:pPr>
            <w:r>
              <w:rPr>
                <w:kern w:val="0"/>
                <w:szCs w:val="21"/>
              </w:rPr>
              <w:t>采购文件的响应程度审查</w:t>
            </w:r>
          </w:p>
        </w:tc>
        <w:tc>
          <w:tcPr>
            <w:tcW w:w="1722" w:type="dxa"/>
            <w:vAlign w:val="center"/>
          </w:tcPr>
          <w:p>
            <w:pPr>
              <w:jc w:val="center"/>
              <w:rPr>
                <w:kern w:val="0"/>
                <w:szCs w:val="21"/>
              </w:rPr>
            </w:pPr>
            <w:r>
              <w:rPr>
                <w:kern w:val="0"/>
                <w:szCs w:val="21"/>
              </w:rPr>
              <w:t>投标文件内容</w:t>
            </w:r>
          </w:p>
          <w:p>
            <w:pPr>
              <w:jc w:val="center"/>
              <w:rPr>
                <w:kern w:val="0"/>
                <w:szCs w:val="21"/>
              </w:rPr>
            </w:pPr>
            <w:r>
              <w:rPr>
                <w:kern w:val="0"/>
                <w:szCs w:val="21"/>
              </w:rPr>
              <w:t>投标有效期</w:t>
            </w:r>
          </w:p>
        </w:tc>
        <w:tc>
          <w:tcPr>
            <w:tcW w:w="4820" w:type="dxa"/>
            <w:vAlign w:val="center"/>
          </w:tcPr>
          <w:p>
            <w:pPr>
              <w:rPr>
                <w:szCs w:val="21"/>
                <w:lang w:val="zh-CN"/>
              </w:rPr>
            </w:pPr>
            <w:r>
              <w:rPr>
                <w:kern w:val="0"/>
                <w:szCs w:val="21"/>
              </w:rPr>
              <w:t>满足采购文件</w:t>
            </w:r>
            <w:r>
              <w:rPr>
                <w:szCs w:val="21"/>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6" w:hRule="atLeast"/>
          <w:jc w:val="center"/>
        </w:trPr>
        <w:tc>
          <w:tcPr>
            <w:tcW w:w="645" w:type="dxa"/>
            <w:vAlign w:val="center"/>
          </w:tcPr>
          <w:p>
            <w:pPr>
              <w:jc w:val="center"/>
              <w:rPr>
                <w:kern w:val="0"/>
                <w:szCs w:val="21"/>
              </w:rPr>
            </w:pPr>
            <w:r>
              <w:rPr>
                <w:kern w:val="0"/>
                <w:szCs w:val="21"/>
              </w:rPr>
              <w:t>4</w:t>
            </w:r>
          </w:p>
        </w:tc>
        <w:tc>
          <w:tcPr>
            <w:tcW w:w="1179" w:type="dxa"/>
            <w:vAlign w:val="center"/>
          </w:tcPr>
          <w:p>
            <w:pPr>
              <w:jc w:val="center"/>
              <w:rPr>
                <w:kern w:val="0"/>
                <w:szCs w:val="21"/>
              </w:rPr>
            </w:pPr>
            <w:r>
              <w:rPr>
                <w:kern w:val="0"/>
                <w:szCs w:val="21"/>
              </w:rPr>
              <w:t>实质性条款审查</w:t>
            </w:r>
          </w:p>
        </w:tc>
        <w:tc>
          <w:tcPr>
            <w:tcW w:w="1722" w:type="dxa"/>
            <w:vAlign w:val="center"/>
          </w:tcPr>
          <w:p>
            <w:pPr>
              <w:jc w:val="center"/>
              <w:rPr>
                <w:kern w:val="0"/>
                <w:szCs w:val="21"/>
              </w:rPr>
            </w:pPr>
            <w:r>
              <w:rPr>
                <w:kern w:val="0"/>
                <w:szCs w:val="21"/>
              </w:rPr>
              <w:t>实质性条款是否负偏离</w:t>
            </w:r>
          </w:p>
        </w:tc>
        <w:tc>
          <w:tcPr>
            <w:tcW w:w="4820" w:type="dxa"/>
            <w:vAlign w:val="center"/>
          </w:tcPr>
          <w:p>
            <w:pPr>
              <w:rPr>
                <w:kern w:val="0"/>
                <w:szCs w:val="21"/>
              </w:rPr>
            </w:pPr>
            <w:r>
              <w:rPr>
                <w:kern w:val="0"/>
                <w:szCs w:val="21"/>
              </w:rPr>
              <w:t>符合采购文件要求的，与采购文件中标注“*”的条款发生实质性无负偏离的情形。</w:t>
            </w:r>
          </w:p>
        </w:tc>
      </w:tr>
    </w:tbl>
    <w:p>
      <w:pPr>
        <w:pStyle w:val="24"/>
        <w:spacing w:line="360" w:lineRule="auto"/>
        <w:ind w:left="473" w:firstLine="0" w:firstLineChars="0"/>
        <w:rPr>
          <w:rFonts w:ascii="Times New Roman" w:hAnsi="Times New Roman"/>
          <w:b w:val="0"/>
          <w:bCs w:val="0"/>
          <w:color w:val="auto"/>
          <w:sz w:val="21"/>
          <w:szCs w:val="21"/>
        </w:rPr>
      </w:pPr>
      <w:r>
        <w:rPr>
          <w:rFonts w:ascii="Times New Roman" w:hAnsi="Times New Roman"/>
          <w:b w:val="0"/>
          <w:bCs w:val="0"/>
          <w:color w:val="auto"/>
          <w:sz w:val="21"/>
          <w:szCs w:val="21"/>
        </w:rPr>
        <w:t>3.澄清问题</w:t>
      </w:r>
    </w:p>
    <w:p>
      <w:pPr>
        <w:pStyle w:val="24"/>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由评标委员会对投标文件审查中发现的投标文件中含义不明确、同类问题表述不一致或者有明显文字和计算错误的内容，以及评标委员会认为需要进一步确认的其他内容，评标委员会将以书面形式并通过询标的方式要求供应商到场作出必要澄清、说明或者补正。供应商必须按照评标委员会委托采购代理机构通知的时间、地点安排技术或商务人员进行答疑和澄清，未响应澄清安排的通知到场进行答疑和澄清，将被视作自动放弃并承担后果。</w:t>
      </w:r>
    </w:p>
    <w:p>
      <w:pPr>
        <w:pStyle w:val="24"/>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投标人的澄清、说明或者补正应当采用书面形式，并加盖公章，或者由法定代表人或其授权的代表签字。书面澄清将作为投标内容的一部分。</w:t>
      </w:r>
    </w:p>
    <w:p>
      <w:pPr>
        <w:pStyle w:val="24"/>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投标人的澄清、说明或者补正不得超出投标文件的范围或者改变投标文件的实质性内容。</w:t>
      </w:r>
    </w:p>
    <w:p>
      <w:pPr>
        <w:pStyle w:val="24"/>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询标的次序和时间是根据评委对投标文件审查的具体情况安排的，如果评委认为已经理解或不需要澄清的投标文件，将可能不再安排投标人进行询标。</w:t>
      </w:r>
    </w:p>
    <w:p>
      <w:pPr>
        <w:pStyle w:val="24"/>
        <w:spacing w:line="360" w:lineRule="auto"/>
        <w:ind w:left="473" w:firstLine="0" w:firstLineChars="0"/>
        <w:rPr>
          <w:rFonts w:ascii="Times New Roman" w:hAnsi="Times New Roman"/>
          <w:b w:val="0"/>
          <w:bCs w:val="0"/>
          <w:color w:val="auto"/>
          <w:sz w:val="21"/>
          <w:szCs w:val="21"/>
        </w:rPr>
      </w:pPr>
      <w:r>
        <w:rPr>
          <w:rFonts w:ascii="Times New Roman" w:hAnsi="Times New Roman"/>
          <w:b w:val="0"/>
          <w:bCs w:val="0"/>
          <w:color w:val="auto"/>
          <w:sz w:val="21"/>
          <w:szCs w:val="21"/>
        </w:rPr>
        <w:t>4.详细评审</w:t>
      </w:r>
    </w:p>
    <w:p>
      <w:pPr>
        <w:pStyle w:val="24"/>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pPr>
      <w:r>
        <w:rPr>
          <w:szCs w:val="21"/>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szCs w:val="21"/>
        </w:rPr>
      </w:pPr>
      <w:r>
        <w:rPr>
          <w:szCs w:val="21"/>
        </w:rPr>
        <w:t>注：评标委员会认为投标文件无效的，应组织相关投标人代表进行陈述、澄清或申辩。</w:t>
      </w:r>
    </w:p>
    <w:p>
      <w:pPr>
        <w:widowControl/>
        <w:spacing w:line="360" w:lineRule="auto"/>
        <w:ind w:firstLine="422" w:firstLineChars="200"/>
        <w:jc w:val="left"/>
        <w:rPr>
          <w:b/>
          <w:bCs/>
          <w:szCs w:val="21"/>
        </w:rPr>
      </w:pPr>
      <w:r>
        <w:rPr>
          <w:b/>
          <w:bCs/>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widowControl/>
        <w:spacing w:line="360" w:lineRule="auto"/>
        <w:ind w:firstLine="420" w:firstLineChars="200"/>
        <w:jc w:val="left"/>
        <w:rPr>
          <w:szCs w:val="21"/>
        </w:rPr>
      </w:pPr>
      <w:r>
        <w:rPr>
          <w:szCs w:val="21"/>
        </w:rPr>
        <w:t>采购代理机构可协助评标委员会组长评委对打分结果进行校对、核对并汇总统计；对明显畸高、畸低的评分（</w:t>
      </w:r>
      <w:r>
        <w:rPr>
          <w:rFonts w:hint="eastAsia" w:cs="宋体"/>
          <w:color w:val="000000"/>
          <w:szCs w:val="21"/>
        </w:rPr>
        <w:t>个人主观打分偏离所有评审小组成员主观打分平均值30%以上的</w:t>
      </w:r>
      <w:r>
        <w:rPr>
          <w:szCs w:val="21"/>
        </w:rPr>
        <w:t>），评标委员会组长评委应提醒相关评标委员会成员进行复核或书面说明理由，评标委员会成员拒绝说明的，由现场监督员据实记录；评标委员会成员的评审、修改记录应保留原件，随项目其他资料一并存档。</w:t>
      </w:r>
    </w:p>
    <w:p>
      <w:pPr>
        <w:pStyle w:val="24"/>
        <w:spacing w:line="360" w:lineRule="auto"/>
        <w:ind w:left="473" w:firstLine="0" w:firstLineChars="0"/>
        <w:rPr>
          <w:rFonts w:ascii="Times New Roman" w:hAnsi="Times New Roman"/>
          <w:b w:val="0"/>
          <w:bCs w:val="0"/>
          <w:color w:val="auto"/>
          <w:sz w:val="21"/>
          <w:szCs w:val="21"/>
        </w:rPr>
      </w:pPr>
      <w:r>
        <w:rPr>
          <w:rFonts w:ascii="Times New Roman" w:hAnsi="Times New Roman"/>
          <w:b w:val="0"/>
          <w:bCs w:val="0"/>
          <w:color w:val="auto"/>
          <w:sz w:val="21"/>
          <w:szCs w:val="21"/>
        </w:rPr>
        <w:t>5.确定中标候选人名单</w:t>
      </w:r>
    </w:p>
    <w:p>
      <w:pPr>
        <w:widowControl/>
        <w:spacing w:line="360" w:lineRule="auto"/>
        <w:ind w:firstLine="420" w:firstLineChars="200"/>
        <w:jc w:val="left"/>
        <w:rPr>
          <w:szCs w:val="21"/>
        </w:rPr>
      </w:pPr>
      <w:r>
        <w:rPr>
          <w:szCs w:val="21"/>
        </w:rPr>
        <w:t>本项目由评标委员会推荐1名中标候选人。</w:t>
      </w:r>
    </w:p>
    <w:p>
      <w:pPr>
        <w:widowControl/>
        <w:spacing w:line="360" w:lineRule="auto"/>
        <w:ind w:firstLine="420" w:firstLineChars="200"/>
        <w:jc w:val="left"/>
        <w:rPr>
          <w:szCs w:val="21"/>
        </w:rPr>
      </w:pPr>
      <w:r>
        <w:rPr>
          <w:szCs w:val="21"/>
        </w:rPr>
        <w:t>评标委员会根据投标人的综合得分高低排定顺序，推荐综合得分排名第一的投标人为中标候选人。如投标人综合得分相同的则价格低者优先中标；若技术商务得分也相同，则由投标人抽签决定。</w:t>
      </w:r>
    </w:p>
    <w:p>
      <w:pPr>
        <w:widowControl/>
        <w:spacing w:line="360" w:lineRule="auto"/>
        <w:ind w:firstLine="420" w:firstLineChars="200"/>
        <w:jc w:val="left"/>
        <w:rPr>
          <w:szCs w:val="21"/>
        </w:rPr>
      </w:pPr>
      <w:r>
        <w:rPr>
          <w:szCs w:val="21"/>
        </w:rPr>
        <w:t>采购响应截止时间或评审期间，若出现参与的供应商或者对采购文件作出实质性响应的供应商不足3家的情况，该项目招标采购活动终止。</w:t>
      </w:r>
    </w:p>
    <w:p>
      <w:pPr>
        <w:widowControl/>
        <w:spacing w:line="360" w:lineRule="auto"/>
        <w:ind w:firstLine="420" w:firstLineChars="200"/>
        <w:jc w:val="left"/>
        <w:rPr>
          <w:color w:val="FF0000"/>
          <w:szCs w:val="21"/>
        </w:rPr>
      </w:pPr>
      <w:r>
        <w:rPr>
          <w:szCs w:val="21"/>
        </w:rPr>
        <w:t>如评标过程中出现本招标文件未尽事宜，则由评标委员会讨论决定。</w:t>
      </w:r>
    </w:p>
    <w:p>
      <w:pPr>
        <w:spacing w:line="420" w:lineRule="exact"/>
        <w:ind w:firstLine="420" w:firstLineChars="200"/>
        <w:rPr>
          <w:kern w:val="0"/>
          <w:szCs w:val="21"/>
        </w:rPr>
      </w:pPr>
      <w:r>
        <w:rPr>
          <w:kern w:val="0"/>
          <w:szCs w:val="21"/>
        </w:rPr>
        <w:t>6.编写评标报告</w:t>
      </w:r>
    </w:p>
    <w:p>
      <w:pPr>
        <w:spacing w:line="420" w:lineRule="exact"/>
        <w:ind w:firstLine="420" w:firstLineChars="200"/>
        <w:rPr>
          <w:szCs w:val="21"/>
        </w:rPr>
      </w:pPr>
      <w:r>
        <w:rPr>
          <w:szCs w:val="21"/>
        </w:rPr>
        <w:t>评标委员会根据全体评标成员签字的原始评标记录和评标结果编写评标报告；评标结束。</w:t>
      </w:r>
    </w:p>
    <w:p>
      <w:pPr>
        <w:pStyle w:val="30"/>
        <w:spacing w:before="120" w:beforeLines="50" w:after="120" w:afterLines="50" w:line="240" w:lineRule="auto"/>
        <w:ind w:firstLine="413" w:firstLineChars="196"/>
        <w:jc w:val="left"/>
        <w:rPr>
          <w:rFonts w:ascii="Times New Roman" w:hAnsi="Times New Roman"/>
          <w:color w:val="000000"/>
          <w:sz w:val="21"/>
          <w:szCs w:val="21"/>
        </w:rPr>
      </w:pPr>
      <w:bookmarkStart w:id="527" w:name="_Toc109989393"/>
      <w:bookmarkStart w:id="528" w:name="_Toc259108323"/>
      <w:bookmarkStart w:id="529" w:name="_Toc249866767"/>
      <w:bookmarkStart w:id="530" w:name="_Toc17707960"/>
      <w:r>
        <w:rPr>
          <w:rFonts w:ascii="Times New Roman" w:hAnsi="Times New Roman"/>
          <w:color w:val="000000"/>
          <w:sz w:val="21"/>
          <w:szCs w:val="21"/>
        </w:rPr>
        <w:t>四、投标无效的情形</w:t>
      </w:r>
      <w:bookmarkEnd w:id="527"/>
      <w:bookmarkEnd w:id="528"/>
      <w:bookmarkEnd w:id="529"/>
      <w:bookmarkEnd w:id="530"/>
    </w:p>
    <w:p>
      <w:pPr>
        <w:spacing w:line="360" w:lineRule="auto"/>
        <w:ind w:firstLine="422" w:firstLineChars="200"/>
        <w:rPr>
          <w:b/>
          <w:color w:val="000000"/>
          <w:szCs w:val="21"/>
        </w:rPr>
      </w:pPr>
      <w:r>
        <w:rPr>
          <w:b/>
          <w:color w:val="000000"/>
          <w:szCs w:val="21"/>
        </w:rPr>
        <w:t>没有响应采购文件实质性要求的投标将被视为无效投标。投标人不得通过修正或撤消不合要求的偏离或保留从而使其投标成为实质上响应的投标。</w:t>
      </w:r>
    </w:p>
    <w:p>
      <w:pPr>
        <w:spacing w:line="360" w:lineRule="auto"/>
        <w:ind w:firstLine="422" w:firstLineChars="200"/>
        <w:rPr>
          <w:b/>
          <w:szCs w:val="21"/>
        </w:rPr>
      </w:pPr>
      <w:r>
        <w:rPr>
          <w:rFonts w:hint="eastAsia"/>
          <w:b/>
          <w:szCs w:val="21"/>
        </w:rPr>
        <w:t>不同供应商的文件出自同一终端设备或在相同Internet主机分配地址（相同IP地址）网上报名或上传电子投标文件视为无效响应。</w:t>
      </w:r>
    </w:p>
    <w:p>
      <w:pPr>
        <w:pStyle w:val="16"/>
        <w:widowControl/>
        <w:spacing w:line="360" w:lineRule="auto"/>
        <w:ind w:firstLine="398" w:firstLineChars="196"/>
        <w:jc w:val="left"/>
        <w:rPr>
          <w:rFonts w:ascii="Times New Roman" w:hAnsi="Times New Roman"/>
          <w:b/>
          <w:bCs/>
          <w:sz w:val="21"/>
          <w:szCs w:val="21"/>
        </w:rPr>
      </w:pPr>
      <w:r>
        <w:rPr>
          <w:rFonts w:ascii="Times New Roman" w:hAnsi="Times New Roman"/>
          <w:b/>
          <w:bCs/>
          <w:sz w:val="21"/>
          <w:szCs w:val="21"/>
        </w:rPr>
        <w:t>1.在资格审查时，如发现下列情形之一的，投标文件将被视为无效：</w:t>
      </w:r>
    </w:p>
    <w:p>
      <w:pPr>
        <w:pStyle w:val="16"/>
        <w:widowControl/>
        <w:numPr>
          <w:ilvl w:val="0"/>
          <w:numId w:val="15"/>
        </w:numPr>
        <w:spacing w:line="360" w:lineRule="auto"/>
        <w:jc w:val="left"/>
        <w:rPr>
          <w:rFonts w:ascii="Times New Roman" w:hAnsi="Times New Roman"/>
          <w:b/>
          <w:bCs/>
          <w:sz w:val="21"/>
          <w:szCs w:val="21"/>
        </w:rPr>
      </w:pPr>
      <w:r>
        <w:rPr>
          <w:rFonts w:ascii="Times New Roman" w:hAnsi="Times New Roman"/>
          <w:b/>
          <w:bCs/>
          <w:sz w:val="21"/>
          <w:szCs w:val="21"/>
        </w:rPr>
        <w:t>资格证明文件不全的或者不符合采购文件标明的资格要求的；</w:t>
      </w:r>
    </w:p>
    <w:p>
      <w:pPr>
        <w:pStyle w:val="16"/>
        <w:widowControl/>
        <w:numPr>
          <w:ilvl w:val="0"/>
          <w:numId w:val="15"/>
        </w:numPr>
        <w:spacing w:line="360" w:lineRule="auto"/>
        <w:jc w:val="left"/>
        <w:rPr>
          <w:rFonts w:ascii="Times New Roman" w:hAnsi="Times New Roman"/>
          <w:b/>
          <w:bCs/>
          <w:sz w:val="21"/>
          <w:szCs w:val="21"/>
        </w:rPr>
      </w:pPr>
      <w:r>
        <w:rPr>
          <w:rFonts w:hint="eastAsia" w:ascii="Times New Roman" w:hAnsi="Times New Roman"/>
          <w:b/>
          <w:bCs/>
          <w:sz w:val="21"/>
          <w:szCs w:val="21"/>
        </w:rPr>
        <w:t>投标人资格声明函</w:t>
      </w:r>
      <w:r>
        <w:rPr>
          <w:rFonts w:ascii="Times New Roman" w:hAnsi="Times New Roman"/>
          <w:b/>
          <w:bCs/>
          <w:sz w:val="21"/>
          <w:szCs w:val="21"/>
        </w:rPr>
        <w:t>无法定代表人或授权代表签名或盖章；</w:t>
      </w:r>
    </w:p>
    <w:p>
      <w:pPr>
        <w:pStyle w:val="16"/>
        <w:widowControl/>
        <w:spacing w:line="360" w:lineRule="auto"/>
        <w:ind w:firstLine="398" w:firstLineChars="196"/>
        <w:jc w:val="left"/>
        <w:rPr>
          <w:rFonts w:ascii="Times New Roman" w:hAnsi="Times New Roman"/>
          <w:b/>
          <w:bCs/>
          <w:sz w:val="21"/>
          <w:szCs w:val="21"/>
        </w:rPr>
      </w:pPr>
      <w:r>
        <w:rPr>
          <w:rFonts w:ascii="Times New Roman" w:hAnsi="Times New Roman"/>
          <w:b/>
          <w:bCs/>
          <w:sz w:val="21"/>
          <w:szCs w:val="21"/>
        </w:rPr>
        <w:t>2.在符合性审查时，如发现下列情形之一的，投标文件将被视为无效：</w:t>
      </w:r>
    </w:p>
    <w:p>
      <w:pPr>
        <w:pStyle w:val="16"/>
        <w:widowControl/>
        <w:numPr>
          <w:ilvl w:val="0"/>
          <w:numId w:val="16"/>
        </w:numPr>
        <w:spacing w:line="360" w:lineRule="auto"/>
        <w:jc w:val="left"/>
        <w:rPr>
          <w:rFonts w:ascii="Times New Roman" w:hAnsi="Times New Roman"/>
          <w:b/>
          <w:bCs/>
          <w:sz w:val="21"/>
          <w:szCs w:val="21"/>
        </w:rPr>
      </w:pPr>
      <w:r>
        <w:rPr>
          <w:rFonts w:ascii="Times New Roman" w:hAnsi="Times New Roman"/>
          <w:b/>
          <w:bCs/>
          <w:sz w:val="21"/>
          <w:szCs w:val="21"/>
        </w:rPr>
        <w:t>投标文件未按采购文件要求签署、签章的；</w:t>
      </w:r>
    </w:p>
    <w:p>
      <w:pPr>
        <w:pStyle w:val="16"/>
        <w:widowControl/>
        <w:numPr>
          <w:ilvl w:val="0"/>
          <w:numId w:val="16"/>
        </w:numPr>
        <w:spacing w:line="360" w:lineRule="auto"/>
        <w:jc w:val="left"/>
        <w:rPr>
          <w:rFonts w:ascii="Times New Roman" w:hAnsi="Times New Roman"/>
          <w:b/>
          <w:bCs/>
          <w:sz w:val="21"/>
          <w:szCs w:val="21"/>
        </w:rPr>
      </w:pPr>
      <w:r>
        <w:rPr>
          <w:rFonts w:ascii="Times New Roman" w:hAnsi="Times New Roman"/>
          <w:b/>
          <w:bCs/>
          <w:sz w:val="21"/>
          <w:szCs w:val="21"/>
        </w:rPr>
        <w:t>投标有效期不满足采购文件要求的；</w:t>
      </w:r>
    </w:p>
    <w:p>
      <w:pPr>
        <w:pStyle w:val="16"/>
        <w:widowControl/>
        <w:numPr>
          <w:ilvl w:val="0"/>
          <w:numId w:val="16"/>
        </w:numPr>
        <w:spacing w:line="360" w:lineRule="auto"/>
        <w:jc w:val="left"/>
        <w:rPr>
          <w:rFonts w:ascii="Times New Roman" w:hAnsi="Times New Roman"/>
          <w:b/>
          <w:bCs/>
          <w:sz w:val="21"/>
          <w:szCs w:val="21"/>
        </w:rPr>
      </w:pPr>
      <w:r>
        <w:rPr>
          <w:rFonts w:ascii="Times New Roman" w:hAnsi="Times New Roman"/>
          <w:b/>
          <w:bCs/>
          <w:snapToGrid w:val="0"/>
          <w:sz w:val="21"/>
          <w:szCs w:val="21"/>
        </w:rPr>
        <w:t>明显不符合采购文件要求的，或者与</w:t>
      </w:r>
      <w:r>
        <w:rPr>
          <w:rFonts w:ascii="Times New Roman" w:hAnsi="Times New Roman"/>
          <w:b/>
          <w:bCs/>
          <w:sz w:val="21"/>
          <w:szCs w:val="21"/>
        </w:rPr>
        <w:t>采购文件中标注“*”的条款发生实质性负偏离的；</w:t>
      </w:r>
    </w:p>
    <w:p>
      <w:pPr>
        <w:pStyle w:val="16"/>
        <w:widowControl/>
        <w:numPr>
          <w:ilvl w:val="0"/>
          <w:numId w:val="16"/>
        </w:numPr>
        <w:spacing w:line="360" w:lineRule="auto"/>
        <w:jc w:val="left"/>
        <w:rPr>
          <w:rFonts w:ascii="Times New Roman" w:hAnsi="Times New Roman"/>
          <w:b/>
          <w:bCs/>
          <w:sz w:val="21"/>
          <w:szCs w:val="21"/>
        </w:rPr>
      </w:pPr>
      <w:r>
        <w:rPr>
          <w:rFonts w:ascii="Times New Roman" w:hAnsi="Times New Roman"/>
          <w:b/>
          <w:bCs/>
          <w:sz w:val="21"/>
          <w:szCs w:val="21"/>
        </w:rPr>
        <w:t>投标文件中含有采购人不能接受的附加条件的；</w:t>
      </w:r>
    </w:p>
    <w:p>
      <w:pPr>
        <w:pStyle w:val="16"/>
        <w:widowControl/>
        <w:numPr>
          <w:ilvl w:val="0"/>
          <w:numId w:val="16"/>
        </w:numPr>
        <w:spacing w:line="360" w:lineRule="auto"/>
        <w:jc w:val="left"/>
        <w:rPr>
          <w:rFonts w:ascii="Times New Roman" w:hAnsi="Times New Roman"/>
          <w:b/>
          <w:bCs/>
          <w:sz w:val="21"/>
          <w:szCs w:val="21"/>
        </w:rPr>
      </w:pPr>
      <w:r>
        <w:rPr>
          <w:rFonts w:ascii="Times New Roman" w:hAnsi="Times New Roman"/>
          <w:b/>
          <w:bCs/>
          <w:sz w:val="21"/>
          <w:szCs w:val="21"/>
        </w:rPr>
        <w:t>委托人未提供法定代表人授权委托书或填写项目不齐全的；</w:t>
      </w:r>
    </w:p>
    <w:p>
      <w:pPr>
        <w:pStyle w:val="16"/>
        <w:widowControl/>
        <w:numPr>
          <w:ilvl w:val="0"/>
          <w:numId w:val="16"/>
        </w:numPr>
        <w:spacing w:line="360" w:lineRule="auto"/>
        <w:jc w:val="left"/>
        <w:rPr>
          <w:rFonts w:ascii="Times New Roman" w:hAnsi="Times New Roman"/>
          <w:b/>
          <w:bCs/>
          <w:sz w:val="21"/>
          <w:szCs w:val="21"/>
        </w:rPr>
      </w:pPr>
      <w:r>
        <w:rPr>
          <w:rFonts w:ascii="Times New Roman" w:hAnsi="Times New Roman"/>
          <w:b/>
          <w:bCs/>
          <w:sz w:val="21"/>
          <w:szCs w:val="21"/>
        </w:rPr>
        <w:t>投标文件格式不规范、提供资料不齐全或者内容虚假的；</w:t>
      </w:r>
    </w:p>
    <w:p>
      <w:pPr>
        <w:pStyle w:val="16"/>
        <w:widowControl/>
        <w:numPr>
          <w:ilvl w:val="0"/>
          <w:numId w:val="16"/>
        </w:numPr>
        <w:spacing w:line="360" w:lineRule="auto"/>
        <w:jc w:val="left"/>
        <w:rPr>
          <w:rFonts w:ascii="Times New Roman" w:hAnsi="Times New Roman"/>
          <w:b/>
          <w:bCs/>
          <w:sz w:val="21"/>
          <w:szCs w:val="21"/>
        </w:rPr>
      </w:pPr>
      <w:r>
        <w:rPr>
          <w:rFonts w:ascii="Times New Roman" w:hAnsi="Times New Roman"/>
          <w:b/>
          <w:bCs/>
          <w:sz w:val="21"/>
          <w:szCs w:val="21"/>
        </w:rPr>
        <w:t>投标文件的实质性内容未使用中文表述、表述不明确、前后矛盾或者使用计量单位不符合采购文件要求的（经评标委员会认定并允许其当场更正的笔误除外）；</w:t>
      </w:r>
    </w:p>
    <w:p>
      <w:pPr>
        <w:pStyle w:val="16"/>
        <w:widowControl/>
        <w:numPr>
          <w:ilvl w:val="0"/>
          <w:numId w:val="16"/>
        </w:numPr>
        <w:spacing w:line="360" w:lineRule="auto"/>
        <w:jc w:val="left"/>
        <w:rPr>
          <w:rFonts w:ascii="Times New Roman" w:hAnsi="Times New Roman"/>
          <w:b/>
          <w:bCs/>
          <w:sz w:val="21"/>
          <w:szCs w:val="21"/>
        </w:rPr>
      </w:pPr>
      <w:r>
        <w:rPr>
          <w:rFonts w:ascii="Times New Roman" w:hAnsi="Times New Roman"/>
          <w:b/>
          <w:bCs/>
          <w:sz w:val="21"/>
          <w:szCs w:val="21"/>
        </w:rPr>
        <w:t>投标文件的关键内容字迹模糊、无法辨认的，或者投标文件中经修正的内容字迹模糊难以辩认或者修改处未按规定签署、盖章的；</w:t>
      </w:r>
    </w:p>
    <w:p>
      <w:pPr>
        <w:pStyle w:val="16"/>
        <w:widowControl/>
        <w:numPr>
          <w:ilvl w:val="0"/>
          <w:numId w:val="16"/>
        </w:numPr>
        <w:spacing w:line="360" w:lineRule="auto"/>
        <w:jc w:val="left"/>
        <w:rPr>
          <w:rFonts w:ascii="Times New Roman" w:hAnsi="Times New Roman"/>
          <w:b/>
          <w:bCs/>
          <w:sz w:val="21"/>
          <w:szCs w:val="21"/>
        </w:rPr>
      </w:pPr>
      <w:r>
        <w:rPr>
          <w:rFonts w:ascii="Times New Roman" w:hAnsi="Times New Roman"/>
          <w:b/>
          <w:bCs/>
          <w:sz w:val="21"/>
          <w:szCs w:val="21"/>
        </w:rPr>
        <w:t>法律、法规和采购文件规定的其他无效情形；</w:t>
      </w:r>
    </w:p>
    <w:p>
      <w:pPr>
        <w:pStyle w:val="16"/>
        <w:widowControl/>
        <w:spacing w:line="360" w:lineRule="auto"/>
        <w:ind w:firstLine="398" w:firstLineChars="196"/>
        <w:jc w:val="left"/>
        <w:rPr>
          <w:rFonts w:ascii="Times New Roman" w:hAnsi="Times New Roman"/>
          <w:b/>
          <w:bCs/>
          <w:sz w:val="21"/>
          <w:szCs w:val="21"/>
        </w:rPr>
      </w:pPr>
      <w:r>
        <w:rPr>
          <w:rFonts w:ascii="Times New Roman" w:hAnsi="Times New Roman"/>
          <w:b/>
          <w:bCs/>
          <w:sz w:val="21"/>
          <w:szCs w:val="21"/>
        </w:rPr>
        <w:t>3.在技术商务评审时，如发现下列情形之一的，投标文件将被视为无效：</w:t>
      </w:r>
    </w:p>
    <w:p>
      <w:pPr>
        <w:pStyle w:val="16"/>
        <w:widowControl/>
        <w:numPr>
          <w:ilvl w:val="0"/>
          <w:numId w:val="17"/>
        </w:numPr>
        <w:spacing w:line="360" w:lineRule="auto"/>
        <w:jc w:val="left"/>
        <w:rPr>
          <w:rFonts w:ascii="Times New Roman" w:hAnsi="Times New Roman"/>
          <w:b/>
          <w:bCs/>
          <w:sz w:val="21"/>
          <w:szCs w:val="21"/>
        </w:rPr>
      </w:pPr>
      <w:r>
        <w:rPr>
          <w:rFonts w:ascii="Times New Roman" w:hAnsi="Times New Roman"/>
          <w:b/>
          <w:bCs/>
          <w:sz w:val="21"/>
          <w:szCs w:val="21"/>
        </w:rPr>
        <w:t>未提供或未如实提供投标服务需求，或者投标文件标明的响应或偏离与事实不符或虚假投标的；</w:t>
      </w:r>
    </w:p>
    <w:p>
      <w:pPr>
        <w:pStyle w:val="16"/>
        <w:widowControl/>
        <w:numPr>
          <w:ilvl w:val="0"/>
          <w:numId w:val="17"/>
        </w:numPr>
        <w:spacing w:line="360" w:lineRule="auto"/>
        <w:jc w:val="left"/>
        <w:rPr>
          <w:rFonts w:ascii="Times New Roman" w:hAnsi="Times New Roman"/>
          <w:b/>
          <w:bCs/>
          <w:sz w:val="21"/>
          <w:szCs w:val="21"/>
        </w:rPr>
      </w:pPr>
      <w:r>
        <w:rPr>
          <w:rFonts w:ascii="Times New Roman" w:hAnsi="Times New Roman"/>
          <w:b/>
          <w:bCs/>
          <w:sz w:val="21"/>
          <w:szCs w:val="21"/>
        </w:rPr>
        <w:t>投标技术方案不明确，存在一个或一个以上备选（替代）投标方案的；</w:t>
      </w:r>
    </w:p>
    <w:p>
      <w:pPr>
        <w:pStyle w:val="16"/>
        <w:widowControl/>
        <w:spacing w:line="360" w:lineRule="auto"/>
        <w:ind w:firstLine="398" w:firstLineChars="196"/>
        <w:jc w:val="left"/>
        <w:rPr>
          <w:rFonts w:ascii="Times New Roman" w:hAnsi="Times New Roman"/>
          <w:b/>
          <w:bCs/>
          <w:sz w:val="21"/>
          <w:szCs w:val="21"/>
        </w:rPr>
      </w:pPr>
      <w:r>
        <w:rPr>
          <w:rFonts w:ascii="Times New Roman" w:hAnsi="Times New Roman"/>
          <w:b/>
          <w:bCs/>
          <w:sz w:val="21"/>
          <w:szCs w:val="21"/>
        </w:rPr>
        <w:t>4.在报价评审时，如发现下列情形之一的，投标文件将被视为无效：</w:t>
      </w:r>
    </w:p>
    <w:p>
      <w:pPr>
        <w:pStyle w:val="16"/>
        <w:widowControl/>
        <w:numPr>
          <w:ilvl w:val="0"/>
          <w:numId w:val="18"/>
        </w:numPr>
        <w:spacing w:line="360" w:lineRule="auto"/>
        <w:jc w:val="left"/>
        <w:rPr>
          <w:rFonts w:ascii="Times New Roman" w:hAnsi="Times New Roman"/>
          <w:b/>
          <w:bCs/>
          <w:sz w:val="21"/>
          <w:szCs w:val="21"/>
        </w:rPr>
      </w:pPr>
      <w:r>
        <w:rPr>
          <w:rFonts w:ascii="Times New Roman" w:hAnsi="Times New Roman"/>
          <w:b/>
          <w:bCs/>
          <w:sz w:val="21"/>
          <w:szCs w:val="21"/>
        </w:rPr>
        <w:t>报价超过采购文件中规定的预算金额或者最高限价的；</w:t>
      </w:r>
    </w:p>
    <w:p>
      <w:pPr>
        <w:pStyle w:val="16"/>
        <w:widowControl/>
        <w:numPr>
          <w:ilvl w:val="0"/>
          <w:numId w:val="18"/>
        </w:numPr>
        <w:spacing w:line="360" w:lineRule="auto"/>
        <w:jc w:val="left"/>
        <w:rPr>
          <w:rFonts w:ascii="Times New Roman" w:hAnsi="Times New Roman"/>
          <w:b/>
          <w:bCs/>
          <w:sz w:val="21"/>
          <w:szCs w:val="21"/>
        </w:rPr>
      </w:pPr>
      <w:r>
        <w:rPr>
          <w:rFonts w:ascii="Times New Roman" w:hAnsi="Times New Roman"/>
          <w:b/>
          <w:bCs/>
          <w:sz w:val="21"/>
          <w:szCs w:val="21"/>
        </w:rPr>
        <w:t>未采用招标文件要求的报价形式报价的；</w:t>
      </w:r>
    </w:p>
    <w:p>
      <w:pPr>
        <w:pStyle w:val="16"/>
        <w:widowControl/>
        <w:numPr>
          <w:ilvl w:val="0"/>
          <w:numId w:val="18"/>
        </w:numPr>
        <w:spacing w:line="360" w:lineRule="auto"/>
        <w:jc w:val="left"/>
        <w:rPr>
          <w:rFonts w:ascii="Times New Roman" w:hAnsi="Times New Roman"/>
          <w:b/>
          <w:bCs/>
          <w:sz w:val="21"/>
          <w:szCs w:val="21"/>
        </w:rPr>
      </w:pPr>
      <w:r>
        <w:rPr>
          <w:rFonts w:ascii="Times New Roman" w:hAnsi="Times New Roman"/>
          <w:b/>
          <w:bCs/>
          <w:sz w:val="21"/>
          <w:szCs w:val="21"/>
        </w:rPr>
        <w:t>投标报价具有选择性；</w:t>
      </w:r>
    </w:p>
    <w:p>
      <w:pPr>
        <w:pStyle w:val="16"/>
        <w:widowControl/>
        <w:numPr>
          <w:ilvl w:val="0"/>
          <w:numId w:val="18"/>
        </w:numPr>
        <w:spacing w:line="360" w:lineRule="auto"/>
        <w:jc w:val="left"/>
        <w:rPr>
          <w:rFonts w:ascii="Times New Roman" w:hAnsi="Times New Roman"/>
          <w:b/>
          <w:bCs/>
          <w:sz w:val="21"/>
          <w:szCs w:val="21"/>
        </w:rPr>
      </w:pPr>
      <w:r>
        <w:rPr>
          <w:rFonts w:ascii="Times New Roman" w:hAnsi="Times New Roman"/>
          <w:b/>
          <w:bCs/>
          <w:sz w:val="21"/>
          <w:szCs w:val="21"/>
        </w:rPr>
        <w:t>评标委员会一致认为报价不合理的（不平衡报价）；</w:t>
      </w:r>
    </w:p>
    <w:p>
      <w:pPr>
        <w:pStyle w:val="16"/>
        <w:widowControl/>
        <w:numPr>
          <w:ilvl w:val="0"/>
          <w:numId w:val="18"/>
        </w:numPr>
        <w:spacing w:line="360" w:lineRule="auto"/>
        <w:jc w:val="left"/>
        <w:rPr>
          <w:rFonts w:ascii="Times New Roman" w:hAnsi="Times New Roman"/>
          <w:b/>
          <w:sz w:val="21"/>
          <w:szCs w:val="21"/>
        </w:rPr>
      </w:pPr>
      <w:r>
        <w:rPr>
          <w:rFonts w:ascii="Times New Roman" w:hAnsi="Times New Roman"/>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pPr>
        <w:pStyle w:val="16"/>
        <w:widowControl/>
        <w:numPr>
          <w:ilvl w:val="0"/>
          <w:numId w:val="18"/>
        </w:numPr>
        <w:spacing w:line="360" w:lineRule="auto"/>
        <w:jc w:val="left"/>
        <w:rPr>
          <w:rFonts w:ascii="Times New Roman" w:hAnsi="Times New Roman"/>
          <w:b/>
          <w:sz w:val="21"/>
          <w:szCs w:val="21"/>
        </w:rPr>
      </w:pPr>
      <w:r>
        <w:rPr>
          <w:rFonts w:ascii="Times New Roman" w:hAnsi="Times New Roman"/>
          <w:b/>
          <w:sz w:val="21"/>
          <w:szCs w:val="21"/>
        </w:rPr>
        <w:t>采购文件规定的其他无效情形；</w:t>
      </w:r>
    </w:p>
    <w:p>
      <w:pPr>
        <w:pStyle w:val="16"/>
        <w:widowControl/>
        <w:spacing w:line="360" w:lineRule="auto"/>
        <w:ind w:firstLine="398" w:firstLineChars="196"/>
        <w:jc w:val="left"/>
        <w:rPr>
          <w:rFonts w:ascii="Times New Roman" w:hAnsi="Times New Roman"/>
          <w:b/>
          <w:color w:val="000000"/>
          <w:szCs w:val="22"/>
        </w:rPr>
      </w:pPr>
      <w:r>
        <w:rPr>
          <w:rFonts w:ascii="Times New Roman" w:hAnsi="Times New Roman"/>
          <w:b/>
          <w:sz w:val="21"/>
          <w:szCs w:val="21"/>
        </w:rPr>
        <w:t>5.被拒绝的投标文件为无效。</w:t>
      </w:r>
      <w:r>
        <w:rPr>
          <w:rFonts w:ascii="Times New Roman" w:hAnsi="Times New Roman"/>
          <w:color w:val="000000"/>
          <w:szCs w:val="21"/>
        </w:rPr>
        <w:br w:type="page"/>
      </w:r>
      <w:bookmarkStart w:id="531" w:name="_Toc17707961"/>
      <w:r>
        <w:rPr>
          <w:rFonts w:ascii="Times New Roman" w:hAnsi="Times New Roman"/>
          <w:color w:val="000000"/>
          <w:sz w:val="21"/>
          <w:szCs w:val="21"/>
        </w:rPr>
        <w:t>五、评分标准表</w:t>
      </w:r>
      <w:bookmarkEnd w:id="531"/>
    </w:p>
    <w:p>
      <w:pPr>
        <w:pStyle w:val="30"/>
        <w:spacing w:before="0" w:after="0" w:line="360" w:lineRule="auto"/>
        <w:rPr>
          <w:rFonts w:ascii="Times New Roman" w:hAnsi="Times New Roman"/>
          <w:sz w:val="30"/>
          <w:szCs w:val="30"/>
        </w:rPr>
      </w:pPr>
      <w:bookmarkStart w:id="532" w:name="_Toc109989394"/>
      <w:bookmarkStart w:id="533" w:name="_Toc6926032"/>
      <w:bookmarkStart w:id="534" w:name="_Toc17707962"/>
      <w:r>
        <w:rPr>
          <w:rFonts w:ascii="Times New Roman" w:hAnsi="Times New Roman"/>
          <w:sz w:val="30"/>
          <w:szCs w:val="30"/>
        </w:rPr>
        <w:t>评分标准表</w:t>
      </w:r>
      <w:bookmarkEnd w:id="532"/>
      <w:bookmarkEnd w:id="533"/>
      <w:bookmarkEnd w:id="534"/>
    </w:p>
    <w:tbl>
      <w:tblPr>
        <w:tblStyle w:val="42"/>
        <w:tblW w:w="8501" w:type="dxa"/>
        <w:jc w:val="center"/>
        <w:tblLayout w:type="autofit"/>
        <w:tblCellMar>
          <w:top w:w="0" w:type="dxa"/>
          <w:left w:w="108" w:type="dxa"/>
          <w:bottom w:w="0" w:type="dxa"/>
          <w:right w:w="108" w:type="dxa"/>
        </w:tblCellMar>
      </w:tblPr>
      <w:tblGrid>
        <w:gridCol w:w="804"/>
        <w:gridCol w:w="1302"/>
        <w:gridCol w:w="5549"/>
        <w:gridCol w:w="846"/>
        <w:tblGridChange w:id="0">
          <w:tblGrid>
            <w:gridCol w:w="804"/>
            <w:gridCol w:w="1302"/>
            <w:gridCol w:w="5549"/>
            <w:gridCol w:w="846"/>
          </w:tblGrid>
        </w:tblGridChange>
      </w:tblGrid>
      <w:tr>
        <w:tblPrEx>
          <w:tblCellMar>
            <w:top w:w="0" w:type="dxa"/>
            <w:left w:w="108" w:type="dxa"/>
            <w:bottom w:w="0" w:type="dxa"/>
            <w:right w:w="108" w:type="dxa"/>
          </w:tblCellMar>
        </w:tblPrEx>
        <w:trPr>
          <w:trHeight w:val="694"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序号</w:t>
            </w:r>
          </w:p>
        </w:tc>
        <w:tc>
          <w:tcPr>
            <w:tcW w:w="13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评分因素</w:t>
            </w:r>
          </w:p>
        </w:tc>
        <w:tc>
          <w:tcPr>
            <w:tcW w:w="5549" w:type="dxa"/>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评分细则</w:t>
            </w:r>
          </w:p>
        </w:tc>
        <w:tc>
          <w:tcPr>
            <w:tcW w:w="0" w:type="auto"/>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分值</w:t>
            </w:r>
          </w:p>
        </w:tc>
      </w:tr>
      <w:tr>
        <w:tblPrEx>
          <w:tblCellMar>
            <w:top w:w="0" w:type="dxa"/>
            <w:left w:w="108" w:type="dxa"/>
            <w:bottom w:w="0" w:type="dxa"/>
            <w:right w:w="108" w:type="dxa"/>
          </w:tblCellMar>
        </w:tblPrEx>
        <w:trPr>
          <w:trHeight w:val="701"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5549" w:type="dxa"/>
            <w:tcBorders>
              <w:top w:val="nil"/>
              <w:left w:val="nil"/>
              <w:bottom w:val="single" w:color="auto" w:sz="4" w:space="0"/>
              <w:right w:val="single" w:color="auto" w:sz="4" w:space="0"/>
            </w:tcBorders>
            <w:vAlign w:val="center"/>
          </w:tcPr>
          <w:p>
            <w:pPr>
              <w:widowControl/>
              <w:rPr>
                <w:color w:val="000000"/>
                <w:kern w:val="0"/>
                <w:szCs w:val="21"/>
              </w:rPr>
            </w:pPr>
            <w:r>
              <w:rPr>
                <w:rFonts w:hint="eastAsia"/>
                <w:color w:val="000000"/>
                <w:kern w:val="0"/>
                <w:szCs w:val="21"/>
              </w:rPr>
              <w:t>【</w:t>
            </w:r>
            <w:r>
              <w:rPr>
                <w:color w:val="000000"/>
                <w:kern w:val="0"/>
                <w:szCs w:val="21"/>
              </w:rPr>
              <w:t>电子投标文件中提供的证明材料（证书、合同等）应清晰可辨，如无法辨识，将不予给分。</w:t>
            </w:r>
            <w:r>
              <w:rPr>
                <w:rFonts w:hint="eastAsia"/>
                <w:color w:val="000000"/>
                <w:kern w:val="0"/>
                <w:szCs w:val="21"/>
              </w:rPr>
              <w:t>】</w:t>
            </w:r>
          </w:p>
        </w:tc>
        <w:tc>
          <w:tcPr>
            <w:tcW w:w="0" w:type="auto"/>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（分）</w:t>
            </w:r>
          </w:p>
        </w:tc>
      </w:tr>
      <w:tr>
        <w:tblPrEx>
          <w:tblCellMar>
            <w:top w:w="0" w:type="dxa"/>
            <w:left w:w="108" w:type="dxa"/>
            <w:bottom w:w="0" w:type="dxa"/>
            <w:right w:w="108" w:type="dxa"/>
          </w:tblCellMar>
        </w:tblPrEx>
        <w:trPr>
          <w:trHeight w:val="556" w:hRule="atLeast"/>
          <w:jc w:val="center"/>
        </w:trPr>
        <w:tc>
          <w:tcPr>
            <w:tcW w:w="804" w:type="dxa"/>
            <w:vMerge w:val="restart"/>
            <w:tcBorders>
              <w:top w:val="nil"/>
              <w:left w:val="single" w:color="auto" w:sz="4" w:space="0"/>
              <w:right w:val="single" w:color="auto" w:sz="4" w:space="0"/>
            </w:tcBorders>
            <w:textDirection w:val="tbRlV"/>
            <w:vAlign w:val="center"/>
          </w:tcPr>
          <w:p>
            <w:pPr>
              <w:widowControl/>
              <w:ind w:left="113" w:right="113"/>
              <w:jc w:val="center"/>
              <w:rPr>
                <w:color w:val="000000"/>
                <w:kern w:val="0"/>
                <w:sz w:val="24"/>
              </w:rPr>
            </w:pPr>
            <w:r>
              <w:rPr>
                <w:color w:val="000000"/>
                <w:kern w:val="0"/>
                <w:sz w:val="24"/>
              </w:rPr>
              <w:t>商务资质部分（</w:t>
            </w:r>
            <w:r>
              <w:rPr>
                <w:rFonts w:hint="eastAsia"/>
                <w:color w:val="000000"/>
                <w:kern w:val="0"/>
                <w:sz w:val="24"/>
              </w:rPr>
              <w:t>8</w:t>
            </w:r>
            <w:r>
              <w:rPr>
                <w:color w:val="000000"/>
                <w:kern w:val="0"/>
                <w:sz w:val="24"/>
              </w:rPr>
              <w:t>分）</w:t>
            </w:r>
          </w:p>
        </w:tc>
        <w:tc>
          <w:tcPr>
            <w:tcW w:w="1302" w:type="dxa"/>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投标人的管理体系认证</w:t>
            </w:r>
          </w:p>
          <w:p>
            <w:pPr>
              <w:widowControl/>
              <w:jc w:val="center"/>
              <w:rPr>
                <w:color w:val="000000"/>
                <w:kern w:val="0"/>
                <w:szCs w:val="21"/>
              </w:rPr>
            </w:pPr>
            <w:r>
              <w:rPr>
                <w:color w:val="000000"/>
                <w:kern w:val="0"/>
                <w:szCs w:val="21"/>
              </w:rPr>
              <w:t>（</w:t>
            </w:r>
            <w:r>
              <w:rPr>
                <w:rFonts w:hint="eastAsia"/>
                <w:szCs w:val="21"/>
              </w:rPr>
              <w:t>6</w:t>
            </w:r>
            <w:r>
              <w:rPr>
                <w:color w:val="000000"/>
                <w:kern w:val="0"/>
                <w:szCs w:val="21"/>
              </w:rPr>
              <w:t>分）</w:t>
            </w:r>
          </w:p>
        </w:tc>
        <w:tc>
          <w:tcPr>
            <w:tcW w:w="5549" w:type="dxa"/>
            <w:tcBorders>
              <w:top w:val="nil"/>
              <w:left w:val="nil"/>
              <w:bottom w:val="single" w:color="auto" w:sz="4" w:space="0"/>
              <w:right w:val="single" w:color="auto" w:sz="4" w:space="0"/>
            </w:tcBorders>
            <w:vAlign w:val="center"/>
          </w:tcPr>
          <w:p>
            <w:pPr>
              <w:widowControl/>
              <w:rPr>
                <w:color w:val="000000"/>
                <w:kern w:val="0"/>
                <w:szCs w:val="21"/>
              </w:rPr>
            </w:pPr>
            <w:r>
              <w:rPr>
                <w:szCs w:val="21"/>
              </w:rPr>
              <w:t>投标人具有ISO27701隐私信息管理体系认证证书的得</w:t>
            </w:r>
            <w:r>
              <w:rPr>
                <w:rFonts w:hint="eastAsia"/>
                <w:szCs w:val="21"/>
              </w:rPr>
              <w:t>1.5</w:t>
            </w:r>
            <w:r>
              <w:rPr>
                <w:szCs w:val="21"/>
              </w:rPr>
              <w:t>分。</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6</w:t>
            </w:r>
          </w:p>
        </w:tc>
      </w:tr>
      <w:tr>
        <w:tblPrEx>
          <w:tblCellMar>
            <w:top w:w="0" w:type="dxa"/>
            <w:left w:w="108" w:type="dxa"/>
            <w:bottom w:w="0" w:type="dxa"/>
            <w:right w:w="108" w:type="dxa"/>
          </w:tblCellMar>
        </w:tblPrEx>
        <w:trPr>
          <w:trHeight w:val="564"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5549" w:type="dxa"/>
            <w:tcBorders>
              <w:top w:val="nil"/>
              <w:left w:val="nil"/>
              <w:bottom w:val="single" w:color="auto" w:sz="4" w:space="0"/>
              <w:right w:val="single" w:color="auto" w:sz="4" w:space="0"/>
            </w:tcBorders>
          </w:tcPr>
          <w:p>
            <w:r>
              <w:rPr>
                <w:rFonts w:hint="eastAsia"/>
              </w:rPr>
              <w:t>投标人具有GB/T27922-2011商品售后服务评价体系认证证书的得</w:t>
            </w:r>
            <w:r>
              <w:rPr>
                <w:rFonts w:hint="eastAsia"/>
                <w:szCs w:val="21"/>
              </w:rPr>
              <w:t>1.5</w:t>
            </w:r>
            <w:r>
              <w:rPr>
                <w:rFonts w:hint="eastAsia"/>
              </w:rPr>
              <w:t>分。</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8"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5549" w:type="dxa"/>
            <w:tcBorders>
              <w:top w:val="nil"/>
              <w:left w:val="nil"/>
              <w:bottom w:val="single" w:color="auto" w:sz="4" w:space="0"/>
              <w:right w:val="single" w:color="auto" w:sz="4" w:space="0"/>
            </w:tcBorders>
          </w:tcPr>
          <w:p>
            <w:r>
              <w:rPr>
                <w:rFonts w:hint="eastAsia"/>
              </w:rPr>
              <w:t>投标人具有GB/T31950-2015企业诚信管理体系认证证书的得</w:t>
            </w:r>
            <w:r>
              <w:rPr>
                <w:rFonts w:hint="eastAsia"/>
                <w:szCs w:val="21"/>
              </w:rPr>
              <w:t>1.5</w:t>
            </w:r>
            <w:r>
              <w:rPr>
                <w:rFonts w:hint="eastAsia"/>
              </w:rPr>
              <w:t>分。</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605"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5549" w:type="dxa"/>
            <w:tcBorders>
              <w:top w:val="nil"/>
              <w:left w:val="nil"/>
              <w:bottom w:val="single" w:color="auto" w:sz="4" w:space="0"/>
              <w:right w:val="single" w:color="auto" w:sz="4" w:space="0"/>
            </w:tcBorders>
            <w:vAlign w:val="center"/>
          </w:tcPr>
          <w:p>
            <w:pPr>
              <w:widowControl/>
            </w:pPr>
            <w:r>
              <w:rPr>
                <w:szCs w:val="21"/>
              </w:rPr>
              <w:t>投标人具有知识产权管理体系认证证书的得</w:t>
            </w:r>
            <w:r>
              <w:rPr>
                <w:rFonts w:hint="eastAsia"/>
                <w:szCs w:val="21"/>
              </w:rPr>
              <w:t>1.5</w:t>
            </w:r>
            <w:r>
              <w:rPr>
                <w:szCs w:val="21"/>
              </w:rPr>
              <w:t>分</w:t>
            </w:r>
            <w:r>
              <w:rPr>
                <w:rFonts w:hint="eastAsia"/>
                <w:szCs w:val="21"/>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646"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5549" w:type="dxa"/>
            <w:tcBorders>
              <w:top w:val="nil"/>
              <w:left w:val="nil"/>
              <w:bottom w:val="single" w:color="auto" w:sz="4" w:space="0"/>
              <w:right w:val="single" w:color="auto" w:sz="4" w:space="0"/>
            </w:tcBorders>
            <w:vAlign w:val="center"/>
          </w:tcPr>
          <w:p>
            <w:pPr>
              <w:widowControl/>
              <w:rPr>
                <w:color w:val="000000"/>
                <w:kern w:val="0"/>
                <w:szCs w:val="21"/>
              </w:rPr>
            </w:pPr>
            <w:r>
              <w:rPr>
                <w:szCs w:val="21"/>
              </w:rPr>
              <w:t>注</w:t>
            </w:r>
            <w:r>
              <w:rPr>
                <w:color w:val="000000"/>
                <w:kern w:val="0"/>
                <w:szCs w:val="21"/>
              </w:rPr>
              <w:t>：以上证书</w:t>
            </w:r>
            <w:r>
              <w:rPr>
                <w:rFonts w:hint="eastAsia"/>
                <w:color w:val="000000"/>
                <w:kern w:val="0"/>
                <w:szCs w:val="21"/>
              </w:rPr>
              <w:t>复印件</w:t>
            </w:r>
            <w:r>
              <w:rPr>
                <w:color w:val="000000"/>
                <w:kern w:val="0"/>
                <w:szCs w:val="21"/>
              </w:rPr>
              <w:t>须在投标文件中提供并加盖公章，未提供或不符合以上条件</w:t>
            </w:r>
            <w:r>
              <w:rPr>
                <w:rFonts w:hint="eastAsia"/>
                <w:color w:val="000000"/>
                <w:kern w:val="0"/>
                <w:szCs w:val="21"/>
              </w:rPr>
              <w:t>的</w:t>
            </w:r>
            <w:r>
              <w:rPr>
                <w:color w:val="000000"/>
                <w:kern w:val="0"/>
                <w:szCs w:val="21"/>
              </w:rPr>
              <w:t>不得分。</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1639"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投标人的类似项目业绩</w:t>
            </w:r>
          </w:p>
          <w:p>
            <w:pPr>
              <w:widowControl/>
              <w:jc w:val="center"/>
              <w:rPr>
                <w:kern w:val="0"/>
                <w:szCs w:val="21"/>
              </w:rPr>
            </w:pPr>
            <w:r>
              <w:rPr>
                <w:kern w:val="0"/>
                <w:szCs w:val="21"/>
              </w:rPr>
              <w:t>（</w:t>
            </w:r>
            <w:r>
              <w:rPr>
                <w:szCs w:val="21"/>
              </w:rPr>
              <w:t>1</w:t>
            </w:r>
            <w:r>
              <w:rPr>
                <w:kern w:val="0"/>
                <w:szCs w:val="21"/>
              </w:rPr>
              <w:t>分）</w:t>
            </w:r>
          </w:p>
        </w:tc>
        <w:tc>
          <w:tcPr>
            <w:tcW w:w="5549" w:type="dxa"/>
            <w:tcBorders>
              <w:top w:val="single" w:color="auto" w:sz="4" w:space="0"/>
              <w:left w:val="nil"/>
              <w:bottom w:val="single" w:color="auto" w:sz="4" w:space="0"/>
              <w:right w:val="single" w:color="auto" w:sz="4" w:space="0"/>
            </w:tcBorders>
            <w:vAlign w:val="center"/>
          </w:tcPr>
          <w:p>
            <w:pPr>
              <w:rPr>
                <w:szCs w:val="21"/>
              </w:rPr>
            </w:pPr>
            <w:r>
              <w:rPr>
                <w:szCs w:val="21"/>
              </w:rPr>
              <w:t>2019年1月1日至今（以合同签订时间为准），投标人提供同类项目成功案例：每提供1个得0.5分，满分1分。</w:t>
            </w:r>
          </w:p>
          <w:p>
            <w:pPr>
              <w:rPr>
                <w:kern w:val="0"/>
                <w:szCs w:val="21"/>
              </w:rPr>
            </w:pPr>
            <w:r>
              <w:rPr>
                <w:szCs w:val="21"/>
              </w:rPr>
              <w:t>注：投标人所提供案例需提供加盖公章的合同复印件</w:t>
            </w:r>
            <w:r>
              <w:rPr>
                <w:rFonts w:hint="eastAsia"/>
                <w:szCs w:val="21"/>
              </w:rPr>
              <w:t>，</w:t>
            </w:r>
            <w:r>
              <w:rPr>
                <w:szCs w:val="21"/>
              </w:rPr>
              <w:t>合同的委托方为同一单位的，业绩合同不重复计分</w:t>
            </w:r>
            <w:r>
              <w:rPr>
                <w:rFonts w:hint="eastAsia"/>
                <w:szCs w:val="21"/>
              </w:rPr>
              <w:t>。</w:t>
            </w:r>
          </w:p>
        </w:tc>
        <w:tc>
          <w:tcPr>
            <w:tcW w:w="0" w:type="auto"/>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1</w:t>
            </w:r>
          </w:p>
        </w:tc>
      </w:tr>
      <w:tr>
        <w:tblPrEx>
          <w:tblCellMar>
            <w:top w:w="0" w:type="dxa"/>
            <w:left w:w="108" w:type="dxa"/>
            <w:bottom w:w="0" w:type="dxa"/>
            <w:right w:w="108" w:type="dxa"/>
          </w:tblCellMar>
        </w:tblPrEx>
        <w:trPr>
          <w:trHeight w:val="748" w:hRule="atLeast"/>
          <w:jc w:val="center"/>
        </w:trPr>
        <w:tc>
          <w:tcPr>
            <w:tcW w:w="804" w:type="dxa"/>
            <w:vMerge w:val="continue"/>
            <w:tcBorders>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1302" w:type="dxa"/>
            <w:tcBorders>
              <w:top w:val="nil"/>
              <w:left w:val="single" w:color="auto" w:sz="4" w:space="0"/>
              <w:bottom w:val="single" w:color="auto" w:sz="4" w:space="0"/>
              <w:right w:val="single" w:color="auto" w:sz="4" w:space="0"/>
            </w:tcBorders>
            <w:vAlign w:val="center"/>
          </w:tcPr>
          <w:p>
            <w:pPr>
              <w:widowControl/>
              <w:jc w:val="center"/>
              <w:rPr>
                <w:szCs w:val="21"/>
              </w:rPr>
            </w:pPr>
            <w:r>
              <w:rPr>
                <w:szCs w:val="21"/>
              </w:rPr>
              <w:t>政策加分</w:t>
            </w:r>
          </w:p>
          <w:p>
            <w:pPr>
              <w:widowControl/>
              <w:jc w:val="center"/>
              <w:rPr>
                <w:kern w:val="0"/>
                <w:szCs w:val="21"/>
              </w:rPr>
            </w:pPr>
            <w:r>
              <w:rPr>
                <w:szCs w:val="21"/>
              </w:rPr>
              <w:t>（1分）</w:t>
            </w:r>
          </w:p>
        </w:tc>
        <w:tc>
          <w:tcPr>
            <w:tcW w:w="5549" w:type="dxa"/>
            <w:tcBorders>
              <w:top w:val="single" w:color="auto" w:sz="4" w:space="0"/>
              <w:left w:val="nil"/>
              <w:bottom w:val="single" w:color="auto" w:sz="4" w:space="0"/>
              <w:right w:val="single" w:color="auto" w:sz="4" w:space="0"/>
            </w:tcBorders>
            <w:vAlign w:val="center"/>
          </w:tcPr>
          <w:p>
            <w:pPr>
              <w:rPr>
                <w:szCs w:val="21"/>
              </w:rPr>
            </w:pPr>
            <w:r>
              <w:rPr>
                <w:bCs/>
                <w:szCs w:val="21"/>
                <w:lang w:bidi="zh-CN"/>
              </w:rPr>
              <w:t>供应商是国家认定的不发达地区或少数民族地区企业的加1分。</w:t>
            </w:r>
          </w:p>
        </w:tc>
        <w:tc>
          <w:tcPr>
            <w:tcW w:w="0" w:type="auto"/>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1</w:t>
            </w:r>
          </w:p>
        </w:tc>
      </w:tr>
      <w:tr>
        <w:tblPrEx>
          <w:tblCellMar>
            <w:top w:w="0" w:type="dxa"/>
            <w:left w:w="108" w:type="dxa"/>
            <w:bottom w:w="0" w:type="dxa"/>
            <w:right w:w="108" w:type="dxa"/>
          </w:tblCellMar>
        </w:tblPrEx>
        <w:trPr>
          <w:trHeight w:val="866" w:hRule="atLeast"/>
          <w:jc w:val="center"/>
        </w:trPr>
        <w:tc>
          <w:tcPr>
            <w:tcW w:w="804" w:type="dxa"/>
            <w:vMerge w:val="restart"/>
            <w:tcBorders>
              <w:top w:val="nil"/>
              <w:left w:val="single" w:color="auto" w:sz="4" w:space="0"/>
              <w:right w:val="single" w:color="auto" w:sz="4" w:space="0"/>
            </w:tcBorders>
            <w:textDirection w:val="tbRlV"/>
            <w:vAlign w:val="center"/>
          </w:tcPr>
          <w:p>
            <w:pPr>
              <w:widowControl/>
              <w:ind w:left="113" w:right="113"/>
              <w:jc w:val="center"/>
              <w:rPr>
                <w:color w:val="000000"/>
                <w:kern w:val="0"/>
                <w:sz w:val="24"/>
              </w:rPr>
            </w:pPr>
            <w:bookmarkStart w:id="535" w:name="_Hlk110609839"/>
            <w:r>
              <w:rPr>
                <w:color w:val="000000"/>
                <w:kern w:val="0"/>
                <w:sz w:val="24"/>
              </w:rPr>
              <w:t>技术服务部分（</w:t>
            </w:r>
            <w:r>
              <w:rPr>
                <w:rFonts w:hint="eastAsia"/>
                <w:color w:val="000000"/>
                <w:kern w:val="0"/>
                <w:sz w:val="24"/>
              </w:rPr>
              <w:t>82</w:t>
            </w:r>
            <w:r>
              <w:rPr>
                <w:color w:val="000000"/>
                <w:kern w:val="0"/>
                <w:sz w:val="24"/>
              </w:rPr>
              <w:t>分）</w:t>
            </w:r>
          </w:p>
        </w:tc>
        <w:tc>
          <w:tcPr>
            <w:tcW w:w="1302" w:type="dxa"/>
            <w:vMerge w:val="restart"/>
            <w:tcBorders>
              <w:top w:val="single" w:color="auto" w:sz="4" w:space="0"/>
              <w:left w:val="nil"/>
              <w:right w:val="single" w:color="auto" w:sz="4" w:space="0"/>
            </w:tcBorders>
            <w:vAlign w:val="center"/>
          </w:tcPr>
          <w:p>
            <w:pPr>
              <w:widowControl/>
              <w:jc w:val="center"/>
              <w:rPr>
                <w:bCs/>
                <w:szCs w:val="21"/>
                <w:lang w:bidi="zh-CN"/>
              </w:rPr>
            </w:pPr>
            <w:r>
              <w:rPr>
                <w:bCs/>
                <w:szCs w:val="21"/>
                <w:lang w:bidi="zh-CN"/>
              </w:rPr>
              <w:t>现状及需求的理解</w:t>
            </w:r>
          </w:p>
          <w:p>
            <w:pPr>
              <w:widowControl/>
              <w:jc w:val="center"/>
              <w:rPr>
                <w:bCs/>
                <w:szCs w:val="21"/>
                <w:lang w:bidi="zh-CN"/>
              </w:rPr>
            </w:pPr>
            <w:r>
              <w:rPr>
                <w:bCs/>
                <w:szCs w:val="21"/>
                <w:lang w:bidi="zh-CN"/>
              </w:rPr>
              <w:t>（12分）</w:t>
            </w:r>
          </w:p>
        </w:tc>
        <w:tc>
          <w:tcPr>
            <w:tcW w:w="5549" w:type="dxa"/>
            <w:tcBorders>
              <w:top w:val="single" w:color="auto" w:sz="4" w:space="0"/>
              <w:left w:val="nil"/>
              <w:bottom w:val="single" w:color="auto" w:sz="4" w:space="0"/>
              <w:right w:val="single" w:color="auto" w:sz="4" w:space="0"/>
            </w:tcBorders>
            <w:vAlign w:val="center"/>
          </w:tcPr>
          <w:p>
            <w:pPr>
              <w:widowControl/>
              <w:rPr>
                <w:bCs/>
                <w:szCs w:val="21"/>
                <w:lang w:bidi="zh-CN"/>
              </w:rPr>
            </w:pPr>
            <w:r>
              <w:rPr>
                <w:bCs/>
                <w:szCs w:val="21"/>
                <w:lang w:bidi="zh-CN"/>
              </w:rPr>
              <w:t>根据供应商对地市级、省级</w:t>
            </w:r>
            <w:r>
              <w:rPr>
                <w:rFonts w:hint="eastAsia"/>
                <w:bCs/>
                <w:szCs w:val="21"/>
                <w:lang w:bidi="zh-CN"/>
              </w:rPr>
              <w:t>等</w:t>
            </w:r>
            <w:r>
              <w:rPr>
                <w:bCs/>
                <w:szCs w:val="21"/>
                <w:lang w:bidi="zh-CN"/>
              </w:rPr>
              <w:t>“无废城市”系统定位</w:t>
            </w:r>
            <w:r>
              <w:rPr>
                <w:rFonts w:hint="eastAsia"/>
                <w:bCs/>
                <w:szCs w:val="21"/>
                <w:lang w:bidi="zh-CN"/>
              </w:rPr>
              <w:t>、功能实现和数据归集</w:t>
            </w:r>
            <w:r>
              <w:rPr>
                <w:bCs/>
                <w:szCs w:val="21"/>
                <w:lang w:bidi="zh-CN"/>
              </w:rPr>
              <w:t>的关联关系和差异点的阐述和必要图示</w:t>
            </w:r>
            <w:r>
              <w:rPr>
                <w:rFonts w:hint="eastAsia"/>
                <w:bCs/>
                <w:szCs w:val="21"/>
                <w:lang w:bidi="zh-CN"/>
              </w:rPr>
              <w:t>的合理性、详尽程度</w:t>
            </w:r>
            <w:r>
              <w:rPr>
                <w:bCs/>
                <w:szCs w:val="21"/>
                <w:lang w:bidi="zh-CN"/>
              </w:rPr>
              <w:t>进行综合评议</w:t>
            </w:r>
            <w:r>
              <w:rPr>
                <w:rFonts w:hint="eastAsia"/>
                <w:bCs/>
                <w:szCs w:val="21"/>
                <w:lang w:bidi="zh-CN"/>
              </w:rPr>
              <w:t>。</w:t>
            </w:r>
          </w:p>
          <w:p>
            <w:pPr>
              <w:widowControl/>
              <w:rPr>
                <w:bCs/>
                <w:szCs w:val="21"/>
                <w:lang w:bidi="zh-CN"/>
              </w:rPr>
            </w:pPr>
            <w:r>
              <w:rPr>
                <w:bCs/>
                <w:szCs w:val="21"/>
                <w:lang w:bidi="zh-CN"/>
              </w:rPr>
              <w:t>对地市级、省级</w:t>
            </w:r>
            <w:r>
              <w:rPr>
                <w:rFonts w:hint="eastAsia"/>
                <w:bCs/>
                <w:szCs w:val="21"/>
                <w:lang w:bidi="zh-CN"/>
              </w:rPr>
              <w:t>等</w:t>
            </w:r>
            <w:r>
              <w:rPr>
                <w:bCs/>
                <w:szCs w:val="21"/>
                <w:lang w:bidi="zh-CN"/>
              </w:rPr>
              <w:t>“无废城市”系统定位</w:t>
            </w:r>
            <w:r>
              <w:rPr>
                <w:rFonts w:hint="eastAsia"/>
                <w:bCs/>
                <w:szCs w:val="21"/>
                <w:lang w:bidi="zh-CN"/>
              </w:rPr>
              <w:t>、功能实现和数据归集</w:t>
            </w:r>
            <w:r>
              <w:rPr>
                <w:bCs/>
                <w:szCs w:val="21"/>
                <w:lang w:bidi="zh-CN"/>
              </w:rPr>
              <w:t>的关联关系和差异点的阐述和必要图示</w:t>
            </w:r>
            <w:r>
              <w:rPr>
                <w:rFonts w:hint="eastAsia"/>
                <w:bCs/>
                <w:szCs w:val="21"/>
                <w:lang w:bidi="zh-CN"/>
              </w:rPr>
              <w:t>的内容阐述非常合理、详尽的得4分；比较合理、详尽的得2分；欠合理、详尽的得1分；未提供相关内容的得0分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bCs/>
                <w:szCs w:val="21"/>
                <w:lang w:bidi="zh-CN"/>
              </w:rPr>
            </w:pPr>
            <w:r>
              <w:rPr>
                <w:bCs/>
                <w:szCs w:val="21"/>
                <w:lang w:bidi="zh-CN"/>
              </w:rPr>
              <w:t>4</w:t>
            </w:r>
          </w:p>
        </w:tc>
      </w:tr>
      <w:tr>
        <w:tblPrEx>
          <w:tblCellMar>
            <w:top w:w="0" w:type="dxa"/>
            <w:left w:w="108" w:type="dxa"/>
            <w:bottom w:w="0" w:type="dxa"/>
            <w:right w:w="108" w:type="dxa"/>
          </w:tblCellMar>
        </w:tblPrEx>
        <w:trPr>
          <w:trHeight w:val="866" w:hRule="atLeast"/>
          <w:jc w:val="center"/>
        </w:trPr>
        <w:tc>
          <w:tcPr>
            <w:tcW w:w="804" w:type="dxa"/>
            <w:vMerge w:val="continue"/>
            <w:tcBorders>
              <w:top w:val="nil"/>
              <w:left w:val="single" w:color="auto" w:sz="4" w:space="0"/>
              <w:right w:val="single" w:color="auto" w:sz="4" w:space="0"/>
            </w:tcBorders>
            <w:textDirection w:val="tbRlV"/>
            <w:vAlign w:val="center"/>
          </w:tcPr>
          <w:p>
            <w:pPr>
              <w:widowControl/>
              <w:ind w:left="113" w:right="113"/>
              <w:jc w:val="center"/>
              <w:rPr>
                <w:color w:val="000000"/>
                <w:kern w:val="0"/>
                <w:szCs w:val="21"/>
              </w:rPr>
            </w:pPr>
          </w:p>
        </w:tc>
        <w:tc>
          <w:tcPr>
            <w:tcW w:w="1302" w:type="dxa"/>
            <w:vMerge w:val="continue"/>
            <w:tcBorders>
              <w:top w:val="single" w:color="auto" w:sz="4" w:space="0"/>
              <w:left w:val="nil"/>
              <w:right w:val="single" w:color="auto" w:sz="4" w:space="0"/>
            </w:tcBorders>
            <w:vAlign w:val="center"/>
          </w:tcPr>
          <w:p>
            <w:pPr>
              <w:widowControl/>
              <w:jc w:val="center"/>
              <w:rPr>
                <w:bCs/>
                <w:szCs w:val="21"/>
                <w:lang w:bidi="zh-CN"/>
              </w:rPr>
            </w:pPr>
          </w:p>
        </w:tc>
        <w:tc>
          <w:tcPr>
            <w:tcW w:w="5549" w:type="dxa"/>
            <w:tcBorders>
              <w:top w:val="single" w:color="auto" w:sz="4" w:space="0"/>
              <w:left w:val="nil"/>
              <w:bottom w:val="single" w:color="auto" w:sz="4" w:space="0"/>
              <w:right w:val="single" w:color="auto" w:sz="4" w:space="0"/>
            </w:tcBorders>
            <w:vAlign w:val="center"/>
          </w:tcPr>
          <w:p>
            <w:pPr>
              <w:widowControl/>
              <w:spacing w:line="300" w:lineRule="exact"/>
              <w:rPr>
                <w:bCs/>
                <w:szCs w:val="21"/>
                <w:lang w:bidi="zh-CN"/>
              </w:rPr>
            </w:pPr>
            <w:r>
              <w:rPr>
                <w:rFonts w:hint="eastAsia"/>
                <w:bCs/>
                <w:szCs w:val="21"/>
                <w:lang w:bidi="zh-CN"/>
              </w:rPr>
              <w:t>根据供应商对环保现有信息系统了解程度及“无废城市”建设集成场景融入生态环境顶层设计架构方案的合理性、完整性、可行性进行综合评议。</w:t>
            </w:r>
          </w:p>
          <w:p>
            <w:pPr>
              <w:pStyle w:val="2"/>
              <w:numPr>
                <w:ilvl w:val="0"/>
                <w:numId w:val="0"/>
              </w:numPr>
              <w:rPr>
                <w:bCs/>
                <w:szCs w:val="21"/>
                <w:lang w:bidi="zh-CN"/>
              </w:rPr>
            </w:pPr>
            <w:r>
              <w:rPr>
                <w:rFonts w:hint="eastAsia"/>
                <w:bCs/>
                <w:szCs w:val="21"/>
                <w:lang w:bidi="zh-CN"/>
              </w:rPr>
              <w:t>对环保现有信息系统了解程度及建设集成场景融入生态环境顶层设计架构方案非常合理、完整及可行的得3分；比较合理、完整及可行的得</w:t>
            </w:r>
            <w:r>
              <w:rPr>
                <w:bCs/>
                <w:szCs w:val="21"/>
                <w:lang w:bidi="zh-CN"/>
              </w:rPr>
              <w:t>2</w:t>
            </w:r>
            <w:r>
              <w:rPr>
                <w:rFonts w:hint="eastAsia"/>
                <w:bCs/>
                <w:szCs w:val="21"/>
                <w:lang w:bidi="zh-CN"/>
              </w:rPr>
              <w:t>分；欠合理、完整及可行的得</w:t>
            </w:r>
            <w:r>
              <w:rPr>
                <w:bCs/>
                <w:szCs w:val="21"/>
                <w:lang w:bidi="zh-CN"/>
              </w:rPr>
              <w:t>1</w:t>
            </w:r>
            <w:r>
              <w:rPr>
                <w:rFonts w:hint="eastAsia"/>
                <w:bCs/>
                <w:szCs w:val="21"/>
                <w:lang w:bidi="zh-CN"/>
              </w:rPr>
              <w:t>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bCs/>
                <w:szCs w:val="21"/>
                <w:lang w:bidi="zh-CN"/>
              </w:rPr>
            </w:pPr>
            <w:r>
              <w:rPr>
                <w:bCs/>
                <w:szCs w:val="21"/>
                <w:lang w:bidi="zh-CN"/>
              </w:rPr>
              <w:t>3</w:t>
            </w:r>
          </w:p>
        </w:tc>
      </w:tr>
      <w:tr>
        <w:tblPrEx>
          <w:tblCellMar>
            <w:top w:w="0" w:type="dxa"/>
            <w:left w:w="108" w:type="dxa"/>
            <w:bottom w:w="0" w:type="dxa"/>
            <w:right w:w="108" w:type="dxa"/>
          </w:tblCellMar>
        </w:tblPrEx>
        <w:trPr>
          <w:trHeight w:val="718"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left w:val="nil"/>
              <w:right w:val="single" w:color="auto" w:sz="4" w:space="0"/>
            </w:tcBorders>
            <w:vAlign w:val="center"/>
          </w:tcPr>
          <w:p>
            <w:pPr>
              <w:widowControl/>
              <w:jc w:val="center"/>
              <w:rPr>
                <w:bCs/>
                <w:szCs w:val="21"/>
                <w:lang w:bidi="zh-CN"/>
              </w:rPr>
            </w:pPr>
          </w:p>
        </w:tc>
        <w:tc>
          <w:tcPr>
            <w:tcW w:w="5549" w:type="dxa"/>
            <w:tcBorders>
              <w:top w:val="nil"/>
              <w:left w:val="nil"/>
              <w:bottom w:val="single" w:color="auto" w:sz="4" w:space="0"/>
              <w:right w:val="single" w:color="auto" w:sz="4" w:space="0"/>
            </w:tcBorders>
            <w:vAlign w:val="center"/>
          </w:tcPr>
          <w:p>
            <w:pPr>
              <w:widowControl/>
              <w:spacing w:line="300" w:lineRule="exact"/>
              <w:rPr>
                <w:bCs/>
                <w:szCs w:val="21"/>
                <w:lang w:bidi="zh-CN"/>
              </w:rPr>
            </w:pPr>
            <w:r>
              <w:rPr>
                <w:bCs/>
                <w:szCs w:val="21"/>
                <w:lang w:bidi="zh-CN"/>
              </w:rPr>
              <w:t>对项目</w:t>
            </w:r>
            <w:r>
              <w:rPr>
                <w:rFonts w:hint="eastAsia"/>
                <w:bCs/>
                <w:szCs w:val="21"/>
                <w:lang w:bidi="zh-CN"/>
              </w:rPr>
              <w:t>背景</w:t>
            </w:r>
            <w:r>
              <w:rPr>
                <w:bCs/>
                <w:szCs w:val="21"/>
                <w:lang w:bidi="zh-CN"/>
              </w:rPr>
              <w:t>、需求分析及边界理解情况</w:t>
            </w:r>
            <w:r>
              <w:rPr>
                <w:rFonts w:hint="eastAsia"/>
                <w:bCs/>
                <w:szCs w:val="21"/>
                <w:lang w:bidi="zh-CN"/>
              </w:rPr>
              <w:t>的全面性、深浅程度</w:t>
            </w:r>
            <w:r>
              <w:rPr>
                <w:bCs/>
                <w:szCs w:val="21"/>
                <w:lang w:bidi="zh-CN"/>
              </w:rPr>
              <w:t>进行综合评议</w:t>
            </w:r>
            <w:r>
              <w:rPr>
                <w:rFonts w:hint="eastAsia"/>
                <w:bCs/>
                <w:szCs w:val="21"/>
                <w:lang w:bidi="zh-CN"/>
              </w:rPr>
              <w:t>。</w:t>
            </w:r>
          </w:p>
          <w:p>
            <w:pPr>
              <w:pStyle w:val="2"/>
              <w:numPr>
                <w:ilvl w:val="0"/>
                <w:numId w:val="0"/>
              </w:numPr>
              <w:rPr>
                <w:bCs/>
                <w:szCs w:val="21"/>
                <w:lang w:bidi="zh-CN"/>
              </w:rPr>
            </w:pPr>
            <w:r>
              <w:rPr>
                <w:bCs/>
                <w:szCs w:val="21"/>
                <w:lang w:bidi="zh-CN"/>
              </w:rPr>
              <w:t>对项目</w:t>
            </w:r>
            <w:r>
              <w:rPr>
                <w:rFonts w:hint="eastAsia"/>
                <w:bCs/>
                <w:szCs w:val="21"/>
                <w:lang w:bidi="zh-CN"/>
              </w:rPr>
              <w:t>背景</w:t>
            </w:r>
            <w:r>
              <w:rPr>
                <w:bCs/>
                <w:szCs w:val="21"/>
                <w:lang w:bidi="zh-CN"/>
              </w:rPr>
              <w:t>、需求分析及边界理解情况</w:t>
            </w:r>
            <w:r>
              <w:rPr>
                <w:rFonts w:hint="eastAsia"/>
                <w:bCs/>
                <w:szCs w:val="21"/>
                <w:lang w:bidi="zh-CN"/>
              </w:rPr>
              <w:t>分析非常全面，理解非常深的得</w:t>
            </w:r>
            <w:r>
              <w:rPr>
                <w:bCs/>
                <w:szCs w:val="21"/>
                <w:lang w:bidi="zh-CN"/>
              </w:rPr>
              <w:t>5</w:t>
            </w:r>
            <w:r>
              <w:rPr>
                <w:rFonts w:hint="eastAsia"/>
                <w:bCs/>
                <w:szCs w:val="21"/>
                <w:lang w:bidi="zh-CN"/>
              </w:rPr>
              <w:t>分；分析较全面，理解较深的的得</w:t>
            </w:r>
            <w:r>
              <w:rPr>
                <w:bCs/>
                <w:szCs w:val="21"/>
                <w:lang w:bidi="zh-CN"/>
              </w:rPr>
              <w:t>3</w:t>
            </w:r>
            <w:r>
              <w:rPr>
                <w:rFonts w:hint="eastAsia"/>
                <w:bCs/>
                <w:szCs w:val="21"/>
                <w:lang w:bidi="zh-CN"/>
              </w:rPr>
              <w:t>分；分析片面，理解较浅的的得</w:t>
            </w:r>
            <w:r>
              <w:rPr>
                <w:bCs/>
                <w:szCs w:val="21"/>
                <w:lang w:bidi="zh-CN"/>
              </w:rPr>
              <w:t>1</w:t>
            </w:r>
            <w:r>
              <w:rPr>
                <w:rFonts w:hint="eastAsia"/>
                <w:bCs/>
                <w:szCs w:val="21"/>
                <w:lang w:bidi="zh-CN"/>
              </w:rPr>
              <w:t>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bCs/>
                <w:szCs w:val="21"/>
                <w:lang w:bidi="zh-CN"/>
              </w:rPr>
            </w:pPr>
            <w:r>
              <w:rPr>
                <w:bCs/>
                <w:szCs w:val="21"/>
                <w:lang w:bidi="zh-CN"/>
              </w:rPr>
              <w:t>5</w:t>
            </w:r>
          </w:p>
        </w:tc>
      </w:tr>
      <w:tr>
        <w:tblPrEx>
          <w:tblCellMar>
            <w:top w:w="0" w:type="dxa"/>
            <w:left w:w="108" w:type="dxa"/>
            <w:bottom w:w="0" w:type="dxa"/>
            <w:right w:w="108" w:type="dxa"/>
          </w:tblCellMar>
        </w:tblPrEx>
        <w:trPr>
          <w:trHeight w:val="697"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restart"/>
            <w:tcBorders>
              <w:top w:val="single" w:color="auto" w:sz="4" w:space="0"/>
              <w:left w:val="nil"/>
              <w:bottom w:val="single" w:color="auto" w:sz="4" w:space="0"/>
              <w:right w:val="single" w:color="auto" w:sz="4" w:space="0"/>
            </w:tcBorders>
            <w:vAlign w:val="center"/>
          </w:tcPr>
          <w:p>
            <w:pPr>
              <w:widowControl/>
              <w:jc w:val="center"/>
              <w:rPr>
                <w:bCs/>
                <w:szCs w:val="21"/>
                <w:lang w:bidi="zh-CN"/>
              </w:rPr>
            </w:pPr>
            <w:r>
              <w:rPr>
                <w:bCs/>
                <w:szCs w:val="21"/>
                <w:lang w:bidi="zh-CN"/>
              </w:rPr>
              <w:t>项目设计方案</w:t>
            </w:r>
          </w:p>
          <w:p>
            <w:pPr>
              <w:widowControl/>
              <w:jc w:val="center"/>
              <w:rPr>
                <w:bCs/>
                <w:szCs w:val="21"/>
                <w:lang w:bidi="zh-CN"/>
              </w:rPr>
            </w:pPr>
            <w:r>
              <w:rPr>
                <w:bCs/>
                <w:szCs w:val="21"/>
                <w:lang w:bidi="zh-CN"/>
              </w:rPr>
              <w:t>（22分）</w:t>
            </w:r>
          </w:p>
        </w:tc>
        <w:tc>
          <w:tcPr>
            <w:tcW w:w="5549" w:type="dxa"/>
            <w:tcBorders>
              <w:top w:val="nil"/>
              <w:left w:val="nil"/>
              <w:bottom w:val="single" w:color="auto" w:sz="4" w:space="0"/>
              <w:right w:val="single" w:color="auto" w:sz="4" w:space="0"/>
            </w:tcBorders>
            <w:vAlign w:val="center"/>
          </w:tcPr>
          <w:p>
            <w:pPr>
              <w:widowControl/>
              <w:spacing w:line="300" w:lineRule="exact"/>
              <w:rPr>
                <w:bCs/>
                <w:szCs w:val="21"/>
                <w:lang w:bidi="zh-CN"/>
              </w:rPr>
            </w:pPr>
            <w:r>
              <w:rPr>
                <w:bCs/>
                <w:szCs w:val="21"/>
                <w:lang w:bidi="zh-CN"/>
              </w:rPr>
              <w:t>根据供应商提供的方案总体设计</w:t>
            </w:r>
            <w:r>
              <w:rPr>
                <w:rFonts w:hint="eastAsia"/>
                <w:bCs/>
                <w:szCs w:val="21"/>
                <w:lang w:bidi="zh-CN"/>
              </w:rPr>
              <w:t>的全面性与合理性</w:t>
            </w:r>
            <w:r>
              <w:rPr>
                <w:bCs/>
                <w:szCs w:val="21"/>
                <w:lang w:bidi="zh-CN"/>
              </w:rPr>
              <w:t>进行综合评议</w:t>
            </w:r>
            <w:r>
              <w:rPr>
                <w:rFonts w:hint="eastAsia"/>
                <w:bCs/>
                <w:szCs w:val="21"/>
                <w:lang w:bidi="zh-CN"/>
              </w:rPr>
              <w:t>。</w:t>
            </w:r>
          </w:p>
          <w:p>
            <w:pPr>
              <w:pStyle w:val="2"/>
              <w:numPr>
                <w:ilvl w:val="0"/>
                <w:numId w:val="0"/>
              </w:numPr>
              <w:rPr>
                <w:bCs/>
                <w:szCs w:val="21"/>
                <w:lang w:bidi="zh-CN"/>
              </w:rPr>
            </w:pPr>
            <w:r>
              <w:rPr>
                <w:bCs/>
                <w:szCs w:val="21"/>
                <w:lang w:bidi="zh-CN"/>
              </w:rPr>
              <w:t>总体设计</w:t>
            </w:r>
            <w:r>
              <w:rPr>
                <w:rFonts w:hint="eastAsia"/>
                <w:bCs/>
                <w:szCs w:val="21"/>
                <w:lang w:bidi="zh-CN"/>
              </w:rPr>
              <w:t>方案非常全面与合理的得3分；方案比较全面与合理的得</w:t>
            </w:r>
            <w:r>
              <w:rPr>
                <w:bCs/>
                <w:szCs w:val="21"/>
                <w:lang w:bidi="zh-CN"/>
              </w:rPr>
              <w:t>2</w:t>
            </w:r>
            <w:r>
              <w:rPr>
                <w:rFonts w:hint="eastAsia"/>
                <w:bCs/>
                <w:szCs w:val="21"/>
                <w:lang w:bidi="zh-CN"/>
              </w:rPr>
              <w:t>分；方案不够全面与合理的得</w:t>
            </w:r>
            <w:r>
              <w:rPr>
                <w:bCs/>
                <w:szCs w:val="21"/>
                <w:lang w:bidi="zh-CN"/>
              </w:rPr>
              <w:t>1</w:t>
            </w:r>
            <w:r>
              <w:rPr>
                <w:rFonts w:hint="eastAsia"/>
                <w:bCs/>
                <w:szCs w:val="21"/>
                <w:lang w:bidi="zh-CN"/>
              </w:rPr>
              <w:t>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bCs/>
                <w:szCs w:val="21"/>
                <w:lang w:bidi="zh-CN"/>
              </w:rPr>
            </w:pPr>
            <w:r>
              <w:rPr>
                <w:bCs/>
                <w:szCs w:val="21"/>
                <w:lang w:bidi="zh-CN"/>
              </w:rPr>
              <w:t>3</w:t>
            </w:r>
          </w:p>
        </w:tc>
      </w:tr>
      <w:tr>
        <w:tblPrEx>
          <w:tblCellMar>
            <w:top w:w="0" w:type="dxa"/>
            <w:left w:w="108" w:type="dxa"/>
            <w:bottom w:w="0" w:type="dxa"/>
            <w:right w:w="108" w:type="dxa"/>
          </w:tblCellMar>
        </w:tblPrEx>
        <w:trPr>
          <w:trHeight w:val="697"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single" w:color="auto" w:sz="4" w:space="0"/>
              <w:left w:val="nil"/>
              <w:bottom w:val="single" w:color="auto" w:sz="4" w:space="0"/>
              <w:right w:val="single" w:color="auto" w:sz="4" w:space="0"/>
            </w:tcBorders>
            <w:vAlign w:val="center"/>
          </w:tcPr>
          <w:p>
            <w:pPr>
              <w:widowControl/>
              <w:jc w:val="center"/>
              <w:rPr>
                <w:bCs/>
                <w:szCs w:val="21"/>
                <w:lang w:bidi="zh-CN"/>
              </w:rPr>
            </w:pPr>
          </w:p>
        </w:tc>
        <w:tc>
          <w:tcPr>
            <w:tcW w:w="5549" w:type="dxa"/>
            <w:tcBorders>
              <w:top w:val="nil"/>
              <w:left w:val="nil"/>
              <w:bottom w:val="single" w:color="auto" w:sz="4" w:space="0"/>
              <w:right w:val="single" w:color="auto" w:sz="4" w:space="0"/>
            </w:tcBorders>
            <w:vAlign w:val="center"/>
          </w:tcPr>
          <w:p>
            <w:pPr>
              <w:widowControl/>
              <w:rPr>
                <w:bCs/>
                <w:szCs w:val="21"/>
                <w:lang w:bidi="zh-CN"/>
              </w:rPr>
            </w:pPr>
            <w:r>
              <w:rPr>
                <w:bCs/>
                <w:szCs w:val="21"/>
                <w:lang w:bidi="zh-CN"/>
              </w:rPr>
              <w:t>运用“v”字模型方法，结合工作实际对多跨场景进行梳理，根据梳理的广度、深度、精度进行综合评议。</w:t>
            </w:r>
          </w:p>
          <w:p>
            <w:pPr>
              <w:pStyle w:val="2"/>
              <w:numPr>
                <w:ilvl w:val="0"/>
                <w:numId w:val="0"/>
              </w:numPr>
              <w:rPr>
                <w:bCs/>
                <w:szCs w:val="21"/>
                <w:lang w:bidi="zh-CN"/>
              </w:rPr>
            </w:pPr>
            <w:r>
              <w:rPr>
                <w:bCs/>
                <w:szCs w:val="21"/>
                <w:lang w:bidi="zh-CN"/>
              </w:rPr>
              <w:t>运用“v”字模型方法，结合工作实际对多跨场景进行梳理的广度、深度、精度</w:t>
            </w:r>
            <w:r>
              <w:rPr>
                <w:rFonts w:hint="eastAsia"/>
                <w:bCs/>
                <w:szCs w:val="21"/>
                <w:lang w:bidi="zh-CN"/>
              </w:rPr>
              <w:t>非常好的得</w:t>
            </w:r>
            <w:r>
              <w:rPr>
                <w:bCs/>
                <w:szCs w:val="21"/>
                <w:lang w:bidi="zh-CN"/>
              </w:rPr>
              <w:t>6</w:t>
            </w:r>
            <w:r>
              <w:rPr>
                <w:rFonts w:hint="eastAsia"/>
                <w:bCs/>
                <w:szCs w:val="21"/>
                <w:lang w:bidi="zh-CN"/>
              </w:rPr>
              <w:t>分；</w:t>
            </w:r>
            <w:r>
              <w:rPr>
                <w:bCs/>
                <w:szCs w:val="21"/>
                <w:lang w:bidi="zh-CN"/>
              </w:rPr>
              <w:t>梳理的广度、深度、精度</w:t>
            </w:r>
            <w:r>
              <w:rPr>
                <w:rFonts w:hint="eastAsia"/>
                <w:bCs/>
                <w:szCs w:val="21"/>
                <w:lang w:bidi="zh-CN"/>
              </w:rPr>
              <w:t>比较好的得</w:t>
            </w:r>
            <w:r>
              <w:rPr>
                <w:bCs/>
                <w:szCs w:val="21"/>
                <w:lang w:bidi="zh-CN"/>
              </w:rPr>
              <w:t>4</w:t>
            </w:r>
            <w:r>
              <w:rPr>
                <w:rFonts w:hint="eastAsia"/>
                <w:bCs/>
                <w:szCs w:val="21"/>
                <w:lang w:bidi="zh-CN"/>
              </w:rPr>
              <w:t>分；</w:t>
            </w:r>
            <w:r>
              <w:rPr>
                <w:bCs/>
                <w:szCs w:val="21"/>
                <w:lang w:bidi="zh-CN"/>
              </w:rPr>
              <w:t>梳理的广度、深度、精度</w:t>
            </w:r>
            <w:r>
              <w:rPr>
                <w:rFonts w:hint="eastAsia"/>
                <w:bCs/>
                <w:szCs w:val="21"/>
                <w:lang w:bidi="zh-CN"/>
              </w:rPr>
              <w:t>一般的得</w:t>
            </w:r>
            <w:r>
              <w:rPr>
                <w:bCs/>
                <w:szCs w:val="21"/>
                <w:lang w:bidi="zh-CN"/>
              </w:rPr>
              <w:t>2</w:t>
            </w:r>
            <w:r>
              <w:rPr>
                <w:rFonts w:hint="eastAsia"/>
                <w:bCs/>
                <w:szCs w:val="21"/>
                <w:lang w:bidi="zh-CN"/>
              </w:rPr>
              <w:t>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bCs/>
                <w:szCs w:val="21"/>
                <w:lang w:bidi="zh-CN"/>
              </w:rPr>
            </w:pPr>
            <w:r>
              <w:rPr>
                <w:bCs/>
                <w:szCs w:val="21"/>
                <w:lang w:bidi="zh-CN"/>
              </w:rPr>
              <w:t>6</w:t>
            </w:r>
          </w:p>
        </w:tc>
      </w:tr>
      <w:tr>
        <w:tblPrEx>
          <w:tblCellMar>
            <w:top w:w="0" w:type="dxa"/>
            <w:left w:w="108" w:type="dxa"/>
            <w:bottom w:w="0" w:type="dxa"/>
            <w:right w:w="108" w:type="dxa"/>
          </w:tblCellMar>
        </w:tblPrEx>
        <w:trPr>
          <w:trHeight w:val="706"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single" w:color="auto" w:sz="4" w:space="0"/>
              <w:left w:val="nil"/>
              <w:bottom w:val="single" w:color="auto" w:sz="4" w:space="0"/>
              <w:right w:val="single" w:color="auto" w:sz="4" w:space="0"/>
            </w:tcBorders>
            <w:vAlign w:val="center"/>
          </w:tcPr>
          <w:p>
            <w:pPr>
              <w:widowControl/>
              <w:jc w:val="center"/>
              <w:rPr>
                <w:bCs/>
                <w:szCs w:val="21"/>
                <w:lang w:bidi="zh-CN"/>
              </w:rPr>
            </w:pPr>
          </w:p>
        </w:tc>
        <w:tc>
          <w:tcPr>
            <w:tcW w:w="5549" w:type="dxa"/>
            <w:tcBorders>
              <w:top w:val="nil"/>
              <w:left w:val="nil"/>
              <w:bottom w:val="single" w:color="auto" w:sz="4" w:space="0"/>
              <w:right w:val="single" w:color="auto" w:sz="4" w:space="0"/>
            </w:tcBorders>
            <w:vAlign w:val="center"/>
          </w:tcPr>
          <w:p>
            <w:pPr>
              <w:widowControl/>
              <w:spacing w:line="300" w:lineRule="exact"/>
              <w:rPr>
                <w:bCs/>
                <w:szCs w:val="21"/>
                <w:lang w:bidi="zh-CN"/>
              </w:rPr>
            </w:pPr>
            <w:r>
              <w:rPr>
                <w:rFonts w:hint="eastAsia"/>
                <w:bCs/>
                <w:szCs w:val="21"/>
                <w:lang w:bidi="zh-CN"/>
              </w:rPr>
              <w:t>根据供应商提供的“无废城市”综合管理服务应用设计方案的全面性与合理性进行综合评议。</w:t>
            </w:r>
          </w:p>
          <w:p>
            <w:pPr>
              <w:pStyle w:val="2"/>
              <w:numPr>
                <w:ilvl w:val="0"/>
                <w:numId w:val="0"/>
              </w:numPr>
              <w:rPr>
                <w:bCs/>
                <w:szCs w:val="21"/>
                <w:lang w:bidi="zh-CN"/>
              </w:rPr>
            </w:pPr>
            <w:r>
              <w:rPr>
                <w:rFonts w:hint="eastAsia"/>
                <w:bCs/>
                <w:szCs w:val="21"/>
                <w:lang w:bidi="zh-CN"/>
              </w:rPr>
              <w:t>综合管理服务应用设计方案非常全面与合理的得</w:t>
            </w:r>
            <w:r>
              <w:rPr>
                <w:bCs/>
                <w:szCs w:val="21"/>
                <w:lang w:bidi="zh-CN"/>
              </w:rPr>
              <w:t>4</w:t>
            </w:r>
            <w:r>
              <w:rPr>
                <w:rFonts w:hint="eastAsia"/>
                <w:bCs/>
                <w:szCs w:val="21"/>
                <w:lang w:bidi="zh-CN"/>
              </w:rPr>
              <w:t>分；方案比较全面与合理的得2分；方案欠全面与合理的得1分；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bCs/>
                <w:szCs w:val="21"/>
                <w:lang w:bidi="zh-CN"/>
              </w:rPr>
            </w:pPr>
            <w:r>
              <w:rPr>
                <w:bCs/>
                <w:szCs w:val="21"/>
                <w:lang w:bidi="zh-CN"/>
              </w:rPr>
              <w:t>4</w:t>
            </w:r>
          </w:p>
        </w:tc>
      </w:tr>
      <w:tr>
        <w:tblPrEx>
          <w:tblCellMar>
            <w:top w:w="0" w:type="dxa"/>
            <w:left w:w="108" w:type="dxa"/>
            <w:bottom w:w="0" w:type="dxa"/>
            <w:right w:w="108" w:type="dxa"/>
          </w:tblCellMar>
        </w:tblPrEx>
        <w:trPr>
          <w:trHeight w:val="706"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single" w:color="auto" w:sz="4" w:space="0"/>
              <w:left w:val="nil"/>
              <w:bottom w:val="single" w:color="auto" w:sz="4" w:space="0"/>
              <w:right w:val="single" w:color="auto" w:sz="4" w:space="0"/>
            </w:tcBorders>
            <w:vAlign w:val="center"/>
          </w:tcPr>
          <w:p>
            <w:pPr>
              <w:widowControl/>
              <w:jc w:val="center"/>
              <w:rPr>
                <w:bCs/>
                <w:szCs w:val="21"/>
                <w:lang w:bidi="zh-CN"/>
              </w:rPr>
            </w:pPr>
          </w:p>
        </w:tc>
        <w:tc>
          <w:tcPr>
            <w:tcW w:w="5549" w:type="dxa"/>
            <w:tcBorders>
              <w:top w:val="nil"/>
              <w:left w:val="nil"/>
              <w:bottom w:val="single" w:color="auto" w:sz="4" w:space="0"/>
              <w:right w:val="single" w:color="auto" w:sz="4" w:space="0"/>
            </w:tcBorders>
            <w:vAlign w:val="center"/>
          </w:tcPr>
          <w:p>
            <w:pPr>
              <w:widowControl/>
              <w:spacing w:line="300" w:lineRule="exact"/>
              <w:rPr>
                <w:bCs/>
                <w:szCs w:val="21"/>
                <w:lang w:bidi="zh-CN"/>
              </w:rPr>
            </w:pPr>
            <w:r>
              <w:rPr>
                <w:rFonts w:hint="eastAsia"/>
                <w:bCs/>
                <w:szCs w:val="21"/>
                <w:lang w:bidi="zh-CN"/>
              </w:rPr>
              <w:t>根据供应商提供的“无废城市”核心业务应用设计方案的全面性与合理性进行综合评议。</w:t>
            </w:r>
          </w:p>
          <w:p>
            <w:pPr>
              <w:pStyle w:val="2"/>
              <w:numPr>
                <w:ilvl w:val="0"/>
                <w:numId w:val="0"/>
              </w:numPr>
              <w:rPr>
                <w:bCs/>
                <w:szCs w:val="21"/>
                <w:lang w:bidi="zh-CN"/>
              </w:rPr>
            </w:pPr>
            <w:r>
              <w:rPr>
                <w:rFonts w:hint="eastAsia"/>
                <w:bCs/>
                <w:szCs w:val="21"/>
                <w:lang w:bidi="zh-CN"/>
              </w:rPr>
              <w:t>核心业务应用设计方案非常全面与合理的得</w:t>
            </w:r>
            <w:r>
              <w:rPr>
                <w:bCs/>
                <w:szCs w:val="21"/>
                <w:lang w:bidi="zh-CN"/>
              </w:rPr>
              <w:t>4</w:t>
            </w:r>
            <w:r>
              <w:rPr>
                <w:rFonts w:hint="eastAsia"/>
                <w:bCs/>
                <w:szCs w:val="21"/>
                <w:lang w:bidi="zh-CN"/>
              </w:rPr>
              <w:t>分；方案比较全面与合理的得2分；方案欠全面与合理的得1分；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bCs/>
                <w:szCs w:val="21"/>
                <w:lang w:bidi="zh-CN"/>
              </w:rPr>
            </w:pPr>
            <w:r>
              <w:rPr>
                <w:bCs/>
                <w:szCs w:val="21"/>
                <w:lang w:bidi="zh-CN"/>
              </w:rPr>
              <w:t>4</w:t>
            </w:r>
          </w:p>
        </w:tc>
      </w:tr>
      <w:tr>
        <w:tblPrEx>
          <w:tblCellMar>
            <w:top w:w="0" w:type="dxa"/>
            <w:left w:w="108" w:type="dxa"/>
            <w:bottom w:w="0" w:type="dxa"/>
            <w:right w:w="108" w:type="dxa"/>
          </w:tblCellMar>
        </w:tblPrEx>
        <w:trPr>
          <w:trHeight w:val="706"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single" w:color="auto" w:sz="4" w:space="0"/>
              <w:left w:val="nil"/>
              <w:bottom w:val="single" w:color="auto" w:sz="4" w:space="0"/>
              <w:right w:val="single" w:color="auto" w:sz="4" w:space="0"/>
            </w:tcBorders>
            <w:vAlign w:val="center"/>
          </w:tcPr>
          <w:p>
            <w:pPr>
              <w:widowControl/>
              <w:jc w:val="center"/>
              <w:rPr>
                <w:bCs/>
                <w:szCs w:val="21"/>
                <w:lang w:bidi="zh-CN"/>
              </w:rPr>
            </w:pPr>
          </w:p>
        </w:tc>
        <w:tc>
          <w:tcPr>
            <w:tcW w:w="5549" w:type="dxa"/>
            <w:tcBorders>
              <w:top w:val="nil"/>
              <w:left w:val="nil"/>
              <w:bottom w:val="single" w:color="auto" w:sz="4" w:space="0"/>
              <w:right w:val="single" w:color="auto" w:sz="4" w:space="0"/>
            </w:tcBorders>
            <w:vAlign w:val="center"/>
          </w:tcPr>
          <w:p>
            <w:pPr>
              <w:widowControl/>
              <w:spacing w:line="300" w:lineRule="exact"/>
              <w:rPr>
                <w:bCs/>
                <w:szCs w:val="21"/>
                <w:lang w:bidi="zh-CN"/>
              </w:rPr>
            </w:pPr>
            <w:r>
              <w:rPr>
                <w:rFonts w:hint="eastAsia"/>
                <w:bCs/>
                <w:szCs w:val="21"/>
                <w:lang w:bidi="zh-CN"/>
              </w:rPr>
              <w:t>根据供应商提供的“无废城市”多跨场景应用的全面性与合理性进行综合评议。</w:t>
            </w:r>
          </w:p>
          <w:p>
            <w:pPr>
              <w:pStyle w:val="2"/>
              <w:numPr>
                <w:ilvl w:val="0"/>
                <w:numId w:val="0"/>
              </w:numPr>
              <w:rPr>
                <w:bCs/>
                <w:szCs w:val="21"/>
                <w:lang w:bidi="zh-CN"/>
              </w:rPr>
            </w:pPr>
            <w:r>
              <w:rPr>
                <w:rFonts w:hint="eastAsia"/>
                <w:bCs/>
                <w:szCs w:val="21"/>
                <w:lang w:bidi="zh-CN"/>
              </w:rPr>
              <w:t>多跨场景应用设计方案非常全面与合理的得</w:t>
            </w:r>
            <w:r>
              <w:rPr>
                <w:bCs/>
                <w:szCs w:val="21"/>
                <w:lang w:bidi="zh-CN"/>
              </w:rPr>
              <w:t>3</w:t>
            </w:r>
            <w:r>
              <w:rPr>
                <w:rFonts w:hint="eastAsia"/>
                <w:bCs/>
                <w:szCs w:val="21"/>
                <w:lang w:bidi="zh-CN"/>
              </w:rPr>
              <w:t>分；方案比较全面与合理的得</w:t>
            </w:r>
            <w:r>
              <w:rPr>
                <w:bCs/>
                <w:szCs w:val="21"/>
                <w:lang w:bidi="zh-CN"/>
              </w:rPr>
              <w:t>2</w:t>
            </w:r>
            <w:r>
              <w:rPr>
                <w:rFonts w:hint="eastAsia"/>
                <w:bCs/>
                <w:szCs w:val="21"/>
                <w:lang w:bidi="zh-CN"/>
              </w:rPr>
              <w:t>分；方案欠全面与合理的得</w:t>
            </w:r>
            <w:r>
              <w:rPr>
                <w:bCs/>
                <w:szCs w:val="21"/>
                <w:lang w:bidi="zh-CN"/>
              </w:rPr>
              <w:t>1</w:t>
            </w:r>
            <w:r>
              <w:rPr>
                <w:rFonts w:hint="eastAsia"/>
                <w:bCs/>
                <w:szCs w:val="21"/>
                <w:lang w:bidi="zh-CN"/>
              </w:rPr>
              <w:t>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bCs/>
                <w:szCs w:val="21"/>
                <w:lang w:bidi="zh-CN"/>
              </w:rPr>
            </w:pPr>
            <w:r>
              <w:rPr>
                <w:rFonts w:hint="eastAsia"/>
                <w:bCs/>
                <w:szCs w:val="21"/>
                <w:lang w:bidi="zh-CN"/>
              </w:rPr>
              <w:t>3</w:t>
            </w:r>
          </w:p>
        </w:tc>
      </w:tr>
      <w:tr>
        <w:tblPrEx>
          <w:tblCellMar>
            <w:top w:w="0" w:type="dxa"/>
            <w:left w:w="108" w:type="dxa"/>
            <w:bottom w:w="0" w:type="dxa"/>
            <w:right w:w="108" w:type="dxa"/>
          </w:tblCellMar>
        </w:tblPrEx>
        <w:trPr>
          <w:trHeight w:val="706"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single" w:color="auto" w:sz="4" w:space="0"/>
              <w:left w:val="nil"/>
              <w:bottom w:val="single" w:color="auto" w:sz="4" w:space="0"/>
              <w:right w:val="single" w:color="auto" w:sz="4" w:space="0"/>
            </w:tcBorders>
            <w:vAlign w:val="center"/>
          </w:tcPr>
          <w:p>
            <w:pPr>
              <w:widowControl/>
              <w:jc w:val="center"/>
              <w:rPr>
                <w:bCs/>
                <w:szCs w:val="21"/>
                <w:lang w:bidi="zh-CN"/>
              </w:rPr>
            </w:pPr>
          </w:p>
        </w:tc>
        <w:tc>
          <w:tcPr>
            <w:tcW w:w="5549" w:type="dxa"/>
            <w:tcBorders>
              <w:top w:val="nil"/>
              <w:left w:val="nil"/>
              <w:bottom w:val="single" w:color="auto" w:sz="4" w:space="0"/>
              <w:right w:val="single" w:color="auto" w:sz="4" w:space="0"/>
            </w:tcBorders>
            <w:vAlign w:val="center"/>
          </w:tcPr>
          <w:p>
            <w:pPr>
              <w:widowControl/>
              <w:spacing w:line="300" w:lineRule="exact"/>
              <w:rPr>
                <w:bCs/>
                <w:szCs w:val="21"/>
                <w:lang w:bidi="zh-CN"/>
              </w:rPr>
            </w:pPr>
            <w:r>
              <w:rPr>
                <w:rFonts w:hint="eastAsia"/>
                <w:bCs/>
                <w:szCs w:val="21"/>
                <w:lang w:bidi="zh-CN"/>
              </w:rPr>
              <w:t>根据供应商提供的“无废城市”系统管理及“无废城市”主题库建设设计方案的全面性与合理性进行综合评议。</w:t>
            </w:r>
          </w:p>
          <w:p>
            <w:pPr>
              <w:pStyle w:val="2"/>
              <w:numPr>
                <w:ilvl w:val="0"/>
                <w:numId w:val="0"/>
              </w:numPr>
              <w:rPr>
                <w:bCs/>
                <w:szCs w:val="21"/>
                <w:lang w:bidi="zh-CN"/>
              </w:rPr>
            </w:pPr>
            <w:r>
              <w:rPr>
                <w:rFonts w:hint="eastAsia"/>
                <w:bCs/>
                <w:szCs w:val="21"/>
                <w:lang w:bidi="zh-CN"/>
              </w:rPr>
              <w:t>系统管理及主题库建设设计方案比较全面与合理的得</w:t>
            </w:r>
            <w:r>
              <w:rPr>
                <w:bCs/>
                <w:szCs w:val="21"/>
                <w:lang w:bidi="zh-CN"/>
              </w:rPr>
              <w:t>2</w:t>
            </w:r>
            <w:r>
              <w:rPr>
                <w:rFonts w:hint="eastAsia"/>
                <w:bCs/>
                <w:szCs w:val="21"/>
                <w:lang w:bidi="zh-CN"/>
              </w:rPr>
              <w:t>分；方案欠全面与合理的得</w:t>
            </w:r>
            <w:r>
              <w:rPr>
                <w:bCs/>
                <w:szCs w:val="21"/>
                <w:lang w:bidi="zh-CN"/>
              </w:rPr>
              <w:t>1</w:t>
            </w:r>
            <w:r>
              <w:rPr>
                <w:rFonts w:hint="eastAsia"/>
                <w:bCs/>
                <w:szCs w:val="21"/>
                <w:lang w:bidi="zh-CN"/>
              </w:rPr>
              <w:t>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bCs/>
                <w:szCs w:val="21"/>
                <w:lang w:bidi="zh-CN"/>
              </w:rPr>
            </w:pPr>
            <w:r>
              <w:rPr>
                <w:bCs/>
                <w:szCs w:val="21"/>
                <w:lang w:bidi="zh-CN"/>
              </w:rPr>
              <w:t>2</w:t>
            </w:r>
          </w:p>
        </w:tc>
      </w:tr>
      <w:tr>
        <w:tblPrEx>
          <w:tblCellMar>
            <w:top w:w="0" w:type="dxa"/>
            <w:left w:w="108" w:type="dxa"/>
            <w:bottom w:w="0" w:type="dxa"/>
            <w:right w:w="108" w:type="dxa"/>
          </w:tblCellMar>
        </w:tblPrEx>
        <w:trPr>
          <w:trHeight w:val="874" w:hRule="atLeast"/>
          <w:jc w:val="center"/>
        </w:trPr>
        <w:tc>
          <w:tcPr>
            <w:tcW w:w="804" w:type="dxa"/>
            <w:vMerge w:val="continue"/>
            <w:tcBorders>
              <w:top w:val="single" w:color="auto" w:sz="4" w:space="0"/>
              <w:left w:val="single" w:color="auto" w:sz="4" w:space="0"/>
              <w:right w:val="single" w:color="auto" w:sz="4" w:space="0"/>
            </w:tcBorders>
            <w:vAlign w:val="center"/>
          </w:tcPr>
          <w:p>
            <w:pPr>
              <w:widowControl/>
              <w:jc w:val="center"/>
              <w:rPr>
                <w:color w:val="000000"/>
                <w:kern w:val="0"/>
                <w:szCs w:val="21"/>
              </w:rPr>
            </w:pPr>
          </w:p>
        </w:tc>
        <w:tc>
          <w:tcPr>
            <w:tcW w:w="1302" w:type="dxa"/>
            <w:vMerge w:val="restart"/>
            <w:tcBorders>
              <w:top w:val="single" w:color="auto" w:sz="4" w:space="0"/>
              <w:left w:val="nil"/>
              <w:right w:val="single" w:color="auto" w:sz="4" w:space="0"/>
            </w:tcBorders>
            <w:vAlign w:val="center"/>
          </w:tcPr>
          <w:p>
            <w:pPr>
              <w:widowControl/>
              <w:jc w:val="center"/>
              <w:rPr>
                <w:kern w:val="0"/>
                <w:szCs w:val="21"/>
              </w:rPr>
            </w:pPr>
            <w:r>
              <w:rPr>
                <w:kern w:val="0"/>
                <w:szCs w:val="21"/>
              </w:rPr>
              <w:t>实施方案</w:t>
            </w:r>
          </w:p>
          <w:p>
            <w:pPr>
              <w:widowControl/>
              <w:jc w:val="center"/>
              <w:rPr>
                <w:kern w:val="0"/>
                <w:szCs w:val="21"/>
              </w:rPr>
            </w:pPr>
            <w:r>
              <w:rPr>
                <w:kern w:val="0"/>
                <w:szCs w:val="21"/>
              </w:rPr>
              <w:t>（10分）</w:t>
            </w:r>
          </w:p>
        </w:tc>
        <w:tc>
          <w:tcPr>
            <w:tcW w:w="5549"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根据投标人提供的实施进度计划、开发实施方法、管理计划、测试方案、试运行方案、验收方案的全面性与合理性进行</w:t>
            </w:r>
            <w:r>
              <w:rPr>
                <w:rFonts w:hint="eastAsia" w:ascii="宋体" w:hAnsi="宋体"/>
                <w:szCs w:val="21"/>
              </w:rPr>
              <w:t>综合评议</w:t>
            </w:r>
            <w:r>
              <w:rPr>
                <w:rFonts w:hint="eastAsia" w:ascii="宋体" w:hAnsi="宋体" w:cs="宋体"/>
                <w:kern w:val="0"/>
                <w:szCs w:val="21"/>
              </w:rPr>
              <w:t>。</w:t>
            </w:r>
          </w:p>
          <w:p>
            <w:pPr>
              <w:pStyle w:val="2"/>
              <w:numPr>
                <w:ilvl w:val="0"/>
                <w:numId w:val="0"/>
              </w:numPr>
            </w:pPr>
            <w:r>
              <w:rPr>
                <w:rFonts w:hint="eastAsia" w:ascii="宋体" w:hAnsi="宋体" w:cs="宋体"/>
                <w:kern w:val="0"/>
                <w:szCs w:val="21"/>
              </w:rPr>
              <w:t>实施进度计划、开发实施方法、管理计划、测试方案、试运行方案、验收</w:t>
            </w:r>
            <w:r>
              <w:rPr>
                <w:rFonts w:hint="eastAsia"/>
                <w:bCs/>
                <w:szCs w:val="21"/>
                <w:lang w:bidi="zh-CN"/>
              </w:rPr>
              <w:t>方案非常全面与合理的得</w:t>
            </w:r>
            <w:r>
              <w:rPr>
                <w:bCs/>
                <w:szCs w:val="21"/>
                <w:lang w:bidi="zh-CN"/>
              </w:rPr>
              <w:t>6</w:t>
            </w:r>
            <w:r>
              <w:rPr>
                <w:rFonts w:hint="eastAsia"/>
                <w:bCs/>
                <w:szCs w:val="21"/>
                <w:lang w:bidi="zh-CN"/>
              </w:rPr>
              <w:t>分；方案比较全面与合理的得</w:t>
            </w:r>
            <w:r>
              <w:rPr>
                <w:bCs/>
                <w:szCs w:val="21"/>
                <w:lang w:bidi="zh-CN"/>
              </w:rPr>
              <w:t>4</w:t>
            </w:r>
            <w:r>
              <w:rPr>
                <w:rFonts w:hint="eastAsia"/>
                <w:bCs/>
                <w:szCs w:val="21"/>
                <w:lang w:bidi="zh-CN"/>
              </w:rPr>
              <w:t>分；方案欠全面与合理的得</w:t>
            </w:r>
            <w:r>
              <w:rPr>
                <w:bCs/>
                <w:szCs w:val="21"/>
                <w:lang w:bidi="zh-CN"/>
              </w:rPr>
              <w:t>2</w:t>
            </w:r>
            <w:r>
              <w:rPr>
                <w:rFonts w:hint="eastAsia"/>
                <w:bCs/>
                <w:szCs w:val="21"/>
                <w:lang w:bidi="zh-CN"/>
              </w:rPr>
              <w:t>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6</w:t>
            </w:r>
          </w:p>
        </w:tc>
      </w:tr>
      <w:tr>
        <w:tblPrEx>
          <w:tblCellMar>
            <w:top w:w="0" w:type="dxa"/>
            <w:left w:w="108" w:type="dxa"/>
            <w:bottom w:w="0" w:type="dxa"/>
            <w:right w:w="108" w:type="dxa"/>
          </w:tblCellMar>
        </w:tblPrEx>
        <w:trPr>
          <w:trHeight w:val="405" w:hRule="atLeast"/>
          <w:jc w:val="center"/>
        </w:trPr>
        <w:tc>
          <w:tcPr>
            <w:tcW w:w="804" w:type="dxa"/>
            <w:vMerge w:val="continue"/>
            <w:tcBorders>
              <w:top w:val="single" w:color="auto" w:sz="4" w:space="0"/>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left w:val="nil"/>
              <w:bottom w:val="single" w:color="000000" w:sz="4" w:space="0"/>
              <w:right w:val="single" w:color="auto" w:sz="4" w:space="0"/>
            </w:tcBorders>
            <w:vAlign w:val="center"/>
          </w:tcPr>
          <w:p>
            <w:pPr>
              <w:widowControl/>
              <w:jc w:val="center"/>
              <w:rPr>
                <w:kern w:val="0"/>
                <w:szCs w:val="21"/>
              </w:rPr>
            </w:pPr>
          </w:p>
        </w:tc>
        <w:tc>
          <w:tcPr>
            <w:tcW w:w="5549"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根据投标人提供的质量保障措施与工期保障措施的完整性进行</w:t>
            </w:r>
            <w:r>
              <w:rPr>
                <w:rFonts w:hint="eastAsia" w:ascii="宋体" w:hAnsi="宋体"/>
                <w:szCs w:val="21"/>
              </w:rPr>
              <w:t>综合评议</w:t>
            </w:r>
            <w:r>
              <w:rPr>
                <w:rFonts w:hint="eastAsia" w:ascii="宋体" w:hAnsi="宋体" w:cs="宋体"/>
                <w:kern w:val="0"/>
                <w:szCs w:val="21"/>
              </w:rPr>
              <w:t>。</w:t>
            </w:r>
          </w:p>
          <w:p>
            <w:pPr>
              <w:pStyle w:val="2"/>
              <w:numPr>
                <w:ilvl w:val="0"/>
                <w:numId w:val="0"/>
              </w:numPr>
            </w:pPr>
            <w:r>
              <w:rPr>
                <w:rFonts w:hint="eastAsia" w:ascii="宋体" w:hAnsi="宋体" w:cs="宋体"/>
                <w:kern w:val="0"/>
                <w:szCs w:val="21"/>
              </w:rPr>
              <w:t>质量保障措施与工期保障措施</w:t>
            </w:r>
            <w:r>
              <w:rPr>
                <w:rFonts w:hint="eastAsia"/>
                <w:bCs/>
                <w:szCs w:val="21"/>
                <w:lang w:bidi="zh-CN"/>
              </w:rPr>
              <w:t>非常完整的得</w:t>
            </w:r>
            <w:r>
              <w:rPr>
                <w:bCs/>
                <w:szCs w:val="21"/>
                <w:lang w:bidi="zh-CN"/>
              </w:rPr>
              <w:t>4</w:t>
            </w:r>
            <w:r>
              <w:rPr>
                <w:rFonts w:hint="eastAsia"/>
                <w:bCs/>
                <w:szCs w:val="21"/>
                <w:lang w:bidi="zh-CN"/>
              </w:rPr>
              <w:t>分；</w:t>
            </w:r>
            <w:r>
              <w:rPr>
                <w:rFonts w:hint="eastAsia" w:ascii="宋体" w:hAnsi="宋体" w:cs="宋体"/>
                <w:kern w:val="0"/>
                <w:szCs w:val="21"/>
              </w:rPr>
              <w:t>保障措施</w:t>
            </w:r>
            <w:r>
              <w:rPr>
                <w:rFonts w:hint="eastAsia"/>
                <w:bCs/>
                <w:szCs w:val="21"/>
                <w:lang w:bidi="zh-CN"/>
              </w:rPr>
              <w:t>比较完整的得2分；</w:t>
            </w:r>
            <w:r>
              <w:rPr>
                <w:rFonts w:hint="eastAsia" w:ascii="宋体" w:hAnsi="宋体" w:cs="宋体"/>
                <w:kern w:val="0"/>
                <w:szCs w:val="21"/>
              </w:rPr>
              <w:t>保障措施</w:t>
            </w:r>
            <w:r>
              <w:rPr>
                <w:rFonts w:hint="eastAsia"/>
                <w:bCs/>
                <w:szCs w:val="21"/>
                <w:lang w:bidi="zh-CN"/>
              </w:rPr>
              <w:t>欠完整的得1分；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4</w:t>
            </w:r>
          </w:p>
        </w:tc>
      </w:tr>
      <w:tr>
        <w:tblPrEx>
          <w:tblCellMar>
            <w:top w:w="0" w:type="dxa"/>
            <w:left w:w="108" w:type="dxa"/>
            <w:bottom w:w="0" w:type="dxa"/>
            <w:right w:w="108" w:type="dxa"/>
          </w:tblCellMar>
        </w:tblPrEx>
        <w:trPr>
          <w:trHeight w:val="540"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tcBorders>
              <w:top w:val="single" w:color="000000" w:sz="4" w:space="0"/>
              <w:left w:val="nil"/>
              <w:bottom w:val="single" w:color="auto" w:sz="4" w:space="0"/>
              <w:right w:val="single" w:color="auto" w:sz="4" w:space="0"/>
            </w:tcBorders>
            <w:vAlign w:val="center"/>
          </w:tcPr>
          <w:p>
            <w:pPr>
              <w:widowControl/>
              <w:jc w:val="center"/>
              <w:rPr>
                <w:kern w:val="0"/>
                <w:szCs w:val="21"/>
              </w:rPr>
            </w:pPr>
            <w:r>
              <w:rPr>
                <w:kern w:val="0"/>
                <w:szCs w:val="21"/>
              </w:rPr>
              <w:t>培训方案</w:t>
            </w:r>
          </w:p>
          <w:p>
            <w:pPr>
              <w:widowControl/>
              <w:jc w:val="center"/>
              <w:rPr>
                <w:kern w:val="0"/>
                <w:szCs w:val="21"/>
              </w:rPr>
            </w:pPr>
            <w:r>
              <w:rPr>
                <w:kern w:val="0"/>
                <w:szCs w:val="21"/>
              </w:rPr>
              <w:t>（5分）</w:t>
            </w:r>
          </w:p>
        </w:tc>
        <w:tc>
          <w:tcPr>
            <w:tcW w:w="5549" w:type="dxa"/>
            <w:tcBorders>
              <w:top w:val="nil"/>
              <w:left w:val="nil"/>
              <w:bottom w:val="single" w:color="auto" w:sz="4" w:space="0"/>
              <w:right w:val="single" w:color="auto" w:sz="4" w:space="0"/>
            </w:tcBorders>
            <w:vAlign w:val="center"/>
          </w:tcPr>
          <w:p>
            <w:pPr>
              <w:widowControl/>
              <w:rPr>
                <w:kern w:val="0"/>
                <w:szCs w:val="21"/>
              </w:rPr>
            </w:pPr>
            <w:r>
              <w:rPr>
                <w:kern w:val="0"/>
                <w:szCs w:val="21"/>
              </w:rPr>
              <w:t>根据投标人提供的结合本次系统建设需求的功能和特点的培训计划、培训内容、组织安排</w:t>
            </w:r>
            <w:r>
              <w:rPr>
                <w:rFonts w:hint="eastAsia"/>
                <w:kern w:val="0"/>
                <w:szCs w:val="21"/>
              </w:rPr>
              <w:t>的</w:t>
            </w:r>
            <w:r>
              <w:rPr>
                <w:rFonts w:hint="eastAsia" w:ascii="宋体" w:hAnsi="宋体" w:cs="宋体"/>
                <w:kern w:val="0"/>
                <w:szCs w:val="21"/>
              </w:rPr>
              <w:t>全面性与合理性</w:t>
            </w:r>
            <w:r>
              <w:rPr>
                <w:kern w:val="0"/>
                <w:szCs w:val="21"/>
              </w:rPr>
              <w:t>进行</w:t>
            </w:r>
            <w:r>
              <w:rPr>
                <w:szCs w:val="21"/>
              </w:rPr>
              <w:t>综合评议</w:t>
            </w:r>
            <w:r>
              <w:rPr>
                <w:kern w:val="0"/>
                <w:szCs w:val="21"/>
              </w:rPr>
              <w:t>。</w:t>
            </w:r>
          </w:p>
          <w:p>
            <w:pPr>
              <w:pStyle w:val="2"/>
              <w:numPr>
                <w:ilvl w:val="0"/>
                <w:numId w:val="0"/>
              </w:numPr>
            </w:pPr>
            <w:r>
              <w:rPr>
                <w:rFonts w:hint="eastAsia" w:ascii="宋体" w:hAnsi="宋体" w:cs="宋体"/>
                <w:kern w:val="0"/>
                <w:szCs w:val="21"/>
              </w:rPr>
              <w:t>培训</w:t>
            </w:r>
            <w:r>
              <w:rPr>
                <w:rFonts w:hint="eastAsia"/>
                <w:bCs/>
                <w:szCs w:val="21"/>
                <w:lang w:bidi="zh-CN"/>
              </w:rPr>
              <w:t>方案非常全面与合理的得</w:t>
            </w:r>
            <w:r>
              <w:rPr>
                <w:bCs/>
                <w:szCs w:val="21"/>
                <w:lang w:bidi="zh-CN"/>
              </w:rPr>
              <w:t>5</w:t>
            </w:r>
            <w:r>
              <w:rPr>
                <w:rFonts w:hint="eastAsia"/>
                <w:bCs/>
                <w:szCs w:val="21"/>
                <w:lang w:bidi="zh-CN"/>
              </w:rPr>
              <w:t>分；方案比较全面与合理的得3分；方案欠全面与合理的得1分；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kern w:val="0"/>
                <w:szCs w:val="21"/>
              </w:rPr>
            </w:pPr>
            <w:r>
              <w:rPr>
                <w:kern w:val="0"/>
                <w:szCs w:val="21"/>
              </w:rPr>
              <w:t>5</w:t>
            </w:r>
          </w:p>
        </w:tc>
      </w:tr>
      <w:tr>
        <w:tblPrEx>
          <w:tblCellMar>
            <w:top w:w="0" w:type="dxa"/>
            <w:left w:w="108" w:type="dxa"/>
            <w:bottom w:w="0" w:type="dxa"/>
            <w:right w:w="108" w:type="dxa"/>
          </w:tblCellMar>
        </w:tblPrEx>
        <w:trPr>
          <w:trHeight w:val="920"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restart"/>
            <w:tcBorders>
              <w:top w:val="single" w:color="auto" w:sz="4" w:space="0"/>
              <w:left w:val="nil"/>
              <w:right w:val="single" w:color="auto" w:sz="4" w:space="0"/>
            </w:tcBorders>
            <w:vAlign w:val="center"/>
          </w:tcPr>
          <w:p>
            <w:pPr>
              <w:widowControl/>
              <w:jc w:val="center"/>
              <w:rPr>
                <w:kern w:val="0"/>
                <w:szCs w:val="21"/>
              </w:rPr>
            </w:pPr>
            <w:r>
              <w:rPr>
                <w:kern w:val="0"/>
                <w:szCs w:val="21"/>
              </w:rPr>
              <w:t>售后服务方案</w:t>
            </w:r>
          </w:p>
          <w:p>
            <w:pPr>
              <w:widowControl/>
              <w:jc w:val="center"/>
              <w:rPr>
                <w:kern w:val="0"/>
                <w:szCs w:val="21"/>
              </w:rPr>
            </w:pPr>
            <w:r>
              <w:rPr>
                <w:kern w:val="0"/>
                <w:szCs w:val="21"/>
              </w:rPr>
              <w:t>（</w:t>
            </w:r>
            <w:r>
              <w:rPr>
                <w:szCs w:val="21"/>
              </w:rPr>
              <w:t>10</w:t>
            </w:r>
            <w:r>
              <w:rPr>
                <w:kern w:val="0"/>
                <w:szCs w:val="21"/>
              </w:rPr>
              <w:t>分）</w:t>
            </w:r>
          </w:p>
        </w:tc>
        <w:tc>
          <w:tcPr>
            <w:tcW w:w="5549" w:type="dxa"/>
            <w:tcBorders>
              <w:top w:val="single" w:color="auto" w:sz="4" w:space="0"/>
              <w:left w:val="nil"/>
              <w:bottom w:val="single" w:color="auto" w:sz="4" w:space="0"/>
              <w:right w:val="single" w:color="auto" w:sz="4" w:space="0"/>
            </w:tcBorders>
            <w:vAlign w:val="center"/>
          </w:tcPr>
          <w:p>
            <w:pPr>
              <w:widowControl/>
              <w:rPr>
                <w:lang w:val="zh-CN"/>
              </w:rPr>
            </w:pPr>
            <w:r>
              <w:rPr>
                <w:lang w:val="zh-CN"/>
              </w:rPr>
              <w:t>根据</w:t>
            </w:r>
            <w:r>
              <w:rPr>
                <w:kern w:val="0"/>
                <w:szCs w:val="21"/>
              </w:rPr>
              <w:t>投标人</w:t>
            </w:r>
            <w:r>
              <w:rPr>
                <w:lang w:val="zh-CN"/>
              </w:rPr>
              <w:t>针对本项目</w:t>
            </w:r>
            <w:r>
              <w:t>提供的服务响应时间、响应程度、服务内容、解决问题的能力、紧急故障处理预案、技术指导等</w:t>
            </w:r>
            <w:r>
              <w:rPr>
                <w:rFonts w:hint="eastAsia"/>
                <w:szCs w:val="21"/>
              </w:rPr>
              <w:t>的合理性、详尽程度</w:t>
            </w:r>
            <w:r>
              <w:t>进行综合评议</w:t>
            </w:r>
            <w:r>
              <w:rPr>
                <w:rFonts w:hint="eastAsia"/>
                <w:lang w:val="zh-CN"/>
              </w:rPr>
              <w:t>。</w:t>
            </w:r>
          </w:p>
          <w:p>
            <w:pPr>
              <w:pStyle w:val="2"/>
              <w:numPr>
                <w:ilvl w:val="0"/>
                <w:numId w:val="0"/>
              </w:numPr>
              <w:rPr>
                <w:lang w:val="zh-CN"/>
              </w:rPr>
            </w:pPr>
            <w:r>
              <w:t>服务响应时间、响应程度、服务内容、解决问题的能力、紧急故障处理预案、技术指导</w:t>
            </w:r>
            <w:r>
              <w:rPr>
                <w:rFonts w:hint="eastAsia"/>
                <w:bCs/>
                <w:szCs w:val="21"/>
                <w:lang w:bidi="zh-CN"/>
              </w:rPr>
              <w:t>方案非常合理与详尽的得</w:t>
            </w:r>
            <w:r>
              <w:rPr>
                <w:bCs/>
                <w:szCs w:val="21"/>
                <w:lang w:bidi="zh-CN"/>
              </w:rPr>
              <w:t>6</w:t>
            </w:r>
            <w:r>
              <w:rPr>
                <w:rFonts w:hint="eastAsia"/>
                <w:bCs/>
                <w:szCs w:val="21"/>
                <w:lang w:bidi="zh-CN"/>
              </w:rPr>
              <w:t>分；方案比较合理与详尽的得</w:t>
            </w:r>
            <w:r>
              <w:rPr>
                <w:bCs/>
                <w:szCs w:val="21"/>
                <w:lang w:bidi="zh-CN"/>
              </w:rPr>
              <w:t>4</w:t>
            </w:r>
            <w:r>
              <w:rPr>
                <w:rFonts w:hint="eastAsia"/>
                <w:bCs/>
                <w:szCs w:val="21"/>
                <w:lang w:bidi="zh-CN"/>
              </w:rPr>
              <w:t>分；方案欠合理与详尽的得</w:t>
            </w:r>
            <w:r>
              <w:rPr>
                <w:bCs/>
                <w:szCs w:val="21"/>
                <w:lang w:bidi="zh-CN"/>
              </w:rPr>
              <w:t>2</w:t>
            </w:r>
            <w:r>
              <w:rPr>
                <w:rFonts w:hint="eastAsia"/>
                <w:bCs/>
                <w:szCs w:val="21"/>
                <w:lang w:bidi="zh-CN"/>
              </w:rPr>
              <w:t>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kern w:val="0"/>
                <w:szCs w:val="21"/>
              </w:rPr>
            </w:pPr>
            <w:r>
              <w:rPr>
                <w:kern w:val="0"/>
                <w:szCs w:val="21"/>
              </w:rPr>
              <w:t>6</w:t>
            </w:r>
          </w:p>
        </w:tc>
      </w:tr>
      <w:tr>
        <w:tblPrEx>
          <w:tblCellMar>
            <w:top w:w="0" w:type="dxa"/>
            <w:left w:w="108" w:type="dxa"/>
            <w:bottom w:w="0" w:type="dxa"/>
            <w:right w:w="108" w:type="dxa"/>
          </w:tblCellMar>
        </w:tblPrEx>
        <w:trPr>
          <w:trHeight w:val="557"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left w:val="nil"/>
              <w:bottom w:val="single" w:color="auto" w:sz="4" w:space="0"/>
              <w:right w:val="single" w:color="auto" w:sz="4" w:space="0"/>
            </w:tcBorders>
            <w:vAlign w:val="center"/>
          </w:tcPr>
          <w:p>
            <w:pPr>
              <w:widowControl/>
              <w:jc w:val="center"/>
              <w:rPr>
                <w:kern w:val="0"/>
                <w:szCs w:val="21"/>
              </w:rPr>
            </w:pPr>
          </w:p>
        </w:tc>
        <w:tc>
          <w:tcPr>
            <w:tcW w:w="5549" w:type="dxa"/>
            <w:tcBorders>
              <w:top w:val="single" w:color="auto" w:sz="4" w:space="0"/>
              <w:left w:val="nil"/>
              <w:bottom w:val="single" w:color="auto" w:sz="4" w:space="0"/>
              <w:right w:val="single" w:color="auto" w:sz="4" w:space="0"/>
            </w:tcBorders>
          </w:tcPr>
          <w:p>
            <w:pPr>
              <w:widowControl/>
              <w:rPr>
                <w:lang w:val="zh-CN"/>
              </w:rPr>
            </w:pPr>
            <w:r>
              <w:rPr>
                <w:rFonts w:hint="eastAsia" w:ascii="宋体" w:hAnsi="宋体" w:cs="宋体"/>
                <w:lang w:val="zh-CN"/>
              </w:rPr>
              <w:t>根据</w:t>
            </w:r>
            <w:r>
              <w:rPr>
                <w:rFonts w:hint="eastAsia" w:ascii="宋体" w:hAnsi="宋体" w:cs="宋体"/>
                <w:kern w:val="0"/>
                <w:szCs w:val="21"/>
              </w:rPr>
              <w:t>投标人</w:t>
            </w:r>
            <w:r>
              <w:rPr>
                <w:rFonts w:ascii="宋体" w:hAnsi="宋体"/>
              </w:rPr>
              <w:t>提供的运维服务方案中的服务设施和服务团队</w:t>
            </w:r>
            <w:r>
              <w:rPr>
                <w:rFonts w:hint="eastAsia"/>
                <w:szCs w:val="21"/>
              </w:rPr>
              <w:t>的合理性、详尽程度</w:t>
            </w:r>
            <w:r>
              <w:t>进行综合评议</w:t>
            </w:r>
            <w:r>
              <w:rPr>
                <w:rFonts w:hint="eastAsia"/>
                <w:lang w:val="zh-CN"/>
              </w:rPr>
              <w:t>。</w:t>
            </w:r>
          </w:p>
          <w:p>
            <w:pPr>
              <w:pStyle w:val="2"/>
              <w:numPr>
                <w:ilvl w:val="0"/>
                <w:numId w:val="0"/>
              </w:numPr>
              <w:rPr>
                <w:lang w:val="zh-CN"/>
              </w:rPr>
            </w:pPr>
            <w:r>
              <w:rPr>
                <w:rFonts w:ascii="宋体" w:hAnsi="宋体"/>
              </w:rPr>
              <w:t>服务设施和服务团队</w:t>
            </w:r>
            <w:r>
              <w:rPr>
                <w:rFonts w:hint="eastAsia"/>
                <w:bCs/>
                <w:szCs w:val="21"/>
                <w:lang w:bidi="zh-CN"/>
              </w:rPr>
              <w:t>方案非常合理与详尽的得</w:t>
            </w:r>
            <w:r>
              <w:rPr>
                <w:bCs/>
                <w:szCs w:val="21"/>
                <w:lang w:bidi="zh-CN"/>
              </w:rPr>
              <w:t>4</w:t>
            </w:r>
            <w:r>
              <w:rPr>
                <w:rFonts w:hint="eastAsia"/>
                <w:bCs/>
                <w:szCs w:val="21"/>
                <w:lang w:bidi="zh-CN"/>
              </w:rPr>
              <w:t>分；方案比较合理与详尽的得2分；方案欠合理与详尽的得1分；</w:t>
            </w:r>
            <w:r>
              <w:rPr>
                <w:rFonts w:hint="eastAsia"/>
                <w:lang w:bidi="zh-CN"/>
              </w:rPr>
              <w:t>未提供</w:t>
            </w:r>
            <w:r>
              <w:rPr>
                <w:rFonts w:hint="eastAsia"/>
                <w:bCs/>
                <w:szCs w:val="21"/>
                <w:lang w:bidi="zh-CN"/>
              </w:rPr>
              <w:t>相关内容的得0分</w:t>
            </w:r>
            <w:r>
              <w:rPr>
                <w:bCs/>
                <w:szCs w:val="21"/>
                <w:lang w:bidi="zh-CN"/>
              </w:rPr>
              <w:t>。</w:t>
            </w:r>
          </w:p>
        </w:tc>
        <w:tc>
          <w:tcPr>
            <w:tcW w:w="0" w:type="auto"/>
            <w:tcBorders>
              <w:top w:val="nil"/>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4</w:t>
            </w:r>
          </w:p>
        </w:tc>
      </w:tr>
      <w:tr>
        <w:tblPrEx>
          <w:tblCellMar>
            <w:top w:w="0" w:type="dxa"/>
            <w:left w:w="108" w:type="dxa"/>
            <w:bottom w:w="0" w:type="dxa"/>
            <w:right w:w="108" w:type="dxa"/>
          </w:tblCellMar>
        </w:tblPrEx>
        <w:trPr>
          <w:trHeight w:val="310"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项目团队</w:t>
            </w:r>
          </w:p>
          <w:p>
            <w:pPr>
              <w:widowControl/>
              <w:jc w:val="center"/>
              <w:rPr>
                <w:color w:val="000000"/>
                <w:kern w:val="0"/>
                <w:szCs w:val="21"/>
              </w:rPr>
            </w:pPr>
            <w:r>
              <w:rPr>
                <w:color w:val="000000"/>
                <w:kern w:val="0"/>
                <w:szCs w:val="21"/>
              </w:rPr>
              <w:t>（</w:t>
            </w:r>
            <w:r>
              <w:rPr>
                <w:rFonts w:hint="eastAsia"/>
                <w:color w:val="000000"/>
                <w:kern w:val="0"/>
                <w:szCs w:val="21"/>
              </w:rPr>
              <w:t>8</w:t>
            </w:r>
            <w:r>
              <w:rPr>
                <w:color w:val="000000"/>
                <w:kern w:val="0"/>
                <w:szCs w:val="21"/>
              </w:rPr>
              <w:t>分）</w:t>
            </w:r>
          </w:p>
        </w:tc>
        <w:tc>
          <w:tcPr>
            <w:tcW w:w="5549" w:type="dxa"/>
            <w:tcBorders>
              <w:top w:val="nil"/>
              <w:left w:val="nil"/>
              <w:bottom w:val="single" w:color="auto" w:sz="4" w:space="0"/>
              <w:right w:val="single" w:color="auto" w:sz="4" w:space="0"/>
            </w:tcBorders>
            <w:vAlign w:val="center"/>
          </w:tcPr>
          <w:p>
            <w:pPr>
              <w:widowControl/>
              <w:rPr>
                <w:color w:val="000000"/>
                <w:kern w:val="0"/>
                <w:szCs w:val="21"/>
              </w:rPr>
            </w:pPr>
            <w:r>
              <w:rPr>
                <w:color w:val="000000"/>
                <w:kern w:val="0"/>
                <w:szCs w:val="21"/>
              </w:rPr>
              <w:t>拟派项目</w:t>
            </w:r>
            <w:r>
              <w:rPr>
                <w:rFonts w:hint="eastAsia"/>
                <w:color w:val="000000"/>
                <w:kern w:val="0"/>
                <w:szCs w:val="21"/>
              </w:rPr>
              <w:t>总</w:t>
            </w:r>
            <w:r>
              <w:rPr>
                <w:color w:val="000000"/>
                <w:kern w:val="0"/>
                <w:szCs w:val="21"/>
              </w:rPr>
              <w:t>负责人具有信息系统项目管理师（高级）证书的</w:t>
            </w:r>
            <w:r>
              <w:rPr>
                <w:rFonts w:hint="eastAsia"/>
                <w:color w:val="000000"/>
                <w:kern w:val="0"/>
                <w:szCs w:val="21"/>
              </w:rPr>
              <w:t>得1.5</w:t>
            </w:r>
            <w:r>
              <w:rPr>
                <w:color w:val="000000"/>
                <w:kern w:val="0"/>
                <w:szCs w:val="21"/>
              </w:rPr>
              <w:t>分</w:t>
            </w:r>
            <w:r>
              <w:rPr>
                <w:rFonts w:hint="eastAsia"/>
                <w:color w:val="000000"/>
                <w:kern w:val="0"/>
                <w:szCs w:val="21"/>
              </w:rPr>
              <w:t>；</w:t>
            </w:r>
            <w:r>
              <w:rPr>
                <w:color w:val="000000"/>
                <w:kern w:val="0"/>
                <w:szCs w:val="21"/>
              </w:rPr>
              <w:t>具有</w:t>
            </w:r>
            <w:r>
              <w:t>系统规划与管理师</w:t>
            </w:r>
            <w:r>
              <w:rPr>
                <w:color w:val="000000"/>
                <w:kern w:val="0"/>
                <w:szCs w:val="21"/>
              </w:rPr>
              <w:t>（高级）证书</w:t>
            </w:r>
            <w:r>
              <w:t>的</w:t>
            </w:r>
            <w:r>
              <w:rPr>
                <w:color w:val="000000"/>
                <w:kern w:val="0"/>
                <w:szCs w:val="21"/>
              </w:rPr>
              <w:t>得</w:t>
            </w:r>
            <w:r>
              <w:rPr>
                <w:rFonts w:hint="eastAsia"/>
                <w:color w:val="000000"/>
                <w:kern w:val="0"/>
                <w:szCs w:val="21"/>
              </w:rPr>
              <w:t>1.5</w:t>
            </w:r>
            <w:r>
              <w:rPr>
                <w:color w:val="000000"/>
                <w:kern w:val="0"/>
                <w:szCs w:val="21"/>
              </w:rPr>
              <w:t>分</w:t>
            </w:r>
            <w:r>
              <w:rPr>
                <w:rFonts w:hint="eastAsia"/>
                <w:color w:val="000000"/>
                <w:kern w:val="0"/>
                <w:szCs w:val="21"/>
              </w:rPr>
              <w:t>；具有</w:t>
            </w:r>
            <w:r>
              <w:rPr>
                <w:rFonts w:hint="eastAsia"/>
                <w:kern w:val="0"/>
                <w:szCs w:val="21"/>
              </w:rPr>
              <w:t>云计算架构师认证（ACE）</w:t>
            </w:r>
            <w:r>
              <w:rPr>
                <w:kern w:val="0"/>
                <w:szCs w:val="21"/>
              </w:rPr>
              <w:t>证书</w:t>
            </w:r>
            <w:r>
              <w:rPr>
                <w:rFonts w:hint="eastAsia"/>
                <w:kern w:val="0"/>
                <w:szCs w:val="21"/>
              </w:rPr>
              <w:t>的</w:t>
            </w:r>
            <w:r>
              <w:rPr>
                <w:rFonts w:hint="eastAsia"/>
                <w:color w:val="000000"/>
                <w:kern w:val="0"/>
                <w:szCs w:val="21"/>
              </w:rPr>
              <w:t>得1.5分；</w:t>
            </w:r>
            <w:r>
              <w:rPr>
                <w:color w:val="000000"/>
                <w:kern w:val="0"/>
                <w:szCs w:val="21"/>
              </w:rPr>
              <w:t>本项最高得4</w:t>
            </w:r>
            <w:r>
              <w:rPr>
                <w:rFonts w:hint="eastAsia"/>
                <w:color w:val="000000"/>
                <w:kern w:val="0"/>
                <w:szCs w:val="21"/>
              </w:rPr>
              <w:t>.5</w:t>
            </w:r>
            <w:r>
              <w:rPr>
                <w:color w:val="000000"/>
                <w:kern w:val="0"/>
                <w:szCs w:val="21"/>
              </w:rPr>
              <w:t>分</w:t>
            </w:r>
            <w:r>
              <w:rPr>
                <w:rFonts w:hint="eastAsia"/>
                <w:color w:val="000000"/>
                <w:kern w:val="0"/>
                <w:szCs w:val="21"/>
              </w:rPr>
              <w:t>。</w:t>
            </w:r>
          </w:p>
        </w:tc>
        <w:tc>
          <w:tcPr>
            <w:tcW w:w="0" w:type="auto"/>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4</w:t>
            </w:r>
            <w:r>
              <w:rPr>
                <w:rFonts w:hint="eastAsia"/>
                <w:color w:val="000000"/>
                <w:kern w:val="0"/>
                <w:szCs w:val="21"/>
              </w:rPr>
              <w:t>.5</w:t>
            </w:r>
          </w:p>
        </w:tc>
      </w:tr>
      <w:tr>
        <w:tblPrEx>
          <w:tblCellMar>
            <w:top w:w="0" w:type="dxa"/>
            <w:left w:w="108" w:type="dxa"/>
            <w:bottom w:w="0" w:type="dxa"/>
            <w:right w:w="108" w:type="dxa"/>
          </w:tblCellMar>
        </w:tblPrEx>
        <w:trPr>
          <w:trHeight w:val="540"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5549" w:type="dxa"/>
            <w:tcBorders>
              <w:top w:val="nil"/>
              <w:left w:val="nil"/>
              <w:bottom w:val="single" w:color="auto" w:sz="4" w:space="0"/>
              <w:right w:val="single" w:color="auto" w:sz="4" w:space="0"/>
            </w:tcBorders>
            <w:vAlign w:val="center"/>
          </w:tcPr>
          <w:p>
            <w:pPr>
              <w:widowControl/>
              <w:rPr>
                <w:color w:val="000000"/>
                <w:kern w:val="0"/>
                <w:szCs w:val="21"/>
              </w:rPr>
            </w:pPr>
            <w:r>
              <w:rPr>
                <w:color w:val="000000"/>
                <w:kern w:val="0"/>
                <w:szCs w:val="21"/>
              </w:rPr>
              <w:t>拟派项目技术负责人具有</w:t>
            </w:r>
            <w:r>
              <w:rPr>
                <w:lang w:bidi="ar"/>
              </w:rPr>
              <w:t>云计算安全基础知识认证（CCSK）</w:t>
            </w:r>
            <w:r>
              <w:rPr>
                <w:color w:val="000000"/>
                <w:kern w:val="0"/>
                <w:szCs w:val="21"/>
              </w:rPr>
              <w:t>证书的得</w:t>
            </w:r>
            <w:r>
              <w:rPr>
                <w:rFonts w:hint="eastAsia"/>
                <w:color w:val="000000"/>
                <w:kern w:val="0"/>
                <w:szCs w:val="21"/>
              </w:rPr>
              <w:t>1.5</w:t>
            </w:r>
            <w:r>
              <w:rPr>
                <w:color w:val="000000"/>
                <w:kern w:val="0"/>
                <w:szCs w:val="21"/>
              </w:rPr>
              <w:t>分</w:t>
            </w:r>
            <w:r>
              <w:rPr>
                <w:rFonts w:hint="eastAsia"/>
                <w:color w:val="000000"/>
                <w:kern w:val="0"/>
                <w:szCs w:val="21"/>
              </w:rPr>
              <w:t>。</w:t>
            </w:r>
          </w:p>
        </w:tc>
        <w:tc>
          <w:tcPr>
            <w:tcW w:w="0" w:type="auto"/>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1.5</w:t>
            </w:r>
          </w:p>
        </w:tc>
      </w:tr>
      <w:tr>
        <w:tblPrEx>
          <w:tblCellMar>
            <w:top w:w="0" w:type="dxa"/>
            <w:left w:w="108" w:type="dxa"/>
            <w:bottom w:w="0" w:type="dxa"/>
            <w:right w:w="108" w:type="dxa"/>
          </w:tblCellMar>
        </w:tblPrEx>
        <w:trPr>
          <w:trHeight w:val="540"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5549" w:type="dxa"/>
            <w:tcBorders>
              <w:top w:val="nil"/>
              <w:left w:val="nil"/>
              <w:bottom w:val="single" w:color="auto" w:sz="4" w:space="0"/>
              <w:right w:val="single" w:color="auto" w:sz="4" w:space="0"/>
            </w:tcBorders>
            <w:vAlign w:val="center"/>
          </w:tcPr>
          <w:p>
            <w:pPr>
              <w:widowControl/>
              <w:rPr>
                <w:lang w:bidi="ar"/>
              </w:rPr>
            </w:pPr>
            <w:r>
              <w:rPr>
                <w:lang w:bidi="ar"/>
              </w:rPr>
              <w:t>除项目</w:t>
            </w:r>
            <w:r>
              <w:rPr>
                <w:rFonts w:hint="eastAsia"/>
                <w:lang w:bidi="ar"/>
              </w:rPr>
              <w:t>总</w:t>
            </w:r>
            <w:r>
              <w:rPr>
                <w:lang w:bidi="ar"/>
              </w:rPr>
              <w:t>负责人及技术负责人外其他成员具有系统架构设计师</w:t>
            </w:r>
            <w:r>
              <w:rPr>
                <w:rFonts w:hint="eastAsia"/>
                <w:lang w:bidi="ar"/>
              </w:rPr>
              <w:t>、</w:t>
            </w:r>
            <w:r>
              <w:rPr>
                <w:lang w:bidi="ar"/>
              </w:rPr>
              <w:t>软件设计师</w:t>
            </w:r>
            <w:r>
              <w:rPr>
                <w:rFonts w:hint="eastAsia"/>
                <w:lang w:bidi="ar"/>
              </w:rPr>
              <w:t>、</w:t>
            </w:r>
            <w:r>
              <w:rPr>
                <w:lang w:bidi="ar"/>
              </w:rPr>
              <w:t>系统集成项目管理工程师</w:t>
            </w:r>
            <w:r>
              <w:rPr>
                <w:rFonts w:hint="eastAsia"/>
                <w:lang w:bidi="ar"/>
              </w:rPr>
              <w:t>、</w:t>
            </w:r>
            <w:r>
              <w:rPr>
                <w:lang w:bidi="ar"/>
              </w:rPr>
              <w:t>IT服务项目经理</w:t>
            </w:r>
            <w:r>
              <w:rPr>
                <w:rFonts w:hint="eastAsia"/>
                <w:lang w:bidi="ar"/>
              </w:rPr>
              <w:t>的，</w:t>
            </w:r>
            <w:r>
              <w:rPr>
                <w:lang w:bidi="ar"/>
              </w:rPr>
              <w:t>每提供</w:t>
            </w:r>
            <w:r>
              <w:rPr>
                <w:rFonts w:hint="eastAsia"/>
                <w:lang w:bidi="ar"/>
              </w:rPr>
              <w:t>以上</w:t>
            </w:r>
            <w:r>
              <w:rPr>
                <w:lang w:bidi="ar"/>
              </w:rPr>
              <w:t>1种证书得</w:t>
            </w:r>
            <w:r>
              <w:rPr>
                <w:rFonts w:hint="eastAsia"/>
                <w:lang w:bidi="ar"/>
              </w:rPr>
              <w:t>0.5</w:t>
            </w:r>
            <w:r>
              <w:rPr>
                <w:lang w:bidi="ar"/>
              </w:rPr>
              <w:t>分</w:t>
            </w:r>
            <w:r>
              <w:rPr>
                <w:rFonts w:hint="eastAsia"/>
                <w:lang w:bidi="ar"/>
              </w:rPr>
              <w:t>，</w:t>
            </w:r>
            <w:r>
              <w:rPr>
                <w:lang w:bidi="ar"/>
              </w:rPr>
              <w:t>本项最多得</w:t>
            </w:r>
            <w:r>
              <w:rPr>
                <w:rFonts w:hint="eastAsia"/>
                <w:lang w:bidi="ar"/>
              </w:rPr>
              <w:t>2</w:t>
            </w:r>
            <w:r>
              <w:rPr>
                <w:lang w:bidi="ar"/>
              </w:rPr>
              <w:t>分</w:t>
            </w:r>
            <w:r>
              <w:rPr>
                <w:rFonts w:hint="eastAsia"/>
                <w:lang w:bidi="ar"/>
              </w:rPr>
              <w:t>。</w:t>
            </w:r>
          </w:p>
          <w:p>
            <w:pPr>
              <w:widowControl/>
              <w:rPr>
                <w:color w:val="000000"/>
                <w:kern w:val="0"/>
                <w:szCs w:val="21"/>
              </w:rPr>
            </w:pPr>
            <w:r>
              <w:rPr>
                <w:szCs w:val="21"/>
              </w:rPr>
              <w:t>注</w:t>
            </w:r>
            <w:r>
              <w:rPr>
                <w:color w:val="000000"/>
                <w:kern w:val="0"/>
                <w:szCs w:val="21"/>
              </w:rPr>
              <w:t>：</w:t>
            </w:r>
            <w:r>
              <w:rPr>
                <w:lang w:bidi="ar"/>
              </w:rPr>
              <w:t>同一人证书不得重复</w:t>
            </w:r>
            <w:r>
              <w:rPr>
                <w:rFonts w:hint="eastAsia"/>
                <w:lang w:bidi="ar"/>
              </w:rPr>
              <w:t>计分。</w:t>
            </w:r>
          </w:p>
        </w:tc>
        <w:tc>
          <w:tcPr>
            <w:tcW w:w="0" w:type="auto"/>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2</w:t>
            </w:r>
          </w:p>
        </w:tc>
      </w:tr>
      <w:tr>
        <w:tblPrEx>
          <w:tblCellMar>
            <w:top w:w="0" w:type="dxa"/>
            <w:left w:w="108" w:type="dxa"/>
            <w:bottom w:w="0" w:type="dxa"/>
            <w:right w:w="108" w:type="dxa"/>
          </w:tblCellMar>
        </w:tblPrEx>
        <w:trPr>
          <w:trHeight w:val="810"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6395" w:type="dxa"/>
            <w:gridSpan w:val="2"/>
            <w:tcBorders>
              <w:top w:val="nil"/>
              <w:left w:val="nil"/>
              <w:bottom w:val="single" w:color="auto" w:sz="4" w:space="0"/>
              <w:right w:val="single" w:color="auto" w:sz="4" w:space="0"/>
            </w:tcBorders>
            <w:vAlign w:val="center"/>
          </w:tcPr>
          <w:p>
            <w:pPr>
              <w:widowControl/>
              <w:jc w:val="left"/>
              <w:rPr>
                <w:color w:val="000000"/>
                <w:kern w:val="0"/>
                <w:szCs w:val="21"/>
              </w:rPr>
            </w:pPr>
            <w:r>
              <w:rPr>
                <w:szCs w:val="21"/>
              </w:rPr>
              <w:t>注</w:t>
            </w:r>
            <w:r>
              <w:rPr>
                <w:color w:val="000000"/>
                <w:kern w:val="0"/>
                <w:szCs w:val="21"/>
              </w:rPr>
              <w:t>：上述人员必须均为投标人在职员工，需提供以上人员的</w:t>
            </w:r>
            <w:r>
              <w:rPr>
                <w:rFonts w:hint="eastAsia"/>
                <w:color w:val="000000"/>
                <w:kern w:val="0"/>
                <w:szCs w:val="21"/>
              </w:rPr>
              <w:t>近三个月内任意一个月</w:t>
            </w:r>
            <w:r>
              <w:rPr>
                <w:color w:val="000000"/>
                <w:kern w:val="0"/>
                <w:szCs w:val="21"/>
              </w:rPr>
              <w:t>社保缴纳证明及有关有效证书复印件。</w:t>
            </w:r>
          </w:p>
        </w:tc>
      </w:tr>
      <w:tr>
        <w:tblPrEx>
          <w:tblCellMar>
            <w:top w:w="0" w:type="dxa"/>
            <w:left w:w="108" w:type="dxa"/>
            <w:bottom w:w="0" w:type="dxa"/>
            <w:right w:w="108" w:type="dxa"/>
          </w:tblCellMar>
        </w:tblPrEx>
        <w:trPr>
          <w:trHeight w:val="1217"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restart"/>
            <w:tcBorders>
              <w:top w:val="nil"/>
              <w:left w:val="single" w:color="auto" w:sz="4" w:space="0"/>
              <w:right w:val="single" w:color="auto" w:sz="4" w:space="0"/>
            </w:tcBorders>
            <w:vAlign w:val="center"/>
          </w:tcPr>
          <w:p>
            <w:pPr>
              <w:rPr>
                <w:color w:val="000000"/>
                <w:kern w:val="0"/>
                <w:szCs w:val="21"/>
              </w:rPr>
            </w:pPr>
            <w:r>
              <w:rPr>
                <w:color w:val="000000"/>
                <w:kern w:val="0"/>
                <w:szCs w:val="21"/>
              </w:rPr>
              <w:t>系统演示（</w:t>
            </w:r>
            <w:r>
              <w:rPr>
                <w:szCs w:val="21"/>
              </w:rPr>
              <w:t>15</w:t>
            </w:r>
            <w:r>
              <w:rPr>
                <w:color w:val="000000"/>
                <w:kern w:val="0"/>
                <w:szCs w:val="21"/>
              </w:rPr>
              <w:t>分）</w:t>
            </w:r>
          </w:p>
        </w:tc>
        <w:tc>
          <w:tcPr>
            <w:tcW w:w="6395" w:type="dxa"/>
            <w:gridSpan w:val="2"/>
            <w:tcBorders>
              <w:top w:val="nil"/>
              <w:left w:val="nil"/>
              <w:bottom w:val="single" w:color="auto" w:sz="4" w:space="0"/>
              <w:right w:val="single" w:color="auto" w:sz="4" w:space="0"/>
            </w:tcBorders>
            <w:vAlign w:val="center"/>
          </w:tcPr>
          <w:p>
            <w:pPr>
              <w:rPr>
                <w:szCs w:val="21"/>
              </w:rPr>
            </w:pPr>
            <w:r>
              <w:rPr>
                <w:rFonts w:hint="eastAsia"/>
              </w:rPr>
              <w:t>根据各投标人演示情况</w:t>
            </w:r>
            <w:r>
              <w:t>完整性、功能模块的符合度、界面的友好性及操作性等进行综合评议</w:t>
            </w:r>
            <w:r>
              <w:rPr>
                <w:rFonts w:hint="eastAsia"/>
              </w:rPr>
              <w:t>。</w:t>
            </w:r>
          </w:p>
          <w:p>
            <w:pPr>
              <w:rPr>
                <w:color w:val="000000"/>
                <w:kern w:val="0"/>
                <w:szCs w:val="21"/>
              </w:rPr>
            </w:pPr>
            <w:r>
              <w:rPr>
                <w:szCs w:val="21"/>
              </w:rPr>
              <w:t>注</w:t>
            </w:r>
            <w:r>
              <w:rPr>
                <w:color w:val="000000"/>
                <w:kern w:val="0"/>
                <w:szCs w:val="21"/>
              </w:rPr>
              <w:t>：</w:t>
            </w:r>
            <w:r>
              <w:rPr>
                <w:rFonts w:hint="eastAsia"/>
                <w:color w:val="000000"/>
                <w:kern w:val="0"/>
                <w:szCs w:val="21"/>
              </w:rPr>
              <w:t>现场演示，演示时间不超过15分钟。</w:t>
            </w:r>
            <w:r>
              <w:rPr>
                <w:szCs w:val="21"/>
              </w:rPr>
              <w:t>以下演示内容涉及到的专有名词仅作功能描述，投标人可针对相对应的功能进行演示</w:t>
            </w:r>
            <w:r>
              <w:rPr>
                <w:rFonts w:hint="eastAsia"/>
                <w:szCs w:val="21"/>
              </w:rPr>
              <w:t>。</w:t>
            </w:r>
          </w:p>
        </w:tc>
      </w:tr>
      <w:tr>
        <w:tblPrEx>
          <w:tblCellMar>
            <w:top w:w="0" w:type="dxa"/>
            <w:left w:w="108" w:type="dxa"/>
            <w:bottom w:w="0" w:type="dxa"/>
            <w:right w:w="108" w:type="dxa"/>
          </w:tblCellMar>
        </w:tblPrEx>
        <w:trPr>
          <w:trHeight w:val="2255"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5549" w:type="dxa"/>
            <w:tcBorders>
              <w:top w:val="nil"/>
              <w:left w:val="nil"/>
              <w:bottom w:val="single" w:color="auto" w:sz="4" w:space="0"/>
              <w:right w:val="single" w:color="auto" w:sz="4" w:space="0"/>
            </w:tcBorders>
            <w:vAlign w:val="center"/>
          </w:tcPr>
          <w:p>
            <w:pPr>
              <w:widowControl/>
            </w:pPr>
            <w:r>
              <w:t>1、驾驶舱演示（3分）</w:t>
            </w:r>
          </w:p>
          <w:p>
            <w:pPr>
              <w:widowControl/>
            </w:pPr>
            <w:r>
              <w:t>演示“无废城市”驾驶舱，驾驶舱应包括无废指数、五大类固废监管情况、固废产处动态、社会共建等数据信息</w:t>
            </w:r>
            <w:r>
              <w:rPr>
                <w:rFonts w:hint="eastAsia"/>
              </w:rPr>
              <w:t>。</w:t>
            </w:r>
          </w:p>
          <w:p>
            <w:pPr>
              <w:widowControl/>
            </w:pPr>
            <w:r>
              <w:t>演示生活垃圾、建筑垃圾、农业废弃物、医疗废物二级页面点击穿透</w:t>
            </w:r>
            <w:r>
              <w:rPr>
                <w:rFonts w:hint="eastAsia"/>
              </w:rPr>
              <w:t>。</w:t>
            </w:r>
          </w:p>
          <w:p>
            <w:pPr>
              <w:widowControl/>
            </w:pPr>
            <w:r>
              <w:t>演示无废细胞展示页面，包括细胞创建情况、细胞类型、细胞清单、线上巡展、参观预约情况。</w:t>
            </w:r>
          </w:p>
          <w:p>
            <w:pPr>
              <w:pStyle w:val="2"/>
              <w:numPr>
                <w:ilvl w:val="0"/>
                <w:numId w:val="0"/>
              </w:numPr>
            </w:pPr>
            <w:r>
              <w:t>驾驶舱演示完整性</w:t>
            </w:r>
            <w:r>
              <w:rPr>
                <w:rFonts w:hint="eastAsia"/>
              </w:rPr>
              <w:t>非常高</w:t>
            </w:r>
            <w:r>
              <w:t>、功能模块的符合度</w:t>
            </w:r>
            <w:r>
              <w:rPr>
                <w:rFonts w:hint="eastAsia"/>
              </w:rPr>
              <w:t>非常高</w:t>
            </w:r>
            <w:r>
              <w:t>、界面的友好性及操作性</w:t>
            </w:r>
            <w:r>
              <w:rPr>
                <w:rFonts w:hint="eastAsia"/>
              </w:rPr>
              <w:t>非常好的得3分；</w:t>
            </w:r>
          </w:p>
          <w:p>
            <w:pPr>
              <w:pStyle w:val="2"/>
              <w:numPr>
                <w:ilvl w:val="0"/>
                <w:numId w:val="0"/>
              </w:numPr>
            </w:pPr>
            <w:r>
              <w:t>驾驶舱演示完整性</w:t>
            </w:r>
            <w:r>
              <w:rPr>
                <w:rFonts w:hint="eastAsia"/>
              </w:rPr>
              <w:t>较高</w:t>
            </w:r>
            <w:r>
              <w:t>、功能模块的符合度</w:t>
            </w:r>
            <w:r>
              <w:rPr>
                <w:rFonts w:hint="eastAsia"/>
              </w:rPr>
              <w:t>较高</w:t>
            </w:r>
            <w:r>
              <w:t>、界面的友好性及操作性</w:t>
            </w:r>
            <w:r>
              <w:rPr>
                <w:rFonts w:hint="eastAsia"/>
              </w:rPr>
              <w:t>较好的得</w:t>
            </w:r>
            <w:r>
              <w:t>2</w:t>
            </w:r>
            <w:r>
              <w:rPr>
                <w:rFonts w:hint="eastAsia"/>
              </w:rPr>
              <w:t>分；</w:t>
            </w:r>
          </w:p>
          <w:p>
            <w:pPr>
              <w:pStyle w:val="2"/>
              <w:numPr>
                <w:ilvl w:val="0"/>
                <w:numId w:val="0"/>
              </w:numPr>
            </w:pPr>
            <w:r>
              <w:t>驾驶舱演示完整性</w:t>
            </w:r>
            <w:r>
              <w:rPr>
                <w:rFonts w:hint="eastAsia"/>
              </w:rPr>
              <w:t>一般</w:t>
            </w:r>
            <w:r>
              <w:t>、功能模块的符合度</w:t>
            </w:r>
            <w:r>
              <w:rPr>
                <w:rFonts w:hint="eastAsia"/>
              </w:rPr>
              <w:t>一般</w:t>
            </w:r>
            <w:r>
              <w:t>、界面的友好性及操作性</w:t>
            </w:r>
            <w:r>
              <w:rPr>
                <w:rFonts w:hint="eastAsia"/>
              </w:rPr>
              <w:t>一般的得</w:t>
            </w:r>
            <w:r>
              <w:t>1</w:t>
            </w:r>
            <w:r>
              <w:rPr>
                <w:rFonts w:hint="eastAsia"/>
              </w:rPr>
              <w:t>分；</w:t>
            </w:r>
          </w:p>
          <w:p>
            <w:pPr>
              <w:pStyle w:val="2"/>
              <w:numPr>
                <w:ilvl w:val="0"/>
                <w:numId w:val="0"/>
              </w:numPr>
            </w:pPr>
            <w:r>
              <w:rPr>
                <w:rFonts w:hint="eastAsia"/>
              </w:rPr>
              <w:t>未提供演示的得0分。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3</w:t>
            </w:r>
          </w:p>
        </w:tc>
      </w:tr>
      <w:tr>
        <w:tblPrEx>
          <w:tblCellMar>
            <w:top w:w="0" w:type="dxa"/>
            <w:left w:w="108" w:type="dxa"/>
            <w:bottom w:w="0" w:type="dxa"/>
            <w:right w:w="108" w:type="dxa"/>
          </w:tblCellMar>
          <w:tblPrExChange w:id="1" w:author="铮 袁" w:date="2022-08-16T09:28:00Z">
            <w:tblPrEx>
              <w:tblCellMar>
                <w:top w:w="0" w:type="dxa"/>
                <w:left w:w="108" w:type="dxa"/>
                <w:bottom w:w="0" w:type="dxa"/>
                <w:right w:w="108" w:type="dxa"/>
              </w:tblCellMar>
            </w:tblPrEx>
          </w:tblPrExChange>
        </w:tblPrEx>
        <w:trPr>
          <w:trHeight w:val="1402" w:hRule="atLeast"/>
          <w:jc w:val="center"/>
          <w:trPrChange w:id="1" w:author="铮 袁" w:date="2022-08-16T09:28:00Z">
            <w:trPr>
              <w:trHeight w:val="2259" w:hRule="atLeast"/>
              <w:jc w:val="center"/>
            </w:trPr>
          </w:trPrChange>
        </w:trPr>
        <w:tc>
          <w:tcPr>
            <w:tcW w:w="804" w:type="dxa"/>
            <w:vMerge w:val="continue"/>
            <w:tcBorders>
              <w:left w:val="single" w:color="auto" w:sz="4" w:space="0"/>
              <w:right w:val="single" w:color="auto" w:sz="4" w:space="0"/>
            </w:tcBorders>
            <w:vAlign w:val="center"/>
            <w:tcPrChange w:id="2" w:author="铮 袁" w:date="2022-08-16T09:28:00Z">
              <w:tcPr>
                <w:tcW w:w="804" w:type="dxa"/>
                <w:vMerge w:val="continue"/>
                <w:tcBorders>
                  <w:left w:val="single" w:color="auto" w:sz="4" w:space="0"/>
                  <w:right w:val="single" w:color="auto" w:sz="4" w:space="0"/>
                </w:tcBorders>
                <w:vAlign w:val="center"/>
              </w:tcPr>
            </w:tcPrChange>
          </w:tcPr>
          <w:p>
            <w:pPr>
              <w:widowControl/>
              <w:jc w:val="center"/>
              <w:rPr>
                <w:color w:val="000000"/>
                <w:kern w:val="0"/>
                <w:szCs w:val="21"/>
              </w:rPr>
            </w:pPr>
          </w:p>
        </w:tc>
        <w:tc>
          <w:tcPr>
            <w:tcW w:w="1302" w:type="dxa"/>
            <w:vMerge w:val="continue"/>
            <w:tcBorders>
              <w:left w:val="single" w:color="auto" w:sz="4" w:space="0"/>
              <w:right w:val="single" w:color="auto" w:sz="4" w:space="0"/>
            </w:tcBorders>
            <w:vAlign w:val="center"/>
            <w:tcPrChange w:id="3" w:author="铮 袁" w:date="2022-08-16T09:28:00Z">
              <w:tcPr>
                <w:tcW w:w="1302" w:type="dxa"/>
                <w:vMerge w:val="continue"/>
                <w:tcBorders>
                  <w:left w:val="single" w:color="auto" w:sz="4" w:space="0"/>
                  <w:right w:val="single" w:color="auto" w:sz="4" w:space="0"/>
                </w:tcBorders>
                <w:vAlign w:val="center"/>
              </w:tcPr>
            </w:tcPrChange>
          </w:tcPr>
          <w:p>
            <w:pPr>
              <w:widowControl/>
              <w:jc w:val="left"/>
              <w:rPr>
                <w:color w:val="000000"/>
                <w:kern w:val="0"/>
                <w:szCs w:val="21"/>
              </w:rPr>
            </w:pPr>
          </w:p>
        </w:tc>
        <w:tc>
          <w:tcPr>
            <w:tcW w:w="5549" w:type="dxa"/>
            <w:tcBorders>
              <w:top w:val="nil"/>
              <w:left w:val="nil"/>
              <w:bottom w:val="single" w:color="auto" w:sz="4" w:space="0"/>
              <w:right w:val="single" w:color="auto" w:sz="4" w:space="0"/>
            </w:tcBorders>
            <w:vAlign w:val="center"/>
            <w:tcPrChange w:id="4" w:author="铮 袁" w:date="2022-08-16T09:28:00Z">
              <w:tcPr>
                <w:tcW w:w="5549" w:type="dxa"/>
                <w:tcBorders>
                  <w:top w:val="nil"/>
                  <w:left w:val="nil"/>
                  <w:bottom w:val="single" w:color="auto" w:sz="4" w:space="0"/>
                  <w:right w:val="single" w:color="auto" w:sz="4" w:space="0"/>
                </w:tcBorders>
                <w:vAlign w:val="center"/>
              </w:tcPr>
            </w:tcPrChange>
          </w:tcPr>
          <w:p>
            <w:pPr>
              <w:widowControl/>
            </w:pPr>
            <w:r>
              <w:t>2、涉疫废物演示（4分）</w:t>
            </w:r>
          </w:p>
          <w:p>
            <w:pPr>
              <w:widowControl/>
            </w:pPr>
            <w:r>
              <w:t>演示涉疫废物产生源基础信息</w:t>
            </w:r>
            <w:r>
              <w:rPr>
                <w:rFonts w:hint="eastAsia"/>
              </w:rPr>
              <w:t>管理</w:t>
            </w:r>
            <w:r>
              <w:t>功能，包括集中隔离点、核酸监测点位、港口等</w:t>
            </w:r>
            <w:r>
              <w:rPr>
                <w:rFonts w:hint="eastAsia"/>
              </w:rPr>
              <w:t>。</w:t>
            </w:r>
          </w:p>
          <w:p>
            <w:pPr>
              <w:widowControl/>
            </w:pPr>
            <w:r>
              <w:t>以隔离点为例，</w:t>
            </w:r>
            <w:r>
              <w:rPr>
                <w:rFonts w:hint="eastAsia"/>
              </w:rPr>
              <w:t>演示</w:t>
            </w:r>
            <w:r>
              <w:t>涉疫废物产生台账录入功能</w:t>
            </w:r>
            <w:r>
              <w:rPr>
                <w:rFonts w:hint="eastAsia"/>
              </w:rPr>
              <w:t>。</w:t>
            </w:r>
          </w:p>
          <w:p>
            <w:pPr>
              <w:widowControl/>
            </w:pPr>
            <w:r>
              <w:t>演示联单追溯功能，包括产生、运输、处置单位信息和转移明细</w:t>
            </w:r>
            <w:r>
              <w:rPr>
                <w:rFonts w:hint="eastAsia"/>
              </w:rPr>
              <w:t>。</w:t>
            </w:r>
          </w:p>
          <w:p>
            <w:pPr>
              <w:widowControl/>
            </w:pPr>
            <w:r>
              <w:t>演示运输车辆监管功能，包括车辆轨迹信息、车辆收运量与地磅称重量差值比对</w:t>
            </w:r>
            <w:r>
              <w:rPr>
                <w:rFonts w:hint="eastAsia"/>
              </w:rPr>
              <w:t>。</w:t>
            </w:r>
          </w:p>
          <w:p>
            <w:pPr>
              <w:pStyle w:val="2"/>
              <w:numPr>
                <w:ilvl w:val="0"/>
                <w:numId w:val="0"/>
              </w:numPr>
            </w:pPr>
            <w:r>
              <w:t>涉疫废物演示完整性</w:t>
            </w:r>
            <w:r>
              <w:rPr>
                <w:rFonts w:hint="eastAsia"/>
              </w:rPr>
              <w:t>非常高</w:t>
            </w:r>
            <w:r>
              <w:t>、功能模块的符合度</w:t>
            </w:r>
            <w:r>
              <w:rPr>
                <w:rFonts w:hint="eastAsia"/>
              </w:rPr>
              <w:t>非常高</w:t>
            </w:r>
            <w:r>
              <w:t>、界面的友好性及操作性</w:t>
            </w:r>
            <w:r>
              <w:rPr>
                <w:rFonts w:hint="eastAsia"/>
              </w:rPr>
              <w:t>非常好的得</w:t>
            </w:r>
            <w:r>
              <w:t>4</w:t>
            </w:r>
            <w:r>
              <w:rPr>
                <w:rFonts w:hint="eastAsia"/>
              </w:rPr>
              <w:t>分；</w:t>
            </w:r>
          </w:p>
          <w:p>
            <w:pPr>
              <w:pStyle w:val="2"/>
              <w:numPr>
                <w:ilvl w:val="0"/>
                <w:numId w:val="0"/>
              </w:numPr>
            </w:pPr>
            <w:r>
              <w:t>涉疫废物演示完整性</w:t>
            </w:r>
            <w:r>
              <w:rPr>
                <w:rFonts w:hint="eastAsia"/>
              </w:rPr>
              <w:t>较高</w:t>
            </w:r>
            <w:r>
              <w:t>、功能模块的符合度</w:t>
            </w:r>
            <w:r>
              <w:rPr>
                <w:rFonts w:hint="eastAsia"/>
              </w:rPr>
              <w:t>较高</w:t>
            </w:r>
            <w:r>
              <w:t>、界面的友好性及操作性</w:t>
            </w:r>
            <w:r>
              <w:rPr>
                <w:rFonts w:hint="eastAsia"/>
              </w:rPr>
              <w:t>较好的得2分；</w:t>
            </w:r>
          </w:p>
          <w:p>
            <w:pPr>
              <w:pStyle w:val="2"/>
              <w:numPr>
                <w:ilvl w:val="0"/>
                <w:numId w:val="0"/>
              </w:numPr>
            </w:pPr>
            <w:r>
              <w:t>涉疫废物演示完整性</w:t>
            </w:r>
            <w:r>
              <w:rPr>
                <w:rFonts w:hint="eastAsia"/>
              </w:rPr>
              <w:t>一般</w:t>
            </w:r>
            <w:r>
              <w:t>、功能模块的符合度</w:t>
            </w:r>
            <w:r>
              <w:rPr>
                <w:rFonts w:hint="eastAsia"/>
              </w:rPr>
              <w:t>一般</w:t>
            </w:r>
            <w:r>
              <w:t>、界面的友好性及操作性</w:t>
            </w:r>
            <w:r>
              <w:rPr>
                <w:rFonts w:hint="eastAsia"/>
              </w:rPr>
              <w:t>一般的得</w:t>
            </w:r>
            <w:r>
              <w:t>1</w:t>
            </w:r>
            <w:r>
              <w:rPr>
                <w:rFonts w:hint="eastAsia"/>
              </w:rPr>
              <w:t>分；</w:t>
            </w:r>
          </w:p>
          <w:p>
            <w:pPr>
              <w:pStyle w:val="2"/>
              <w:numPr>
                <w:ilvl w:val="0"/>
                <w:numId w:val="0"/>
              </w:numPr>
            </w:pPr>
            <w:r>
              <w:rPr>
                <w:rFonts w:hint="eastAsia"/>
              </w:rPr>
              <w:t>未提供演示的得0分。</w:t>
            </w:r>
          </w:p>
        </w:tc>
        <w:tc>
          <w:tcPr>
            <w:tcW w:w="0" w:type="auto"/>
            <w:tcBorders>
              <w:top w:val="single" w:color="auto" w:sz="4" w:space="0"/>
              <w:left w:val="single" w:color="auto" w:sz="4" w:space="0"/>
              <w:bottom w:val="single" w:color="auto" w:sz="4" w:space="0"/>
              <w:right w:val="single" w:color="auto" w:sz="4" w:space="0"/>
            </w:tcBorders>
            <w:vAlign w:val="center"/>
            <w:tcPrChange w:id="5" w:author="铮 袁" w:date="2022-08-16T09:28:00Z">
              <w:tcPr>
                <w:tcW w:w="0" w:type="auto"/>
                <w:tcBorders>
                  <w:top w:val="single" w:color="auto" w:sz="4" w:space="0"/>
                  <w:left w:val="single" w:color="auto" w:sz="4" w:space="0"/>
                  <w:bottom w:val="single" w:color="auto" w:sz="4" w:space="0"/>
                  <w:right w:val="single" w:color="auto" w:sz="4" w:space="0"/>
                </w:tcBorders>
                <w:vAlign w:val="center"/>
              </w:tcPr>
            </w:tcPrChange>
          </w:tcPr>
          <w:p>
            <w:pPr>
              <w:widowControl/>
              <w:jc w:val="center"/>
              <w:rPr>
                <w:color w:val="000000"/>
                <w:kern w:val="0"/>
                <w:szCs w:val="21"/>
              </w:rPr>
            </w:pPr>
            <w:r>
              <w:rPr>
                <w:color w:val="000000"/>
                <w:kern w:val="0"/>
                <w:szCs w:val="21"/>
              </w:rPr>
              <w:t>4</w:t>
            </w:r>
          </w:p>
        </w:tc>
      </w:tr>
      <w:tr>
        <w:tblPrEx>
          <w:tblCellMar>
            <w:top w:w="0" w:type="dxa"/>
            <w:left w:w="108" w:type="dxa"/>
            <w:bottom w:w="0" w:type="dxa"/>
            <w:right w:w="108" w:type="dxa"/>
          </w:tblCellMar>
        </w:tblPrEx>
        <w:trPr>
          <w:trHeight w:val="2114"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left w:val="single" w:color="auto" w:sz="4" w:space="0"/>
              <w:right w:val="single" w:color="auto" w:sz="4" w:space="0"/>
            </w:tcBorders>
            <w:vAlign w:val="center"/>
          </w:tcPr>
          <w:p>
            <w:pPr>
              <w:widowControl/>
              <w:jc w:val="left"/>
              <w:rPr>
                <w:color w:val="000000"/>
                <w:kern w:val="0"/>
                <w:szCs w:val="21"/>
              </w:rPr>
            </w:pPr>
          </w:p>
        </w:tc>
        <w:tc>
          <w:tcPr>
            <w:tcW w:w="5549" w:type="dxa"/>
            <w:tcBorders>
              <w:top w:val="nil"/>
              <w:left w:val="nil"/>
              <w:bottom w:val="single" w:color="auto" w:sz="4" w:space="0"/>
              <w:right w:val="single" w:color="auto" w:sz="4" w:space="0"/>
            </w:tcBorders>
            <w:vAlign w:val="center"/>
          </w:tcPr>
          <w:p>
            <w:pPr>
              <w:widowControl/>
            </w:pPr>
            <w:r>
              <w:t>3、多源数据分析演示（4分）</w:t>
            </w:r>
          </w:p>
          <w:p>
            <w:pPr>
              <w:widowControl/>
            </w:pPr>
            <w:r>
              <w:t>演示新增行业模型配置功能，包含模型类型、固废类型、外部数据、经验系数</w:t>
            </w:r>
            <w:r>
              <w:rPr>
                <w:rFonts w:hint="eastAsia"/>
              </w:rPr>
              <w:t>等。</w:t>
            </w:r>
          </w:p>
          <w:p>
            <w:pPr>
              <w:widowControl/>
            </w:pPr>
            <w:r>
              <w:t>演示可选择特定行业，以可视化形式展示相关企业固废产量、外部数据、固废实际产废系数</w:t>
            </w:r>
            <w:r>
              <w:rPr>
                <w:rFonts w:hint="eastAsia"/>
              </w:rPr>
              <w:t>等信息，提供与经验系数比对</w:t>
            </w:r>
            <w:r>
              <w:t>的数据分析功能</w:t>
            </w:r>
            <w:r>
              <w:rPr>
                <w:rFonts w:hint="eastAsia"/>
              </w:rPr>
              <w:t>。</w:t>
            </w:r>
          </w:p>
          <w:p>
            <w:pPr>
              <w:widowControl/>
            </w:pPr>
            <w:r>
              <w:t>演示同行业对标分析功能；演示异常数据筛选功能。</w:t>
            </w:r>
          </w:p>
          <w:p>
            <w:pPr>
              <w:pStyle w:val="2"/>
              <w:numPr>
                <w:ilvl w:val="0"/>
                <w:numId w:val="0"/>
              </w:numPr>
            </w:pPr>
            <w:r>
              <w:t>多源数据分析演示完整性</w:t>
            </w:r>
            <w:r>
              <w:rPr>
                <w:rFonts w:hint="eastAsia"/>
              </w:rPr>
              <w:t>非常高</w:t>
            </w:r>
            <w:r>
              <w:t>、功能模块的符合度</w:t>
            </w:r>
            <w:r>
              <w:rPr>
                <w:rFonts w:hint="eastAsia"/>
              </w:rPr>
              <w:t>非常高</w:t>
            </w:r>
            <w:r>
              <w:t>、界面的友好性及操作性</w:t>
            </w:r>
            <w:r>
              <w:rPr>
                <w:rFonts w:hint="eastAsia"/>
              </w:rPr>
              <w:t>非常好的得</w:t>
            </w:r>
            <w:r>
              <w:t>4</w:t>
            </w:r>
            <w:r>
              <w:rPr>
                <w:rFonts w:hint="eastAsia"/>
              </w:rPr>
              <w:t>分；</w:t>
            </w:r>
          </w:p>
          <w:p>
            <w:pPr>
              <w:pStyle w:val="2"/>
              <w:numPr>
                <w:ilvl w:val="0"/>
                <w:numId w:val="0"/>
              </w:numPr>
            </w:pPr>
            <w:r>
              <w:t>多源数据分析演示完整性</w:t>
            </w:r>
            <w:r>
              <w:rPr>
                <w:rFonts w:hint="eastAsia"/>
              </w:rPr>
              <w:t>较高</w:t>
            </w:r>
            <w:r>
              <w:t>、功能模块的符合度</w:t>
            </w:r>
            <w:r>
              <w:rPr>
                <w:rFonts w:hint="eastAsia"/>
              </w:rPr>
              <w:t>较高</w:t>
            </w:r>
            <w:r>
              <w:t>、界面的友好性及操作性</w:t>
            </w:r>
            <w:r>
              <w:rPr>
                <w:rFonts w:hint="eastAsia"/>
              </w:rPr>
              <w:t>较好的得2分；</w:t>
            </w:r>
          </w:p>
          <w:p>
            <w:pPr>
              <w:pStyle w:val="2"/>
              <w:numPr>
                <w:ilvl w:val="0"/>
                <w:numId w:val="0"/>
              </w:numPr>
            </w:pPr>
            <w:r>
              <w:t>多源数据分析演示完整性</w:t>
            </w:r>
            <w:r>
              <w:rPr>
                <w:rFonts w:hint="eastAsia"/>
              </w:rPr>
              <w:t>一般</w:t>
            </w:r>
            <w:r>
              <w:t>、功能模块的符合度</w:t>
            </w:r>
            <w:r>
              <w:rPr>
                <w:rFonts w:hint="eastAsia"/>
              </w:rPr>
              <w:t>一般</w:t>
            </w:r>
            <w:r>
              <w:t>、界面的友好性及操作性</w:t>
            </w:r>
            <w:r>
              <w:rPr>
                <w:rFonts w:hint="eastAsia"/>
              </w:rPr>
              <w:t>一般的得</w:t>
            </w:r>
            <w:r>
              <w:t>1</w:t>
            </w:r>
            <w:r>
              <w:rPr>
                <w:rFonts w:hint="eastAsia"/>
              </w:rPr>
              <w:t>分；</w:t>
            </w:r>
          </w:p>
          <w:p>
            <w:pPr>
              <w:pStyle w:val="2"/>
              <w:numPr>
                <w:ilvl w:val="0"/>
                <w:numId w:val="0"/>
              </w:numPr>
            </w:pPr>
            <w:r>
              <w:rPr>
                <w:rFonts w:hint="eastAsia"/>
              </w:rPr>
              <w:t>未提供演示的得0分。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4</w:t>
            </w:r>
          </w:p>
        </w:tc>
      </w:tr>
      <w:tr>
        <w:tblPrEx>
          <w:tblCellMar>
            <w:top w:w="0" w:type="dxa"/>
            <w:left w:w="108" w:type="dxa"/>
            <w:bottom w:w="0" w:type="dxa"/>
            <w:right w:w="108" w:type="dxa"/>
          </w:tblCellMar>
        </w:tblPrEx>
        <w:trPr>
          <w:trHeight w:val="2258" w:hRule="atLeast"/>
          <w:jc w:val="center"/>
        </w:trPr>
        <w:tc>
          <w:tcPr>
            <w:tcW w:w="804" w:type="dxa"/>
            <w:vMerge w:val="continue"/>
            <w:tcBorders>
              <w:left w:val="single" w:color="auto" w:sz="4" w:space="0"/>
              <w:right w:val="single" w:color="auto" w:sz="4" w:space="0"/>
            </w:tcBorders>
            <w:vAlign w:val="center"/>
          </w:tcPr>
          <w:p>
            <w:pPr>
              <w:widowControl/>
              <w:jc w:val="center"/>
              <w:rPr>
                <w:color w:val="000000"/>
                <w:kern w:val="0"/>
                <w:szCs w:val="21"/>
              </w:rPr>
            </w:pPr>
          </w:p>
        </w:tc>
        <w:tc>
          <w:tcPr>
            <w:tcW w:w="1302" w:type="dxa"/>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5549" w:type="dxa"/>
            <w:tcBorders>
              <w:top w:val="nil"/>
              <w:left w:val="nil"/>
              <w:right w:val="single" w:color="auto" w:sz="4" w:space="0"/>
            </w:tcBorders>
            <w:vAlign w:val="center"/>
          </w:tcPr>
          <w:p>
            <w:pPr>
              <w:widowControl/>
            </w:pPr>
            <w:r>
              <w:rPr>
                <w:rFonts w:hint="eastAsia"/>
              </w:rPr>
              <w:t>4、一般工业固废电子台账功能演示（4分）</w:t>
            </w:r>
          </w:p>
          <w:p>
            <w:pPr>
              <w:widowControl/>
            </w:pPr>
            <w:r>
              <w:rPr>
                <w:rFonts w:hint="eastAsia"/>
              </w:rPr>
              <w:t>演示企业首次使用系统初始化操作，包括固废历史产生情况、流向基本情况的填报。</w:t>
            </w:r>
          </w:p>
          <w:p>
            <w:pPr>
              <w:widowControl/>
            </w:pPr>
            <w:r>
              <w:rPr>
                <w:rFonts w:hint="eastAsia"/>
              </w:rPr>
              <w:t>演示企业申报一般工业固废台账功能，包括固废产生登记、利用登记、处置登记和台账修改功能。</w:t>
            </w:r>
          </w:p>
          <w:p>
            <w:pPr>
              <w:widowControl/>
            </w:pPr>
            <w:r>
              <w:rPr>
                <w:rFonts w:hint="eastAsia"/>
              </w:rPr>
              <w:t>演示《一般工业固废产生清单》、《一般工业固废流向汇总表》、《一般工业固废出厂环节记录表》三张表单自动生成与查看功能。</w:t>
            </w:r>
          </w:p>
          <w:p>
            <w:pPr>
              <w:pStyle w:val="2"/>
              <w:numPr>
                <w:ilvl w:val="0"/>
                <w:numId w:val="0"/>
              </w:numPr>
            </w:pPr>
            <w:r>
              <w:rPr>
                <w:rFonts w:hint="eastAsia"/>
              </w:rPr>
              <w:t>一般工业固废电子台账功能演示</w:t>
            </w:r>
            <w:r>
              <w:t>完整性</w:t>
            </w:r>
            <w:r>
              <w:rPr>
                <w:rFonts w:hint="eastAsia"/>
              </w:rPr>
              <w:t>非常高</w:t>
            </w:r>
            <w:r>
              <w:t>、功能模块的符合度</w:t>
            </w:r>
            <w:r>
              <w:rPr>
                <w:rFonts w:hint="eastAsia"/>
              </w:rPr>
              <w:t>非常高</w:t>
            </w:r>
            <w:r>
              <w:t>、界面的友好性及操作性</w:t>
            </w:r>
            <w:r>
              <w:rPr>
                <w:rFonts w:hint="eastAsia"/>
              </w:rPr>
              <w:t>非常好的得</w:t>
            </w:r>
            <w:r>
              <w:t>4</w:t>
            </w:r>
            <w:r>
              <w:rPr>
                <w:rFonts w:hint="eastAsia"/>
              </w:rPr>
              <w:t>分；</w:t>
            </w:r>
          </w:p>
          <w:p>
            <w:pPr>
              <w:pStyle w:val="2"/>
              <w:numPr>
                <w:ilvl w:val="0"/>
                <w:numId w:val="0"/>
              </w:numPr>
            </w:pPr>
            <w:r>
              <w:rPr>
                <w:rFonts w:hint="eastAsia"/>
              </w:rPr>
              <w:t>一般工业固废电子台账功能演示</w:t>
            </w:r>
            <w:r>
              <w:t>完整性</w:t>
            </w:r>
            <w:r>
              <w:rPr>
                <w:rFonts w:hint="eastAsia"/>
              </w:rPr>
              <w:t>较高</w:t>
            </w:r>
            <w:r>
              <w:t>、功能模块的符合度</w:t>
            </w:r>
            <w:r>
              <w:rPr>
                <w:rFonts w:hint="eastAsia"/>
              </w:rPr>
              <w:t>较高</w:t>
            </w:r>
            <w:r>
              <w:t>、界面的友好性及操作性</w:t>
            </w:r>
            <w:r>
              <w:rPr>
                <w:rFonts w:hint="eastAsia"/>
              </w:rPr>
              <w:t>较好的得2分；</w:t>
            </w:r>
          </w:p>
          <w:p>
            <w:pPr>
              <w:pStyle w:val="2"/>
              <w:numPr>
                <w:ilvl w:val="0"/>
                <w:numId w:val="0"/>
              </w:numPr>
            </w:pPr>
            <w:r>
              <w:rPr>
                <w:rFonts w:hint="eastAsia"/>
              </w:rPr>
              <w:t>一般工业固废电子台账功能演示</w:t>
            </w:r>
            <w:r>
              <w:t>完整性</w:t>
            </w:r>
            <w:r>
              <w:rPr>
                <w:rFonts w:hint="eastAsia"/>
              </w:rPr>
              <w:t>一般</w:t>
            </w:r>
            <w:r>
              <w:t>、功能模块的符合度</w:t>
            </w:r>
            <w:r>
              <w:rPr>
                <w:rFonts w:hint="eastAsia"/>
              </w:rPr>
              <w:t>一般</w:t>
            </w:r>
            <w:r>
              <w:t>、界面的友好性及操作性</w:t>
            </w:r>
            <w:r>
              <w:rPr>
                <w:rFonts w:hint="eastAsia"/>
              </w:rPr>
              <w:t>一般的得</w:t>
            </w:r>
            <w:r>
              <w:t>1</w:t>
            </w:r>
            <w:r>
              <w:rPr>
                <w:rFonts w:hint="eastAsia"/>
              </w:rPr>
              <w:t>分；</w:t>
            </w:r>
          </w:p>
          <w:p>
            <w:pPr>
              <w:pStyle w:val="2"/>
              <w:numPr>
                <w:ilvl w:val="0"/>
                <w:numId w:val="0"/>
              </w:numPr>
            </w:pPr>
            <w:r>
              <w:rPr>
                <w:rFonts w:hint="eastAsia"/>
              </w:rPr>
              <w:t>未提供演示的得0分。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4</w:t>
            </w:r>
          </w:p>
        </w:tc>
      </w:tr>
      <w:bookmarkEnd w:id="535"/>
      <w:tr>
        <w:tblPrEx>
          <w:tblCellMar>
            <w:top w:w="0" w:type="dxa"/>
            <w:left w:w="108" w:type="dxa"/>
            <w:bottom w:w="0" w:type="dxa"/>
            <w:right w:w="108" w:type="dxa"/>
          </w:tblCellMar>
        </w:tblPrEx>
        <w:trPr>
          <w:cantSplit/>
          <w:trHeight w:val="2954" w:hRule="atLeast"/>
          <w:jc w:val="center"/>
        </w:trPr>
        <w:tc>
          <w:tcPr>
            <w:tcW w:w="0" w:type="auto"/>
            <w:gridSpan w:val="2"/>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sz w:val="24"/>
              </w:rPr>
            </w:pPr>
            <w:r>
              <w:rPr>
                <w:bCs/>
                <w:sz w:val="24"/>
              </w:rPr>
              <w:t>价格得分</w:t>
            </w:r>
            <w:r>
              <w:rPr>
                <w:rFonts w:hint="eastAsia"/>
                <w:bCs/>
                <w:sz w:val="24"/>
              </w:rPr>
              <w:t>（10</w:t>
            </w:r>
            <w:r>
              <w:rPr>
                <w:bCs/>
                <w:sz w:val="24"/>
              </w:rPr>
              <w:t>分</w:t>
            </w:r>
            <w:r>
              <w:rPr>
                <w:rFonts w:hint="eastAsia"/>
                <w:bCs/>
                <w:sz w:val="24"/>
              </w:rPr>
              <w:t>）</w:t>
            </w:r>
          </w:p>
        </w:tc>
        <w:tc>
          <w:tcPr>
            <w:tcW w:w="5549" w:type="dxa"/>
            <w:tcBorders>
              <w:top w:val="single" w:color="auto" w:sz="4" w:space="0"/>
              <w:left w:val="single" w:color="auto" w:sz="4" w:space="0"/>
              <w:bottom w:val="single" w:color="auto" w:sz="4" w:space="0"/>
              <w:right w:val="single" w:color="auto" w:sz="4" w:space="0"/>
            </w:tcBorders>
            <w:vAlign w:val="center"/>
          </w:tcPr>
          <w:p>
            <w:pPr>
              <w:tabs>
                <w:tab w:val="left" w:pos="0"/>
              </w:tabs>
              <w:contextualSpacing/>
              <w:rPr>
                <w:bCs/>
              </w:rPr>
            </w:pPr>
            <w:r>
              <w:rPr>
                <w:bCs/>
              </w:rPr>
              <w:t>评标基准价指的是满足招标文件要求且最低的参与评审的价格。</w:t>
            </w:r>
          </w:p>
          <w:p>
            <w:pPr>
              <w:tabs>
                <w:tab w:val="left" w:pos="0"/>
              </w:tabs>
              <w:contextualSpacing/>
              <w:rPr>
                <w:bCs/>
              </w:rPr>
            </w:pPr>
            <w:r>
              <w:rPr>
                <w:bCs/>
              </w:rPr>
              <w:t>参与评审的价格=投标报价-小微企业价格扣除优惠值20%（如有）。</w:t>
            </w:r>
          </w:p>
          <w:p>
            <w:pPr>
              <w:tabs>
                <w:tab w:val="left" w:pos="0"/>
              </w:tabs>
              <w:contextualSpacing/>
              <w:rPr>
                <w:bCs/>
              </w:rPr>
            </w:pPr>
            <w:r>
              <w:rPr>
                <w:bCs/>
              </w:rPr>
              <w:t>参与评审的价格为评标基准价的其价格得分得满分10分。</w:t>
            </w:r>
          </w:p>
          <w:p>
            <w:pPr>
              <w:tabs>
                <w:tab w:val="left" w:pos="0"/>
              </w:tabs>
              <w:contextualSpacing/>
              <w:rPr>
                <w:bCs/>
              </w:rPr>
            </w:pPr>
            <w:r>
              <w:rPr>
                <w:bCs/>
              </w:rPr>
              <w:t>其他投标人价格得分按照下列公式计算：</w:t>
            </w:r>
          </w:p>
          <w:p>
            <w:pPr>
              <w:tabs>
                <w:tab w:val="left" w:pos="0"/>
              </w:tabs>
              <w:contextualSpacing/>
              <w:rPr>
                <w:bCs/>
              </w:rPr>
            </w:pPr>
            <w:r>
              <w:rPr>
                <w:bCs/>
              </w:rPr>
              <w:t>价格得分=（评标基准价/各投标人参与评审的价格）×10％×100。</w:t>
            </w:r>
          </w:p>
          <w:p>
            <w:pPr>
              <w:tabs>
                <w:tab w:val="left" w:pos="0"/>
              </w:tabs>
              <w:contextualSpacing/>
              <w:rPr>
                <w:b/>
                <w:bCs/>
              </w:rPr>
            </w:pPr>
            <w:r>
              <w:rPr>
                <w:b/>
              </w:rPr>
              <w:t>注：价格得分小数点后保留2位小数，第3位小数四舍五入。</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10</w:t>
            </w:r>
          </w:p>
        </w:tc>
      </w:tr>
      <w:tr>
        <w:tblPrEx>
          <w:tblCellMar>
            <w:top w:w="0" w:type="dxa"/>
            <w:left w:w="108" w:type="dxa"/>
            <w:bottom w:w="0" w:type="dxa"/>
            <w:right w:w="108" w:type="dxa"/>
          </w:tblCellMar>
        </w:tblPrEx>
        <w:trPr>
          <w:trHeight w:val="644" w:hRule="atLeast"/>
          <w:jc w:val="center"/>
        </w:trPr>
        <w:tc>
          <w:tcPr>
            <w:tcW w:w="765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b/>
              </w:rPr>
            </w:pPr>
            <w:r>
              <w:rPr>
                <w:b/>
              </w:rPr>
              <w:t>总分</w:t>
            </w:r>
          </w:p>
        </w:tc>
        <w:tc>
          <w:tcPr>
            <w:tcW w:w="0" w:type="auto"/>
            <w:tcBorders>
              <w:top w:val="single" w:color="auto" w:sz="4" w:space="0"/>
              <w:left w:val="nil"/>
              <w:bottom w:val="single" w:color="auto" w:sz="4" w:space="0"/>
              <w:right w:val="single" w:color="auto" w:sz="4" w:space="0"/>
            </w:tcBorders>
            <w:vAlign w:val="center"/>
          </w:tcPr>
          <w:p>
            <w:pPr>
              <w:widowControl/>
              <w:jc w:val="center"/>
              <w:rPr>
                <w:b/>
              </w:rPr>
            </w:pPr>
            <w:r>
              <w:rPr>
                <w:b/>
              </w:rPr>
              <w:t>100</w:t>
            </w:r>
          </w:p>
        </w:tc>
      </w:tr>
    </w:tbl>
    <w:p>
      <w:pPr>
        <w:tabs>
          <w:tab w:val="left" w:pos="5474"/>
        </w:tabs>
        <w:rPr>
          <w:b/>
          <w:color w:val="000000"/>
          <w:sz w:val="24"/>
          <w:szCs w:val="21"/>
        </w:rPr>
      </w:pPr>
      <w:r>
        <w:rPr>
          <w:color w:val="000000"/>
          <w:szCs w:val="21"/>
        </w:rPr>
        <w:br w:type="page"/>
      </w:r>
    </w:p>
    <w:p>
      <w:pPr>
        <w:pStyle w:val="3"/>
        <w:numPr>
          <w:ilvl w:val="0"/>
          <w:numId w:val="10"/>
        </w:numPr>
        <w:spacing w:before="0" w:after="0" w:line="360" w:lineRule="auto"/>
        <w:ind w:left="1134"/>
        <w:jc w:val="center"/>
        <w:rPr>
          <w:rFonts w:ascii="Times New Roman" w:hAnsi="Times New Roman"/>
          <w:color w:val="000000"/>
        </w:rPr>
      </w:pPr>
      <w:bookmarkStart w:id="536" w:name="_Toc460857944"/>
      <w:bookmarkStart w:id="537" w:name="_Toc109989395"/>
      <w:bookmarkStart w:id="538" w:name="_Toc17707963"/>
      <w:r>
        <w:rPr>
          <w:rFonts w:ascii="Times New Roman" w:hAnsi="Times New Roman"/>
          <w:color w:val="000000"/>
        </w:rPr>
        <w:t>合同主要条款</w:t>
      </w:r>
      <w:bookmarkEnd w:id="536"/>
      <w:bookmarkEnd w:id="537"/>
      <w:bookmarkEnd w:id="538"/>
    </w:p>
    <w:p>
      <w:pPr>
        <w:spacing w:line="360" w:lineRule="auto"/>
        <w:rPr>
          <w:rFonts w:ascii="宋体" w:hAnsi="宋体" w:cs="宋体"/>
          <w:b/>
          <w:bCs/>
          <w:kern w:val="0"/>
          <w:sz w:val="22"/>
          <w:szCs w:val="22"/>
        </w:rPr>
      </w:pPr>
      <w:bookmarkStart w:id="539" w:name="_Toc460857945"/>
      <w:bookmarkStart w:id="540" w:name="_Toc460857947"/>
      <w:r>
        <w:rPr>
          <w:rFonts w:hint="eastAsia" w:ascii="宋体" w:hAnsi="宋体" w:cs="宋体"/>
          <w:b/>
          <w:bCs/>
          <w:kern w:val="0"/>
          <w:sz w:val="22"/>
          <w:szCs w:val="22"/>
        </w:rPr>
        <w:t>甲方：宁波市生态环境局</w:t>
      </w:r>
    </w:p>
    <w:p>
      <w:pPr>
        <w:spacing w:line="360" w:lineRule="auto"/>
        <w:rPr>
          <w:rFonts w:ascii="宋体"/>
          <w:kern w:val="0"/>
          <w:sz w:val="24"/>
        </w:rPr>
      </w:pPr>
      <w:r>
        <w:rPr>
          <w:rFonts w:hint="eastAsia" w:ascii="宋体" w:hAnsi="宋体" w:cs="宋体"/>
          <w:b/>
          <w:bCs/>
          <w:kern w:val="0"/>
          <w:sz w:val="22"/>
          <w:szCs w:val="22"/>
        </w:rPr>
        <w:t>乙方：</w:t>
      </w:r>
    </w:p>
    <w:p>
      <w:pPr>
        <w:spacing w:line="360" w:lineRule="auto"/>
        <w:ind w:firstLine="420"/>
      </w:pPr>
      <w:r>
        <w:rPr>
          <w:rFonts w:hint="eastAsia"/>
        </w:rPr>
        <w:t>根据</w:t>
      </w:r>
      <w:r>
        <w:rPr>
          <w:rFonts w:hint="eastAsia"/>
          <w:u w:val="single"/>
        </w:rPr>
        <w:t>宁波市“无废城市”建设集成场景建设项目</w:t>
      </w:r>
      <w:r>
        <w:rPr>
          <w:rFonts w:hint="eastAsia"/>
        </w:rPr>
        <w:t>【</w:t>
      </w:r>
      <w:r>
        <w:rPr>
          <w:rFonts w:hint="eastAsia"/>
          <w:u w:val="single"/>
        </w:rPr>
        <w:t>项目编号：（     ）</w:t>
      </w:r>
      <w:r>
        <w:rPr>
          <w:rFonts w:hint="eastAsia"/>
        </w:rPr>
        <w:t>】的采购结果，按照《中华人民共和国政府采购法》及其实施条例、《政府采购货物和服务招投标管理办法》（财政部令87号令）、《中华人民共和国民法典》的规定，经双方协商，本着平等互利和诚实信用的原则，一致同意签订本合同如下。</w:t>
      </w:r>
    </w:p>
    <w:p>
      <w:pPr>
        <w:spacing w:line="360" w:lineRule="auto"/>
        <w:ind w:firstLine="420"/>
        <w:rPr>
          <w:b/>
          <w:bCs/>
        </w:rPr>
      </w:pPr>
      <w:r>
        <w:rPr>
          <w:b/>
          <w:bCs/>
        </w:rPr>
        <w:t>一、项目概要</w:t>
      </w:r>
    </w:p>
    <w:p>
      <w:pPr>
        <w:spacing w:line="360" w:lineRule="auto"/>
        <w:ind w:firstLine="420" w:firstLineChars="200"/>
      </w:pPr>
      <w:r>
        <w:t>1.1项目名称：【</w:t>
      </w:r>
      <w:r>
        <w:rPr>
          <w:rFonts w:hint="eastAsia"/>
          <w:u w:val="single"/>
        </w:rPr>
        <w:t>宁波市“无废城市”建设集成场景建设项目</w:t>
      </w:r>
      <w:r>
        <w:t>】（以下简称“本项目”）。</w:t>
      </w:r>
    </w:p>
    <w:p>
      <w:pPr>
        <w:spacing w:line="360" w:lineRule="auto"/>
        <w:ind w:firstLine="420" w:firstLineChars="200"/>
      </w:pPr>
      <w:r>
        <w:t>1.2项目介绍：</w:t>
      </w:r>
      <w:r>
        <w:rPr>
          <w:rFonts w:hint="eastAsia"/>
          <w:u w:val="single"/>
        </w:rPr>
        <w:t xml:space="preserve">                                        </w:t>
      </w:r>
    </w:p>
    <w:p>
      <w:pPr>
        <w:spacing w:line="360" w:lineRule="auto"/>
        <w:ind w:firstLine="420" w:firstLineChars="200"/>
        <w:rPr>
          <w:szCs w:val="21"/>
        </w:rPr>
      </w:pPr>
      <w:r>
        <w:t>1.3项目周期：</w:t>
      </w:r>
      <w:r>
        <w:rPr>
          <w:rFonts w:hint="eastAsia"/>
          <w:szCs w:val="21"/>
        </w:rPr>
        <w:t>本项目要求2</w:t>
      </w:r>
      <w:r>
        <w:rPr>
          <w:szCs w:val="21"/>
        </w:rPr>
        <w:t>022</w:t>
      </w:r>
      <w:r>
        <w:rPr>
          <w:rFonts w:hint="eastAsia"/>
          <w:szCs w:val="21"/>
        </w:rPr>
        <w:t>年1</w:t>
      </w:r>
      <w:r>
        <w:rPr>
          <w:szCs w:val="21"/>
        </w:rPr>
        <w:t>1</w:t>
      </w:r>
      <w:r>
        <w:rPr>
          <w:rFonts w:hint="eastAsia"/>
          <w:szCs w:val="21"/>
        </w:rPr>
        <w:t>月底前完成“无废城市”综合管理服务应用、</w:t>
      </w:r>
      <w:r>
        <w:rPr>
          <w:szCs w:val="21"/>
        </w:rPr>
        <w:t>一般工业固废管理</w:t>
      </w:r>
      <w:r>
        <w:rPr>
          <w:rFonts w:hint="eastAsia"/>
          <w:szCs w:val="21"/>
        </w:rPr>
        <w:t>、</w:t>
      </w:r>
      <w:r>
        <w:rPr>
          <w:szCs w:val="21"/>
        </w:rPr>
        <w:t>危险废物管理</w:t>
      </w:r>
      <w:r>
        <w:rPr>
          <w:rFonts w:hint="eastAsia"/>
          <w:szCs w:val="21"/>
        </w:rPr>
        <w:t>及医疗废物管理核心业务应用，2023年3月前完成定制化软件开发，2023年4月完成项目主体内容上线部署及初验，2023年5月完成试运行，2023年6月完成项目终验，项目通过验收后提供1年运维服务。</w:t>
      </w:r>
    </w:p>
    <w:p>
      <w:pPr>
        <w:spacing w:line="360" w:lineRule="auto"/>
        <w:ind w:firstLine="482"/>
        <w:rPr>
          <w:b/>
          <w:bCs/>
        </w:rPr>
      </w:pPr>
      <w:r>
        <w:rPr>
          <w:b/>
          <w:bCs/>
        </w:rPr>
        <w:t>二、实施范围</w:t>
      </w:r>
    </w:p>
    <w:p>
      <w:pPr>
        <w:spacing w:line="360" w:lineRule="auto"/>
        <w:ind w:firstLine="420"/>
      </w:pPr>
      <w:r>
        <w:t>项目具体的内容、要求、功能、指标等事项，由双方前期沟通后确定，</w:t>
      </w:r>
      <w:r>
        <w:rPr>
          <w:rFonts w:hint="eastAsia"/>
        </w:rPr>
        <w:t>以下建设内容：</w:t>
      </w:r>
    </w:p>
    <w:tbl>
      <w:tblPr>
        <w:tblStyle w:val="42"/>
        <w:tblW w:w="7774" w:type="dxa"/>
        <w:tblInd w:w="438" w:type="dxa"/>
        <w:tblLayout w:type="fixed"/>
        <w:tblCellMar>
          <w:top w:w="0" w:type="dxa"/>
          <w:left w:w="0" w:type="dxa"/>
          <w:bottom w:w="0" w:type="dxa"/>
          <w:right w:w="0" w:type="dxa"/>
        </w:tblCellMar>
      </w:tblPr>
      <w:tblGrid>
        <w:gridCol w:w="567"/>
        <w:gridCol w:w="3543"/>
        <w:gridCol w:w="567"/>
        <w:gridCol w:w="993"/>
        <w:gridCol w:w="567"/>
        <w:gridCol w:w="992"/>
        <w:gridCol w:w="545"/>
      </w:tblGrid>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textAlignment w:val="bottom"/>
            </w:pPr>
            <w:r>
              <w:t>序号</w:t>
            </w: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textAlignment w:val="bottom"/>
            </w:pPr>
            <w:r>
              <w:t>采购内容</w:t>
            </w: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textAlignment w:val="bottom"/>
            </w:pPr>
            <w:r>
              <w:t>数量</w:t>
            </w: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textAlignment w:val="bottom"/>
            </w:pPr>
            <w:r>
              <w:rPr>
                <w:rFonts w:hint="eastAsia"/>
              </w:rPr>
              <w:t>不含税价</w:t>
            </w: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textAlignment w:val="bottom"/>
            </w:pPr>
            <w:r>
              <w:t>税率</w:t>
            </w: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textAlignment w:val="bottom"/>
            </w:pPr>
            <w:r>
              <w:t>含税总价</w:t>
            </w: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textAlignment w:val="bottom"/>
            </w:pPr>
            <w:r>
              <w:t>备注</w:t>
            </w:r>
          </w:p>
        </w:tc>
      </w:tr>
      <w:tr>
        <w:tblPrEx>
          <w:tblCellMar>
            <w:top w:w="0" w:type="dxa"/>
            <w:left w:w="0" w:type="dxa"/>
            <w:bottom w:w="0" w:type="dxa"/>
            <w:right w:w="0" w:type="dxa"/>
          </w:tblCellMar>
        </w:tblPrEx>
        <w:trPr>
          <w:trHeight w:val="300"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0"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354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pPr>
              <w:widowControl/>
              <w:textAlignment w:val="bottom"/>
            </w:pPr>
          </w:p>
        </w:tc>
        <w:tc>
          <w:tcPr>
            <w:tcW w:w="9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99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c>
          <w:tcPr>
            <w:tcW w:w="54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bottom"/>
          </w:tcPr>
          <w:p/>
        </w:tc>
      </w:tr>
      <w:tr>
        <w:tblPrEx>
          <w:tblCellMar>
            <w:top w:w="0" w:type="dxa"/>
            <w:left w:w="0" w:type="dxa"/>
            <w:bottom w:w="0" w:type="dxa"/>
            <w:right w:w="0" w:type="dxa"/>
          </w:tblCellMar>
        </w:tblPrEx>
        <w:trPr>
          <w:trHeight w:val="303" w:hRule="atLeast"/>
        </w:trPr>
        <w:tc>
          <w:tcPr>
            <w:tcW w:w="7774" w:type="dxa"/>
            <w:gridSpan w:val="7"/>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bottom"/>
          </w:tcPr>
          <w:p>
            <w:r>
              <w:rPr>
                <w:rFonts w:hint="eastAsia"/>
              </w:rPr>
              <w:t>税率为6%部分的不含税金额为*</w:t>
            </w:r>
            <w:r>
              <w:t>*</w:t>
            </w:r>
            <w:r>
              <w:rPr>
                <w:rFonts w:hint="eastAsia"/>
              </w:rPr>
              <w:t>元，含税金额为*</w:t>
            </w:r>
            <w:r>
              <w:t>****</w:t>
            </w:r>
            <w:r>
              <w:rPr>
                <w:rFonts w:hint="eastAsia"/>
              </w:rPr>
              <w:t>元。</w:t>
            </w:r>
          </w:p>
          <w:p>
            <w:r>
              <w:rPr>
                <w:rFonts w:hint="eastAsia"/>
              </w:rPr>
              <w:t>税率为1</w:t>
            </w:r>
            <w:r>
              <w:t>3</w:t>
            </w:r>
            <w:r>
              <w:rPr>
                <w:rFonts w:hint="eastAsia"/>
              </w:rPr>
              <w:t>%部分的不含税金额为*</w:t>
            </w:r>
            <w:r>
              <w:t>*</w:t>
            </w:r>
            <w:r>
              <w:rPr>
                <w:rFonts w:hint="eastAsia"/>
              </w:rPr>
              <w:t>元，含税金额为*</w:t>
            </w:r>
            <w:r>
              <w:t>****</w:t>
            </w:r>
            <w:r>
              <w:rPr>
                <w:rFonts w:hint="eastAsia"/>
              </w:rPr>
              <w:t>元。</w:t>
            </w:r>
          </w:p>
          <w:p>
            <w:pPr>
              <w:tabs>
                <w:tab w:val="left" w:pos="780"/>
              </w:tabs>
            </w:pPr>
            <w:r>
              <w:rPr>
                <w:rFonts w:hint="eastAsia"/>
              </w:rPr>
              <w:t>含税总金额：***元。</w:t>
            </w:r>
          </w:p>
        </w:tc>
      </w:tr>
    </w:tbl>
    <w:p>
      <w:pPr>
        <w:spacing w:line="360" w:lineRule="auto"/>
        <w:ind w:firstLine="420" w:firstLineChars="200"/>
      </w:pPr>
      <w:r>
        <w:t>具体</w:t>
      </w:r>
      <w:r>
        <w:rPr>
          <w:rFonts w:hint="eastAsia"/>
        </w:rPr>
        <w:t>项目需求</w:t>
      </w:r>
      <w:r>
        <w:t>附件清单</w:t>
      </w:r>
      <w:r>
        <w:rPr>
          <w:rFonts w:hint="eastAsia"/>
        </w:rPr>
        <w:t>由甲乙</w:t>
      </w:r>
      <w:r>
        <w:t>双方</w:t>
      </w:r>
      <w:r>
        <w:rPr>
          <w:rFonts w:hint="eastAsia"/>
        </w:rPr>
        <w:t>在合同签订后协商确定，经双方</w:t>
      </w:r>
      <w:r>
        <w:t>签字确</w:t>
      </w:r>
      <w:r>
        <w:rPr>
          <w:rFonts w:hint="eastAsia"/>
        </w:rPr>
        <w:t>认</w:t>
      </w:r>
      <w:r>
        <w:t>后进入</w:t>
      </w:r>
      <w:r>
        <w:rPr>
          <w:rFonts w:hint="eastAsia"/>
        </w:rPr>
        <w:t>实际</w:t>
      </w:r>
      <w:r>
        <w:t>开发</w:t>
      </w:r>
      <w:r>
        <w:rPr>
          <w:rFonts w:hint="eastAsia"/>
        </w:rPr>
        <w:t>阶段</w:t>
      </w:r>
      <w:r>
        <w:t>。</w:t>
      </w:r>
    </w:p>
    <w:p>
      <w:pPr>
        <w:spacing w:line="360" w:lineRule="auto"/>
        <w:ind w:firstLine="482"/>
        <w:rPr>
          <w:b/>
          <w:bCs/>
        </w:rPr>
      </w:pPr>
      <w:r>
        <w:rPr>
          <w:b/>
          <w:bCs/>
        </w:rPr>
        <w:t>三、合同金额及支付方式</w:t>
      </w:r>
    </w:p>
    <w:p>
      <w:pPr>
        <w:spacing w:line="360" w:lineRule="auto"/>
        <w:ind w:firstLine="420" w:firstLineChars="200"/>
      </w:pPr>
      <w:r>
        <w:t>3.1合同金额</w:t>
      </w:r>
    </w:p>
    <w:p>
      <w:pPr>
        <w:spacing w:line="360" w:lineRule="auto"/>
        <w:ind w:firstLine="420" w:firstLineChars="200"/>
      </w:pPr>
      <w:r>
        <w:t>合同价税合计为【    】元（即大写：                        ），</w:t>
      </w:r>
    </w:p>
    <w:p>
      <w:pPr>
        <w:spacing w:line="360" w:lineRule="auto"/>
        <w:ind w:firstLine="420" w:firstLineChars="200"/>
      </w:pPr>
      <w:r>
        <w:rPr>
          <w:rFonts w:hint="eastAsia"/>
        </w:rPr>
        <w:t>其中，税率为6%部分不含税金额</w:t>
      </w:r>
      <w:r>
        <w:t>：【      】元（即大写：        ）</w:t>
      </w:r>
      <w:r>
        <w:rPr>
          <w:rFonts w:hint="eastAsia"/>
        </w:rPr>
        <w:t>，税额：</w:t>
      </w:r>
      <w:r>
        <w:t>【      】元（即大写：        ）</w:t>
      </w:r>
      <w:r>
        <w:rPr>
          <w:rFonts w:hint="eastAsia"/>
        </w:rPr>
        <w:t>，含税金额：</w:t>
      </w:r>
      <w:r>
        <w:t>【      】元（即大写：        ）</w:t>
      </w:r>
      <w:r>
        <w:rPr>
          <w:rFonts w:hint="eastAsia"/>
        </w:rPr>
        <w:t>；税率为13%部分不含税金额</w:t>
      </w:r>
      <w:r>
        <w:t>：【      】元（即大写：        ）</w:t>
      </w:r>
      <w:r>
        <w:rPr>
          <w:rFonts w:hint="eastAsia"/>
        </w:rPr>
        <w:t>，税额：</w:t>
      </w:r>
      <w:r>
        <w:t>【      】元（即大写：        ）</w:t>
      </w:r>
      <w:r>
        <w:rPr>
          <w:rFonts w:hint="eastAsia"/>
        </w:rPr>
        <w:t>，含税金额：</w:t>
      </w:r>
      <w:r>
        <w:t>【      】元（即大写：        ）</w:t>
      </w:r>
      <w:r>
        <w:rPr>
          <w:rFonts w:hint="eastAsia"/>
        </w:rPr>
        <w:t>。</w:t>
      </w:r>
    </w:p>
    <w:p>
      <w:pPr>
        <w:spacing w:line="360" w:lineRule="auto"/>
        <w:ind w:firstLine="420" w:firstLineChars="200"/>
      </w:pPr>
      <w:r>
        <w:t>3.2付款方式：采用</w:t>
      </w:r>
      <w:r>
        <w:rPr>
          <w:rFonts w:hint="eastAsia"/>
        </w:rPr>
        <w:t>电汇方式、</w:t>
      </w:r>
      <w:r>
        <w:t>分段支付：</w:t>
      </w:r>
    </w:p>
    <w:p>
      <w:pPr>
        <w:spacing w:line="360" w:lineRule="auto"/>
        <w:ind w:firstLine="420" w:firstLineChars="200"/>
      </w:pPr>
      <w:r>
        <w:t>（1）合同签订后</w:t>
      </w:r>
      <w:r>
        <w:rPr>
          <w:rFonts w:hint="eastAsia"/>
        </w:rPr>
        <w:t>7</w:t>
      </w:r>
      <w:r>
        <w:t>个工作日内向</w:t>
      </w:r>
      <w:r>
        <w:rPr>
          <w:rFonts w:hint="eastAsia"/>
        </w:rPr>
        <w:t>乙方</w:t>
      </w:r>
      <w:r>
        <w:t>支付合同总价的</w:t>
      </w:r>
      <w:r>
        <w:rPr>
          <w:rFonts w:hint="eastAsia"/>
        </w:rPr>
        <w:t>2</w:t>
      </w:r>
      <w:r>
        <w:t>0%</w:t>
      </w:r>
      <w:r>
        <w:rPr>
          <w:rFonts w:hint="eastAsia"/>
        </w:rPr>
        <w:t>，即含税金额大写：     元（小写：     元）</w:t>
      </w:r>
      <w:r>
        <w:t>，作为合同预付款</w:t>
      </w:r>
      <w:r>
        <w:rPr>
          <w:rFonts w:hint="eastAsia"/>
        </w:rPr>
        <w:t>。</w:t>
      </w:r>
    </w:p>
    <w:p>
      <w:pPr>
        <w:spacing w:line="360" w:lineRule="auto"/>
        <w:ind w:firstLine="420" w:firstLineChars="200"/>
      </w:pPr>
      <w:r>
        <w:t>（2）</w:t>
      </w:r>
      <w:r>
        <w:rPr>
          <w:rFonts w:hint="eastAsia"/>
        </w:rPr>
        <w:t>项目建设内容中的“无废城市”综合管理服务应用、一般工业固废管理、危险废物管理</w:t>
      </w:r>
      <w:r>
        <w:rPr>
          <w:rFonts w:hint="eastAsia"/>
          <w:szCs w:val="21"/>
        </w:rPr>
        <w:t>及医疗废物管理</w:t>
      </w:r>
      <w:r>
        <w:rPr>
          <w:rFonts w:hint="eastAsia"/>
        </w:rPr>
        <w:t>核心业务应用完成基本功能开发后7个工作日内</w:t>
      </w:r>
      <w:r>
        <w:t>，向</w:t>
      </w:r>
      <w:r>
        <w:rPr>
          <w:rFonts w:hint="eastAsia"/>
        </w:rPr>
        <w:t>乙方</w:t>
      </w:r>
      <w:r>
        <w:t>支付合同总价的</w:t>
      </w:r>
      <w:r>
        <w:rPr>
          <w:rFonts w:hint="eastAsia"/>
        </w:rPr>
        <w:t>3</w:t>
      </w:r>
      <w:r>
        <w:t>0%</w:t>
      </w:r>
      <w:r>
        <w:rPr>
          <w:rFonts w:hint="eastAsia"/>
        </w:rPr>
        <w:t>，即含税金额大写：     元（小写：    元）。</w:t>
      </w:r>
    </w:p>
    <w:p>
      <w:pPr>
        <w:spacing w:line="360" w:lineRule="auto"/>
        <w:ind w:firstLine="420" w:firstLineChars="200"/>
      </w:pPr>
      <w:r>
        <w:t>（</w:t>
      </w:r>
      <w:r>
        <w:rPr>
          <w:rFonts w:hint="eastAsia"/>
        </w:rPr>
        <w:t>3）完成项目主体内容上线部署并按照合同条款进行初验通过后7个工作日内，</w:t>
      </w:r>
      <w:r>
        <w:t>向</w:t>
      </w:r>
      <w:r>
        <w:rPr>
          <w:rFonts w:hint="eastAsia"/>
        </w:rPr>
        <w:t>乙方支付合同总价的</w:t>
      </w:r>
      <w:r>
        <w:t>3</w:t>
      </w:r>
      <w:r>
        <w:rPr>
          <w:rFonts w:hint="eastAsia"/>
        </w:rPr>
        <w:t>0%，即含税金额大写：     元（小写：     元）</w:t>
      </w:r>
      <w:r>
        <w:t>。</w:t>
      </w:r>
    </w:p>
    <w:p>
      <w:pPr>
        <w:spacing w:line="360" w:lineRule="auto"/>
        <w:ind w:firstLine="420" w:firstLineChars="200"/>
      </w:pPr>
      <w:r>
        <w:t>（</w:t>
      </w:r>
      <w:r>
        <w:rPr>
          <w:rFonts w:hint="eastAsia"/>
        </w:rPr>
        <w:t>4</w:t>
      </w:r>
      <w:r>
        <w:t>）</w:t>
      </w:r>
      <w:r>
        <w:rPr>
          <w:rFonts w:hint="eastAsia"/>
        </w:rPr>
        <w:t>项目通过竣工验收后7个工作日内</w:t>
      </w:r>
      <w:r>
        <w:t>，向</w:t>
      </w:r>
      <w:r>
        <w:rPr>
          <w:rFonts w:hint="eastAsia"/>
        </w:rPr>
        <w:t>乙方</w:t>
      </w:r>
      <w:r>
        <w:t>支付剩余合同款，即合同总价的20%</w:t>
      </w:r>
      <w:r>
        <w:rPr>
          <w:rFonts w:hint="eastAsia"/>
        </w:rPr>
        <w:t>，即含税金额大写：     元（小写：     元）</w:t>
      </w:r>
      <w:r>
        <w:t>。</w:t>
      </w:r>
    </w:p>
    <w:p>
      <w:pPr>
        <w:spacing w:line="360" w:lineRule="auto"/>
        <w:ind w:firstLine="420" w:firstLineChars="200"/>
      </w:pPr>
      <w:r>
        <w:rPr>
          <w:rFonts w:hint="eastAsia"/>
        </w:rPr>
        <w:t>（5）具体款项支付时间根据财政资金拨付到账时间确定。</w:t>
      </w:r>
    </w:p>
    <w:p>
      <w:pPr>
        <w:spacing w:line="360" w:lineRule="auto"/>
        <w:ind w:firstLine="420" w:firstLineChars="200"/>
      </w:pPr>
      <w:r>
        <w:t>3.3发票及账户信息</w:t>
      </w:r>
    </w:p>
    <w:p>
      <w:pPr>
        <w:spacing w:line="360" w:lineRule="auto"/>
        <w:ind w:firstLine="420" w:firstLineChars="200"/>
      </w:pPr>
      <w:r>
        <w:t>3.3.1乙方须在甲方每次付款前十个工作日，向甲方提供合法有效的</w:t>
      </w:r>
      <w:r>
        <w:rPr>
          <w:b/>
          <w:bCs/>
        </w:rPr>
        <w:t>增值税</w:t>
      </w:r>
      <w:r>
        <w:rPr>
          <w:rFonts w:hint="eastAsia"/>
          <w:b/>
          <w:bCs/>
        </w:rPr>
        <w:t>普通</w:t>
      </w:r>
      <w:r>
        <w:rPr>
          <w:b/>
          <w:bCs/>
        </w:rPr>
        <w:t>发票</w:t>
      </w:r>
      <w:r>
        <w:t>，如因乙方未及时提供增值税</w:t>
      </w:r>
      <w:r>
        <w:rPr>
          <w:rFonts w:hint="eastAsia"/>
        </w:rPr>
        <w:t>普通</w:t>
      </w:r>
      <w:r>
        <w:t>发票而导致甲方付款延误，甲方不承担任何责任。</w:t>
      </w:r>
    </w:p>
    <w:p>
      <w:pPr>
        <w:spacing w:line="360" w:lineRule="auto"/>
        <w:ind w:firstLine="420" w:firstLineChars="200"/>
      </w:pPr>
      <w:r>
        <w:t>3.3.2乙方银行账户信息：</w:t>
      </w:r>
    </w:p>
    <w:p>
      <w:pPr>
        <w:spacing w:line="360" w:lineRule="auto"/>
        <w:ind w:firstLine="420" w:firstLineChars="200"/>
      </w:pPr>
      <w:r>
        <w:rPr>
          <w:rFonts w:hint="eastAsia"/>
        </w:rPr>
        <w:t>开户名称：</w:t>
      </w:r>
    </w:p>
    <w:p>
      <w:pPr>
        <w:spacing w:line="360" w:lineRule="auto"/>
        <w:ind w:firstLine="420" w:firstLineChars="200"/>
      </w:pPr>
      <w:r>
        <w:rPr>
          <w:rFonts w:hint="eastAsia"/>
        </w:rPr>
        <w:t>开户银行：</w:t>
      </w:r>
    </w:p>
    <w:p>
      <w:pPr>
        <w:spacing w:line="360" w:lineRule="auto"/>
        <w:ind w:firstLine="420" w:firstLineChars="200"/>
      </w:pPr>
      <w:r>
        <w:rPr>
          <w:rFonts w:hint="eastAsia"/>
        </w:rPr>
        <w:t>银行账户：</w:t>
      </w:r>
    </w:p>
    <w:p>
      <w:pPr>
        <w:spacing w:line="360" w:lineRule="auto"/>
        <w:ind w:firstLine="482"/>
        <w:rPr>
          <w:b/>
          <w:bCs/>
        </w:rPr>
      </w:pPr>
      <w:r>
        <w:rPr>
          <w:b/>
          <w:bCs/>
        </w:rPr>
        <w:t>四、双方权利义务</w:t>
      </w:r>
    </w:p>
    <w:p>
      <w:pPr>
        <w:spacing w:line="360" w:lineRule="auto"/>
        <w:ind w:firstLine="420" w:firstLineChars="200"/>
      </w:pPr>
      <w:r>
        <w:t>4.1甲方权利义务</w:t>
      </w:r>
    </w:p>
    <w:p>
      <w:pPr>
        <w:spacing w:line="360" w:lineRule="auto"/>
        <w:ind w:firstLine="420" w:firstLineChars="200"/>
      </w:pPr>
      <w:r>
        <w:t>4.1.1甲方应按合同约定及时向乙方提供项目所必需的资料及数据，</w:t>
      </w:r>
      <w:r>
        <w:rPr>
          <w:rFonts w:hint="eastAsia"/>
        </w:rPr>
        <w:t>甲方负责本项目所需数据对接的协调工作，</w:t>
      </w:r>
      <w:r>
        <w:t>并向乙方提供配合条件及辅助性工作。</w:t>
      </w:r>
    </w:p>
    <w:p>
      <w:pPr>
        <w:spacing w:line="360" w:lineRule="auto"/>
        <w:ind w:firstLine="420" w:firstLineChars="200"/>
      </w:pPr>
      <w:r>
        <w:t>4.1.2甲方应按合同的约定及时向乙方支付费用。</w:t>
      </w:r>
    </w:p>
    <w:p>
      <w:pPr>
        <w:spacing w:line="360" w:lineRule="auto"/>
        <w:ind w:firstLine="420" w:firstLineChars="200"/>
      </w:pPr>
      <w:r>
        <w:t>4.1.3甲方应当提供专人与乙方联络并对乙方的项目进度及质量进行监督。</w:t>
      </w:r>
    </w:p>
    <w:p>
      <w:pPr>
        <w:spacing w:line="360" w:lineRule="auto"/>
        <w:ind w:firstLine="420" w:firstLineChars="200"/>
      </w:pPr>
      <w:r>
        <w:t>4.1.4甲方应及时准备相应的硬件环境，配合乙方进行软件安装、测试、实施、培训、运行的系统环境、及时组织项目成果阶段验收工作。</w:t>
      </w:r>
      <w:r>
        <w:rPr>
          <w:rFonts w:hint="eastAsia"/>
        </w:rPr>
        <w:t xml:space="preserve"> </w:t>
      </w:r>
    </w:p>
    <w:p>
      <w:pPr>
        <w:spacing w:line="360" w:lineRule="auto"/>
        <w:ind w:firstLine="420" w:firstLineChars="200"/>
      </w:pPr>
      <w:r>
        <w:t>4.1.</w:t>
      </w:r>
      <w:r>
        <w:rPr>
          <w:rFonts w:hint="eastAsia"/>
        </w:rPr>
        <w:t>5</w:t>
      </w:r>
      <w:r>
        <w:t>甲方在发布的信息系统内放送的所有内容必须符合中华人民共和国的有关法律法规；乙方为甲方制作的所有成品网页，在甲方验收合格并付清所有设计、制作费用之后，版权均归甲方所有，网页内容一律由甲方负责解释，并承担相应的法律责任。</w:t>
      </w:r>
    </w:p>
    <w:p>
      <w:pPr>
        <w:spacing w:line="360" w:lineRule="auto"/>
        <w:ind w:firstLine="420" w:firstLineChars="200"/>
      </w:pPr>
      <w:r>
        <w:t>4.1.</w:t>
      </w:r>
      <w:r>
        <w:rPr>
          <w:rFonts w:hint="eastAsia"/>
        </w:rPr>
        <w:t>6</w:t>
      </w:r>
      <w:r>
        <w:t>如甲方委托第三方从事与本合同项目相关的配合事宜，甲方应确保第三方的工作进度不影响本合同项目的工期。</w:t>
      </w:r>
    </w:p>
    <w:p>
      <w:pPr>
        <w:spacing w:line="360" w:lineRule="auto"/>
        <w:ind w:firstLine="420" w:firstLineChars="200"/>
      </w:pPr>
      <w:r>
        <w:t>4.2乙方权利义务</w:t>
      </w:r>
    </w:p>
    <w:p>
      <w:pPr>
        <w:spacing w:line="360" w:lineRule="auto"/>
        <w:ind w:firstLine="420"/>
      </w:pPr>
      <w:r>
        <w:t>4.2.1乙方应按照合同或双方确认的其它书面资料所确定的项目进度和要求，完成项目。</w:t>
      </w:r>
    </w:p>
    <w:p>
      <w:pPr>
        <w:spacing w:line="360" w:lineRule="auto"/>
        <w:ind w:firstLine="420" w:firstLineChars="200"/>
      </w:pPr>
      <w:r>
        <w:t>4.2.2乙方应按本合同约定为甲方系统平稳运行提供支持，并确保运行可靠、数据准确、实用、简捷、界面友好。</w:t>
      </w:r>
    </w:p>
    <w:p>
      <w:pPr>
        <w:spacing w:line="360" w:lineRule="auto"/>
        <w:ind w:firstLine="420" w:firstLineChars="200"/>
      </w:pPr>
      <w:r>
        <w:t>4.2.3乙方应当保证其交付给甲方的产品符合法律、法规的规定，不侵犯任何第三方的合法权益。</w:t>
      </w:r>
    </w:p>
    <w:p>
      <w:pPr>
        <w:spacing w:line="360" w:lineRule="auto"/>
        <w:ind w:firstLine="420" w:firstLineChars="200"/>
      </w:pPr>
      <w:r>
        <w:t>4.2.4对于因不可抗力引起的失约或延误，不承担赔偿责任。</w:t>
      </w:r>
    </w:p>
    <w:p>
      <w:pPr>
        <w:spacing w:line="360" w:lineRule="auto"/>
        <w:ind w:firstLine="420" w:firstLineChars="200"/>
      </w:pPr>
      <w:r>
        <w:t>4.2</w:t>
      </w:r>
      <w:r>
        <w:rPr>
          <w:rFonts w:hint="eastAsia"/>
        </w:rPr>
        <w:t>.</w:t>
      </w:r>
      <w:r>
        <w:t>5为甲方提供的资料保密。</w:t>
      </w:r>
    </w:p>
    <w:p>
      <w:pPr>
        <w:spacing w:line="360" w:lineRule="auto"/>
        <w:ind w:firstLine="482"/>
        <w:rPr>
          <w:b/>
          <w:bCs/>
        </w:rPr>
      </w:pPr>
      <w:r>
        <w:rPr>
          <w:b/>
          <w:bCs/>
        </w:rPr>
        <w:t>五、上线与验收</w:t>
      </w:r>
    </w:p>
    <w:p>
      <w:pPr>
        <w:spacing w:line="360" w:lineRule="auto"/>
        <w:ind w:firstLine="420" w:firstLineChars="200"/>
      </w:pPr>
      <w:r>
        <w:t>5.1项目符合合同约定质量标准后，乙方提交项目上线报告并经甲方同意后上线，并由双方签署上线报告。系统开发完成并上线后乙方免费为甲方提供系统安全问题协助服务</w:t>
      </w:r>
      <w:r>
        <w:rPr>
          <w:rFonts w:hint="eastAsia"/>
        </w:rPr>
        <w:t>，免费服务期至维保期结束止</w:t>
      </w:r>
      <w:r>
        <w:t>。乙方免费为甲方调试和解决一般性系统故障（指系统本身问题导致无法正常使用、数据库故障）。</w:t>
      </w:r>
    </w:p>
    <w:p>
      <w:pPr>
        <w:spacing w:line="360" w:lineRule="auto"/>
        <w:ind w:firstLine="420" w:firstLineChars="200"/>
      </w:pPr>
      <w:r>
        <w:t>5.2根据双方认可的项目需求调研清单和原型内容验收；项目实现全部业务功能，并能够正常使用；项目达到方案中阐明的技术指标要求；且网页无文字拼写或图片错误，文字无书写错误；</w:t>
      </w:r>
    </w:p>
    <w:p>
      <w:pPr>
        <w:spacing w:line="360" w:lineRule="auto"/>
        <w:ind w:firstLine="420" w:firstLineChars="200"/>
      </w:pPr>
      <w:r>
        <w:t>5.3项目上线后【</w:t>
      </w:r>
      <w:r>
        <w:rPr>
          <w:rFonts w:hint="eastAsia"/>
        </w:rPr>
        <w:t>1</w:t>
      </w:r>
      <w:r>
        <w:t>】个月试运行阶段，试运行结束，乙方应向甲方提交《验收申请报告》，由甲方指派代表在收到乙方申请报告后【</w:t>
      </w:r>
      <w:r>
        <w:rPr>
          <w:rFonts w:hint="eastAsia"/>
        </w:rPr>
        <w:t>15</w:t>
      </w:r>
      <w:r>
        <w:t>】个工作日内完成验收。项目符合合同约定的，由双方签署验收合格报告。</w:t>
      </w:r>
    </w:p>
    <w:p>
      <w:pPr>
        <w:spacing w:line="360" w:lineRule="auto"/>
        <w:ind w:firstLine="420" w:firstLineChars="200"/>
      </w:pPr>
      <w:r>
        <w:t>5.4若验收时发现问题甲方应在验收周期内向乙方书面提出，则乙方需将问题解决后再次申请验收，验收周期重新计算。如甲方在验收过程中提出修改完善意见，乙方将在不改动系统功能、结构、布局的基础上根据甲方修改意见免费进行两次修改。</w:t>
      </w:r>
    </w:p>
    <w:p>
      <w:pPr>
        <w:spacing w:line="360" w:lineRule="auto"/>
        <w:ind w:firstLine="420" w:firstLineChars="200"/>
      </w:pPr>
      <w:r>
        <w:t>5.5若在验收周期内，甲方逾期未验收又未提起其他充分理由，则视为双方均认可验收合格。</w:t>
      </w:r>
    </w:p>
    <w:p>
      <w:pPr>
        <w:spacing w:line="360" w:lineRule="auto"/>
        <w:ind w:firstLine="420" w:firstLineChars="200"/>
      </w:pPr>
      <w:r>
        <w:t>5.6如因数据对接协调问题等客观原因导致数据无法上线，但软件功能模块满足的，视为符合验收标准。数据上线对接工作待满足对接条件后，由乙方进行对接上线</w:t>
      </w:r>
      <w:r>
        <w:rPr>
          <w:rFonts w:hint="eastAsia"/>
        </w:rPr>
        <w:t>，此部分不再另行收费</w:t>
      </w:r>
      <w:r>
        <w:t>。</w:t>
      </w:r>
    </w:p>
    <w:p>
      <w:pPr>
        <w:spacing w:line="360" w:lineRule="auto"/>
        <w:ind w:firstLine="482"/>
        <w:rPr>
          <w:b/>
          <w:bCs/>
        </w:rPr>
      </w:pPr>
      <w:r>
        <w:rPr>
          <w:b/>
          <w:bCs/>
        </w:rPr>
        <w:t>六、培训</w:t>
      </w:r>
    </w:p>
    <w:p>
      <w:pPr>
        <w:spacing w:line="360" w:lineRule="auto"/>
        <w:ind w:firstLine="420" w:firstLineChars="200"/>
      </w:pPr>
      <w:r>
        <w:t>6.1培训对象</w:t>
      </w:r>
    </w:p>
    <w:p>
      <w:pPr>
        <w:spacing w:line="360" w:lineRule="auto"/>
        <w:ind w:firstLine="420" w:firstLineChars="200"/>
      </w:pPr>
      <w:r>
        <w:t>培训对象为：甲方指定的人员。</w:t>
      </w:r>
    </w:p>
    <w:p>
      <w:pPr>
        <w:spacing w:line="360" w:lineRule="auto"/>
        <w:ind w:firstLine="420" w:firstLineChars="200"/>
      </w:pPr>
      <w:r>
        <w:t>6.2培训内容及要求</w:t>
      </w:r>
    </w:p>
    <w:p>
      <w:pPr>
        <w:spacing w:line="360" w:lineRule="auto"/>
        <w:ind w:firstLine="420" w:firstLineChars="200"/>
      </w:pPr>
      <w:r>
        <w:t>应用软件的操作与管理技能；系统运行维护管理；相关系统功能使用培训。</w:t>
      </w:r>
    </w:p>
    <w:p>
      <w:pPr>
        <w:spacing w:line="360" w:lineRule="auto"/>
        <w:ind w:firstLine="420" w:firstLineChars="200"/>
      </w:pPr>
      <w:r>
        <w:t>6.3培训地点</w:t>
      </w:r>
    </w:p>
    <w:p>
      <w:pPr>
        <w:spacing w:line="360" w:lineRule="auto"/>
        <w:ind w:firstLine="420" w:firstLineChars="200"/>
      </w:pPr>
      <w:r>
        <w:t>培训地点为：由甲乙双方协商约定。</w:t>
      </w:r>
    </w:p>
    <w:p>
      <w:pPr>
        <w:spacing w:line="360" w:lineRule="auto"/>
        <w:ind w:firstLine="420" w:firstLineChars="200"/>
      </w:pPr>
      <w:r>
        <w:t>6.4培训时长</w:t>
      </w:r>
    </w:p>
    <w:p>
      <w:pPr>
        <w:spacing w:line="360" w:lineRule="auto"/>
        <w:ind w:firstLine="420" w:firstLineChars="200"/>
      </w:pPr>
      <w:r>
        <w:t>乙方</w:t>
      </w:r>
      <w:r>
        <w:rPr>
          <w:rFonts w:hint="eastAsia"/>
        </w:rPr>
        <w:t>将免费提供甲方为提出的所需培训要求，培训时长时实际需要，双方协商确定</w:t>
      </w:r>
      <w:r>
        <w:t>。</w:t>
      </w:r>
      <w:r>
        <w:rPr>
          <w:rFonts w:hint="eastAsia"/>
        </w:rPr>
        <w:t>针对后续新的功能架构培训，时间不少于2天。</w:t>
      </w:r>
    </w:p>
    <w:p>
      <w:pPr>
        <w:spacing w:line="360" w:lineRule="auto"/>
        <w:ind w:firstLine="482"/>
        <w:rPr>
          <w:b/>
          <w:bCs/>
        </w:rPr>
      </w:pPr>
      <w:r>
        <w:rPr>
          <w:b/>
          <w:bCs/>
        </w:rPr>
        <w:t>七、维护及保修期</w:t>
      </w:r>
    </w:p>
    <w:p>
      <w:pPr>
        <w:spacing w:line="360" w:lineRule="auto"/>
        <w:ind w:firstLine="420" w:firstLineChars="200"/>
      </w:pPr>
      <w:r>
        <w:t>7.1维护期内，乙方负责软件的维护和技术支持，乙方需对甲方提出的问题建立维护记录，并交付甲方留存。</w:t>
      </w:r>
    </w:p>
    <w:p>
      <w:pPr>
        <w:spacing w:line="360" w:lineRule="auto"/>
        <w:ind w:firstLine="420" w:firstLineChars="200"/>
      </w:pPr>
      <w:r>
        <w:t>7.2维保期服务内容：1、售后运维服务期：自项目整体验收通过之日起1年；2、按</w:t>
      </w:r>
      <w:r>
        <w:rPr>
          <w:rFonts w:hint="eastAsia"/>
        </w:rPr>
        <w:t>甲方</w:t>
      </w:r>
      <w:r>
        <w:t>要求建立运维工作机制，提供7×24小时热线电话服务，确保系统故障能够最快速、便捷、有效的得到运维响应，在接到系统故障通知后30分钟内响应，4小时内解决故障；需要现场支撑的应在接到电话后半小时内抵达现场解决问题。</w:t>
      </w:r>
      <w:r>
        <w:rPr>
          <w:rFonts w:hint="eastAsia"/>
        </w:rPr>
        <w:t>3、</w:t>
      </w:r>
      <w:r>
        <w:t>针对本项目提供1年驻点售后服务，承诺在宁波市生态环境局常驻</w:t>
      </w:r>
      <w:r>
        <w:rPr>
          <w:rFonts w:hint="eastAsia"/>
        </w:rPr>
        <w:t>1</w:t>
      </w:r>
      <w:r>
        <w:t>名技术人员</w:t>
      </w:r>
      <w:r>
        <w:rPr>
          <w:rFonts w:hint="eastAsia"/>
        </w:rPr>
        <w:t>。</w:t>
      </w:r>
    </w:p>
    <w:p>
      <w:pPr>
        <w:spacing w:line="360" w:lineRule="auto"/>
        <w:ind w:firstLine="420" w:firstLineChars="200"/>
      </w:pPr>
      <w:r>
        <w:t>7.2.1乙方在服务期内提供</w:t>
      </w:r>
      <w:r>
        <w:rPr>
          <w:rFonts w:hint="eastAsia"/>
        </w:rPr>
        <w:t>7</w:t>
      </w:r>
      <w:r>
        <w:t>×</w:t>
      </w:r>
      <w:r>
        <w:rPr>
          <w:rFonts w:hint="eastAsia"/>
        </w:rPr>
        <w:t>24</w:t>
      </w:r>
      <w:r>
        <w:t>小时的在线技术支持服务，包括此项目中系统运行出现的意外，以及由于主机、网络、存储等异常引起系统不能正常工作的情况。</w:t>
      </w:r>
    </w:p>
    <w:p>
      <w:pPr>
        <w:spacing w:line="360" w:lineRule="auto"/>
        <w:ind w:firstLine="420" w:firstLineChars="200"/>
      </w:pPr>
      <w:r>
        <w:t>7.2.</w:t>
      </w:r>
      <w:r>
        <w:rPr>
          <w:rFonts w:hint="eastAsia"/>
        </w:rPr>
        <w:t>2</w:t>
      </w:r>
      <w:r>
        <w:t>乙方负责</w:t>
      </w:r>
      <w:r>
        <w:rPr>
          <w:rFonts w:hint="eastAsia"/>
        </w:rPr>
        <w:t>本项目开发的</w:t>
      </w:r>
      <w:r>
        <w:t>应用软件的技术咨询、应用软件恢复、应用软件功能故障处理。</w:t>
      </w:r>
    </w:p>
    <w:p>
      <w:pPr>
        <w:spacing w:line="360" w:lineRule="auto"/>
        <w:ind w:firstLine="420" w:firstLineChars="200"/>
      </w:pPr>
      <w:r>
        <w:t>7.2.</w:t>
      </w:r>
      <w:r>
        <w:rPr>
          <w:rFonts w:hint="eastAsia"/>
        </w:rPr>
        <w:t>3</w:t>
      </w:r>
      <w:r>
        <w:t>乙方提供数据备份策略规划与实施服务，并与甲方沟通备份方案，从数据资产安全与成本角度给出方案，保护甲方数据安全。</w:t>
      </w:r>
    </w:p>
    <w:p>
      <w:pPr>
        <w:spacing w:line="360" w:lineRule="auto"/>
        <w:ind w:firstLine="420" w:firstLineChars="200"/>
      </w:pPr>
      <w:r>
        <w:t>7.3甲方系统所使用的甲方自购设备，其维护不包含在乙方提供的免费技术支持中，如：用户计算机终端维护、用户移动终端维护。</w:t>
      </w:r>
    </w:p>
    <w:p>
      <w:pPr>
        <w:spacing w:line="360" w:lineRule="auto"/>
        <w:ind w:firstLine="420" w:firstLineChars="200"/>
      </w:pPr>
      <w:r>
        <w:rPr>
          <w:rFonts w:hint="eastAsia"/>
        </w:rPr>
        <w:t>7.4系统升级服务：因技术的升级或新一代产品的面世，对原应用软件功能或性能有极大的提高，根据甲方的需要，对其应用软件、系统或所开发的其它软件的更新。</w:t>
      </w:r>
    </w:p>
    <w:p>
      <w:pPr>
        <w:spacing w:line="360" w:lineRule="auto"/>
        <w:ind w:firstLine="420" w:firstLineChars="200"/>
      </w:pPr>
      <w:r>
        <w:rPr>
          <w:rFonts w:hint="eastAsia"/>
        </w:rPr>
        <w:t>7.4.1文档更新。建立完备的资料库，包括平台的备份情况、应用特性以及用户配置等，这些资料作为成果提交给甲方。一旦资料进行了版本更新，应在7天内提供最新版本的资料。</w:t>
      </w:r>
    </w:p>
    <w:p>
      <w:pPr>
        <w:spacing w:line="360" w:lineRule="auto"/>
        <w:ind w:firstLine="420" w:firstLineChars="200"/>
      </w:pPr>
      <w:r>
        <w:rPr>
          <w:rFonts w:hint="eastAsia"/>
        </w:rPr>
        <w:t>7.4.2升级服务。在维护期内免费提供产品操作系统、应用软件的升级服务。</w:t>
      </w:r>
    </w:p>
    <w:p>
      <w:pPr>
        <w:spacing w:line="360" w:lineRule="auto"/>
        <w:ind w:firstLine="420" w:firstLineChars="200"/>
      </w:pPr>
      <w:r>
        <w:rPr>
          <w:rFonts w:hint="eastAsia"/>
        </w:rPr>
        <w:t>7.4.3系统优化。根据运行情况定期免费向客户提供系统优化、使用优化和管理优化建议，确保系统以最优状态运行。</w:t>
      </w:r>
    </w:p>
    <w:p>
      <w:pPr>
        <w:spacing w:line="360" w:lineRule="auto"/>
        <w:ind w:firstLine="482"/>
        <w:rPr>
          <w:b/>
          <w:bCs/>
        </w:rPr>
      </w:pPr>
      <w:r>
        <w:rPr>
          <w:b/>
          <w:bCs/>
        </w:rPr>
        <w:t>八、系统设计和需求变更</w:t>
      </w:r>
    </w:p>
    <w:p>
      <w:pPr>
        <w:spacing w:line="360" w:lineRule="auto"/>
        <w:ind w:firstLine="420" w:firstLineChars="200"/>
      </w:pPr>
      <w:r>
        <w:t>8.1由甲方提供项目开发所需的基本素材、文字资料、表格标准格式，乙方根据甲方的设计需求进行系统设计。</w:t>
      </w:r>
    </w:p>
    <w:p>
      <w:pPr>
        <w:spacing w:line="360" w:lineRule="auto"/>
        <w:ind w:firstLine="420" w:firstLineChars="200"/>
      </w:pPr>
      <w:r>
        <w:t>8.2甲方对乙方提交的系统设计提出修改意见，</w:t>
      </w:r>
      <w:r>
        <w:rPr>
          <w:rFonts w:hint="eastAsia"/>
        </w:rPr>
        <w:t>乙方应于接到通知后于7个工作日内进行修改</w:t>
      </w:r>
      <w:r>
        <w:t>。</w:t>
      </w:r>
    </w:p>
    <w:p>
      <w:pPr>
        <w:spacing w:line="360" w:lineRule="auto"/>
        <w:ind w:firstLine="420" w:firstLineChars="200"/>
      </w:pPr>
      <w:r>
        <w:t>8.3经甲方书面确认需求调研清单后，视为乙方完成设计工作。</w:t>
      </w:r>
    </w:p>
    <w:p>
      <w:pPr>
        <w:spacing w:line="360" w:lineRule="auto"/>
        <w:ind w:firstLine="420" w:firstLineChars="200"/>
      </w:pPr>
      <w:r>
        <w:t>8.</w:t>
      </w:r>
      <w:r>
        <w:rPr>
          <w:rFonts w:hint="eastAsia"/>
        </w:rPr>
        <w:t>4</w:t>
      </w:r>
      <w:r>
        <w:t>乙方向甲方提交“系统开发功能清单”，在经甲方确认后开始进行系统的开发工作。</w:t>
      </w:r>
    </w:p>
    <w:p>
      <w:pPr>
        <w:spacing w:line="360" w:lineRule="auto"/>
        <w:ind w:firstLine="482"/>
        <w:rPr>
          <w:b/>
          <w:bCs/>
        </w:rPr>
      </w:pPr>
      <w:r>
        <w:rPr>
          <w:b/>
          <w:bCs/>
        </w:rPr>
        <w:t>九、知识产权</w:t>
      </w:r>
    </w:p>
    <w:p>
      <w:pPr>
        <w:spacing w:line="360" w:lineRule="auto"/>
        <w:ind w:firstLine="420" w:firstLineChars="200"/>
      </w:pPr>
      <w:r>
        <w:t>9.1甲方向乙方提供任何文件、信息和数据不构成向乙方转让、授予非基于为甲方提供本合同项下技术开发目的的使用权、任何特许权或其他任何权利。非经甲方同意，乙方不得以任何方式向第三方披露、转让或许可使用本合同项下信息工程有关的技术成果、技术诀窍、秘密信息、技术资料和文件。</w:t>
      </w:r>
    </w:p>
    <w:p>
      <w:pPr>
        <w:spacing w:line="360" w:lineRule="auto"/>
        <w:ind w:firstLine="420" w:firstLineChars="200"/>
      </w:pPr>
      <w:r>
        <w:t>9.2乙方保证向甲方提交的项目成果，不侵犯他人的著作权、专利权和商业秘密等知识产权，也不违反乙方与第三方的保密义务或有关知识产权协议，甲方不会因为实施本合同技术成果导致侵犯第三方的知识产权。</w:t>
      </w:r>
    </w:p>
    <w:p>
      <w:pPr>
        <w:spacing w:line="360" w:lineRule="auto"/>
        <w:ind w:firstLine="420" w:firstLineChars="200"/>
      </w:pPr>
      <w:r>
        <w:rPr>
          <w:rFonts w:hint="eastAsia"/>
        </w:rPr>
        <w:t>9.</w:t>
      </w:r>
      <w:r>
        <w:t>3</w:t>
      </w:r>
      <w:r>
        <w:rPr>
          <w:rFonts w:hint="eastAsia"/>
        </w:rPr>
        <w:t>甲乙双方达成一致意见，在项目竣工验收通过且甲方支付全部合同款后，因履行本合同所产生的研究开发成果及其相关知识产权权利全部转移给甲方。</w:t>
      </w:r>
    </w:p>
    <w:p>
      <w:pPr>
        <w:spacing w:line="360" w:lineRule="auto"/>
        <w:ind w:firstLine="482"/>
        <w:rPr>
          <w:b/>
          <w:bCs/>
        </w:rPr>
      </w:pPr>
      <w:r>
        <w:rPr>
          <w:b/>
          <w:bCs/>
        </w:rPr>
        <w:t>十、保密义务</w:t>
      </w:r>
    </w:p>
    <w:p>
      <w:pPr>
        <w:spacing w:line="360" w:lineRule="auto"/>
        <w:ind w:firstLine="420" w:firstLineChars="200"/>
      </w:pPr>
      <w:r>
        <w:t>10.1任何一方对合同对方所提供的所有资料以及在本合同签订、履行过程中所接触到的对方及关联主体的商业秘密、技术资料、客户信息等资料和信息</w:t>
      </w:r>
      <w:r>
        <w:rPr>
          <w:rFonts w:hint="eastAsia"/>
        </w:rPr>
        <w:t>（</w:t>
      </w:r>
      <w:r>
        <w:t>统称</w:t>
      </w:r>
      <w:r>
        <w:rPr>
          <w:rFonts w:hint="eastAsia"/>
        </w:rPr>
        <w:t>“</w:t>
      </w:r>
      <w:r>
        <w:t>保密信息</w:t>
      </w:r>
      <w:r>
        <w:rPr>
          <w:rFonts w:hint="eastAsia"/>
        </w:rPr>
        <w:t>”）</w:t>
      </w:r>
      <w:r>
        <w:t>负有保密义务，不得将保密信息的部分或全部用于本合同约定事项以外的其他用途，不得泄露、使用或允许他人使用对方的保密信息。</w:t>
      </w:r>
    </w:p>
    <w:p>
      <w:pPr>
        <w:spacing w:line="360" w:lineRule="auto"/>
        <w:ind w:firstLine="420" w:firstLineChars="200"/>
      </w:pPr>
      <w:r>
        <w:t>10.2乙方不得拷贝、复印、修改、翻译、汇编或反向工程使用保密信息，也不得允许、协助他人进行任何此类行为。</w:t>
      </w:r>
    </w:p>
    <w:p>
      <w:pPr>
        <w:spacing w:line="360" w:lineRule="auto"/>
        <w:ind w:firstLine="420" w:firstLineChars="200"/>
      </w:pPr>
      <w:r>
        <w:t>10.3本协议保密条款之时效将不受本协议有效期的影响，本协议有效期满后5年内该保密条款仍将有效。</w:t>
      </w:r>
    </w:p>
    <w:p>
      <w:pPr>
        <w:spacing w:line="360" w:lineRule="auto"/>
        <w:ind w:firstLine="482"/>
        <w:rPr>
          <w:b/>
          <w:bCs/>
        </w:rPr>
      </w:pPr>
      <w:r>
        <w:rPr>
          <w:b/>
          <w:bCs/>
        </w:rPr>
        <w:t>十一、不可抗力</w:t>
      </w:r>
    </w:p>
    <w:p>
      <w:pPr>
        <w:spacing w:line="360" w:lineRule="auto"/>
        <w:ind w:firstLine="420" w:firstLineChars="200"/>
      </w:pPr>
      <w:r>
        <w:t>11.1不可抗力是指不能预见、不能避免并不能克服的事件。由于不可抗力事件的影响，致使任何一方不能按时履行本合同时，遇有上述不可抗力事件的一方，应立即以信件或传真通知另一方，并在不可抗力事件发生后十五日内，提供不可抗力情况及合同证明不能履行或部分不能履行或需延期履行的有效证明文件，此项证明文件应由不可抗力事件发生地区的公证机构出具。根据不可抗力事件对合同履行影响的程度，由双方协商是否解除合同，或者部分免除履行合同的责任，或者延期履行合同。</w:t>
      </w:r>
    </w:p>
    <w:p>
      <w:pPr>
        <w:spacing w:line="360" w:lineRule="auto"/>
        <w:ind w:firstLine="420" w:firstLineChars="200"/>
      </w:pPr>
      <w:r>
        <w:t>11.2发生不可抗力事件，任何一方均无需对另一方因本合同未履行或延迟履行而蒙受的任何损害、成本增加或损失负责，而未能履行或延期履行本合同不应被视为违反本合同。声称发生不可抗力事件的一方应采取适当手段尽量减少或消除不可抗力事件的影响，并具有尽可能在最短的时间内尝试恢复履行被不可抗力事件延误或阻碍履行的义务。</w:t>
      </w:r>
    </w:p>
    <w:p>
      <w:pPr>
        <w:spacing w:line="360" w:lineRule="auto"/>
        <w:ind w:firstLine="482"/>
        <w:rPr>
          <w:b/>
          <w:bCs/>
        </w:rPr>
      </w:pPr>
      <w:r>
        <w:rPr>
          <w:b/>
          <w:bCs/>
        </w:rPr>
        <w:t>十二、合同终止及违约责任</w:t>
      </w:r>
    </w:p>
    <w:p>
      <w:pPr>
        <w:spacing w:line="360" w:lineRule="auto"/>
        <w:ind w:firstLine="420" w:firstLineChars="200"/>
      </w:pPr>
      <w:r>
        <w:t>12.1任何一方违反本合同，或不履行本合同项下义务，或履行本合同项下义务不符合约定的，或明确表示或以其行为表明将不履行本合同项下的任一义务，均属于违约行为，应向守约方承担相应的违约责任。</w:t>
      </w:r>
    </w:p>
    <w:p>
      <w:pPr>
        <w:spacing w:line="360" w:lineRule="auto"/>
        <w:ind w:firstLine="420" w:firstLineChars="200"/>
      </w:pPr>
      <w:r>
        <w:t>12.2未经对方书面同意，任何一方不得擅自变更、解除或终止合同，否则守约方有权要求违约方返还所有已付款项或收回已交付软件，同时违约方应向守约方支付合同总金额20% 的违约金。</w:t>
      </w:r>
    </w:p>
    <w:p>
      <w:pPr>
        <w:spacing w:line="360" w:lineRule="auto"/>
        <w:ind w:firstLine="420" w:firstLineChars="200"/>
      </w:pPr>
      <w:r>
        <w:t>12.3如甲方未能按期支付合同款项，每逾期一日，乙方有权按合同总金额的万分之五计收违约金，计至甲方实际支付之日止，逾期超过</w:t>
      </w:r>
      <w:r>
        <w:rPr>
          <w:u w:val="single"/>
        </w:rPr>
        <w:t>30</w:t>
      </w:r>
      <w:r>
        <w:t>日，乙方有权解除合同，因乙方原因导致逾期支付的除外。</w:t>
      </w:r>
    </w:p>
    <w:p>
      <w:pPr>
        <w:spacing w:line="360" w:lineRule="auto"/>
        <w:ind w:firstLine="420" w:firstLineChars="200"/>
      </w:pPr>
      <w:r>
        <w:t>12.4项目实施中，非因用户实际需求发生变化、互相配合事项、软件超过两次修改引起的延期，延期超过</w:t>
      </w:r>
      <w:r>
        <w:rPr>
          <w:u w:val="single"/>
        </w:rPr>
        <w:t>60</w:t>
      </w:r>
      <w:r>
        <w:t>个工作日后，乙方将按合同总金额的万分之五向甲方支付违约金（甲方可从本合同约定的尾款中直接扣除该笔违约金）；延期超过</w:t>
      </w:r>
      <w:r>
        <w:rPr>
          <w:u w:val="single"/>
        </w:rPr>
        <w:t>120</w:t>
      </w:r>
      <w:r>
        <w:t>日，甲方有权解除本合同，因甲方原因或甲方委托的第三方原因导致逾期交付的除外。</w:t>
      </w:r>
    </w:p>
    <w:p>
      <w:pPr>
        <w:spacing w:line="360" w:lineRule="auto"/>
        <w:ind w:firstLine="482"/>
        <w:rPr>
          <w:b/>
          <w:bCs/>
        </w:rPr>
      </w:pPr>
      <w:r>
        <w:rPr>
          <w:b/>
          <w:bCs/>
        </w:rPr>
        <w:t>十三、争议解决</w:t>
      </w:r>
    </w:p>
    <w:p>
      <w:pPr>
        <w:spacing w:line="360" w:lineRule="auto"/>
        <w:ind w:firstLine="420" w:firstLineChars="200"/>
      </w:pPr>
      <w:r>
        <w:t>凡因本合同引起的或与本合同有关的任何争议，双方应友好协商解决；如协商不成，可向</w:t>
      </w:r>
      <w:r>
        <w:rPr>
          <w:rFonts w:hint="eastAsia"/>
        </w:rPr>
        <w:t>甲方所在地</w:t>
      </w:r>
      <w:r>
        <w:t>人民法院提起诉讼。</w:t>
      </w:r>
    </w:p>
    <w:p>
      <w:pPr>
        <w:spacing w:line="360" w:lineRule="auto"/>
        <w:ind w:firstLine="482"/>
        <w:rPr>
          <w:b/>
          <w:bCs/>
        </w:rPr>
      </w:pPr>
      <w:r>
        <w:rPr>
          <w:b/>
          <w:bCs/>
        </w:rPr>
        <w:t>十四、通知</w:t>
      </w:r>
    </w:p>
    <w:p>
      <w:pPr>
        <w:spacing w:line="360" w:lineRule="auto"/>
        <w:ind w:firstLine="420" w:firstLineChars="200"/>
      </w:pPr>
      <w:r>
        <w:t>14.1根据本合同或任何一方要求的通讯或通知，应通过以下方式以书面形式向下列地址的对方或他们指定的代表：（i）直接送达；（ii）快递送达；或（iii）通过电子讯息送达：</w:t>
      </w:r>
    </w:p>
    <w:p>
      <w:pPr>
        <w:spacing w:line="360" w:lineRule="auto"/>
        <w:rPr>
          <w:u w:val="single"/>
        </w:rPr>
      </w:pPr>
      <w:r>
        <w:t>甲方联系地址：</w:t>
      </w:r>
      <w:r>
        <w:rPr>
          <w:rFonts w:hint="eastAsia"/>
        </w:rPr>
        <w:t>宁波市生态环境局宁波市海曙区柳汀街545号。</w:t>
      </w:r>
    </w:p>
    <w:p>
      <w:pPr>
        <w:spacing w:line="360" w:lineRule="auto"/>
      </w:pPr>
      <w:r>
        <w:t>联系人：</w:t>
      </w:r>
    </w:p>
    <w:p>
      <w:pPr>
        <w:spacing w:line="360" w:lineRule="auto"/>
      </w:pPr>
      <w:r>
        <w:t>电话：</w:t>
      </w:r>
    </w:p>
    <w:p>
      <w:pPr>
        <w:spacing w:line="360" w:lineRule="auto"/>
      </w:pPr>
      <w:r>
        <w:t>乙方地址：</w:t>
      </w:r>
    </w:p>
    <w:p>
      <w:pPr>
        <w:spacing w:line="360" w:lineRule="auto"/>
      </w:pPr>
      <w:r>
        <w:t>联系人：</w:t>
      </w:r>
    </w:p>
    <w:p>
      <w:pPr>
        <w:spacing w:line="360" w:lineRule="auto"/>
      </w:pPr>
      <w:r>
        <w:t>电话：</w:t>
      </w:r>
    </w:p>
    <w:p>
      <w:pPr>
        <w:spacing w:line="360" w:lineRule="auto"/>
        <w:ind w:firstLine="420" w:firstLineChars="200"/>
      </w:pPr>
      <w:r>
        <w:t>14.2通知或通讯视为送达的时间：（i）如直接送达，则送达之时则视为送达；（ii）如采用快递送达服务，则在快递发出之日起的第</w:t>
      </w:r>
      <w:r>
        <w:rPr>
          <w:rFonts w:hint="eastAsia"/>
          <w:u w:val="single"/>
        </w:rPr>
        <w:t>7</w:t>
      </w:r>
      <w:r>
        <w:t>个工作日视为送达；（iii）如通过电子讯息传送，则邮件发出之日为送达之日。</w:t>
      </w:r>
    </w:p>
    <w:p>
      <w:pPr>
        <w:spacing w:line="360" w:lineRule="auto"/>
        <w:ind w:firstLine="420" w:firstLineChars="200"/>
      </w:pPr>
      <w:r>
        <w:t>14.3本条所述通知地址及联系方式的变更应告知对方，通知按上述地址发出的，视为完成通知义务。</w:t>
      </w:r>
    </w:p>
    <w:p>
      <w:pPr>
        <w:spacing w:line="360" w:lineRule="auto"/>
        <w:ind w:firstLine="482"/>
        <w:rPr>
          <w:b/>
          <w:bCs/>
        </w:rPr>
      </w:pPr>
      <w:r>
        <w:rPr>
          <w:b/>
          <w:bCs/>
        </w:rPr>
        <w:t>十五、合同生效及其他</w:t>
      </w:r>
    </w:p>
    <w:p>
      <w:pPr>
        <w:spacing w:line="360" w:lineRule="auto"/>
        <w:ind w:firstLine="420" w:firstLineChars="200"/>
      </w:pPr>
      <w:r>
        <w:t>15.1本合同自双方签署之日起生效，合同有效期至</w:t>
      </w:r>
      <w:r>
        <w:rPr>
          <w:rFonts w:hint="eastAsia"/>
          <w:color w:val="000000"/>
          <w:shd w:val="clear" w:color="auto" w:fill="FFFFFF"/>
        </w:rPr>
        <w:t>合同项下所有权利义务履行完毕之日止</w:t>
      </w:r>
      <w:r>
        <w:t>。</w:t>
      </w:r>
    </w:p>
    <w:p>
      <w:pPr>
        <w:spacing w:line="360" w:lineRule="auto"/>
        <w:ind w:firstLine="420" w:firstLineChars="200"/>
      </w:pPr>
      <w:r>
        <w:t>15.2本合同一式【</w:t>
      </w:r>
      <w:r>
        <w:rPr>
          <w:rFonts w:hint="eastAsia"/>
        </w:rPr>
        <w:t>捌</w:t>
      </w:r>
      <w:r>
        <w:t>】份，双方各执【</w:t>
      </w:r>
      <w:r>
        <w:rPr>
          <w:rFonts w:hint="eastAsia"/>
        </w:rPr>
        <w:t>肆</w:t>
      </w:r>
      <w:r>
        <w:t>】份，具有同等法律效力。</w:t>
      </w:r>
    </w:p>
    <w:p>
      <w:pPr>
        <w:spacing w:line="360" w:lineRule="auto"/>
        <w:ind w:firstLine="420" w:firstLineChars="200"/>
      </w:pPr>
      <w:r>
        <w:t>15.3未尽事宜，甲乙双方可签订补充协议，补充协议与本合同具有同等效力。</w:t>
      </w:r>
    </w:p>
    <w:p>
      <w:pPr>
        <w:spacing w:line="360" w:lineRule="auto"/>
        <w:ind w:firstLine="420" w:firstLineChars="200"/>
      </w:pPr>
      <w:r>
        <w:t>15.4附件：招标文件、投标人的投标文件和中标通知书、以及签订的补充协议等作为本合同附件，具有同等法律效力。</w:t>
      </w:r>
    </w:p>
    <w:tbl>
      <w:tblPr>
        <w:tblStyle w:val="1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pPr>
            <w:r>
              <w:t>甲方：</w:t>
            </w:r>
            <w:r>
              <w:rPr>
                <w:rFonts w:hint="eastAsia"/>
              </w:rPr>
              <w:t>宁波市生态环境局</w:t>
            </w:r>
          </w:p>
        </w:tc>
        <w:tc>
          <w:tcPr>
            <w:tcW w:w="4261" w:type="dxa"/>
            <w:vAlign w:val="center"/>
          </w:tcPr>
          <w:p>
            <w:pPr>
              <w:spacing w:line="360" w:lineRule="auto"/>
            </w:pPr>
            <w: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pPr>
            <w:r>
              <w:t>法人或被授权人：</w:t>
            </w:r>
          </w:p>
        </w:tc>
        <w:tc>
          <w:tcPr>
            <w:tcW w:w="4261" w:type="dxa"/>
            <w:vAlign w:val="center"/>
          </w:tcPr>
          <w:p>
            <w:pPr>
              <w:spacing w:line="360" w:lineRule="auto"/>
            </w:pPr>
            <w:r>
              <w:t>法人或被授权人：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60" w:lineRule="auto"/>
              <w:ind w:firstLine="420" w:firstLineChars="200"/>
            </w:pPr>
            <w:r>
              <w:t>年    月    日</w:t>
            </w:r>
          </w:p>
        </w:tc>
        <w:tc>
          <w:tcPr>
            <w:tcW w:w="4261" w:type="dxa"/>
            <w:vAlign w:val="center"/>
          </w:tcPr>
          <w:p>
            <w:pPr>
              <w:spacing w:line="360" w:lineRule="auto"/>
            </w:pPr>
            <w:r>
              <w:t xml:space="preserve">  </w:t>
            </w:r>
            <w:r>
              <w:rPr>
                <w:rFonts w:hint="eastAsia"/>
              </w:rPr>
              <w:t xml:space="preserve">  </w:t>
            </w:r>
            <w:r>
              <w:t>年    月    日</w:t>
            </w:r>
          </w:p>
        </w:tc>
      </w:tr>
    </w:tbl>
    <w:p>
      <w:pPr>
        <w:ind w:right="404"/>
      </w:pPr>
    </w:p>
    <w:p>
      <w:pPr>
        <w:ind w:right="404"/>
        <w:rPr>
          <w:color w:val="000000"/>
          <w:spacing w:val="-4"/>
          <w:szCs w:val="21"/>
        </w:rPr>
      </w:pPr>
      <w:r>
        <w:rPr>
          <w:color w:val="000000"/>
          <w:spacing w:val="-4"/>
          <w:szCs w:val="21"/>
        </w:rPr>
        <w:br w:type="page"/>
      </w:r>
    </w:p>
    <w:p>
      <w:pPr>
        <w:pStyle w:val="3"/>
        <w:numPr>
          <w:ilvl w:val="0"/>
          <w:numId w:val="10"/>
        </w:numPr>
        <w:spacing w:before="0" w:after="0" w:line="360" w:lineRule="auto"/>
        <w:ind w:left="1134"/>
        <w:jc w:val="center"/>
        <w:rPr>
          <w:rFonts w:ascii="Times New Roman" w:hAnsi="Times New Roman"/>
          <w:color w:val="000000"/>
        </w:rPr>
      </w:pPr>
      <w:bookmarkStart w:id="541" w:name="_Toc17707964"/>
      <w:bookmarkStart w:id="542" w:name="_Toc109989396"/>
      <w:r>
        <w:rPr>
          <w:rFonts w:ascii="Times New Roman" w:hAnsi="Times New Roman"/>
          <w:color w:val="000000"/>
        </w:rPr>
        <w:t>投标文件格式</w:t>
      </w:r>
      <w:bookmarkEnd w:id="539"/>
      <w:bookmarkEnd w:id="541"/>
      <w:bookmarkEnd w:id="542"/>
    </w:p>
    <w:p>
      <w:pPr>
        <w:snapToGrid w:val="0"/>
        <w:spacing w:line="360" w:lineRule="auto"/>
        <w:jc w:val="center"/>
        <w:rPr>
          <w:b/>
          <w:bCs/>
          <w:sz w:val="24"/>
          <w:szCs w:val="21"/>
        </w:rPr>
      </w:pPr>
      <w:r>
        <w:rPr>
          <w:b/>
          <w:bCs/>
          <w:sz w:val="24"/>
          <w:szCs w:val="21"/>
        </w:rPr>
        <w:t>自评分表格（做进商务技术文件中）</w:t>
      </w:r>
    </w:p>
    <w:p>
      <w:pPr>
        <w:snapToGrid w:val="0"/>
        <w:spacing w:line="360" w:lineRule="auto"/>
        <w:jc w:val="center"/>
        <w:rPr>
          <w:b/>
          <w:bCs/>
          <w:sz w:val="24"/>
          <w:szCs w:val="21"/>
        </w:rPr>
      </w:pPr>
    </w:p>
    <w:p>
      <w:pPr>
        <w:snapToGrid w:val="0"/>
        <w:spacing w:line="360" w:lineRule="auto"/>
        <w:jc w:val="center"/>
        <w:rPr>
          <w:b/>
          <w:bCs/>
          <w:sz w:val="24"/>
          <w:szCs w:val="21"/>
        </w:rPr>
      </w:pPr>
      <w:r>
        <w:rPr>
          <w:b/>
          <w:bCs/>
          <w:sz w:val="24"/>
          <w:szCs w:val="21"/>
        </w:rPr>
        <w:t>根据评分标准的表格自行制定自评分表格</w:t>
      </w:r>
    </w:p>
    <w:p>
      <w:pPr>
        <w:snapToGrid w:val="0"/>
        <w:spacing w:line="360" w:lineRule="auto"/>
        <w:jc w:val="center"/>
        <w:rPr>
          <w:b/>
          <w:bCs/>
          <w:szCs w:val="21"/>
        </w:rPr>
      </w:pPr>
    </w:p>
    <w:p>
      <w:pPr>
        <w:snapToGrid w:val="0"/>
        <w:spacing w:line="360" w:lineRule="auto"/>
        <w:jc w:val="center"/>
        <w:rPr>
          <w:b/>
          <w:bCs/>
          <w:szCs w:val="21"/>
        </w:rPr>
      </w:pPr>
      <w:r>
        <w:rPr>
          <w:b/>
          <w:bCs/>
          <w:szCs w:val="21"/>
        </w:rPr>
        <w:br w:type="page"/>
      </w:r>
    </w:p>
    <w:p>
      <w:pPr>
        <w:snapToGrid w:val="0"/>
        <w:spacing w:line="360" w:lineRule="auto"/>
        <w:jc w:val="center"/>
        <w:rPr>
          <w:b/>
          <w:bCs/>
          <w:szCs w:val="21"/>
        </w:rPr>
      </w:pPr>
      <w:r>
        <w:rPr>
          <w:b/>
          <w:bCs/>
          <w:szCs w:val="21"/>
        </w:rPr>
        <w:t>一、投标格式</w:t>
      </w:r>
    </w:p>
    <w:p>
      <w:pPr>
        <w:snapToGrid w:val="0"/>
        <w:spacing w:line="360" w:lineRule="auto"/>
        <w:jc w:val="center"/>
        <w:rPr>
          <w:szCs w:val="21"/>
        </w:rPr>
      </w:pPr>
    </w:p>
    <w:p>
      <w:pPr>
        <w:snapToGrid w:val="0"/>
        <w:spacing w:line="360" w:lineRule="auto"/>
        <w:rPr>
          <w:bCs/>
          <w:szCs w:val="21"/>
        </w:rPr>
      </w:pPr>
      <w:r>
        <w:rPr>
          <w:b/>
          <w:color w:val="000000"/>
        </w:rPr>
        <w:t>格式一：</w:t>
      </w:r>
      <w:r>
        <w:rPr>
          <w:szCs w:val="21"/>
        </w:rPr>
        <w:t>投标</w:t>
      </w:r>
      <w:r>
        <w:rPr>
          <w:bCs/>
          <w:szCs w:val="21"/>
        </w:rPr>
        <w:t>文件的外包装封面格式：</w:t>
      </w:r>
    </w:p>
    <w:p>
      <w:pPr>
        <w:snapToGrid w:val="0"/>
        <w:spacing w:line="360" w:lineRule="auto"/>
        <w:jc w:val="center"/>
        <w:rPr>
          <w:bCs/>
          <w:szCs w:val="21"/>
        </w:rPr>
      </w:pPr>
    </w:p>
    <w:p>
      <w:pPr>
        <w:jc w:val="center"/>
        <w:rPr>
          <w:b/>
          <w:color w:val="000000"/>
          <w:sz w:val="32"/>
          <w:szCs w:val="32"/>
        </w:rPr>
      </w:pPr>
      <w:r>
        <w:rPr>
          <w:b/>
          <w:color w:val="000000"/>
          <w:sz w:val="32"/>
          <w:szCs w:val="32"/>
        </w:rPr>
        <w:t>投标文件</w:t>
      </w:r>
    </w:p>
    <w:p>
      <w:pPr>
        <w:snapToGrid w:val="0"/>
        <w:spacing w:line="360" w:lineRule="auto"/>
        <w:jc w:val="center"/>
        <w:rPr>
          <w:bCs/>
          <w:szCs w:val="21"/>
        </w:rPr>
      </w:pPr>
    </w:p>
    <w:p>
      <w:pPr>
        <w:snapToGrid w:val="0"/>
        <w:spacing w:line="360" w:lineRule="auto"/>
        <w:ind w:firstLine="420" w:firstLineChars="200"/>
        <w:rPr>
          <w:bCs/>
          <w:szCs w:val="21"/>
        </w:rPr>
      </w:pPr>
      <w:r>
        <w:rPr>
          <w:bCs/>
          <w:szCs w:val="21"/>
        </w:rPr>
        <w:t>项目名称：</w:t>
      </w:r>
    </w:p>
    <w:p>
      <w:pPr>
        <w:snapToGrid w:val="0"/>
        <w:spacing w:line="360" w:lineRule="auto"/>
        <w:ind w:firstLine="420" w:firstLineChars="200"/>
        <w:rPr>
          <w:bCs/>
          <w:szCs w:val="21"/>
        </w:rPr>
      </w:pPr>
      <w:r>
        <w:rPr>
          <w:bCs/>
          <w:szCs w:val="21"/>
        </w:rPr>
        <w:t>项目编号：</w:t>
      </w:r>
    </w:p>
    <w:p>
      <w:pPr>
        <w:snapToGrid w:val="0"/>
        <w:spacing w:line="360" w:lineRule="auto"/>
        <w:ind w:firstLine="420" w:firstLineChars="200"/>
        <w:rPr>
          <w:bCs/>
          <w:szCs w:val="21"/>
        </w:rPr>
      </w:pPr>
      <w:r>
        <w:rPr>
          <w:bCs/>
          <w:szCs w:val="21"/>
        </w:rPr>
        <w:t>标段</w:t>
      </w:r>
      <w:r>
        <w:rPr>
          <w:rFonts w:hint="eastAsia"/>
          <w:bCs/>
          <w:szCs w:val="21"/>
        </w:rPr>
        <w:t>：</w:t>
      </w:r>
    </w:p>
    <w:p>
      <w:pPr>
        <w:snapToGrid w:val="0"/>
        <w:spacing w:line="360" w:lineRule="auto"/>
        <w:jc w:val="center"/>
        <w:rPr>
          <w:bCs/>
          <w:szCs w:val="21"/>
        </w:rPr>
      </w:pPr>
      <w:r>
        <w:rPr>
          <w:bCs/>
          <w:szCs w:val="21"/>
        </w:rPr>
        <w:t>文件类型：（资格证明文件、商务技术文件、报价文件）</w:t>
      </w:r>
    </w:p>
    <w:p>
      <w:pPr>
        <w:snapToGrid w:val="0"/>
        <w:spacing w:line="360" w:lineRule="auto"/>
        <w:ind w:firstLine="420" w:firstLineChars="200"/>
        <w:rPr>
          <w:bCs/>
          <w:szCs w:val="21"/>
        </w:rPr>
      </w:pPr>
      <w:r>
        <w:rPr>
          <w:bCs/>
          <w:szCs w:val="21"/>
        </w:rPr>
        <w:t>供应商名称：</w:t>
      </w:r>
    </w:p>
    <w:p>
      <w:pPr>
        <w:snapToGrid w:val="0"/>
        <w:spacing w:line="360" w:lineRule="auto"/>
        <w:ind w:firstLine="420" w:firstLineChars="200"/>
        <w:rPr>
          <w:bCs/>
          <w:szCs w:val="21"/>
        </w:rPr>
      </w:pPr>
      <w:r>
        <w:rPr>
          <w:bCs/>
          <w:szCs w:val="21"/>
        </w:rPr>
        <w:t>供应商地址：</w:t>
      </w:r>
    </w:p>
    <w:p>
      <w:pPr>
        <w:snapToGrid w:val="0"/>
        <w:spacing w:line="360" w:lineRule="auto"/>
        <w:jc w:val="center"/>
        <w:rPr>
          <w:bCs/>
          <w:szCs w:val="21"/>
        </w:rPr>
      </w:pPr>
      <w:r>
        <w:rPr>
          <w:bCs/>
          <w:szCs w:val="21"/>
        </w:rPr>
        <w:t>开标时启封</w:t>
      </w:r>
    </w:p>
    <w:p>
      <w:pPr>
        <w:snapToGrid w:val="0"/>
        <w:spacing w:line="360" w:lineRule="auto"/>
        <w:jc w:val="center"/>
        <w:rPr>
          <w:bCs/>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r>
        <w:rPr>
          <w:szCs w:val="21"/>
        </w:rPr>
        <w:t>2.商务</w:t>
      </w:r>
      <w:r>
        <w:rPr>
          <w:bCs/>
          <w:szCs w:val="21"/>
        </w:rPr>
        <w:t>技术</w:t>
      </w:r>
      <w:r>
        <w:rPr>
          <w:szCs w:val="21"/>
        </w:rPr>
        <w:t>文件封面格式：</w:t>
      </w:r>
    </w:p>
    <w:p>
      <w:pPr>
        <w:snapToGrid w:val="0"/>
        <w:spacing w:line="360" w:lineRule="auto"/>
        <w:rPr>
          <w:b/>
          <w:bCs/>
          <w:szCs w:val="21"/>
        </w:rPr>
      </w:pPr>
      <w:r>
        <w:rPr>
          <w:b/>
          <w:bCs/>
          <w:szCs w:val="21"/>
        </w:rPr>
        <w:t>正本/或副本</w:t>
      </w:r>
    </w:p>
    <w:p>
      <w:pPr>
        <w:snapToGrid w:val="0"/>
        <w:spacing w:line="360" w:lineRule="auto"/>
        <w:jc w:val="center"/>
        <w:rPr>
          <w:bCs/>
          <w:szCs w:val="21"/>
        </w:rPr>
      </w:pPr>
    </w:p>
    <w:p>
      <w:pPr>
        <w:jc w:val="center"/>
        <w:rPr>
          <w:b/>
          <w:color w:val="000000"/>
          <w:sz w:val="32"/>
          <w:szCs w:val="32"/>
        </w:rPr>
      </w:pPr>
      <w:r>
        <w:rPr>
          <w:b/>
          <w:color w:val="000000"/>
          <w:sz w:val="32"/>
          <w:szCs w:val="32"/>
        </w:rPr>
        <w:t>投标文件</w:t>
      </w:r>
    </w:p>
    <w:p>
      <w:pPr>
        <w:snapToGrid w:val="0"/>
        <w:spacing w:line="360" w:lineRule="auto"/>
        <w:jc w:val="center"/>
        <w:rPr>
          <w:bCs/>
          <w:szCs w:val="21"/>
        </w:rPr>
      </w:pPr>
    </w:p>
    <w:p>
      <w:pPr>
        <w:snapToGrid w:val="0"/>
        <w:spacing w:line="360" w:lineRule="auto"/>
        <w:ind w:firstLine="420" w:firstLineChars="200"/>
        <w:rPr>
          <w:bCs/>
          <w:szCs w:val="21"/>
        </w:rPr>
      </w:pPr>
      <w:r>
        <w:rPr>
          <w:bCs/>
          <w:szCs w:val="21"/>
        </w:rPr>
        <w:t>项目名称：</w:t>
      </w:r>
    </w:p>
    <w:p>
      <w:pPr>
        <w:snapToGrid w:val="0"/>
        <w:spacing w:line="360" w:lineRule="auto"/>
        <w:ind w:firstLine="420" w:firstLineChars="200"/>
        <w:rPr>
          <w:bCs/>
          <w:szCs w:val="21"/>
        </w:rPr>
      </w:pPr>
      <w:r>
        <w:rPr>
          <w:bCs/>
          <w:szCs w:val="21"/>
        </w:rPr>
        <w:t>项目编号：</w:t>
      </w:r>
    </w:p>
    <w:p>
      <w:pPr>
        <w:snapToGrid w:val="0"/>
        <w:spacing w:line="360" w:lineRule="auto"/>
        <w:ind w:firstLine="420" w:firstLineChars="200"/>
        <w:rPr>
          <w:bCs/>
          <w:szCs w:val="21"/>
        </w:rPr>
      </w:pPr>
      <w:r>
        <w:rPr>
          <w:bCs/>
          <w:szCs w:val="21"/>
        </w:rPr>
        <w:t>标段</w:t>
      </w:r>
      <w:r>
        <w:rPr>
          <w:rFonts w:hint="eastAsia"/>
          <w:bCs/>
          <w:szCs w:val="21"/>
        </w:rPr>
        <w:t>：</w:t>
      </w:r>
    </w:p>
    <w:p>
      <w:pPr>
        <w:snapToGrid w:val="0"/>
        <w:spacing w:line="360" w:lineRule="auto"/>
        <w:jc w:val="center"/>
        <w:rPr>
          <w:bCs/>
          <w:szCs w:val="21"/>
        </w:rPr>
      </w:pPr>
      <w:r>
        <w:rPr>
          <w:bCs/>
          <w:szCs w:val="21"/>
        </w:rPr>
        <w:t>文件类型：（资格证明文件、商务技术文件、报价文件）</w:t>
      </w:r>
    </w:p>
    <w:p>
      <w:pPr>
        <w:snapToGrid w:val="0"/>
        <w:spacing w:line="360" w:lineRule="auto"/>
        <w:ind w:firstLine="420" w:firstLineChars="200"/>
        <w:rPr>
          <w:bCs/>
          <w:szCs w:val="21"/>
        </w:rPr>
      </w:pPr>
      <w:r>
        <w:rPr>
          <w:bCs/>
          <w:szCs w:val="21"/>
        </w:rPr>
        <w:t>供应商名称：</w:t>
      </w:r>
    </w:p>
    <w:p>
      <w:pPr>
        <w:snapToGrid w:val="0"/>
        <w:spacing w:line="360" w:lineRule="auto"/>
        <w:ind w:firstLine="420" w:firstLineChars="200"/>
        <w:rPr>
          <w:bCs/>
          <w:szCs w:val="21"/>
        </w:rPr>
      </w:pPr>
      <w:r>
        <w:rPr>
          <w:bCs/>
          <w:szCs w:val="21"/>
        </w:rPr>
        <w:t>供应商地址：</w:t>
      </w:r>
    </w:p>
    <w:p>
      <w:pPr>
        <w:snapToGrid w:val="0"/>
        <w:spacing w:line="360" w:lineRule="auto"/>
        <w:rPr>
          <w:szCs w:val="21"/>
        </w:rPr>
      </w:pPr>
    </w:p>
    <w:p>
      <w:pPr>
        <w:snapToGrid w:val="0"/>
        <w:spacing w:line="360" w:lineRule="auto"/>
        <w:jc w:val="center"/>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pPr>
        <w:snapToGrid w:val="0"/>
        <w:spacing w:line="360" w:lineRule="auto"/>
        <w:rPr>
          <w:szCs w:val="21"/>
        </w:rPr>
      </w:pPr>
    </w:p>
    <w:p>
      <w:pPr>
        <w:adjustRightInd w:val="0"/>
        <w:snapToGrid w:val="0"/>
        <w:jc w:val="left"/>
        <w:rPr>
          <w:b/>
          <w:color w:val="000000"/>
        </w:rPr>
      </w:pPr>
      <w:r>
        <w:rPr>
          <w:szCs w:val="21"/>
        </w:rPr>
        <w:br w:type="page"/>
      </w:r>
    </w:p>
    <w:p>
      <w:pPr>
        <w:rPr>
          <w:b/>
          <w:color w:val="000000"/>
        </w:rPr>
      </w:pPr>
      <w:r>
        <w:rPr>
          <w:b/>
          <w:color w:val="000000"/>
        </w:rPr>
        <w:t>格式</w:t>
      </w:r>
      <w:r>
        <w:rPr>
          <w:rFonts w:hint="eastAsia"/>
          <w:b/>
          <w:color w:val="000000"/>
        </w:rPr>
        <w:t>二</w:t>
      </w:r>
      <w:r>
        <w:rPr>
          <w:b/>
          <w:color w:val="000000"/>
        </w:rPr>
        <w:t>：</w:t>
      </w:r>
      <w:r>
        <w:rPr>
          <w:rFonts w:hint="eastAsia"/>
          <w:color w:val="000000"/>
          <w:szCs w:val="21"/>
        </w:rPr>
        <w:t>投标人资格声明函</w:t>
      </w:r>
    </w:p>
    <w:p>
      <w:pPr>
        <w:spacing w:line="360" w:lineRule="auto"/>
        <w:jc w:val="center"/>
      </w:pPr>
    </w:p>
    <w:p>
      <w:pPr>
        <w:jc w:val="center"/>
        <w:rPr>
          <w:b/>
          <w:color w:val="000000"/>
          <w:sz w:val="32"/>
          <w:szCs w:val="32"/>
        </w:rPr>
      </w:pPr>
      <w:r>
        <w:rPr>
          <w:rFonts w:hint="eastAsia"/>
          <w:b/>
          <w:color w:val="000000"/>
          <w:sz w:val="32"/>
          <w:szCs w:val="32"/>
        </w:rPr>
        <w:t>投标人资格声明函</w:t>
      </w:r>
    </w:p>
    <w:p>
      <w:pPr>
        <w:jc w:val="center"/>
        <w:rPr>
          <w:b/>
          <w:color w:val="000000"/>
        </w:rPr>
      </w:pPr>
    </w:p>
    <w:p>
      <w:pPr>
        <w:rPr>
          <w:b/>
          <w:color w:val="000000"/>
        </w:rPr>
      </w:pPr>
      <w:r>
        <w:rPr>
          <w:b/>
          <w:color w:val="000000"/>
        </w:rPr>
        <w:t>浙江中创招投标有限公司：</w:t>
      </w:r>
    </w:p>
    <w:p>
      <w:pPr>
        <w:pStyle w:val="2"/>
        <w:numPr>
          <w:ilvl w:val="0"/>
          <w:numId w:val="0"/>
        </w:numPr>
      </w:pPr>
    </w:p>
    <w:p>
      <w:pPr>
        <w:snapToGrid w:val="0"/>
        <w:spacing w:before="120" w:beforeLines="50" w:line="360" w:lineRule="auto"/>
        <w:ind w:firstLine="424" w:firstLineChars="202"/>
        <w:rPr>
          <w:color w:val="000000"/>
        </w:rPr>
      </w:pPr>
      <w:r>
        <w:rPr>
          <w:color w:val="000000"/>
        </w:rPr>
        <w:t>关于你贵司项目（项目编号：</w:t>
      </w:r>
      <w:r>
        <w:rPr>
          <w:rFonts w:hint="eastAsia"/>
          <w:color w:val="000000"/>
          <w:u w:val="single"/>
        </w:rPr>
        <w:t xml:space="preserve">     </w:t>
      </w:r>
      <w:r>
        <w:rPr>
          <w:color w:val="000000"/>
        </w:rPr>
        <w:t>）的采购公告，本公司（企业）愿意参加投标，并声明：</w:t>
      </w:r>
    </w:p>
    <w:p>
      <w:pPr>
        <w:snapToGrid w:val="0"/>
        <w:spacing w:line="360" w:lineRule="auto"/>
        <w:ind w:firstLine="424" w:firstLineChars="202"/>
        <w:rPr>
          <w:color w:val="000000"/>
        </w:rPr>
      </w:pPr>
      <w:r>
        <w:rPr>
          <w:color w:val="000000"/>
        </w:rPr>
        <w:t>本公司（企业）具备</w:t>
      </w:r>
      <w:r>
        <w:rPr>
          <w:bCs/>
          <w:color w:val="000000"/>
          <w:szCs w:val="21"/>
        </w:rPr>
        <w:t>《中华人民共和国政府采购法》第二十二条资格条件，</w:t>
      </w:r>
      <w:r>
        <w:rPr>
          <w:color w:val="000000"/>
        </w:rPr>
        <w:t>并已清楚采购文件的要求及有关文件规定。</w:t>
      </w:r>
    </w:p>
    <w:p>
      <w:pPr>
        <w:snapToGrid w:val="0"/>
        <w:spacing w:line="360" w:lineRule="auto"/>
        <w:ind w:firstLine="424" w:firstLineChars="202"/>
        <w:rPr>
          <w:color w:val="000000"/>
        </w:rPr>
      </w:pPr>
      <w:r>
        <w:rPr>
          <w:color w:val="000000"/>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color w:val="000000"/>
        </w:rPr>
      </w:pPr>
      <w:r>
        <w:rPr>
          <w:color w:val="000000"/>
        </w:rPr>
        <w:t>根据《中华人民共和国政府采购法实施条例》的规定，本公司（企业）如为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color w:val="000000"/>
        </w:rPr>
      </w:pPr>
      <w:r>
        <w:rPr>
          <w:b/>
          <w:color w:val="000000"/>
        </w:rPr>
        <w:t>本公司（企业）具有履行合同所必需的设备和专业技术能力，且本公司（企业）参加政府采购活动前3年内在经营活动中没有重大违法记录。</w:t>
      </w:r>
      <w:r>
        <w:rPr>
          <w:color w:val="000000"/>
        </w:rPr>
        <w:t>否则，由此所造成的损失、不良后果及法律责任，一律由我公司（企业）承担。</w:t>
      </w:r>
    </w:p>
    <w:p>
      <w:pPr>
        <w:snapToGrid w:val="0"/>
        <w:spacing w:line="360" w:lineRule="auto"/>
        <w:ind w:firstLine="424" w:firstLineChars="202"/>
        <w:rPr>
          <w:color w:val="000000"/>
        </w:rPr>
      </w:pPr>
      <w:r>
        <w:rPr>
          <w:color w:val="000000"/>
        </w:rPr>
        <w:t>本次招标采购活动中，如有违法、违规、弄虚作假行为，所造成的损失、不良后果及法律责任，一律由我公司（企业）承担。</w:t>
      </w:r>
    </w:p>
    <w:p>
      <w:pPr>
        <w:spacing w:line="360" w:lineRule="auto"/>
        <w:ind w:firstLine="420"/>
        <w:rPr>
          <w:b/>
          <w:color w:val="000000"/>
        </w:rPr>
      </w:pPr>
    </w:p>
    <w:p>
      <w:pPr>
        <w:spacing w:line="360" w:lineRule="auto"/>
        <w:ind w:firstLine="420"/>
        <w:rPr>
          <w:b/>
          <w:color w:val="000000"/>
        </w:rPr>
      </w:pPr>
    </w:p>
    <w:p>
      <w:pPr>
        <w:spacing w:line="360" w:lineRule="auto"/>
        <w:ind w:firstLine="420"/>
        <w:rPr>
          <w:b/>
          <w:color w:val="000000"/>
        </w:rPr>
      </w:pPr>
      <w:r>
        <w:rPr>
          <w:b/>
          <w:color w:val="000000"/>
        </w:rPr>
        <w:t>特此声明！</w:t>
      </w: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adjustRightInd w:val="0"/>
        <w:snapToGrid w:val="0"/>
        <w:spacing w:line="360" w:lineRule="auto"/>
        <w:ind w:left="425"/>
        <w:rPr>
          <w:color w:val="000000"/>
          <w:spacing w:val="4"/>
        </w:rPr>
      </w:pPr>
    </w:p>
    <w:p>
      <w:pPr>
        <w:widowControl/>
        <w:spacing w:line="360" w:lineRule="auto"/>
        <w:jc w:val="left"/>
        <w:rPr>
          <w:color w:val="000000"/>
          <w:sz w:val="24"/>
        </w:rPr>
      </w:pPr>
      <w:r>
        <w:rPr>
          <w:color w:val="000000"/>
          <w:sz w:val="24"/>
        </w:rPr>
        <w:t>投标人（盖章）：</w:t>
      </w:r>
    </w:p>
    <w:p>
      <w:pPr>
        <w:widowControl/>
        <w:spacing w:line="360" w:lineRule="auto"/>
        <w:jc w:val="left"/>
        <w:rPr>
          <w:color w:val="000000"/>
          <w:sz w:val="24"/>
        </w:rPr>
      </w:pPr>
      <w:r>
        <w:rPr>
          <w:color w:val="000000"/>
          <w:sz w:val="24"/>
        </w:rPr>
        <w:t>法定代表人或其授权代表（签字或盖章）：</w:t>
      </w:r>
    </w:p>
    <w:p>
      <w:pPr>
        <w:widowControl/>
        <w:spacing w:line="360" w:lineRule="auto"/>
        <w:jc w:val="left"/>
        <w:rPr>
          <w:color w:val="000000"/>
          <w:sz w:val="24"/>
        </w:rPr>
      </w:pPr>
      <w:r>
        <w:rPr>
          <w:color w:val="000000"/>
          <w:sz w:val="24"/>
        </w:rPr>
        <w:t>日期：</w:t>
      </w:r>
    </w:p>
    <w:p>
      <w:pPr>
        <w:spacing w:line="360" w:lineRule="auto"/>
        <w:rPr>
          <w:b/>
          <w:color w:val="000000"/>
        </w:rPr>
      </w:pPr>
      <w:r>
        <w:rPr>
          <w:color w:val="000000"/>
          <w:sz w:val="24"/>
        </w:rPr>
        <w:br w:type="page"/>
      </w:r>
    </w:p>
    <w:p>
      <w:pPr>
        <w:spacing w:line="360" w:lineRule="auto"/>
        <w:jc w:val="left"/>
        <w:rPr>
          <w:color w:val="000000"/>
          <w:szCs w:val="21"/>
        </w:rPr>
      </w:pPr>
      <w:r>
        <w:rPr>
          <w:b/>
          <w:color w:val="000000"/>
        </w:rPr>
        <w:t>格式</w:t>
      </w:r>
      <w:r>
        <w:rPr>
          <w:rFonts w:hint="eastAsia"/>
          <w:b/>
          <w:color w:val="000000"/>
        </w:rPr>
        <w:t>三</w:t>
      </w:r>
      <w:r>
        <w:rPr>
          <w:b/>
          <w:color w:val="000000"/>
        </w:rPr>
        <w:t>：</w:t>
      </w:r>
      <w:r>
        <w:rPr>
          <w:color w:val="000000"/>
          <w:szCs w:val="21"/>
        </w:rPr>
        <w:t>法定代表人的身份证明</w:t>
      </w:r>
    </w:p>
    <w:p>
      <w:pPr>
        <w:jc w:val="center"/>
        <w:rPr>
          <w:b/>
          <w:color w:val="000000"/>
          <w:sz w:val="32"/>
          <w:szCs w:val="32"/>
        </w:rPr>
      </w:pPr>
    </w:p>
    <w:p>
      <w:pPr>
        <w:jc w:val="center"/>
        <w:rPr>
          <w:b/>
          <w:color w:val="000000"/>
          <w:sz w:val="32"/>
          <w:szCs w:val="32"/>
        </w:rPr>
      </w:pPr>
      <w:r>
        <w:rPr>
          <w:b/>
          <w:color w:val="000000"/>
          <w:sz w:val="32"/>
          <w:szCs w:val="32"/>
        </w:rPr>
        <w:t>法定代表人身份证明</w:t>
      </w:r>
    </w:p>
    <w:p>
      <w:pPr>
        <w:spacing w:line="480" w:lineRule="auto"/>
        <w:jc w:val="center"/>
        <w:rPr>
          <w:bCs/>
          <w:color w:val="000000"/>
          <w:sz w:val="24"/>
        </w:rPr>
      </w:pPr>
    </w:p>
    <w:p>
      <w:pPr>
        <w:spacing w:line="480" w:lineRule="auto"/>
        <w:jc w:val="center"/>
        <w:rPr>
          <w:b/>
          <w:color w:val="000000"/>
          <w:sz w:val="24"/>
        </w:rPr>
      </w:pPr>
      <w:r>
        <w:rPr>
          <w:bCs/>
          <w:color w:val="000000"/>
          <w:sz w:val="24"/>
        </w:rPr>
        <w:t>（法定代表人不参加采购的，此表不用）</w:t>
      </w:r>
    </w:p>
    <w:p>
      <w:pPr>
        <w:spacing w:line="480" w:lineRule="auto"/>
        <w:rPr>
          <w:color w:val="000000"/>
          <w:szCs w:val="21"/>
        </w:rPr>
      </w:pPr>
    </w:p>
    <w:p>
      <w:pPr>
        <w:spacing w:line="480" w:lineRule="auto"/>
        <w:ind w:firstLine="420" w:firstLineChars="200"/>
        <w:rPr>
          <w:color w:val="000000"/>
          <w:szCs w:val="21"/>
        </w:rPr>
      </w:pPr>
      <w:r>
        <w:rPr>
          <w:color w:val="000000"/>
          <w:szCs w:val="21"/>
        </w:rPr>
        <w:t>供应商名称：</w:t>
      </w:r>
    </w:p>
    <w:p>
      <w:pPr>
        <w:spacing w:line="480" w:lineRule="auto"/>
        <w:ind w:firstLine="420" w:firstLineChars="200"/>
        <w:rPr>
          <w:color w:val="000000"/>
          <w:szCs w:val="21"/>
        </w:rPr>
      </w:pPr>
      <w:r>
        <w:rPr>
          <w:color w:val="000000"/>
          <w:szCs w:val="21"/>
        </w:rPr>
        <w:t>单位性质：</w:t>
      </w:r>
    </w:p>
    <w:p>
      <w:pPr>
        <w:spacing w:line="480" w:lineRule="auto"/>
        <w:ind w:firstLine="420" w:firstLineChars="200"/>
        <w:rPr>
          <w:color w:val="000000"/>
          <w:szCs w:val="21"/>
        </w:rPr>
      </w:pPr>
      <w:r>
        <w:rPr>
          <w:color w:val="000000"/>
          <w:szCs w:val="21"/>
        </w:rPr>
        <w:t>地址：</w:t>
      </w:r>
    </w:p>
    <w:p>
      <w:pPr>
        <w:spacing w:line="480" w:lineRule="auto"/>
        <w:ind w:firstLine="420" w:firstLineChars="200"/>
        <w:rPr>
          <w:color w:val="000000"/>
          <w:szCs w:val="21"/>
        </w:rPr>
      </w:pPr>
      <w:r>
        <w:rPr>
          <w:color w:val="000000"/>
          <w:szCs w:val="21"/>
        </w:rPr>
        <w:t>成立时间：  年  月  日</w:t>
      </w:r>
    </w:p>
    <w:p>
      <w:pPr>
        <w:spacing w:line="480" w:lineRule="auto"/>
        <w:ind w:firstLine="420" w:firstLineChars="200"/>
        <w:rPr>
          <w:color w:val="000000"/>
          <w:szCs w:val="21"/>
        </w:rPr>
      </w:pPr>
      <w:r>
        <w:rPr>
          <w:color w:val="000000"/>
          <w:szCs w:val="21"/>
        </w:rPr>
        <w:t>经营期限：</w:t>
      </w:r>
    </w:p>
    <w:p>
      <w:pPr>
        <w:spacing w:line="480" w:lineRule="auto"/>
        <w:ind w:firstLine="420" w:firstLineChars="200"/>
        <w:rPr>
          <w:color w:val="000000"/>
          <w:szCs w:val="21"/>
        </w:rPr>
      </w:pPr>
      <w:r>
        <w:rPr>
          <w:color w:val="000000"/>
          <w:szCs w:val="21"/>
        </w:rPr>
        <w:t>姓名：</w:t>
      </w:r>
    </w:p>
    <w:p>
      <w:pPr>
        <w:spacing w:line="480" w:lineRule="auto"/>
        <w:ind w:firstLine="420" w:firstLineChars="200"/>
        <w:rPr>
          <w:color w:val="000000"/>
          <w:szCs w:val="21"/>
        </w:rPr>
      </w:pPr>
      <w:r>
        <w:rPr>
          <w:color w:val="000000"/>
          <w:szCs w:val="21"/>
        </w:rPr>
        <w:t xml:space="preserve">性别：年龄： </w:t>
      </w:r>
      <w:r>
        <w:rPr>
          <w:rFonts w:hint="eastAsia"/>
          <w:color w:val="000000"/>
          <w:szCs w:val="21"/>
        </w:rPr>
        <w:t xml:space="preserve"> </w:t>
      </w:r>
      <w:r>
        <w:rPr>
          <w:color w:val="000000"/>
          <w:szCs w:val="21"/>
        </w:rPr>
        <w:t>周岁</w:t>
      </w:r>
    </w:p>
    <w:p>
      <w:pPr>
        <w:spacing w:line="480" w:lineRule="auto"/>
        <w:ind w:firstLine="420" w:firstLineChars="200"/>
        <w:rPr>
          <w:color w:val="000000"/>
          <w:szCs w:val="21"/>
        </w:rPr>
      </w:pPr>
      <w:r>
        <w:rPr>
          <w:color w:val="000000"/>
          <w:szCs w:val="21"/>
        </w:rPr>
        <w:t>职务：</w:t>
      </w:r>
    </w:p>
    <w:p>
      <w:pPr>
        <w:spacing w:line="480" w:lineRule="auto"/>
        <w:ind w:firstLine="420" w:firstLineChars="200"/>
        <w:rPr>
          <w:color w:val="000000"/>
          <w:szCs w:val="21"/>
          <w:u w:val="single"/>
        </w:rPr>
      </w:pPr>
      <w:r>
        <w:rPr>
          <w:color w:val="000000"/>
          <w:szCs w:val="21"/>
        </w:rPr>
        <w:t>身份证号码：</w:t>
      </w:r>
    </w:p>
    <w:p>
      <w:pPr>
        <w:spacing w:line="480" w:lineRule="auto"/>
        <w:ind w:firstLine="420" w:firstLineChars="200"/>
        <w:rPr>
          <w:color w:val="000000"/>
          <w:szCs w:val="21"/>
        </w:rPr>
      </w:pPr>
      <w:r>
        <w:rPr>
          <w:color w:val="000000"/>
          <w:szCs w:val="21"/>
        </w:rPr>
        <w:t>系</w:t>
      </w:r>
      <w:r>
        <w:rPr>
          <w:color w:val="000000"/>
          <w:szCs w:val="21"/>
          <w:u w:val="single"/>
        </w:rPr>
        <w:t>（供应商名称）</w:t>
      </w:r>
      <w:r>
        <w:rPr>
          <w:color w:val="000000"/>
          <w:szCs w:val="21"/>
        </w:rPr>
        <w:t>的法定代表人。</w:t>
      </w:r>
    </w:p>
    <w:p>
      <w:pPr>
        <w:spacing w:line="480" w:lineRule="auto"/>
        <w:rPr>
          <w:color w:val="000000"/>
          <w:szCs w:val="21"/>
        </w:rPr>
      </w:pPr>
    </w:p>
    <w:p>
      <w:pPr>
        <w:spacing w:line="480" w:lineRule="auto"/>
        <w:rPr>
          <w:color w:val="000000"/>
          <w:szCs w:val="21"/>
        </w:rPr>
      </w:pPr>
      <w:r>
        <w:rPr>
          <w:color w:val="000000"/>
          <w:szCs w:val="21"/>
        </w:rPr>
        <w:t>特此证明。</w:t>
      </w:r>
    </w:p>
    <w:p>
      <w:pPr>
        <w:spacing w:line="360" w:lineRule="auto"/>
        <w:ind w:firstLine="420" w:firstLineChars="200"/>
        <w:rPr>
          <w:color w:val="000000"/>
          <w:szCs w:val="21"/>
        </w:rPr>
      </w:pPr>
    </w:p>
    <w:p>
      <w:pPr>
        <w:spacing w:line="360" w:lineRule="auto"/>
        <w:ind w:firstLine="420" w:firstLineChars="200"/>
        <w:rPr>
          <w:color w:val="000000"/>
          <w:szCs w:val="21"/>
        </w:rPr>
      </w:pPr>
    </w:p>
    <w:p>
      <w:pPr>
        <w:wordWrap w:val="0"/>
        <w:spacing w:line="360" w:lineRule="auto"/>
        <w:ind w:right="420" w:firstLine="3045" w:firstLineChars="1450"/>
        <w:rPr>
          <w:color w:val="000000"/>
          <w:szCs w:val="21"/>
        </w:rPr>
      </w:pPr>
      <w:r>
        <w:rPr>
          <w:color w:val="000000"/>
          <w:szCs w:val="21"/>
        </w:rPr>
        <w:t>供应商：（盖单位公章）</w:t>
      </w:r>
    </w:p>
    <w:p>
      <w:pPr>
        <w:wordWrap w:val="0"/>
        <w:spacing w:line="360" w:lineRule="auto"/>
        <w:ind w:right="420" w:firstLine="3255" w:firstLineChars="1550"/>
        <w:rPr>
          <w:color w:val="000000"/>
          <w:szCs w:val="21"/>
        </w:rPr>
      </w:pP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pPr>
        <w:spacing w:line="360" w:lineRule="auto"/>
        <w:rPr>
          <w:color w:val="000000"/>
          <w:sz w:val="24"/>
        </w:rPr>
      </w:pPr>
    </w:p>
    <w:p>
      <w:pPr>
        <w:spacing w:line="360" w:lineRule="auto"/>
        <w:rPr>
          <w:b/>
          <w:color w:val="000000"/>
          <w:szCs w:val="21"/>
        </w:rPr>
      </w:pPr>
    </w:p>
    <w:p>
      <w:pPr>
        <w:spacing w:line="360" w:lineRule="auto"/>
        <w:ind w:firstLine="413" w:firstLineChars="196"/>
        <w:rPr>
          <w:b/>
          <w:color w:val="000000"/>
          <w:szCs w:val="21"/>
        </w:rPr>
      </w:pPr>
      <w:r>
        <w:rPr>
          <w:b/>
          <w:color w:val="000000"/>
          <w:szCs w:val="21"/>
        </w:rPr>
        <w:t>附法定代表人身份证复印件（正反面）：</w:t>
      </w:r>
    </w:p>
    <w:p>
      <w:pPr>
        <w:jc w:val="left"/>
        <w:rPr>
          <w:b/>
          <w:color w:val="000000"/>
          <w:szCs w:val="21"/>
        </w:rPr>
      </w:pPr>
      <w:r>
        <w:rPr>
          <w:color w:val="000000"/>
          <w:szCs w:val="21"/>
        </w:rPr>
        <w:br w:type="page"/>
      </w:r>
      <w:r>
        <w:rPr>
          <w:b/>
          <w:color w:val="000000"/>
          <w:szCs w:val="21"/>
        </w:rPr>
        <w:t>格式</w:t>
      </w:r>
      <w:r>
        <w:rPr>
          <w:rFonts w:hint="eastAsia"/>
          <w:b/>
          <w:color w:val="000000"/>
          <w:szCs w:val="21"/>
        </w:rPr>
        <w:t>四</w:t>
      </w:r>
      <w:r>
        <w:rPr>
          <w:b/>
          <w:color w:val="000000"/>
          <w:szCs w:val="21"/>
        </w:rPr>
        <w:t>：</w:t>
      </w:r>
      <w:r>
        <w:rPr>
          <w:color w:val="000000"/>
          <w:szCs w:val="21"/>
        </w:rPr>
        <w:t>法定代表人授权书</w:t>
      </w:r>
    </w:p>
    <w:p>
      <w:pPr>
        <w:jc w:val="center"/>
        <w:rPr>
          <w:b/>
          <w:color w:val="000000"/>
          <w:sz w:val="32"/>
          <w:szCs w:val="32"/>
        </w:rPr>
      </w:pPr>
    </w:p>
    <w:p>
      <w:pPr>
        <w:jc w:val="center"/>
        <w:rPr>
          <w:b/>
          <w:color w:val="000000"/>
          <w:sz w:val="32"/>
          <w:szCs w:val="32"/>
        </w:rPr>
      </w:pPr>
      <w:r>
        <w:rPr>
          <w:b/>
          <w:color w:val="000000"/>
          <w:sz w:val="32"/>
          <w:szCs w:val="32"/>
        </w:rPr>
        <w:t>法定代表人授权委托书</w:t>
      </w:r>
    </w:p>
    <w:p>
      <w:pPr>
        <w:jc w:val="center"/>
        <w:rPr>
          <w:bCs/>
          <w:color w:val="000000"/>
          <w:sz w:val="24"/>
        </w:rPr>
      </w:pPr>
    </w:p>
    <w:p>
      <w:pPr>
        <w:jc w:val="center"/>
        <w:rPr>
          <w:b/>
          <w:color w:val="000000"/>
          <w:sz w:val="32"/>
          <w:szCs w:val="32"/>
        </w:rPr>
      </w:pPr>
      <w:r>
        <w:rPr>
          <w:bCs/>
          <w:color w:val="000000"/>
          <w:sz w:val="24"/>
        </w:rPr>
        <w:t>（法定代表人参加采购的，此表不用）</w:t>
      </w:r>
    </w:p>
    <w:p>
      <w:pPr>
        <w:snapToGrid w:val="0"/>
        <w:spacing w:line="360" w:lineRule="auto"/>
        <w:rPr>
          <w:bCs/>
          <w:color w:val="000000"/>
          <w:sz w:val="24"/>
        </w:rPr>
      </w:pPr>
    </w:p>
    <w:p>
      <w:pPr>
        <w:snapToGrid w:val="0"/>
        <w:spacing w:line="360" w:lineRule="auto"/>
        <w:rPr>
          <w:color w:val="000000"/>
          <w:szCs w:val="21"/>
        </w:rPr>
      </w:pPr>
      <w:r>
        <w:rPr>
          <w:bCs/>
          <w:color w:val="000000"/>
          <w:szCs w:val="21"/>
        </w:rPr>
        <w:t>致：</w:t>
      </w:r>
      <w:r>
        <w:rPr>
          <w:color w:val="000000"/>
          <w:szCs w:val="21"/>
        </w:rPr>
        <w:t>（采购单位名称）：</w:t>
      </w:r>
    </w:p>
    <w:p>
      <w:pPr>
        <w:snapToGrid w:val="0"/>
        <w:spacing w:line="360" w:lineRule="auto"/>
        <w:ind w:firstLine="525" w:firstLineChars="250"/>
        <w:rPr>
          <w:color w:val="000000"/>
          <w:szCs w:val="21"/>
          <w:u w:val="single"/>
        </w:rPr>
      </w:pPr>
      <w:r>
        <w:rPr>
          <w:color w:val="000000"/>
          <w:szCs w:val="21"/>
        </w:rPr>
        <w:t>我</w:t>
      </w:r>
      <w:r>
        <w:rPr>
          <w:color w:val="000000"/>
          <w:szCs w:val="21"/>
          <w:u w:val="single"/>
        </w:rPr>
        <w:t>（姓名）</w:t>
      </w:r>
      <w:r>
        <w:rPr>
          <w:color w:val="000000"/>
          <w:szCs w:val="21"/>
        </w:rPr>
        <w:t>系</w:t>
      </w:r>
      <w:r>
        <w:rPr>
          <w:color w:val="000000"/>
          <w:szCs w:val="21"/>
          <w:u w:val="single"/>
        </w:rPr>
        <w:t>（供应商名称）</w:t>
      </w:r>
      <w:r>
        <w:rPr>
          <w:color w:val="000000"/>
          <w:szCs w:val="21"/>
        </w:rPr>
        <w:t>的法定代表人，现授权委托本单位在职职工</w:t>
      </w:r>
      <w:r>
        <w:rPr>
          <w:color w:val="000000"/>
          <w:szCs w:val="21"/>
          <w:u w:val="single"/>
        </w:rPr>
        <w:t>（姓名）</w:t>
      </w:r>
      <w:r>
        <w:rPr>
          <w:color w:val="000000"/>
          <w:szCs w:val="21"/>
        </w:rPr>
        <w:t>以我方的名义参加</w:t>
      </w:r>
      <w:r>
        <w:rPr>
          <w:color w:val="000000"/>
          <w:szCs w:val="21"/>
          <w:u w:val="single"/>
        </w:rPr>
        <w:t>政府采购（项目名称）</w:t>
      </w:r>
      <w:r>
        <w:rPr>
          <w:color w:val="000000"/>
          <w:szCs w:val="21"/>
        </w:rPr>
        <w:t>项目的</w:t>
      </w:r>
      <w:r>
        <w:t>公开招标</w:t>
      </w:r>
      <w:r>
        <w:rPr>
          <w:color w:val="000000"/>
          <w:szCs w:val="21"/>
        </w:rPr>
        <w:t>活动，</w:t>
      </w:r>
      <w:r>
        <w:t>代表本公司处理公开招标采购活动中的一切事宜</w:t>
      </w:r>
      <w:r>
        <w:rPr>
          <w:color w:val="000000"/>
          <w:szCs w:val="21"/>
        </w:rPr>
        <w:t>。</w:t>
      </w:r>
    </w:p>
    <w:p>
      <w:pPr>
        <w:snapToGrid w:val="0"/>
        <w:spacing w:line="360" w:lineRule="auto"/>
        <w:ind w:firstLine="420" w:firstLineChars="200"/>
        <w:rPr>
          <w:color w:val="000000"/>
          <w:szCs w:val="21"/>
          <w:u w:val="single"/>
        </w:rPr>
      </w:pPr>
      <w:r>
        <w:rPr>
          <w:color w:val="000000"/>
          <w:szCs w:val="21"/>
        </w:rPr>
        <w:t>我方对被授权人的签名事项负全部责任。</w:t>
      </w:r>
    </w:p>
    <w:p>
      <w:pPr>
        <w:snapToGrid w:val="0"/>
        <w:spacing w:line="360" w:lineRule="auto"/>
        <w:ind w:firstLine="420" w:firstLineChars="200"/>
        <w:rPr>
          <w:color w:val="000000"/>
          <w:szCs w:val="21"/>
        </w:rPr>
      </w:pPr>
      <w:r>
        <w:rPr>
          <w:color w:val="000000"/>
          <w:szCs w:val="21"/>
        </w:rPr>
        <w:t>在撤销授权的书面通知以前，本授权书一直有效。被授权人在授权书有效期内签署的所有文件不因授权的撤销而失效。</w:t>
      </w:r>
    </w:p>
    <w:p>
      <w:pPr>
        <w:snapToGrid w:val="0"/>
        <w:spacing w:line="360" w:lineRule="auto"/>
        <w:ind w:firstLine="480"/>
        <w:rPr>
          <w:color w:val="000000"/>
          <w:szCs w:val="21"/>
        </w:rPr>
      </w:pPr>
      <w:r>
        <w:rPr>
          <w:color w:val="000000"/>
          <w:szCs w:val="21"/>
        </w:rPr>
        <w:t>被授权人无转委托权，特此委托。</w:t>
      </w:r>
    </w:p>
    <w:p>
      <w:pPr>
        <w:snapToGrid w:val="0"/>
        <w:spacing w:line="360" w:lineRule="auto"/>
        <w:rPr>
          <w:color w:val="000000"/>
          <w:szCs w:val="21"/>
        </w:rPr>
      </w:pPr>
    </w:p>
    <w:p>
      <w:pPr>
        <w:snapToGrid w:val="0"/>
        <w:spacing w:line="360" w:lineRule="auto"/>
        <w:rPr>
          <w:color w:val="000000"/>
          <w:szCs w:val="21"/>
        </w:rPr>
      </w:pPr>
    </w:p>
    <w:p>
      <w:pPr>
        <w:snapToGrid w:val="0"/>
        <w:spacing w:line="360" w:lineRule="auto"/>
        <w:rPr>
          <w:color w:val="000000"/>
          <w:szCs w:val="21"/>
          <w:u w:val="single"/>
        </w:rPr>
      </w:pPr>
      <w:r>
        <w:rPr>
          <w:color w:val="000000"/>
          <w:szCs w:val="21"/>
        </w:rPr>
        <w:t>被授权人（签字或盖章）：            法定代表人（签字或盖章）：</w:t>
      </w:r>
    </w:p>
    <w:p>
      <w:pPr>
        <w:snapToGrid w:val="0"/>
        <w:spacing w:line="360" w:lineRule="auto"/>
        <w:ind w:firstLine="840" w:firstLineChars="400"/>
        <w:rPr>
          <w:color w:val="000000"/>
          <w:szCs w:val="21"/>
        </w:rPr>
      </w:pPr>
      <w:r>
        <w:rPr>
          <w:color w:val="000000"/>
          <w:szCs w:val="21"/>
        </w:rPr>
        <w:t>职务：                      职务：</w:t>
      </w:r>
    </w:p>
    <w:p>
      <w:pPr>
        <w:snapToGrid w:val="0"/>
        <w:spacing w:line="360" w:lineRule="auto"/>
        <w:rPr>
          <w:color w:val="000000"/>
          <w:szCs w:val="21"/>
        </w:rPr>
      </w:pPr>
      <w:r>
        <w:rPr>
          <w:color w:val="000000"/>
          <w:szCs w:val="21"/>
        </w:rPr>
        <w:t>被授权人身份证号码：</w:t>
      </w:r>
    </w:p>
    <w:p>
      <w:pPr>
        <w:snapToGrid w:val="0"/>
        <w:spacing w:line="360" w:lineRule="auto"/>
        <w:rPr>
          <w:color w:val="000000"/>
          <w:szCs w:val="21"/>
        </w:rPr>
      </w:pPr>
    </w:p>
    <w:p>
      <w:pPr>
        <w:snapToGrid w:val="0"/>
        <w:spacing w:line="360" w:lineRule="auto"/>
        <w:rPr>
          <w:color w:val="000000"/>
          <w:szCs w:val="21"/>
        </w:rPr>
      </w:pPr>
    </w:p>
    <w:p>
      <w:pPr>
        <w:snapToGrid w:val="0"/>
        <w:spacing w:line="360" w:lineRule="auto"/>
        <w:ind w:firstLine="4830" w:firstLineChars="2300"/>
        <w:rPr>
          <w:color w:val="000000"/>
          <w:szCs w:val="21"/>
        </w:rPr>
      </w:pPr>
      <w:r>
        <w:rPr>
          <w:color w:val="000000"/>
          <w:szCs w:val="21"/>
        </w:rPr>
        <w:t>供应商公章：</w:t>
      </w:r>
    </w:p>
    <w:p>
      <w:pPr>
        <w:snapToGrid w:val="0"/>
        <w:spacing w:line="360" w:lineRule="auto"/>
        <w:ind w:firstLine="5040" w:firstLineChars="2400"/>
        <w:rPr>
          <w:color w:val="000000"/>
          <w:szCs w:val="21"/>
        </w:rPr>
      </w:pPr>
      <w:r>
        <w:rPr>
          <w:color w:val="000000"/>
          <w:szCs w:val="21"/>
        </w:rPr>
        <w:t>年  月  日</w:t>
      </w:r>
    </w:p>
    <w:p>
      <w:pPr>
        <w:spacing w:line="360" w:lineRule="auto"/>
        <w:rPr>
          <w:b/>
          <w:color w:val="000000"/>
          <w:szCs w:val="21"/>
        </w:rPr>
      </w:pPr>
    </w:p>
    <w:p>
      <w:pPr>
        <w:spacing w:line="360" w:lineRule="auto"/>
        <w:rPr>
          <w:b/>
          <w:color w:val="000000"/>
          <w:szCs w:val="21"/>
        </w:rPr>
      </w:pPr>
    </w:p>
    <w:p>
      <w:pPr>
        <w:spacing w:line="360" w:lineRule="auto"/>
        <w:ind w:firstLine="103" w:firstLineChars="49"/>
        <w:rPr>
          <w:b/>
          <w:color w:val="000000"/>
          <w:szCs w:val="21"/>
        </w:rPr>
      </w:pPr>
      <w:r>
        <w:rPr>
          <w:b/>
          <w:color w:val="000000"/>
          <w:szCs w:val="21"/>
        </w:rPr>
        <w:t>附：法定代表人身份证复印件（正反面）、授权代表身份证复印件（正反面）、授权代表首次开标之日</w:t>
      </w:r>
      <w:r>
        <w:rPr>
          <w:b/>
          <w:szCs w:val="21"/>
        </w:rPr>
        <w:t>前</w:t>
      </w:r>
      <w:r>
        <w:rPr>
          <w:rFonts w:hint="eastAsia"/>
          <w:b/>
          <w:szCs w:val="21"/>
        </w:rPr>
        <w:t>近三个月内任意一个月</w:t>
      </w:r>
      <w:r>
        <w:rPr>
          <w:b/>
          <w:szCs w:val="21"/>
        </w:rPr>
        <w:t>供应商所缴纳</w:t>
      </w:r>
      <w:r>
        <w:rPr>
          <w:b/>
          <w:color w:val="000000"/>
          <w:szCs w:val="21"/>
        </w:rPr>
        <w:t>的社保证明，以上三项内容均须加盖公章。</w:t>
      </w:r>
    </w:p>
    <w:p>
      <w:pPr>
        <w:rPr>
          <w:color w:val="000000"/>
        </w:rPr>
      </w:pPr>
      <w:r>
        <w:rPr>
          <w:b/>
          <w:color w:val="000000"/>
          <w:szCs w:val="21"/>
        </w:rPr>
        <w:br w:type="page"/>
      </w:r>
      <w:r>
        <w:rPr>
          <w:b/>
          <w:color w:val="000000"/>
          <w:szCs w:val="21"/>
        </w:rPr>
        <w:t>格式</w:t>
      </w:r>
      <w:r>
        <w:rPr>
          <w:rFonts w:hint="eastAsia"/>
          <w:b/>
          <w:color w:val="000000"/>
          <w:szCs w:val="21"/>
        </w:rPr>
        <w:t>五</w:t>
      </w:r>
      <w:r>
        <w:rPr>
          <w:b/>
          <w:color w:val="000000"/>
          <w:szCs w:val="21"/>
        </w:rPr>
        <w:t>：</w:t>
      </w:r>
      <w:r>
        <w:rPr>
          <w:color w:val="000000"/>
          <w:szCs w:val="21"/>
        </w:rPr>
        <w:t>供应商基本情况说明</w:t>
      </w:r>
    </w:p>
    <w:p>
      <w:pPr>
        <w:jc w:val="center"/>
        <w:rPr>
          <w:b/>
          <w:color w:val="000000"/>
          <w:sz w:val="32"/>
          <w:szCs w:val="32"/>
        </w:rPr>
      </w:pPr>
      <w:bookmarkStart w:id="543" w:name="_Toc14746861"/>
      <w:bookmarkStart w:id="544" w:name="_Toc479927873"/>
      <w:bookmarkStart w:id="545" w:name="_Toc225223761"/>
      <w:bookmarkStart w:id="546" w:name="_Toc110393361"/>
      <w:bookmarkStart w:id="547" w:name="_Toc483379796"/>
      <w:bookmarkStart w:id="548" w:name="_Toc488936100"/>
    </w:p>
    <w:p>
      <w:pPr>
        <w:jc w:val="center"/>
        <w:rPr>
          <w:b/>
          <w:color w:val="000000"/>
          <w:sz w:val="32"/>
          <w:szCs w:val="32"/>
        </w:rPr>
      </w:pPr>
      <w:r>
        <w:rPr>
          <w:b/>
          <w:color w:val="000000"/>
          <w:sz w:val="32"/>
          <w:szCs w:val="32"/>
        </w:rPr>
        <w:t>供应商基本情况说明</w:t>
      </w:r>
      <w:bookmarkEnd w:id="543"/>
      <w:bookmarkEnd w:id="544"/>
      <w:bookmarkEnd w:id="545"/>
      <w:bookmarkEnd w:id="546"/>
      <w:bookmarkEnd w:id="547"/>
      <w:bookmarkEnd w:id="548"/>
    </w:p>
    <w:p>
      <w:pPr>
        <w:jc w:val="center"/>
      </w:pPr>
    </w:p>
    <w:tbl>
      <w:tblPr>
        <w:tblStyle w:val="4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单位名称</w:t>
            </w:r>
          </w:p>
        </w:tc>
        <w:tc>
          <w:tcPr>
            <w:tcW w:w="3675" w:type="dxa"/>
            <w:gridSpan w:val="3"/>
            <w:vAlign w:val="center"/>
          </w:tcPr>
          <w:p>
            <w:pPr>
              <w:spacing w:line="0" w:lineRule="atLeast"/>
              <w:jc w:val="center"/>
              <w:rPr>
                <w:color w:val="000000"/>
                <w:szCs w:val="21"/>
              </w:rPr>
            </w:pPr>
          </w:p>
        </w:tc>
        <w:tc>
          <w:tcPr>
            <w:tcW w:w="1785" w:type="dxa"/>
            <w:vAlign w:val="center"/>
          </w:tcPr>
          <w:p>
            <w:pPr>
              <w:spacing w:line="0" w:lineRule="atLeast"/>
              <w:jc w:val="center"/>
              <w:rPr>
                <w:color w:val="000000"/>
                <w:szCs w:val="21"/>
              </w:rPr>
            </w:pPr>
            <w:r>
              <w:rPr>
                <w:color w:val="000000"/>
                <w:szCs w:val="21"/>
              </w:rPr>
              <w:t>组织机构代码</w:t>
            </w:r>
          </w:p>
        </w:tc>
        <w:tc>
          <w:tcPr>
            <w:tcW w:w="2037" w:type="dxa"/>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注册地址</w:t>
            </w:r>
          </w:p>
        </w:tc>
        <w:tc>
          <w:tcPr>
            <w:tcW w:w="3675" w:type="dxa"/>
            <w:gridSpan w:val="3"/>
            <w:vAlign w:val="center"/>
          </w:tcPr>
          <w:p>
            <w:pPr>
              <w:spacing w:line="0" w:lineRule="atLeast"/>
              <w:jc w:val="center"/>
              <w:rPr>
                <w:color w:val="000000"/>
                <w:szCs w:val="21"/>
              </w:rPr>
            </w:pPr>
          </w:p>
        </w:tc>
        <w:tc>
          <w:tcPr>
            <w:tcW w:w="1785" w:type="dxa"/>
            <w:vAlign w:val="center"/>
          </w:tcPr>
          <w:p>
            <w:pPr>
              <w:spacing w:line="0" w:lineRule="atLeast"/>
              <w:jc w:val="center"/>
              <w:rPr>
                <w:color w:val="000000"/>
                <w:szCs w:val="21"/>
              </w:rPr>
            </w:pPr>
            <w:r>
              <w:rPr>
                <w:color w:val="000000"/>
                <w:szCs w:val="21"/>
              </w:rPr>
              <w:t>注册登记号</w:t>
            </w:r>
          </w:p>
        </w:tc>
        <w:tc>
          <w:tcPr>
            <w:tcW w:w="2037" w:type="dxa"/>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经营地址</w:t>
            </w:r>
          </w:p>
        </w:tc>
        <w:tc>
          <w:tcPr>
            <w:tcW w:w="3675" w:type="dxa"/>
            <w:gridSpan w:val="3"/>
            <w:vAlign w:val="center"/>
          </w:tcPr>
          <w:p>
            <w:pPr>
              <w:spacing w:line="0" w:lineRule="atLeast"/>
              <w:jc w:val="center"/>
              <w:rPr>
                <w:color w:val="000000"/>
                <w:szCs w:val="21"/>
              </w:rPr>
            </w:pPr>
          </w:p>
        </w:tc>
        <w:tc>
          <w:tcPr>
            <w:tcW w:w="1785" w:type="dxa"/>
            <w:vAlign w:val="center"/>
          </w:tcPr>
          <w:p>
            <w:pPr>
              <w:spacing w:line="0" w:lineRule="atLeast"/>
              <w:jc w:val="center"/>
              <w:rPr>
                <w:color w:val="000000"/>
                <w:spacing w:val="30"/>
                <w:szCs w:val="21"/>
              </w:rPr>
            </w:pPr>
            <w:r>
              <w:rPr>
                <w:color w:val="000000"/>
                <w:szCs w:val="21"/>
              </w:rPr>
              <w:t>税务登记证号</w:t>
            </w:r>
          </w:p>
        </w:tc>
        <w:tc>
          <w:tcPr>
            <w:tcW w:w="2037" w:type="dxa"/>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单位性质</w:t>
            </w:r>
          </w:p>
        </w:tc>
        <w:tc>
          <w:tcPr>
            <w:tcW w:w="3675" w:type="dxa"/>
            <w:gridSpan w:val="3"/>
            <w:vAlign w:val="center"/>
          </w:tcPr>
          <w:p>
            <w:pPr>
              <w:pStyle w:val="163"/>
              <w:widowControl w:val="0"/>
              <w:spacing w:before="0" w:beforeAutospacing="0" w:after="0" w:afterAutospacing="0" w:line="0" w:lineRule="atLeast"/>
              <w:ind w:left="1320" w:firstLine="420"/>
              <w:rPr>
                <w:rFonts w:ascii="Times New Roman" w:hAnsi="Times New Roman" w:eastAsia="宋体"/>
                <w:color w:val="000000"/>
                <w:kern w:val="2"/>
                <w:sz w:val="21"/>
                <w:szCs w:val="21"/>
              </w:rPr>
            </w:pPr>
          </w:p>
        </w:tc>
        <w:tc>
          <w:tcPr>
            <w:tcW w:w="1785" w:type="dxa"/>
            <w:vAlign w:val="center"/>
          </w:tcPr>
          <w:p>
            <w:pPr>
              <w:spacing w:line="0" w:lineRule="atLeast"/>
              <w:jc w:val="center"/>
              <w:rPr>
                <w:color w:val="000000"/>
                <w:spacing w:val="34"/>
                <w:szCs w:val="21"/>
              </w:rPr>
            </w:pPr>
            <w:r>
              <w:rPr>
                <w:color w:val="000000"/>
                <w:spacing w:val="34"/>
                <w:szCs w:val="21"/>
              </w:rPr>
              <w:t>注册资本</w:t>
            </w:r>
          </w:p>
        </w:tc>
        <w:tc>
          <w:tcPr>
            <w:tcW w:w="2037" w:type="dxa"/>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经营范围</w:t>
            </w:r>
          </w:p>
        </w:tc>
        <w:tc>
          <w:tcPr>
            <w:tcW w:w="3675" w:type="dxa"/>
            <w:gridSpan w:val="3"/>
            <w:vAlign w:val="center"/>
          </w:tcPr>
          <w:p>
            <w:pPr>
              <w:spacing w:line="0" w:lineRule="atLeast"/>
              <w:jc w:val="center"/>
              <w:rPr>
                <w:color w:val="000000"/>
                <w:szCs w:val="21"/>
              </w:rPr>
            </w:pPr>
          </w:p>
        </w:tc>
        <w:tc>
          <w:tcPr>
            <w:tcW w:w="1785" w:type="dxa"/>
            <w:vAlign w:val="center"/>
          </w:tcPr>
          <w:p>
            <w:pPr>
              <w:spacing w:line="0" w:lineRule="atLeast"/>
              <w:jc w:val="center"/>
              <w:rPr>
                <w:color w:val="000000"/>
                <w:szCs w:val="21"/>
              </w:rPr>
            </w:pPr>
            <w:r>
              <w:rPr>
                <w:color w:val="000000"/>
                <w:szCs w:val="21"/>
              </w:rPr>
              <w:t>营业期限</w:t>
            </w:r>
          </w:p>
        </w:tc>
        <w:tc>
          <w:tcPr>
            <w:tcW w:w="2037" w:type="dxa"/>
            <w:vAlign w:val="center"/>
          </w:tcPr>
          <w:p>
            <w:pPr>
              <w:spacing w:line="0" w:lineRule="atLeast"/>
              <w:jc w:val="center"/>
              <w:rPr>
                <w:color w:val="000000"/>
                <w:szCs w:val="21"/>
              </w:rPr>
            </w:pPr>
            <w:r>
              <w:rPr>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资质情况</w:t>
            </w:r>
          </w:p>
        </w:tc>
        <w:tc>
          <w:tcPr>
            <w:tcW w:w="7497" w:type="dxa"/>
            <w:gridSpan w:val="5"/>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员工数量</w:t>
            </w:r>
          </w:p>
        </w:tc>
        <w:tc>
          <w:tcPr>
            <w:tcW w:w="7497" w:type="dxa"/>
            <w:gridSpan w:val="5"/>
            <w:vAlign w:val="center"/>
          </w:tcPr>
          <w:p>
            <w:pPr>
              <w:spacing w:line="0" w:lineRule="atLeast"/>
              <w:rPr>
                <w:color w:val="000000"/>
                <w:szCs w:val="21"/>
              </w:rPr>
            </w:pPr>
            <w:r>
              <w:rPr>
                <w:color w:val="000000"/>
                <w:szCs w:val="21"/>
              </w:rPr>
              <w:t>共   人，其中，高级职称  人，中级职称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联系电话</w:t>
            </w:r>
          </w:p>
        </w:tc>
        <w:tc>
          <w:tcPr>
            <w:tcW w:w="3675" w:type="dxa"/>
            <w:gridSpan w:val="3"/>
            <w:vAlign w:val="center"/>
          </w:tcPr>
          <w:p>
            <w:pPr>
              <w:spacing w:line="0" w:lineRule="atLeast"/>
              <w:jc w:val="center"/>
              <w:rPr>
                <w:color w:val="000000"/>
                <w:szCs w:val="21"/>
              </w:rPr>
            </w:pPr>
          </w:p>
        </w:tc>
        <w:tc>
          <w:tcPr>
            <w:tcW w:w="1785" w:type="dxa"/>
            <w:vAlign w:val="center"/>
          </w:tcPr>
          <w:p>
            <w:pPr>
              <w:spacing w:line="0" w:lineRule="atLeast"/>
              <w:jc w:val="center"/>
              <w:rPr>
                <w:color w:val="000000"/>
                <w:szCs w:val="21"/>
              </w:rPr>
            </w:pPr>
            <w:r>
              <w:rPr>
                <w:color w:val="000000"/>
                <w:szCs w:val="21"/>
              </w:rPr>
              <w:t>传真</w:t>
            </w:r>
          </w:p>
        </w:tc>
        <w:tc>
          <w:tcPr>
            <w:tcW w:w="2037" w:type="dxa"/>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0" w:lineRule="atLeast"/>
              <w:jc w:val="center"/>
              <w:rPr>
                <w:color w:val="000000"/>
                <w:szCs w:val="21"/>
              </w:rPr>
            </w:pPr>
            <w:r>
              <w:rPr>
                <w:color w:val="000000"/>
                <w:szCs w:val="21"/>
              </w:rPr>
              <w:t>主要业绩</w:t>
            </w:r>
          </w:p>
        </w:tc>
        <w:tc>
          <w:tcPr>
            <w:tcW w:w="7497" w:type="dxa"/>
            <w:gridSpan w:val="5"/>
            <w:vAlign w:val="center"/>
          </w:tcPr>
          <w:p>
            <w:pPr>
              <w:spacing w:line="0" w:lineRule="atLeast"/>
              <w:rPr>
                <w:color w:val="000000"/>
                <w:szCs w:val="21"/>
              </w:rPr>
            </w:pPr>
          </w:p>
          <w:p>
            <w:pPr>
              <w:spacing w:line="0" w:lineRule="atLeas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7" w:type="dxa"/>
            <w:gridSpan w:val="6"/>
            <w:vAlign w:val="center"/>
          </w:tcPr>
          <w:p>
            <w:pPr>
              <w:spacing w:line="0" w:lineRule="atLeast"/>
              <w:jc w:val="center"/>
              <w:rPr>
                <w:color w:val="000000"/>
                <w:szCs w:val="21"/>
              </w:rPr>
            </w:pPr>
            <w:r>
              <w:rPr>
                <w:color w:val="000000"/>
                <w:szCs w:val="21"/>
              </w:rPr>
              <w:t>法定代表人基本情况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姓名</w:t>
            </w:r>
          </w:p>
        </w:tc>
        <w:tc>
          <w:tcPr>
            <w:tcW w:w="3675" w:type="dxa"/>
            <w:gridSpan w:val="3"/>
            <w:vAlign w:val="center"/>
          </w:tcPr>
          <w:p>
            <w:pPr>
              <w:spacing w:line="0" w:lineRule="atLeast"/>
              <w:jc w:val="center"/>
              <w:rPr>
                <w:color w:val="000000"/>
                <w:szCs w:val="21"/>
              </w:rPr>
            </w:pPr>
          </w:p>
        </w:tc>
        <w:tc>
          <w:tcPr>
            <w:tcW w:w="1785" w:type="dxa"/>
            <w:vAlign w:val="center"/>
          </w:tcPr>
          <w:p>
            <w:pPr>
              <w:spacing w:line="0" w:lineRule="atLeast"/>
              <w:jc w:val="center"/>
              <w:rPr>
                <w:color w:val="000000"/>
                <w:szCs w:val="21"/>
              </w:rPr>
            </w:pPr>
            <w:r>
              <w:rPr>
                <w:color w:val="000000"/>
                <w:szCs w:val="21"/>
              </w:rPr>
              <w:t>身份证号码</w:t>
            </w:r>
          </w:p>
        </w:tc>
        <w:tc>
          <w:tcPr>
            <w:tcW w:w="2037" w:type="dxa"/>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0" w:lineRule="atLeast"/>
              <w:jc w:val="center"/>
              <w:rPr>
                <w:color w:val="000000"/>
                <w:szCs w:val="21"/>
              </w:rPr>
            </w:pPr>
            <w:r>
              <w:rPr>
                <w:color w:val="000000"/>
                <w:szCs w:val="21"/>
              </w:rPr>
              <w:t>职务</w:t>
            </w:r>
          </w:p>
        </w:tc>
        <w:tc>
          <w:tcPr>
            <w:tcW w:w="1680" w:type="dxa"/>
            <w:vAlign w:val="center"/>
          </w:tcPr>
          <w:p>
            <w:pPr>
              <w:spacing w:line="0" w:lineRule="atLeast"/>
              <w:jc w:val="center"/>
              <w:rPr>
                <w:color w:val="000000"/>
                <w:szCs w:val="21"/>
              </w:rPr>
            </w:pPr>
          </w:p>
        </w:tc>
        <w:tc>
          <w:tcPr>
            <w:tcW w:w="1050" w:type="dxa"/>
            <w:vAlign w:val="center"/>
          </w:tcPr>
          <w:p>
            <w:pPr>
              <w:spacing w:line="0" w:lineRule="atLeast"/>
              <w:jc w:val="center"/>
              <w:rPr>
                <w:color w:val="000000"/>
                <w:szCs w:val="21"/>
              </w:rPr>
            </w:pPr>
            <w:r>
              <w:rPr>
                <w:color w:val="000000"/>
                <w:szCs w:val="21"/>
              </w:rPr>
              <w:t>职称</w:t>
            </w:r>
          </w:p>
        </w:tc>
        <w:tc>
          <w:tcPr>
            <w:tcW w:w="945" w:type="dxa"/>
            <w:vAlign w:val="center"/>
          </w:tcPr>
          <w:p>
            <w:pPr>
              <w:spacing w:line="0" w:lineRule="atLeast"/>
              <w:jc w:val="center"/>
              <w:rPr>
                <w:color w:val="000000"/>
                <w:szCs w:val="21"/>
              </w:rPr>
            </w:pPr>
          </w:p>
        </w:tc>
        <w:tc>
          <w:tcPr>
            <w:tcW w:w="1785" w:type="dxa"/>
            <w:vAlign w:val="center"/>
          </w:tcPr>
          <w:p>
            <w:pPr>
              <w:spacing w:line="0" w:lineRule="atLeast"/>
              <w:jc w:val="center"/>
              <w:rPr>
                <w:color w:val="000000"/>
                <w:szCs w:val="21"/>
              </w:rPr>
            </w:pPr>
            <w:r>
              <w:rPr>
                <w:color w:val="000000"/>
                <w:szCs w:val="21"/>
              </w:rPr>
              <w:t>学历</w:t>
            </w:r>
          </w:p>
        </w:tc>
        <w:tc>
          <w:tcPr>
            <w:tcW w:w="2037" w:type="dxa"/>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967" w:type="dxa"/>
            <w:gridSpan w:val="6"/>
          </w:tcPr>
          <w:p>
            <w:pPr>
              <w:spacing w:line="0" w:lineRule="atLeast"/>
              <w:rPr>
                <w:color w:val="000000"/>
                <w:szCs w:val="21"/>
              </w:rPr>
            </w:pPr>
            <w:r>
              <w:rPr>
                <w:color w:val="000000"/>
                <w:szCs w:val="21"/>
              </w:rPr>
              <w:t>备注:</w:t>
            </w:r>
          </w:p>
        </w:tc>
      </w:tr>
    </w:tbl>
    <w:p>
      <w:pPr>
        <w:spacing w:line="360" w:lineRule="auto"/>
        <w:rPr>
          <w:color w:val="000000"/>
          <w:szCs w:val="21"/>
        </w:rPr>
      </w:pPr>
    </w:p>
    <w:p>
      <w:pPr>
        <w:spacing w:line="360" w:lineRule="auto"/>
        <w:rPr>
          <w:b/>
          <w:color w:val="000000"/>
          <w:szCs w:val="21"/>
        </w:rPr>
      </w:pPr>
      <w:r>
        <w:rPr>
          <w:b/>
          <w:color w:val="000000"/>
          <w:szCs w:val="21"/>
        </w:rPr>
        <w:t>兹证明上述声明是真实、正确的，并提供了全部能提供的资料和数据，我们同意遵照贵方要求出示有关证明文件。</w:t>
      </w:r>
    </w:p>
    <w:p>
      <w:pPr>
        <w:spacing w:line="360" w:lineRule="auto"/>
        <w:rPr>
          <w:b/>
          <w:color w:val="000000"/>
        </w:rPr>
      </w:pPr>
    </w:p>
    <w:p>
      <w:pPr>
        <w:spacing w:line="360" w:lineRule="auto"/>
        <w:rPr>
          <w:b/>
          <w:color w:val="000000"/>
        </w:rPr>
      </w:pPr>
    </w:p>
    <w:p>
      <w:pPr>
        <w:rPr>
          <w:color w:val="000000"/>
        </w:rPr>
      </w:pP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pPr>
        <w:rPr>
          <w:color w:val="000000"/>
        </w:rPr>
      </w:pPr>
    </w:p>
    <w:p>
      <w:pPr>
        <w:rPr>
          <w:b/>
          <w:color w:val="000000"/>
          <w:sz w:val="24"/>
          <w:szCs w:val="21"/>
        </w:rPr>
      </w:pPr>
      <w:r>
        <w:br w:type="page"/>
      </w:r>
      <w:bookmarkStart w:id="549" w:name="_Toc460857952"/>
      <w:r>
        <w:rPr>
          <w:b/>
          <w:color w:val="000000"/>
        </w:rPr>
        <w:t>格式</w:t>
      </w:r>
      <w:bookmarkEnd w:id="549"/>
      <w:r>
        <w:rPr>
          <w:rFonts w:hint="eastAsia"/>
          <w:b/>
          <w:color w:val="000000"/>
        </w:rPr>
        <w:t>六</w:t>
      </w:r>
      <w:r>
        <w:rPr>
          <w:b/>
          <w:color w:val="000000"/>
        </w:rPr>
        <w:t>：</w:t>
      </w:r>
      <w:r>
        <w:rPr>
          <w:color w:val="000000"/>
          <w:szCs w:val="21"/>
        </w:rPr>
        <w:t>商务条款偏离表</w:t>
      </w:r>
    </w:p>
    <w:p>
      <w:pPr>
        <w:pStyle w:val="16"/>
        <w:spacing w:line="400" w:lineRule="exact"/>
        <w:ind w:firstLine="0"/>
        <w:jc w:val="center"/>
        <w:rPr>
          <w:rFonts w:ascii="Times New Roman" w:hAnsi="Times New Roman"/>
          <w:color w:val="000000"/>
          <w:sz w:val="24"/>
          <w:szCs w:val="21"/>
        </w:rPr>
      </w:pPr>
    </w:p>
    <w:p>
      <w:pPr>
        <w:jc w:val="center"/>
        <w:rPr>
          <w:b/>
          <w:color w:val="000000"/>
          <w:sz w:val="32"/>
          <w:szCs w:val="32"/>
        </w:rPr>
      </w:pPr>
      <w:r>
        <w:rPr>
          <w:b/>
          <w:color w:val="000000"/>
          <w:sz w:val="32"/>
          <w:szCs w:val="32"/>
        </w:rPr>
        <w:t>商务条款偏离表</w:t>
      </w:r>
    </w:p>
    <w:p>
      <w:pPr>
        <w:spacing w:line="360" w:lineRule="auto"/>
        <w:jc w:val="center"/>
        <w:rPr>
          <w:b/>
          <w:color w:val="000000"/>
          <w:sz w:val="24"/>
          <w:szCs w:val="21"/>
        </w:rPr>
      </w:pPr>
    </w:p>
    <w:p>
      <w:pPr>
        <w:spacing w:line="360" w:lineRule="auto"/>
        <w:rPr>
          <w:color w:val="000000"/>
          <w:sz w:val="24"/>
        </w:rPr>
      </w:pPr>
      <w:r>
        <w:rPr>
          <w:color w:val="000000"/>
          <w:sz w:val="24"/>
        </w:rPr>
        <w:t>项目名称：</w:t>
      </w:r>
    </w:p>
    <w:p>
      <w:pPr>
        <w:spacing w:line="360" w:lineRule="auto"/>
        <w:rPr>
          <w:color w:val="000000"/>
          <w:sz w:val="24"/>
        </w:rPr>
      </w:pPr>
      <w:r>
        <w:rPr>
          <w:color w:val="000000"/>
          <w:sz w:val="24"/>
        </w:rPr>
        <w:t>采购编号：</w:t>
      </w:r>
    </w:p>
    <w:p>
      <w:pPr>
        <w:spacing w:line="360" w:lineRule="auto"/>
        <w:rPr>
          <w:color w:val="000000"/>
          <w:sz w:val="24"/>
        </w:rPr>
      </w:pPr>
      <w:r>
        <w:rPr>
          <w:color w:val="000000"/>
          <w:sz w:val="24"/>
        </w:rPr>
        <w:t>品目：</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301"/>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sz w:val="24"/>
              </w:rPr>
            </w:pPr>
            <w:r>
              <w:rPr>
                <w:sz w:val="24"/>
              </w:rPr>
              <w:t>序号</w:t>
            </w:r>
          </w:p>
        </w:tc>
        <w:tc>
          <w:tcPr>
            <w:tcW w:w="3150" w:type="dxa"/>
            <w:vAlign w:val="center"/>
          </w:tcPr>
          <w:p>
            <w:pPr>
              <w:jc w:val="center"/>
              <w:rPr>
                <w:sz w:val="24"/>
              </w:rPr>
            </w:pPr>
            <w:r>
              <w:rPr>
                <w:sz w:val="24"/>
              </w:rPr>
              <w:t>采购文件</w:t>
            </w:r>
          </w:p>
          <w:p>
            <w:pPr>
              <w:jc w:val="center"/>
              <w:rPr>
                <w:sz w:val="24"/>
              </w:rPr>
            </w:pPr>
            <w:r>
              <w:rPr>
                <w:sz w:val="24"/>
              </w:rPr>
              <w:t>的商务条款</w:t>
            </w:r>
          </w:p>
        </w:tc>
        <w:tc>
          <w:tcPr>
            <w:tcW w:w="2301" w:type="dxa"/>
            <w:vAlign w:val="center"/>
          </w:tcPr>
          <w:p>
            <w:pPr>
              <w:jc w:val="center"/>
              <w:rPr>
                <w:sz w:val="24"/>
              </w:rPr>
            </w:pPr>
            <w:r>
              <w:rPr>
                <w:sz w:val="24"/>
              </w:rPr>
              <w:t>投标响应文件</w:t>
            </w:r>
          </w:p>
          <w:p>
            <w:pPr>
              <w:jc w:val="center"/>
              <w:rPr>
                <w:sz w:val="24"/>
              </w:rPr>
            </w:pPr>
            <w:r>
              <w:rPr>
                <w:sz w:val="24"/>
              </w:rPr>
              <w:t>的响应</w:t>
            </w:r>
          </w:p>
        </w:tc>
        <w:tc>
          <w:tcPr>
            <w:tcW w:w="2559" w:type="dxa"/>
            <w:vAlign w:val="center"/>
          </w:tcPr>
          <w:p>
            <w:pPr>
              <w:jc w:val="center"/>
              <w:rPr>
                <w:sz w:val="24"/>
              </w:rPr>
            </w:pPr>
            <w:r>
              <w:rPr>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spacing w:line="400" w:lineRule="exact"/>
              <w:jc w:val="center"/>
              <w:rPr>
                <w:sz w:val="24"/>
              </w:rPr>
            </w:pPr>
            <w:r>
              <w:rPr>
                <w:sz w:val="24"/>
              </w:rPr>
              <w:t>1</w:t>
            </w:r>
          </w:p>
        </w:tc>
        <w:tc>
          <w:tcPr>
            <w:tcW w:w="3150" w:type="dxa"/>
            <w:vAlign w:val="center"/>
          </w:tcPr>
          <w:p>
            <w:pPr>
              <w:spacing w:line="400" w:lineRule="exact"/>
              <w:rPr>
                <w:sz w:val="24"/>
              </w:rPr>
            </w:pPr>
          </w:p>
        </w:tc>
        <w:tc>
          <w:tcPr>
            <w:tcW w:w="2301" w:type="dxa"/>
            <w:vAlign w:val="center"/>
          </w:tcPr>
          <w:p>
            <w:pPr>
              <w:jc w:val="center"/>
              <w:rPr>
                <w:sz w:val="24"/>
              </w:rPr>
            </w:pPr>
          </w:p>
        </w:tc>
        <w:tc>
          <w:tcPr>
            <w:tcW w:w="255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spacing w:line="400" w:lineRule="exact"/>
              <w:jc w:val="center"/>
              <w:rPr>
                <w:sz w:val="24"/>
              </w:rPr>
            </w:pPr>
            <w:r>
              <w:rPr>
                <w:sz w:val="24"/>
              </w:rPr>
              <w:t>2</w:t>
            </w:r>
          </w:p>
        </w:tc>
        <w:tc>
          <w:tcPr>
            <w:tcW w:w="3150" w:type="dxa"/>
            <w:vAlign w:val="center"/>
          </w:tcPr>
          <w:p>
            <w:pPr>
              <w:spacing w:line="400" w:lineRule="exact"/>
              <w:ind w:left="120" w:hanging="120" w:hangingChars="50"/>
              <w:rPr>
                <w:sz w:val="24"/>
              </w:rPr>
            </w:pPr>
          </w:p>
        </w:tc>
        <w:tc>
          <w:tcPr>
            <w:tcW w:w="2301" w:type="dxa"/>
            <w:vAlign w:val="center"/>
          </w:tcPr>
          <w:p>
            <w:pPr>
              <w:jc w:val="center"/>
              <w:rPr>
                <w:sz w:val="24"/>
              </w:rPr>
            </w:pPr>
          </w:p>
        </w:tc>
        <w:tc>
          <w:tcPr>
            <w:tcW w:w="255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spacing w:line="400" w:lineRule="exact"/>
              <w:jc w:val="center"/>
              <w:rPr>
                <w:bCs/>
                <w:sz w:val="24"/>
              </w:rPr>
            </w:pPr>
            <w:r>
              <w:rPr>
                <w:bCs/>
                <w:sz w:val="24"/>
              </w:rPr>
              <w:t>3</w:t>
            </w:r>
          </w:p>
        </w:tc>
        <w:tc>
          <w:tcPr>
            <w:tcW w:w="3150" w:type="dxa"/>
            <w:vAlign w:val="center"/>
          </w:tcPr>
          <w:p>
            <w:pPr>
              <w:spacing w:line="400" w:lineRule="exact"/>
              <w:rPr>
                <w:bCs/>
                <w:sz w:val="24"/>
                <w:u w:val="single"/>
              </w:rPr>
            </w:pPr>
          </w:p>
        </w:tc>
        <w:tc>
          <w:tcPr>
            <w:tcW w:w="2301" w:type="dxa"/>
            <w:vAlign w:val="center"/>
          </w:tcPr>
          <w:p>
            <w:pPr>
              <w:jc w:val="center"/>
              <w:rPr>
                <w:sz w:val="24"/>
              </w:rPr>
            </w:pPr>
          </w:p>
        </w:tc>
        <w:tc>
          <w:tcPr>
            <w:tcW w:w="255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spacing w:line="400" w:lineRule="exact"/>
              <w:jc w:val="center"/>
              <w:rPr>
                <w:bCs/>
                <w:sz w:val="24"/>
              </w:rPr>
            </w:pPr>
            <w:r>
              <w:rPr>
                <w:bCs/>
                <w:sz w:val="24"/>
              </w:rPr>
              <w:t>4</w:t>
            </w:r>
          </w:p>
        </w:tc>
        <w:tc>
          <w:tcPr>
            <w:tcW w:w="3150" w:type="dxa"/>
            <w:vAlign w:val="center"/>
          </w:tcPr>
          <w:p>
            <w:pPr>
              <w:spacing w:line="400" w:lineRule="exact"/>
              <w:rPr>
                <w:bCs/>
                <w:sz w:val="24"/>
                <w:u w:val="single"/>
              </w:rPr>
            </w:pPr>
          </w:p>
        </w:tc>
        <w:tc>
          <w:tcPr>
            <w:tcW w:w="2301" w:type="dxa"/>
            <w:vAlign w:val="center"/>
          </w:tcPr>
          <w:p>
            <w:pPr>
              <w:jc w:val="center"/>
              <w:rPr>
                <w:sz w:val="24"/>
              </w:rPr>
            </w:pPr>
          </w:p>
        </w:tc>
        <w:tc>
          <w:tcPr>
            <w:tcW w:w="255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spacing w:line="400" w:lineRule="exact"/>
              <w:jc w:val="center"/>
              <w:rPr>
                <w:bCs/>
                <w:sz w:val="24"/>
              </w:rPr>
            </w:pPr>
            <w:r>
              <w:rPr>
                <w:bCs/>
                <w:sz w:val="24"/>
              </w:rPr>
              <w:t>5</w:t>
            </w:r>
          </w:p>
        </w:tc>
        <w:tc>
          <w:tcPr>
            <w:tcW w:w="3150" w:type="dxa"/>
            <w:vAlign w:val="center"/>
          </w:tcPr>
          <w:p>
            <w:pPr>
              <w:spacing w:line="400" w:lineRule="exact"/>
              <w:rPr>
                <w:bCs/>
                <w:sz w:val="24"/>
                <w:u w:val="single"/>
              </w:rPr>
            </w:pPr>
          </w:p>
        </w:tc>
        <w:tc>
          <w:tcPr>
            <w:tcW w:w="2301" w:type="dxa"/>
            <w:vAlign w:val="center"/>
          </w:tcPr>
          <w:p>
            <w:pPr>
              <w:jc w:val="center"/>
              <w:rPr>
                <w:sz w:val="24"/>
              </w:rPr>
            </w:pPr>
          </w:p>
        </w:tc>
        <w:tc>
          <w:tcPr>
            <w:tcW w:w="255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spacing w:line="400" w:lineRule="exact"/>
              <w:jc w:val="center"/>
              <w:rPr>
                <w:bCs/>
                <w:sz w:val="24"/>
              </w:rPr>
            </w:pPr>
            <w:r>
              <w:rPr>
                <w:bCs/>
                <w:sz w:val="24"/>
              </w:rPr>
              <w:t>6</w:t>
            </w:r>
          </w:p>
        </w:tc>
        <w:tc>
          <w:tcPr>
            <w:tcW w:w="3150" w:type="dxa"/>
            <w:vAlign w:val="center"/>
          </w:tcPr>
          <w:p>
            <w:pPr>
              <w:spacing w:line="400" w:lineRule="exact"/>
              <w:rPr>
                <w:bCs/>
                <w:sz w:val="24"/>
                <w:u w:val="single"/>
              </w:rPr>
            </w:pPr>
          </w:p>
        </w:tc>
        <w:tc>
          <w:tcPr>
            <w:tcW w:w="2301" w:type="dxa"/>
            <w:vAlign w:val="center"/>
          </w:tcPr>
          <w:p>
            <w:pPr>
              <w:jc w:val="center"/>
              <w:rPr>
                <w:sz w:val="24"/>
              </w:rPr>
            </w:pPr>
          </w:p>
        </w:tc>
        <w:tc>
          <w:tcPr>
            <w:tcW w:w="255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spacing w:line="400" w:lineRule="exact"/>
              <w:jc w:val="center"/>
              <w:rPr>
                <w:bCs/>
                <w:sz w:val="24"/>
              </w:rPr>
            </w:pPr>
            <w:r>
              <w:rPr>
                <w:bCs/>
                <w:sz w:val="24"/>
              </w:rPr>
              <w:t>7</w:t>
            </w:r>
          </w:p>
        </w:tc>
        <w:tc>
          <w:tcPr>
            <w:tcW w:w="3150" w:type="dxa"/>
            <w:vAlign w:val="center"/>
          </w:tcPr>
          <w:p>
            <w:pPr>
              <w:spacing w:line="400" w:lineRule="exact"/>
              <w:rPr>
                <w:bCs/>
                <w:sz w:val="24"/>
                <w:u w:val="single"/>
              </w:rPr>
            </w:pPr>
          </w:p>
        </w:tc>
        <w:tc>
          <w:tcPr>
            <w:tcW w:w="2301" w:type="dxa"/>
            <w:vAlign w:val="center"/>
          </w:tcPr>
          <w:p>
            <w:pPr>
              <w:jc w:val="center"/>
              <w:rPr>
                <w:sz w:val="24"/>
              </w:rPr>
            </w:pPr>
          </w:p>
        </w:tc>
        <w:tc>
          <w:tcPr>
            <w:tcW w:w="255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spacing w:line="400" w:lineRule="exact"/>
              <w:jc w:val="center"/>
              <w:rPr>
                <w:bCs/>
                <w:sz w:val="24"/>
              </w:rPr>
            </w:pPr>
            <w:r>
              <w:rPr>
                <w:bCs/>
                <w:sz w:val="24"/>
              </w:rPr>
              <w:t>8</w:t>
            </w:r>
          </w:p>
        </w:tc>
        <w:tc>
          <w:tcPr>
            <w:tcW w:w="3150" w:type="dxa"/>
            <w:vAlign w:val="center"/>
          </w:tcPr>
          <w:p>
            <w:pPr>
              <w:spacing w:line="400" w:lineRule="exact"/>
              <w:rPr>
                <w:bCs/>
                <w:sz w:val="24"/>
                <w:u w:val="single"/>
              </w:rPr>
            </w:pPr>
          </w:p>
        </w:tc>
        <w:tc>
          <w:tcPr>
            <w:tcW w:w="2301" w:type="dxa"/>
            <w:vAlign w:val="center"/>
          </w:tcPr>
          <w:p>
            <w:pPr>
              <w:jc w:val="center"/>
              <w:rPr>
                <w:sz w:val="24"/>
              </w:rPr>
            </w:pPr>
          </w:p>
        </w:tc>
        <w:tc>
          <w:tcPr>
            <w:tcW w:w="2559" w:type="dxa"/>
            <w:vAlign w:val="center"/>
          </w:tcPr>
          <w:p>
            <w:pPr>
              <w:jc w:val="center"/>
              <w:rPr>
                <w:sz w:val="24"/>
              </w:rPr>
            </w:pPr>
          </w:p>
        </w:tc>
      </w:tr>
    </w:tbl>
    <w:p>
      <w:pPr>
        <w:pStyle w:val="16"/>
        <w:spacing w:line="360" w:lineRule="auto"/>
        <w:ind w:left="404" w:hanging="404" w:hangingChars="200"/>
        <w:rPr>
          <w:rFonts w:ascii="Times New Roman" w:hAnsi="Times New Roman"/>
          <w:color w:val="000000"/>
          <w:sz w:val="21"/>
          <w:szCs w:val="21"/>
        </w:rPr>
      </w:pPr>
    </w:p>
    <w:p>
      <w:pPr>
        <w:widowControl/>
        <w:spacing w:line="360" w:lineRule="auto"/>
        <w:jc w:val="left"/>
        <w:rPr>
          <w:color w:val="000000"/>
          <w:sz w:val="24"/>
        </w:rPr>
      </w:pP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pPr>
        <w:pStyle w:val="16"/>
        <w:snapToGrid w:val="0"/>
        <w:spacing w:line="360" w:lineRule="auto"/>
        <w:ind w:firstLine="0"/>
        <w:rPr>
          <w:rFonts w:ascii="Times New Roman" w:hAnsi="Times New Roman"/>
          <w:color w:val="000000"/>
          <w:spacing w:val="0"/>
          <w:sz w:val="24"/>
          <w:szCs w:val="24"/>
        </w:rPr>
      </w:pPr>
      <w:r>
        <w:rPr>
          <w:color w:val="000000"/>
          <w:sz w:val="24"/>
        </w:rPr>
        <w:br w:type="page"/>
      </w:r>
      <w:r>
        <w:rPr>
          <w:b/>
          <w:color w:val="000000"/>
        </w:rPr>
        <w:t>格式</w:t>
      </w:r>
      <w:r>
        <w:rPr>
          <w:rFonts w:hint="eastAsia"/>
          <w:b/>
          <w:color w:val="000000"/>
        </w:rPr>
        <w:t>七</w:t>
      </w:r>
      <w:r>
        <w:rPr>
          <w:b/>
          <w:color w:val="000000"/>
        </w:rPr>
        <w:t>：</w:t>
      </w:r>
      <w:r>
        <w:rPr>
          <w:color w:val="000000"/>
        </w:rPr>
        <w:t>类似项目业绩表</w:t>
      </w:r>
    </w:p>
    <w:p>
      <w:pPr>
        <w:spacing w:line="360" w:lineRule="auto"/>
        <w:jc w:val="center"/>
        <w:rPr>
          <w:color w:val="000000"/>
          <w:u w:val="single"/>
        </w:rPr>
      </w:pPr>
    </w:p>
    <w:p>
      <w:pPr>
        <w:jc w:val="center"/>
        <w:rPr>
          <w:b/>
          <w:color w:val="000000"/>
          <w:sz w:val="32"/>
          <w:szCs w:val="32"/>
        </w:rPr>
      </w:pPr>
      <w:r>
        <w:rPr>
          <w:b/>
          <w:color w:val="000000"/>
          <w:sz w:val="32"/>
          <w:szCs w:val="32"/>
        </w:rPr>
        <w:t>类似项目业绩表</w:t>
      </w:r>
    </w:p>
    <w:p>
      <w:pPr>
        <w:jc w:val="center"/>
        <w:rPr>
          <w:color w:val="000000"/>
          <w:sz w:val="28"/>
        </w:rPr>
      </w:pPr>
    </w:p>
    <w:p>
      <w:pPr>
        <w:spacing w:line="360" w:lineRule="auto"/>
        <w:rPr>
          <w:color w:val="000000"/>
          <w:sz w:val="24"/>
        </w:rPr>
      </w:pPr>
      <w:r>
        <w:rPr>
          <w:color w:val="000000"/>
          <w:sz w:val="24"/>
        </w:rPr>
        <w:t>项目名称：</w:t>
      </w:r>
    </w:p>
    <w:p>
      <w:pPr>
        <w:spacing w:line="360" w:lineRule="auto"/>
        <w:rPr>
          <w:color w:val="000000"/>
          <w:sz w:val="24"/>
        </w:rPr>
      </w:pPr>
      <w:r>
        <w:rPr>
          <w:color w:val="000000"/>
          <w:sz w:val="24"/>
        </w:rPr>
        <w:t>采购编号：</w:t>
      </w:r>
    </w:p>
    <w:p>
      <w:pPr>
        <w:spacing w:line="360" w:lineRule="auto"/>
        <w:rPr>
          <w:color w:val="000000"/>
          <w:sz w:val="24"/>
        </w:rPr>
      </w:pPr>
      <w:r>
        <w:rPr>
          <w:color w:val="000000"/>
          <w:sz w:val="24"/>
        </w:rPr>
        <w:t>品目：</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序号</w:t>
            </w:r>
          </w:p>
        </w:tc>
        <w:tc>
          <w:tcPr>
            <w:tcW w:w="1932" w:type="dxa"/>
            <w:tcBorders>
              <w:top w:val="single" w:color="auto" w:sz="4" w:space="0"/>
              <w:bottom w:val="single" w:color="auto" w:sz="4" w:space="0"/>
            </w:tcBorders>
            <w:tcMar>
              <w:left w:w="0" w:type="dxa"/>
              <w:right w:w="0" w:type="dxa"/>
            </w:tcMar>
            <w:vAlign w:val="center"/>
          </w:tcPr>
          <w:p>
            <w:pPr>
              <w:spacing w:line="0" w:lineRule="atLeast"/>
              <w:jc w:val="center"/>
              <w:rPr>
                <w:color w:val="000000"/>
                <w:szCs w:val="21"/>
              </w:rPr>
            </w:pPr>
            <w:r>
              <w:rPr>
                <w:color w:val="000000"/>
                <w:szCs w:val="21"/>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pPr>
              <w:spacing w:line="0" w:lineRule="atLeast"/>
              <w:jc w:val="center"/>
              <w:rPr>
                <w:color w:val="000000"/>
                <w:szCs w:val="21"/>
              </w:rPr>
            </w:pPr>
          </w:p>
        </w:tc>
        <w:tc>
          <w:tcPr>
            <w:tcW w:w="1932" w:type="dxa"/>
            <w:tcBorders>
              <w:top w:val="single" w:color="auto" w:sz="4" w:space="0"/>
            </w:tcBorders>
            <w:tcMar>
              <w:left w:w="0" w:type="dxa"/>
              <w:right w:w="0" w:type="dxa"/>
            </w:tcMar>
            <w:vAlign w:val="center"/>
          </w:tcPr>
          <w:p>
            <w:pPr>
              <w:spacing w:line="0" w:lineRule="atLeast"/>
              <w:jc w:val="center"/>
              <w:rPr>
                <w:color w:val="000000"/>
                <w:szCs w:val="21"/>
              </w:rPr>
            </w:pPr>
          </w:p>
        </w:tc>
        <w:tc>
          <w:tcPr>
            <w:tcW w:w="2028" w:type="dxa"/>
            <w:tcBorders>
              <w:top w:val="single" w:color="auto" w:sz="4" w:space="0"/>
            </w:tcBorders>
            <w:tcMar>
              <w:left w:w="0" w:type="dxa"/>
              <w:right w:w="0" w:type="dxa"/>
            </w:tcMar>
            <w:vAlign w:val="center"/>
          </w:tcPr>
          <w:p>
            <w:pPr>
              <w:spacing w:line="0" w:lineRule="atLeast"/>
              <w:jc w:val="center"/>
              <w:rPr>
                <w:color w:val="000000"/>
                <w:szCs w:val="21"/>
              </w:rPr>
            </w:pPr>
          </w:p>
        </w:tc>
        <w:tc>
          <w:tcPr>
            <w:tcW w:w="1143" w:type="dxa"/>
            <w:tcBorders>
              <w:top w:val="single" w:color="auto" w:sz="4" w:space="0"/>
            </w:tcBorders>
            <w:tcMar>
              <w:left w:w="0" w:type="dxa"/>
              <w:right w:w="0" w:type="dxa"/>
            </w:tcMar>
            <w:vAlign w:val="center"/>
          </w:tcPr>
          <w:p>
            <w:pPr>
              <w:spacing w:line="0" w:lineRule="atLeast"/>
              <w:jc w:val="center"/>
              <w:rPr>
                <w:color w:val="000000"/>
                <w:szCs w:val="21"/>
              </w:rPr>
            </w:pPr>
          </w:p>
        </w:tc>
        <w:tc>
          <w:tcPr>
            <w:tcW w:w="1260" w:type="dxa"/>
            <w:tcBorders>
              <w:top w:val="single" w:color="auto" w:sz="4" w:space="0"/>
            </w:tcBorders>
            <w:tcMar>
              <w:left w:w="0" w:type="dxa"/>
              <w:right w:w="0" w:type="dxa"/>
            </w:tcMar>
            <w:vAlign w:val="center"/>
          </w:tcPr>
          <w:p>
            <w:pPr>
              <w:spacing w:line="0" w:lineRule="atLeast"/>
              <w:jc w:val="center"/>
              <w:rPr>
                <w:color w:val="000000"/>
                <w:szCs w:val="21"/>
              </w:rPr>
            </w:pPr>
          </w:p>
        </w:tc>
        <w:tc>
          <w:tcPr>
            <w:tcW w:w="2052" w:type="dxa"/>
            <w:tcBorders>
              <w:top w:val="single" w:color="auto" w:sz="4" w:space="0"/>
            </w:tcBorders>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bl>
    <w:p>
      <w:pPr>
        <w:widowControl/>
        <w:spacing w:line="360" w:lineRule="auto"/>
        <w:jc w:val="left"/>
        <w:rPr>
          <w:color w:val="000000"/>
          <w:sz w:val="24"/>
        </w:rPr>
      </w:pP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pPr>
        <w:rPr>
          <w:b/>
          <w:color w:val="000000"/>
        </w:rPr>
      </w:pPr>
      <w:r>
        <w:rPr>
          <w:b/>
          <w:color w:val="000000"/>
          <w:sz w:val="28"/>
          <w:szCs w:val="28"/>
        </w:rPr>
        <w:br w:type="page"/>
      </w:r>
      <w:r>
        <w:rPr>
          <w:b/>
          <w:color w:val="000000"/>
        </w:rPr>
        <w:t>格式</w:t>
      </w:r>
      <w:r>
        <w:rPr>
          <w:rFonts w:hint="eastAsia"/>
          <w:b/>
          <w:color w:val="000000"/>
        </w:rPr>
        <w:t>八</w:t>
      </w:r>
      <w:r>
        <w:rPr>
          <w:b/>
          <w:color w:val="000000"/>
        </w:rPr>
        <w:t>：</w:t>
      </w:r>
      <w:r>
        <w:rPr>
          <w:color w:val="000000"/>
        </w:rPr>
        <w:t>项目</w:t>
      </w:r>
      <w:r>
        <w:rPr>
          <w:rFonts w:hint="eastAsia"/>
          <w:color w:val="000000"/>
        </w:rPr>
        <w:t>总</w:t>
      </w:r>
      <w:r>
        <w:rPr>
          <w:color w:val="000000"/>
        </w:rPr>
        <w:t>负责人简历表</w:t>
      </w:r>
    </w:p>
    <w:p>
      <w:pPr>
        <w:jc w:val="center"/>
        <w:rPr>
          <w:b/>
          <w:color w:val="000000"/>
          <w:sz w:val="32"/>
          <w:szCs w:val="32"/>
        </w:rPr>
      </w:pPr>
    </w:p>
    <w:p>
      <w:pPr>
        <w:jc w:val="center"/>
        <w:rPr>
          <w:b/>
          <w:color w:val="000000"/>
          <w:sz w:val="32"/>
          <w:szCs w:val="32"/>
        </w:rPr>
      </w:pPr>
      <w:r>
        <w:rPr>
          <w:b/>
          <w:color w:val="000000"/>
          <w:sz w:val="32"/>
          <w:szCs w:val="32"/>
        </w:rPr>
        <w:t>项目</w:t>
      </w:r>
      <w:r>
        <w:rPr>
          <w:rFonts w:hint="eastAsia"/>
          <w:b/>
          <w:color w:val="000000"/>
          <w:sz w:val="32"/>
          <w:szCs w:val="32"/>
        </w:rPr>
        <w:t>总</w:t>
      </w:r>
      <w:r>
        <w:rPr>
          <w:b/>
          <w:color w:val="000000"/>
          <w:sz w:val="32"/>
          <w:szCs w:val="32"/>
        </w:rPr>
        <w:t>负责人简历表</w:t>
      </w:r>
    </w:p>
    <w:p>
      <w:pPr>
        <w:spacing w:before="120" w:after="120"/>
        <w:jc w:val="center"/>
        <w:rPr>
          <w:b/>
          <w:bCs/>
          <w:color w:val="000000"/>
          <w:spacing w:val="20"/>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335"/>
        <w:gridCol w:w="508"/>
        <w:gridCol w:w="720"/>
        <w:gridCol w:w="193"/>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 w:val="24"/>
              </w:rPr>
            </w:pPr>
            <w:r>
              <w:rPr>
                <w:sz w:val="24"/>
              </w:rPr>
              <w:t>姓名</w:t>
            </w:r>
          </w:p>
        </w:tc>
        <w:tc>
          <w:tcPr>
            <w:tcW w:w="1335" w:type="dxa"/>
          </w:tcPr>
          <w:p>
            <w:pPr>
              <w:spacing w:line="500" w:lineRule="exact"/>
              <w:ind w:right="25" w:rightChars="12"/>
              <w:jc w:val="center"/>
              <w:rPr>
                <w:sz w:val="24"/>
              </w:rPr>
            </w:pPr>
          </w:p>
        </w:tc>
        <w:tc>
          <w:tcPr>
            <w:tcW w:w="1421" w:type="dxa"/>
            <w:gridSpan w:val="3"/>
          </w:tcPr>
          <w:p>
            <w:pPr>
              <w:spacing w:line="500" w:lineRule="exact"/>
              <w:ind w:right="25" w:rightChars="12"/>
              <w:jc w:val="center"/>
              <w:rPr>
                <w:sz w:val="24"/>
              </w:rPr>
            </w:pPr>
            <w:r>
              <w:rPr>
                <w:sz w:val="24"/>
              </w:rPr>
              <w:t>性别</w:t>
            </w:r>
          </w:p>
        </w:tc>
        <w:tc>
          <w:tcPr>
            <w:tcW w:w="1420" w:type="dxa"/>
          </w:tcPr>
          <w:p>
            <w:pPr>
              <w:spacing w:line="500" w:lineRule="exact"/>
              <w:ind w:right="25" w:rightChars="12"/>
              <w:jc w:val="center"/>
              <w:rPr>
                <w:sz w:val="24"/>
              </w:rPr>
            </w:pPr>
          </w:p>
        </w:tc>
        <w:tc>
          <w:tcPr>
            <w:tcW w:w="1420" w:type="dxa"/>
          </w:tcPr>
          <w:p>
            <w:pPr>
              <w:spacing w:line="500" w:lineRule="exact"/>
              <w:ind w:right="25" w:rightChars="12"/>
              <w:jc w:val="center"/>
              <w:rPr>
                <w:sz w:val="24"/>
              </w:rPr>
            </w:pPr>
            <w:r>
              <w:rPr>
                <w:sz w:val="24"/>
              </w:rPr>
              <w:t>出生年月</w:t>
            </w:r>
          </w:p>
        </w:tc>
        <w:tc>
          <w:tcPr>
            <w:tcW w:w="1421" w:type="dxa"/>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 w:val="24"/>
              </w:rPr>
            </w:pPr>
            <w:r>
              <w:rPr>
                <w:sz w:val="24"/>
              </w:rPr>
              <w:t>专业</w:t>
            </w:r>
          </w:p>
        </w:tc>
        <w:tc>
          <w:tcPr>
            <w:tcW w:w="1335" w:type="dxa"/>
          </w:tcPr>
          <w:p>
            <w:pPr>
              <w:spacing w:line="500" w:lineRule="exact"/>
              <w:ind w:right="25" w:rightChars="12"/>
              <w:jc w:val="center"/>
              <w:rPr>
                <w:sz w:val="24"/>
              </w:rPr>
            </w:pPr>
          </w:p>
        </w:tc>
        <w:tc>
          <w:tcPr>
            <w:tcW w:w="1421" w:type="dxa"/>
            <w:gridSpan w:val="3"/>
          </w:tcPr>
          <w:p>
            <w:pPr>
              <w:spacing w:line="500" w:lineRule="exact"/>
              <w:ind w:right="25" w:rightChars="12"/>
              <w:jc w:val="center"/>
              <w:rPr>
                <w:sz w:val="24"/>
              </w:rPr>
            </w:pPr>
            <w:r>
              <w:rPr>
                <w:sz w:val="24"/>
              </w:rPr>
              <w:t>学历</w:t>
            </w:r>
          </w:p>
        </w:tc>
        <w:tc>
          <w:tcPr>
            <w:tcW w:w="1420" w:type="dxa"/>
          </w:tcPr>
          <w:p>
            <w:pPr>
              <w:spacing w:line="500" w:lineRule="exact"/>
              <w:ind w:right="25" w:rightChars="12"/>
              <w:jc w:val="center"/>
              <w:rPr>
                <w:sz w:val="24"/>
              </w:rPr>
            </w:pPr>
          </w:p>
        </w:tc>
        <w:tc>
          <w:tcPr>
            <w:tcW w:w="1420" w:type="dxa"/>
          </w:tcPr>
          <w:p>
            <w:pPr>
              <w:spacing w:line="500" w:lineRule="exact"/>
              <w:ind w:right="25" w:rightChars="12"/>
              <w:jc w:val="center"/>
              <w:rPr>
                <w:sz w:val="24"/>
              </w:rPr>
            </w:pPr>
            <w:r>
              <w:rPr>
                <w:sz w:val="24"/>
              </w:rPr>
              <w:t>职称</w:t>
            </w:r>
          </w:p>
        </w:tc>
        <w:tc>
          <w:tcPr>
            <w:tcW w:w="1421" w:type="dxa"/>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Cs w:val="21"/>
              </w:rPr>
            </w:pPr>
            <w:r>
              <w:rPr>
                <w:szCs w:val="21"/>
              </w:rPr>
              <w:t>何时参加工作</w:t>
            </w:r>
          </w:p>
        </w:tc>
        <w:tc>
          <w:tcPr>
            <w:tcW w:w="7017" w:type="dxa"/>
            <w:gridSpan w:val="7"/>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Cs w:val="21"/>
              </w:rPr>
            </w:pPr>
            <w:r>
              <w:rPr>
                <w:szCs w:val="21"/>
              </w:rPr>
              <w:t>何时进入公司</w:t>
            </w:r>
          </w:p>
        </w:tc>
        <w:tc>
          <w:tcPr>
            <w:tcW w:w="7017" w:type="dxa"/>
            <w:gridSpan w:val="7"/>
          </w:tcPr>
          <w:p>
            <w:pPr>
              <w:spacing w:line="500" w:lineRule="exact"/>
              <w:ind w:right="25" w:rightChars="1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Cs w:val="21"/>
              </w:rPr>
            </w:pPr>
            <w:r>
              <w:rPr>
                <w:szCs w:val="21"/>
              </w:rPr>
              <w:t>从事项目年限</w:t>
            </w:r>
          </w:p>
        </w:tc>
        <w:tc>
          <w:tcPr>
            <w:tcW w:w="7017" w:type="dxa"/>
            <w:gridSpan w:val="7"/>
          </w:tcPr>
          <w:p>
            <w:pPr>
              <w:spacing w:line="500" w:lineRule="exact"/>
              <w:ind w:right="25" w:rightChars="1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pPr>
              <w:spacing w:line="500" w:lineRule="exact"/>
              <w:ind w:right="25" w:rightChars="12"/>
              <w:jc w:val="center"/>
              <w:rPr>
                <w:b/>
                <w:szCs w:val="21"/>
              </w:rPr>
            </w:pPr>
            <w:r>
              <w:rPr>
                <w:szCs w:val="21"/>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Cs w:val="21"/>
              </w:rPr>
            </w:pPr>
            <w:r>
              <w:rPr>
                <w:szCs w:val="21"/>
              </w:rPr>
              <w:t>业主单位</w:t>
            </w:r>
          </w:p>
        </w:tc>
        <w:tc>
          <w:tcPr>
            <w:tcW w:w="1843" w:type="dxa"/>
            <w:gridSpan w:val="2"/>
          </w:tcPr>
          <w:p>
            <w:pPr>
              <w:spacing w:line="500" w:lineRule="exact"/>
              <w:ind w:right="25" w:rightChars="12"/>
              <w:jc w:val="center"/>
              <w:rPr>
                <w:szCs w:val="21"/>
              </w:rPr>
            </w:pPr>
            <w:r>
              <w:rPr>
                <w:szCs w:val="21"/>
              </w:rPr>
              <w:t>项目名称</w:t>
            </w:r>
          </w:p>
        </w:tc>
        <w:tc>
          <w:tcPr>
            <w:tcW w:w="720" w:type="dxa"/>
          </w:tcPr>
          <w:p>
            <w:pPr>
              <w:spacing w:line="500" w:lineRule="exact"/>
              <w:ind w:right="25" w:rightChars="12"/>
              <w:jc w:val="center"/>
              <w:rPr>
                <w:szCs w:val="21"/>
              </w:rPr>
            </w:pPr>
            <w:r>
              <w:rPr>
                <w:szCs w:val="21"/>
              </w:rPr>
              <w:t>规模</w:t>
            </w:r>
          </w:p>
        </w:tc>
        <w:tc>
          <w:tcPr>
            <w:tcW w:w="1613" w:type="dxa"/>
            <w:gridSpan w:val="2"/>
          </w:tcPr>
          <w:p>
            <w:pPr>
              <w:spacing w:line="500" w:lineRule="exact"/>
              <w:ind w:right="25" w:rightChars="12"/>
              <w:jc w:val="center"/>
              <w:rPr>
                <w:szCs w:val="21"/>
              </w:rPr>
            </w:pPr>
            <w:r>
              <w:rPr>
                <w:szCs w:val="21"/>
              </w:rPr>
              <w:t>合同时间</w:t>
            </w:r>
          </w:p>
        </w:tc>
        <w:tc>
          <w:tcPr>
            <w:tcW w:w="2841" w:type="dxa"/>
            <w:gridSpan w:val="2"/>
          </w:tcPr>
          <w:p>
            <w:pPr>
              <w:spacing w:line="500" w:lineRule="exact"/>
              <w:ind w:right="25" w:rightChars="12"/>
              <w:jc w:val="center"/>
              <w:rPr>
                <w:szCs w:val="21"/>
              </w:rPr>
            </w:pPr>
            <w:r>
              <w:rPr>
                <w:szCs w:val="21"/>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360" w:lineRule="auto"/>
              <w:ind w:right="25" w:rightChars="12"/>
              <w:jc w:val="center"/>
              <w:rPr>
                <w:b/>
                <w:sz w:val="24"/>
              </w:rPr>
            </w:pPr>
          </w:p>
        </w:tc>
        <w:tc>
          <w:tcPr>
            <w:tcW w:w="1843" w:type="dxa"/>
            <w:gridSpan w:val="2"/>
          </w:tcPr>
          <w:p>
            <w:pPr>
              <w:spacing w:line="360" w:lineRule="auto"/>
              <w:ind w:right="25" w:rightChars="12"/>
              <w:jc w:val="center"/>
              <w:rPr>
                <w:b/>
                <w:sz w:val="24"/>
              </w:rPr>
            </w:pPr>
          </w:p>
        </w:tc>
        <w:tc>
          <w:tcPr>
            <w:tcW w:w="720" w:type="dxa"/>
          </w:tcPr>
          <w:p>
            <w:pPr>
              <w:spacing w:line="360" w:lineRule="auto"/>
              <w:ind w:right="25" w:rightChars="12"/>
              <w:jc w:val="center"/>
              <w:rPr>
                <w:b/>
                <w:sz w:val="24"/>
              </w:rPr>
            </w:pPr>
          </w:p>
        </w:tc>
        <w:tc>
          <w:tcPr>
            <w:tcW w:w="1613" w:type="dxa"/>
            <w:gridSpan w:val="2"/>
          </w:tcPr>
          <w:p>
            <w:pPr>
              <w:spacing w:line="360" w:lineRule="auto"/>
              <w:ind w:right="25" w:rightChars="12"/>
              <w:jc w:val="center"/>
              <w:rPr>
                <w:b/>
                <w:sz w:val="24"/>
              </w:rPr>
            </w:pPr>
          </w:p>
        </w:tc>
        <w:tc>
          <w:tcPr>
            <w:tcW w:w="2841" w:type="dxa"/>
            <w:gridSpan w:val="2"/>
          </w:tcPr>
          <w:p>
            <w:pPr>
              <w:spacing w:line="360" w:lineRule="auto"/>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bl>
    <w:p>
      <w:pPr>
        <w:rPr>
          <w:color w:val="000000"/>
          <w:sz w:val="24"/>
        </w:rPr>
      </w:pPr>
    </w:p>
    <w:p>
      <w:pPr>
        <w:widowControl/>
        <w:spacing w:line="360" w:lineRule="auto"/>
        <w:jc w:val="left"/>
        <w:rPr>
          <w:color w:val="000000"/>
          <w:sz w:val="24"/>
        </w:rPr>
      </w:pP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pPr>
        <w:pStyle w:val="52"/>
        <w:rPr>
          <w:kern w:val="0"/>
        </w:rPr>
      </w:pPr>
      <w:r>
        <w:br w:type="page"/>
      </w:r>
    </w:p>
    <w:p>
      <w:pPr>
        <w:rPr>
          <w:b/>
          <w:color w:val="000000"/>
        </w:rPr>
      </w:pPr>
      <w:r>
        <w:rPr>
          <w:b/>
          <w:color w:val="000000"/>
        </w:rPr>
        <w:t>格式</w:t>
      </w:r>
      <w:r>
        <w:rPr>
          <w:rFonts w:hint="eastAsia"/>
          <w:b/>
          <w:color w:val="000000"/>
        </w:rPr>
        <w:t>九</w:t>
      </w:r>
      <w:r>
        <w:rPr>
          <w:b/>
          <w:color w:val="000000"/>
        </w:rPr>
        <w:t>：</w:t>
      </w:r>
      <w:r>
        <w:rPr>
          <w:color w:val="000000"/>
        </w:rPr>
        <w:t>项目</w:t>
      </w:r>
      <w:r>
        <w:rPr>
          <w:rFonts w:hint="eastAsia"/>
          <w:color w:val="000000"/>
        </w:rPr>
        <w:t>技术</w:t>
      </w:r>
      <w:r>
        <w:rPr>
          <w:color w:val="000000"/>
        </w:rPr>
        <w:t>负责人简历表</w:t>
      </w:r>
    </w:p>
    <w:p>
      <w:pPr>
        <w:jc w:val="center"/>
        <w:rPr>
          <w:b/>
          <w:color w:val="000000"/>
          <w:sz w:val="32"/>
          <w:szCs w:val="32"/>
        </w:rPr>
      </w:pPr>
    </w:p>
    <w:p>
      <w:pPr>
        <w:jc w:val="center"/>
        <w:rPr>
          <w:b/>
          <w:color w:val="000000"/>
          <w:sz w:val="32"/>
          <w:szCs w:val="32"/>
        </w:rPr>
      </w:pPr>
      <w:r>
        <w:rPr>
          <w:b/>
          <w:color w:val="000000"/>
          <w:sz w:val="32"/>
          <w:szCs w:val="32"/>
        </w:rPr>
        <w:t>项目</w:t>
      </w:r>
      <w:r>
        <w:rPr>
          <w:rFonts w:hint="eastAsia"/>
          <w:b/>
          <w:color w:val="000000"/>
          <w:sz w:val="32"/>
          <w:szCs w:val="32"/>
        </w:rPr>
        <w:t>技术</w:t>
      </w:r>
      <w:r>
        <w:rPr>
          <w:b/>
          <w:color w:val="000000"/>
          <w:sz w:val="32"/>
          <w:szCs w:val="32"/>
        </w:rPr>
        <w:t>负责人简历表</w:t>
      </w:r>
    </w:p>
    <w:p>
      <w:pPr>
        <w:spacing w:before="120" w:after="120"/>
        <w:jc w:val="center"/>
        <w:rPr>
          <w:b/>
          <w:bCs/>
          <w:color w:val="000000"/>
          <w:spacing w:val="20"/>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335"/>
        <w:gridCol w:w="508"/>
        <w:gridCol w:w="720"/>
        <w:gridCol w:w="193"/>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 w:val="24"/>
              </w:rPr>
            </w:pPr>
            <w:r>
              <w:rPr>
                <w:sz w:val="24"/>
              </w:rPr>
              <w:t>姓名</w:t>
            </w:r>
          </w:p>
        </w:tc>
        <w:tc>
          <w:tcPr>
            <w:tcW w:w="1335" w:type="dxa"/>
          </w:tcPr>
          <w:p>
            <w:pPr>
              <w:spacing w:line="500" w:lineRule="exact"/>
              <w:ind w:right="25" w:rightChars="12"/>
              <w:jc w:val="center"/>
              <w:rPr>
                <w:sz w:val="24"/>
              </w:rPr>
            </w:pPr>
          </w:p>
        </w:tc>
        <w:tc>
          <w:tcPr>
            <w:tcW w:w="1421" w:type="dxa"/>
            <w:gridSpan w:val="3"/>
          </w:tcPr>
          <w:p>
            <w:pPr>
              <w:spacing w:line="500" w:lineRule="exact"/>
              <w:ind w:right="25" w:rightChars="12"/>
              <w:jc w:val="center"/>
              <w:rPr>
                <w:sz w:val="24"/>
              </w:rPr>
            </w:pPr>
            <w:r>
              <w:rPr>
                <w:sz w:val="24"/>
              </w:rPr>
              <w:t>性别</w:t>
            </w:r>
          </w:p>
        </w:tc>
        <w:tc>
          <w:tcPr>
            <w:tcW w:w="1420" w:type="dxa"/>
          </w:tcPr>
          <w:p>
            <w:pPr>
              <w:spacing w:line="500" w:lineRule="exact"/>
              <w:ind w:right="25" w:rightChars="12"/>
              <w:jc w:val="center"/>
              <w:rPr>
                <w:sz w:val="24"/>
              </w:rPr>
            </w:pPr>
          </w:p>
        </w:tc>
        <w:tc>
          <w:tcPr>
            <w:tcW w:w="1420" w:type="dxa"/>
          </w:tcPr>
          <w:p>
            <w:pPr>
              <w:spacing w:line="500" w:lineRule="exact"/>
              <w:ind w:right="25" w:rightChars="12"/>
              <w:jc w:val="center"/>
              <w:rPr>
                <w:sz w:val="24"/>
              </w:rPr>
            </w:pPr>
            <w:r>
              <w:rPr>
                <w:sz w:val="24"/>
              </w:rPr>
              <w:t>出生年月</w:t>
            </w:r>
          </w:p>
        </w:tc>
        <w:tc>
          <w:tcPr>
            <w:tcW w:w="1421" w:type="dxa"/>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 w:val="24"/>
              </w:rPr>
            </w:pPr>
            <w:r>
              <w:rPr>
                <w:sz w:val="24"/>
              </w:rPr>
              <w:t>专业</w:t>
            </w:r>
          </w:p>
        </w:tc>
        <w:tc>
          <w:tcPr>
            <w:tcW w:w="1335" w:type="dxa"/>
          </w:tcPr>
          <w:p>
            <w:pPr>
              <w:spacing w:line="500" w:lineRule="exact"/>
              <w:ind w:right="25" w:rightChars="12"/>
              <w:jc w:val="center"/>
              <w:rPr>
                <w:sz w:val="24"/>
              </w:rPr>
            </w:pPr>
          </w:p>
        </w:tc>
        <w:tc>
          <w:tcPr>
            <w:tcW w:w="1421" w:type="dxa"/>
            <w:gridSpan w:val="3"/>
          </w:tcPr>
          <w:p>
            <w:pPr>
              <w:spacing w:line="500" w:lineRule="exact"/>
              <w:ind w:right="25" w:rightChars="12"/>
              <w:jc w:val="center"/>
              <w:rPr>
                <w:sz w:val="24"/>
              </w:rPr>
            </w:pPr>
            <w:r>
              <w:rPr>
                <w:sz w:val="24"/>
              </w:rPr>
              <w:t>学历</w:t>
            </w:r>
          </w:p>
        </w:tc>
        <w:tc>
          <w:tcPr>
            <w:tcW w:w="1420" w:type="dxa"/>
          </w:tcPr>
          <w:p>
            <w:pPr>
              <w:spacing w:line="500" w:lineRule="exact"/>
              <w:ind w:right="25" w:rightChars="12"/>
              <w:jc w:val="center"/>
              <w:rPr>
                <w:sz w:val="24"/>
              </w:rPr>
            </w:pPr>
          </w:p>
        </w:tc>
        <w:tc>
          <w:tcPr>
            <w:tcW w:w="1420" w:type="dxa"/>
          </w:tcPr>
          <w:p>
            <w:pPr>
              <w:spacing w:line="500" w:lineRule="exact"/>
              <w:ind w:right="25" w:rightChars="12"/>
              <w:jc w:val="center"/>
              <w:rPr>
                <w:sz w:val="24"/>
              </w:rPr>
            </w:pPr>
            <w:r>
              <w:rPr>
                <w:sz w:val="24"/>
              </w:rPr>
              <w:t>职称</w:t>
            </w:r>
          </w:p>
        </w:tc>
        <w:tc>
          <w:tcPr>
            <w:tcW w:w="1421" w:type="dxa"/>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Cs w:val="21"/>
              </w:rPr>
            </w:pPr>
            <w:r>
              <w:rPr>
                <w:szCs w:val="21"/>
              </w:rPr>
              <w:t>何时参加工作</w:t>
            </w:r>
          </w:p>
        </w:tc>
        <w:tc>
          <w:tcPr>
            <w:tcW w:w="7017" w:type="dxa"/>
            <w:gridSpan w:val="7"/>
          </w:tcPr>
          <w:p>
            <w:pPr>
              <w:spacing w:line="500" w:lineRule="exact"/>
              <w:ind w:right="25" w:rightChars="1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Cs w:val="21"/>
              </w:rPr>
            </w:pPr>
            <w:r>
              <w:rPr>
                <w:szCs w:val="21"/>
              </w:rPr>
              <w:t>何时进入公司</w:t>
            </w:r>
          </w:p>
        </w:tc>
        <w:tc>
          <w:tcPr>
            <w:tcW w:w="7017" w:type="dxa"/>
            <w:gridSpan w:val="7"/>
          </w:tcPr>
          <w:p>
            <w:pPr>
              <w:spacing w:line="500" w:lineRule="exact"/>
              <w:ind w:right="25" w:rightChars="1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Cs w:val="21"/>
              </w:rPr>
            </w:pPr>
            <w:r>
              <w:rPr>
                <w:szCs w:val="21"/>
              </w:rPr>
              <w:t>从事项目年限</w:t>
            </w:r>
          </w:p>
        </w:tc>
        <w:tc>
          <w:tcPr>
            <w:tcW w:w="7017" w:type="dxa"/>
            <w:gridSpan w:val="7"/>
          </w:tcPr>
          <w:p>
            <w:pPr>
              <w:spacing w:line="500" w:lineRule="exact"/>
              <w:ind w:right="25" w:rightChars="1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pPr>
              <w:spacing w:line="500" w:lineRule="exact"/>
              <w:ind w:right="25" w:rightChars="12"/>
              <w:jc w:val="center"/>
              <w:rPr>
                <w:b/>
                <w:szCs w:val="21"/>
              </w:rPr>
            </w:pPr>
            <w:r>
              <w:rPr>
                <w:szCs w:val="21"/>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00" w:lineRule="exact"/>
              <w:ind w:right="25" w:rightChars="12"/>
              <w:jc w:val="center"/>
              <w:rPr>
                <w:szCs w:val="21"/>
              </w:rPr>
            </w:pPr>
            <w:r>
              <w:rPr>
                <w:szCs w:val="21"/>
              </w:rPr>
              <w:t>业主单位</w:t>
            </w:r>
          </w:p>
        </w:tc>
        <w:tc>
          <w:tcPr>
            <w:tcW w:w="1843" w:type="dxa"/>
            <w:gridSpan w:val="2"/>
          </w:tcPr>
          <w:p>
            <w:pPr>
              <w:spacing w:line="500" w:lineRule="exact"/>
              <w:ind w:right="25" w:rightChars="12"/>
              <w:jc w:val="center"/>
              <w:rPr>
                <w:szCs w:val="21"/>
              </w:rPr>
            </w:pPr>
            <w:r>
              <w:rPr>
                <w:szCs w:val="21"/>
              </w:rPr>
              <w:t>项目名称</w:t>
            </w:r>
          </w:p>
        </w:tc>
        <w:tc>
          <w:tcPr>
            <w:tcW w:w="720" w:type="dxa"/>
          </w:tcPr>
          <w:p>
            <w:pPr>
              <w:spacing w:line="500" w:lineRule="exact"/>
              <w:ind w:right="25" w:rightChars="12"/>
              <w:jc w:val="center"/>
              <w:rPr>
                <w:szCs w:val="21"/>
              </w:rPr>
            </w:pPr>
            <w:r>
              <w:rPr>
                <w:szCs w:val="21"/>
              </w:rPr>
              <w:t>规模</w:t>
            </w:r>
          </w:p>
        </w:tc>
        <w:tc>
          <w:tcPr>
            <w:tcW w:w="1613" w:type="dxa"/>
            <w:gridSpan w:val="2"/>
          </w:tcPr>
          <w:p>
            <w:pPr>
              <w:spacing w:line="500" w:lineRule="exact"/>
              <w:ind w:right="25" w:rightChars="12"/>
              <w:jc w:val="center"/>
              <w:rPr>
                <w:szCs w:val="21"/>
              </w:rPr>
            </w:pPr>
            <w:r>
              <w:rPr>
                <w:szCs w:val="21"/>
              </w:rPr>
              <w:t>合同时间</w:t>
            </w:r>
          </w:p>
        </w:tc>
        <w:tc>
          <w:tcPr>
            <w:tcW w:w="2841" w:type="dxa"/>
            <w:gridSpan w:val="2"/>
          </w:tcPr>
          <w:p>
            <w:pPr>
              <w:spacing w:line="500" w:lineRule="exact"/>
              <w:ind w:right="25" w:rightChars="12"/>
              <w:jc w:val="center"/>
              <w:rPr>
                <w:szCs w:val="21"/>
              </w:rPr>
            </w:pPr>
            <w:r>
              <w:rPr>
                <w:szCs w:val="21"/>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360" w:lineRule="auto"/>
              <w:ind w:right="25" w:rightChars="12"/>
              <w:jc w:val="center"/>
              <w:rPr>
                <w:b/>
                <w:sz w:val="24"/>
              </w:rPr>
            </w:pPr>
          </w:p>
        </w:tc>
        <w:tc>
          <w:tcPr>
            <w:tcW w:w="1843" w:type="dxa"/>
            <w:gridSpan w:val="2"/>
          </w:tcPr>
          <w:p>
            <w:pPr>
              <w:spacing w:line="360" w:lineRule="auto"/>
              <w:ind w:right="25" w:rightChars="12"/>
              <w:jc w:val="center"/>
              <w:rPr>
                <w:b/>
                <w:sz w:val="24"/>
              </w:rPr>
            </w:pPr>
          </w:p>
        </w:tc>
        <w:tc>
          <w:tcPr>
            <w:tcW w:w="720" w:type="dxa"/>
          </w:tcPr>
          <w:p>
            <w:pPr>
              <w:spacing w:line="360" w:lineRule="auto"/>
              <w:ind w:right="25" w:rightChars="12"/>
              <w:jc w:val="center"/>
              <w:rPr>
                <w:b/>
                <w:sz w:val="24"/>
              </w:rPr>
            </w:pPr>
          </w:p>
        </w:tc>
        <w:tc>
          <w:tcPr>
            <w:tcW w:w="1613" w:type="dxa"/>
            <w:gridSpan w:val="2"/>
          </w:tcPr>
          <w:p>
            <w:pPr>
              <w:spacing w:line="360" w:lineRule="auto"/>
              <w:ind w:right="25" w:rightChars="12"/>
              <w:jc w:val="center"/>
              <w:rPr>
                <w:b/>
                <w:sz w:val="24"/>
              </w:rPr>
            </w:pPr>
          </w:p>
        </w:tc>
        <w:tc>
          <w:tcPr>
            <w:tcW w:w="2841" w:type="dxa"/>
            <w:gridSpan w:val="2"/>
          </w:tcPr>
          <w:p>
            <w:pPr>
              <w:spacing w:line="360" w:lineRule="auto"/>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5" w:type="dxa"/>
          </w:tcPr>
          <w:p>
            <w:pPr>
              <w:spacing w:line="580" w:lineRule="exact"/>
              <w:ind w:right="25" w:rightChars="12"/>
              <w:jc w:val="center"/>
              <w:rPr>
                <w:b/>
                <w:sz w:val="24"/>
              </w:rPr>
            </w:pPr>
          </w:p>
        </w:tc>
        <w:tc>
          <w:tcPr>
            <w:tcW w:w="1843" w:type="dxa"/>
            <w:gridSpan w:val="2"/>
          </w:tcPr>
          <w:p>
            <w:pPr>
              <w:spacing w:line="580" w:lineRule="exact"/>
              <w:ind w:right="25" w:rightChars="12"/>
              <w:jc w:val="center"/>
              <w:rPr>
                <w:b/>
                <w:sz w:val="24"/>
              </w:rPr>
            </w:pPr>
          </w:p>
        </w:tc>
        <w:tc>
          <w:tcPr>
            <w:tcW w:w="720" w:type="dxa"/>
          </w:tcPr>
          <w:p>
            <w:pPr>
              <w:spacing w:line="580" w:lineRule="exact"/>
              <w:ind w:right="25" w:rightChars="12"/>
              <w:jc w:val="center"/>
              <w:rPr>
                <w:b/>
                <w:sz w:val="24"/>
              </w:rPr>
            </w:pPr>
          </w:p>
        </w:tc>
        <w:tc>
          <w:tcPr>
            <w:tcW w:w="1613" w:type="dxa"/>
            <w:gridSpan w:val="2"/>
          </w:tcPr>
          <w:p>
            <w:pPr>
              <w:spacing w:line="580" w:lineRule="exact"/>
              <w:ind w:right="25" w:rightChars="12"/>
              <w:jc w:val="center"/>
              <w:rPr>
                <w:b/>
                <w:sz w:val="24"/>
              </w:rPr>
            </w:pPr>
          </w:p>
        </w:tc>
        <w:tc>
          <w:tcPr>
            <w:tcW w:w="2841" w:type="dxa"/>
            <w:gridSpan w:val="2"/>
          </w:tcPr>
          <w:p>
            <w:pPr>
              <w:spacing w:line="580" w:lineRule="exact"/>
              <w:ind w:right="25" w:rightChars="12"/>
              <w:jc w:val="center"/>
              <w:rPr>
                <w:b/>
                <w:sz w:val="24"/>
              </w:rPr>
            </w:pPr>
          </w:p>
        </w:tc>
      </w:tr>
    </w:tbl>
    <w:p>
      <w:pPr>
        <w:rPr>
          <w:color w:val="000000"/>
          <w:sz w:val="24"/>
        </w:rPr>
      </w:pPr>
    </w:p>
    <w:p>
      <w:pPr>
        <w:widowControl/>
        <w:spacing w:line="360" w:lineRule="auto"/>
        <w:jc w:val="left"/>
        <w:rPr>
          <w:color w:val="000000"/>
          <w:sz w:val="24"/>
        </w:rPr>
      </w:pP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pPr>
        <w:rPr>
          <w:b/>
          <w:color w:val="000000"/>
        </w:rPr>
      </w:pPr>
      <w:r>
        <w:rPr>
          <w:rStyle w:val="55"/>
          <w:color w:val="000000"/>
          <w:szCs w:val="21"/>
        </w:rPr>
        <w:br w:type="page"/>
      </w:r>
      <w:r>
        <w:rPr>
          <w:b/>
          <w:color w:val="000000"/>
        </w:rPr>
        <w:t>格式十：</w:t>
      </w:r>
      <w:r>
        <w:rPr>
          <w:color w:val="000000"/>
        </w:rPr>
        <w:t>项目人员配置表</w:t>
      </w:r>
    </w:p>
    <w:p>
      <w:pPr>
        <w:jc w:val="center"/>
        <w:rPr>
          <w:b/>
          <w:color w:val="000000"/>
          <w:sz w:val="32"/>
          <w:szCs w:val="32"/>
        </w:rPr>
      </w:pPr>
    </w:p>
    <w:p>
      <w:pPr>
        <w:jc w:val="center"/>
        <w:rPr>
          <w:b/>
          <w:color w:val="000000"/>
          <w:sz w:val="32"/>
          <w:szCs w:val="32"/>
        </w:rPr>
      </w:pPr>
      <w:r>
        <w:rPr>
          <w:b/>
          <w:color w:val="000000"/>
          <w:sz w:val="32"/>
          <w:szCs w:val="32"/>
        </w:rPr>
        <w:t>项目人员配置表</w:t>
      </w:r>
    </w:p>
    <w:p>
      <w:pPr>
        <w:jc w:val="center"/>
      </w:pPr>
    </w:p>
    <w:tbl>
      <w:tblPr>
        <w:tblStyle w:val="42"/>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序号</w:t>
            </w:r>
          </w:p>
        </w:tc>
        <w:tc>
          <w:tcPr>
            <w:tcW w:w="1134"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姓名</w:t>
            </w:r>
          </w:p>
        </w:tc>
        <w:tc>
          <w:tcPr>
            <w:tcW w:w="709"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性别</w:t>
            </w:r>
          </w:p>
        </w:tc>
        <w:tc>
          <w:tcPr>
            <w:tcW w:w="1418"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职称</w:t>
            </w:r>
          </w:p>
        </w:tc>
        <w:tc>
          <w:tcPr>
            <w:tcW w:w="1559"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专业</w:t>
            </w:r>
          </w:p>
        </w:tc>
        <w:tc>
          <w:tcPr>
            <w:tcW w:w="1984"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联系电话</w:t>
            </w:r>
          </w:p>
        </w:tc>
        <w:tc>
          <w:tcPr>
            <w:tcW w:w="1560"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分工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pPr>
              <w:spacing w:line="500" w:lineRule="exact"/>
              <w:ind w:right="25" w:rightChars="12"/>
              <w:jc w:val="center"/>
              <w:rPr>
                <w:sz w:val="24"/>
              </w:rPr>
            </w:pPr>
            <w:r>
              <w:rPr>
                <w:sz w:val="24"/>
              </w:rPr>
              <w:t>1</w:t>
            </w:r>
          </w:p>
        </w:tc>
        <w:tc>
          <w:tcPr>
            <w:tcW w:w="1134"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709"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1418"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1559"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1984"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1560" w:type="dxa"/>
            <w:tcBorders>
              <w:top w:val="single" w:color="auto" w:sz="4" w:space="0"/>
            </w:tcBorders>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2</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3</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4</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5</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6</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7</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rPr>
            </w:pPr>
          </w:p>
        </w:tc>
        <w:tc>
          <w:tcPr>
            <w:tcW w:w="1134" w:type="dxa"/>
            <w:tcMar>
              <w:left w:w="28" w:type="dxa"/>
              <w:right w:w="28" w:type="dxa"/>
            </w:tcMar>
            <w:vAlign w:val="center"/>
          </w:tcPr>
          <w:p>
            <w:pPr>
              <w:jc w:val="center"/>
              <w:rPr>
                <w:w w:val="80"/>
              </w:rPr>
            </w:pPr>
          </w:p>
        </w:tc>
        <w:tc>
          <w:tcPr>
            <w:tcW w:w="709" w:type="dxa"/>
            <w:tcMar>
              <w:left w:w="28" w:type="dxa"/>
              <w:right w:w="28" w:type="dxa"/>
            </w:tcMar>
            <w:vAlign w:val="center"/>
          </w:tcPr>
          <w:p>
            <w:pPr>
              <w:jc w:val="center"/>
              <w:rPr>
                <w:w w:val="80"/>
              </w:rPr>
            </w:pPr>
          </w:p>
        </w:tc>
        <w:tc>
          <w:tcPr>
            <w:tcW w:w="1418" w:type="dxa"/>
            <w:tcMar>
              <w:left w:w="28" w:type="dxa"/>
              <w:right w:w="28" w:type="dxa"/>
            </w:tcMar>
            <w:vAlign w:val="center"/>
          </w:tcPr>
          <w:p>
            <w:pPr>
              <w:jc w:val="center"/>
              <w:rPr>
                <w:w w:val="80"/>
              </w:rPr>
            </w:pPr>
          </w:p>
        </w:tc>
        <w:tc>
          <w:tcPr>
            <w:tcW w:w="1559" w:type="dxa"/>
            <w:tcMar>
              <w:left w:w="28" w:type="dxa"/>
              <w:right w:w="28" w:type="dxa"/>
            </w:tcMar>
            <w:vAlign w:val="center"/>
          </w:tcPr>
          <w:p>
            <w:pPr>
              <w:jc w:val="center"/>
              <w:rPr>
                <w:w w:val="80"/>
              </w:rPr>
            </w:pPr>
          </w:p>
        </w:tc>
        <w:tc>
          <w:tcPr>
            <w:tcW w:w="1984" w:type="dxa"/>
            <w:tcMar>
              <w:left w:w="28" w:type="dxa"/>
              <w:right w:w="28" w:type="dxa"/>
            </w:tcMar>
            <w:vAlign w:val="center"/>
          </w:tcPr>
          <w:p>
            <w:pPr>
              <w:jc w:val="center"/>
              <w:rPr>
                <w:w w:val="80"/>
              </w:rPr>
            </w:pPr>
          </w:p>
        </w:tc>
        <w:tc>
          <w:tcPr>
            <w:tcW w:w="1560" w:type="dxa"/>
            <w:tcMar>
              <w:left w:w="28" w:type="dxa"/>
              <w:right w:w="28" w:type="dxa"/>
            </w:tcMar>
            <w:vAlign w:val="center"/>
          </w:tcPr>
          <w:p>
            <w:pPr>
              <w:jc w:val="center"/>
              <w:rPr>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rPr>
            </w:pPr>
          </w:p>
        </w:tc>
        <w:tc>
          <w:tcPr>
            <w:tcW w:w="1134" w:type="dxa"/>
            <w:tcMar>
              <w:left w:w="28" w:type="dxa"/>
              <w:right w:w="28" w:type="dxa"/>
            </w:tcMar>
            <w:vAlign w:val="center"/>
          </w:tcPr>
          <w:p>
            <w:pPr>
              <w:jc w:val="center"/>
              <w:rPr>
                <w:w w:val="80"/>
              </w:rPr>
            </w:pPr>
          </w:p>
        </w:tc>
        <w:tc>
          <w:tcPr>
            <w:tcW w:w="709" w:type="dxa"/>
            <w:tcMar>
              <w:left w:w="28" w:type="dxa"/>
              <w:right w:w="28" w:type="dxa"/>
            </w:tcMar>
            <w:vAlign w:val="center"/>
          </w:tcPr>
          <w:p>
            <w:pPr>
              <w:jc w:val="center"/>
              <w:rPr>
                <w:w w:val="80"/>
              </w:rPr>
            </w:pPr>
          </w:p>
        </w:tc>
        <w:tc>
          <w:tcPr>
            <w:tcW w:w="1418" w:type="dxa"/>
            <w:tcMar>
              <w:left w:w="28" w:type="dxa"/>
              <w:right w:w="28" w:type="dxa"/>
            </w:tcMar>
            <w:vAlign w:val="center"/>
          </w:tcPr>
          <w:p>
            <w:pPr>
              <w:jc w:val="center"/>
              <w:rPr>
                <w:w w:val="80"/>
              </w:rPr>
            </w:pPr>
          </w:p>
        </w:tc>
        <w:tc>
          <w:tcPr>
            <w:tcW w:w="1559" w:type="dxa"/>
            <w:tcMar>
              <w:left w:w="28" w:type="dxa"/>
              <w:right w:w="28" w:type="dxa"/>
            </w:tcMar>
            <w:vAlign w:val="center"/>
          </w:tcPr>
          <w:p>
            <w:pPr>
              <w:jc w:val="center"/>
              <w:rPr>
                <w:w w:val="80"/>
              </w:rPr>
            </w:pPr>
          </w:p>
        </w:tc>
        <w:tc>
          <w:tcPr>
            <w:tcW w:w="1984" w:type="dxa"/>
            <w:tcMar>
              <w:left w:w="28" w:type="dxa"/>
              <w:right w:w="28" w:type="dxa"/>
            </w:tcMar>
            <w:vAlign w:val="center"/>
          </w:tcPr>
          <w:p>
            <w:pPr>
              <w:jc w:val="center"/>
              <w:rPr>
                <w:w w:val="80"/>
              </w:rPr>
            </w:pPr>
          </w:p>
        </w:tc>
        <w:tc>
          <w:tcPr>
            <w:tcW w:w="1560" w:type="dxa"/>
            <w:tcMar>
              <w:left w:w="28" w:type="dxa"/>
              <w:right w:w="28" w:type="dxa"/>
            </w:tcMar>
            <w:vAlign w:val="center"/>
          </w:tcPr>
          <w:p>
            <w:pPr>
              <w:jc w:val="center"/>
              <w:rPr>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rPr>
            </w:pPr>
          </w:p>
        </w:tc>
        <w:tc>
          <w:tcPr>
            <w:tcW w:w="1134" w:type="dxa"/>
            <w:tcMar>
              <w:left w:w="28" w:type="dxa"/>
              <w:right w:w="28" w:type="dxa"/>
            </w:tcMar>
            <w:vAlign w:val="center"/>
          </w:tcPr>
          <w:p>
            <w:pPr>
              <w:jc w:val="center"/>
              <w:rPr>
                <w:w w:val="80"/>
              </w:rPr>
            </w:pPr>
          </w:p>
        </w:tc>
        <w:tc>
          <w:tcPr>
            <w:tcW w:w="709" w:type="dxa"/>
            <w:tcMar>
              <w:left w:w="28" w:type="dxa"/>
              <w:right w:w="28" w:type="dxa"/>
            </w:tcMar>
            <w:vAlign w:val="center"/>
          </w:tcPr>
          <w:p>
            <w:pPr>
              <w:jc w:val="center"/>
              <w:rPr>
                <w:w w:val="80"/>
              </w:rPr>
            </w:pPr>
          </w:p>
        </w:tc>
        <w:tc>
          <w:tcPr>
            <w:tcW w:w="1418" w:type="dxa"/>
            <w:tcMar>
              <w:left w:w="28" w:type="dxa"/>
              <w:right w:w="28" w:type="dxa"/>
            </w:tcMar>
            <w:vAlign w:val="center"/>
          </w:tcPr>
          <w:p>
            <w:pPr>
              <w:jc w:val="center"/>
              <w:rPr>
                <w:w w:val="80"/>
              </w:rPr>
            </w:pPr>
          </w:p>
        </w:tc>
        <w:tc>
          <w:tcPr>
            <w:tcW w:w="1559" w:type="dxa"/>
            <w:tcMar>
              <w:left w:w="28" w:type="dxa"/>
              <w:right w:w="28" w:type="dxa"/>
            </w:tcMar>
            <w:vAlign w:val="center"/>
          </w:tcPr>
          <w:p>
            <w:pPr>
              <w:jc w:val="center"/>
              <w:rPr>
                <w:w w:val="80"/>
              </w:rPr>
            </w:pPr>
          </w:p>
        </w:tc>
        <w:tc>
          <w:tcPr>
            <w:tcW w:w="1984" w:type="dxa"/>
            <w:tcMar>
              <w:left w:w="28" w:type="dxa"/>
              <w:right w:w="28" w:type="dxa"/>
            </w:tcMar>
            <w:vAlign w:val="center"/>
          </w:tcPr>
          <w:p>
            <w:pPr>
              <w:jc w:val="center"/>
              <w:rPr>
                <w:w w:val="80"/>
              </w:rPr>
            </w:pPr>
          </w:p>
        </w:tc>
        <w:tc>
          <w:tcPr>
            <w:tcW w:w="1560" w:type="dxa"/>
            <w:tcMar>
              <w:left w:w="28" w:type="dxa"/>
              <w:right w:w="28" w:type="dxa"/>
            </w:tcMar>
            <w:vAlign w:val="center"/>
          </w:tcPr>
          <w:p>
            <w:pPr>
              <w:jc w:val="center"/>
              <w:rPr>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rPr>
            </w:pPr>
          </w:p>
        </w:tc>
        <w:tc>
          <w:tcPr>
            <w:tcW w:w="1134" w:type="dxa"/>
            <w:tcMar>
              <w:left w:w="28" w:type="dxa"/>
              <w:right w:w="28" w:type="dxa"/>
            </w:tcMar>
            <w:vAlign w:val="center"/>
          </w:tcPr>
          <w:p>
            <w:pPr>
              <w:jc w:val="center"/>
              <w:rPr>
                <w:w w:val="80"/>
              </w:rPr>
            </w:pPr>
          </w:p>
        </w:tc>
        <w:tc>
          <w:tcPr>
            <w:tcW w:w="709" w:type="dxa"/>
            <w:tcMar>
              <w:left w:w="28" w:type="dxa"/>
              <w:right w:w="28" w:type="dxa"/>
            </w:tcMar>
            <w:vAlign w:val="center"/>
          </w:tcPr>
          <w:p>
            <w:pPr>
              <w:jc w:val="center"/>
              <w:rPr>
                <w:w w:val="80"/>
              </w:rPr>
            </w:pPr>
          </w:p>
        </w:tc>
        <w:tc>
          <w:tcPr>
            <w:tcW w:w="1418" w:type="dxa"/>
            <w:tcMar>
              <w:left w:w="28" w:type="dxa"/>
              <w:right w:w="28" w:type="dxa"/>
            </w:tcMar>
            <w:vAlign w:val="center"/>
          </w:tcPr>
          <w:p>
            <w:pPr>
              <w:jc w:val="center"/>
              <w:rPr>
                <w:w w:val="80"/>
              </w:rPr>
            </w:pPr>
          </w:p>
        </w:tc>
        <w:tc>
          <w:tcPr>
            <w:tcW w:w="1559" w:type="dxa"/>
            <w:tcMar>
              <w:left w:w="28" w:type="dxa"/>
              <w:right w:w="28" w:type="dxa"/>
            </w:tcMar>
            <w:vAlign w:val="center"/>
          </w:tcPr>
          <w:p>
            <w:pPr>
              <w:jc w:val="center"/>
              <w:rPr>
                <w:w w:val="80"/>
              </w:rPr>
            </w:pPr>
          </w:p>
        </w:tc>
        <w:tc>
          <w:tcPr>
            <w:tcW w:w="1984" w:type="dxa"/>
            <w:tcMar>
              <w:left w:w="28" w:type="dxa"/>
              <w:right w:w="28" w:type="dxa"/>
            </w:tcMar>
            <w:vAlign w:val="center"/>
          </w:tcPr>
          <w:p>
            <w:pPr>
              <w:jc w:val="center"/>
              <w:rPr>
                <w:w w:val="80"/>
              </w:rPr>
            </w:pPr>
          </w:p>
        </w:tc>
        <w:tc>
          <w:tcPr>
            <w:tcW w:w="1560" w:type="dxa"/>
            <w:tcMar>
              <w:left w:w="28" w:type="dxa"/>
              <w:right w:w="28" w:type="dxa"/>
            </w:tcMar>
            <w:vAlign w:val="center"/>
          </w:tcPr>
          <w:p>
            <w:pPr>
              <w:jc w:val="center"/>
              <w:rPr>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w w:val="80"/>
              </w:rPr>
            </w:pPr>
          </w:p>
        </w:tc>
        <w:tc>
          <w:tcPr>
            <w:tcW w:w="1134" w:type="dxa"/>
            <w:tcMar>
              <w:left w:w="28" w:type="dxa"/>
              <w:right w:w="28" w:type="dxa"/>
            </w:tcMar>
            <w:vAlign w:val="center"/>
          </w:tcPr>
          <w:p>
            <w:pPr>
              <w:jc w:val="center"/>
              <w:rPr>
                <w:w w:val="80"/>
              </w:rPr>
            </w:pPr>
          </w:p>
        </w:tc>
        <w:tc>
          <w:tcPr>
            <w:tcW w:w="709" w:type="dxa"/>
            <w:tcMar>
              <w:left w:w="28" w:type="dxa"/>
              <w:right w:w="28" w:type="dxa"/>
            </w:tcMar>
            <w:vAlign w:val="center"/>
          </w:tcPr>
          <w:p>
            <w:pPr>
              <w:jc w:val="center"/>
              <w:rPr>
                <w:w w:val="80"/>
              </w:rPr>
            </w:pPr>
          </w:p>
        </w:tc>
        <w:tc>
          <w:tcPr>
            <w:tcW w:w="1418" w:type="dxa"/>
            <w:tcMar>
              <w:left w:w="28" w:type="dxa"/>
              <w:right w:w="28" w:type="dxa"/>
            </w:tcMar>
            <w:vAlign w:val="center"/>
          </w:tcPr>
          <w:p>
            <w:pPr>
              <w:jc w:val="center"/>
              <w:rPr>
                <w:w w:val="80"/>
              </w:rPr>
            </w:pPr>
          </w:p>
        </w:tc>
        <w:tc>
          <w:tcPr>
            <w:tcW w:w="1559" w:type="dxa"/>
            <w:tcMar>
              <w:left w:w="28" w:type="dxa"/>
              <w:right w:w="28" w:type="dxa"/>
            </w:tcMar>
            <w:vAlign w:val="center"/>
          </w:tcPr>
          <w:p>
            <w:pPr>
              <w:jc w:val="center"/>
              <w:rPr>
                <w:w w:val="80"/>
              </w:rPr>
            </w:pPr>
          </w:p>
        </w:tc>
        <w:tc>
          <w:tcPr>
            <w:tcW w:w="1984" w:type="dxa"/>
            <w:tcMar>
              <w:left w:w="28" w:type="dxa"/>
              <w:right w:w="28" w:type="dxa"/>
            </w:tcMar>
            <w:vAlign w:val="center"/>
          </w:tcPr>
          <w:p>
            <w:pPr>
              <w:jc w:val="center"/>
              <w:rPr>
                <w:w w:val="80"/>
              </w:rPr>
            </w:pPr>
          </w:p>
        </w:tc>
        <w:tc>
          <w:tcPr>
            <w:tcW w:w="1560" w:type="dxa"/>
            <w:tcMar>
              <w:left w:w="28" w:type="dxa"/>
              <w:right w:w="28" w:type="dxa"/>
            </w:tcMar>
            <w:vAlign w:val="center"/>
          </w:tcPr>
          <w:p>
            <w:pPr>
              <w:jc w:val="center"/>
              <w:rPr>
                <w:w w:val="80"/>
              </w:rPr>
            </w:pPr>
          </w:p>
        </w:tc>
      </w:tr>
    </w:tbl>
    <w:p>
      <w:pPr>
        <w:pStyle w:val="16"/>
        <w:widowControl/>
        <w:spacing w:line="360" w:lineRule="auto"/>
        <w:ind w:firstLine="540"/>
        <w:jc w:val="left"/>
        <w:rPr>
          <w:rFonts w:ascii="Times New Roman" w:hAnsi="Times New Roman"/>
          <w:b/>
          <w:color w:val="000000"/>
        </w:rPr>
      </w:pP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pPr>
        <w:pStyle w:val="16"/>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pPr>
        <w:snapToGrid w:val="0"/>
        <w:spacing w:line="360" w:lineRule="auto"/>
        <w:ind w:firstLine="480" w:firstLineChars="200"/>
        <w:rPr>
          <w:color w:val="000000"/>
          <w:sz w:val="24"/>
        </w:rPr>
      </w:pPr>
      <w:r>
        <w:rPr>
          <w:color w:val="000000"/>
          <w:sz w:val="24"/>
        </w:rPr>
        <w:t>日期：</w:t>
      </w:r>
    </w:p>
    <w:p>
      <w:pPr>
        <w:snapToGrid w:val="0"/>
        <w:spacing w:before="50" w:after="50"/>
        <w:rPr>
          <w:szCs w:val="21"/>
        </w:rPr>
      </w:pPr>
      <w:r>
        <w:rPr>
          <w:szCs w:val="21"/>
        </w:rPr>
        <w:br w:type="page"/>
      </w:r>
      <w:r>
        <w:rPr>
          <w:b/>
          <w:szCs w:val="21"/>
        </w:rPr>
        <w:t>格式十</w:t>
      </w:r>
      <w:r>
        <w:rPr>
          <w:rFonts w:hint="eastAsia"/>
          <w:b/>
          <w:szCs w:val="21"/>
        </w:rPr>
        <w:t>一</w:t>
      </w:r>
      <w:r>
        <w:rPr>
          <w:b/>
          <w:szCs w:val="21"/>
        </w:rPr>
        <w:t>：</w:t>
      </w:r>
      <w:r>
        <w:rPr>
          <w:szCs w:val="21"/>
        </w:rPr>
        <w:t>投标函格式</w:t>
      </w:r>
    </w:p>
    <w:p>
      <w:pPr>
        <w:jc w:val="center"/>
        <w:rPr>
          <w:b/>
          <w:color w:val="000000"/>
          <w:sz w:val="32"/>
          <w:szCs w:val="32"/>
        </w:rPr>
      </w:pPr>
    </w:p>
    <w:p>
      <w:pPr>
        <w:jc w:val="center"/>
        <w:rPr>
          <w:b/>
          <w:color w:val="000000"/>
          <w:sz w:val="32"/>
          <w:szCs w:val="32"/>
        </w:rPr>
      </w:pPr>
      <w:r>
        <w:rPr>
          <w:b/>
          <w:color w:val="000000"/>
          <w:sz w:val="32"/>
          <w:szCs w:val="32"/>
        </w:rPr>
        <w:t>投标函</w:t>
      </w:r>
    </w:p>
    <w:p>
      <w:pPr>
        <w:snapToGrid w:val="0"/>
        <w:spacing w:before="120" w:beforeLines="50" w:after="50"/>
        <w:jc w:val="center"/>
        <w:rPr>
          <w:b/>
          <w:szCs w:val="21"/>
        </w:rPr>
      </w:pPr>
    </w:p>
    <w:p>
      <w:pPr>
        <w:snapToGrid w:val="0"/>
        <w:spacing w:line="360" w:lineRule="auto"/>
        <w:rPr>
          <w:szCs w:val="21"/>
        </w:rPr>
      </w:pPr>
      <w:r>
        <w:rPr>
          <w:szCs w:val="21"/>
        </w:rPr>
        <w:t>致：（采购单位名称）：</w:t>
      </w:r>
    </w:p>
    <w:p>
      <w:pPr>
        <w:snapToGrid w:val="0"/>
        <w:spacing w:line="360" w:lineRule="auto"/>
        <w:ind w:firstLine="480"/>
        <w:rPr>
          <w:szCs w:val="21"/>
        </w:rPr>
      </w:pPr>
      <w:r>
        <w:rPr>
          <w:szCs w:val="21"/>
        </w:rPr>
        <w:t>根据贵方为</w:t>
      </w:r>
      <w:r>
        <w:rPr>
          <w:szCs w:val="21"/>
          <w:u w:val="single"/>
        </w:rPr>
        <w:t xml:space="preserve">      </w:t>
      </w:r>
      <w:r>
        <w:rPr>
          <w:szCs w:val="21"/>
        </w:rPr>
        <w:t>项目的采购公告/投标邀请书（项目编号：</w:t>
      </w:r>
      <w:r>
        <w:rPr>
          <w:szCs w:val="21"/>
          <w:u w:val="single"/>
        </w:rPr>
        <w:t xml:space="preserve">      </w:t>
      </w:r>
      <w:r>
        <w:rPr>
          <w:szCs w:val="21"/>
        </w:rPr>
        <w:t>），签字代表</w:t>
      </w:r>
      <w:r>
        <w:rPr>
          <w:szCs w:val="21"/>
          <w:u w:val="single"/>
        </w:rPr>
        <w:t>（全名）</w:t>
      </w:r>
      <w:r>
        <w:rPr>
          <w:szCs w:val="21"/>
        </w:rPr>
        <w:t>经正式授权并代表供应商</w:t>
      </w:r>
      <w:r>
        <w:rPr>
          <w:szCs w:val="21"/>
          <w:u w:val="single"/>
        </w:rPr>
        <w:t>（供应商名称）</w:t>
      </w:r>
      <w:r>
        <w:rPr>
          <w:szCs w:val="21"/>
        </w:rPr>
        <w:t>提交标项的投标文件。</w:t>
      </w:r>
    </w:p>
    <w:p>
      <w:pPr>
        <w:snapToGrid w:val="0"/>
        <w:spacing w:line="360" w:lineRule="auto"/>
        <w:ind w:firstLine="420" w:firstLineChars="200"/>
        <w:rPr>
          <w:szCs w:val="21"/>
        </w:rPr>
      </w:pPr>
      <w:r>
        <w:rPr>
          <w:szCs w:val="21"/>
        </w:rPr>
        <w:t>据此函，签字代表宣布同意如下：</w:t>
      </w:r>
    </w:p>
    <w:p>
      <w:pPr>
        <w:snapToGrid w:val="0"/>
        <w:spacing w:line="360" w:lineRule="auto"/>
        <w:ind w:firstLine="420" w:firstLineChars="200"/>
        <w:rPr>
          <w:szCs w:val="21"/>
        </w:rPr>
      </w:pPr>
      <w:r>
        <w:rPr>
          <w:szCs w:val="21"/>
        </w:rPr>
        <w:t>1.供应商已详细审查全部“采购文件”，包括修改文件（如有的话）以及全部参考资料和有关附件，已经了解我方对于采购文件、采购过程、采购结果有依法进行询问、质疑、投诉的权利及相关渠道和要求。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szCs w:val="21"/>
        </w:rPr>
      </w:pPr>
      <w:r>
        <w:rPr>
          <w:szCs w:val="21"/>
        </w:rPr>
        <w:t>2.供应商在投标之前已经与贵方进行了充分的沟通，完全理解并接受采购文件的各项规定和要求，对采购文件的合理性、合法性不再有异议。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szCs w:val="21"/>
        </w:rPr>
      </w:pPr>
      <w:r>
        <w:rPr>
          <w:szCs w:val="21"/>
        </w:rPr>
        <w:t>3.本投标有效期自开标日起</w:t>
      </w:r>
      <w:r>
        <w:rPr>
          <w:szCs w:val="21"/>
          <w:u w:val="single"/>
        </w:rPr>
        <w:t xml:space="preserve">   </w:t>
      </w:r>
      <w:r>
        <w:rPr>
          <w:szCs w:val="21"/>
        </w:rPr>
        <w:t>个日历日。</w:t>
      </w:r>
    </w:p>
    <w:p>
      <w:pPr>
        <w:snapToGrid w:val="0"/>
        <w:spacing w:line="360" w:lineRule="auto"/>
        <w:ind w:firstLine="420" w:firstLineChars="200"/>
        <w:rPr>
          <w:szCs w:val="21"/>
        </w:rPr>
      </w:pPr>
      <w:r>
        <w:rPr>
          <w:szCs w:val="21"/>
        </w:rPr>
        <w:t>4.如中标，本投标文件至本项目合同履行完毕止均保持有效，本供应商将按“采购文件”及政府采购法律、法规的规定履行合同责任和义务。</w:t>
      </w:r>
    </w:p>
    <w:p>
      <w:pPr>
        <w:snapToGrid w:val="0"/>
        <w:spacing w:line="360" w:lineRule="auto"/>
        <w:ind w:firstLine="420" w:firstLineChars="200"/>
        <w:rPr>
          <w:szCs w:val="21"/>
        </w:rPr>
      </w:pPr>
      <w:r>
        <w:rPr>
          <w:szCs w:val="21"/>
        </w:rPr>
        <w:t>5.</w:t>
      </w:r>
      <w:r>
        <w:rPr>
          <w:color w:val="000000"/>
          <w:szCs w:val="21"/>
        </w:rPr>
        <w:t>已完全明确招标文件中的全部内容，保证按招标文件、投标承诺及政府采购合同要求履行；并在本投标人违反招标文件、投标承诺及政府采购合同时愿意按告知内容接受处罚。</w:t>
      </w:r>
    </w:p>
    <w:p>
      <w:pPr>
        <w:snapToGrid w:val="0"/>
        <w:spacing w:line="360" w:lineRule="auto"/>
        <w:ind w:firstLine="420" w:firstLineChars="200"/>
        <w:rPr>
          <w:szCs w:val="21"/>
        </w:rPr>
      </w:pPr>
      <w:r>
        <w:rPr>
          <w:szCs w:val="21"/>
        </w:rPr>
        <w:t>6.供应商同意按照贵方要求提供与投标有关的一切数据或资料。</w:t>
      </w:r>
    </w:p>
    <w:p>
      <w:pPr>
        <w:snapToGrid w:val="0"/>
        <w:spacing w:line="360" w:lineRule="auto"/>
        <w:ind w:firstLine="420" w:firstLineChars="200"/>
        <w:rPr>
          <w:szCs w:val="21"/>
        </w:rPr>
      </w:pPr>
      <w:r>
        <w:rPr>
          <w:szCs w:val="21"/>
        </w:rPr>
        <w:t>7.与本投标有关的一切正式往来信函请寄：</w:t>
      </w: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rPr>
          <w:szCs w:val="21"/>
        </w:rPr>
      </w:pPr>
      <w:r>
        <w:rPr>
          <w:szCs w:val="21"/>
        </w:rPr>
        <w:t>地址：</w:t>
      </w:r>
      <w:r>
        <w:rPr>
          <w:szCs w:val="21"/>
          <w:u w:val="single"/>
        </w:rPr>
        <w:t xml:space="preserve">                       </w:t>
      </w:r>
      <w:r>
        <w:rPr>
          <w:szCs w:val="21"/>
        </w:rPr>
        <w:t>邮编：__________电话：______________</w:t>
      </w:r>
    </w:p>
    <w:p>
      <w:pPr>
        <w:snapToGrid w:val="0"/>
        <w:spacing w:line="360" w:lineRule="auto"/>
        <w:rPr>
          <w:szCs w:val="21"/>
        </w:rPr>
      </w:pPr>
      <w:r>
        <w:rPr>
          <w:szCs w:val="21"/>
        </w:rPr>
        <w:t>传真：______________供应商代表姓名___________职务：_____________</w:t>
      </w:r>
    </w:p>
    <w:p>
      <w:pPr>
        <w:snapToGrid w:val="0"/>
        <w:spacing w:line="360" w:lineRule="auto"/>
        <w:rPr>
          <w:szCs w:val="21"/>
        </w:rPr>
      </w:pPr>
      <w:r>
        <w:rPr>
          <w:szCs w:val="21"/>
        </w:rPr>
        <w:t>供应商名称(公章):___________________</w:t>
      </w:r>
    </w:p>
    <w:p>
      <w:pPr>
        <w:snapToGrid w:val="0"/>
        <w:spacing w:line="360" w:lineRule="auto"/>
        <w:rPr>
          <w:szCs w:val="21"/>
        </w:rPr>
      </w:pPr>
      <w:r>
        <w:rPr>
          <w:szCs w:val="21"/>
        </w:rPr>
        <w:t>开户银行：银行帐号：</w:t>
      </w:r>
    </w:p>
    <w:p>
      <w:pPr>
        <w:snapToGrid w:val="0"/>
        <w:spacing w:before="50" w:after="120" w:afterLines="50"/>
        <w:jc w:val="left"/>
        <w:rPr>
          <w:szCs w:val="21"/>
        </w:rPr>
      </w:pPr>
      <w:r>
        <w:rPr>
          <w:szCs w:val="21"/>
        </w:rPr>
        <w:t>授权代表签字:___________日期:_____年___月___日</w:t>
      </w:r>
    </w:p>
    <w:p>
      <w:pPr>
        <w:snapToGrid w:val="0"/>
        <w:spacing w:before="120" w:beforeLines="50" w:after="50"/>
        <w:rPr>
          <w:szCs w:val="21"/>
        </w:rPr>
      </w:pPr>
      <w:r>
        <w:rPr>
          <w:szCs w:val="21"/>
        </w:rPr>
        <w:br w:type="page"/>
      </w:r>
      <w:r>
        <w:rPr>
          <w:b/>
          <w:szCs w:val="21"/>
        </w:rPr>
        <w:t>格式十</w:t>
      </w:r>
      <w:r>
        <w:rPr>
          <w:rFonts w:hint="eastAsia"/>
          <w:b/>
          <w:szCs w:val="21"/>
        </w:rPr>
        <w:t>二：</w:t>
      </w:r>
      <w:r>
        <w:rPr>
          <w:szCs w:val="21"/>
        </w:rPr>
        <w:t>开标一览表</w:t>
      </w:r>
    </w:p>
    <w:p>
      <w:pPr>
        <w:snapToGrid w:val="0"/>
        <w:spacing w:before="50" w:after="50"/>
        <w:jc w:val="center"/>
        <w:rPr>
          <w:szCs w:val="21"/>
          <w:u w:val="single"/>
        </w:rPr>
      </w:pPr>
    </w:p>
    <w:p>
      <w:pPr>
        <w:jc w:val="center"/>
        <w:rPr>
          <w:b/>
          <w:color w:val="000000"/>
          <w:sz w:val="32"/>
          <w:szCs w:val="32"/>
        </w:rPr>
      </w:pPr>
      <w:r>
        <w:rPr>
          <w:b/>
          <w:color w:val="000000"/>
          <w:sz w:val="32"/>
          <w:szCs w:val="32"/>
        </w:rPr>
        <w:t>开标一览表</w:t>
      </w:r>
    </w:p>
    <w:p>
      <w:pPr>
        <w:snapToGrid w:val="0"/>
        <w:spacing w:before="50" w:after="50"/>
        <w:jc w:val="center"/>
        <w:rPr>
          <w:b/>
          <w:szCs w:val="21"/>
        </w:rPr>
      </w:pPr>
    </w:p>
    <w:p>
      <w:pPr>
        <w:snapToGrid w:val="0"/>
        <w:spacing w:before="50" w:after="50"/>
        <w:rPr>
          <w:szCs w:val="21"/>
        </w:rPr>
      </w:pPr>
      <w:r>
        <w:rPr>
          <w:szCs w:val="21"/>
        </w:rPr>
        <w:t>项目编号：</w:t>
      </w:r>
    </w:p>
    <w:p>
      <w:pPr>
        <w:snapToGrid w:val="0"/>
        <w:spacing w:before="50" w:after="50"/>
        <w:rPr>
          <w:szCs w:val="21"/>
        </w:rPr>
      </w:pPr>
      <w:r>
        <w:rPr>
          <w:bCs/>
          <w:szCs w:val="21"/>
        </w:rPr>
        <w:t>项目名称</w:t>
      </w:r>
      <w:r>
        <w:rPr>
          <w:szCs w:val="21"/>
        </w:rPr>
        <w:t>：                                                  单位：元</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196"/>
        <w:gridCol w:w="2410"/>
        <w:gridCol w:w="170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Style w:val="38"/>
              <w:widowControl w:val="0"/>
              <w:snapToGrid w:val="0"/>
              <w:spacing w:before="0" w:beforeAutospacing="0" w:after="0" w:afterAutospacing="0" w:line="360" w:lineRule="auto"/>
              <w:jc w:val="center"/>
              <w:rPr>
                <w:rFonts w:ascii="Times New Roman" w:hAnsi="Times New Roman"/>
                <w:sz w:val="21"/>
                <w:szCs w:val="21"/>
              </w:rPr>
            </w:pPr>
            <w:r>
              <w:rPr>
                <w:rFonts w:ascii="Times New Roman" w:hAnsi="Times New Roman"/>
                <w:spacing w:val="-4"/>
                <w:kern w:val="2"/>
                <w:sz w:val="21"/>
                <w:szCs w:val="21"/>
                <w:lang w:bidi="ar"/>
              </w:rPr>
              <w:t>标项号</w:t>
            </w:r>
          </w:p>
        </w:tc>
        <w:tc>
          <w:tcPr>
            <w:tcW w:w="2196" w:type="dxa"/>
            <w:tcBorders>
              <w:top w:val="single" w:color="auto" w:sz="4" w:space="0"/>
              <w:left w:val="single" w:color="auto" w:sz="4" w:space="0"/>
              <w:bottom w:val="single" w:color="auto" w:sz="4" w:space="0"/>
              <w:right w:val="single" w:color="auto" w:sz="4" w:space="0"/>
            </w:tcBorders>
            <w:vAlign w:val="center"/>
          </w:tcPr>
          <w:p>
            <w:pPr>
              <w:pStyle w:val="38"/>
              <w:widowControl w:val="0"/>
              <w:snapToGrid w:val="0"/>
              <w:spacing w:before="0" w:beforeAutospacing="0" w:after="0" w:afterAutospacing="0" w:line="360" w:lineRule="auto"/>
              <w:jc w:val="center"/>
              <w:rPr>
                <w:rFonts w:ascii="Times New Roman" w:hAnsi="Times New Roman"/>
                <w:spacing w:val="-4"/>
                <w:kern w:val="2"/>
                <w:sz w:val="21"/>
                <w:szCs w:val="21"/>
                <w:lang w:bidi="ar"/>
              </w:rPr>
            </w:pPr>
            <w:r>
              <w:rPr>
                <w:rFonts w:ascii="Times New Roman" w:hAnsi="Times New Roman"/>
                <w:spacing w:val="-4"/>
                <w:kern w:val="2"/>
                <w:sz w:val="21"/>
                <w:szCs w:val="21"/>
                <w:lang w:bidi="ar"/>
              </w:rPr>
              <w:t>采购内容</w:t>
            </w:r>
          </w:p>
        </w:tc>
        <w:tc>
          <w:tcPr>
            <w:tcW w:w="2410" w:type="dxa"/>
            <w:tcBorders>
              <w:top w:val="single" w:color="auto" w:sz="4" w:space="0"/>
              <w:left w:val="single" w:color="auto" w:sz="4" w:space="0"/>
              <w:right w:val="single" w:color="auto" w:sz="4" w:space="0"/>
            </w:tcBorders>
            <w:vAlign w:val="center"/>
          </w:tcPr>
          <w:p>
            <w:pPr>
              <w:pStyle w:val="38"/>
              <w:widowControl w:val="0"/>
              <w:snapToGrid w:val="0"/>
              <w:spacing w:before="0" w:beforeAutospacing="0" w:after="0" w:afterAutospacing="0" w:line="360" w:lineRule="auto"/>
              <w:jc w:val="center"/>
              <w:rPr>
                <w:rFonts w:ascii="Times New Roman" w:hAnsi="Times New Roman"/>
                <w:spacing w:val="-4"/>
                <w:kern w:val="2"/>
                <w:sz w:val="21"/>
                <w:szCs w:val="21"/>
                <w:lang w:bidi="ar"/>
              </w:rPr>
            </w:pPr>
            <w:r>
              <w:rPr>
                <w:rFonts w:ascii="Times New Roman" w:hAnsi="Times New Roman"/>
                <w:spacing w:val="-4"/>
                <w:kern w:val="2"/>
                <w:sz w:val="21"/>
                <w:szCs w:val="21"/>
                <w:lang w:bidi="ar"/>
              </w:rPr>
              <w:t>投标报价</w:t>
            </w:r>
          </w:p>
        </w:tc>
        <w:tc>
          <w:tcPr>
            <w:tcW w:w="1701" w:type="dxa"/>
            <w:tcBorders>
              <w:top w:val="single" w:color="auto" w:sz="4" w:space="0"/>
              <w:left w:val="single" w:color="auto" w:sz="4" w:space="0"/>
              <w:bottom w:val="single" w:color="auto" w:sz="4" w:space="0"/>
              <w:right w:val="single" w:color="auto" w:sz="4" w:space="0"/>
            </w:tcBorders>
            <w:vAlign w:val="center"/>
          </w:tcPr>
          <w:p>
            <w:pPr>
              <w:pStyle w:val="38"/>
              <w:widowControl w:val="0"/>
              <w:snapToGrid w:val="0"/>
              <w:spacing w:before="0" w:beforeAutospacing="0" w:after="0" w:afterAutospacing="0" w:line="360" w:lineRule="auto"/>
              <w:jc w:val="center"/>
              <w:rPr>
                <w:rFonts w:ascii="Times New Roman" w:hAnsi="Times New Roman"/>
                <w:spacing w:val="-4"/>
                <w:kern w:val="2"/>
                <w:sz w:val="21"/>
                <w:szCs w:val="21"/>
                <w:lang w:bidi="ar"/>
              </w:rPr>
            </w:pPr>
            <w:r>
              <w:rPr>
                <w:rFonts w:ascii="Times New Roman" w:hAnsi="Times New Roman"/>
                <w:spacing w:val="-4"/>
                <w:sz w:val="21"/>
                <w:szCs w:val="21"/>
              </w:rPr>
              <w:t>服务期</w:t>
            </w:r>
          </w:p>
        </w:tc>
        <w:tc>
          <w:tcPr>
            <w:tcW w:w="1064" w:type="dxa"/>
            <w:tcBorders>
              <w:top w:val="single" w:color="auto" w:sz="4" w:space="0"/>
              <w:left w:val="single" w:color="auto" w:sz="4" w:space="0"/>
              <w:bottom w:val="single" w:color="auto" w:sz="4" w:space="0"/>
              <w:right w:val="single" w:color="auto" w:sz="4" w:space="0"/>
            </w:tcBorders>
            <w:vAlign w:val="center"/>
          </w:tcPr>
          <w:p>
            <w:pPr>
              <w:pStyle w:val="38"/>
              <w:widowControl w:val="0"/>
              <w:snapToGrid w:val="0"/>
              <w:spacing w:before="0" w:beforeAutospacing="0" w:after="0" w:afterAutospacing="0" w:line="360" w:lineRule="auto"/>
              <w:jc w:val="center"/>
              <w:rPr>
                <w:rFonts w:ascii="Times New Roman" w:hAnsi="Times New Roman"/>
                <w:spacing w:val="-4"/>
                <w:sz w:val="21"/>
                <w:szCs w:val="21"/>
              </w:rPr>
            </w:pPr>
            <w:r>
              <w:rPr>
                <w:rFonts w:ascii="Times New Roman" w:hAnsi="Times New Roman"/>
                <w:spacing w:val="-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Style w:val="38"/>
              <w:widowControl w:val="0"/>
              <w:snapToGrid w:val="0"/>
              <w:spacing w:before="0" w:beforeAutospacing="0" w:after="0" w:afterAutospacing="0" w:line="360" w:lineRule="auto"/>
              <w:ind w:firstLine="301"/>
              <w:jc w:val="both"/>
              <w:rPr>
                <w:rFonts w:ascii="Times New Roman" w:hAnsi="Times New Roman"/>
                <w:sz w:val="21"/>
                <w:szCs w:val="21"/>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360" w:lineRule="auto"/>
              <w:jc w:val="both"/>
              <w:rPr>
                <w:rFonts w:ascii="Times New Roman" w:hAnsi="Times New Roman"/>
                <w:sz w:val="21"/>
                <w:szCs w:val="21"/>
              </w:rPr>
            </w:pPr>
          </w:p>
        </w:tc>
        <w:tc>
          <w:tcPr>
            <w:tcW w:w="2410" w:type="dxa"/>
            <w:tcBorders>
              <w:left w:val="single" w:color="auto" w:sz="4" w:space="0"/>
              <w:bottom w:val="single" w:color="auto" w:sz="4" w:space="0"/>
              <w:right w:val="single" w:color="auto" w:sz="4" w:space="0"/>
            </w:tcBorders>
            <w:vAlign w:val="center"/>
          </w:tcPr>
          <w:p>
            <w:pPr>
              <w:pStyle w:val="38"/>
              <w:widowControl w:val="0"/>
              <w:spacing w:before="0" w:beforeAutospacing="0" w:after="0" w:afterAutospacing="0" w:line="360" w:lineRule="auto"/>
              <w:jc w:val="both"/>
              <w:rPr>
                <w:rFonts w:ascii="Times New Roman" w:hAnsi="Times New Roman"/>
                <w:sz w:val="21"/>
                <w:szCs w:val="21"/>
              </w:rPr>
            </w:pPr>
            <w:r>
              <w:rPr>
                <w:rFonts w:ascii="Times New Roman" w:hAnsi="Times New Roman"/>
                <w:sz w:val="21"/>
                <w:szCs w:val="21"/>
              </w:rPr>
              <w:t>小写:</w:t>
            </w:r>
            <w:r>
              <w:rPr>
                <w:rFonts w:ascii="Times New Roman" w:hAnsi="Times New Roman"/>
                <w:sz w:val="21"/>
                <w:szCs w:val="21"/>
                <w:u w:val="single"/>
              </w:rPr>
              <w:t xml:space="preserve">      元</w:t>
            </w:r>
          </w:p>
          <w:p>
            <w:pPr>
              <w:pStyle w:val="38"/>
              <w:widowControl w:val="0"/>
              <w:spacing w:before="0" w:beforeAutospacing="0" w:after="0" w:afterAutospacing="0" w:line="360" w:lineRule="auto"/>
              <w:jc w:val="both"/>
              <w:rPr>
                <w:rFonts w:ascii="Times New Roman" w:hAnsi="Times New Roman"/>
                <w:sz w:val="21"/>
                <w:szCs w:val="21"/>
              </w:rPr>
            </w:pPr>
          </w:p>
          <w:p>
            <w:pPr>
              <w:pStyle w:val="38"/>
              <w:widowControl w:val="0"/>
              <w:spacing w:before="0" w:beforeAutospacing="0" w:after="0" w:afterAutospacing="0" w:line="360" w:lineRule="auto"/>
              <w:jc w:val="both"/>
              <w:rPr>
                <w:rFonts w:ascii="Times New Roman" w:hAnsi="Times New Roman"/>
                <w:sz w:val="21"/>
                <w:szCs w:val="21"/>
              </w:rPr>
            </w:pPr>
            <w:r>
              <w:rPr>
                <w:rFonts w:ascii="Times New Roman" w:hAnsi="Times New Roman"/>
                <w:sz w:val="21"/>
                <w:szCs w:val="21"/>
              </w:rPr>
              <w:t>大写：</w:t>
            </w:r>
          </w:p>
          <w:p>
            <w:pPr>
              <w:pStyle w:val="38"/>
              <w:widowControl w:val="0"/>
              <w:spacing w:before="0" w:beforeAutospacing="0" w:after="0" w:afterAutospacing="0" w:line="360" w:lineRule="auto"/>
              <w:jc w:val="both"/>
              <w:rPr>
                <w:rFonts w:ascii="Times New Roman" w:hAnsi="Times New Roman"/>
                <w:sz w:val="21"/>
                <w:szCs w:val="21"/>
              </w:rPr>
            </w:pPr>
            <w:r>
              <w:rPr>
                <w:rFonts w:ascii="Times New Roman" w:hAnsi="Times New Roman"/>
                <w:sz w:val="21"/>
                <w:szCs w:val="21"/>
              </w:rPr>
              <w:t>人民币</w:t>
            </w:r>
            <w:r>
              <w:rPr>
                <w:rFonts w:ascii="Times New Roman" w:hAnsi="Times New Roman"/>
                <w:sz w:val="21"/>
                <w:szCs w:val="21"/>
                <w:u w:val="single"/>
              </w:rPr>
              <w:t xml:space="preserve">        </w:t>
            </w:r>
            <w:r>
              <w:rPr>
                <w:rFonts w:ascii="Times New Roman" w:hAnsi="Times New Roman"/>
                <w:sz w:val="21"/>
                <w:szCs w:val="21"/>
              </w:rPr>
              <w:t>元整</w:t>
            </w:r>
          </w:p>
        </w:tc>
        <w:tc>
          <w:tcPr>
            <w:tcW w:w="1701" w:type="dxa"/>
            <w:tcBorders>
              <w:top w:val="single" w:color="auto" w:sz="4" w:space="0"/>
              <w:left w:val="single" w:color="auto" w:sz="4" w:space="0"/>
              <w:bottom w:val="single" w:color="auto" w:sz="4" w:space="0"/>
              <w:right w:val="single" w:color="auto" w:sz="4" w:space="0"/>
            </w:tcBorders>
            <w:vAlign w:val="center"/>
          </w:tcPr>
          <w:p>
            <w:pPr>
              <w:pStyle w:val="38"/>
              <w:widowControl w:val="0"/>
              <w:snapToGrid w:val="0"/>
              <w:spacing w:before="0" w:beforeAutospacing="0" w:after="0" w:afterAutospacing="0" w:line="360" w:lineRule="auto"/>
              <w:jc w:val="center"/>
              <w:rPr>
                <w:rFonts w:ascii="Times New Roman" w:hAnsi="Times New Roman"/>
                <w:spacing w:val="-4"/>
                <w:sz w:val="21"/>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360" w:lineRule="auto"/>
              <w:jc w:val="both"/>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102" w:type="dxa"/>
            <w:gridSpan w:val="2"/>
            <w:tcBorders>
              <w:top w:val="single" w:color="auto" w:sz="4" w:space="0"/>
              <w:left w:val="single" w:color="auto" w:sz="4" w:space="0"/>
              <w:bottom w:val="single" w:color="auto" w:sz="4" w:space="0"/>
              <w:right w:val="single" w:color="auto" w:sz="4" w:space="0"/>
            </w:tcBorders>
            <w:vAlign w:val="center"/>
          </w:tcPr>
          <w:p>
            <w:pPr>
              <w:pStyle w:val="38"/>
              <w:widowControl w:val="0"/>
              <w:snapToGrid w:val="0"/>
              <w:spacing w:before="0" w:beforeAutospacing="0" w:after="0" w:afterAutospacing="0" w:line="360" w:lineRule="auto"/>
              <w:ind w:firstLine="301"/>
              <w:jc w:val="center"/>
              <w:rPr>
                <w:rFonts w:ascii="Times New Roman" w:hAnsi="Times New Roman"/>
                <w:spacing w:val="-4"/>
                <w:kern w:val="2"/>
                <w:sz w:val="21"/>
                <w:szCs w:val="21"/>
                <w:lang w:bidi="ar"/>
              </w:rPr>
            </w:pPr>
            <w:r>
              <w:rPr>
                <w:rFonts w:ascii="Times New Roman" w:hAnsi="Times New Roman"/>
                <w:spacing w:val="-4"/>
                <w:kern w:val="2"/>
                <w:sz w:val="21"/>
                <w:szCs w:val="21"/>
                <w:lang w:bidi="ar"/>
              </w:rPr>
              <w:t>投标声明</w:t>
            </w:r>
          </w:p>
        </w:tc>
        <w:tc>
          <w:tcPr>
            <w:tcW w:w="5175" w:type="dxa"/>
            <w:gridSpan w:val="3"/>
            <w:tcBorders>
              <w:top w:val="single" w:color="auto" w:sz="4" w:space="0"/>
              <w:left w:val="single" w:color="auto" w:sz="4" w:space="0"/>
              <w:bottom w:val="single" w:color="auto" w:sz="4" w:space="0"/>
              <w:right w:val="single" w:color="auto" w:sz="4" w:space="0"/>
            </w:tcBorders>
            <w:vAlign w:val="center"/>
          </w:tcPr>
          <w:p>
            <w:pPr>
              <w:pStyle w:val="38"/>
              <w:widowControl w:val="0"/>
              <w:spacing w:before="0" w:beforeAutospacing="0" w:after="0" w:afterAutospacing="0" w:line="360" w:lineRule="auto"/>
              <w:ind w:firstLine="301"/>
              <w:rPr>
                <w:rFonts w:ascii="Times New Roman" w:hAnsi="Times New Roman"/>
                <w:spacing w:val="-4"/>
                <w:kern w:val="2"/>
                <w:sz w:val="21"/>
                <w:szCs w:val="21"/>
                <w:lang w:bidi="ar"/>
              </w:rPr>
            </w:pPr>
          </w:p>
        </w:tc>
      </w:tr>
    </w:tbl>
    <w:p>
      <w:pPr>
        <w:snapToGrid w:val="0"/>
        <w:spacing w:before="50" w:after="50"/>
        <w:jc w:val="left"/>
        <w:rPr>
          <w:szCs w:val="21"/>
        </w:rPr>
      </w:pPr>
      <w:r>
        <w:rPr>
          <w:szCs w:val="21"/>
        </w:rPr>
        <w:t>注：报价一经涂改，应在涂改处加盖单位公章或者由法定代表人或授权委托人签字或盖章，否则其投标作无效标处理。</w:t>
      </w:r>
    </w:p>
    <w:p>
      <w:pPr>
        <w:pStyle w:val="52"/>
        <w:jc w:val="both"/>
        <w:rPr>
          <w:sz w:val="21"/>
          <w:szCs w:val="21"/>
        </w:rPr>
      </w:pPr>
    </w:p>
    <w:p>
      <w:pPr>
        <w:pStyle w:val="15"/>
      </w:pPr>
    </w:p>
    <w:p>
      <w:pPr>
        <w:snapToGrid w:val="0"/>
        <w:spacing w:before="50" w:after="50"/>
        <w:rPr>
          <w:spacing w:val="20"/>
          <w:szCs w:val="21"/>
          <w:u w:val="single"/>
        </w:rPr>
      </w:pPr>
      <w:r>
        <w:rPr>
          <w:snapToGrid w:val="0"/>
          <w:kern w:val="0"/>
          <w:szCs w:val="21"/>
        </w:rPr>
        <w:t>法定代表或授权代表（签字或盖章）：</w:t>
      </w:r>
    </w:p>
    <w:p>
      <w:pPr>
        <w:snapToGrid w:val="0"/>
        <w:spacing w:before="50" w:after="50"/>
        <w:rPr>
          <w:spacing w:val="20"/>
          <w:szCs w:val="21"/>
          <w:u w:val="single"/>
        </w:rPr>
      </w:pPr>
      <w:r>
        <w:rPr>
          <w:spacing w:val="20"/>
          <w:szCs w:val="21"/>
        </w:rPr>
        <w:t>供应商盖章：日期：</w:t>
      </w:r>
    </w:p>
    <w:p>
      <w:pPr>
        <w:spacing w:line="360" w:lineRule="auto"/>
        <w:rPr>
          <w:b/>
          <w:szCs w:val="21"/>
        </w:rPr>
      </w:pPr>
    </w:p>
    <w:p>
      <w:pPr>
        <w:pStyle w:val="21"/>
        <w:snapToGrid w:val="0"/>
        <w:spacing w:before="295" w:beforeLines="0" w:after="295" w:afterLines="0" w:line="240" w:lineRule="auto"/>
        <w:ind w:left="5250"/>
        <w:rPr>
          <w:rFonts w:ascii="Times New Roman" w:hAnsi="Times New Roman"/>
          <w:sz w:val="21"/>
          <w:szCs w:val="21"/>
        </w:rPr>
      </w:pPr>
    </w:p>
    <w:p>
      <w:pPr>
        <w:pStyle w:val="23"/>
        <w:numPr>
          <w:ilvl w:val="0"/>
          <w:numId w:val="0"/>
        </w:numPr>
        <w:snapToGrid w:val="0"/>
        <w:spacing w:line="288" w:lineRule="auto"/>
        <w:ind w:left="2500"/>
        <w:rPr>
          <w:rFonts w:ascii="Times New Roman" w:hAnsi="Times New Roman" w:eastAsia="宋体"/>
          <w:sz w:val="21"/>
          <w:szCs w:val="21"/>
        </w:rPr>
        <w:sectPr>
          <w:footerReference r:id="rId6" w:type="first"/>
          <w:pgSz w:w="11906" w:h="16838"/>
          <w:pgMar w:top="1474" w:right="1797" w:bottom="1247" w:left="1797" w:header="850" w:footer="851" w:gutter="0"/>
          <w:cols w:space="720" w:num="1"/>
          <w:titlePg/>
          <w:docGrid w:linePitch="312" w:charSpace="0"/>
        </w:sectPr>
      </w:pPr>
    </w:p>
    <w:p>
      <w:pPr>
        <w:rPr>
          <w:szCs w:val="21"/>
        </w:rPr>
      </w:pPr>
      <w:r>
        <w:rPr>
          <w:b/>
          <w:szCs w:val="21"/>
        </w:rPr>
        <w:t>格式十</w:t>
      </w:r>
      <w:r>
        <w:rPr>
          <w:rFonts w:hint="eastAsia"/>
          <w:b/>
          <w:szCs w:val="21"/>
        </w:rPr>
        <w:t>三：</w:t>
      </w:r>
      <w:r>
        <w:rPr>
          <w:szCs w:val="21"/>
        </w:rPr>
        <w:t>投标报价明细表格式</w:t>
      </w:r>
    </w:p>
    <w:p>
      <w:pPr>
        <w:jc w:val="center"/>
        <w:rPr>
          <w:b/>
          <w:color w:val="000000"/>
          <w:sz w:val="32"/>
          <w:szCs w:val="32"/>
        </w:rPr>
      </w:pPr>
    </w:p>
    <w:p>
      <w:pPr>
        <w:jc w:val="center"/>
        <w:rPr>
          <w:b/>
          <w:color w:val="000000"/>
          <w:sz w:val="32"/>
          <w:szCs w:val="32"/>
        </w:rPr>
      </w:pPr>
      <w:r>
        <w:rPr>
          <w:b/>
          <w:color w:val="000000"/>
          <w:sz w:val="32"/>
          <w:szCs w:val="32"/>
        </w:rPr>
        <w:t>投标报价明细表</w:t>
      </w:r>
    </w:p>
    <w:p>
      <w:pPr>
        <w:snapToGrid w:val="0"/>
        <w:spacing w:before="120" w:beforeLines="50" w:after="50"/>
        <w:jc w:val="center"/>
        <w:rPr>
          <w:b/>
          <w:sz w:val="28"/>
          <w:szCs w:val="28"/>
        </w:rPr>
      </w:pPr>
      <w:r>
        <w:rPr>
          <w:b/>
          <w:szCs w:val="28"/>
        </w:rPr>
        <w:t>（格式仅供参考，可自拟。）</w:t>
      </w:r>
    </w:p>
    <w:p>
      <w:pPr>
        <w:pStyle w:val="21"/>
        <w:snapToGrid w:val="0"/>
        <w:spacing w:before="295" w:beforeLines="0" w:after="295" w:afterLines="0" w:line="240" w:lineRule="auto"/>
        <w:rPr>
          <w:rFonts w:ascii="Times New Roman" w:hAnsi="Times New Roman"/>
          <w:sz w:val="21"/>
          <w:szCs w:val="21"/>
        </w:rPr>
      </w:pPr>
      <w:r>
        <w:rPr>
          <w:rFonts w:ascii="Times New Roman" w:hAnsi="Times New Roman"/>
          <w:sz w:val="21"/>
          <w:szCs w:val="21"/>
        </w:rPr>
        <w:t>项目编号：</w:t>
      </w:r>
    </w:p>
    <w:p>
      <w:pPr>
        <w:pStyle w:val="21"/>
        <w:snapToGrid w:val="0"/>
        <w:spacing w:before="295" w:beforeLines="0" w:after="295" w:afterLines="0" w:line="240" w:lineRule="auto"/>
        <w:rPr>
          <w:rFonts w:ascii="Times New Roman" w:hAnsi="Times New Roman"/>
          <w:sz w:val="21"/>
          <w:szCs w:val="21"/>
        </w:rPr>
      </w:pPr>
      <w:r>
        <w:rPr>
          <w:rFonts w:ascii="Times New Roman" w:hAnsi="Times New Roman"/>
          <w:sz w:val="21"/>
          <w:szCs w:val="21"/>
        </w:rPr>
        <w:t>项目名称：</w:t>
      </w:r>
    </w:p>
    <w:p>
      <w:pPr>
        <w:pStyle w:val="21"/>
        <w:snapToGrid w:val="0"/>
        <w:spacing w:beforeLines="0" w:afterLines="0" w:line="360" w:lineRule="auto"/>
        <w:ind w:left="283"/>
        <w:jc w:val="right"/>
        <w:rPr>
          <w:rFonts w:ascii="Times New Roman" w:hAnsi="Times New Roman"/>
          <w:sz w:val="21"/>
          <w:szCs w:val="21"/>
        </w:rPr>
      </w:pPr>
      <w:r>
        <w:rPr>
          <w:rFonts w:ascii="Times New Roman" w:hAnsi="Times New Roman"/>
          <w:sz w:val="21"/>
          <w:szCs w:val="21"/>
        </w:rPr>
        <w:t>金额单位：人民币（元）</w:t>
      </w:r>
    </w:p>
    <w:tbl>
      <w:tblPr>
        <w:tblStyle w:val="42"/>
        <w:tblW w:w="0" w:type="auto"/>
        <w:tblInd w:w="0" w:type="dxa"/>
        <w:tblLayout w:type="autofit"/>
        <w:tblCellMar>
          <w:top w:w="0" w:type="dxa"/>
          <w:left w:w="108" w:type="dxa"/>
          <w:bottom w:w="0" w:type="dxa"/>
          <w:right w:w="108" w:type="dxa"/>
        </w:tblCellMar>
      </w:tblPr>
      <w:tblGrid>
        <w:gridCol w:w="879"/>
        <w:gridCol w:w="3068"/>
        <w:gridCol w:w="658"/>
        <w:gridCol w:w="658"/>
        <w:gridCol w:w="658"/>
        <w:gridCol w:w="658"/>
        <w:gridCol w:w="1949"/>
      </w:tblGrid>
      <w:tr>
        <w:tblPrEx>
          <w:tblCellMar>
            <w:top w:w="0" w:type="dxa"/>
            <w:left w:w="108" w:type="dxa"/>
            <w:bottom w:w="0" w:type="dxa"/>
            <w:right w:w="108" w:type="dxa"/>
          </w:tblCellMar>
        </w:tblPrEx>
        <w:trPr>
          <w:trHeight w:val="692"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费用名称</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总价</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560" w:hRule="atLeast"/>
        </w:trPr>
        <w:tc>
          <w:tcPr>
            <w:tcW w:w="0" w:type="auto"/>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一、软件开发</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52" w:hRule="atLeast"/>
        </w:trPr>
        <w:tc>
          <w:tcPr>
            <w:tcW w:w="0" w:type="auto"/>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（一）“无废城市”综合管理服务应用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0" w:hRule="atLeast"/>
        </w:trPr>
        <w:tc>
          <w:tcPr>
            <w:tcW w:w="0" w:type="auto"/>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1、治理端</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656"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无废建设跟踪</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省平台功能本地部署</w:t>
            </w:r>
          </w:p>
        </w:tc>
      </w:tr>
      <w:tr>
        <w:tblPrEx>
          <w:tblCellMar>
            <w:top w:w="0" w:type="dxa"/>
            <w:left w:w="108" w:type="dxa"/>
            <w:bottom w:w="0" w:type="dxa"/>
            <w:right w:w="108" w:type="dxa"/>
          </w:tblCellMar>
        </w:tblPrEx>
        <w:trPr>
          <w:trHeight w:val="992"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无废指标（复用省平台功能，并结合生态环境部指标要求适配调整）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94"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四张清单（省平台功能本地部署实施）</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152"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业务监督管理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一般工业固废管理、危险废物管 理、生活垃圾管理、建筑垃圾管理、农业废弃物管理、医疗废物管理等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一般工业固废管理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危险废物管理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生活垃圾管理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建筑垃圾管理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农业废弃物管理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医疗废物管理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再生资源管理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废水排放管理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废气排放管理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1.3</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物联信息监管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视频管理、地磅监控管理、工况监测管理</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视频管理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地磅监控管理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工况监测管理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26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1.4</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卫星遥感管理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省平台功能本地部署，新增智能比对、专题报告等功能</w:t>
            </w: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遥感监测应用本地部署（包括遥感监测分析、专题GIS展示和统计等）</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智能对比</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专题报告</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无废舆情管理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省平台功能本地部署</w:t>
            </w:r>
          </w:p>
        </w:tc>
      </w:tr>
      <w:tr>
        <w:tblPrEx>
          <w:tblCellMar>
            <w:top w:w="0" w:type="dxa"/>
            <w:left w:w="108" w:type="dxa"/>
            <w:bottom w:w="0" w:type="dxa"/>
            <w:right w:w="108" w:type="dxa"/>
          </w:tblCellMar>
        </w:tblPrEx>
        <w:trPr>
          <w:trHeight w:val="1152"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部署省级平台功能（包括舆情采集、舆情分析、舆情预警、舆情处置、舆情统计），并进行本地词条配置及校准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86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1.6</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风险集成管理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风险规则库、风险任务调度、风险办理成效评估、风险分析等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风险规则库</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风险任务调度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风险办理成效评估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风险分析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86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1.7</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固废排查管理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企业信息登记、企业排查管理、核查问题管理、排查审批管理等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企业信息登记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企业排查管理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核查问题管理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排查审批管理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86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1.8</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固废巡查管理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巡查任务创建、巡查任务分配、巡查任务反馈、整改结果上报、巡查考核分析等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巡查任务创建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巡查任务分配</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巡查任务反馈</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整改结果上报</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1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巡查考核分析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1.9</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部门联动管理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任务派单、问题处理、应急联动、执法推送等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任务派单</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问题处理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应急联动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执法推送</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1.10</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无废考核评价</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考核标准管理、考评结果评定、考核统计分析、考核内容管理等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考核标准管理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考评结果评定</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考核统计分析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考核内容管理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152"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无废决策分析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无废指标分析、无废趋势分析、处置能力分析、固废流向分析、固废三化分析、无废报表报告管理等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无废指标分析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无废趋势分析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处置能力分析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固废流向分析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固废三化分析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无废报表报告管理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152"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1.12</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宁波无废门户</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数字政府无废成果展示、七大类固废和废水废气、无废指数、无废细胞一张图、风险管控一张图等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数字政府门户</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七大类固废和废水废气</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无废指数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无废细胞一张图</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风险管控一张图</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152"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1.13</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移动应用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卫星遥感、无废建设跟踪、废物闭环管理、企业视频管理、风险管控、固废巡查、固废一本账等，基于浙政钉开发</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卫星遥感</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无废建设跟踪</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废物闭环管理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企业视频管理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风险管控</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固废巡查</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固废一本账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67" w:hRule="atLeast"/>
        </w:trPr>
        <w:tc>
          <w:tcPr>
            <w:tcW w:w="0" w:type="auto"/>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2、服务端</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无废宣教科普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省平台功能本地部署</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2.2</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无废公众参与</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省平台功能本地部署</w:t>
            </w:r>
          </w:p>
        </w:tc>
      </w:tr>
      <w:tr>
        <w:tblPrEx>
          <w:tblCellMar>
            <w:top w:w="0" w:type="dxa"/>
            <w:left w:w="108" w:type="dxa"/>
            <w:bottom w:w="0" w:type="dxa"/>
            <w:right w:w="108" w:type="dxa"/>
          </w:tblCellMar>
        </w:tblPrEx>
        <w:trPr>
          <w:trHeight w:val="86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2.3</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移动应用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建设进展、环境质量、环保百科、企业信息、事件上报、问卷调查等，基于浙里办开发</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建设进展</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环境质量</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环保百科</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企业信息</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事件上报</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问卷调查</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1" w:hRule="atLeast"/>
        </w:trPr>
        <w:tc>
          <w:tcPr>
            <w:tcW w:w="0" w:type="auto"/>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（二）核心业务应用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6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一般工业固废管理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一般工业固废电子台账、一般工业固废运输过程监管、一般工业固废处置过程监管等</w:t>
            </w:r>
          </w:p>
        </w:tc>
      </w:tr>
      <w:tr>
        <w:tblPrEx>
          <w:tblCellMar>
            <w:top w:w="0" w:type="dxa"/>
            <w:left w:w="108" w:type="dxa"/>
            <w:bottom w:w="0" w:type="dxa"/>
            <w:right w:w="108" w:type="dxa"/>
          </w:tblCellMar>
        </w:tblPrEx>
        <w:trPr>
          <w:trHeight w:val="46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一般工业固废电子台账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0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一般工业固废运输过程监管（不含视频接入费用）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一般工业固废处置过程监管（不含地磅、视频、工况接入费用）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危险废物管理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一码监管、风险管控、小微管理、智能分析等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危险废物一码监管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危险废物风险管控</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危险废物小微管理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危险废物智能分析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农业废弃物管理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废旧农膜管理、农药废弃包装物管理、畜禽粪污管理、病死畜禽管理、农作物秸秆管理、监管预警中心、农业废弃物智能分析等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废旧农膜管理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农药废弃包装物管理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畜禽粪污管理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病死畜禽管理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农作物秸秆管理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监管预警中心</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农业废弃物智能分析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医疗废物管理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基础信息管理、医疗废物追踪管 理、医疗废物产生管理、医疗废物暂存管理、医疗废物装车管理、医疗废物运输管理、医疗废物接收管理等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基础信息管理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医疗废物追踪管理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医疗废物产生管理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医疗废物暂存管理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医疗废物装车管理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医疗废物运输管理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医疗废物接收管理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医疗废物处置过程管理（不含地磅、视频、工况接入费用）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86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废水废气管理升级</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废水废气超标闭环监管、环保任务协同调度等，基于“一源一档”综合管理系统进行升级</w:t>
            </w: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迭代废水废弃超标闭环监管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环保任务协同调度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616" w:hRule="atLeast"/>
        </w:trPr>
        <w:tc>
          <w:tcPr>
            <w:tcW w:w="0" w:type="auto"/>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（三）场景应用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固废一本账</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产生管理、关联管理、数据分析与应用等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产生管理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关联管理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数据分析与应用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14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固废特征库</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企业抽样调查、固废标识和归类、固废样本来源追踪、固废样本描述、固废贮存管理、固废特征态势分析、固废特征建模、产废数据校验等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企业抽样调查</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固废标识和归类</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固废样本来源追踪</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固废样本描述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固废贮存管理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固废特征态势分析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固废特征建模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产废数据校验</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86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固废多源数据分析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行业预测模型构建、固废产量汇总统计、固废多源数据分析、对比分析等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行业预测模型建立</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固废产量汇总统计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对比分析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固废多源数据分析应用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1152"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固危废倾倒预警监测</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技战模型构建、技战标签管理、算法规则定义、预警跟踪分析、预警核查中心、精准预警推送等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技战标签管理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自定义算法规则</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技战模型构建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预警跟踪分析</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预警核查中心</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精准预警推送</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后台管理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（四）</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系统管理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浙政钉统一用户管理、统一授权管理等</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统一授权管理</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02" w:hRule="atLeast"/>
        </w:trPr>
        <w:tc>
          <w:tcPr>
            <w:tcW w:w="0" w:type="auto"/>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二、软件购置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数据库</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国产数据库</w:t>
            </w:r>
          </w:p>
        </w:tc>
      </w:tr>
      <w:tr>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操作系统</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国产操作系统</w:t>
            </w:r>
          </w:p>
        </w:tc>
      </w:tr>
      <w:tr>
        <w:tblPrEx>
          <w:tblCellMar>
            <w:top w:w="0" w:type="dxa"/>
            <w:left w:w="108" w:type="dxa"/>
            <w:bottom w:w="0" w:type="dxa"/>
            <w:right w:w="108" w:type="dxa"/>
          </w:tblCellMar>
        </w:tblPrEx>
        <w:trPr>
          <w:trHeight w:val="676"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三、信息资源建设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134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数据库设计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一般工业固废、危险废物、医疗废物、农业废弃物等数据库设计</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数据采集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省无废城市平台、省畜禽无害化处理监管平台、省固废平台等数据采集</w:t>
            </w:r>
          </w:p>
        </w:tc>
      </w:tr>
      <w:tr>
        <w:tblPrEx>
          <w:tblCellMar>
            <w:top w:w="0" w:type="dxa"/>
            <w:left w:w="108" w:type="dxa"/>
            <w:bottom w:w="0" w:type="dxa"/>
            <w:right w:w="108" w:type="dxa"/>
          </w:tblCellMar>
        </w:tblPrEx>
        <w:trPr>
          <w:trHeight w:val="864"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数据治理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省级相关平台和市级相关系统采 集的固废数据清洗、比对、去重、加密、脱敏等</w:t>
            </w:r>
          </w:p>
        </w:tc>
      </w:tr>
    </w:tbl>
    <w:p>
      <w:pPr>
        <w:snapToGrid w:val="0"/>
        <w:spacing w:before="50" w:after="50"/>
        <w:rPr>
          <w:kern w:val="0"/>
          <w:szCs w:val="21"/>
        </w:rPr>
      </w:pPr>
    </w:p>
    <w:p>
      <w:pPr>
        <w:snapToGrid w:val="0"/>
        <w:spacing w:before="50" w:after="50"/>
        <w:rPr>
          <w:kern w:val="0"/>
          <w:szCs w:val="21"/>
        </w:rPr>
      </w:pPr>
    </w:p>
    <w:p>
      <w:pPr>
        <w:snapToGrid w:val="0"/>
        <w:spacing w:before="50" w:after="50"/>
        <w:rPr>
          <w:kern w:val="0"/>
          <w:szCs w:val="21"/>
        </w:rPr>
      </w:pPr>
    </w:p>
    <w:p>
      <w:pPr>
        <w:snapToGrid w:val="0"/>
        <w:spacing w:before="50" w:after="50"/>
        <w:rPr>
          <w:spacing w:val="20"/>
          <w:szCs w:val="21"/>
          <w:u w:val="single"/>
        </w:rPr>
      </w:pPr>
      <w:r>
        <w:rPr>
          <w:snapToGrid w:val="0"/>
          <w:kern w:val="0"/>
          <w:szCs w:val="21"/>
        </w:rPr>
        <w:t>法定代表或授权代表（签字或盖章）：</w:t>
      </w:r>
    </w:p>
    <w:p>
      <w:pPr>
        <w:snapToGrid w:val="0"/>
        <w:spacing w:before="50" w:after="50"/>
        <w:rPr>
          <w:spacing w:val="20"/>
          <w:szCs w:val="21"/>
        </w:rPr>
      </w:pPr>
      <w:r>
        <w:rPr>
          <w:spacing w:val="20"/>
          <w:szCs w:val="21"/>
        </w:rPr>
        <w:t>供应商盖章：</w:t>
      </w:r>
    </w:p>
    <w:p>
      <w:pPr>
        <w:snapToGrid w:val="0"/>
        <w:spacing w:before="50" w:after="50"/>
        <w:rPr>
          <w:spacing w:val="20"/>
          <w:szCs w:val="21"/>
          <w:u w:val="single"/>
        </w:rPr>
      </w:pPr>
      <w:r>
        <w:rPr>
          <w:spacing w:val="20"/>
          <w:szCs w:val="21"/>
        </w:rPr>
        <w:t>日期：</w:t>
      </w:r>
    </w:p>
    <w:p>
      <w:pPr>
        <w:pStyle w:val="23"/>
        <w:numPr>
          <w:ilvl w:val="0"/>
          <w:numId w:val="0"/>
        </w:numPr>
        <w:ind w:left="1680"/>
        <w:rPr>
          <w:rFonts w:ascii="Times New Roman" w:hAnsi="Times New Roman" w:eastAsia="宋体"/>
        </w:rPr>
      </w:pPr>
    </w:p>
    <w:p>
      <w:pPr>
        <w:snapToGrid w:val="0"/>
        <w:spacing w:before="120" w:beforeLines="50" w:after="50"/>
        <w:jc w:val="center"/>
        <w:rPr>
          <w:b/>
          <w:sz w:val="28"/>
          <w:szCs w:val="28"/>
        </w:rPr>
        <w:sectPr>
          <w:pgSz w:w="11906" w:h="16838"/>
          <w:pgMar w:top="1474" w:right="1797" w:bottom="1247" w:left="1797" w:header="851" w:footer="851" w:gutter="0"/>
          <w:cols w:space="720" w:num="1"/>
          <w:docGrid w:linePitch="312" w:charSpace="0"/>
        </w:sectPr>
      </w:pPr>
    </w:p>
    <w:p>
      <w:pPr>
        <w:rPr>
          <w:szCs w:val="21"/>
        </w:rPr>
      </w:pPr>
      <w:r>
        <w:rPr>
          <w:b/>
          <w:szCs w:val="21"/>
        </w:rPr>
        <w:t>格式十</w:t>
      </w:r>
      <w:r>
        <w:rPr>
          <w:rFonts w:hint="eastAsia"/>
          <w:b/>
          <w:szCs w:val="21"/>
        </w:rPr>
        <w:t>四：</w:t>
      </w:r>
      <w:r>
        <w:rPr>
          <w:szCs w:val="21"/>
        </w:rPr>
        <w:t>中小企业声明函格式</w:t>
      </w:r>
    </w:p>
    <w:p>
      <w:pPr>
        <w:spacing w:line="329" w:lineRule="exact"/>
        <w:jc w:val="center"/>
        <w:rPr>
          <w:color w:val="000000"/>
          <w:spacing w:val="1"/>
          <w:sz w:val="30"/>
          <w:szCs w:val="30"/>
        </w:rPr>
      </w:pPr>
    </w:p>
    <w:p>
      <w:pPr>
        <w:jc w:val="center"/>
        <w:rPr>
          <w:b/>
          <w:color w:val="000000"/>
          <w:sz w:val="32"/>
          <w:szCs w:val="32"/>
        </w:rPr>
      </w:pPr>
      <w:r>
        <w:rPr>
          <w:b/>
          <w:color w:val="000000"/>
          <w:sz w:val="32"/>
          <w:szCs w:val="32"/>
        </w:rPr>
        <w:t>中小企业声明函（服务）</w:t>
      </w:r>
    </w:p>
    <w:p>
      <w:pPr>
        <w:spacing w:line="329" w:lineRule="exact"/>
        <w:jc w:val="center"/>
        <w:rPr>
          <w:color w:val="000000"/>
          <w:szCs w:val="21"/>
        </w:rPr>
      </w:pPr>
    </w:p>
    <w:p>
      <w:pPr>
        <w:spacing w:line="329" w:lineRule="exact"/>
        <w:ind w:left="641" w:firstLine="420" w:firstLineChars="200"/>
        <w:jc w:val="left"/>
        <w:rPr>
          <w:color w:val="000000"/>
          <w:szCs w:val="21"/>
        </w:rPr>
      </w:pPr>
      <w:r>
        <w:rPr>
          <w:color w:val="000000"/>
          <w:szCs w:val="21"/>
        </w:rPr>
        <w:t>本公司（联合体）郑重声明，根据《政府采购促进中小</w:t>
      </w:r>
      <w:r>
        <w:rPr>
          <w:color w:val="000000"/>
          <w:spacing w:val="-11"/>
          <w:szCs w:val="21"/>
        </w:rPr>
        <w:t>企业发展管理办法》（财库</w:t>
      </w:r>
      <w:r>
        <w:rPr>
          <w:color w:val="000000"/>
          <w:spacing w:val="2"/>
          <w:szCs w:val="21"/>
        </w:rPr>
        <w:t>﹝</w:t>
      </w:r>
      <w:r>
        <w:rPr>
          <w:color w:val="000000"/>
          <w:spacing w:val="1"/>
          <w:szCs w:val="21"/>
        </w:rPr>
        <w:t>2020</w:t>
      </w:r>
      <w:r>
        <w:rPr>
          <w:color w:val="000000"/>
          <w:spacing w:val="4"/>
          <w:szCs w:val="21"/>
        </w:rPr>
        <w:t>﹞</w:t>
      </w:r>
      <w:r>
        <w:rPr>
          <w:color w:val="000000"/>
          <w:spacing w:val="1"/>
          <w:szCs w:val="21"/>
        </w:rPr>
        <w:t>46</w:t>
      </w:r>
      <w:r>
        <w:rPr>
          <w:color w:val="000000"/>
          <w:spacing w:val="3"/>
          <w:szCs w:val="21"/>
        </w:rPr>
        <w:t>号）的规定，本公司</w:t>
      </w:r>
      <w:r>
        <w:rPr>
          <w:color w:val="000000"/>
          <w:szCs w:val="21"/>
        </w:rPr>
        <w:t>（联合体）参加</w:t>
      </w:r>
      <w:r>
        <w:rPr>
          <w:color w:val="000000"/>
          <w:szCs w:val="21"/>
          <w:u w:val="single"/>
        </w:rPr>
        <w:t>（单位名称）</w:t>
      </w:r>
      <w:r>
        <w:rPr>
          <w:color w:val="000000"/>
          <w:spacing w:val="-1"/>
          <w:szCs w:val="21"/>
        </w:rPr>
        <w:t>的</w:t>
      </w:r>
      <w:r>
        <w:rPr>
          <w:color w:val="000000"/>
          <w:szCs w:val="21"/>
          <w:u w:val="single"/>
        </w:rPr>
        <w:t>（项目名称）</w:t>
      </w:r>
      <w:r>
        <w:rPr>
          <w:color w:val="000000"/>
          <w:szCs w:val="21"/>
        </w:rPr>
        <w:t>采购活动，</w:t>
      </w:r>
      <w:r>
        <w:rPr>
          <w:color w:val="000000"/>
          <w:spacing w:val="-1"/>
          <w:szCs w:val="21"/>
        </w:rPr>
        <w:t>服务全部由符合政策要求的中小企业承接。相关企业（含联合体中的中小企业、签订分包意向协议的中小企业）的具体情</w:t>
      </w:r>
      <w:r>
        <w:rPr>
          <w:color w:val="000000"/>
          <w:szCs w:val="21"/>
        </w:rPr>
        <w:t>况如下：</w:t>
      </w:r>
    </w:p>
    <w:p>
      <w:pPr>
        <w:spacing w:line="329" w:lineRule="exact"/>
        <w:ind w:left="641" w:firstLine="420" w:firstLineChars="200"/>
        <w:jc w:val="left"/>
        <w:rPr>
          <w:color w:val="000000"/>
          <w:szCs w:val="21"/>
        </w:rPr>
      </w:pPr>
      <w:r>
        <w:rPr>
          <w:color w:val="000000"/>
          <w:szCs w:val="21"/>
        </w:rPr>
        <w:t>1.</w:t>
      </w:r>
      <w:r>
        <w:rPr>
          <w:color w:val="000000"/>
          <w:szCs w:val="21"/>
          <w:u w:val="single"/>
        </w:rPr>
        <w:t>（标的名称）</w:t>
      </w:r>
      <w:r>
        <w:rPr>
          <w:color w:val="000000"/>
          <w:szCs w:val="21"/>
        </w:rPr>
        <w:t>，属</w:t>
      </w:r>
      <w:r>
        <w:rPr>
          <w:szCs w:val="21"/>
        </w:rPr>
        <w:t>于</w:t>
      </w:r>
      <w:r>
        <w:rPr>
          <w:szCs w:val="21"/>
          <w:u w:val="single"/>
        </w:rPr>
        <w:t>软件和信息技术服务业</w:t>
      </w:r>
      <w:r>
        <w:rPr>
          <w:color w:val="000000"/>
          <w:szCs w:val="21"/>
        </w:rPr>
        <w:t>；承建（承接）企业为</w:t>
      </w:r>
      <w:r>
        <w:rPr>
          <w:color w:val="000000"/>
          <w:szCs w:val="21"/>
          <w:u w:val="single"/>
        </w:rPr>
        <w:t>（企业名称）</w:t>
      </w:r>
      <w:r>
        <w:rPr>
          <w:color w:val="000000"/>
          <w:szCs w:val="21"/>
        </w:rPr>
        <w:t>，从业人员</w:t>
      </w:r>
      <w:r>
        <w:rPr>
          <w:color w:val="000000"/>
          <w:szCs w:val="21"/>
          <w:u w:val="single"/>
        </w:rPr>
        <w:t xml:space="preserve">  </w:t>
      </w:r>
      <w:r>
        <w:rPr>
          <w:color w:val="000000"/>
          <w:szCs w:val="21"/>
        </w:rPr>
        <w:t>人，营业收入为</w:t>
      </w:r>
      <w:r>
        <w:rPr>
          <w:color w:val="000000"/>
          <w:szCs w:val="21"/>
          <w:u w:val="single"/>
        </w:rPr>
        <w:t xml:space="preserve">  </w:t>
      </w:r>
      <w:r>
        <w:rPr>
          <w:color w:val="000000"/>
          <w:szCs w:val="21"/>
        </w:rPr>
        <w:t>万元，资产总额为</w:t>
      </w:r>
      <w:r>
        <w:rPr>
          <w:color w:val="000000"/>
          <w:szCs w:val="21"/>
          <w:u w:val="single"/>
        </w:rPr>
        <w:t xml:space="preserve">  </w:t>
      </w:r>
      <w:r>
        <w:rPr>
          <w:color w:val="000000"/>
          <w:szCs w:val="21"/>
        </w:rPr>
        <w:t>万元，属于</w:t>
      </w:r>
      <w:r>
        <w:rPr>
          <w:color w:val="000000"/>
          <w:szCs w:val="21"/>
          <w:u w:val="single"/>
        </w:rPr>
        <w:t>（中型企业、小型企业或微型企业）</w:t>
      </w:r>
      <w:r>
        <w:rPr>
          <w:color w:val="000000"/>
          <w:szCs w:val="21"/>
        </w:rPr>
        <w:t>；</w:t>
      </w:r>
    </w:p>
    <w:p>
      <w:pPr>
        <w:spacing w:line="329" w:lineRule="exact"/>
        <w:ind w:left="641" w:firstLine="420" w:firstLineChars="200"/>
        <w:jc w:val="left"/>
        <w:rPr>
          <w:color w:val="000000"/>
          <w:szCs w:val="21"/>
        </w:rPr>
      </w:pPr>
    </w:p>
    <w:p>
      <w:pPr>
        <w:spacing w:line="329" w:lineRule="exact"/>
        <w:ind w:left="641" w:firstLine="420" w:firstLineChars="200"/>
        <w:jc w:val="left"/>
        <w:rPr>
          <w:color w:val="000000"/>
          <w:szCs w:val="21"/>
        </w:rPr>
      </w:pPr>
      <w:r>
        <w:rPr>
          <w:color w:val="000000"/>
          <w:szCs w:val="21"/>
        </w:rPr>
        <w:t>……</w:t>
      </w:r>
    </w:p>
    <w:p>
      <w:pPr>
        <w:widowControl/>
        <w:jc w:val="left"/>
      </w:pPr>
    </w:p>
    <w:p>
      <w:pPr>
        <w:spacing w:line="329" w:lineRule="exact"/>
        <w:ind w:left="641" w:firstLine="420" w:firstLineChars="200"/>
        <w:jc w:val="left"/>
        <w:rPr>
          <w:color w:val="000000"/>
          <w:szCs w:val="21"/>
        </w:rPr>
      </w:pPr>
      <w:r>
        <w:rPr>
          <w:color w:val="000000"/>
          <w:szCs w:val="21"/>
        </w:rPr>
        <w:t>以上企业，不属于大企业的分支机构，不存在控股股东为大企业的情形，也不存在与大企业的负责人为同一人的情形。</w:t>
      </w:r>
    </w:p>
    <w:p>
      <w:pPr>
        <w:spacing w:line="329" w:lineRule="exact"/>
        <w:ind w:left="641" w:firstLine="420" w:firstLineChars="200"/>
        <w:jc w:val="left"/>
        <w:rPr>
          <w:color w:val="000000"/>
          <w:szCs w:val="21"/>
        </w:rPr>
      </w:pPr>
      <w:r>
        <w:rPr>
          <w:color w:val="000000"/>
          <w:szCs w:val="21"/>
        </w:rPr>
        <w:t>本企业对上述声明内容的真实性负责。如有虚假，将依法承担相应责任。</w:t>
      </w:r>
    </w:p>
    <w:p>
      <w:pPr>
        <w:spacing w:before="223" w:line="329" w:lineRule="exact"/>
        <w:ind w:left="3840"/>
        <w:jc w:val="left"/>
        <w:rPr>
          <w:color w:val="000000"/>
          <w:spacing w:val="-18"/>
          <w:szCs w:val="21"/>
        </w:rPr>
      </w:pPr>
    </w:p>
    <w:p>
      <w:pPr>
        <w:spacing w:before="223" w:line="329" w:lineRule="exact"/>
        <w:ind w:left="3840"/>
        <w:jc w:val="left"/>
        <w:rPr>
          <w:color w:val="000000"/>
          <w:szCs w:val="21"/>
        </w:rPr>
      </w:pPr>
      <w:r>
        <w:rPr>
          <w:color w:val="000000"/>
          <w:spacing w:val="-18"/>
          <w:szCs w:val="21"/>
        </w:rPr>
        <w:t>企业名称（盖章）：</w:t>
      </w:r>
    </w:p>
    <w:p>
      <w:pPr>
        <w:spacing w:before="211" w:line="329" w:lineRule="exact"/>
        <w:ind w:left="3840"/>
        <w:jc w:val="left"/>
        <w:rPr>
          <w:color w:val="000000"/>
          <w:szCs w:val="21"/>
        </w:rPr>
      </w:pPr>
      <w:r>
        <w:rPr>
          <w:color w:val="000000"/>
          <w:szCs w:val="21"/>
        </w:rPr>
        <w:t>日</w:t>
      </w:r>
      <w:r>
        <w:rPr>
          <w:color w:val="000000"/>
          <w:spacing w:val="-1"/>
          <w:szCs w:val="21"/>
        </w:rPr>
        <w:t>期：</w:t>
      </w:r>
    </w:p>
    <w:p>
      <w:pPr>
        <w:spacing w:line="329" w:lineRule="exact"/>
        <w:ind w:left="641" w:firstLine="420" w:firstLineChars="200"/>
        <w:jc w:val="left"/>
        <w:rPr>
          <w:color w:val="000000"/>
          <w:szCs w:val="21"/>
        </w:rPr>
      </w:pPr>
    </w:p>
    <w:p>
      <w:pPr>
        <w:pStyle w:val="16"/>
        <w:spacing w:line="480" w:lineRule="exact"/>
        <w:rPr>
          <w:rFonts w:ascii="Times New Roman" w:hAnsi="Times New Roman"/>
          <w:sz w:val="21"/>
          <w:szCs w:val="21"/>
        </w:rPr>
      </w:pPr>
      <w:r>
        <w:rPr>
          <w:rFonts w:ascii="Times New Roman" w:hAnsi="Times New Roman"/>
          <w:color w:val="000000"/>
          <w:spacing w:val="0"/>
          <w:kern w:val="2"/>
          <w:sz w:val="21"/>
          <w:szCs w:val="21"/>
        </w:rPr>
        <w:t>注：从业人员、营业收入、资产总额填报上一年度数据，无上一年度数据的新成立企业可不填报。</w:t>
      </w:r>
    </w:p>
    <w:p>
      <w:pPr>
        <w:spacing w:line="360" w:lineRule="auto"/>
        <w:rPr>
          <w:b/>
          <w:szCs w:val="21"/>
        </w:rPr>
      </w:pPr>
    </w:p>
    <w:p>
      <w:pPr>
        <w:tabs>
          <w:tab w:val="left" w:pos="606"/>
        </w:tabs>
        <w:spacing w:line="360" w:lineRule="auto"/>
        <w:rPr>
          <w:szCs w:val="21"/>
        </w:rPr>
      </w:pPr>
      <w:r>
        <w:rPr>
          <w:spacing w:val="20"/>
          <w:szCs w:val="21"/>
        </w:rPr>
        <w:br w:type="page"/>
      </w:r>
      <w:r>
        <w:rPr>
          <w:b/>
          <w:szCs w:val="21"/>
        </w:rPr>
        <w:t>格式十</w:t>
      </w:r>
      <w:r>
        <w:rPr>
          <w:rFonts w:hint="eastAsia"/>
          <w:b/>
          <w:szCs w:val="21"/>
        </w:rPr>
        <w:t>五：</w:t>
      </w:r>
      <w:r>
        <w:rPr>
          <w:szCs w:val="21"/>
        </w:rPr>
        <w:t>商业贿赂行为承诺书</w:t>
      </w:r>
    </w:p>
    <w:p>
      <w:pPr>
        <w:jc w:val="center"/>
        <w:rPr>
          <w:b/>
          <w:color w:val="000000"/>
          <w:sz w:val="32"/>
          <w:szCs w:val="32"/>
        </w:rPr>
      </w:pPr>
    </w:p>
    <w:p>
      <w:pPr>
        <w:jc w:val="center"/>
        <w:rPr>
          <w:b/>
          <w:color w:val="000000"/>
          <w:sz w:val="32"/>
          <w:szCs w:val="32"/>
        </w:rPr>
      </w:pPr>
      <w:r>
        <w:rPr>
          <w:b/>
          <w:color w:val="000000"/>
          <w:sz w:val="32"/>
          <w:szCs w:val="32"/>
        </w:rPr>
        <w:t>供应商自觉抵制政府采购领域商业贿赂行为承诺书</w:t>
      </w:r>
    </w:p>
    <w:p>
      <w:pPr>
        <w:spacing w:after="120" w:afterLines="50" w:line="320" w:lineRule="exact"/>
        <w:jc w:val="center"/>
        <w:rPr>
          <w:sz w:val="24"/>
        </w:rPr>
      </w:pPr>
    </w:p>
    <w:p>
      <w:pPr>
        <w:spacing w:before="120" w:beforeLines="50" w:after="120" w:afterLines="50" w:line="360" w:lineRule="auto"/>
        <w:rPr>
          <w:b/>
          <w:bCs/>
          <w:szCs w:val="21"/>
        </w:rPr>
      </w:pPr>
      <w:r>
        <w:rPr>
          <w:b/>
          <w:szCs w:val="21"/>
        </w:rPr>
        <w:t>致：浙江中创招投标有限公司</w:t>
      </w:r>
    </w:p>
    <w:p>
      <w:pPr>
        <w:spacing w:before="120" w:beforeLines="50" w:after="120" w:afterLines="50" w:line="360" w:lineRule="auto"/>
        <w:ind w:firstLine="420" w:firstLineChars="200"/>
        <w:rPr>
          <w:szCs w:val="21"/>
          <w:lang w:eastAsia="zh-TW"/>
        </w:rPr>
      </w:pPr>
      <w:r>
        <w:rPr>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spacing w:before="120" w:beforeLines="50" w:after="120" w:afterLines="50" w:line="360" w:lineRule="auto"/>
        <w:ind w:firstLine="420" w:firstLineChars="200"/>
        <w:rPr>
          <w:szCs w:val="21"/>
        </w:rPr>
      </w:pPr>
      <w:r>
        <w:rPr>
          <w:szCs w:val="21"/>
        </w:rPr>
        <w:t>一、依法参与政府采购活动，遵纪守法，诚信经营，公平竞争。</w:t>
      </w:r>
    </w:p>
    <w:p>
      <w:pPr>
        <w:spacing w:before="120" w:beforeLines="50" w:after="120" w:afterLines="50" w:line="360" w:lineRule="auto"/>
        <w:ind w:firstLine="420" w:firstLineChars="200"/>
        <w:rPr>
          <w:szCs w:val="21"/>
        </w:rPr>
      </w:pPr>
      <w:r>
        <w:rPr>
          <w:szCs w:val="21"/>
        </w:rPr>
        <w:t>二、不向采购单位、采购代理机构和政府采购评审专家提供任何形式的商业贿赂；对索取或接受商业贿赂的单位和个人，及时向财政部门和纪检监察机关举报。</w:t>
      </w:r>
    </w:p>
    <w:p>
      <w:pPr>
        <w:spacing w:before="120" w:beforeLines="50" w:after="120" w:afterLines="50" w:line="360" w:lineRule="auto"/>
        <w:ind w:firstLine="420" w:firstLineChars="200"/>
        <w:rPr>
          <w:szCs w:val="21"/>
        </w:rPr>
      </w:pPr>
      <w:r>
        <w:rPr>
          <w:szCs w:val="21"/>
        </w:rPr>
        <w:t>三、不以提供虚假资质文件等形式参与政府采购活动，不以虚假材料谋取中标。</w:t>
      </w:r>
    </w:p>
    <w:p>
      <w:pPr>
        <w:spacing w:before="120" w:beforeLines="50" w:after="120" w:afterLines="50" w:line="360" w:lineRule="auto"/>
        <w:ind w:firstLine="420" w:firstLineChars="200"/>
        <w:rPr>
          <w:szCs w:val="21"/>
        </w:rPr>
      </w:pPr>
      <w:r>
        <w:rPr>
          <w:szCs w:val="21"/>
        </w:rPr>
        <w:t>四、不采取不正当手段诋毁、排挤其他供应商，与其他参与政府采购活动供应商保持良性的竞争关系。</w:t>
      </w:r>
    </w:p>
    <w:p>
      <w:pPr>
        <w:spacing w:before="120" w:beforeLines="50" w:after="120" w:afterLines="50" w:line="360" w:lineRule="auto"/>
        <w:ind w:firstLine="420" w:firstLineChars="200"/>
        <w:rPr>
          <w:szCs w:val="21"/>
        </w:rPr>
      </w:pPr>
      <w:r>
        <w:rPr>
          <w:szCs w:val="21"/>
        </w:rPr>
        <w:t>五、不与采购单位、采购代理机构和政府采购评审专家恶意串通，自觉维护政府采购公平竞争的市场秩序。</w:t>
      </w:r>
    </w:p>
    <w:p>
      <w:pPr>
        <w:spacing w:before="120" w:beforeLines="50" w:after="120" w:afterLines="50" w:line="360" w:lineRule="auto"/>
        <w:ind w:firstLine="420" w:firstLineChars="200"/>
        <w:rPr>
          <w:szCs w:val="21"/>
        </w:rPr>
      </w:pPr>
      <w:r>
        <w:rPr>
          <w:szCs w:val="21"/>
        </w:rPr>
        <w:t>六、不与其他供应商串通采取围标、陪标等商业欺诈手段谋取中标，积极维护国家利益、社会公共利益和采购单位的合法权益。</w:t>
      </w:r>
    </w:p>
    <w:p>
      <w:pPr>
        <w:spacing w:before="120" w:beforeLines="50" w:after="120" w:afterLines="50" w:line="360" w:lineRule="auto"/>
        <w:ind w:firstLine="420" w:firstLineChars="200"/>
        <w:rPr>
          <w:szCs w:val="21"/>
        </w:rPr>
      </w:pPr>
      <w:r>
        <w:rPr>
          <w:szCs w:val="21"/>
        </w:rPr>
        <w:t>七、严格履行政府采购合同约定义务，不在政府采购合同执行过程中采取降低质量或标准、减少数量、拖延交付时间等方式损害采购单位的利益，并自觉承担违约责任。</w:t>
      </w:r>
    </w:p>
    <w:p>
      <w:pPr>
        <w:spacing w:before="120" w:beforeLines="50" w:after="120" w:afterLines="50" w:line="360" w:lineRule="auto"/>
        <w:ind w:firstLine="420" w:firstLineChars="200"/>
        <w:rPr>
          <w:szCs w:val="21"/>
        </w:rPr>
      </w:pPr>
      <w:r>
        <w:rPr>
          <w:szCs w:val="21"/>
        </w:rPr>
        <w:t>八、自觉接受并积极配合财政部门和纪检监察机关依法实施的监督检查，如实反映情况，及时提供有关证明材料。</w:t>
      </w:r>
    </w:p>
    <w:p>
      <w:pPr>
        <w:spacing w:before="120" w:beforeLines="50" w:after="120" w:afterLines="50" w:line="360" w:lineRule="auto"/>
        <w:rPr>
          <w:szCs w:val="21"/>
        </w:rPr>
      </w:pPr>
    </w:p>
    <w:p>
      <w:pPr>
        <w:spacing w:before="120" w:beforeLines="50" w:after="120" w:afterLines="50" w:line="360" w:lineRule="auto"/>
        <w:rPr>
          <w:szCs w:val="21"/>
          <w:u w:val="single"/>
        </w:rPr>
      </w:pPr>
      <w:r>
        <w:rPr>
          <w:szCs w:val="21"/>
        </w:rPr>
        <w:t>供应商名称（并加盖公章）：</w:t>
      </w:r>
    </w:p>
    <w:p>
      <w:pPr>
        <w:pStyle w:val="2"/>
        <w:numPr>
          <w:ilvl w:val="0"/>
          <w:numId w:val="0"/>
        </w:numPr>
        <w:spacing w:before="120" w:beforeLines="50" w:after="120" w:afterLines="50" w:line="360" w:lineRule="auto"/>
        <w:rPr>
          <w:rFonts w:ascii="Times New Roman" w:hAnsi="Times New Roman"/>
          <w:szCs w:val="21"/>
        </w:rPr>
      </w:pPr>
      <w:r>
        <w:rPr>
          <w:rFonts w:ascii="Times New Roman" w:hAnsi="Times New Roman"/>
          <w:szCs w:val="21"/>
        </w:rPr>
        <w:t>法定代表人或授权代表</w:t>
      </w:r>
      <w:r>
        <w:rPr>
          <w:rFonts w:ascii="Times New Roman" w:hAnsi="Times New Roman"/>
          <w:szCs w:val="24"/>
        </w:rPr>
        <w:t>（签字或加盖章）</w:t>
      </w:r>
      <w:r>
        <w:rPr>
          <w:rFonts w:ascii="Times New Roman" w:hAnsi="Times New Roman"/>
          <w:szCs w:val="21"/>
        </w:rPr>
        <w:t>：</w:t>
      </w:r>
    </w:p>
    <w:p>
      <w:pPr>
        <w:pStyle w:val="2"/>
        <w:numPr>
          <w:ilvl w:val="0"/>
          <w:numId w:val="0"/>
        </w:numPr>
        <w:spacing w:before="120" w:beforeLines="50" w:after="120" w:afterLines="50" w:line="360" w:lineRule="auto"/>
        <w:rPr>
          <w:rFonts w:ascii="Times New Roman" w:hAnsi="Times New Roman"/>
          <w:szCs w:val="21"/>
        </w:rPr>
      </w:pPr>
      <w:r>
        <w:rPr>
          <w:rFonts w:ascii="Times New Roman" w:hAnsi="Times New Roman"/>
          <w:szCs w:val="21"/>
        </w:rPr>
        <w:t>签署日期：  年  月  日</w:t>
      </w:r>
      <w:bookmarkEnd w:id="540"/>
    </w:p>
    <w:sectPr>
      <w:headerReference r:id="rId7" w:type="default"/>
      <w:pgSz w:w="11907" w:h="16840"/>
      <w:pgMar w:top="1276" w:right="1474" w:bottom="1242" w:left="1474"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w:t>
    </w:r>
    <w:r>
      <w:fldChar w:fldCharType="end"/>
    </w:r>
  </w:p>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w:t>
    </w:r>
    <w:r>
      <w:rPr>
        <w:lang w:val="zh-CN"/>
      </w:rPr>
      <w:fldChar w:fldCharType="end"/>
    </w:r>
  </w:p>
  <w:p>
    <w:pPr>
      <w:pStyle w:val="26"/>
      <w:tabs>
        <w:tab w:val="left" w:pos="5967"/>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17B2B"/>
    <w:multiLevelType w:val="multilevel"/>
    <w:tmpl w:val="A5217B2B"/>
    <w:lvl w:ilvl="0" w:tentative="0">
      <w:start w:val="1"/>
      <w:numFmt w:val="decimal"/>
      <w:suff w:val="nothing"/>
      <w:lvlText w:val="%1、"/>
      <w:lvlJc w:val="left"/>
      <w:pPr>
        <w:tabs>
          <w:tab w:val="left" w:pos="0"/>
        </w:tabs>
        <w:ind w:left="0" w:firstLine="0"/>
      </w:pPr>
      <w:rPr>
        <w:rFonts w:hint="default" w:eastAsia="宋体"/>
        <w:b/>
        <w:i w:val="0"/>
        <w:sz w:val="28"/>
        <w:szCs w:val="24"/>
      </w:rPr>
    </w:lvl>
    <w:lvl w:ilvl="1" w:tentative="0">
      <w:start w:val="1"/>
      <w:numFmt w:val="decimal"/>
      <w:suff w:val="nothing"/>
      <w:lvlText w:val="%1.%2、"/>
      <w:lvlJc w:val="left"/>
      <w:pPr>
        <w:ind w:left="0" w:firstLine="0"/>
      </w:pPr>
      <w:rPr>
        <w:rFonts w:hint="default" w:ascii="宋体" w:hAnsi="宋体" w:eastAsia="宋体" w:cs="宋体"/>
        <w:b/>
        <w:i w:val="0"/>
        <w:sz w:val="24"/>
        <w:szCs w:val="24"/>
      </w:rPr>
    </w:lvl>
    <w:lvl w:ilvl="2" w:tentative="0">
      <w:start w:val="1"/>
      <w:numFmt w:val="decimal"/>
      <w:suff w:val="nothing"/>
      <w:lvlText w:val="%1.%2.%3、"/>
      <w:lvlJc w:val="left"/>
      <w:pPr>
        <w:ind w:left="0" w:firstLine="0"/>
      </w:pPr>
      <w:rPr>
        <w:rFonts w:hint="eastAsia"/>
        <w:b/>
        <w:i w:val="0"/>
        <w:sz w:val="24"/>
      </w:rPr>
    </w:lvl>
    <w:lvl w:ilvl="3" w:tentative="0">
      <w:start w:val="1"/>
      <w:numFmt w:val="decimal"/>
      <w:suff w:val="nothing"/>
      <w:lvlText w:val="%1.%2.%3.%4、"/>
      <w:lvlJc w:val="left"/>
      <w:pPr>
        <w:ind w:left="0" w:firstLine="0"/>
      </w:pPr>
      <w:rPr>
        <w:rFonts w:hint="eastAsia"/>
        <w:b/>
        <w:i w:val="0"/>
        <w:sz w:val="24"/>
      </w:rPr>
    </w:lvl>
    <w:lvl w:ilvl="4" w:tentative="0">
      <w:start w:val="1"/>
      <w:numFmt w:val="decimal"/>
      <w:pStyle w:val="123"/>
      <w:suff w:val="nothing"/>
      <w:lvlText w:val="%1.%2.%3.%4.%5、"/>
      <w:lvlJc w:val="left"/>
      <w:pPr>
        <w:ind w:left="0" w:firstLine="0"/>
      </w:pPr>
      <w:rPr>
        <w:rFonts w:hint="eastAsia"/>
        <w:b/>
        <w:i w:val="0"/>
      </w:rPr>
    </w:lvl>
    <w:lvl w:ilvl="5" w:tentative="0">
      <w:start w:val="1"/>
      <w:numFmt w:val="decimal"/>
      <w:suff w:val="nothing"/>
      <w:lvlText w:val="%1.%2.%3.%4.%5.%6、"/>
      <w:lvlJc w:val="left"/>
      <w:pPr>
        <w:ind w:left="0" w:firstLine="0"/>
      </w:pPr>
      <w:rPr>
        <w:rFonts w:hint="eastAsia"/>
        <w:b/>
        <w:i w:val="0"/>
      </w:rPr>
    </w:lvl>
    <w:lvl w:ilvl="6" w:tentative="0">
      <w:start w:val="1"/>
      <w:numFmt w:val="decimal"/>
      <w:suff w:val="nothing"/>
      <w:lvlText w:val="%1.%2.%3.%4.%5.%6.%7、"/>
      <w:lvlJc w:val="left"/>
      <w:pPr>
        <w:ind w:left="1276" w:hanging="1276"/>
      </w:pPr>
      <w:rPr>
        <w:rFonts w:hint="eastAsia"/>
      </w:rPr>
    </w:lvl>
    <w:lvl w:ilvl="7" w:tentative="0">
      <w:start w:val="1"/>
      <w:numFmt w:val="decimal"/>
      <w:suff w:val="nothing"/>
      <w:lvlText w:val="%1.%2.%3.%4.%5.%6.%7.%8、"/>
      <w:lvlJc w:val="left"/>
      <w:pPr>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6">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7">
    <w:nsid w:val="00000008"/>
    <w:multiLevelType w:val="singleLevel"/>
    <w:tmpl w:val="00000008"/>
    <w:lvl w:ilvl="0" w:tentative="0">
      <w:start w:val="1"/>
      <w:numFmt w:val="decimal"/>
      <w:pStyle w:val="2"/>
      <w:lvlText w:val="%1."/>
      <w:lvlJc w:val="left"/>
      <w:pPr>
        <w:tabs>
          <w:tab w:val="left" w:pos="2040"/>
        </w:tabs>
        <w:ind w:left="2040" w:hanging="360"/>
      </w:pPr>
    </w:lvl>
  </w:abstractNum>
  <w:abstractNum w:abstractNumId="8">
    <w:nsid w:val="00000009"/>
    <w:multiLevelType w:val="singleLevel"/>
    <w:tmpl w:val="00000009"/>
    <w:lvl w:ilvl="0" w:tentative="0">
      <w:start w:val="1"/>
      <w:numFmt w:val="decimal"/>
      <w:pStyle w:val="14"/>
      <w:lvlText w:val="%1."/>
      <w:lvlJc w:val="left"/>
      <w:pPr>
        <w:tabs>
          <w:tab w:val="left" w:pos="1620"/>
        </w:tabs>
        <w:ind w:left="1620" w:hanging="360"/>
      </w:pPr>
    </w:lvl>
  </w:abstractNum>
  <w:abstractNum w:abstractNumId="9">
    <w:nsid w:val="0000000A"/>
    <w:multiLevelType w:val="singleLevel"/>
    <w:tmpl w:val="0000000A"/>
    <w:lvl w:ilvl="0" w:tentative="0">
      <w:start w:val="1"/>
      <w:numFmt w:val="decimal"/>
      <w:pStyle w:val="11"/>
      <w:lvlText w:val="%1."/>
      <w:lvlJc w:val="left"/>
      <w:pPr>
        <w:tabs>
          <w:tab w:val="left" w:pos="780"/>
        </w:tabs>
        <w:ind w:left="780" w:hanging="360"/>
      </w:pPr>
    </w:lvl>
  </w:abstractNum>
  <w:abstractNum w:abstractNumId="10">
    <w:nsid w:val="0000000B"/>
    <w:multiLevelType w:val="singleLevel"/>
    <w:tmpl w:val="0000000B"/>
    <w:lvl w:ilvl="0" w:tentative="0">
      <w:start w:val="1"/>
      <w:numFmt w:val="bullet"/>
      <w:pStyle w:val="23"/>
      <w:lvlText w:val=""/>
      <w:lvlJc w:val="left"/>
      <w:pPr>
        <w:tabs>
          <w:tab w:val="left" w:pos="2040"/>
        </w:tabs>
        <w:ind w:left="2040" w:hanging="360"/>
      </w:pPr>
      <w:rPr>
        <w:rFonts w:hint="default" w:ascii="Wingdings" w:hAnsi="Wingdings"/>
      </w:rPr>
    </w:lvl>
  </w:abstractNum>
  <w:abstractNum w:abstractNumId="11">
    <w:nsid w:val="0000000C"/>
    <w:multiLevelType w:val="singleLevel"/>
    <w:tmpl w:val="0000000C"/>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2">
    <w:nsid w:val="0000000D"/>
    <w:multiLevelType w:val="singleLevel"/>
    <w:tmpl w:val="0000000D"/>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13">
    <w:nsid w:val="0000000E"/>
    <w:multiLevelType w:val="singleLevel"/>
    <w:tmpl w:val="0000000E"/>
    <w:lvl w:ilvl="0" w:tentative="0">
      <w:start w:val="1"/>
      <w:numFmt w:val="bullet"/>
      <w:pStyle w:val="112"/>
      <w:lvlText w:val=""/>
      <w:lvlJc w:val="left"/>
      <w:pPr>
        <w:tabs>
          <w:tab w:val="left" w:pos="360"/>
        </w:tabs>
        <w:ind w:left="360" w:hanging="360"/>
      </w:pPr>
      <w:rPr>
        <w:rFonts w:hint="default" w:ascii="Wingdings" w:hAnsi="Wingdings"/>
      </w:rPr>
    </w:lvl>
  </w:abstractNum>
  <w:abstractNum w:abstractNumId="14">
    <w:nsid w:val="0000000F"/>
    <w:multiLevelType w:val="singleLevel"/>
    <w:tmpl w:val="0000000F"/>
    <w:lvl w:ilvl="0" w:tentative="0">
      <w:start w:val="1"/>
      <w:numFmt w:val="decimal"/>
      <w:suff w:val="nothing"/>
      <w:lvlText w:val="（%1）"/>
      <w:lvlJc w:val="left"/>
      <w:pPr>
        <w:ind w:left="0" w:firstLine="0"/>
      </w:pPr>
    </w:lvl>
  </w:abstractNum>
  <w:abstractNum w:abstractNumId="15">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16">
    <w:nsid w:val="2B06841C"/>
    <w:multiLevelType w:val="multilevel"/>
    <w:tmpl w:val="2B06841C"/>
    <w:lvl w:ilvl="0" w:tentative="0">
      <w:start w:val="3"/>
      <w:numFmt w:val="chineseCountingThousand"/>
      <w:pStyle w:val="3"/>
      <w:suff w:val="space"/>
      <w:lvlText w:val="第%1章"/>
      <w:lvlJc w:val="left"/>
      <w:pPr>
        <w:ind w:left="3835" w:hanging="432"/>
      </w:pPr>
      <w:rPr>
        <w:rFonts w:hint="eastAsia" w:ascii="等线 Light" w:hAnsi="等线 Light"/>
      </w:rPr>
    </w:lvl>
    <w:lvl w:ilvl="1" w:tentative="0">
      <w:start w:val="1"/>
      <w:numFmt w:val="decimal"/>
      <w:pStyle w:val="4"/>
      <w:isLgl/>
      <w:lvlText w:val="%1.%2"/>
      <w:lvlJc w:val="left"/>
      <w:pPr>
        <w:tabs>
          <w:tab w:val="left" w:pos="840"/>
        </w:tabs>
        <w:ind w:left="1416" w:hanging="576"/>
      </w:pPr>
      <w:rPr>
        <w:rFonts w:hint="eastAsia"/>
      </w:rPr>
    </w:lvl>
    <w:lvl w:ilvl="2" w:tentative="0">
      <w:start w:val="1"/>
      <w:numFmt w:val="decimal"/>
      <w:pStyle w:val="5"/>
      <w:isLgl/>
      <w:lvlText w:val="%1.%2.%3"/>
      <w:lvlJc w:val="left"/>
      <w:pPr>
        <w:tabs>
          <w:tab w:val="left" w:pos="840"/>
        </w:tabs>
        <w:ind w:left="1560" w:hanging="720"/>
      </w:pPr>
      <w:rPr>
        <w:rFonts w:hint="eastAsia" w:ascii="等线 Light" w:hAnsi="等线 Light"/>
      </w:rPr>
    </w:lvl>
    <w:lvl w:ilvl="3" w:tentative="0">
      <w:start w:val="1"/>
      <w:numFmt w:val="decimal"/>
      <w:pStyle w:val="6"/>
      <w:isLgl/>
      <w:lvlText w:val="%1.%2.%3.%4"/>
      <w:lvlJc w:val="left"/>
      <w:pPr>
        <w:tabs>
          <w:tab w:val="left" w:pos="0"/>
        </w:tabs>
        <w:ind w:left="864" w:hanging="864"/>
      </w:pPr>
      <w:rPr>
        <w:rFonts w:hint="eastAsia"/>
      </w:rPr>
    </w:lvl>
    <w:lvl w:ilvl="4" w:tentative="0">
      <w:start w:val="1"/>
      <w:numFmt w:val="decimal"/>
      <w:pStyle w:val="7"/>
      <w:isLgl/>
      <w:lvlText w:val="%1.%2.%3.%4.%5"/>
      <w:lvlJc w:val="left"/>
      <w:pPr>
        <w:tabs>
          <w:tab w:val="left" w:pos="568"/>
        </w:tabs>
        <w:ind w:left="1576" w:hanging="1008"/>
      </w:pPr>
      <w:rPr>
        <w:rFonts w:hint="eastAsia" w:ascii="等线 Light" w:hAnsi="等线 Light"/>
      </w:rPr>
    </w:lvl>
    <w:lvl w:ilvl="5" w:tentative="0">
      <w:start w:val="1"/>
      <w:numFmt w:val="decimal"/>
      <w:pStyle w:val="8"/>
      <w:isLgl/>
      <w:lvlText w:val="%1.%2.%3.%4.%5.%6"/>
      <w:lvlJc w:val="left"/>
      <w:pPr>
        <w:tabs>
          <w:tab w:val="left" w:pos="1135"/>
        </w:tabs>
        <w:ind w:left="2287" w:hanging="1152"/>
      </w:pPr>
      <w:rPr>
        <w:rFonts w:hint="eastAsia"/>
      </w:rPr>
    </w:lvl>
    <w:lvl w:ilvl="6" w:tentative="0">
      <w:start w:val="1"/>
      <w:numFmt w:val="decimal"/>
      <w:isLgl/>
      <w:lvlText w:val="%1.%2.%3.%4.%5.%6.%7"/>
      <w:lvlJc w:val="left"/>
      <w:pPr>
        <w:tabs>
          <w:tab w:val="left" w:pos="840"/>
        </w:tabs>
        <w:ind w:left="2136" w:hanging="1296"/>
      </w:pPr>
      <w:rPr>
        <w:rFonts w:hint="eastAsia"/>
      </w:rPr>
    </w:lvl>
    <w:lvl w:ilvl="7" w:tentative="0">
      <w:start w:val="1"/>
      <w:numFmt w:val="decimal"/>
      <w:isLgl/>
      <w:lvlText w:val="%1.%2.%3.%4.%5.%6.%7.%8"/>
      <w:lvlJc w:val="left"/>
      <w:pPr>
        <w:tabs>
          <w:tab w:val="left" w:pos="840"/>
        </w:tabs>
        <w:ind w:left="2280" w:hanging="1440"/>
      </w:pPr>
      <w:rPr>
        <w:rFonts w:hint="eastAsia"/>
      </w:rPr>
    </w:lvl>
    <w:lvl w:ilvl="8" w:tentative="0">
      <w:start w:val="1"/>
      <w:numFmt w:val="decimal"/>
      <w:isLgl/>
      <w:lvlText w:val="%1.%2.%3.%4.%5.%6.%7.%8.%9"/>
      <w:lvlJc w:val="left"/>
      <w:pPr>
        <w:tabs>
          <w:tab w:val="left" w:pos="840"/>
        </w:tabs>
        <w:ind w:left="2424" w:hanging="1584"/>
      </w:pPr>
      <w:rPr>
        <w:rFonts w:hint="eastAsia"/>
      </w:rPr>
    </w:lvl>
  </w:abstractNum>
  <w:num w:numId="1">
    <w:abstractNumId w:val="16"/>
  </w:num>
  <w:num w:numId="2">
    <w:abstractNumId w:val="7"/>
  </w:num>
  <w:num w:numId="3">
    <w:abstractNumId w:val="9"/>
  </w:num>
  <w:num w:numId="4">
    <w:abstractNumId w:val="8"/>
  </w:num>
  <w:num w:numId="5">
    <w:abstractNumId w:val="11"/>
  </w:num>
  <w:num w:numId="6">
    <w:abstractNumId w:val="10"/>
  </w:num>
  <w:num w:numId="7">
    <w:abstractNumId w:val="12"/>
  </w:num>
  <w:num w:numId="8">
    <w:abstractNumId w:val="13"/>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2"/>
  </w:num>
  <w:num w:numId="13">
    <w:abstractNumId w:val="6"/>
  </w:num>
  <w:num w:numId="14">
    <w:abstractNumId w:val="4"/>
  </w:num>
  <w:num w:numId="15">
    <w:abstractNumId w:val="1"/>
  </w:num>
  <w:num w:numId="16">
    <w:abstractNumId w:val="15"/>
  </w:num>
  <w:num w:numId="17">
    <w:abstractNumId w:val="5"/>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铮 袁">
    <w15:presenceInfo w15:providerId="Windows Live" w15:userId="83fe075d72c8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WNhNmY0M2ZmZDVlYzhhZjFkNDU2YzI1MjA5ZjcifQ=="/>
  </w:docVars>
  <w:rsids>
    <w:rsidRoot w:val="00DC2415"/>
    <w:rsid w:val="00000EDE"/>
    <w:rsid w:val="000021EE"/>
    <w:rsid w:val="00005B4D"/>
    <w:rsid w:val="00006A79"/>
    <w:rsid w:val="0001547C"/>
    <w:rsid w:val="00017066"/>
    <w:rsid w:val="00033B8E"/>
    <w:rsid w:val="00037B92"/>
    <w:rsid w:val="00042BB2"/>
    <w:rsid w:val="00047D5B"/>
    <w:rsid w:val="00057E19"/>
    <w:rsid w:val="0006015E"/>
    <w:rsid w:val="00065BA6"/>
    <w:rsid w:val="00071263"/>
    <w:rsid w:val="000729A3"/>
    <w:rsid w:val="0007358F"/>
    <w:rsid w:val="00080945"/>
    <w:rsid w:val="00083463"/>
    <w:rsid w:val="00084A58"/>
    <w:rsid w:val="000907C0"/>
    <w:rsid w:val="000913B3"/>
    <w:rsid w:val="00093AE4"/>
    <w:rsid w:val="000A2AE1"/>
    <w:rsid w:val="000A3575"/>
    <w:rsid w:val="000A3638"/>
    <w:rsid w:val="000B50A3"/>
    <w:rsid w:val="000B6D42"/>
    <w:rsid w:val="000C0008"/>
    <w:rsid w:val="000C0246"/>
    <w:rsid w:val="000C76BA"/>
    <w:rsid w:val="000D2454"/>
    <w:rsid w:val="000D47B4"/>
    <w:rsid w:val="000D61E3"/>
    <w:rsid w:val="000E0F4B"/>
    <w:rsid w:val="000F544D"/>
    <w:rsid w:val="00113C9B"/>
    <w:rsid w:val="00114801"/>
    <w:rsid w:val="00131CDF"/>
    <w:rsid w:val="001343EB"/>
    <w:rsid w:val="00135573"/>
    <w:rsid w:val="00136216"/>
    <w:rsid w:val="00147F58"/>
    <w:rsid w:val="00166F84"/>
    <w:rsid w:val="001715AD"/>
    <w:rsid w:val="00172458"/>
    <w:rsid w:val="00174AAD"/>
    <w:rsid w:val="001864BF"/>
    <w:rsid w:val="00194700"/>
    <w:rsid w:val="00194DEE"/>
    <w:rsid w:val="00196185"/>
    <w:rsid w:val="001A7DBA"/>
    <w:rsid w:val="001B4769"/>
    <w:rsid w:val="001C26DD"/>
    <w:rsid w:val="001C285A"/>
    <w:rsid w:val="001C3B2F"/>
    <w:rsid w:val="001D1A7A"/>
    <w:rsid w:val="001D6D3E"/>
    <w:rsid w:val="001D7747"/>
    <w:rsid w:val="001E5917"/>
    <w:rsid w:val="001F3B53"/>
    <w:rsid w:val="00201934"/>
    <w:rsid w:val="002257CA"/>
    <w:rsid w:val="00226160"/>
    <w:rsid w:val="00232377"/>
    <w:rsid w:val="00234E7B"/>
    <w:rsid w:val="00243462"/>
    <w:rsid w:val="00247F24"/>
    <w:rsid w:val="00253747"/>
    <w:rsid w:val="00254B9B"/>
    <w:rsid w:val="002559FB"/>
    <w:rsid w:val="002633FB"/>
    <w:rsid w:val="00266A9E"/>
    <w:rsid w:val="002758E5"/>
    <w:rsid w:val="002760DF"/>
    <w:rsid w:val="002847A1"/>
    <w:rsid w:val="00294C7F"/>
    <w:rsid w:val="002A30D0"/>
    <w:rsid w:val="002A34C2"/>
    <w:rsid w:val="002A3B07"/>
    <w:rsid w:val="002A543F"/>
    <w:rsid w:val="002B2023"/>
    <w:rsid w:val="002B24BD"/>
    <w:rsid w:val="002B3438"/>
    <w:rsid w:val="002B6644"/>
    <w:rsid w:val="002C2AE4"/>
    <w:rsid w:val="002C3CC3"/>
    <w:rsid w:val="002D57CE"/>
    <w:rsid w:val="002D7765"/>
    <w:rsid w:val="002E189A"/>
    <w:rsid w:val="002E6698"/>
    <w:rsid w:val="002E7454"/>
    <w:rsid w:val="002F384C"/>
    <w:rsid w:val="003006C9"/>
    <w:rsid w:val="00325F09"/>
    <w:rsid w:val="00332070"/>
    <w:rsid w:val="00336DD1"/>
    <w:rsid w:val="00336FA6"/>
    <w:rsid w:val="003413CB"/>
    <w:rsid w:val="0035363F"/>
    <w:rsid w:val="003638FE"/>
    <w:rsid w:val="00365FDC"/>
    <w:rsid w:val="00377230"/>
    <w:rsid w:val="00384CBC"/>
    <w:rsid w:val="003A5700"/>
    <w:rsid w:val="003B4C7A"/>
    <w:rsid w:val="003C10DB"/>
    <w:rsid w:val="003C4895"/>
    <w:rsid w:val="003D16C9"/>
    <w:rsid w:val="003D1881"/>
    <w:rsid w:val="003D5069"/>
    <w:rsid w:val="003D78AE"/>
    <w:rsid w:val="003E019E"/>
    <w:rsid w:val="003F05A2"/>
    <w:rsid w:val="003F61EE"/>
    <w:rsid w:val="004029C6"/>
    <w:rsid w:val="00407C5D"/>
    <w:rsid w:val="00411C9C"/>
    <w:rsid w:val="00413C7B"/>
    <w:rsid w:val="00430150"/>
    <w:rsid w:val="00441EA3"/>
    <w:rsid w:val="00450B0A"/>
    <w:rsid w:val="004578E8"/>
    <w:rsid w:val="0048634F"/>
    <w:rsid w:val="00492843"/>
    <w:rsid w:val="004A1063"/>
    <w:rsid w:val="004A2140"/>
    <w:rsid w:val="004A3982"/>
    <w:rsid w:val="004A53A2"/>
    <w:rsid w:val="004A767E"/>
    <w:rsid w:val="004B09B1"/>
    <w:rsid w:val="004C08AE"/>
    <w:rsid w:val="004C143E"/>
    <w:rsid w:val="004C5CEB"/>
    <w:rsid w:val="004D4FB6"/>
    <w:rsid w:val="004D6821"/>
    <w:rsid w:val="004E2D9F"/>
    <w:rsid w:val="0050463C"/>
    <w:rsid w:val="00504DF0"/>
    <w:rsid w:val="00507AC5"/>
    <w:rsid w:val="00511211"/>
    <w:rsid w:val="005146D0"/>
    <w:rsid w:val="00517F55"/>
    <w:rsid w:val="00530249"/>
    <w:rsid w:val="0053036C"/>
    <w:rsid w:val="005320FF"/>
    <w:rsid w:val="005348F1"/>
    <w:rsid w:val="00536C8C"/>
    <w:rsid w:val="005477EC"/>
    <w:rsid w:val="005508D8"/>
    <w:rsid w:val="005601A8"/>
    <w:rsid w:val="00571DD7"/>
    <w:rsid w:val="00592110"/>
    <w:rsid w:val="005949DA"/>
    <w:rsid w:val="005977AF"/>
    <w:rsid w:val="005A7297"/>
    <w:rsid w:val="005B3BE1"/>
    <w:rsid w:val="005C4ACA"/>
    <w:rsid w:val="005E08EE"/>
    <w:rsid w:val="005E141D"/>
    <w:rsid w:val="005E6C7D"/>
    <w:rsid w:val="005E7ABA"/>
    <w:rsid w:val="005F3BEB"/>
    <w:rsid w:val="006100EE"/>
    <w:rsid w:val="00610248"/>
    <w:rsid w:val="006246CF"/>
    <w:rsid w:val="0062640D"/>
    <w:rsid w:val="00634BC3"/>
    <w:rsid w:val="0063756F"/>
    <w:rsid w:val="006424BE"/>
    <w:rsid w:val="006469E2"/>
    <w:rsid w:val="006476F1"/>
    <w:rsid w:val="00651311"/>
    <w:rsid w:val="00653A86"/>
    <w:rsid w:val="00660773"/>
    <w:rsid w:val="0066561C"/>
    <w:rsid w:val="00671A17"/>
    <w:rsid w:val="0067239F"/>
    <w:rsid w:val="00681BC4"/>
    <w:rsid w:val="00690E3C"/>
    <w:rsid w:val="00696E92"/>
    <w:rsid w:val="0069775B"/>
    <w:rsid w:val="006A3E13"/>
    <w:rsid w:val="006B34EF"/>
    <w:rsid w:val="006B51D8"/>
    <w:rsid w:val="006C1AC7"/>
    <w:rsid w:val="006C64F3"/>
    <w:rsid w:val="006D13D0"/>
    <w:rsid w:val="006D4800"/>
    <w:rsid w:val="006D57E0"/>
    <w:rsid w:val="006D69BD"/>
    <w:rsid w:val="006E56D4"/>
    <w:rsid w:val="006F7C3A"/>
    <w:rsid w:val="0070018C"/>
    <w:rsid w:val="007005BC"/>
    <w:rsid w:val="007036E2"/>
    <w:rsid w:val="007125DC"/>
    <w:rsid w:val="007178C1"/>
    <w:rsid w:val="00717D8F"/>
    <w:rsid w:val="00727970"/>
    <w:rsid w:val="0073217D"/>
    <w:rsid w:val="0073412C"/>
    <w:rsid w:val="00735A0F"/>
    <w:rsid w:val="00740281"/>
    <w:rsid w:val="00746D34"/>
    <w:rsid w:val="007617E4"/>
    <w:rsid w:val="0076264A"/>
    <w:rsid w:val="0077400F"/>
    <w:rsid w:val="0077551B"/>
    <w:rsid w:val="00777265"/>
    <w:rsid w:val="00785D12"/>
    <w:rsid w:val="00791489"/>
    <w:rsid w:val="007A0160"/>
    <w:rsid w:val="007A0991"/>
    <w:rsid w:val="007A4677"/>
    <w:rsid w:val="007A771C"/>
    <w:rsid w:val="007B2762"/>
    <w:rsid w:val="007B6690"/>
    <w:rsid w:val="007C07AD"/>
    <w:rsid w:val="007C17BF"/>
    <w:rsid w:val="007C3EF4"/>
    <w:rsid w:val="007C68AC"/>
    <w:rsid w:val="007C6C60"/>
    <w:rsid w:val="007C7F50"/>
    <w:rsid w:val="007D4F09"/>
    <w:rsid w:val="007D5A7C"/>
    <w:rsid w:val="007D6D71"/>
    <w:rsid w:val="007D6E25"/>
    <w:rsid w:val="007D78D0"/>
    <w:rsid w:val="007D7E38"/>
    <w:rsid w:val="007E4D25"/>
    <w:rsid w:val="007E4F57"/>
    <w:rsid w:val="007E5F17"/>
    <w:rsid w:val="007E67C3"/>
    <w:rsid w:val="007F0243"/>
    <w:rsid w:val="007F6ACA"/>
    <w:rsid w:val="00807E69"/>
    <w:rsid w:val="008155BA"/>
    <w:rsid w:val="00816A6A"/>
    <w:rsid w:val="008221DB"/>
    <w:rsid w:val="00824A63"/>
    <w:rsid w:val="008547A9"/>
    <w:rsid w:val="00860CB7"/>
    <w:rsid w:val="0086160F"/>
    <w:rsid w:val="00863E35"/>
    <w:rsid w:val="00865636"/>
    <w:rsid w:val="0087403A"/>
    <w:rsid w:val="0088084F"/>
    <w:rsid w:val="00882B91"/>
    <w:rsid w:val="00884DDE"/>
    <w:rsid w:val="00891170"/>
    <w:rsid w:val="00892065"/>
    <w:rsid w:val="00896BB2"/>
    <w:rsid w:val="008A079B"/>
    <w:rsid w:val="008A181F"/>
    <w:rsid w:val="008B7D5C"/>
    <w:rsid w:val="008C1341"/>
    <w:rsid w:val="008C300B"/>
    <w:rsid w:val="008C5D91"/>
    <w:rsid w:val="008D658C"/>
    <w:rsid w:val="008E18AE"/>
    <w:rsid w:val="008E384A"/>
    <w:rsid w:val="008E5ECC"/>
    <w:rsid w:val="008F01C8"/>
    <w:rsid w:val="009142F9"/>
    <w:rsid w:val="00915D83"/>
    <w:rsid w:val="0092063F"/>
    <w:rsid w:val="00922A3E"/>
    <w:rsid w:val="00922BCA"/>
    <w:rsid w:val="009237BD"/>
    <w:rsid w:val="00925D2E"/>
    <w:rsid w:val="0092721D"/>
    <w:rsid w:val="0093246D"/>
    <w:rsid w:val="009354AE"/>
    <w:rsid w:val="00943812"/>
    <w:rsid w:val="00956047"/>
    <w:rsid w:val="009640AE"/>
    <w:rsid w:val="009650C5"/>
    <w:rsid w:val="00974AF1"/>
    <w:rsid w:val="00983AC8"/>
    <w:rsid w:val="00992DFA"/>
    <w:rsid w:val="009A0B91"/>
    <w:rsid w:val="009A191D"/>
    <w:rsid w:val="009A1D43"/>
    <w:rsid w:val="009A4622"/>
    <w:rsid w:val="009B44DB"/>
    <w:rsid w:val="009B49E7"/>
    <w:rsid w:val="009B5032"/>
    <w:rsid w:val="009C0AFA"/>
    <w:rsid w:val="009D648D"/>
    <w:rsid w:val="009D7FB1"/>
    <w:rsid w:val="009E09B4"/>
    <w:rsid w:val="009E52E7"/>
    <w:rsid w:val="009F642E"/>
    <w:rsid w:val="00A036A2"/>
    <w:rsid w:val="00A13678"/>
    <w:rsid w:val="00A206F2"/>
    <w:rsid w:val="00A21FD9"/>
    <w:rsid w:val="00A2739A"/>
    <w:rsid w:val="00A340A1"/>
    <w:rsid w:val="00A456BB"/>
    <w:rsid w:val="00A51194"/>
    <w:rsid w:val="00A5122D"/>
    <w:rsid w:val="00A52B11"/>
    <w:rsid w:val="00A62886"/>
    <w:rsid w:val="00A63C2C"/>
    <w:rsid w:val="00A664EE"/>
    <w:rsid w:val="00A703A1"/>
    <w:rsid w:val="00A810F7"/>
    <w:rsid w:val="00A830AA"/>
    <w:rsid w:val="00A94600"/>
    <w:rsid w:val="00A968AC"/>
    <w:rsid w:val="00AA46D5"/>
    <w:rsid w:val="00AA5137"/>
    <w:rsid w:val="00AB1782"/>
    <w:rsid w:val="00AB1A4F"/>
    <w:rsid w:val="00AB404E"/>
    <w:rsid w:val="00AB525E"/>
    <w:rsid w:val="00AC5A3E"/>
    <w:rsid w:val="00AD1BCE"/>
    <w:rsid w:val="00AD260A"/>
    <w:rsid w:val="00AD3AED"/>
    <w:rsid w:val="00AE0D47"/>
    <w:rsid w:val="00AE2819"/>
    <w:rsid w:val="00AE7E66"/>
    <w:rsid w:val="00AF35C9"/>
    <w:rsid w:val="00AF603C"/>
    <w:rsid w:val="00AF71E9"/>
    <w:rsid w:val="00B02E8F"/>
    <w:rsid w:val="00B04717"/>
    <w:rsid w:val="00B04B48"/>
    <w:rsid w:val="00B10F56"/>
    <w:rsid w:val="00B206BD"/>
    <w:rsid w:val="00B22BB3"/>
    <w:rsid w:val="00B31A54"/>
    <w:rsid w:val="00B52484"/>
    <w:rsid w:val="00B526B2"/>
    <w:rsid w:val="00B55D04"/>
    <w:rsid w:val="00B55EDB"/>
    <w:rsid w:val="00B634A4"/>
    <w:rsid w:val="00B65888"/>
    <w:rsid w:val="00B71BDF"/>
    <w:rsid w:val="00B729FA"/>
    <w:rsid w:val="00B809D2"/>
    <w:rsid w:val="00B8242A"/>
    <w:rsid w:val="00B82E7F"/>
    <w:rsid w:val="00B874C6"/>
    <w:rsid w:val="00B87709"/>
    <w:rsid w:val="00B90073"/>
    <w:rsid w:val="00B959E5"/>
    <w:rsid w:val="00B95F59"/>
    <w:rsid w:val="00BA0940"/>
    <w:rsid w:val="00BA123C"/>
    <w:rsid w:val="00BA16BD"/>
    <w:rsid w:val="00BA376E"/>
    <w:rsid w:val="00BA6FC5"/>
    <w:rsid w:val="00BC0B6B"/>
    <w:rsid w:val="00BC0DD1"/>
    <w:rsid w:val="00BC6111"/>
    <w:rsid w:val="00BD4FB9"/>
    <w:rsid w:val="00BF190A"/>
    <w:rsid w:val="00BF1E5E"/>
    <w:rsid w:val="00BF3267"/>
    <w:rsid w:val="00BF6BAB"/>
    <w:rsid w:val="00C0436A"/>
    <w:rsid w:val="00C1034C"/>
    <w:rsid w:val="00C11BB2"/>
    <w:rsid w:val="00C12692"/>
    <w:rsid w:val="00C22F80"/>
    <w:rsid w:val="00C2507C"/>
    <w:rsid w:val="00C31A6C"/>
    <w:rsid w:val="00C44B43"/>
    <w:rsid w:val="00C44D07"/>
    <w:rsid w:val="00C500B4"/>
    <w:rsid w:val="00C562E0"/>
    <w:rsid w:val="00C56EBF"/>
    <w:rsid w:val="00C74FBE"/>
    <w:rsid w:val="00C8483C"/>
    <w:rsid w:val="00C848B7"/>
    <w:rsid w:val="00C95705"/>
    <w:rsid w:val="00C977F3"/>
    <w:rsid w:val="00CA43B8"/>
    <w:rsid w:val="00CB73DD"/>
    <w:rsid w:val="00CC0C09"/>
    <w:rsid w:val="00CC118E"/>
    <w:rsid w:val="00CD153D"/>
    <w:rsid w:val="00CD1DEF"/>
    <w:rsid w:val="00CD20B6"/>
    <w:rsid w:val="00CE4196"/>
    <w:rsid w:val="00CE4F69"/>
    <w:rsid w:val="00CF2E5D"/>
    <w:rsid w:val="00D1084D"/>
    <w:rsid w:val="00D12880"/>
    <w:rsid w:val="00D172C4"/>
    <w:rsid w:val="00D17912"/>
    <w:rsid w:val="00D2347F"/>
    <w:rsid w:val="00D30B05"/>
    <w:rsid w:val="00D3187E"/>
    <w:rsid w:val="00D32171"/>
    <w:rsid w:val="00D40DE6"/>
    <w:rsid w:val="00D537E2"/>
    <w:rsid w:val="00D7387F"/>
    <w:rsid w:val="00D74A62"/>
    <w:rsid w:val="00D74AD5"/>
    <w:rsid w:val="00DA14E2"/>
    <w:rsid w:val="00DC23BE"/>
    <w:rsid w:val="00DC2415"/>
    <w:rsid w:val="00DC2F9D"/>
    <w:rsid w:val="00DD7A96"/>
    <w:rsid w:val="00DE40E6"/>
    <w:rsid w:val="00DE62C9"/>
    <w:rsid w:val="00E00F93"/>
    <w:rsid w:val="00E02D05"/>
    <w:rsid w:val="00E0414F"/>
    <w:rsid w:val="00E1438F"/>
    <w:rsid w:val="00E26036"/>
    <w:rsid w:val="00E33F3D"/>
    <w:rsid w:val="00E40D3B"/>
    <w:rsid w:val="00E42EAE"/>
    <w:rsid w:val="00E44571"/>
    <w:rsid w:val="00E46409"/>
    <w:rsid w:val="00E51F7A"/>
    <w:rsid w:val="00E52844"/>
    <w:rsid w:val="00E5394F"/>
    <w:rsid w:val="00E557E8"/>
    <w:rsid w:val="00E666B0"/>
    <w:rsid w:val="00E706A3"/>
    <w:rsid w:val="00E733BA"/>
    <w:rsid w:val="00E73F38"/>
    <w:rsid w:val="00E8715C"/>
    <w:rsid w:val="00E9262C"/>
    <w:rsid w:val="00EA723D"/>
    <w:rsid w:val="00EB30E8"/>
    <w:rsid w:val="00EB5100"/>
    <w:rsid w:val="00EC250B"/>
    <w:rsid w:val="00EC56C4"/>
    <w:rsid w:val="00ED55EC"/>
    <w:rsid w:val="00ED6616"/>
    <w:rsid w:val="00EE0668"/>
    <w:rsid w:val="00EE7A62"/>
    <w:rsid w:val="00EF61FD"/>
    <w:rsid w:val="00F0196D"/>
    <w:rsid w:val="00F05064"/>
    <w:rsid w:val="00F1080F"/>
    <w:rsid w:val="00F123AC"/>
    <w:rsid w:val="00F15BC2"/>
    <w:rsid w:val="00F23F5E"/>
    <w:rsid w:val="00F2602E"/>
    <w:rsid w:val="00F30F74"/>
    <w:rsid w:val="00F336E1"/>
    <w:rsid w:val="00F536E7"/>
    <w:rsid w:val="00F56E8F"/>
    <w:rsid w:val="00F57BDE"/>
    <w:rsid w:val="00F66BEC"/>
    <w:rsid w:val="00F71311"/>
    <w:rsid w:val="00F76D48"/>
    <w:rsid w:val="00F907BE"/>
    <w:rsid w:val="00F91328"/>
    <w:rsid w:val="00F9263F"/>
    <w:rsid w:val="00F93ED6"/>
    <w:rsid w:val="00FC3019"/>
    <w:rsid w:val="00FD34CB"/>
    <w:rsid w:val="00FD36B4"/>
    <w:rsid w:val="00FD7A34"/>
    <w:rsid w:val="00FE1F1E"/>
    <w:rsid w:val="00FE385E"/>
    <w:rsid w:val="01E0698D"/>
    <w:rsid w:val="06FC3BB0"/>
    <w:rsid w:val="15E11DFB"/>
    <w:rsid w:val="1E165C06"/>
    <w:rsid w:val="1FDB045E"/>
    <w:rsid w:val="277927F3"/>
    <w:rsid w:val="2C382C3F"/>
    <w:rsid w:val="2E2F1D8A"/>
    <w:rsid w:val="316023F9"/>
    <w:rsid w:val="35A77579"/>
    <w:rsid w:val="381E21F8"/>
    <w:rsid w:val="443501C6"/>
    <w:rsid w:val="45D25BF2"/>
    <w:rsid w:val="47F77BA7"/>
    <w:rsid w:val="5EE36348"/>
    <w:rsid w:val="65E17414"/>
    <w:rsid w:val="6B475D00"/>
    <w:rsid w:val="7DF5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39" w:semiHidden="0" w:name="Table Grid"/>
    <w:lsdException w:unhideWhenUsed="0" w:uiPriority="99" w:semiHidden="0"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9"/>
    <w:pPr>
      <w:keepNext/>
      <w:keepLines/>
      <w:numPr>
        <w:ilvl w:val="0"/>
        <w:numId w:val="1"/>
      </w:numPr>
      <w:spacing w:before="200" w:after="200"/>
      <w:outlineLvl w:val="0"/>
    </w:pPr>
    <w:rPr>
      <w:rFonts w:ascii="Calibri" w:hAnsi="Calibri"/>
      <w:b/>
      <w:bCs/>
      <w:kern w:val="44"/>
      <w:sz w:val="30"/>
      <w:szCs w:val="44"/>
    </w:rPr>
  </w:style>
  <w:style w:type="paragraph" w:styleId="4">
    <w:name w:val="heading 2"/>
    <w:basedOn w:val="1"/>
    <w:next w:val="2"/>
    <w:link w:val="62"/>
    <w:qFormat/>
    <w:uiPriority w:val="9"/>
    <w:pPr>
      <w:keepNext/>
      <w:keepLines/>
      <w:numPr>
        <w:ilvl w:val="1"/>
        <w:numId w:val="1"/>
      </w:numPr>
      <w:tabs>
        <w:tab w:val="left" w:pos="576"/>
      </w:tabs>
      <w:spacing w:before="260" w:after="260" w:line="412" w:lineRule="auto"/>
      <w:outlineLvl w:val="1"/>
    </w:pPr>
    <w:rPr>
      <w:rFonts w:ascii="Arial" w:hAnsi="Arial" w:eastAsia="黑体"/>
      <w:b/>
      <w:bCs/>
      <w:kern w:val="0"/>
      <w:sz w:val="32"/>
      <w:szCs w:val="32"/>
    </w:rPr>
  </w:style>
  <w:style w:type="paragraph" w:styleId="5">
    <w:name w:val="heading 3"/>
    <w:basedOn w:val="1"/>
    <w:next w:val="1"/>
    <w:link w:val="64"/>
    <w:qFormat/>
    <w:uiPriority w:val="9"/>
    <w:pPr>
      <w:keepNext/>
      <w:keepLines/>
      <w:numPr>
        <w:ilvl w:val="2"/>
        <w:numId w:val="1"/>
      </w:numPr>
      <w:spacing w:before="260" w:after="260" w:line="415" w:lineRule="auto"/>
      <w:outlineLvl w:val="2"/>
    </w:pPr>
    <w:rPr>
      <w:rFonts w:ascii="Calibri" w:hAnsi="Calibri"/>
      <w:b/>
      <w:bCs/>
      <w:kern w:val="0"/>
      <w:sz w:val="32"/>
      <w:szCs w:val="32"/>
    </w:rPr>
  </w:style>
  <w:style w:type="paragraph" w:styleId="6">
    <w:name w:val="heading 4"/>
    <w:basedOn w:val="1"/>
    <w:next w:val="1"/>
    <w:link w:val="65"/>
    <w:qFormat/>
    <w:uiPriority w:val="9"/>
    <w:pPr>
      <w:keepNext/>
      <w:keepLines/>
      <w:numPr>
        <w:ilvl w:val="3"/>
        <w:numId w:val="1"/>
      </w:numPr>
      <w:spacing w:before="280" w:after="290" w:line="372" w:lineRule="auto"/>
      <w:outlineLvl w:val="3"/>
    </w:pPr>
    <w:rPr>
      <w:rFonts w:ascii="Arial" w:hAnsi="Arial" w:eastAsia="黑体"/>
      <w:b/>
      <w:bCs/>
      <w:kern w:val="0"/>
      <w:sz w:val="28"/>
      <w:szCs w:val="28"/>
    </w:rPr>
  </w:style>
  <w:style w:type="paragraph" w:styleId="7">
    <w:name w:val="heading 5"/>
    <w:basedOn w:val="1"/>
    <w:next w:val="1"/>
    <w:link w:val="66"/>
    <w:qFormat/>
    <w:uiPriority w:val="9"/>
    <w:pPr>
      <w:keepNext/>
      <w:keepLines/>
      <w:numPr>
        <w:ilvl w:val="4"/>
        <w:numId w:val="1"/>
      </w:numPr>
      <w:spacing w:before="280" w:after="290" w:line="372" w:lineRule="auto"/>
      <w:outlineLvl w:val="4"/>
    </w:pPr>
    <w:rPr>
      <w:rFonts w:ascii="Calibri" w:hAnsi="Calibri"/>
      <w:b/>
      <w:bCs/>
      <w:kern w:val="0"/>
      <w:sz w:val="28"/>
      <w:szCs w:val="28"/>
    </w:rPr>
  </w:style>
  <w:style w:type="paragraph" w:styleId="8">
    <w:name w:val="heading 6"/>
    <w:basedOn w:val="1"/>
    <w:next w:val="1"/>
    <w:link w:val="60"/>
    <w:unhideWhenUsed/>
    <w:qFormat/>
    <w:uiPriority w:val="9"/>
    <w:pPr>
      <w:keepNext/>
      <w:keepLines/>
      <w:numPr>
        <w:ilvl w:val="5"/>
        <w:numId w:val="1"/>
      </w:numPr>
      <w:spacing w:before="240" w:after="64" w:line="320" w:lineRule="auto"/>
      <w:outlineLvl w:val="5"/>
    </w:pPr>
    <w:rPr>
      <w:rFonts w:ascii="Cambria" w:hAnsi="Cambria"/>
      <w:b/>
      <w:bCs/>
      <w:sz w:val="24"/>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link w:val="63"/>
    <w:qFormat/>
    <w:uiPriority w:val="99"/>
    <w:pPr>
      <w:numPr>
        <w:ilvl w:val="0"/>
        <w:numId w:val="2"/>
      </w:numPr>
      <w:ind w:left="0" w:firstLine="420"/>
    </w:pPr>
    <w:rPr>
      <w:rFonts w:ascii="Calibri" w:hAnsi="Calibri"/>
      <w:szCs w:val="20"/>
    </w:rPr>
  </w:style>
  <w:style w:type="paragraph" w:styleId="9">
    <w:name w:val="toc 7"/>
    <w:basedOn w:val="1"/>
    <w:next w:val="1"/>
    <w:unhideWhenUsed/>
    <w:uiPriority w:val="39"/>
    <w:pPr>
      <w:ind w:left="2520" w:leftChars="1200"/>
    </w:pPr>
    <w:rPr>
      <w:rFonts w:asciiTheme="minorHAnsi" w:hAnsiTheme="minorHAnsi" w:eastAsiaTheme="minorEastAsia" w:cstheme="minorBidi"/>
      <w:szCs w:val="22"/>
    </w:rPr>
  </w:style>
  <w:style w:type="paragraph" w:styleId="10">
    <w:name w:val="List Number"/>
    <w:basedOn w:val="1"/>
    <w:qFormat/>
    <w:uiPriority w:val="0"/>
    <w:pPr>
      <w:widowControl/>
      <w:tabs>
        <w:tab w:val="left" w:pos="454"/>
        <w:tab w:val="left" w:pos="720"/>
      </w:tabs>
      <w:spacing w:afterLines="50"/>
      <w:ind w:left="454" w:hanging="284"/>
      <w:jc w:val="left"/>
    </w:pPr>
    <w:rPr>
      <w:rFonts w:ascii="Calibri" w:hAnsi="Calibri"/>
      <w:kern w:val="0"/>
      <w:sz w:val="24"/>
      <w:szCs w:val="20"/>
    </w:rPr>
  </w:style>
  <w:style w:type="paragraph" w:styleId="11">
    <w:name w:val="caption"/>
    <w:basedOn w:val="1"/>
    <w:next w:val="1"/>
    <w:qFormat/>
    <w:uiPriority w:val="0"/>
    <w:pPr>
      <w:numPr>
        <w:ilvl w:val="0"/>
        <w:numId w:val="3"/>
      </w:numPr>
      <w:spacing w:before="152" w:after="160"/>
      <w:ind w:left="0" w:firstLine="0"/>
    </w:pPr>
    <w:rPr>
      <w:rFonts w:ascii="Arial" w:hAnsi="Arial" w:eastAsia="黑体" w:cs="Arial"/>
      <w:sz w:val="20"/>
      <w:szCs w:val="20"/>
    </w:rPr>
  </w:style>
  <w:style w:type="paragraph" w:styleId="12">
    <w:name w:val="Document Map"/>
    <w:basedOn w:val="1"/>
    <w:link w:val="68"/>
    <w:qFormat/>
    <w:uiPriority w:val="0"/>
    <w:pPr>
      <w:shd w:val="clear" w:color="auto" w:fill="000080"/>
    </w:pPr>
    <w:rPr>
      <w:rFonts w:ascii="Calibri" w:hAnsi="Calibri"/>
      <w:kern w:val="0"/>
      <w:sz w:val="20"/>
    </w:rPr>
  </w:style>
  <w:style w:type="paragraph" w:styleId="13">
    <w:name w:val="annotation text"/>
    <w:basedOn w:val="1"/>
    <w:link w:val="70"/>
    <w:qFormat/>
    <w:uiPriority w:val="0"/>
    <w:pPr>
      <w:jc w:val="left"/>
    </w:pPr>
    <w:rPr>
      <w:rFonts w:ascii="Calibri" w:hAnsi="Calibri"/>
      <w:kern w:val="0"/>
      <w:sz w:val="20"/>
      <w:szCs w:val="20"/>
    </w:rPr>
  </w:style>
  <w:style w:type="paragraph" w:styleId="14">
    <w:name w:val="Body Text 3"/>
    <w:basedOn w:val="1"/>
    <w:link w:val="72"/>
    <w:qFormat/>
    <w:uiPriority w:val="0"/>
    <w:pPr>
      <w:numPr>
        <w:ilvl w:val="0"/>
        <w:numId w:val="4"/>
      </w:numPr>
      <w:snapToGrid w:val="0"/>
      <w:spacing w:before="50" w:after="50"/>
      <w:ind w:left="0" w:firstLine="0"/>
    </w:pPr>
    <w:rPr>
      <w:rFonts w:ascii="Calibri" w:hAnsi="Calibri" w:eastAsia="仿宋_GB2312"/>
      <w:b/>
      <w:bCs/>
      <w:kern w:val="0"/>
      <w:sz w:val="24"/>
      <w:szCs w:val="20"/>
    </w:rPr>
  </w:style>
  <w:style w:type="paragraph" w:styleId="15">
    <w:name w:val="Body Text"/>
    <w:basedOn w:val="1"/>
    <w:next w:val="1"/>
    <w:link w:val="74"/>
    <w:qFormat/>
    <w:uiPriority w:val="0"/>
    <w:pPr>
      <w:spacing w:after="120"/>
    </w:pPr>
    <w:rPr>
      <w:rFonts w:ascii="Calibri" w:hAnsi="Calibri"/>
      <w:kern w:val="0"/>
      <w:sz w:val="28"/>
    </w:rPr>
  </w:style>
  <w:style w:type="paragraph" w:styleId="16">
    <w:name w:val="Body Text Indent"/>
    <w:basedOn w:val="1"/>
    <w:link w:val="78"/>
    <w:qFormat/>
    <w:uiPriority w:val="0"/>
    <w:pPr>
      <w:spacing w:line="200" w:lineRule="exact"/>
      <w:ind w:firstLine="301"/>
    </w:pPr>
    <w:rPr>
      <w:rFonts w:ascii="宋体" w:hAnsi="Calibri"/>
      <w:spacing w:val="-4"/>
      <w:kern w:val="0"/>
      <w:sz w:val="18"/>
      <w:szCs w:val="20"/>
    </w:rPr>
  </w:style>
  <w:style w:type="paragraph" w:styleId="17">
    <w:name w:val="List Number 3"/>
    <w:basedOn w:val="1"/>
    <w:qFormat/>
    <w:uiPriority w:val="0"/>
    <w:pPr>
      <w:tabs>
        <w:tab w:val="left" w:pos="1200"/>
      </w:tabs>
      <w:ind w:left="1200" w:hanging="360"/>
    </w:pPr>
    <w:rPr>
      <w:rFonts w:ascii="Calibri" w:hAnsi="Calibri"/>
    </w:rPr>
  </w:style>
  <w:style w:type="paragraph" w:styleId="18">
    <w:name w:val="List 2"/>
    <w:basedOn w:val="1"/>
    <w:qFormat/>
    <w:uiPriority w:val="0"/>
    <w:pPr>
      <w:numPr>
        <w:ilvl w:val="0"/>
        <w:numId w:val="5"/>
      </w:numPr>
      <w:ind w:left="400" w:leftChars="200" w:hanging="200" w:hangingChars="200"/>
    </w:pPr>
    <w:rPr>
      <w:rFonts w:ascii="Calibri" w:hAnsi="Calibri"/>
      <w:sz w:val="28"/>
    </w:rPr>
  </w:style>
  <w:style w:type="paragraph" w:styleId="1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0">
    <w:name w:val="toc 3"/>
    <w:basedOn w:val="1"/>
    <w:next w:val="1"/>
    <w:qFormat/>
    <w:uiPriority w:val="39"/>
    <w:pPr>
      <w:ind w:left="400" w:leftChars="400"/>
    </w:pPr>
    <w:rPr>
      <w:rFonts w:ascii="Calibri" w:hAnsi="Calibri"/>
    </w:rPr>
  </w:style>
  <w:style w:type="paragraph" w:styleId="21">
    <w:name w:val="Plain Text"/>
    <w:basedOn w:val="1"/>
    <w:link w:val="80"/>
    <w:qFormat/>
    <w:uiPriority w:val="0"/>
    <w:pPr>
      <w:spacing w:beforeLines="50" w:afterLines="50" w:line="400" w:lineRule="exact"/>
    </w:pPr>
    <w:rPr>
      <w:rFonts w:ascii="宋体" w:hAnsi="Calibri"/>
      <w:kern w:val="0"/>
      <w:sz w:val="24"/>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pPr>
      <w:numPr>
        <w:ilvl w:val="0"/>
        <w:numId w:val="6"/>
      </w:numPr>
      <w:ind w:left="2500" w:leftChars="2500" w:firstLine="0"/>
    </w:pPr>
    <w:rPr>
      <w:rFonts w:ascii="Calibri" w:hAnsi="Calibri" w:eastAsia="楷体_GB2312"/>
      <w:kern w:val="0"/>
      <w:sz w:val="32"/>
      <w:szCs w:val="20"/>
    </w:rPr>
  </w:style>
  <w:style w:type="paragraph" w:styleId="24">
    <w:name w:val="Body Text Indent 2"/>
    <w:basedOn w:val="1"/>
    <w:link w:val="82"/>
    <w:qFormat/>
    <w:uiPriority w:val="0"/>
    <w:pPr>
      <w:snapToGrid w:val="0"/>
      <w:ind w:firstLine="225" w:firstLineChars="225"/>
    </w:pPr>
    <w:rPr>
      <w:rFonts w:ascii="仿宋_GB2312" w:hAnsi="仿宋_GB2312"/>
      <w:b/>
      <w:bCs/>
      <w:color w:val="000000"/>
      <w:kern w:val="0"/>
      <w:sz w:val="24"/>
    </w:rPr>
  </w:style>
  <w:style w:type="paragraph" w:styleId="25">
    <w:name w:val="Balloon Text"/>
    <w:basedOn w:val="1"/>
    <w:link w:val="84"/>
    <w:qFormat/>
    <w:uiPriority w:val="99"/>
    <w:rPr>
      <w:rFonts w:ascii="Calibri" w:hAnsi="Calibri"/>
      <w:kern w:val="0"/>
      <w:sz w:val="18"/>
      <w:szCs w:val="18"/>
    </w:rPr>
  </w:style>
  <w:style w:type="paragraph" w:styleId="26">
    <w:name w:val="footer"/>
    <w:basedOn w:val="1"/>
    <w:link w:val="54"/>
    <w:unhideWhenUsed/>
    <w:qFormat/>
    <w:uiPriority w:val="0"/>
    <w:pPr>
      <w:tabs>
        <w:tab w:val="center" w:pos="4153"/>
        <w:tab w:val="right" w:pos="8306"/>
      </w:tabs>
      <w:snapToGrid w:val="0"/>
      <w:jc w:val="left"/>
    </w:pPr>
    <w:rPr>
      <w:sz w:val="18"/>
      <w:szCs w:val="18"/>
    </w:rPr>
  </w:style>
  <w:style w:type="paragraph" w:styleId="27">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rFonts w:ascii="Calibri" w:hAnsi="Calibri"/>
    </w:rPr>
  </w:style>
  <w:style w:type="paragraph" w:styleId="29">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30">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rPr>
      <w:rFonts w:ascii="Calibri" w:hAnsi="Calibri"/>
      <w:sz w:val="28"/>
    </w:rPr>
  </w:style>
  <w:style w:type="paragraph" w:styleId="3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3">
    <w:name w:val="Body Text Indent 3"/>
    <w:basedOn w:val="1"/>
    <w:link w:val="90"/>
    <w:qFormat/>
    <w:uiPriority w:val="0"/>
    <w:pPr>
      <w:numPr>
        <w:ilvl w:val="0"/>
        <w:numId w:val="7"/>
      </w:numPr>
      <w:snapToGrid w:val="0"/>
      <w:jc w:val="left"/>
    </w:pPr>
    <w:rPr>
      <w:rFonts w:ascii="仿宋_GB2312" w:hAnsi="Calibri" w:eastAsia="仿宋_GB2312"/>
      <w:color w:val="000000"/>
      <w:kern w:val="0"/>
      <w:sz w:val="24"/>
    </w:rPr>
  </w:style>
  <w:style w:type="paragraph" w:styleId="34">
    <w:name w:val="toc 2"/>
    <w:basedOn w:val="1"/>
    <w:next w:val="1"/>
    <w:qFormat/>
    <w:uiPriority w:val="39"/>
    <w:pPr>
      <w:ind w:left="200" w:leftChars="200"/>
    </w:pPr>
    <w:rPr>
      <w:rFonts w:ascii="Calibri" w:hAnsi="Calibri"/>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92"/>
    <w:qFormat/>
    <w:uiPriority w:val="0"/>
    <w:pPr>
      <w:widowControl/>
      <w:snapToGrid w:val="0"/>
      <w:spacing w:before="50" w:afterLines="50" w:line="400" w:lineRule="exact"/>
      <w:jc w:val="left"/>
    </w:pPr>
    <w:rPr>
      <w:rFonts w:ascii="宋体" w:hAnsi="Calibri"/>
      <w:color w:val="000000"/>
      <w:kern w:val="0"/>
      <w:sz w:val="24"/>
    </w:rPr>
  </w:style>
  <w:style w:type="paragraph" w:styleId="37">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qFormat/>
    <w:uiPriority w:val="99"/>
    <w:pPr>
      <w:widowControl/>
      <w:spacing w:before="100" w:beforeAutospacing="1" w:after="100" w:afterAutospacing="1"/>
      <w:jc w:val="left"/>
    </w:pPr>
    <w:rPr>
      <w:rFonts w:ascii="Calibri" w:hAnsi="Calibri"/>
      <w:kern w:val="0"/>
      <w:sz w:val="24"/>
    </w:rPr>
  </w:style>
  <w:style w:type="paragraph" w:styleId="39">
    <w:name w:val="Title"/>
    <w:basedOn w:val="1"/>
    <w:next w:val="1"/>
    <w:link w:val="95"/>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40">
    <w:name w:val="annotation subject"/>
    <w:basedOn w:val="13"/>
    <w:next w:val="13"/>
    <w:link w:val="97"/>
    <w:qFormat/>
    <w:uiPriority w:val="99"/>
  </w:style>
  <w:style w:type="paragraph" w:styleId="41">
    <w:name w:val="Body Text First Indent"/>
    <w:basedOn w:val="15"/>
    <w:link w:val="98"/>
    <w:qFormat/>
    <w:uiPriority w:val="0"/>
    <w:pPr>
      <w:ind w:firstLine="420" w:firstLineChars="100"/>
    </w:pPr>
    <w:rPr>
      <w:rFonts w:ascii="Times New Roman" w:hAnsi="Times New Roman"/>
      <w:kern w:val="2"/>
      <w:sz w:val="21"/>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rFonts w:ascii="Calibri" w:hAnsi="Calibri" w:eastAsia="宋体" w:cs="Times New Roman"/>
      <w:b/>
      <w:bCs/>
    </w:rPr>
  </w:style>
  <w:style w:type="character" w:styleId="46">
    <w:name w:val="page number"/>
    <w:qFormat/>
    <w:uiPriority w:val="0"/>
    <w:rPr>
      <w:rFonts w:ascii="Calibri" w:hAnsi="Calibri" w:eastAsia="宋体" w:cs="Times New Roman"/>
    </w:rPr>
  </w:style>
  <w:style w:type="character" w:styleId="47">
    <w:name w:val="FollowedHyperlink"/>
    <w:qFormat/>
    <w:uiPriority w:val="99"/>
    <w:rPr>
      <w:rFonts w:ascii="Calibri" w:hAnsi="Calibri" w:eastAsia="宋体" w:cs="Times New Roman"/>
      <w:color w:val="800080"/>
      <w:u w:val="single"/>
    </w:rPr>
  </w:style>
  <w:style w:type="character" w:styleId="48">
    <w:name w:val="Emphasis"/>
    <w:qFormat/>
    <w:uiPriority w:val="0"/>
    <w:rPr>
      <w:rFonts w:ascii="Calibri" w:hAnsi="Calibri" w:eastAsia="宋体" w:cs="Times New Roman"/>
      <w:color w:val="CC0000"/>
    </w:rPr>
  </w:style>
  <w:style w:type="character" w:styleId="49">
    <w:name w:val="HTML Acronym"/>
    <w:qFormat/>
    <w:uiPriority w:val="0"/>
    <w:rPr>
      <w:rFonts w:ascii="Calibri" w:hAnsi="Calibri" w:eastAsia="宋体" w:cs="Times New Roman"/>
    </w:rPr>
  </w:style>
  <w:style w:type="character" w:styleId="50">
    <w:name w:val="Hyperlink"/>
    <w:qFormat/>
    <w:uiPriority w:val="99"/>
    <w:rPr>
      <w:rFonts w:ascii="Calibri" w:hAnsi="Calibri" w:eastAsia="宋体" w:cs="Times New Roman"/>
      <w:color w:val="0000FF"/>
      <w:u w:val="single"/>
    </w:rPr>
  </w:style>
  <w:style w:type="character" w:styleId="51">
    <w:name w:val="annotation reference"/>
    <w:qFormat/>
    <w:uiPriority w:val="0"/>
    <w:rPr>
      <w:rFonts w:ascii="Calibri" w:hAnsi="Calibri" w:eastAsia="宋体" w:cs="Times New Roman"/>
      <w:sz w:val="21"/>
      <w:szCs w:val="21"/>
    </w:rPr>
  </w:style>
  <w:style w:type="paragraph" w:customStyle="1" w:styleId="52">
    <w:name w:val="表格文字"/>
    <w:basedOn w:val="1"/>
    <w:next w:val="15"/>
    <w:qFormat/>
    <w:uiPriority w:val="0"/>
    <w:pPr>
      <w:jc w:val="center"/>
    </w:pPr>
    <w:rPr>
      <w:sz w:val="24"/>
      <w:szCs w:val="20"/>
    </w:rPr>
  </w:style>
  <w:style w:type="character" w:customStyle="1" w:styleId="53">
    <w:name w:val="页眉 Char"/>
    <w:basedOn w:val="44"/>
    <w:link w:val="27"/>
    <w:qFormat/>
    <w:uiPriority w:val="99"/>
    <w:rPr>
      <w:sz w:val="18"/>
      <w:szCs w:val="18"/>
    </w:rPr>
  </w:style>
  <w:style w:type="character" w:customStyle="1" w:styleId="54">
    <w:name w:val="页脚 Char"/>
    <w:basedOn w:val="44"/>
    <w:link w:val="26"/>
    <w:qFormat/>
    <w:uiPriority w:val="99"/>
    <w:rPr>
      <w:sz w:val="18"/>
      <w:szCs w:val="18"/>
    </w:rPr>
  </w:style>
  <w:style w:type="character" w:customStyle="1" w:styleId="55">
    <w:name w:val="标题 1 Char"/>
    <w:basedOn w:val="44"/>
    <w:qFormat/>
    <w:uiPriority w:val="0"/>
    <w:rPr>
      <w:rFonts w:ascii="Times New Roman" w:hAnsi="Times New Roman" w:eastAsia="宋体" w:cs="Times New Roman"/>
      <w:b/>
      <w:bCs/>
      <w:kern w:val="44"/>
      <w:sz w:val="44"/>
      <w:szCs w:val="44"/>
    </w:rPr>
  </w:style>
  <w:style w:type="character" w:customStyle="1" w:styleId="56">
    <w:name w:val="标题 2 Char"/>
    <w:basedOn w:val="44"/>
    <w:qFormat/>
    <w:uiPriority w:val="0"/>
    <w:rPr>
      <w:rFonts w:asciiTheme="majorHAnsi" w:hAnsiTheme="majorHAnsi" w:eastAsiaTheme="majorEastAsia" w:cstheme="majorBidi"/>
      <w:b/>
      <w:bCs/>
      <w:sz w:val="32"/>
      <w:szCs w:val="32"/>
    </w:rPr>
  </w:style>
  <w:style w:type="character" w:customStyle="1" w:styleId="57">
    <w:name w:val="标题 3 Char"/>
    <w:basedOn w:val="44"/>
    <w:qFormat/>
    <w:uiPriority w:val="0"/>
    <w:rPr>
      <w:rFonts w:ascii="Times New Roman" w:hAnsi="Times New Roman" w:eastAsia="宋体" w:cs="Times New Roman"/>
      <w:b/>
      <w:bCs/>
      <w:sz w:val="32"/>
      <w:szCs w:val="32"/>
    </w:rPr>
  </w:style>
  <w:style w:type="character" w:customStyle="1" w:styleId="58">
    <w:name w:val="标题 4 Char"/>
    <w:basedOn w:val="44"/>
    <w:qFormat/>
    <w:uiPriority w:val="0"/>
    <w:rPr>
      <w:rFonts w:asciiTheme="majorHAnsi" w:hAnsiTheme="majorHAnsi" w:eastAsiaTheme="majorEastAsia" w:cstheme="majorBidi"/>
      <w:b/>
      <w:bCs/>
      <w:sz w:val="28"/>
      <w:szCs w:val="28"/>
    </w:rPr>
  </w:style>
  <w:style w:type="character" w:customStyle="1" w:styleId="59">
    <w:name w:val="标题 5 Char"/>
    <w:basedOn w:val="44"/>
    <w:qFormat/>
    <w:uiPriority w:val="0"/>
    <w:rPr>
      <w:rFonts w:ascii="Times New Roman" w:hAnsi="Times New Roman" w:eastAsia="宋体" w:cs="Times New Roman"/>
      <w:b/>
      <w:bCs/>
      <w:sz w:val="28"/>
      <w:szCs w:val="28"/>
    </w:rPr>
  </w:style>
  <w:style w:type="character" w:customStyle="1" w:styleId="60">
    <w:name w:val="标题 6 Char"/>
    <w:basedOn w:val="44"/>
    <w:link w:val="8"/>
    <w:qFormat/>
    <w:uiPriority w:val="9"/>
    <w:rPr>
      <w:rFonts w:ascii="Cambria" w:hAnsi="Cambria"/>
      <w:b/>
      <w:bCs/>
      <w:kern w:val="2"/>
      <w:sz w:val="24"/>
      <w:szCs w:val="24"/>
    </w:rPr>
  </w:style>
  <w:style w:type="character" w:customStyle="1" w:styleId="61">
    <w:name w:val="标题 1 Char1"/>
    <w:link w:val="3"/>
    <w:qFormat/>
    <w:uiPriority w:val="9"/>
    <w:rPr>
      <w:rFonts w:ascii="Calibri" w:hAnsi="Calibri"/>
      <w:b/>
      <w:bCs/>
      <w:kern w:val="44"/>
      <w:sz w:val="30"/>
      <w:szCs w:val="44"/>
    </w:rPr>
  </w:style>
  <w:style w:type="character" w:customStyle="1" w:styleId="62">
    <w:name w:val="标题 2 Char1"/>
    <w:link w:val="4"/>
    <w:qFormat/>
    <w:uiPriority w:val="9"/>
    <w:rPr>
      <w:rFonts w:ascii="Arial" w:hAnsi="Arial" w:eastAsia="黑体"/>
      <w:b/>
      <w:bCs/>
      <w:sz w:val="32"/>
      <w:szCs w:val="32"/>
    </w:rPr>
  </w:style>
  <w:style w:type="character" w:customStyle="1" w:styleId="63">
    <w:name w:val="正文缩进 Char"/>
    <w:link w:val="2"/>
    <w:qFormat/>
    <w:uiPriority w:val="99"/>
    <w:rPr>
      <w:rFonts w:ascii="Calibri" w:hAnsi="Calibri"/>
      <w:kern w:val="2"/>
      <w:sz w:val="21"/>
    </w:rPr>
  </w:style>
  <w:style w:type="character" w:customStyle="1" w:styleId="64">
    <w:name w:val="标题 3 Char1"/>
    <w:link w:val="5"/>
    <w:qFormat/>
    <w:uiPriority w:val="9"/>
    <w:rPr>
      <w:rFonts w:ascii="Calibri" w:hAnsi="Calibri"/>
      <w:b/>
      <w:bCs/>
      <w:sz w:val="32"/>
      <w:szCs w:val="32"/>
    </w:rPr>
  </w:style>
  <w:style w:type="character" w:customStyle="1" w:styleId="65">
    <w:name w:val="标题 4 Char1"/>
    <w:link w:val="6"/>
    <w:qFormat/>
    <w:uiPriority w:val="9"/>
    <w:rPr>
      <w:rFonts w:ascii="Arial" w:hAnsi="Arial" w:eastAsia="黑体"/>
      <w:b/>
      <w:bCs/>
      <w:sz w:val="28"/>
      <w:szCs w:val="28"/>
    </w:rPr>
  </w:style>
  <w:style w:type="character" w:customStyle="1" w:styleId="66">
    <w:name w:val="标题 5 Char1"/>
    <w:link w:val="7"/>
    <w:qFormat/>
    <w:uiPriority w:val="9"/>
    <w:rPr>
      <w:rFonts w:ascii="Calibri" w:hAnsi="Calibri"/>
      <w:b/>
      <w:bCs/>
      <w:sz w:val="28"/>
      <w:szCs w:val="28"/>
    </w:rPr>
  </w:style>
  <w:style w:type="character" w:customStyle="1" w:styleId="67">
    <w:name w:val="文档结构图 Char"/>
    <w:basedOn w:val="44"/>
    <w:qFormat/>
    <w:uiPriority w:val="0"/>
    <w:rPr>
      <w:rFonts w:ascii="宋体" w:hAnsi="Times New Roman" w:eastAsia="宋体" w:cs="Times New Roman"/>
      <w:sz w:val="18"/>
      <w:szCs w:val="18"/>
    </w:rPr>
  </w:style>
  <w:style w:type="character" w:customStyle="1" w:styleId="68">
    <w:name w:val="文档结构图 Char1"/>
    <w:link w:val="12"/>
    <w:qFormat/>
    <w:uiPriority w:val="0"/>
    <w:rPr>
      <w:rFonts w:ascii="Calibri" w:hAnsi="Calibri" w:eastAsia="宋体" w:cs="Times New Roman"/>
      <w:kern w:val="0"/>
      <w:sz w:val="20"/>
      <w:szCs w:val="24"/>
      <w:shd w:val="clear" w:color="auto" w:fill="000080"/>
    </w:rPr>
  </w:style>
  <w:style w:type="character" w:customStyle="1" w:styleId="69">
    <w:name w:val="批注文字 Char"/>
    <w:basedOn w:val="44"/>
    <w:qFormat/>
    <w:uiPriority w:val="99"/>
    <w:rPr>
      <w:rFonts w:ascii="Times New Roman" w:hAnsi="Times New Roman" w:eastAsia="宋体" w:cs="Times New Roman"/>
      <w:szCs w:val="24"/>
    </w:rPr>
  </w:style>
  <w:style w:type="character" w:customStyle="1" w:styleId="70">
    <w:name w:val="批注文字 Char1"/>
    <w:link w:val="13"/>
    <w:qFormat/>
    <w:uiPriority w:val="0"/>
    <w:rPr>
      <w:rFonts w:ascii="Calibri" w:hAnsi="Calibri" w:eastAsia="宋体" w:cs="Times New Roman"/>
      <w:kern w:val="0"/>
      <w:sz w:val="20"/>
      <w:szCs w:val="20"/>
    </w:rPr>
  </w:style>
  <w:style w:type="character" w:customStyle="1" w:styleId="71">
    <w:name w:val="正文文本 3 Char"/>
    <w:basedOn w:val="44"/>
    <w:qFormat/>
    <w:uiPriority w:val="0"/>
    <w:rPr>
      <w:rFonts w:ascii="Times New Roman" w:hAnsi="Times New Roman" w:eastAsia="宋体" w:cs="Times New Roman"/>
      <w:sz w:val="16"/>
      <w:szCs w:val="16"/>
    </w:rPr>
  </w:style>
  <w:style w:type="character" w:customStyle="1" w:styleId="72">
    <w:name w:val="正文文本 3 Char1"/>
    <w:link w:val="14"/>
    <w:qFormat/>
    <w:uiPriority w:val="0"/>
    <w:rPr>
      <w:rFonts w:ascii="Calibri" w:hAnsi="Calibri" w:eastAsia="仿宋_GB2312"/>
      <w:b/>
      <w:bCs/>
      <w:sz w:val="24"/>
    </w:rPr>
  </w:style>
  <w:style w:type="character" w:customStyle="1" w:styleId="73">
    <w:name w:val="正文文本 Char"/>
    <w:basedOn w:val="44"/>
    <w:qFormat/>
    <w:uiPriority w:val="0"/>
    <w:rPr>
      <w:rFonts w:ascii="Times New Roman" w:hAnsi="Times New Roman" w:eastAsia="宋体" w:cs="Times New Roman"/>
      <w:szCs w:val="24"/>
    </w:rPr>
  </w:style>
  <w:style w:type="character" w:customStyle="1" w:styleId="74">
    <w:name w:val="正文文本 Char1"/>
    <w:link w:val="15"/>
    <w:qFormat/>
    <w:uiPriority w:val="0"/>
    <w:rPr>
      <w:rFonts w:ascii="Calibri" w:hAnsi="Calibri" w:eastAsia="宋体" w:cs="Times New Roman"/>
      <w:kern w:val="0"/>
      <w:sz w:val="28"/>
      <w:szCs w:val="24"/>
    </w:rPr>
  </w:style>
  <w:style w:type="character" w:customStyle="1" w:styleId="75">
    <w:name w:val="日期 Char"/>
    <w:basedOn w:val="44"/>
    <w:qFormat/>
    <w:uiPriority w:val="0"/>
    <w:rPr>
      <w:rFonts w:ascii="Times New Roman" w:hAnsi="Times New Roman" w:eastAsia="宋体" w:cs="Times New Roman"/>
      <w:szCs w:val="24"/>
    </w:rPr>
  </w:style>
  <w:style w:type="character" w:customStyle="1" w:styleId="76">
    <w:name w:val="日期 Char2"/>
    <w:link w:val="23"/>
    <w:qFormat/>
    <w:uiPriority w:val="0"/>
    <w:rPr>
      <w:rFonts w:ascii="Calibri" w:hAnsi="Calibri" w:eastAsia="楷体_GB2312"/>
      <w:sz w:val="32"/>
    </w:rPr>
  </w:style>
  <w:style w:type="character" w:customStyle="1" w:styleId="77">
    <w:name w:val="正文文本缩进 Char"/>
    <w:basedOn w:val="44"/>
    <w:qFormat/>
    <w:uiPriority w:val="0"/>
    <w:rPr>
      <w:rFonts w:ascii="Times New Roman" w:hAnsi="Times New Roman" w:eastAsia="宋体" w:cs="Times New Roman"/>
      <w:szCs w:val="24"/>
    </w:rPr>
  </w:style>
  <w:style w:type="character" w:customStyle="1" w:styleId="78">
    <w:name w:val="正文文本缩进 Char1"/>
    <w:link w:val="16"/>
    <w:qFormat/>
    <w:uiPriority w:val="0"/>
    <w:rPr>
      <w:rFonts w:ascii="宋体" w:hAnsi="Calibri" w:eastAsia="宋体" w:cs="Times New Roman"/>
      <w:spacing w:val="-4"/>
      <w:kern w:val="0"/>
      <w:sz w:val="18"/>
      <w:szCs w:val="20"/>
    </w:rPr>
  </w:style>
  <w:style w:type="character" w:customStyle="1" w:styleId="79">
    <w:name w:val="纯文本 Char"/>
    <w:basedOn w:val="44"/>
    <w:qFormat/>
    <w:uiPriority w:val="0"/>
    <w:rPr>
      <w:rFonts w:ascii="宋体" w:hAnsi="Courier New" w:eastAsia="宋体" w:cs="Courier New"/>
      <w:szCs w:val="21"/>
    </w:rPr>
  </w:style>
  <w:style w:type="character" w:customStyle="1" w:styleId="80">
    <w:name w:val="纯文本 Char1"/>
    <w:link w:val="21"/>
    <w:qFormat/>
    <w:uiPriority w:val="0"/>
    <w:rPr>
      <w:rFonts w:ascii="宋体" w:hAnsi="Calibri" w:eastAsia="宋体" w:cs="Times New Roman"/>
      <w:kern w:val="0"/>
      <w:sz w:val="24"/>
      <w:szCs w:val="24"/>
    </w:rPr>
  </w:style>
  <w:style w:type="character" w:customStyle="1" w:styleId="81">
    <w:name w:val="正文文本缩进 2 Char"/>
    <w:basedOn w:val="44"/>
    <w:qFormat/>
    <w:uiPriority w:val="0"/>
    <w:rPr>
      <w:rFonts w:ascii="Times New Roman" w:hAnsi="Times New Roman" w:eastAsia="宋体" w:cs="Times New Roman"/>
      <w:szCs w:val="24"/>
    </w:rPr>
  </w:style>
  <w:style w:type="character" w:customStyle="1" w:styleId="82">
    <w:name w:val="正文文本缩进 2 Char1"/>
    <w:link w:val="24"/>
    <w:qFormat/>
    <w:uiPriority w:val="0"/>
    <w:rPr>
      <w:rFonts w:ascii="仿宋_GB2312" w:hAnsi="仿宋_GB2312" w:eastAsia="宋体" w:cs="Times New Roman"/>
      <w:b/>
      <w:bCs/>
      <w:color w:val="000000"/>
      <w:kern w:val="0"/>
      <w:sz w:val="24"/>
      <w:szCs w:val="24"/>
    </w:rPr>
  </w:style>
  <w:style w:type="character" w:customStyle="1" w:styleId="83">
    <w:name w:val="批注框文本 Char"/>
    <w:basedOn w:val="44"/>
    <w:qFormat/>
    <w:uiPriority w:val="99"/>
    <w:rPr>
      <w:rFonts w:ascii="Times New Roman" w:hAnsi="Times New Roman" w:eastAsia="宋体" w:cs="Times New Roman"/>
      <w:sz w:val="18"/>
      <w:szCs w:val="18"/>
    </w:rPr>
  </w:style>
  <w:style w:type="character" w:customStyle="1" w:styleId="84">
    <w:name w:val="批注框文本 Char1"/>
    <w:link w:val="25"/>
    <w:qFormat/>
    <w:uiPriority w:val="99"/>
    <w:rPr>
      <w:rFonts w:ascii="Calibri" w:hAnsi="Calibri" w:eastAsia="宋体" w:cs="Times New Roman"/>
      <w:kern w:val="0"/>
      <w:sz w:val="18"/>
      <w:szCs w:val="18"/>
    </w:rPr>
  </w:style>
  <w:style w:type="character" w:customStyle="1" w:styleId="85">
    <w:name w:val="页脚 Char1"/>
    <w:qFormat/>
    <w:uiPriority w:val="0"/>
    <w:rPr>
      <w:rFonts w:ascii="Calibri" w:hAnsi="Calibri" w:eastAsia="宋体" w:cs="Times New Roman"/>
      <w:sz w:val="18"/>
      <w:szCs w:val="18"/>
    </w:rPr>
  </w:style>
  <w:style w:type="character" w:customStyle="1" w:styleId="86">
    <w:name w:val="页眉 Char1"/>
    <w:qFormat/>
    <w:uiPriority w:val="0"/>
    <w:rPr>
      <w:rFonts w:ascii="Calibri" w:hAnsi="Calibri" w:eastAsia="宋体" w:cs="Times New Roman"/>
      <w:sz w:val="18"/>
      <w:szCs w:val="18"/>
    </w:rPr>
  </w:style>
  <w:style w:type="character" w:customStyle="1" w:styleId="87">
    <w:name w:val="副标题 Char"/>
    <w:basedOn w:val="44"/>
    <w:qFormat/>
    <w:uiPriority w:val="0"/>
    <w:rPr>
      <w:rFonts w:eastAsia="宋体" w:asciiTheme="majorHAnsi" w:hAnsiTheme="majorHAnsi" w:cstheme="majorBidi"/>
      <w:b/>
      <w:bCs/>
      <w:kern w:val="28"/>
      <w:sz w:val="32"/>
      <w:szCs w:val="32"/>
    </w:rPr>
  </w:style>
  <w:style w:type="character" w:customStyle="1" w:styleId="88">
    <w:name w:val="副标题 Char2"/>
    <w:link w:val="30"/>
    <w:qFormat/>
    <w:uiPriority w:val="0"/>
    <w:rPr>
      <w:rFonts w:ascii="Cambria" w:hAnsi="Cambria" w:eastAsia="宋体" w:cs="Times New Roman"/>
      <w:b/>
      <w:bCs/>
      <w:kern w:val="28"/>
      <w:sz w:val="32"/>
      <w:szCs w:val="32"/>
    </w:rPr>
  </w:style>
  <w:style w:type="character" w:customStyle="1" w:styleId="89">
    <w:name w:val="正文文本缩进 3 Char"/>
    <w:basedOn w:val="44"/>
    <w:qFormat/>
    <w:uiPriority w:val="0"/>
    <w:rPr>
      <w:rFonts w:ascii="Times New Roman" w:hAnsi="Times New Roman" w:eastAsia="宋体" w:cs="Times New Roman"/>
      <w:sz w:val="16"/>
      <w:szCs w:val="16"/>
    </w:rPr>
  </w:style>
  <w:style w:type="character" w:customStyle="1" w:styleId="90">
    <w:name w:val="正文文本缩进 3 Char1"/>
    <w:link w:val="33"/>
    <w:qFormat/>
    <w:uiPriority w:val="0"/>
    <w:rPr>
      <w:rFonts w:ascii="仿宋_GB2312" w:hAnsi="Calibri" w:eastAsia="仿宋_GB2312"/>
      <w:color w:val="000000"/>
      <w:sz w:val="24"/>
      <w:szCs w:val="24"/>
    </w:rPr>
  </w:style>
  <w:style w:type="character" w:customStyle="1" w:styleId="91">
    <w:name w:val="正文文本 2 Char"/>
    <w:basedOn w:val="44"/>
    <w:qFormat/>
    <w:uiPriority w:val="0"/>
    <w:rPr>
      <w:rFonts w:ascii="Times New Roman" w:hAnsi="Times New Roman" w:eastAsia="宋体" w:cs="Times New Roman"/>
      <w:szCs w:val="24"/>
    </w:rPr>
  </w:style>
  <w:style w:type="character" w:customStyle="1" w:styleId="92">
    <w:name w:val="正文文本 2 Char1"/>
    <w:link w:val="36"/>
    <w:qFormat/>
    <w:uiPriority w:val="0"/>
    <w:rPr>
      <w:rFonts w:ascii="宋体" w:hAnsi="Calibri" w:eastAsia="宋体" w:cs="Times New Roman"/>
      <w:color w:val="000000"/>
      <w:kern w:val="0"/>
      <w:sz w:val="24"/>
      <w:szCs w:val="24"/>
    </w:rPr>
  </w:style>
  <w:style w:type="character" w:customStyle="1" w:styleId="93">
    <w:name w:val="HTML 预设格式 Char"/>
    <w:basedOn w:val="44"/>
    <w:qFormat/>
    <w:uiPriority w:val="0"/>
    <w:rPr>
      <w:rFonts w:ascii="Courier New" w:hAnsi="Courier New" w:eastAsia="宋体" w:cs="Courier New"/>
      <w:sz w:val="20"/>
      <w:szCs w:val="20"/>
    </w:rPr>
  </w:style>
  <w:style w:type="character" w:customStyle="1" w:styleId="94">
    <w:name w:val="HTML 预设格式 Char1"/>
    <w:link w:val="37"/>
    <w:qFormat/>
    <w:uiPriority w:val="0"/>
    <w:rPr>
      <w:rFonts w:ascii="宋体" w:hAnsi="宋体" w:eastAsia="宋体" w:cs="宋体"/>
      <w:kern w:val="0"/>
      <w:sz w:val="24"/>
      <w:szCs w:val="24"/>
    </w:rPr>
  </w:style>
  <w:style w:type="character" w:customStyle="1" w:styleId="95">
    <w:name w:val="标题 Char"/>
    <w:basedOn w:val="44"/>
    <w:link w:val="39"/>
    <w:qFormat/>
    <w:uiPriority w:val="0"/>
    <w:rPr>
      <w:rFonts w:ascii="Cambria" w:hAnsi="Cambria" w:eastAsia="宋体" w:cs="Times New Roman"/>
      <w:b/>
      <w:color w:val="000000"/>
      <w:kern w:val="0"/>
      <w:sz w:val="32"/>
      <w:szCs w:val="32"/>
    </w:rPr>
  </w:style>
  <w:style w:type="character" w:customStyle="1" w:styleId="96">
    <w:name w:val="批注主题 Char"/>
    <w:basedOn w:val="69"/>
    <w:qFormat/>
    <w:uiPriority w:val="99"/>
    <w:rPr>
      <w:rFonts w:ascii="Times New Roman" w:hAnsi="Times New Roman" w:eastAsia="宋体" w:cs="Times New Roman"/>
      <w:b/>
      <w:bCs/>
      <w:szCs w:val="24"/>
    </w:rPr>
  </w:style>
  <w:style w:type="character" w:customStyle="1" w:styleId="97">
    <w:name w:val="批注主题 Char1"/>
    <w:link w:val="40"/>
    <w:qFormat/>
    <w:uiPriority w:val="99"/>
    <w:rPr>
      <w:rFonts w:ascii="Calibri" w:hAnsi="Calibri" w:eastAsia="宋体" w:cs="Times New Roman"/>
      <w:kern w:val="0"/>
      <w:sz w:val="20"/>
      <w:szCs w:val="20"/>
    </w:rPr>
  </w:style>
  <w:style w:type="character" w:customStyle="1" w:styleId="98">
    <w:name w:val="正文首行缩进 Char"/>
    <w:basedOn w:val="73"/>
    <w:link w:val="41"/>
    <w:qFormat/>
    <w:uiPriority w:val="0"/>
    <w:rPr>
      <w:rFonts w:ascii="Times New Roman" w:hAnsi="Times New Roman" w:eastAsia="宋体" w:cs="Times New Roman"/>
      <w:szCs w:val="24"/>
    </w:rPr>
  </w:style>
  <w:style w:type="character" w:customStyle="1" w:styleId="99">
    <w:name w:val="副标题 Char1"/>
    <w:qFormat/>
    <w:uiPriority w:val="0"/>
    <w:rPr>
      <w:rFonts w:ascii="Cambria" w:hAnsi="Cambria" w:eastAsia="宋体" w:cs="Times New Roman"/>
      <w:b/>
      <w:bCs/>
      <w:kern w:val="28"/>
      <w:sz w:val="32"/>
      <w:szCs w:val="32"/>
    </w:rPr>
  </w:style>
  <w:style w:type="character" w:customStyle="1" w:styleId="100">
    <w:name w:val="日期 Char1"/>
    <w:qFormat/>
    <w:uiPriority w:val="0"/>
    <w:rPr>
      <w:rFonts w:ascii="Calibri" w:hAnsi="Calibri" w:eastAsia="楷体_GB2312" w:cs="Times New Roman"/>
      <w:kern w:val="2"/>
      <w:sz w:val="32"/>
      <w:lang w:val="en-US" w:eastAsia="zh-CN" w:bidi="ar-SA"/>
    </w:rPr>
  </w:style>
  <w:style w:type="character" w:customStyle="1" w:styleId="101">
    <w:name w:val="ces正文 Char"/>
    <w:link w:val="102"/>
    <w:qFormat/>
    <w:uiPriority w:val="0"/>
    <w:rPr>
      <w:rFonts w:ascii="Calibri" w:hAnsi="Calibri" w:eastAsia="宋体" w:cs="Times New Roman"/>
      <w:sz w:val="24"/>
      <w:szCs w:val="24"/>
    </w:rPr>
  </w:style>
  <w:style w:type="paragraph" w:customStyle="1" w:styleId="102">
    <w:name w:val="ces正文"/>
    <w:basedOn w:val="1"/>
    <w:link w:val="101"/>
    <w:qFormat/>
    <w:uiPriority w:val="0"/>
    <w:pPr>
      <w:spacing w:line="360" w:lineRule="auto"/>
      <w:ind w:firstLine="480" w:firstLineChars="200"/>
    </w:pPr>
    <w:rPr>
      <w:rFonts w:ascii="Calibri" w:hAnsi="Calibri"/>
      <w:sz w:val="24"/>
    </w:rPr>
  </w:style>
  <w:style w:type="character" w:customStyle="1" w:styleId="103">
    <w:name w:val="纯文本 Char2"/>
    <w:qFormat/>
    <w:uiPriority w:val="0"/>
    <w:rPr>
      <w:rFonts w:ascii="宋体"/>
      <w:kern w:val="2"/>
      <w:sz w:val="21"/>
      <w:szCs w:val="21"/>
    </w:rPr>
  </w:style>
  <w:style w:type="character" w:customStyle="1" w:styleId="104">
    <w:name w:val="unnamed1"/>
    <w:qFormat/>
    <w:uiPriority w:val="0"/>
    <w:rPr>
      <w:rFonts w:ascii="Calibri" w:hAnsi="Calibri" w:eastAsia="宋体" w:cs="Times New Roman"/>
    </w:rPr>
  </w:style>
  <w:style w:type="character" w:customStyle="1" w:styleId="105">
    <w:name w:val="样式 标题 1合同标题卷标题H1h1Level 1 Topic HeadingH11H12H111H13H1... Char"/>
    <w:qFormat/>
    <w:uiPriority w:val="0"/>
    <w:rPr>
      <w:rFonts w:ascii="宋体" w:hAnsi="Calibri" w:eastAsia="宋体" w:cs="Times New Roman"/>
      <w:b/>
      <w:bCs/>
      <w:kern w:val="44"/>
      <w:sz w:val="24"/>
      <w:szCs w:val="44"/>
      <w:lang w:val="en-US" w:eastAsia="zh-CN" w:bidi="ar-SA"/>
    </w:rPr>
  </w:style>
  <w:style w:type="character" w:customStyle="1" w:styleId="106">
    <w:name w:val="列出段落 Char"/>
    <w:qFormat/>
    <w:uiPriority w:val="0"/>
    <w:rPr>
      <w:rFonts w:ascii="Calibri" w:hAnsi="Calibri" w:eastAsia="宋体" w:cs="Times New Roman"/>
      <w:kern w:val="2"/>
      <w:sz w:val="21"/>
      <w:szCs w:val="22"/>
    </w:rPr>
  </w:style>
  <w:style w:type="character" w:customStyle="1" w:styleId="107">
    <w:name w:val="TableItem Char"/>
    <w:link w:val="108"/>
    <w:qFormat/>
    <w:uiPriority w:val="0"/>
    <w:rPr>
      <w:rFonts w:ascii="Verdana" w:hAnsi="Verdana" w:eastAsia="等线" w:cs="Verdana"/>
      <w:b/>
      <w:bCs/>
      <w:color w:val="538135"/>
      <w:spacing w:val="-10"/>
      <w:sz w:val="16"/>
      <w:szCs w:val="28"/>
    </w:rPr>
  </w:style>
  <w:style w:type="paragraph" w:customStyle="1" w:styleId="108">
    <w:name w:val="TableItem"/>
    <w:link w:val="107"/>
    <w:qFormat/>
    <w:uiPriority w:val="0"/>
    <w:rPr>
      <w:rFonts w:ascii="Verdana" w:hAnsi="Verdana" w:eastAsia="等线" w:cs="Verdana"/>
      <w:b/>
      <w:bCs/>
      <w:color w:val="538135"/>
      <w:spacing w:val="-10"/>
      <w:kern w:val="2"/>
      <w:sz w:val="16"/>
      <w:szCs w:val="28"/>
      <w:lang w:val="en-US" w:eastAsia="zh-CN" w:bidi="ar-SA"/>
    </w:rPr>
  </w:style>
  <w:style w:type="character" w:customStyle="1" w:styleId="109">
    <w:name w:val="纯文本 字符1"/>
    <w:qFormat/>
    <w:uiPriority w:val="0"/>
    <w:rPr>
      <w:rFonts w:ascii="宋体" w:hAnsi="Courier New" w:eastAsia="宋体" w:cs="Times New Roman"/>
      <w:kern w:val="2"/>
      <w:sz w:val="24"/>
      <w:szCs w:val="24"/>
      <w:lang w:val="en-US" w:eastAsia="zh-CN" w:bidi="ar-SA"/>
    </w:rPr>
  </w:style>
  <w:style w:type="character" w:customStyle="1" w:styleId="110">
    <w:name w:val="font11"/>
    <w:qFormat/>
    <w:uiPriority w:val="0"/>
    <w:rPr>
      <w:rFonts w:hint="eastAsia" w:ascii="宋体" w:hAnsi="宋体" w:eastAsia="宋体" w:cs="宋体"/>
      <w:color w:val="000000"/>
      <w:sz w:val="22"/>
      <w:szCs w:val="22"/>
      <w:u w:val="none"/>
    </w:rPr>
  </w:style>
  <w:style w:type="character" w:customStyle="1" w:styleId="111">
    <w:name w:val="列出段落 Char1"/>
    <w:link w:val="112"/>
    <w:qFormat/>
    <w:uiPriority w:val="99"/>
    <w:rPr>
      <w:rFonts w:ascii="Calibri" w:hAnsi="Calibri" w:eastAsiaTheme="minorEastAsia" w:cstheme="minorBidi"/>
      <w:kern w:val="2"/>
      <w:sz w:val="21"/>
      <w:szCs w:val="22"/>
    </w:rPr>
  </w:style>
  <w:style w:type="paragraph" w:styleId="112">
    <w:name w:val="List Paragraph"/>
    <w:basedOn w:val="1"/>
    <w:link w:val="111"/>
    <w:qFormat/>
    <w:uiPriority w:val="99"/>
    <w:pPr>
      <w:numPr>
        <w:ilvl w:val="0"/>
        <w:numId w:val="8"/>
      </w:numPr>
    </w:pPr>
    <w:rPr>
      <w:rFonts w:ascii="Calibri" w:hAnsi="Calibri" w:eastAsiaTheme="minorEastAsia" w:cstheme="minorBidi"/>
      <w:szCs w:val="22"/>
    </w:rPr>
  </w:style>
  <w:style w:type="character" w:customStyle="1" w:styleId="113">
    <w:name w:val="style7"/>
    <w:qFormat/>
    <w:uiPriority w:val="0"/>
    <w:rPr>
      <w:rFonts w:ascii="Calibri" w:hAnsi="Calibri" w:eastAsia="宋体" w:cs="Times New Roman"/>
    </w:rPr>
  </w:style>
  <w:style w:type="character" w:customStyle="1" w:styleId="114">
    <w:name w:val="正文首行缩进 Char1"/>
    <w:semiHidden/>
    <w:qFormat/>
    <w:uiPriority w:val="99"/>
    <w:rPr>
      <w:rFonts w:ascii="Times New Roman" w:hAnsi="Times New Roman" w:eastAsia="宋体" w:cs="Times New Roman"/>
      <w:kern w:val="2"/>
      <w:sz w:val="21"/>
      <w:szCs w:val="24"/>
    </w:rPr>
  </w:style>
  <w:style w:type="character" w:customStyle="1" w:styleId="115">
    <w:name w:val="ca-32"/>
    <w:qFormat/>
    <w:uiPriority w:val="0"/>
    <w:rPr>
      <w:rFonts w:ascii="Calibri" w:hAnsi="Calibri" w:eastAsia="宋体" w:cs="Times New Roman"/>
    </w:rPr>
  </w:style>
  <w:style w:type="character" w:customStyle="1" w:styleId="116">
    <w:name w:val="font01"/>
    <w:qFormat/>
    <w:uiPriority w:val="0"/>
    <w:rPr>
      <w:rFonts w:hint="eastAsia" w:ascii="宋体" w:hAnsi="宋体" w:eastAsia="宋体" w:cs="宋体"/>
      <w:color w:val="000000"/>
      <w:sz w:val="22"/>
      <w:szCs w:val="22"/>
      <w:u w:val="none"/>
    </w:rPr>
  </w:style>
  <w:style w:type="character" w:customStyle="1" w:styleId="117">
    <w:name w:val="bookmark-item"/>
    <w:qFormat/>
    <w:uiPriority w:val="0"/>
  </w:style>
  <w:style w:type="character" w:customStyle="1" w:styleId="118">
    <w:name w:val="apple-style-span"/>
    <w:qFormat/>
    <w:uiPriority w:val="0"/>
    <w:rPr>
      <w:rFonts w:ascii="Calibri" w:hAnsi="Calibri" w:eastAsia="宋体" w:cs="Times New Roman"/>
    </w:rPr>
  </w:style>
  <w:style w:type="character" w:customStyle="1" w:styleId="119">
    <w:name w:val="设计书正文 Char"/>
    <w:link w:val="120"/>
    <w:qFormat/>
    <w:uiPriority w:val="0"/>
    <w:rPr>
      <w:rFonts w:ascii="Calibri" w:hAnsi="Calibri" w:eastAsia="宋体" w:cs="Times New Roman"/>
      <w:sz w:val="24"/>
      <w:szCs w:val="24"/>
      <w:lang w:eastAsia="ko-KR"/>
    </w:rPr>
  </w:style>
  <w:style w:type="paragraph" w:customStyle="1" w:styleId="120">
    <w:name w:val="设计书正文"/>
    <w:basedOn w:val="1"/>
    <w:link w:val="119"/>
    <w:qFormat/>
    <w:uiPriority w:val="0"/>
    <w:pPr>
      <w:wordWrap w:val="0"/>
      <w:autoSpaceDE w:val="0"/>
      <w:autoSpaceDN w:val="0"/>
      <w:spacing w:beforeLines="50" w:line="360" w:lineRule="auto"/>
      <w:ind w:firstLine="200" w:firstLineChars="200"/>
    </w:pPr>
    <w:rPr>
      <w:rFonts w:ascii="Calibri" w:hAnsi="Calibri"/>
      <w:sz w:val="24"/>
      <w:lang w:eastAsia="ko-KR"/>
    </w:rPr>
  </w:style>
  <w:style w:type="character" w:styleId="121">
    <w:name w:val="Placeholder Text"/>
    <w:qFormat/>
    <w:uiPriority w:val="0"/>
    <w:rPr>
      <w:rFonts w:ascii="Calibri" w:hAnsi="Calibri" w:eastAsia="宋体" w:cs="Times New Roman"/>
      <w:color w:val="808080"/>
    </w:rPr>
  </w:style>
  <w:style w:type="character" w:customStyle="1" w:styleId="122">
    <w:name w:val="c_title1"/>
    <w:qFormat/>
    <w:uiPriority w:val="0"/>
    <w:rPr>
      <w:rFonts w:ascii="黑体" w:hAnsi="Calibri" w:eastAsia="黑体" w:cs="Times New Roman"/>
      <w:color w:val="03005C"/>
      <w:sz w:val="30"/>
      <w:szCs w:val="30"/>
      <w:u w:val="none"/>
    </w:rPr>
  </w:style>
  <w:style w:type="paragraph" w:customStyle="1" w:styleId="123">
    <w:name w:val="技术标题3"/>
    <w:basedOn w:val="1"/>
    <w:qFormat/>
    <w:uiPriority w:val="0"/>
    <w:pPr>
      <w:numPr>
        <w:ilvl w:val="4"/>
        <w:numId w:val="9"/>
      </w:numPr>
    </w:pPr>
  </w:style>
  <w:style w:type="paragraph" w:customStyle="1" w:styleId="124">
    <w:name w:val="Char2"/>
    <w:basedOn w:val="1"/>
    <w:qFormat/>
    <w:uiPriority w:val="0"/>
    <w:rPr>
      <w:rFonts w:ascii="仿宋_GB2312" w:hAnsi="Calibri" w:eastAsia="仿宋_GB2312"/>
      <w:b/>
      <w:sz w:val="32"/>
      <w:szCs w:val="32"/>
    </w:rPr>
  </w:style>
  <w:style w:type="paragraph" w:customStyle="1" w:styleId="125">
    <w:name w:val="修订1"/>
    <w:qFormat/>
    <w:uiPriority w:val="0"/>
    <w:rPr>
      <w:rFonts w:ascii="Times New Roman" w:hAnsi="Times New Roman" w:eastAsia="宋体" w:cs="Times New Roman"/>
      <w:kern w:val="2"/>
      <w:sz w:val="21"/>
      <w:szCs w:val="22"/>
      <w:lang w:val="en-US" w:eastAsia="zh-CN" w:bidi="ar-SA"/>
    </w:rPr>
  </w:style>
  <w:style w:type="paragraph" w:customStyle="1" w:styleId="126">
    <w:name w:val="tgt2"/>
    <w:basedOn w:val="1"/>
    <w:qFormat/>
    <w:uiPriority w:val="0"/>
    <w:pPr>
      <w:widowControl/>
      <w:spacing w:after="150" w:line="360" w:lineRule="auto"/>
      <w:jc w:val="left"/>
    </w:pPr>
    <w:rPr>
      <w:rFonts w:ascii="宋体" w:hAnsi="Calibri" w:cs="宋体"/>
      <w:b/>
      <w:bCs/>
      <w:kern w:val="0"/>
      <w:sz w:val="36"/>
      <w:szCs w:val="36"/>
    </w:rPr>
  </w:style>
  <w:style w:type="paragraph" w:customStyle="1" w:styleId="127">
    <w:name w:val="Char11"/>
    <w:basedOn w:val="1"/>
    <w:qFormat/>
    <w:uiPriority w:val="0"/>
    <w:rPr>
      <w:rFonts w:ascii="Calibri" w:hAnsi="Calibri"/>
    </w:rPr>
  </w:style>
  <w:style w:type="paragraph" w:customStyle="1" w:styleId="128">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9">
    <w:name w:val="Char1 Char Char Char"/>
    <w:basedOn w:val="1"/>
    <w:qFormat/>
    <w:uiPriority w:val="0"/>
    <w:pPr>
      <w:tabs>
        <w:tab w:val="left" w:pos="840"/>
      </w:tabs>
      <w:ind w:left="840" w:hanging="420"/>
    </w:pPr>
    <w:rPr>
      <w:rFonts w:ascii="Calibri" w:hAnsi="Calibri"/>
      <w:sz w:val="24"/>
    </w:rPr>
  </w:style>
  <w:style w:type="paragraph" w:customStyle="1" w:styleId="130">
    <w:name w:val="Char Char Char Char Char Char Char Char Char Char Char Char1 Char1"/>
    <w:basedOn w:val="12"/>
    <w:qFormat/>
    <w:uiPriority w:val="0"/>
    <w:pPr>
      <w:jc w:val="left"/>
    </w:pPr>
    <w:rPr>
      <w:rFonts w:ascii="Tahoma" w:hAnsi="Tahoma" w:cs="Arial"/>
      <w:sz w:val="24"/>
    </w:rPr>
  </w:style>
  <w:style w:type="paragraph" w:customStyle="1" w:styleId="131">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132">
    <w:name w:val="Char Char Char Char1"/>
    <w:basedOn w:val="1"/>
    <w:qFormat/>
    <w:uiPriority w:val="0"/>
    <w:pPr>
      <w:widowControl/>
      <w:spacing w:after="160" w:line="240" w:lineRule="exact"/>
      <w:jc w:val="left"/>
    </w:pPr>
    <w:rPr>
      <w:rFonts w:ascii="宋体" w:hAnsi="宋体" w:cs="Arial"/>
      <w:szCs w:val="21"/>
    </w:rPr>
  </w:style>
  <w:style w:type="paragraph" w:customStyle="1" w:styleId="133">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libri" w:hAnsi="Calibri" w:eastAsia="Arial Unicode MS"/>
      <w:kern w:val="0"/>
      <w:sz w:val="24"/>
    </w:rPr>
  </w:style>
  <w:style w:type="paragraph" w:customStyle="1" w:styleId="13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35">
    <w:name w:val="表内文字"/>
    <w:basedOn w:val="1"/>
    <w:qFormat/>
    <w:uiPriority w:val="0"/>
    <w:pPr>
      <w:tabs>
        <w:tab w:val="left" w:pos="1418"/>
      </w:tabs>
      <w:spacing w:line="360" w:lineRule="auto"/>
      <w:jc w:val="center"/>
    </w:pPr>
    <w:rPr>
      <w:rFonts w:ascii="仿宋_GB2312" w:hAnsi="Calibri" w:eastAsia="仿宋_GB2312"/>
      <w:spacing w:val="-20"/>
      <w:kern w:val="0"/>
      <w:sz w:val="24"/>
    </w:rPr>
  </w:style>
  <w:style w:type="paragraph" w:customStyle="1" w:styleId="136">
    <w:name w:val="列出段落11"/>
    <w:basedOn w:val="1"/>
    <w:qFormat/>
    <w:uiPriority w:val="0"/>
    <w:pPr>
      <w:ind w:firstLine="200" w:firstLineChars="200"/>
      <w:jc w:val="left"/>
    </w:pPr>
    <w:rPr>
      <w:rFonts w:ascii="Calibri" w:hAnsi="Calibri" w:cs="Arial"/>
      <w:szCs w:val="22"/>
    </w:rPr>
  </w:style>
  <w:style w:type="paragraph" w:customStyle="1" w:styleId="137">
    <w:name w:val="Char21"/>
    <w:basedOn w:val="1"/>
    <w:qFormat/>
    <w:uiPriority w:val="0"/>
    <w:pPr>
      <w:jc w:val="left"/>
    </w:pPr>
    <w:rPr>
      <w:rFonts w:ascii="仿宋_GB2312" w:hAnsi="宋体" w:eastAsia="仿宋_GB2312" w:cs="Arial"/>
      <w:b/>
      <w:sz w:val="32"/>
      <w:szCs w:val="32"/>
    </w:rPr>
  </w:style>
  <w:style w:type="paragraph" w:customStyle="1" w:styleId="13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9">
    <w:name w:val="Char1"/>
    <w:basedOn w:val="1"/>
    <w:qFormat/>
    <w:uiPriority w:val="0"/>
    <w:rPr>
      <w:rFonts w:ascii="Tahoma" w:hAnsi="Tahoma"/>
      <w:sz w:val="24"/>
      <w:szCs w:val="20"/>
    </w:rPr>
  </w:style>
  <w:style w:type="paragraph" w:customStyle="1" w:styleId="140">
    <w:name w:val="pa-1"/>
    <w:basedOn w:val="1"/>
    <w:qFormat/>
    <w:uiPriority w:val="0"/>
    <w:pPr>
      <w:widowControl/>
      <w:spacing w:before="100" w:beforeAutospacing="1" w:after="100" w:afterAutospacing="1"/>
      <w:jc w:val="left"/>
    </w:pPr>
    <w:rPr>
      <w:rFonts w:ascii="宋体" w:hAnsi="Calibri" w:cs="宋体"/>
      <w:kern w:val="0"/>
      <w:sz w:val="24"/>
    </w:rPr>
  </w:style>
  <w:style w:type="paragraph" w:customStyle="1" w:styleId="141">
    <w:name w:val="table_1stline"/>
    <w:basedOn w:val="1"/>
    <w:qFormat/>
    <w:uiPriority w:val="0"/>
    <w:pPr>
      <w:spacing w:before="120"/>
    </w:pPr>
    <w:rPr>
      <w:rFonts w:ascii="Calibri" w:hAnsi="Calibri"/>
      <w:bCs/>
      <w:szCs w:val="20"/>
    </w:rPr>
  </w:style>
  <w:style w:type="paragraph" w:customStyle="1" w:styleId="142">
    <w:name w:val="333"/>
    <w:basedOn w:val="1"/>
    <w:qFormat/>
    <w:uiPriority w:val="0"/>
    <w:pPr>
      <w:adjustRightInd w:val="0"/>
      <w:spacing w:line="312" w:lineRule="atLeast"/>
      <w:textAlignment w:val="baseline"/>
    </w:pPr>
    <w:rPr>
      <w:rFonts w:ascii="Calibri" w:hAnsi="Calibri"/>
      <w:kern w:val="0"/>
      <w:szCs w:val="20"/>
    </w:rPr>
  </w:style>
  <w:style w:type="paragraph" w:customStyle="1" w:styleId="143">
    <w:name w:val="Char1 Char Char Char1"/>
    <w:basedOn w:val="1"/>
    <w:qFormat/>
    <w:uiPriority w:val="0"/>
    <w:pPr>
      <w:tabs>
        <w:tab w:val="left" w:pos="840"/>
      </w:tabs>
      <w:ind w:left="840" w:hanging="420"/>
      <w:jc w:val="left"/>
    </w:pPr>
    <w:rPr>
      <w:rFonts w:ascii="宋体" w:hAnsi="宋体" w:cs="Arial"/>
      <w:sz w:val="24"/>
    </w:rPr>
  </w:style>
  <w:style w:type="paragraph" w:customStyle="1" w:styleId="144">
    <w:name w:val="Char3"/>
    <w:basedOn w:val="1"/>
    <w:qFormat/>
    <w:uiPriority w:val="0"/>
    <w:pPr>
      <w:ind w:firstLine="200" w:firstLineChars="200"/>
      <w:jc w:val="left"/>
    </w:pPr>
    <w:rPr>
      <w:rFonts w:ascii="幼圆" w:hAnsi="宋体" w:eastAsia="幼圆" w:cs="幼圆"/>
      <w:sz w:val="24"/>
      <w:szCs w:val="21"/>
    </w:rPr>
  </w:style>
  <w:style w:type="paragraph" w:customStyle="1" w:styleId="145">
    <w:name w:val="Char Char Char Char Char Char1"/>
    <w:basedOn w:val="1"/>
    <w:qFormat/>
    <w:uiPriority w:val="0"/>
    <w:pPr>
      <w:ind w:firstLine="200" w:firstLineChars="200"/>
      <w:jc w:val="left"/>
    </w:pPr>
    <w:rPr>
      <w:rFonts w:ascii="Tahoma" w:hAnsi="Tahoma" w:cs="Arial"/>
      <w:sz w:val="24"/>
      <w:szCs w:val="21"/>
    </w:rPr>
  </w:style>
  <w:style w:type="paragraph" w:customStyle="1" w:styleId="146">
    <w:name w:val="Char"/>
    <w:basedOn w:val="1"/>
    <w:qFormat/>
    <w:uiPriority w:val="0"/>
    <w:pPr>
      <w:ind w:firstLine="200" w:firstLineChars="200"/>
    </w:pPr>
    <w:rPr>
      <w:rFonts w:ascii="幼圆" w:hAnsi="Calibri" w:eastAsia="幼圆" w:cs="幼圆"/>
      <w:sz w:val="24"/>
      <w:szCs w:val="20"/>
    </w:rPr>
  </w:style>
  <w:style w:type="paragraph" w:customStyle="1" w:styleId="147">
    <w:name w:val="Char Char Char Char Char Char Char Char Char Char Char Char1 Char"/>
    <w:basedOn w:val="12"/>
    <w:qFormat/>
    <w:uiPriority w:val="0"/>
    <w:rPr>
      <w:rFonts w:ascii="Tahoma" w:hAnsi="Tahoma"/>
      <w:sz w:val="24"/>
    </w:rPr>
  </w:style>
  <w:style w:type="paragraph" w:customStyle="1" w:styleId="148">
    <w:name w:val="正文－恩普"/>
    <w:basedOn w:val="2"/>
    <w:qFormat/>
    <w:uiPriority w:val="0"/>
    <w:pPr>
      <w:widowControl/>
      <w:numPr>
        <w:numId w:val="0"/>
      </w:numPr>
      <w:spacing w:afterLines="50" w:line="360" w:lineRule="auto"/>
      <w:ind w:firstLine="480" w:firstLineChars="200"/>
      <w:jc w:val="left"/>
    </w:pPr>
    <w:rPr>
      <w:kern w:val="0"/>
      <w:sz w:val="24"/>
    </w:rPr>
  </w:style>
  <w:style w:type="paragraph" w:customStyle="1" w:styleId="149">
    <w:name w:val="table_lines"/>
    <w:basedOn w:val="1"/>
    <w:qFormat/>
    <w:uiPriority w:val="0"/>
    <w:rPr>
      <w:rFonts w:ascii="Calibri" w:hAnsi="Calibri"/>
      <w:szCs w:val="20"/>
    </w:rPr>
  </w:style>
  <w:style w:type="paragraph" w:customStyle="1" w:styleId="150">
    <w:name w:val="样式 样式 标题 2 + 宋体 行距: 最小值 20 磅 + 段前: 0.5 行 段后: 0.5 行"/>
    <w:basedOn w:val="1"/>
    <w:qFormat/>
    <w:uiPriority w:val="0"/>
    <w:pPr>
      <w:keepNext/>
      <w:keepLines/>
      <w:tabs>
        <w:tab w:val="left" w:pos="567"/>
      </w:tabs>
      <w:spacing w:before="120" w:after="120"/>
      <w:jc w:val="center"/>
      <w:outlineLvl w:val="1"/>
    </w:pPr>
    <w:rPr>
      <w:rFonts w:ascii="Calibri" w:hAnsi="Calibri" w:eastAsia="仿宋_GB2312"/>
      <w:b/>
      <w:w w:val="80"/>
      <w:sz w:val="28"/>
      <w:szCs w:val="32"/>
    </w:rPr>
  </w:style>
  <w:style w:type="paragraph" w:customStyle="1" w:styleId="151">
    <w:name w:val="p15"/>
    <w:basedOn w:val="1"/>
    <w:qFormat/>
    <w:uiPriority w:val="0"/>
    <w:pPr>
      <w:widowControl/>
    </w:pPr>
    <w:rPr>
      <w:rFonts w:ascii="Calibri" w:hAnsi="Calibri"/>
      <w:kern w:val="0"/>
      <w:szCs w:val="21"/>
    </w:rPr>
  </w:style>
  <w:style w:type="paragraph" w:customStyle="1" w:styleId="152">
    <w:name w:val="p0"/>
    <w:basedOn w:val="1"/>
    <w:qFormat/>
    <w:uiPriority w:val="0"/>
    <w:pPr>
      <w:widowControl/>
    </w:pPr>
    <w:rPr>
      <w:rFonts w:ascii="Calibri" w:hAnsi="Calibri"/>
      <w:kern w:val="0"/>
      <w:szCs w:val="21"/>
    </w:rPr>
  </w:style>
  <w:style w:type="paragraph" w:customStyle="1" w:styleId="153">
    <w:name w:val="列出段落2"/>
    <w:basedOn w:val="1"/>
    <w:qFormat/>
    <w:uiPriority w:val="0"/>
    <w:pPr>
      <w:spacing w:line="300" w:lineRule="auto"/>
      <w:ind w:firstLine="420" w:firstLineChars="200"/>
    </w:pPr>
    <w:rPr>
      <w:rFonts w:ascii="宋体" w:hAnsi="Calibri"/>
      <w:kern w:val="0"/>
      <w:sz w:val="24"/>
      <w:szCs w:val="20"/>
    </w:rPr>
  </w:style>
  <w:style w:type="paragraph" w:customStyle="1" w:styleId="154">
    <w:name w:val="正文段"/>
    <w:basedOn w:val="1"/>
    <w:qFormat/>
    <w:uiPriority w:val="0"/>
    <w:pPr>
      <w:widowControl/>
      <w:snapToGrid w:val="0"/>
      <w:spacing w:afterLines="50"/>
      <w:ind w:firstLine="200" w:firstLineChars="200"/>
    </w:pPr>
    <w:rPr>
      <w:rFonts w:ascii="Calibri" w:hAnsi="Calibri"/>
      <w:kern w:val="0"/>
      <w:sz w:val="24"/>
      <w:szCs w:val="20"/>
    </w:rPr>
  </w:style>
  <w:style w:type="paragraph" w:customStyle="1" w:styleId="15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_Style 77"/>
    <w:basedOn w:val="1"/>
    <w:next w:val="112"/>
    <w:qFormat/>
    <w:uiPriority w:val="0"/>
    <w:pPr>
      <w:tabs>
        <w:tab w:val="left" w:pos="360"/>
      </w:tabs>
      <w:ind w:left="360" w:hanging="360"/>
    </w:pPr>
    <w:rPr>
      <w:rFonts w:ascii="Calibri" w:hAnsi="Calibri"/>
      <w:szCs w:val="22"/>
    </w:rPr>
  </w:style>
  <w:style w:type="paragraph" w:customStyle="1" w:styleId="1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8">
    <w:name w:val="style9"/>
    <w:basedOn w:val="1"/>
    <w:qFormat/>
    <w:uiPriority w:val="0"/>
    <w:pPr>
      <w:widowControl/>
      <w:spacing w:before="100" w:beforeAutospacing="1" w:after="100" w:afterAutospacing="1"/>
      <w:jc w:val="left"/>
    </w:pPr>
    <w:rPr>
      <w:rFonts w:ascii="宋体" w:hAnsi="Calibri" w:cs="宋体"/>
      <w:kern w:val="0"/>
      <w:sz w:val="24"/>
    </w:rPr>
  </w:style>
  <w:style w:type="paragraph" w:customStyle="1" w:styleId="159">
    <w:name w:val="纯文本1"/>
    <w:basedOn w:val="1"/>
    <w:qFormat/>
    <w:uiPriority w:val="0"/>
    <w:pPr>
      <w:spacing w:before="156" w:beforeLines="50" w:after="156" w:afterLines="50" w:line="400" w:lineRule="exact"/>
    </w:pPr>
    <w:rPr>
      <w:rFonts w:ascii="宋体" w:hAnsi="Courier New"/>
      <w:sz w:val="24"/>
    </w:rPr>
  </w:style>
  <w:style w:type="paragraph" w:customStyle="1" w:styleId="160">
    <w:name w:val="列出段落1"/>
    <w:basedOn w:val="1"/>
    <w:qFormat/>
    <w:uiPriority w:val="0"/>
    <w:pPr>
      <w:ind w:firstLine="200" w:firstLineChars="200"/>
    </w:pPr>
    <w:rPr>
      <w:rFonts w:ascii="Calibri" w:hAnsi="Calibri"/>
      <w:szCs w:val="22"/>
    </w:rPr>
  </w:style>
  <w:style w:type="paragraph" w:customStyle="1" w:styleId="16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2">
    <w:name w:val="默认段落字体 Para Char Char Char Char Char Char Char Char Char1 Char Char Char Char"/>
    <w:basedOn w:val="1"/>
    <w:qFormat/>
    <w:uiPriority w:val="0"/>
    <w:rPr>
      <w:rFonts w:ascii="Tahoma" w:hAnsi="Tahoma"/>
      <w:sz w:val="24"/>
      <w:szCs w:val="20"/>
    </w:rPr>
  </w:style>
  <w:style w:type="paragraph" w:customStyle="1" w:styleId="163">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64">
    <w:name w:val="样式1"/>
    <w:basedOn w:val="6"/>
    <w:qFormat/>
    <w:uiPriority w:val="0"/>
    <w:rPr>
      <w:rFonts w:ascii="Calibri" w:hAnsi="Calibri" w:eastAsia="宋体"/>
    </w:rPr>
  </w:style>
  <w:style w:type="paragraph" w:customStyle="1" w:styleId="165">
    <w:name w:val="op_mapdots_left"/>
    <w:basedOn w:val="1"/>
    <w:qFormat/>
    <w:uiPriority w:val="0"/>
    <w:pPr>
      <w:widowControl/>
      <w:jc w:val="left"/>
    </w:pPr>
    <w:rPr>
      <w:rFonts w:ascii="宋体" w:hAnsi="Calibri" w:cs="宋体"/>
      <w:kern w:val="0"/>
      <w:sz w:val="24"/>
    </w:rPr>
  </w:style>
  <w:style w:type="paragraph" w:customStyle="1" w:styleId="16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7">
    <w:name w:val="Char Char Char Char Char Char"/>
    <w:basedOn w:val="1"/>
    <w:qFormat/>
    <w:uiPriority w:val="0"/>
    <w:pPr>
      <w:ind w:firstLine="200" w:firstLineChars="200"/>
    </w:pPr>
    <w:rPr>
      <w:rFonts w:ascii="Tahoma" w:hAnsi="Tahoma"/>
      <w:sz w:val="24"/>
      <w:szCs w:val="20"/>
    </w:rPr>
  </w:style>
  <w:style w:type="paragraph" w:customStyle="1" w:styleId="168">
    <w:name w:val="自由格式 A"/>
    <w:qFormat/>
    <w:uiPriority w:val="0"/>
    <w:rPr>
      <w:rFonts w:ascii="Helvetica" w:hAnsi="Helvetica" w:eastAsia="ヒラギノ角ゴ Pro W3" w:cs="Times New Roman"/>
      <w:color w:val="000000"/>
      <w:sz w:val="24"/>
      <w:lang w:val="en-US" w:eastAsia="zh-CN" w:bidi="ar-SA"/>
    </w:rPr>
  </w:style>
  <w:style w:type="paragraph" w:customStyle="1" w:styleId="169">
    <w:name w:val="Char Char Char Char"/>
    <w:basedOn w:val="1"/>
    <w:qFormat/>
    <w:uiPriority w:val="0"/>
    <w:pPr>
      <w:widowControl/>
      <w:spacing w:after="160" w:line="240" w:lineRule="exact"/>
      <w:jc w:val="left"/>
    </w:pPr>
    <w:rPr>
      <w:rFonts w:ascii="Calibri" w:hAnsi="Calibri"/>
      <w:szCs w:val="20"/>
    </w:rPr>
  </w:style>
  <w:style w:type="table" w:customStyle="1" w:styleId="170">
    <w:name w:val="网格型2"/>
    <w:basedOn w:val="42"/>
    <w:qFormat/>
    <w:uiPriority w:val="39"/>
    <w:rPr>
      <w:rFonts w:ascii="等线" w:hAnsi="等线" w:eastAsia="等线"/>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1">
    <w:name w:val="Body Text First Indent 21"/>
    <w:basedOn w:val="1"/>
    <w:qFormat/>
    <w:uiPriority w:val="0"/>
    <w:pPr>
      <w:ind w:left="420" w:leftChars="200" w:firstLine="420"/>
    </w:pPr>
  </w:style>
  <w:style w:type="character" w:customStyle="1" w:styleId="172">
    <w:name w:val="批注文字 Char3"/>
    <w:qFormat/>
    <w:uiPriority w:val="0"/>
    <w:rPr>
      <w:rFonts w:ascii="Times New Roman" w:hAnsi="Times New Roman" w:eastAsia="宋体" w:cs="Times New Roman"/>
      <w:szCs w:val="20"/>
    </w:rPr>
  </w:style>
  <w:style w:type="paragraph" w:customStyle="1" w:styleId="173">
    <w:name w:val="sp-正文"/>
    <w:basedOn w:val="1"/>
    <w:qFormat/>
    <w:uiPriority w:val="9"/>
    <w:pPr>
      <w:spacing w:line="360" w:lineRule="auto"/>
    </w:pPr>
    <w:rPr>
      <w:sz w:val="24"/>
    </w:rPr>
  </w:style>
  <w:style w:type="paragraph" w:customStyle="1" w:styleId="174">
    <w:name w:val="投标正文"/>
    <w:basedOn w:val="1"/>
    <w:qFormat/>
    <w:uiPriority w:val="0"/>
    <w:pPr>
      <w:spacing w:line="360" w:lineRule="auto"/>
      <w:ind w:firstLine="643" w:firstLineChars="200"/>
    </w:pPr>
    <w:rPr>
      <w:rFonts w:eastAsia="等线"/>
      <w:kern w:val="0"/>
      <w:sz w:val="24"/>
    </w:rPr>
  </w:style>
  <w:style w:type="paragraph" w:customStyle="1" w:styleId="175">
    <w:name w:val="解决方案正文"/>
    <w:basedOn w:val="1"/>
    <w:qFormat/>
    <w:uiPriority w:val="0"/>
    <w:pPr>
      <w:spacing w:line="360" w:lineRule="auto"/>
      <w:ind w:firstLine="482"/>
    </w:pPr>
    <w:rPr>
      <w:sz w:val="24"/>
    </w:rPr>
  </w:style>
  <w:style w:type="paragraph" w:customStyle="1" w:styleId="176">
    <w:name w:val="正文格式"/>
    <w:basedOn w:val="1"/>
    <w:qFormat/>
    <w:uiPriority w:val="0"/>
  </w:style>
  <w:style w:type="paragraph" w:customStyle="1" w:styleId="177">
    <w:name w:val="*正文"/>
    <w:basedOn w:val="1"/>
    <w:next w:val="1"/>
    <w:qFormat/>
    <w:uiPriority w:val="0"/>
    <w:pPr>
      <w:widowControl/>
      <w:spacing w:line="360" w:lineRule="auto"/>
      <w:ind w:firstLine="643" w:firstLineChars="200"/>
      <w:jc w:val="left"/>
    </w:pPr>
    <w:rPr>
      <w:kern w:val="0"/>
      <w:sz w:val="24"/>
    </w:rPr>
  </w:style>
  <w:style w:type="paragraph" w:customStyle="1" w:styleId="178">
    <w:name w:val="my正文"/>
    <w:basedOn w:val="1"/>
    <w:qFormat/>
    <w:uiPriority w:val="0"/>
    <w:pPr>
      <w:widowControl/>
      <w:spacing w:line="360" w:lineRule="auto"/>
      <w:ind w:firstLine="643" w:firstLineChars="200"/>
      <w:jc w:val="left"/>
    </w:pPr>
    <w:rPr>
      <w:rFonts w:eastAsia="等线"/>
      <w:kern w:val="0"/>
      <w:sz w:val="24"/>
    </w:rPr>
  </w:style>
  <w:style w:type="table" w:customStyle="1" w:styleId="179">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8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5">
    <w:name w:val="xl66"/>
    <w:basedOn w:val="1"/>
    <w:qFormat/>
    <w:uiPriority w:val="0"/>
    <w:pPr>
      <w:widowControl/>
      <w:spacing w:before="100" w:beforeAutospacing="1" w:after="100" w:afterAutospacing="1"/>
    </w:pPr>
    <w:rPr>
      <w:rFonts w:ascii="宋体" w:hAnsi="宋体" w:cs="宋体"/>
      <w:kern w:val="0"/>
      <w:sz w:val="24"/>
    </w:rPr>
  </w:style>
  <w:style w:type="paragraph" w:customStyle="1" w:styleId="18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89">
    <w:name w:val="xl7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90">
    <w:name w:val="xl7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9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9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kern w:val="0"/>
      <w:sz w:val="24"/>
    </w:rPr>
  </w:style>
  <w:style w:type="paragraph" w:customStyle="1" w:styleId="19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9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9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24"/>
    </w:rPr>
  </w:style>
  <w:style w:type="paragraph" w:customStyle="1" w:styleId="20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201">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2">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0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0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20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3BB7-5835-4F7B-A582-BF2F23E2AF44}">
  <ds:schemaRefs/>
</ds:datastoreItem>
</file>

<file path=docProps/app.xml><?xml version="1.0" encoding="utf-8"?>
<Properties xmlns="http://schemas.openxmlformats.org/officeDocument/2006/extended-properties" xmlns:vt="http://schemas.openxmlformats.org/officeDocument/2006/docPropsVTypes">
  <Template>Normal.dotm</Template>
  <Company>San-Elepow CON.</Company>
  <Pages>80</Pages>
  <Words>49155</Words>
  <Characters>51042</Characters>
  <Lines>392</Lines>
  <Paragraphs>110</Paragraphs>
  <TotalTime>181</TotalTime>
  <ScaleCrop>false</ScaleCrop>
  <LinksUpToDate>false</LinksUpToDate>
  <CharactersWithSpaces>51469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2022-08-16T01:28:00Z</dcterms:created>
  <dc:creator>tendering717</dc:creator>
  <cp:lastModifiedBy>三部3</cp:lastModifiedBy>
  <cp:lastPrinted>2022-07-19T09:57:00Z</cp:lastPrinted>
  <dcterms:modified xsi:type="dcterms:W3CDTF">2022-09-02T09:52:59Z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6FC72E9256F54C6885E885ABE9C32475</vt:lpwstr>
  </property>
</Properties>
</file>